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5758F" w14:textId="77777777" w:rsidR="0052568B" w:rsidRPr="00862211" w:rsidRDefault="0052568B" w:rsidP="005C7C14">
      <w:pPr>
        <w:ind w:right="-567"/>
        <w:rPr>
          <w:rFonts w:ascii="Arial" w:hAnsi="Arial" w:cs="Arial"/>
          <w:lang w:val="en-NZ"/>
        </w:rPr>
      </w:pPr>
    </w:p>
    <w:p w14:paraId="17DBC99D" w14:textId="77777777" w:rsidR="005C7C14" w:rsidRPr="008E415F" w:rsidRDefault="005C7C14" w:rsidP="005C7C14">
      <w:pPr>
        <w:ind w:right="-567"/>
        <w:rPr>
          <w:rFonts w:ascii="Arial" w:hAnsi="Arial" w:cs="Arial"/>
        </w:rPr>
      </w:pPr>
      <w:r>
        <w:rPr>
          <w:rFonts w:ascii="Arial" w:hAnsi="Arial" w:cs="Arial"/>
          <w:noProof/>
          <w:lang w:eastAsia="en-GB"/>
        </w:rPr>
        <w:drawing>
          <wp:inline distT="0" distB="0" distL="0" distR="0" wp14:anchorId="4485DD00" wp14:editId="5E7C19D9">
            <wp:extent cx="5477510" cy="1405890"/>
            <wp:effectExtent l="19050" t="0" r="8890" b="0"/>
            <wp:docPr id="3" name="Picture 1" descr="letterhea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new"/>
                    <pic:cNvPicPr>
                      <a:picLocks noChangeAspect="1" noChangeArrowheads="1"/>
                    </pic:cNvPicPr>
                  </pic:nvPicPr>
                  <pic:blipFill>
                    <a:blip r:embed="rId9"/>
                    <a:srcRect/>
                    <a:stretch>
                      <a:fillRect/>
                    </a:stretch>
                  </pic:blipFill>
                  <pic:spPr bwMode="auto">
                    <a:xfrm>
                      <a:off x="0" y="0"/>
                      <a:ext cx="5477510" cy="1405890"/>
                    </a:xfrm>
                    <a:prstGeom prst="rect">
                      <a:avLst/>
                    </a:prstGeom>
                    <a:noFill/>
                    <a:ln w="9525">
                      <a:noFill/>
                      <a:miter lim="800000"/>
                      <a:headEnd/>
                      <a:tailEnd/>
                    </a:ln>
                  </pic:spPr>
                </pic:pic>
              </a:graphicData>
            </a:graphic>
          </wp:inline>
        </w:drawing>
      </w:r>
    </w:p>
    <w:p w14:paraId="65D25DA1" w14:textId="77777777" w:rsidR="005C7C14" w:rsidRPr="008E415F" w:rsidRDefault="005C7C14" w:rsidP="00637628">
      <w:pPr>
        <w:ind w:right="-1339"/>
        <w:rPr>
          <w:rFonts w:ascii="Arial" w:hAnsi="Arial" w:cs="Arial"/>
        </w:rPr>
      </w:pPr>
    </w:p>
    <w:p w14:paraId="525EE246" w14:textId="77777777" w:rsidR="005C7C14" w:rsidRDefault="005C7C14" w:rsidP="00972AEA">
      <w:pPr>
        <w:jc w:val="center"/>
        <w:rPr>
          <w:rFonts w:cs="Times New Roman"/>
          <w:b/>
          <w:smallCaps/>
          <w:color w:val="000000" w:themeColor="text1"/>
          <w:sz w:val="32"/>
          <w:szCs w:val="28"/>
        </w:rPr>
      </w:pPr>
    </w:p>
    <w:p w14:paraId="1D1B69C7" w14:textId="77777777" w:rsidR="00E11D00" w:rsidRPr="008E415F" w:rsidRDefault="00E11D00" w:rsidP="00E11D00">
      <w:pPr>
        <w:ind w:right="-567"/>
        <w:rPr>
          <w:rFonts w:ascii="Arial" w:hAnsi="Arial" w:cs="Arial"/>
        </w:rPr>
      </w:pPr>
    </w:p>
    <w:p w14:paraId="3FB5C2AC" w14:textId="77777777" w:rsidR="0052568B" w:rsidRPr="008E415F" w:rsidRDefault="0052568B" w:rsidP="0052568B">
      <w:pPr>
        <w:ind w:right="-567"/>
      </w:pPr>
    </w:p>
    <w:p w14:paraId="3AFA0FFC" w14:textId="77777777" w:rsidR="0052568B" w:rsidRPr="008E415F" w:rsidRDefault="0052568B" w:rsidP="0052568B">
      <w:pPr>
        <w:ind w:right="-567"/>
      </w:pPr>
    </w:p>
    <w:p w14:paraId="264405AC" w14:textId="77777777" w:rsidR="0052568B" w:rsidRPr="008E415F" w:rsidRDefault="0052568B" w:rsidP="0052568B">
      <w:pPr>
        <w:ind w:right="-567"/>
      </w:pPr>
    </w:p>
    <w:p w14:paraId="1A9A6A22" w14:textId="77777777" w:rsidR="0052568B" w:rsidRPr="008E415F" w:rsidRDefault="0052568B" w:rsidP="0052568B">
      <w:pPr>
        <w:ind w:right="-567"/>
      </w:pPr>
    </w:p>
    <w:p w14:paraId="30E65B3E" w14:textId="77777777" w:rsidR="0052568B" w:rsidRPr="008E415F" w:rsidRDefault="0052568B" w:rsidP="0052568B">
      <w:pPr>
        <w:ind w:right="-567"/>
      </w:pPr>
    </w:p>
    <w:p w14:paraId="1047188B" w14:textId="77777777" w:rsidR="0052568B" w:rsidRDefault="0052568B" w:rsidP="0052568B">
      <w:pPr>
        <w:ind w:right="-567"/>
        <w:rPr>
          <w:rFonts w:ascii="Arial" w:hAnsi="Arial" w:cs="Arial"/>
          <w:b/>
        </w:rPr>
      </w:pPr>
    </w:p>
    <w:p w14:paraId="1B92750A" w14:textId="03EA657D" w:rsidR="0052568B" w:rsidRPr="008E415F" w:rsidRDefault="0052568B" w:rsidP="0052568B">
      <w:pPr>
        <w:ind w:right="-567"/>
        <w:rPr>
          <w:rFonts w:ascii="Arial" w:hAnsi="Arial" w:cs="Arial"/>
          <w:b/>
          <w:sz w:val="32"/>
          <w:szCs w:val="32"/>
        </w:rPr>
      </w:pPr>
      <w:r w:rsidRPr="008E415F">
        <w:rPr>
          <w:rFonts w:ascii="Arial" w:hAnsi="Arial" w:cs="Arial"/>
          <w:b/>
          <w:sz w:val="32"/>
          <w:szCs w:val="32"/>
        </w:rPr>
        <w:t xml:space="preserve">Consideration of the </w:t>
      </w:r>
      <w:r w:rsidR="00F337EC">
        <w:rPr>
          <w:rFonts w:ascii="Arial" w:hAnsi="Arial" w:cs="Arial"/>
          <w:b/>
          <w:sz w:val="32"/>
          <w:szCs w:val="32"/>
        </w:rPr>
        <w:t xml:space="preserve">Fourth </w:t>
      </w:r>
      <w:r>
        <w:rPr>
          <w:rFonts w:ascii="Arial" w:hAnsi="Arial" w:cs="Arial"/>
          <w:b/>
          <w:sz w:val="32"/>
          <w:szCs w:val="32"/>
        </w:rPr>
        <w:t>Periodic Report</w:t>
      </w:r>
      <w:r w:rsidRPr="008E415F">
        <w:rPr>
          <w:rFonts w:ascii="Arial" w:hAnsi="Arial" w:cs="Arial"/>
          <w:b/>
          <w:sz w:val="32"/>
          <w:szCs w:val="32"/>
        </w:rPr>
        <w:t xml:space="preserve"> of the New Zealand Government</w:t>
      </w:r>
    </w:p>
    <w:p w14:paraId="5CA0BBD3" w14:textId="77777777" w:rsidR="0052568B" w:rsidRPr="008E415F" w:rsidRDefault="0052568B" w:rsidP="0052568B">
      <w:pPr>
        <w:ind w:right="-567"/>
        <w:rPr>
          <w:rFonts w:ascii="Arial" w:hAnsi="Arial" w:cs="Arial"/>
        </w:rPr>
      </w:pPr>
    </w:p>
    <w:p w14:paraId="1D527A87" w14:textId="77777777" w:rsidR="0052568B" w:rsidRPr="008E415F" w:rsidRDefault="0052568B" w:rsidP="0052568B">
      <w:pPr>
        <w:ind w:right="-567"/>
        <w:rPr>
          <w:rFonts w:ascii="Arial" w:hAnsi="Arial" w:cs="Arial"/>
          <w:i/>
          <w:sz w:val="28"/>
          <w:szCs w:val="28"/>
        </w:rPr>
      </w:pPr>
      <w:r>
        <w:rPr>
          <w:rFonts w:ascii="Arial" w:hAnsi="Arial" w:cs="Arial"/>
          <w:i/>
          <w:sz w:val="28"/>
          <w:szCs w:val="28"/>
        </w:rPr>
        <w:t>by</w:t>
      </w:r>
      <w:r w:rsidRPr="008E415F">
        <w:rPr>
          <w:rFonts w:ascii="Arial" w:hAnsi="Arial" w:cs="Arial"/>
          <w:i/>
          <w:sz w:val="28"/>
          <w:szCs w:val="28"/>
        </w:rPr>
        <w:t xml:space="preserve"> the</w:t>
      </w:r>
    </w:p>
    <w:p w14:paraId="00333D9A" w14:textId="77777777" w:rsidR="0052568B" w:rsidRPr="008E415F" w:rsidRDefault="0052568B" w:rsidP="0052568B">
      <w:pPr>
        <w:ind w:right="-567"/>
        <w:rPr>
          <w:rFonts w:ascii="Arial" w:hAnsi="Arial" w:cs="Arial"/>
        </w:rPr>
      </w:pPr>
    </w:p>
    <w:p w14:paraId="48CEE508" w14:textId="77777777" w:rsidR="0052568B" w:rsidRPr="008E415F" w:rsidRDefault="0052568B" w:rsidP="0052568B">
      <w:pPr>
        <w:ind w:right="-567"/>
        <w:rPr>
          <w:rFonts w:ascii="Arial" w:hAnsi="Arial" w:cs="Arial"/>
          <w:b/>
          <w:sz w:val="36"/>
          <w:szCs w:val="36"/>
        </w:rPr>
      </w:pPr>
      <w:r w:rsidRPr="008E415F">
        <w:rPr>
          <w:rFonts w:ascii="Arial" w:hAnsi="Arial" w:cs="Arial"/>
          <w:b/>
          <w:sz w:val="36"/>
          <w:szCs w:val="36"/>
        </w:rPr>
        <w:t xml:space="preserve">United Nations Committee on </w:t>
      </w:r>
      <w:r>
        <w:rPr>
          <w:rFonts w:ascii="Arial" w:hAnsi="Arial" w:cs="Arial"/>
          <w:b/>
          <w:sz w:val="36"/>
          <w:szCs w:val="36"/>
        </w:rPr>
        <w:t>Economic, Social and Cultural Rights</w:t>
      </w:r>
    </w:p>
    <w:p w14:paraId="44354491" w14:textId="77777777" w:rsidR="0052568B" w:rsidRPr="008E415F" w:rsidRDefault="0052568B" w:rsidP="0052568B">
      <w:pPr>
        <w:ind w:right="-567"/>
        <w:rPr>
          <w:rFonts w:ascii="Arial" w:hAnsi="Arial" w:cs="Arial"/>
        </w:rPr>
      </w:pPr>
    </w:p>
    <w:p w14:paraId="4A943CAD" w14:textId="77777777" w:rsidR="0052568B" w:rsidRPr="008E415F" w:rsidRDefault="0052568B" w:rsidP="0052568B">
      <w:pPr>
        <w:ind w:right="-567"/>
        <w:rPr>
          <w:rFonts w:ascii="Arial" w:hAnsi="Arial" w:cs="Arial"/>
        </w:rPr>
      </w:pPr>
    </w:p>
    <w:p w14:paraId="33E8960F" w14:textId="77777777" w:rsidR="0052568B" w:rsidRPr="008E415F" w:rsidRDefault="0052568B" w:rsidP="0052568B">
      <w:pPr>
        <w:ind w:right="-567"/>
        <w:rPr>
          <w:rFonts w:ascii="Arial" w:hAnsi="Arial" w:cs="Arial"/>
        </w:rPr>
      </w:pPr>
    </w:p>
    <w:p w14:paraId="7CD195C9" w14:textId="77777777" w:rsidR="0052568B" w:rsidRPr="008E415F" w:rsidRDefault="0052568B" w:rsidP="0052568B">
      <w:pPr>
        <w:ind w:right="-567"/>
        <w:rPr>
          <w:rFonts w:ascii="Arial" w:hAnsi="Arial" w:cs="Arial"/>
        </w:rPr>
      </w:pPr>
    </w:p>
    <w:p w14:paraId="0F6C4625" w14:textId="77777777" w:rsidR="0052568B" w:rsidRPr="008E415F" w:rsidRDefault="0052568B" w:rsidP="0052568B">
      <w:pPr>
        <w:ind w:right="-567"/>
        <w:rPr>
          <w:rFonts w:ascii="Arial" w:hAnsi="Arial" w:cs="Arial"/>
        </w:rPr>
      </w:pPr>
    </w:p>
    <w:p w14:paraId="47CBB250" w14:textId="0D2C92F2" w:rsidR="0052568B" w:rsidRPr="008E415F" w:rsidRDefault="005C7F71" w:rsidP="0052568B">
      <w:pPr>
        <w:ind w:right="-567"/>
        <w:rPr>
          <w:rFonts w:ascii="Arial" w:hAnsi="Arial" w:cs="Arial"/>
          <w:sz w:val="28"/>
          <w:szCs w:val="28"/>
        </w:rPr>
      </w:pPr>
      <w:r>
        <w:rPr>
          <w:rFonts w:ascii="Arial" w:hAnsi="Arial" w:cs="Arial"/>
          <w:sz w:val="28"/>
          <w:szCs w:val="28"/>
        </w:rPr>
        <w:t>March 2018</w:t>
      </w:r>
    </w:p>
    <w:p w14:paraId="6C847BBB" w14:textId="77777777" w:rsidR="0052568B" w:rsidRPr="008E415F" w:rsidRDefault="0052568B" w:rsidP="0052568B">
      <w:pPr>
        <w:ind w:right="-567"/>
        <w:rPr>
          <w:rFonts w:ascii="Arial" w:hAnsi="Arial" w:cs="Arial"/>
        </w:rPr>
      </w:pPr>
    </w:p>
    <w:p w14:paraId="318B9884" w14:textId="77777777" w:rsidR="0052568B" w:rsidRPr="008E415F" w:rsidRDefault="0052568B" w:rsidP="0052568B">
      <w:pPr>
        <w:ind w:right="-567"/>
        <w:rPr>
          <w:rFonts w:ascii="Arial" w:hAnsi="Arial" w:cs="Arial"/>
        </w:rPr>
      </w:pPr>
    </w:p>
    <w:p w14:paraId="5366C2DD" w14:textId="77777777" w:rsidR="0052568B" w:rsidRPr="008E415F" w:rsidRDefault="0052568B" w:rsidP="0052568B">
      <w:pPr>
        <w:ind w:right="-567"/>
        <w:rPr>
          <w:rFonts w:ascii="Arial" w:hAnsi="Arial" w:cs="Arial"/>
        </w:rPr>
      </w:pPr>
    </w:p>
    <w:p w14:paraId="284E79FE" w14:textId="77777777" w:rsidR="0052568B" w:rsidRPr="008E415F" w:rsidRDefault="0052568B" w:rsidP="0052568B">
      <w:pPr>
        <w:ind w:right="-567"/>
        <w:rPr>
          <w:rFonts w:ascii="Arial" w:hAnsi="Arial" w:cs="Arial"/>
        </w:rPr>
      </w:pPr>
    </w:p>
    <w:p w14:paraId="65AAD9B7" w14:textId="77777777" w:rsidR="0052568B" w:rsidRPr="008E415F" w:rsidRDefault="0052568B" w:rsidP="0052568B">
      <w:pPr>
        <w:ind w:right="-567"/>
        <w:rPr>
          <w:rFonts w:ascii="Arial" w:hAnsi="Arial" w:cs="Arial"/>
        </w:rPr>
      </w:pPr>
    </w:p>
    <w:p w14:paraId="666F3684" w14:textId="77777777" w:rsidR="0052568B" w:rsidRPr="008E415F" w:rsidRDefault="0052568B" w:rsidP="0052568B">
      <w:pPr>
        <w:ind w:right="-567"/>
        <w:rPr>
          <w:rFonts w:ascii="Arial" w:hAnsi="Arial" w:cs="Arial"/>
        </w:rPr>
      </w:pPr>
    </w:p>
    <w:p w14:paraId="538B5B84" w14:textId="77777777" w:rsidR="0052568B" w:rsidRDefault="0052568B" w:rsidP="0052568B">
      <w:pPr>
        <w:ind w:right="-567"/>
        <w:rPr>
          <w:rFonts w:ascii="Arial" w:hAnsi="Arial" w:cs="Arial"/>
        </w:rPr>
      </w:pPr>
    </w:p>
    <w:p w14:paraId="2442B092" w14:textId="77777777" w:rsidR="0052568B" w:rsidRDefault="0052568B" w:rsidP="0052568B">
      <w:pPr>
        <w:ind w:right="-567"/>
        <w:rPr>
          <w:rFonts w:ascii="Arial" w:hAnsi="Arial" w:cs="Arial"/>
        </w:rPr>
      </w:pPr>
    </w:p>
    <w:p w14:paraId="2D7C8DCF" w14:textId="77777777" w:rsidR="0052568B" w:rsidRDefault="0052568B" w:rsidP="0052568B">
      <w:pPr>
        <w:ind w:right="-567"/>
        <w:rPr>
          <w:rFonts w:ascii="Arial" w:hAnsi="Arial" w:cs="Arial"/>
        </w:rPr>
      </w:pPr>
    </w:p>
    <w:p w14:paraId="1E58FD97" w14:textId="77777777" w:rsidR="0052568B" w:rsidRDefault="0052568B" w:rsidP="0052568B">
      <w:pPr>
        <w:ind w:right="-567"/>
        <w:rPr>
          <w:rFonts w:ascii="Arial" w:hAnsi="Arial" w:cs="Arial"/>
        </w:rPr>
      </w:pPr>
    </w:p>
    <w:p w14:paraId="570556F5" w14:textId="77777777" w:rsidR="0052568B" w:rsidRDefault="0052568B" w:rsidP="0052568B">
      <w:pPr>
        <w:ind w:right="-567"/>
        <w:rPr>
          <w:rFonts w:ascii="Arial" w:hAnsi="Arial" w:cs="Arial"/>
        </w:rPr>
      </w:pPr>
    </w:p>
    <w:p w14:paraId="02E5CB53" w14:textId="77777777" w:rsidR="0052568B" w:rsidRDefault="0052568B" w:rsidP="0052568B">
      <w:pPr>
        <w:ind w:right="-567"/>
        <w:rPr>
          <w:rFonts w:ascii="Arial" w:hAnsi="Arial" w:cs="Arial"/>
        </w:rPr>
      </w:pPr>
    </w:p>
    <w:p w14:paraId="44B5EC38" w14:textId="77777777" w:rsidR="0052568B" w:rsidRDefault="0052568B" w:rsidP="0052568B">
      <w:pPr>
        <w:ind w:right="-567"/>
        <w:rPr>
          <w:rFonts w:ascii="Arial" w:hAnsi="Arial" w:cs="Arial"/>
        </w:rPr>
      </w:pPr>
    </w:p>
    <w:p w14:paraId="1233FB9D" w14:textId="77777777" w:rsidR="0052568B" w:rsidRDefault="0052568B" w:rsidP="0052568B">
      <w:pPr>
        <w:jc w:val="center"/>
        <w:rPr>
          <w:rFonts w:cs="Times New Roman"/>
          <w:b/>
          <w:smallCaps/>
          <w:color w:val="000000" w:themeColor="text1"/>
          <w:sz w:val="32"/>
          <w:szCs w:val="28"/>
        </w:rPr>
      </w:pPr>
    </w:p>
    <w:p w14:paraId="6F48634A" w14:textId="77777777" w:rsidR="0052568B" w:rsidRDefault="0052568B" w:rsidP="0052568B">
      <w:pPr>
        <w:jc w:val="center"/>
        <w:rPr>
          <w:rFonts w:cs="Times New Roman"/>
          <w:b/>
          <w:smallCaps/>
          <w:color w:val="000000" w:themeColor="text1"/>
          <w:sz w:val="32"/>
          <w:szCs w:val="28"/>
        </w:rPr>
      </w:pPr>
    </w:p>
    <w:p w14:paraId="471602FF" w14:textId="77777777" w:rsidR="00145DD4" w:rsidRDefault="00145DD4" w:rsidP="00AD2A65">
      <w:pPr>
        <w:jc w:val="both"/>
        <w:rPr>
          <w:rFonts w:cs="Times New Roman"/>
          <w:b/>
          <w:bCs/>
          <w:smallCaps/>
          <w:color w:val="000000" w:themeColor="text1"/>
        </w:rPr>
      </w:pPr>
    </w:p>
    <w:p w14:paraId="327DC6E1" w14:textId="77777777" w:rsidR="00FF3873" w:rsidRPr="00FC17F1" w:rsidRDefault="00FF3873" w:rsidP="00FC17F1">
      <w:pPr>
        <w:spacing w:line="360" w:lineRule="auto"/>
        <w:rPr>
          <w:rFonts w:cs="Times New Roman"/>
          <w:b/>
          <w:bCs/>
          <w:smallCaps/>
          <w:color w:val="000000" w:themeColor="text1"/>
          <w:sz w:val="28"/>
          <w:szCs w:val="28"/>
        </w:rPr>
      </w:pPr>
      <w:r w:rsidRPr="00FC17F1">
        <w:rPr>
          <w:rFonts w:cs="Times New Roman"/>
          <w:b/>
          <w:bCs/>
          <w:smallCaps/>
          <w:color w:val="000000" w:themeColor="text1"/>
          <w:sz w:val="28"/>
          <w:szCs w:val="28"/>
        </w:rPr>
        <w:lastRenderedPageBreak/>
        <w:t xml:space="preserve">Table of Contents </w:t>
      </w:r>
    </w:p>
    <w:tbl>
      <w:tblPr>
        <w:tblStyle w:val="TableGrid"/>
        <w:tblW w:w="0" w:type="auto"/>
        <w:tblLook w:val="04A0" w:firstRow="1" w:lastRow="0" w:firstColumn="1" w:lastColumn="0" w:noHBand="0" w:noVBand="1"/>
      </w:tblPr>
      <w:tblGrid>
        <w:gridCol w:w="6498"/>
        <w:gridCol w:w="2018"/>
      </w:tblGrid>
      <w:tr w:rsidR="00FF3873" w:rsidRPr="00C37B4D" w14:paraId="33955097" w14:textId="77777777" w:rsidTr="004B35C1">
        <w:trPr>
          <w:trHeight w:val="503"/>
        </w:trPr>
        <w:tc>
          <w:tcPr>
            <w:tcW w:w="6498" w:type="dxa"/>
          </w:tcPr>
          <w:p w14:paraId="1EE6BDEA" w14:textId="77777777" w:rsidR="00FF3873" w:rsidRPr="00FC17F1" w:rsidRDefault="00FF3873" w:rsidP="00FC17F1">
            <w:pPr>
              <w:spacing w:line="360" w:lineRule="auto"/>
              <w:rPr>
                <w:rFonts w:cs="Times New Roman"/>
                <w:sz w:val="28"/>
                <w:szCs w:val="28"/>
              </w:rPr>
            </w:pPr>
          </w:p>
        </w:tc>
        <w:tc>
          <w:tcPr>
            <w:tcW w:w="2018" w:type="dxa"/>
          </w:tcPr>
          <w:p w14:paraId="15107641" w14:textId="77777777" w:rsidR="00FF3873" w:rsidRPr="00FC17F1" w:rsidRDefault="00FF3873" w:rsidP="00FC17F1">
            <w:pPr>
              <w:spacing w:line="360" w:lineRule="auto"/>
              <w:jc w:val="center"/>
              <w:rPr>
                <w:rFonts w:cs="Times New Roman"/>
                <w:b/>
                <w:sz w:val="28"/>
                <w:szCs w:val="28"/>
              </w:rPr>
            </w:pPr>
            <w:r w:rsidRPr="00FC17F1">
              <w:rPr>
                <w:rFonts w:cs="Times New Roman"/>
                <w:b/>
                <w:sz w:val="28"/>
                <w:szCs w:val="28"/>
              </w:rPr>
              <w:t>Page</w:t>
            </w:r>
          </w:p>
        </w:tc>
      </w:tr>
      <w:tr w:rsidR="00FF3873" w:rsidRPr="00C37B4D" w14:paraId="6AFD0BDB" w14:textId="77777777" w:rsidTr="004B35C1">
        <w:trPr>
          <w:trHeight w:val="770"/>
        </w:trPr>
        <w:tc>
          <w:tcPr>
            <w:tcW w:w="6498" w:type="dxa"/>
          </w:tcPr>
          <w:p w14:paraId="241CE6BF" w14:textId="153AE11A" w:rsidR="00FF3873" w:rsidRPr="00FC17F1" w:rsidRDefault="00FF3873" w:rsidP="007E2751">
            <w:pPr>
              <w:spacing w:line="360" w:lineRule="auto"/>
              <w:rPr>
                <w:rFonts w:cs="Times New Roman"/>
                <w:sz w:val="28"/>
                <w:szCs w:val="28"/>
              </w:rPr>
            </w:pPr>
            <w:r w:rsidRPr="00FC17F1">
              <w:rPr>
                <w:rFonts w:cs="Times New Roman"/>
                <w:sz w:val="28"/>
                <w:szCs w:val="28"/>
              </w:rPr>
              <w:t>Introduction</w:t>
            </w:r>
          </w:p>
        </w:tc>
        <w:tc>
          <w:tcPr>
            <w:tcW w:w="2018" w:type="dxa"/>
          </w:tcPr>
          <w:p w14:paraId="03CD031C" w14:textId="0EDA6882" w:rsidR="00FF3873" w:rsidRPr="00FC17F1" w:rsidRDefault="007E2751" w:rsidP="00FC17F1">
            <w:pPr>
              <w:spacing w:line="360" w:lineRule="auto"/>
              <w:jc w:val="center"/>
              <w:rPr>
                <w:rFonts w:cs="Times New Roman"/>
                <w:sz w:val="28"/>
                <w:szCs w:val="28"/>
              </w:rPr>
            </w:pPr>
            <w:r>
              <w:rPr>
                <w:rFonts w:cs="Times New Roman"/>
                <w:sz w:val="28"/>
                <w:szCs w:val="28"/>
              </w:rPr>
              <w:t>4</w:t>
            </w:r>
          </w:p>
        </w:tc>
      </w:tr>
      <w:tr w:rsidR="00FF3873" w:rsidRPr="00C37B4D" w14:paraId="7E5320E4" w14:textId="77777777" w:rsidTr="004B35C1">
        <w:trPr>
          <w:trHeight w:val="770"/>
        </w:trPr>
        <w:tc>
          <w:tcPr>
            <w:tcW w:w="6498" w:type="dxa"/>
          </w:tcPr>
          <w:p w14:paraId="34D853E0" w14:textId="58560B2D" w:rsidR="00FF3873" w:rsidRPr="00FC17F1" w:rsidRDefault="00FF3873" w:rsidP="00FC17F1">
            <w:pPr>
              <w:spacing w:line="360" w:lineRule="auto"/>
              <w:rPr>
                <w:rFonts w:cs="Times New Roman"/>
                <w:sz w:val="28"/>
                <w:szCs w:val="28"/>
              </w:rPr>
            </w:pPr>
            <w:r w:rsidRPr="00FC17F1">
              <w:rPr>
                <w:rFonts w:cs="Times New Roman"/>
                <w:sz w:val="28"/>
                <w:szCs w:val="28"/>
              </w:rPr>
              <w:t xml:space="preserve">Part A: </w:t>
            </w:r>
          </w:p>
        </w:tc>
        <w:tc>
          <w:tcPr>
            <w:tcW w:w="2018" w:type="dxa"/>
          </w:tcPr>
          <w:p w14:paraId="6A168E04" w14:textId="77F7A2CC" w:rsidR="00FF3873" w:rsidRPr="00FC17F1" w:rsidRDefault="00FE152C" w:rsidP="00FC17F1">
            <w:pPr>
              <w:spacing w:line="360" w:lineRule="auto"/>
              <w:jc w:val="center"/>
              <w:rPr>
                <w:rFonts w:cs="Times New Roman"/>
                <w:sz w:val="28"/>
                <w:szCs w:val="28"/>
              </w:rPr>
            </w:pPr>
            <w:r>
              <w:rPr>
                <w:rFonts w:cs="Times New Roman"/>
                <w:sz w:val="28"/>
                <w:szCs w:val="28"/>
              </w:rPr>
              <w:t>6</w:t>
            </w:r>
          </w:p>
        </w:tc>
      </w:tr>
      <w:tr w:rsidR="007E2751" w:rsidRPr="00C37B4D" w14:paraId="0BDF9790" w14:textId="77777777" w:rsidTr="004B35C1">
        <w:trPr>
          <w:trHeight w:val="770"/>
        </w:trPr>
        <w:tc>
          <w:tcPr>
            <w:tcW w:w="6498" w:type="dxa"/>
          </w:tcPr>
          <w:p w14:paraId="1180FE37" w14:textId="3E3CB420" w:rsidR="007E2751" w:rsidRPr="00FC17F1" w:rsidRDefault="007E2751" w:rsidP="00837ACE">
            <w:pPr>
              <w:spacing w:line="360" w:lineRule="auto"/>
              <w:rPr>
                <w:rFonts w:cs="Times New Roman"/>
                <w:sz w:val="28"/>
                <w:szCs w:val="28"/>
              </w:rPr>
            </w:pPr>
            <w:r w:rsidRPr="00FC17F1">
              <w:rPr>
                <w:rFonts w:cs="Times New Roman"/>
                <w:sz w:val="28"/>
                <w:szCs w:val="28"/>
              </w:rPr>
              <w:t>Question 1</w:t>
            </w:r>
          </w:p>
        </w:tc>
        <w:tc>
          <w:tcPr>
            <w:tcW w:w="2018" w:type="dxa"/>
          </w:tcPr>
          <w:p w14:paraId="1CA5489E" w14:textId="68CABD11" w:rsidR="007E2751" w:rsidRPr="00FC17F1" w:rsidRDefault="00CF52C5" w:rsidP="00FC17F1">
            <w:pPr>
              <w:spacing w:line="360" w:lineRule="auto"/>
              <w:jc w:val="center"/>
              <w:rPr>
                <w:rFonts w:cs="Times New Roman"/>
                <w:sz w:val="28"/>
                <w:szCs w:val="28"/>
              </w:rPr>
            </w:pPr>
            <w:r>
              <w:rPr>
                <w:rFonts w:cs="Times New Roman"/>
                <w:sz w:val="28"/>
                <w:szCs w:val="28"/>
              </w:rPr>
              <w:t>6</w:t>
            </w:r>
          </w:p>
        </w:tc>
      </w:tr>
      <w:tr w:rsidR="00FF3873" w:rsidRPr="00C37B4D" w14:paraId="4029472C" w14:textId="77777777" w:rsidTr="004B35C1">
        <w:trPr>
          <w:trHeight w:val="770"/>
        </w:trPr>
        <w:tc>
          <w:tcPr>
            <w:tcW w:w="6498" w:type="dxa"/>
          </w:tcPr>
          <w:p w14:paraId="68C991CE" w14:textId="722D6A10" w:rsidR="00FF3873" w:rsidRPr="00FC17F1" w:rsidRDefault="00FF3873" w:rsidP="00837ACE">
            <w:pPr>
              <w:spacing w:line="360" w:lineRule="auto"/>
              <w:rPr>
                <w:rFonts w:cs="Times New Roman"/>
                <w:i/>
                <w:sz w:val="28"/>
                <w:szCs w:val="28"/>
              </w:rPr>
            </w:pPr>
            <w:r w:rsidRPr="00FC17F1">
              <w:rPr>
                <w:rFonts w:cs="Times New Roman"/>
                <w:sz w:val="28"/>
                <w:szCs w:val="28"/>
              </w:rPr>
              <w:t>Ques</w:t>
            </w:r>
            <w:r w:rsidR="007313B6" w:rsidRPr="00FC17F1">
              <w:rPr>
                <w:rFonts w:cs="Times New Roman"/>
                <w:sz w:val="28"/>
                <w:szCs w:val="28"/>
              </w:rPr>
              <w:t>tion 2</w:t>
            </w:r>
          </w:p>
        </w:tc>
        <w:tc>
          <w:tcPr>
            <w:tcW w:w="2018" w:type="dxa"/>
          </w:tcPr>
          <w:p w14:paraId="17EB7D0E" w14:textId="534ACEB0" w:rsidR="00FF3873" w:rsidRPr="00FC17F1" w:rsidRDefault="00CF52C5" w:rsidP="00FC17F1">
            <w:pPr>
              <w:spacing w:line="360" w:lineRule="auto"/>
              <w:jc w:val="center"/>
              <w:rPr>
                <w:rFonts w:cs="Times New Roman"/>
                <w:sz w:val="28"/>
                <w:szCs w:val="28"/>
              </w:rPr>
            </w:pPr>
            <w:r>
              <w:rPr>
                <w:rFonts w:cs="Times New Roman"/>
                <w:sz w:val="28"/>
                <w:szCs w:val="28"/>
              </w:rPr>
              <w:t>12</w:t>
            </w:r>
          </w:p>
        </w:tc>
      </w:tr>
      <w:tr w:rsidR="00FF3873" w:rsidRPr="00C37B4D" w14:paraId="7497B654" w14:textId="77777777" w:rsidTr="004B35C1">
        <w:trPr>
          <w:trHeight w:val="770"/>
        </w:trPr>
        <w:tc>
          <w:tcPr>
            <w:tcW w:w="6498" w:type="dxa"/>
          </w:tcPr>
          <w:p w14:paraId="35916710" w14:textId="1B3BB72B" w:rsidR="00FF3873" w:rsidRPr="00FC17F1" w:rsidRDefault="00FF3873" w:rsidP="00FC17F1">
            <w:pPr>
              <w:spacing w:line="360" w:lineRule="auto"/>
              <w:rPr>
                <w:rFonts w:cs="Times New Roman"/>
                <w:sz w:val="28"/>
                <w:szCs w:val="28"/>
              </w:rPr>
            </w:pPr>
            <w:r w:rsidRPr="00FC17F1">
              <w:rPr>
                <w:rFonts w:cs="Times New Roman"/>
                <w:sz w:val="28"/>
                <w:szCs w:val="28"/>
              </w:rPr>
              <w:t xml:space="preserve">Question </w:t>
            </w:r>
            <w:r w:rsidR="007313B6" w:rsidRPr="00FC17F1">
              <w:rPr>
                <w:rFonts w:cs="Times New Roman"/>
                <w:sz w:val="28"/>
                <w:szCs w:val="28"/>
              </w:rPr>
              <w:t>3</w:t>
            </w:r>
          </w:p>
        </w:tc>
        <w:tc>
          <w:tcPr>
            <w:tcW w:w="2018" w:type="dxa"/>
          </w:tcPr>
          <w:p w14:paraId="262BACFA" w14:textId="7AB76908" w:rsidR="00FF3873" w:rsidRPr="00FC17F1" w:rsidRDefault="00CF52C5" w:rsidP="00FC17F1">
            <w:pPr>
              <w:spacing w:line="360" w:lineRule="auto"/>
              <w:jc w:val="center"/>
              <w:rPr>
                <w:rFonts w:cs="Times New Roman"/>
                <w:sz w:val="28"/>
                <w:szCs w:val="28"/>
              </w:rPr>
            </w:pPr>
            <w:r>
              <w:rPr>
                <w:rFonts w:cs="Times New Roman"/>
                <w:sz w:val="28"/>
                <w:szCs w:val="28"/>
              </w:rPr>
              <w:t>14</w:t>
            </w:r>
          </w:p>
        </w:tc>
      </w:tr>
      <w:tr w:rsidR="00FF3873" w:rsidRPr="00C37B4D" w14:paraId="734B1161" w14:textId="77777777" w:rsidTr="004B35C1">
        <w:trPr>
          <w:trHeight w:val="770"/>
        </w:trPr>
        <w:tc>
          <w:tcPr>
            <w:tcW w:w="6498" w:type="dxa"/>
          </w:tcPr>
          <w:p w14:paraId="797DE68C" w14:textId="5CEEBD64" w:rsidR="00FF3873" w:rsidRPr="00FC17F1" w:rsidRDefault="00FF3873" w:rsidP="00FC17F1">
            <w:pPr>
              <w:spacing w:line="360" w:lineRule="auto"/>
              <w:rPr>
                <w:rFonts w:cs="Times New Roman"/>
                <w:sz w:val="28"/>
                <w:szCs w:val="28"/>
              </w:rPr>
            </w:pPr>
            <w:r w:rsidRPr="00FC17F1">
              <w:rPr>
                <w:rFonts w:cs="Times New Roman"/>
                <w:sz w:val="28"/>
                <w:szCs w:val="28"/>
              </w:rPr>
              <w:t xml:space="preserve">Question </w:t>
            </w:r>
            <w:r w:rsidR="007313B6" w:rsidRPr="00FC17F1">
              <w:rPr>
                <w:rFonts w:cs="Times New Roman"/>
                <w:sz w:val="28"/>
                <w:szCs w:val="28"/>
              </w:rPr>
              <w:t>4</w:t>
            </w:r>
          </w:p>
        </w:tc>
        <w:tc>
          <w:tcPr>
            <w:tcW w:w="2018" w:type="dxa"/>
          </w:tcPr>
          <w:p w14:paraId="6E028F94" w14:textId="2BC13F14" w:rsidR="00FF3873" w:rsidRPr="00FC17F1" w:rsidRDefault="00CF52C5" w:rsidP="00FC17F1">
            <w:pPr>
              <w:spacing w:line="360" w:lineRule="auto"/>
              <w:jc w:val="center"/>
              <w:rPr>
                <w:rFonts w:cs="Times New Roman"/>
                <w:sz w:val="28"/>
                <w:szCs w:val="28"/>
              </w:rPr>
            </w:pPr>
            <w:r>
              <w:rPr>
                <w:rFonts w:cs="Times New Roman"/>
                <w:sz w:val="28"/>
                <w:szCs w:val="28"/>
              </w:rPr>
              <w:t>15</w:t>
            </w:r>
          </w:p>
        </w:tc>
      </w:tr>
      <w:tr w:rsidR="00936EB2" w:rsidRPr="00C37B4D" w14:paraId="285C90E9" w14:textId="77777777" w:rsidTr="004B35C1">
        <w:trPr>
          <w:trHeight w:val="770"/>
        </w:trPr>
        <w:tc>
          <w:tcPr>
            <w:tcW w:w="6498" w:type="dxa"/>
          </w:tcPr>
          <w:p w14:paraId="5A08ADA2" w14:textId="03CCF92B" w:rsidR="00936EB2" w:rsidRPr="00FC17F1" w:rsidRDefault="00936EB2" w:rsidP="00FC17F1">
            <w:pPr>
              <w:spacing w:line="360" w:lineRule="auto"/>
              <w:rPr>
                <w:rFonts w:cs="Times New Roman"/>
                <w:sz w:val="28"/>
                <w:szCs w:val="28"/>
              </w:rPr>
            </w:pPr>
            <w:r w:rsidRPr="00FC17F1">
              <w:rPr>
                <w:rFonts w:cs="Times New Roman"/>
                <w:sz w:val="28"/>
                <w:szCs w:val="28"/>
              </w:rPr>
              <w:t xml:space="preserve">Part B: </w:t>
            </w:r>
          </w:p>
        </w:tc>
        <w:tc>
          <w:tcPr>
            <w:tcW w:w="2018" w:type="dxa"/>
          </w:tcPr>
          <w:p w14:paraId="19FA09F4" w14:textId="4A0B0D18" w:rsidR="00936EB2" w:rsidRPr="00FC17F1" w:rsidRDefault="00CF52C5" w:rsidP="00FC17F1">
            <w:pPr>
              <w:spacing w:line="360" w:lineRule="auto"/>
              <w:jc w:val="center"/>
              <w:rPr>
                <w:rFonts w:cs="Times New Roman"/>
                <w:sz w:val="28"/>
                <w:szCs w:val="28"/>
              </w:rPr>
            </w:pPr>
            <w:r>
              <w:rPr>
                <w:rFonts w:cs="Times New Roman"/>
                <w:sz w:val="28"/>
                <w:szCs w:val="28"/>
              </w:rPr>
              <w:t>24</w:t>
            </w:r>
          </w:p>
        </w:tc>
      </w:tr>
      <w:tr w:rsidR="006D3A7D" w:rsidRPr="00C37B4D" w14:paraId="78C1FEF3" w14:textId="77777777" w:rsidTr="004B35C1">
        <w:trPr>
          <w:trHeight w:val="770"/>
        </w:trPr>
        <w:tc>
          <w:tcPr>
            <w:tcW w:w="6498" w:type="dxa"/>
          </w:tcPr>
          <w:p w14:paraId="7034C87E" w14:textId="504EF49A" w:rsidR="006D3A7D" w:rsidRPr="00FC17F1" w:rsidRDefault="006D3A7D" w:rsidP="00FC17F1">
            <w:pPr>
              <w:spacing w:line="360" w:lineRule="auto"/>
              <w:rPr>
                <w:rFonts w:cs="Times New Roman"/>
                <w:sz w:val="28"/>
                <w:szCs w:val="28"/>
              </w:rPr>
            </w:pPr>
            <w:r w:rsidRPr="00FC17F1">
              <w:rPr>
                <w:rFonts w:cs="Times New Roman"/>
                <w:sz w:val="28"/>
                <w:szCs w:val="28"/>
              </w:rPr>
              <w:t>Question 5</w:t>
            </w:r>
          </w:p>
        </w:tc>
        <w:tc>
          <w:tcPr>
            <w:tcW w:w="2018" w:type="dxa"/>
          </w:tcPr>
          <w:p w14:paraId="33FC7FDD" w14:textId="25023DC4" w:rsidR="006D3A7D" w:rsidRPr="00FC17F1" w:rsidRDefault="00CF52C5" w:rsidP="00FC17F1">
            <w:pPr>
              <w:spacing w:line="360" w:lineRule="auto"/>
              <w:jc w:val="center"/>
              <w:rPr>
                <w:rFonts w:cs="Times New Roman"/>
                <w:sz w:val="28"/>
                <w:szCs w:val="28"/>
              </w:rPr>
            </w:pPr>
            <w:r>
              <w:rPr>
                <w:rFonts w:cs="Times New Roman"/>
                <w:sz w:val="28"/>
                <w:szCs w:val="28"/>
              </w:rPr>
              <w:t>24</w:t>
            </w:r>
          </w:p>
        </w:tc>
      </w:tr>
      <w:tr w:rsidR="006D3A7D" w:rsidRPr="00C37B4D" w14:paraId="5A78B6BA" w14:textId="77777777" w:rsidTr="004B35C1">
        <w:trPr>
          <w:trHeight w:val="770"/>
        </w:trPr>
        <w:tc>
          <w:tcPr>
            <w:tcW w:w="6498" w:type="dxa"/>
          </w:tcPr>
          <w:p w14:paraId="455E9CEC" w14:textId="524E9E45" w:rsidR="006D3A7D" w:rsidRPr="00FC17F1" w:rsidRDefault="006D3A7D" w:rsidP="00FC17F1">
            <w:pPr>
              <w:spacing w:line="360" w:lineRule="auto"/>
              <w:rPr>
                <w:rFonts w:cs="Times New Roman"/>
                <w:sz w:val="28"/>
                <w:szCs w:val="28"/>
              </w:rPr>
            </w:pPr>
            <w:r w:rsidRPr="00FC17F1">
              <w:rPr>
                <w:rFonts w:cs="Times New Roman"/>
                <w:sz w:val="28"/>
                <w:szCs w:val="28"/>
              </w:rPr>
              <w:t>Question 6</w:t>
            </w:r>
          </w:p>
        </w:tc>
        <w:tc>
          <w:tcPr>
            <w:tcW w:w="2018" w:type="dxa"/>
          </w:tcPr>
          <w:p w14:paraId="59B6F242" w14:textId="62085F31" w:rsidR="006D3A7D" w:rsidRPr="00FC17F1" w:rsidRDefault="00CF52C5" w:rsidP="00FC17F1">
            <w:pPr>
              <w:spacing w:line="360" w:lineRule="auto"/>
              <w:jc w:val="center"/>
              <w:rPr>
                <w:rFonts w:cs="Times New Roman"/>
                <w:sz w:val="28"/>
                <w:szCs w:val="28"/>
              </w:rPr>
            </w:pPr>
            <w:r>
              <w:rPr>
                <w:rFonts w:cs="Times New Roman"/>
                <w:sz w:val="28"/>
                <w:szCs w:val="28"/>
              </w:rPr>
              <w:t>25</w:t>
            </w:r>
          </w:p>
        </w:tc>
      </w:tr>
      <w:tr w:rsidR="006D3A7D" w:rsidRPr="00C37B4D" w14:paraId="60F20448" w14:textId="77777777" w:rsidTr="004B35C1">
        <w:trPr>
          <w:trHeight w:val="770"/>
        </w:trPr>
        <w:tc>
          <w:tcPr>
            <w:tcW w:w="6498" w:type="dxa"/>
          </w:tcPr>
          <w:p w14:paraId="2A01D1D5" w14:textId="000A9A7B" w:rsidR="006D3A7D" w:rsidRPr="00FC17F1" w:rsidRDefault="006D3A7D" w:rsidP="00837ACE">
            <w:pPr>
              <w:spacing w:line="360" w:lineRule="auto"/>
              <w:rPr>
                <w:rFonts w:cs="Times New Roman"/>
                <w:sz w:val="28"/>
                <w:szCs w:val="28"/>
              </w:rPr>
            </w:pPr>
            <w:r w:rsidRPr="00FC17F1">
              <w:rPr>
                <w:rFonts w:cs="Times New Roman"/>
                <w:sz w:val="28"/>
                <w:szCs w:val="28"/>
              </w:rPr>
              <w:t>Question 7</w:t>
            </w:r>
          </w:p>
        </w:tc>
        <w:tc>
          <w:tcPr>
            <w:tcW w:w="2018" w:type="dxa"/>
          </w:tcPr>
          <w:p w14:paraId="22DBAFBF" w14:textId="7638D694" w:rsidR="006D3A7D" w:rsidRPr="00FC17F1" w:rsidRDefault="00CF52C5" w:rsidP="00FC17F1">
            <w:pPr>
              <w:spacing w:line="360" w:lineRule="auto"/>
              <w:jc w:val="center"/>
              <w:rPr>
                <w:rFonts w:cs="Times New Roman"/>
                <w:sz w:val="28"/>
                <w:szCs w:val="28"/>
              </w:rPr>
            </w:pPr>
            <w:r>
              <w:rPr>
                <w:rFonts w:cs="Times New Roman"/>
                <w:sz w:val="28"/>
                <w:szCs w:val="28"/>
              </w:rPr>
              <w:t>25</w:t>
            </w:r>
          </w:p>
        </w:tc>
      </w:tr>
      <w:tr w:rsidR="006D3A7D" w:rsidRPr="00C37B4D" w14:paraId="42A9933D" w14:textId="77777777" w:rsidTr="004B35C1">
        <w:trPr>
          <w:trHeight w:val="770"/>
        </w:trPr>
        <w:tc>
          <w:tcPr>
            <w:tcW w:w="6498" w:type="dxa"/>
          </w:tcPr>
          <w:p w14:paraId="3F9B2C73" w14:textId="31D50EB1" w:rsidR="006D3A7D" w:rsidRPr="00FC17F1" w:rsidRDefault="006D3A7D" w:rsidP="00837ACE">
            <w:pPr>
              <w:spacing w:line="360" w:lineRule="auto"/>
              <w:rPr>
                <w:rFonts w:cs="Times New Roman"/>
                <w:sz w:val="28"/>
                <w:szCs w:val="28"/>
              </w:rPr>
            </w:pPr>
            <w:r w:rsidRPr="00FC17F1">
              <w:rPr>
                <w:rFonts w:cs="Times New Roman"/>
                <w:sz w:val="28"/>
                <w:szCs w:val="28"/>
              </w:rPr>
              <w:t>Question 8</w:t>
            </w:r>
          </w:p>
        </w:tc>
        <w:tc>
          <w:tcPr>
            <w:tcW w:w="2018" w:type="dxa"/>
          </w:tcPr>
          <w:p w14:paraId="3F052001" w14:textId="7D8CEEA9" w:rsidR="006D3A7D" w:rsidRPr="00FC17F1" w:rsidRDefault="00CF52C5" w:rsidP="00FC17F1">
            <w:pPr>
              <w:spacing w:line="360" w:lineRule="auto"/>
              <w:jc w:val="center"/>
              <w:rPr>
                <w:rFonts w:cs="Times New Roman"/>
                <w:sz w:val="28"/>
                <w:szCs w:val="28"/>
              </w:rPr>
            </w:pPr>
            <w:r>
              <w:rPr>
                <w:rFonts w:cs="Times New Roman"/>
                <w:sz w:val="28"/>
                <w:szCs w:val="28"/>
              </w:rPr>
              <w:t>27</w:t>
            </w:r>
          </w:p>
        </w:tc>
      </w:tr>
      <w:tr w:rsidR="006D3A7D" w:rsidRPr="00C37B4D" w14:paraId="68EFC989" w14:textId="77777777" w:rsidTr="004B35C1">
        <w:trPr>
          <w:trHeight w:val="770"/>
        </w:trPr>
        <w:tc>
          <w:tcPr>
            <w:tcW w:w="6498" w:type="dxa"/>
          </w:tcPr>
          <w:p w14:paraId="7A5D4AEE" w14:textId="77777777" w:rsidR="006D3A7D" w:rsidRDefault="006D3A7D" w:rsidP="00837ACE">
            <w:pPr>
              <w:spacing w:line="360" w:lineRule="auto"/>
              <w:rPr>
                <w:rFonts w:cs="Times New Roman"/>
                <w:sz w:val="28"/>
                <w:szCs w:val="28"/>
              </w:rPr>
            </w:pPr>
            <w:r w:rsidRPr="00FC17F1">
              <w:rPr>
                <w:rFonts w:cs="Times New Roman"/>
                <w:sz w:val="28"/>
                <w:szCs w:val="28"/>
              </w:rPr>
              <w:t>Question 9</w:t>
            </w:r>
          </w:p>
          <w:p w14:paraId="7E8272EF" w14:textId="5FC9A677" w:rsidR="0084146C" w:rsidRPr="00FC17F1" w:rsidRDefault="0084146C" w:rsidP="00837ACE">
            <w:pPr>
              <w:spacing w:line="360" w:lineRule="auto"/>
              <w:rPr>
                <w:rFonts w:cs="Times New Roman"/>
                <w:sz w:val="28"/>
                <w:szCs w:val="28"/>
              </w:rPr>
            </w:pPr>
            <w:r>
              <w:rPr>
                <w:rFonts w:cs="Times New Roman"/>
                <w:sz w:val="28"/>
                <w:szCs w:val="28"/>
              </w:rPr>
              <w:t>Additional</w:t>
            </w:r>
            <w:r w:rsidR="00AD38D2">
              <w:rPr>
                <w:rFonts w:cs="Times New Roman"/>
                <w:sz w:val="28"/>
                <w:szCs w:val="28"/>
              </w:rPr>
              <w:t xml:space="preserve"> under Article 2(2)</w:t>
            </w:r>
            <w:r>
              <w:rPr>
                <w:rFonts w:cs="Times New Roman"/>
                <w:sz w:val="28"/>
                <w:szCs w:val="28"/>
              </w:rPr>
              <w:t>: Rights of Older Persons</w:t>
            </w:r>
          </w:p>
        </w:tc>
        <w:tc>
          <w:tcPr>
            <w:tcW w:w="2018" w:type="dxa"/>
          </w:tcPr>
          <w:p w14:paraId="6749B039" w14:textId="4DE49E30" w:rsidR="0084146C" w:rsidRDefault="0084146C" w:rsidP="00DA2390">
            <w:pPr>
              <w:spacing w:line="360" w:lineRule="auto"/>
              <w:rPr>
                <w:rFonts w:cs="Times New Roman"/>
                <w:sz w:val="28"/>
                <w:szCs w:val="28"/>
                <w:lang w:eastAsia="en-US"/>
              </w:rPr>
            </w:pPr>
            <w:r>
              <w:rPr>
                <w:rFonts w:cs="Times New Roman"/>
                <w:sz w:val="28"/>
                <w:szCs w:val="28"/>
              </w:rPr>
              <w:t xml:space="preserve">           27 </w:t>
            </w:r>
          </w:p>
          <w:p w14:paraId="6D802A9D" w14:textId="0F4351E1" w:rsidR="0084146C" w:rsidRPr="00FC17F1" w:rsidRDefault="0084146C" w:rsidP="00FC17F1">
            <w:pPr>
              <w:spacing w:line="360" w:lineRule="auto"/>
              <w:jc w:val="center"/>
              <w:rPr>
                <w:rFonts w:cs="Times New Roman"/>
                <w:sz w:val="28"/>
                <w:szCs w:val="28"/>
              </w:rPr>
            </w:pPr>
            <w:r>
              <w:rPr>
                <w:rFonts w:cs="Times New Roman"/>
                <w:sz w:val="28"/>
                <w:szCs w:val="28"/>
              </w:rPr>
              <w:t>3</w:t>
            </w:r>
            <w:r w:rsidR="004B64E7">
              <w:rPr>
                <w:rFonts w:cs="Times New Roman"/>
                <w:sz w:val="28"/>
                <w:szCs w:val="28"/>
              </w:rPr>
              <w:t>4</w:t>
            </w:r>
          </w:p>
        </w:tc>
      </w:tr>
      <w:tr w:rsidR="006D3A7D" w:rsidRPr="00C37B4D" w14:paraId="5877C80F" w14:textId="77777777" w:rsidTr="004B35C1">
        <w:trPr>
          <w:trHeight w:val="770"/>
        </w:trPr>
        <w:tc>
          <w:tcPr>
            <w:tcW w:w="6498" w:type="dxa"/>
          </w:tcPr>
          <w:p w14:paraId="0B17C966" w14:textId="2B8681AF" w:rsidR="006D3A7D" w:rsidRPr="00FC17F1" w:rsidRDefault="006D3A7D" w:rsidP="00837ACE">
            <w:pPr>
              <w:spacing w:line="360" w:lineRule="auto"/>
              <w:rPr>
                <w:rFonts w:cs="Times New Roman"/>
                <w:sz w:val="28"/>
                <w:szCs w:val="28"/>
              </w:rPr>
            </w:pPr>
            <w:r w:rsidRPr="00FC17F1">
              <w:rPr>
                <w:rFonts w:cs="Times New Roman"/>
                <w:sz w:val="28"/>
                <w:szCs w:val="28"/>
              </w:rPr>
              <w:t>Question 10</w:t>
            </w:r>
          </w:p>
        </w:tc>
        <w:tc>
          <w:tcPr>
            <w:tcW w:w="2018" w:type="dxa"/>
          </w:tcPr>
          <w:p w14:paraId="2A96062D" w14:textId="6A5473CE" w:rsidR="006D3A7D" w:rsidRPr="00FC17F1" w:rsidRDefault="00CF52C5" w:rsidP="008B7AD4">
            <w:pPr>
              <w:spacing w:line="360" w:lineRule="auto"/>
              <w:jc w:val="center"/>
              <w:rPr>
                <w:rFonts w:cs="Times New Roman"/>
                <w:sz w:val="28"/>
                <w:szCs w:val="28"/>
              </w:rPr>
            </w:pPr>
            <w:r>
              <w:rPr>
                <w:rFonts w:cs="Times New Roman"/>
                <w:sz w:val="28"/>
                <w:szCs w:val="28"/>
              </w:rPr>
              <w:t>3</w:t>
            </w:r>
            <w:r w:rsidR="008B7AD4">
              <w:rPr>
                <w:rFonts w:cs="Times New Roman"/>
                <w:sz w:val="28"/>
                <w:szCs w:val="28"/>
              </w:rPr>
              <w:t>9</w:t>
            </w:r>
          </w:p>
        </w:tc>
      </w:tr>
      <w:tr w:rsidR="006D3A7D" w:rsidRPr="00C37B4D" w14:paraId="2F203939" w14:textId="77777777" w:rsidTr="004B35C1">
        <w:trPr>
          <w:trHeight w:val="770"/>
        </w:trPr>
        <w:tc>
          <w:tcPr>
            <w:tcW w:w="6498" w:type="dxa"/>
          </w:tcPr>
          <w:p w14:paraId="56CD91FF" w14:textId="569570C0" w:rsidR="006D3A7D" w:rsidRPr="00FC17F1" w:rsidRDefault="0084146C" w:rsidP="00837ACE">
            <w:pPr>
              <w:spacing w:line="360" w:lineRule="auto"/>
              <w:rPr>
                <w:rFonts w:cs="Times New Roman"/>
                <w:sz w:val="28"/>
                <w:szCs w:val="28"/>
              </w:rPr>
            </w:pPr>
            <w:r>
              <w:rPr>
                <w:rFonts w:cs="Times New Roman"/>
                <w:sz w:val="28"/>
                <w:szCs w:val="28"/>
              </w:rPr>
              <w:t>Question 11</w:t>
            </w:r>
          </w:p>
        </w:tc>
        <w:tc>
          <w:tcPr>
            <w:tcW w:w="2018" w:type="dxa"/>
          </w:tcPr>
          <w:p w14:paraId="2766D5AE" w14:textId="3E13635F" w:rsidR="006D3A7D" w:rsidRPr="00FC17F1" w:rsidRDefault="00AD38D2" w:rsidP="00DA2390">
            <w:pPr>
              <w:spacing w:line="360" w:lineRule="auto"/>
              <w:rPr>
                <w:rFonts w:cs="Times New Roman"/>
                <w:sz w:val="28"/>
                <w:szCs w:val="28"/>
                <w:lang w:eastAsia="en-US"/>
              </w:rPr>
            </w:pPr>
            <w:r>
              <w:rPr>
                <w:rFonts w:cs="Times New Roman"/>
                <w:sz w:val="28"/>
                <w:szCs w:val="28"/>
              </w:rPr>
              <w:t>Omitted</w:t>
            </w:r>
          </w:p>
        </w:tc>
      </w:tr>
      <w:tr w:rsidR="006D3A7D" w:rsidRPr="00C37B4D" w14:paraId="5AA0D17C" w14:textId="77777777" w:rsidTr="004B35C1">
        <w:trPr>
          <w:trHeight w:val="770"/>
        </w:trPr>
        <w:tc>
          <w:tcPr>
            <w:tcW w:w="6498" w:type="dxa"/>
          </w:tcPr>
          <w:p w14:paraId="023FFE5A" w14:textId="7E382155" w:rsidR="006D3A7D" w:rsidRPr="00FC17F1" w:rsidRDefault="006D3A7D" w:rsidP="00837ACE">
            <w:pPr>
              <w:spacing w:line="360" w:lineRule="auto"/>
              <w:rPr>
                <w:rFonts w:cs="Times New Roman"/>
                <w:sz w:val="28"/>
                <w:szCs w:val="28"/>
              </w:rPr>
            </w:pPr>
            <w:r w:rsidRPr="00FC17F1">
              <w:rPr>
                <w:rFonts w:cs="Times New Roman"/>
                <w:sz w:val="28"/>
                <w:szCs w:val="28"/>
              </w:rPr>
              <w:t>Question 12</w:t>
            </w:r>
          </w:p>
        </w:tc>
        <w:tc>
          <w:tcPr>
            <w:tcW w:w="2018" w:type="dxa"/>
          </w:tcPr>
          <w:p w14:paraId="6C0D7079" w14:textId="7CD1C3C5" w:rsidR="006D3A7D" w:rsidRPr="00FC17F1" w:rsidRDefault="00CF52C5" w:rsidP="004B64E7">
            <w:pPr>
              <w:spacing w:line="360" w:lineRule="auto"/>
              <w:jc w:val="center"/>
              <w:rPr>
                <w:rFonts w:cs="Times New Roman"/>
                <w:sz w:val="28"/>
                <w:szCs w:val="28"/>
              </w:rPr>
            </w:pPr>
            <w:r>
              <w:rPr>
                <w:rFonts w:cs="Times New Roman"/>
                <w:sz w:val="28"/>
                <w:szCs w:val="28"/>
              </w:rPr>
              <w:t>4</w:t>
            </w:r>
            <w:r w:rsidR="004B64E7">
              <w:rPr>
                <w:rFonts w:cs="Times New Roman"/>
                <w:sz w:val="28"/>
                <w:szCs w:val="28"/>
              </w:rPr>
              <w:t>4</w:t>
            </w:r>
          </w:p>
        </w:tc>
      </w:tr>
      <w:tr w:rsidR="006D3A7D" w:rsidRPr="00C37B4D" w14:paraId="7254F2E6" w14:textId="77777777" w:rsidTr="004B35C1">
        <w:trPr>
          <w:trHeight w:val="770"/>
        </w:trPr>
        <w:tc>
          <w:tcPr>
            <w:tcW w:w="6498" w:type="dxa"/>
          </w:tcPr>
          <w:p w14:paraId="669178CE" w14:textId="4A63ABB2" w:rsidR="006D3A7D" w:rsidRPr="00FC17F1" w:rsidRDefault="006D3A7D" w:rsidP="00837ACE">
            <w:pPr>
              <w:spacing w:line="360" w:lineRule="auto"/>
              <w:rPr>
                <w:rFonts w:cs="Times New Roman"/>
                <w:sz w:val="28"/>
                <w:szCs w:val="28"/>
              </w:rPr>
            </w:pPr>
            <w:r w:rsidRPr="00FC17F1">
              <w:rPr>
                <w:rFonts w:cs="Times New Roman"/>
                <w:sz w:val="28"/>
                <w:szCs w:val="28"/>
              </w:rPr>
              <w:t>Question 13</w:t>
            </w:r>
          </w:p>
        </w:tc>
        <w:tc>
          <w:tcPr>
            <w:tcW w:w="2018" w:type="dxa"/>
          </w:tcPr>
          <w:p w14:paraId="75D47337" w14:textId="22AAD2D6" w:rsidR="006D3A7D" w:rsidRPr="00FC17F1" w:rsidRDefault="00CF52C5" w:rsidP="004B64E7">
            <w:pPr>
              <w:spacing w:line="360" w:lineRule="auto"/>
              <w:jc w:val="center"/>
              <w:rPr>
                <w:rFonts w:cs="Times New Roman"/>
                <w:sz w:val="28"/>
                <w:szCs w:val="28"/>
              </w:rPr>
            </w:pPr>
            <w:r>
              <w:rPr>
                <w:rFonts w:cs="Times New Roman"/>
                <w:sz w:val="28"/>
                <w:szCs w:val="28"/>
              </w:rPr>
              <w:t>4</w:t>
            </w:r>
            <w:r w:rsidR="004B64E7">
              <w:rPr>
                <w:rFonts w:cs="Times New Roman"/>
                <w:sz w:val="28"/>
                <w:szCs w:val="28"/>
              </w:rPr>
              <w:t>5</w:t>
            </w:r>
          </w:p>
        </w:tc>
      </w:tr>
      <w:tr w:rsidR="006D3A7D" w:rsidRPr="00C37B4D" w14:paraId="412CE5CE" w14:textId="77777777" w:rsidTr="004B35C1">
        <w:trPr>
          <w:trHeight w:val="770"/>
        </w:trPr>
        <w:tc>
          <w:tcPr>
            <w:tcW w:w="6498" w:type="dxa"/>
          </w:tcPr>
          <w:p w14:paraId="3FF74D60" w14:textId="6CBEA234" w:rsidR="006D3A7D" w:rsidRPr="00FC17F1" w:rsidRDefault="006D3A7D" w:rsidP="00837ACE">
            <w:pPr>
              <w:spacing w:line="360" w:lineRule="auto"/>
              <w:rPr>
                <w:rFonts w:cs="Times New Roman"/>
                <w:sz w:val="28"/>
                <w:szCs w:val="28"/>
              </w:rPr>
            </w:pPr>
            <w:r w:rsidRPr="00FC17F1">
              <w:rPr>
                <w:rFonts w:cs="Times New Roman"/>
                <w:sz w:val="28"/>
                <w:szCs w:val="28"/>
              </w:rPr>
              <w:lastRenderedPageBreak/>
              <w:t>Question 14</w:t>
            </w:r>
          </w:p>
        </w:tc>
        <w:tc>
          <w:tcPr>
            <w:tcW w:w="2018" w:type="dxa"/>
          </w:tcPr>
          <w:p w14:paraId="0D604467" w14:textId="2318C502" w:rsidR="006D3A7D" w:rsidRPr="00FC17F1" w:rsidRDefault="00CF52C5" w:rsidP="004B64E7">
            <w:pPr>
              <w:spacing w:line="360" w:lineRule="auto"/>
              <w:jc w:val="center"/>
              <w:rPr>
                <w:rFonts w:cs="Times New Roman"/>
                <w:sz w:val="28"/>
                <w:szCs w:val="28"/>
              </w:rPr>
            </w:pPr>
            <w:r>
              <w:rPr>
                <w:rFonts w:cs="Times New Roman"/>
                <w:sz w:val="28"/>
                <w:szCs w:val="28"/>
              </w:rPr>
              <w:t>4</w:t>
            </w:r>
            <w:r w:rsidR="004B64E7">
              <w:rPr>
                <w:rFonts w:cs="Times New Roman"/>
                <w:sz w:val="28"/>
                <w:szCs w:val="28"/>
              </w:rPr>
              <w:t>5</w:t>
            </w:r>
          </w:p>
        </w:tc>
      </w:tr>
      <w:tr w:rsidR="006D3A7D" w:rsidRPr="00C37B4D" w14:paraId="0F01AE6D" w14:textId="77777777" w:rsidTr="004B35C1">
        <w:trPr>
          <w:trHeight w:val="770"/>
        </w:trPr>
        <w:tc>
          <w:tcPr>
            <w:tcW w:w="6498" w:type="dxa"/>
          </w:tcPr>
          <w:p w14:paraId="7278E720" w14:textId="68619D39" w:rsidR="006D3A7D" w:rsidRPr="00FC17F1" w:rsidRDefault="006D3A7D" w:rsidP="00837ACE">
            <w:pPr>
              <w:spacing w:line="360" w:lineRule="auto"/>
              <w:rPr>
                <w:rFonts w:cs="Times New Roman"/>
                <w:sz w:val="28"/>
                <w:szCs w:val="28"/>
              </w:rPr>
            </w:pPr>
            <w:r w:rsidRPr="00FC17F1">
              <w:rPr>
                <w:rFonts w:cs="Times New Roman"/>
                <w:sz w:val="28"/>
                <w:szCs w:val="28"/>
              </w:rPr>
              <w:t>Question 15</w:t>
            </w:r>
          </w:p>
        </w:tc>
        <w:tc>
          <w:tcPr>
            <w:tcW w:w="2018" w:type="dxa"/>
          </w:tcPr>
          <w:p w14:paraId="2347A7EB" w14:textId="3379FDFB" w:rsidR="006D3A7D" w:rsidRPr="00FC17F1" w:rsidRDefault="00CF52C5" w:rsidP="004B64E7">
            <w:pPr>
              <w:spacing w:line="360" w:lineRule="auto"/>
              <w:jc w:val="center"/>
              <w:rPr>
                <w:rFonts w:cs="Times New Roman"/>
                <w:sz w:val="28"/>
                <w:szCs w:val="28"/>
              </w:rPr>
            </w:pPr>
            <w:r>
              <w:rPr>
                <w:rFonts w:cs="Times New Roman"/>
                <w:sz w:val="28"/>
                <w:szCs w:val="28"/>
              </w:rPr>
              <w:t>4</w:t>
            </w:r>
            <w:r w:rsidR="004B64E7">
              <w:rPr>
                <w:rFonts w:cs="Times New Roman"/>
                <w:sz w:val="28"/>
                <w:szCs w:val="28"/>
              </w:rPr>
              <w:t>5</w:t>
            </w:r>
          </w:p>
        </w:tc>
      </w:tr>
      <w:tr w:rsidR="006D3A7D" w:rsidRPr="00C37B4D" w14:paraId="45E87359" w14:textId="77777777" w:rsidTr="004B35C1">
        <w:trPr>
          <w:trHeight w:val="770"/>
        </w:trPr>
        <w:tc>
          <w:tcPr>
            <w:tcW w:w="6498" w:type="dxa"/>
          </w:tcPr>
          <w:p w14:paraId="4E8D4D16" w14:textId="03D98920" w:rsidR="006D3A7D" w:rsidRPr="00FC17F1" w:rsidRDefault="006D3A7D" w:rsidP="00837ACE">
            <w:pPr>
              <w:spacing w:line="360" w:lineRule="auto"/>
              <w:rPr>
                <w:rFonts w:cs="Times New Roman"/>
                <w:sz w:val="28"/>
                <w:szCs w:val="28"/>
              </w:rPr>
            </w:pPr>
            <w:r w:rsidRPr="00FC17F1">
              <w:rPr>
                <w:rFonts w:cs="Times New Roman"/>
                <w:sz w:val="28"/>
                <w:szCs w:val="28"/>
              </w:rPr>
              <w:t>Question 16</w:t>
            </w:r>
          </w:p>
        </w:tc>
        <w:tc>
          <w:tcPr>
            <w:tcW w:w="2018" w:type="dxa"/>
          </w:tcPr>
          <w:p w14:paraId="1DD31565" w14:textId="366445F3" w:rsidR="006D3A7D" w:rsidRPr="00FC17F1" w:rsidRDefault="00CF52C5" w:rsidP="004B64E7">
            <w:pPr>
              <w:spacing w:line="360" w:lineRule="auto"/>
              <w:jc w:val="center"/>
              <w:rPr>
                <w:rFonts w:cs="Times New Roman"/>
                <w:sz w:val="28"/>
                <w:szCs w:val="28"/>
              </w:rPr>
            </w:pPr>
            <w:r>
              <w:rPr>
                <w:rFonts w:cs="Times New Roman"/>
                <w:sz w:val="28"/>
                <w:szCs w:val="28"/>
              </w:rPr>
              <w:t>4</w:t>
            </w:r>
            <w:r w:rsidR="004B64E7">
              <w:rPr>
                <w:rFonts w:cs="Times New Roman"/>
                <w:sz w:val="28"/>
                <w:szCs w:val="28"/>
              </w:rPr>
              <w:t>6</w:t>
            </w:r>
          </w:p>
        </w:tc>
      </w:tr>
      <w:tr w:rsidR="006D3A7D" w:rsidRPr="00C37B4D" w14:paraId="650E2D19" w14:textId="77777777" w:rsidTr="004B35C1">
        <w:trPr>
          <w:trHeight w:val="770"/>
        </w:trPr>
        <w:tc>
          <w:tcPr>
            <w:tcW w:w="6498" w:type="dxa"/>
          </w:tcPr>
          <w:p w14:paraId="019DE4E5" w14:textId="4B6E35F0" w:rsidR="006D3A7D" w:rsidRPr="00FC17F1" w:rsidRDefault="006D3A7D" w:rsidP="00837ACE">
            <w:pPr>
              <w:spacing w:line="360" w:lineRule="auto"/>
              <w:rPr>
                <w:rFonts w:cs="Times New Roman"/>
                <w:sz w:val="28"/>
                <w:szCs w:val="28"/>
              </w:rPr>
            </w:pPr>
            <w:r w:rsidRPr="00FC17F1">
              <w:rPr>
                <w:rFonts w:cs="Times New Roman"/>
                <w:sz w:val="28"/>
                <w:szCs w:val="28"/>
              </w:rPr>
              <w:t>Question 17</w:t>
            </w:r>
          </w:p>
        </w:tc>
        <w:tc>
          <w:tcPr>
            <w:tcW w:w="2018" w:type="dxa"/>
          </w:tcPr>
          <w:p w14:paraId="2162C437" w14:textId="00FCA59F" w:rsidR="006D3A7D" w:rsidRPr="00FC17F1" w:rsidRDefault="00CF52C5" w:rsidP="004B64E7">
            <w:pPr>
              <w:spacing w:line="360" w:lineRule="auto"/>
              <w:jc w:val="center"/>
              <w:rPr>
                <w:rFonts w:cs="Times New Roman"/>
                <w:sz w:val="28"/>
                <w:szCs w:val="28"/>
              </w:rPr>
            </w:pPr>
            <w:r>
              <w:rPr>
                <w:rFonts w:cs="Times New Roman"/>
                <w:sz w:val="28"/>
                <w:szCs w:val="28"/>
              </w:rPr>
              <w:t>4</w:t>
            </w:r>
            <w:r w:rsidR="004B64E7">
              <w:rPr>
                <w:rFonts w:cs="Times New Roman"/>
                <w:sz w:val="28"/>
                <w:szCs w:val="28"/>
              </w:rPr>
              <w:t>6</w:t>
            </w:r>
          </w:p>
        </w:tc>
      </w:tr>
      <w:tr w:rsidR="006D3A7D" w:rsidRPr="00C37B4D" w14:paraId="3066381B" w14:textId="77777777" w:rsidTr="004B35C1">
        <w:trPr>
          <w:trHeight w:val="770"/>
        </w:trPr>
        <w:tc>
          <w:tcPr>
            <w:tcW w:w="6498" w:type="dxa"/>
          </w:tcPr>
          <w:p w14:paraId="0F5D6F9C" w14:textId="5E18238F" w:rsidR="006D3A7D" w:rsidRPr="00FC17F1" w:rsidRDefault="006D3A7D" w:rsidP="00837ACE">
            <w:pPr>
              <w:spacing w:line="360" w:lineRule="auto"/>
              <w:rPr>
                <w:rFonts w:cs="Times New Roman"/>
                <w:sz w:val="28"/>
                <w:szCs w:val="28"/>
              </w:rPr>
            </w:pPr>
            <w:r w:rsidRPr="00FC17F1">
              <w:rPr>
                <w:rFonts w:cs="Times New Roman"/>
                <w:sz w:val="28"/>
                <w:szCs w:val="28"/>
              </w:rPr>
              <w:t>Question 18</w:t>
            </w:r>
          </w:p>
        </w:tc>
        <w:tc>
          <w:tcPr>
            <w:tcW w:w="2018" w:type="dxa"/>
          </w:tcPr>
          <w:p w14:paraId="0E8F741D" w14:textId="487FC5C2" w:rsidR="006D3A7D" w:rsidRPr="00FC17F1" w:rsidRDefault="004B64E7" w:rsidP="00FC17F1">
            <w:pPr>
              <w:spacing w:line="360" w:lineRule="auto"/>
              <w:jc w:val="center"/>
              <w:rPr>
                <w:rFonts w:cs="Times New Roman"/>
                <w:sz w:val="28"/>
                <w:szCs w:val="28"/>
              </w:rPr>
            </w:pPr>
            <w:r>
              <w:rPr>
                <w:rFonts w:cs="Times New Roman"/>
                <w:sz w:val="28"/>
                <w:szCs w:val="28"/>
              </w:rPr>
              <w:t>60</w:t>
            </w:r>
          </w:p>
        </w:tc>
      </w:tr>
      <w:tr w:rsidR="006D3A7D" w:rsidRPr="00C37B4D" w14:paraId="0A509180" w14:textId="77777777" w:rsidTr="004B35C1">
        <w:trPr>
          <w:trHeight w:val="770"/>
        </w:trPr>
        <w:tc>
          <w:tcPr>
            <w:tcW w:w="6498" w:type="dxa"/>
          </w:tcPr>
          <w:p w14:paraId="7FDC5709" w14:textId="2D1AA332" w:rsidR="006D3A7D" w:rsidRPr="00FC17F1" w:rsidRDefault="006D3A7D" w:rsidP="00FC17F1">
            <w:pPr>
              <w:spacing w:line="360" w:lineRule="auto"/>
              <w:rPr>
                <w:rFonts w:cs="Times New Roman"/>
                <w:sz w:val="28"/>
                <w:szCs w:val="28"/>
              </w:rPr>
            </w:pPr>
            <w:r w:rsidRPr="00FC17F1">
              <w:rPr>
                <w:rFonts w:cs="Times New Roman"/>
                <w:sz w:val="28"/>
                <w:szCs w:val="28"/>
              </w:rPr>
              <w:t>Question 19</w:t>
            </w:r>
          </w:p>
        </w:tc>
        <w:tc>
          <w:tcPr>
            <w:tcW w:w="2018" w:type="dxa"/>
          </w:tcPr>
          <w:p w14:paraId="4303F812" w14:textId="6F0FD33B" w:rsidR="006D3A7D" w:rsidRPr="00FC17F1" w:rsidRDefault="00CF52C5" w:rsidP="004B64E7">
            <w:pPr>
              <w:spacing w:line="360" w:lineRule="auto"/>
              <w:jc w:val="center"/>
              <w:rPr>
                <w:rFonts w:cs="Times New Roman"/>
                <w:sz w:val="28"/>
                <w:szCs w:val="28"/>
              </w:rPr>
            </w:pPr>
            <w:r>
              <w:rPr>
                <w:rFonts w:cs="Times New Roman"/>
                <w:sz w:val="28"/>
                <w:szCs w:val="28"/>
              </w:rPr>
              <w:t>6</w:t>
            </w:r>
            <w:r w:rsidR="004B64E7">
              <w:rPr>
                <w:rFonts w:cs="Times New Roman"/>
                <w:sz w:val="28"/>
                <w:szCs w:val="28"/>
              </w:rPr>
              <w:t>1</w:t>
            </w:r>
          </w:p>
        </w:tc>
      </w:tr>
      <w:tr w:rsidR="006D3A7D" w:rsidRPr="00C37B4D" w14:paraId="53004666" w14:textId="77777777" w:rsidTr="004B35C1">
        <w:trPr>
          <w:trHeight w:val="770"/>
        </w:trPr>
        <w:tc>
          <w:tcPr>
            <w:tcW w:w="6498" w:type="dxa"/>
          </w:tcPr>
          <w:p w14:paraId="4FEA8F80" w14:textId="5F1909F3" w:rsidR="006D3A7D" w:rsidRPr="00FC17F1" w:rsidRDefault="006D3A7D" w:rsidP="00837ACE">
            <w:pPr>
              <w:spacing w:line="360" w:lineRule="auto"/>
              <w:rPr>
                <w:rFonts w:cs="Times New Roman"/>
                <w:sz w:val="28"/>
                <w:szCs w:val="28"/>
              </w:rPr>
            </w:pPr>
            <w:r w:rsidRPr="00FC17F1">
              <w:rPr>
                <w:rFonts w:cs="Times New Roman"/>
                <w:sz w:val="28"/>
                <w:szCs w:val="28"/>
              </w:rPr>
              <w:t>Question 20</w:t>
            </w:r>
          </w:p>
        </w:tc>
        <w:tc>
          <w:tcPr>
            <w:tcW w:w="2018" w:type="dxa"/>
          </w:tcPr>
          <w:p w14:paraId="748FFD96" w14:textId="7EFE4749" w:rsidR="006D3A7D" w:rsidRPr="00FC17F1" w:rsidRDefault="00CF52C5" w:rsidP="004B64E7">
            <w:pPr>
              <w:spacing w:line="360" w:lineRule="auto"/>
              <w:jc w:val="center"/>
              <w:rPr>
                <w:rFonts w:cs="Times New Roman"/>
                <w:sz w:val="28"/>
                <w:szCs w:val="28"/>
              </w:rPr>
            </w:pPr>
            <w:r>
              <w:rPr>
                <w:rFonts w:cs="Times New Roman"/>
                <w:sz w:val="28"/>
                <w:szCs w:val="28"/>
              </w:rPr>
              <w:t>6</w:t>
            </w:r>
            <w:r w:rsidR="004B64E7">
              <w:rPr>
                <w:rFonts w:cs="Times New Roman"/>
                <w:sz w:val="28"/>
                <w:szCs w:val="28"/>
              </w:rPr>
              <w:t>4</w:t>
            </w:r>
          </w:p>
        </w:tc>
      </w:tr>
      <w:tr w:rsidR="006D3A7D" w:rsidRPr="00C37B4D" w14:paraId="3D39BECC" w14:textId="77777777" w:rsidTr="004B35C1">
        <w:trPr>
          <w:trHeight w:val="770"/>
        </w:trPr>
        <w:tc>
          <w:tcPr>
            <w:tcW w:w="6498" w:type="dxa"/>
          </w:tcPr>
          <w:p w14:paraId="4C9987E7" w14:textId="5E9FA9C9" w:rsidR="006D3A7D" w:rsidRPr="00FC17F1" w:rsidRDefault="006D3A7D" w:rsidP="00837ACE">
            <w:pPr>
              <w:spacing w:line="360" w:lineRule="auto"/>
              <w:rPr>
                <w:rFonts w:cs="Times New Roman"/>
                <w:sz w:val="28"/>
                <w:szCs w:val="28"/>
              </w:rPr>
            </w:pPr>
            <w:r w:rsidRPr="00FC17F1">
              <w:rPr>
                <w:rFonts w:cs="Times New Roman"/>
                <w:sz w:val="28"/>
                <w:szCs w:val="28"/>
              </w:rPr>
              <w:t>Question 21</w:t>
            </w:r>
          </w:p>
        </w:tc>
        <w:tc>
          <w:tcPr>
            <w:tcW w:w="2018" w:type="dxa"/>
          </w:tcPr>
          <w:p w14:paraId="38FF8262" w14:textId="6A23D306" w:rsidR="006D3A7D" w:rsidRPr="00FC17F1" w:rsidRDefault="00CF52C5" w:rsidP="004B64E7">
            <w:pPr>
              <w:spacing w:line="360" w:lineRule="auto"/>
              <w:jc w:val="center"/>
              <w:rPr>
                <w:rFonts w:cs="Times New Roman"/>
                <w:sz w:val="28"/>
                <w:szCs w:val="28"/>
              </w:rPr>
            </w:pPr>
            <w:r>
              <w:rPr>
                <w:rFonts w:cs="Times New Roman"/>
                <w:sz w:val="28"/>
                <w:szCs w:val="28"/>
              </w:rPr>
              <w:t>6</w:t>
            </w:r>
            <w:r w:rsidR="004B64E7">
              <w:rPr>
                <w:rFonts w:cs="Times New Roman"/>
                <w:sz w:val="28"/>
                <w:szCs w:val="28"/>
              </w:rPr>
              <w:t>5</w:t>
            </w:r>
          </w:p>
        </w:tc>
      </w:tr>
      <w:tr w:rsidR="006D3A7D" w:rsidRPr="00C37B4D" w14:paraId="3EA5E850" w14:textId="77777777" w:rsidTr="004B35C1">
        <w:trPr>
          <w:trHeight w:val="770"/>
        </w:trPr>
        <w:tc>
          <w:tcPr>
            <w:tcW w:w="6498" w:type="dxa"/>
          </w:tcPr>
          <w:p w14:paraId="6B595FBD" w14:textId="2E415D30" w:rsidR="006D3A7D" w:rsidRPr="00FC17F1" w:rsidRDefault="006D3A7D" w:rsidP="00837ACE">
            <w:pPr>
              <w:spacing w:line="360" w:lineRule="auto"/>
              <w:rPr>
                <w:rFonts w:cs="Times New Roman"/>
                <w:sz w:val="28"/>
                <w:szCs w:val="28"/>
              </w:rPr>
            </w:pPr>
            <w:r w:rsidRPr="00FC17F1">
              <w:rPr>
                <w:rFonts w:cs="Times New Roman"/>
                <w:sz w:val="28"/>
                <w:szCs w:val="28"/>
              </w:rPr>
              <w:t>Question 22</w:t>
            </w:r>
          </w:p>
        </w:tc>
        <w:tc>
          <w:tcPr>
            <w:tcW w:w="2018" w:type="dxa"/>
          </w:tcPr>
          <w:p w14:paraId="5EBAC860" w14:textId="3128E8D5" w:rsidR="006D3A7D" w:rsidRPr="00FC17F1" w:rsidRDefault="00CF52C5" w:rsidP="004B64E7">
            <w:pPr>
              <w:spacing w:line="360" w:lineRule="auto"/>
              <w:jc w:val="center"/>
              <w:rPr>
                <w:rFonts w:cs="Times New Roman"/>
                <w:sz w:val="28"/>
                <w:szCs w:val="28"/>
              </w:rPr>
            </w:pPr>
            <w:r>
              <w:rPr>
                <w:rFonts w:cs="Times New Roman"/>
                <w:sz w:val="28"/>
                <w:szCs w:val="28"/>
              </w:rPr>
              <w:t>6</w:t>
            </w:r>
            <w:r w:rsidR="004B64E7">
              <w:rPr>
                <w:rFonts w:cs="Times New Roman"/>
                <w:sz w:val="28"/>
                <w:szCs w:val="28"/>
              </w:rPr>
              <w:t>8</w:t>
            </w:r>
          </w:p>
        </w:tc>
      </w:tr>
      <w:tr w:rsidR="006D3A7D" w:rsidRPr="00C37B4D" w14:paraId="5F3DB4FB" w14:textId="77777777" w:rsidTr="004B35C1">
        <w:trPr>
          <w:trHeight w:val="770"/>
        </w:trPr>
        <w:tc>
          <w:tcPr>
            <w:tcW w:w="6498" w:type="dxa"/>
          </w:tcPr>
          <w:p w14:paraId="7DCE0BF1" w14:textId="1CA0B3C3" w:rsidR="006D3A7D" w:rsidRPr="00FC17F1" w:rsidRDefault="006D3A7D" w:rsidP="00837ACE">
            <w:pPr>
              <w:spacing w:line="360" w:lineRule="auto"/>
              <w:rPr>
                <w:rFonts w:cs="Times New Roman"/>
                <w:sz w:val="28"/>
                <w:szCs w:val="28"/>
              </w:rPr>
            </w:pPr>
            <w:r w:rsidRPr="00FC17F1">
              <w:rPr>
                <w:rFonts w:cs="Times New Roman"/>
                <w:sz w:val="28"/>
                <w:szCs w:val="28"/>
              </w:rPr>
              <w:t>Question 23</w:t>
            </w:r>
          </w:p>
        </w:tc>
        <w:tc>
          <w:tcPr>
            <w:tcW w:w="2018" w:type="dxa"/>
          </w:tcPr>
          <w:p w14:paraId="64AD164F" w14:textId="020E8544" w:rsidR="006D3A7D" w:rsidRPr="00FC17F1" w:rsidRDefault="00CF52C5" w:rsidP="004B64E7">
            <w:pPr>
              <w:spacing w:line="360" w:lineRule="auto"/>
              <w:jc w:val="center"/>
              <w:rPr>
                <w:rFonts w:cs="Times New Roman"/>
                <w:sz w:val="28"/>
                <w:szCs w:val="28"/>
              </w:rPr>
            </w:pPr>
            <w:r>
              <w:rPr>
                <w:rFonts w:cs="Times New Roman"/>
                <w:sz w:val="28"/>
                <w:szCs w:val="28"/>
              </w:rPr>
              <w:t>6</w:t>
            </w:r>
            <w:r w:rsidR="004B64E7">
              <w:rPr>
                <w:rFonts w:cs="Times New Roman"/>
                <w:sz w:val="28"/>
                <w:szCs w:val="28"/>
              </w:rPr>
              <w:t>8</w:t>
            </w:r>
          </w:p>
        </w:tc>
      </w:tr>
      <w:tr w:rsidR="006D3A7D" w:rsidRPr="00C37B4D" w14:paraId="521E65BC" w14:textId="77777777" w:rsidTr="004B35C1">
        <w:trPr>
          <w:trHeight w:val="770"/>
        </w:trPr>
        <w:tc>
          <w:tcPr>
            <w:tcW w:w="6498" w:type="dxa"/>
          </w:tcPr>
          <w:p w14:paraId="5D54EAAE" w14:textId="5C1CF197" w:rsidR="006D3A7D" w:rsidRPr="00FC17F1" w:rsidRDefault="006D3A7D" w:rsidP="00837ACE">
            <w:pPr>
              <w:spacing w:line="360" w:lineRule="auto"/>
              <w:rPr>
                <w:rFonts w:cs="Times New Roman"/>
                <w:sz w:val="28"/>
                <w:szCs w:val="28"/>
              </w:rPr>
            </w:pPr>
            <w:r w:rsidRPr="00FC17F1">
              <w:rPr>
                <w:rFonts w:cs="Times New Roman"/>
                <w:sz w:val="28"/>
                <w:szCs w:val="28"/>
              </w:rPr>
              <w:t>Question 24</w:t>
            </w:r>
          </w:p>
        </w:tc>
        <w:tc>
          <w:tcPr>
            <w:tcW w:w="2018" w:type="dxa"/>
          </w:tcPr>
          <w:p w14:paraId="1DBC0BD3" w14:textId="65C05AD2" w:rsidR="006D3A7D" w:rsidRPr="00FC17F1" w:rsidRDefault="00CF52C5" w:rsidP="004B64E7">
            <w:pPr>
              <w:spacing w:line="360" w:lineRule="auto"/>
              <w:jc w:val="center"/>
              <w:rPr>
                <w:rFonts w:cs="Times New Roman"/>
                <w:sz w:val="28"/>
                <w:szCs w:val="28"/>
              </w:rPr>
            </w:pPr>
            <w:r>
              <w:rPr>
                <w:rFonts w:cs="Times New Roman"/>
                <w:sz w:val="28"/>
                <w:szCs w:val="28"/>
              </w:rPr>
              <w:t>7</w:t>
            </w:r>
            <w:r w:rsidR="004B64E7">
              <w:rPr>
                <w:rFonts w:cs="Times New Roman"/>
                <w:sz w:val="28"/>
                <w:szCs w:val="28"/>
              </w:rPr>
              <w:t>8</w:t>
            </w:r>
          </w:p>
        </w:tc>
      </w:tr>
      <w:tr w:rsidR="006D3A7D" w:rsidRPr="00C37B4D" w14:paraId="1553C102" w14:textId="77777777" w:rsidTr="004B35C1">
        <w:trPr>
          <w:trHeight w:val="770"/>
        </w:trPr>
        <w:tc>
          <w:tcPr>
            <w:tcW w:w="6498" w:type="dxa"/>
          </w:tcPr>
          <w:p w14:paraId="7331AD18" w14:textId="4CBD0F85" w:rsidR="006D3A7D" w:rsidRPr="00FC17F1" w:rsidRDefault="00936EB2" w:rsidP="00837ACE">
            <w:pPr>
              <w:spacing w:line="360" w:lineRule="auto"/>
              <w:rPr>
                <w:rFonts w:cs="Times New Roman"/>
                <w:sz w:val="28"/>
                <w:szCs w:val="28"/>
              </w:rPr>
            </w:pPr>
            <w:r w:rsidRPr="00FC17F1">
              <w:rPr>
                <w:rFonts w:cs="Times New Roman"/>
                <w:sz w:val="28"/>
                <w:szCs w:val="28"/>
              </w:rPr>
              <w:t>Part C:</w:t>
            </w:r>
          </w:p>
        </w:tc>
        <w:tc>
          <w:tcPr>
            <w:tcW w:w="2018" w:type="dxa"/>
          </w:tcPr>
          <w:p w14:paraId="53CA5CB7" w14:textId="1AEFA83C" w:rsidR="006D3A7D" w:rsidRPr="00FC17F1" w:rsidRDefault="00CF52C5" w:rsidP="004B64E7">
            <w:pPr>
              <w:spacing w:line="360" w:lineRule="auto"/>
              <w:jc w:val="center"/>
              <w:rPr>
                <w:rFonts w:cs="Times New Roman"/>
                <w:sz w:val="28"/>
                <w:szCs w:val="28"/>
              </w:rPr>
            </w:pPr>
            <w:r>
              <w:rPr>
                <w:rFonts w:cs="Times New Roman"/>
                <w:sz w:val="28"/>
                <w:szCs w:val="28"/>
              </w:rPr>
              <w:t>8</w:t>
            </w:r>
            <w:r w:rsidR="004B64E7">
              <w:rPr>
                <w:rFonts w:cs="Times New Roman"/>
                <w:sz w:val="28"/>
                <w:szCs w:val="28"/>
              </w:rPr>
              <w:t>2</w:t>
            </w:r>
          </w:p>
        </w:tc>
      </w:tr>
      <w:tr w:rsidR="006D3A7D" w:rsidRPr="00C37B4D" w14:paraId="7C232EF1" w14:textId="77777777" w:rsidTr="004B35C1">
        <w:trPr>
          <w:trHeight w:val="770"/>
        </w:trPr>
        <w:tc>
          <w:tcPr>
            <w:tcW w:w="6498" w:type="dxa"/>
          </w:tcPr>
          <w:p w14:paraId="49202C1D" w14:textId="0C093158" w:rsidR="006D3A7D" w:rsidRPr="00FC17F1" w:rsidRDefault="007E2751" w:rsidP="00837ACE">
            <w:pPr>
              <w:spacing w:line="360" w:lineRule="auto"/>
              <w:rPr>
                <w:rFonts w:cs="Times New Roman"/>
                <w:sz w:val="28"/>
                <w:szCs w:val="28"/>
              </w:rPr>
            </w:pPr>
            <w:r w:rsidRPr="00FC17F1">
              <w:rPr>
                <w:rFonts w:cs="Times New Roman"/>
                <w:sz w:val="28"/>
                <w:szCs w:val="28"/>
              </w:rPr>
              <w:t>Question 25</w:t>
            </w:r>
          </w:p>
        </w:tc>
        <w:tc>
          <w:tcPr>
            <w:tcW w:w="2018" w:type="dxa"/>
          </w:tcPr>
          <w:p w14:paraId="72492BD3" w14:textId="190C919C" w:rsidR="006D3A7D" w:rsidRPr="00FC17F1" w:rsidRDefault="00CF52C5" w:rsidP="004B64E7">
            <w:pPr>
              <w:spacing w:line="360" w:lineRule="auto"/>
              <w:jc w:val="center"/>
              <w:rPr>
                <w:rFonts w:cs="Times New Roman"/>
                <w:sz w:val="28"/>
                <w:szCs w:val="28"/>
              </w:rPr>
            </w:pPr>
            <w:r>
              <w:rPr>
                <w:rFonts w:cs="Times New Roman"/>
                <w:sz w:val="28"/>
                <w:szCs w:val="28"/>
              </w:rPr>
              <w:t>8</w:t>
            </w:r>
            <w:r w:rsidR="004B64E7">
              <w:rPr>
                <w:rFonts w:cs="Times New Roman"/>
                <w:sz w:val="28"/>
                <w:szCs w:val="28"/>
              </w:rPr>
              <w:t>2</w:t>
            </w:r>
          </w:p>
        </w:tc>
      </w:tr>
      <w:tr w:rsidR="006D3A7D" w:rsidRPr="00C37B4D" w14:paraId="7A621078" w14:textId="77777777" w:rsidTr="004B35C1">
        <w:trPr>
          <w:trHeight w:val="770"/>
        </w:trPr>
        <w:tc>
          <w:tcPr>
            <w:tcW w:w="6498" w:type="dxa"/>
          </w:tcPr>
          <w:p w14:paraId="6CCCC5F7" w14:textId="1B739EDB" w:rsidR="006D3A7D" w:rsidRPr="00FC17F1" w:rsidRDefault="006D3A7D" w:rsidP="00FC17F1">
            <w:pPr>
              <w:spacing w:line="360" w:lineRule="auto"/>
              <w:rPr>
                <w:rFonts w:cs="Times New Roman"/>
                <w:sz w:val="28"/>
                <w:szCs w:val="28"/>
              </w:rPr>
            </w:pPr>
            <w:r w:rsidRPr="00FC17F1">
              <w:rPr>
                <w:rFonts w:cs="Times New Roman"/>
                <w:sz w:val="28"/>
                <w:szCs w:val="28"/>
              </w:rPr>
              <w:t>Climate Change</w:t>
            </w:r>
          </w:p>
        </w:tc>
        <w:tc>
          <w:tcPr>
            <w:tcW w:w="2018" w:type="dxa"/>
          </w:tcPr>
          <w:p w14:paraId="06D37CA9" w14:textId="76AE36D5" w:rsidR="006D3A7D" w:rsidRPr="00FC17F1" w:rsidRDefault="00CF52C5" w:rsidP="004B64E7">
            <w:pPr>
              <w:spacing w:line="360" w:lineRule="auto"/>
              <w:jc w:val="center"/>
              <w:rPr>
                <w:rFonts w:cs="Times New Roman"/>
                <w:sz w:val="28"/>
                <w:szCs w:val="28"/>
              </w:rPr>
            </w:pPr>
            <w:r>
              <w:rPr>
                <w:rFonts w:cs="Times New Roman"/>
                <w:sz w:val="28"/>
                <w:szCs w:val="28"/>
              </w:rPr>
              <w:t>8</w:t>
            </w:r>
            <w:r w:rsidR="004B64E7">
              <w:rPr>
                <w:rFonts w:cs="Times New Roman"/>
                <w:sz w:val="28"/>
                <w:szCs w:val="28"/>
              </w:rPr>
              <w:t>7</w:t>
            </w:r>
          </w:p>
        </w:tc>
      </w:tr>
      <w:tr w:rsidR="006D3A7D" w:rsidRPr="00C37B4D" w14:paraId="34E3FD68" w14:textId="77777777" w:rsidTr="004B35C1">
        <w:trPr>
          <w:trHeight w:val="770"/>
        </w:trPr>
        <w:tc>
          <w:tcPr>
            <w:tcW w:w="6498" w:type="dxa"/>
          </w:tcPr>
          <w:p w14:paraId="19AEA377" w14:textId="33A3E777" w:rsidR="006D3A7D" w:rsidRPr="00FC17F1" w:rsidRDefault="006D3A7D" w:rsidP="00FC17F1">
            <w:pPr>
              <w:spacing w:line="360" w:lineRule="auto"/>
              <w:rPr>
                <w:rFonts w:cs="Times New Roman"/>
                <w:sz w:val="28"/>
                <w:szCs w:val="28"/>
              </w:rPr>
            </w:pPr>
            <w:r w:rsidRPr="00FC17F1">
              <w:rPr>
                <w:rFonts w:cs="Times New Roman"/>
                <w:sz w:val="28"/>
                <w:szCs w:val="28"/>
              </w:rPr>
              <w:t>Summary of Recommendations</w:t>
            </w:r>
          </w:p>
        </w:tc>
        <w:tc>
          <w:tcPr>
            <w:tcW w:w="2018" w:type="dxa"/>
          </w:tcPr>
          <w:p w14:paraId="5BC1CD0B" w14:textId="388792B5" w:rsidR="006D3A7D" w:rsidRPr="00FC17F1" w:rsidRDefault="004B64E7" w:rsidP="00FC17F1">
            <w:pPr>
              <w:spacing w:line="360" w:lineRule="auto"/>
              <w:jc w:val="center"/>
              <w:rPr>
                <w:rFonts w:cs="Times New Roman"/>
                <w:sz w:val="28"/>
                <w:szCs w:val="28"/>
              </w:rPr>
            </w:pPr>
            <w:r>
              <w:rPr>
                <w:rFonts w:cs="Times New Roman"/>
                <w:sz w:val="28"/>
                <w:szCs w:val="28"/>
              </w:rPr>
              <w:t>91</w:t>
            </w:r>
          </w:p>
        </w:tc>
      </w:tr>
      <w:tr w:rsidR="00CF52C5" w:rsidRPr="00C37B4D" w14:paraId="324F930C" w14:textId="77777777" w:rsidTr="004B35C1">
        <w:trPr>
          <w:trHeight w:val="770"/>
        </w:trPr>
        <w:tc>
          <w:tcPr>
            <w:tcW w:w="6498" w:type="dxa"/>
          </w:tcPr>
          <w:p w14:paraId="203193ED" w14:textId="31C90D20" w:rsidR="00CF52C5" w:rsidRPr="00FC17F1" w:rsidRDefault="00CF52C5" w:rsidP="00FC17F1">
            <w:pPr>
              <w:spacing w:line="360" w:lineRule="auto"/>
              <w:rPr>
                <w:rFonts w:cs="Times New Roman"/>
                <w:sz w:val="28"/>
                <w:szCs w:val="28"/>
              </w:rPr>
            </w:pPr>
            <w:r>
              <w:rPr>
                <w:rFonts w:cs="Times New Roman"/>
                <w:sz w:val="28"/>
                <w:szCs w:val="28"/>
              </w:rPr>
              <w:t>Appendix</w:t>
            </w:r>
          </w:p>
        </w:tc>
        <w:tc>
          <w:tcPr>
            <w:tcW w:w="2018" w:type="dxa"/>
          </w:tcPr>
          <w:p w14:paraId="2904A58B" w14:textId="50533EF3" w:rsidR="00CF52C5" w:rsidRDefault="00AD38D2" w:rsidP="004B64E7">
            <w:pPr>
              <w:spacing w:line="360" w:lineRule="auto"/>
              <w:rPr>
                <w:rFonts w:cs="Times New Roman"/>
                <w:sz w:val="28"/>
                <w:szCs w:val="28"/>
                <w:lang w:eastAsia="en-US"/>
              </w:rPr>
            </w:pPr>
            <w:r>
              <w:rPr>
                <w:rFonts w:cs="Times New Roman"/>
                <w:sz w:val="28"/>
                <w:szCs w:val="28"/>
              </w:rPr>
              <w:t xml:space="preserve">          11</w:t>
            </w:r>
            <w:r w:rsidR="004B64E7">
              <w:rPr>
                <w:rFonts w:cs="Times New Roman"/>
                <w:sz w:val="28"/>
                <w:szCs w:val="28"/>
              </w:rPr>
              <w:t>2</w:t>
            </w:r>
            <w:bookmarkStart w:id="0" w:name="_GoBack"/>
            <w:bookmarkEnd w:id="0"/>
          </w:p>
        </w:tc>
      </w:tr>
    </w:tbl>
    <w:p w14:paraId="3258E7F1" w14:textId="77777777" w:rsidR="00AD2A65" w:rsidRPr="00FC17F1" w:rsidRDefault="00AD2A65" w:rsidP="00FC17F1">
      <w:pPr>
        <w:spacing w:line="360" w:lineRule="auto"/>
        <w:jc w:val="both"/>
        <w:rPr>
          <w:rFonts w:cs="Times New Roman"/>
          <w:b/>
          <w:bCs/>
          <w:smallCaps/>
          <w:color w:val="000000" w:themeColor="text1"/>
          <w:sz w:val="28"/>
          <w:szCs w:val="28"/>
        </w:rPr>
      </w:pPr>
    </w:p>
    <w:p w14:paraId="13D95B59" w14:textId="77777777" w:rsidR="007E2751" w:rsidRDefault="007E2751" w:rsidP="00FC17F1">
      <w:pPr>
        <w:rPr>
          <w:b/>
          <w:sz w:val="28"/>
        </w:rPr>
      </w:pPr>
    </w:p>
    <w:p w14:paraId="14922895" w14:textId="77777777" w:rsidR="007E2751" w:rsidRDefault="007E2751" w:rsidP="00FC17F1">
      <w:pPr>
        <w:rPr>
          <w:b/>
          <w:sz w:val="28"/>
        </w:rPr>
      </w:pPr>
    </w:p>
    <w:p w14:paraId="7D466249" w14:textId="77777777" w:rsidR="007E2751" w:rsidRDefault="007E2751" w:rsidP="00FC17F1">
      <w:pPr>
        <w:rPr>
          <w:b/>
          <w:sz w:val="28"/>
        </w:rPr>
      </w:pPr>
    </w:p>
    <w:p w14:paraId="4D1B9102" w14:textId="7A5EA523" w:rsidR="00520E82" w:rsidRPr="00FC17F1" w:rsidRDefault="00E54CC8" w:rsidP="00FC17F1">
      <w:r>
        <w:rPr>
          <w:b/>
          <w:sz w:val="28"/>
        </w:rPr>
        <w:lastRenderedPageBreak/>
        <w:t>Introduction</w:t>
      </w:r>
    </w:p>
    <w:p w14:paraId="7267C1FE" w14:textId="77777777" w:rsidR="00520E82" w:rsidRPr="00FC17F1" w:rsidRDefault="005B6CC2" w:rsidP="00DA2390">
      <w:pPr>
        <w:pStyle w:val="ListParagraph"/>
        <w:numPr>
          <w:ilvl w:val="0"/>
          <w:numId w:val="9"/>
        </w:numPr>
        <w:spacing w:line="360" w:lineRule="auto"/>
        <w:jc w:val="both"/>
        <w:rPr>
          <w:rFonts w:cs="Times New Roman"/>
          <w:color w:val="000000" w:themeColor="text1"/>
          <w:sz w:val="28"/>
          <w:szCs w:val="28"/>
        </w:rPr>
      </w:pPr>
      <w:r w:rsidRPr="00FC17F1">
        <w:rPr>
          <w:rFonts w:cs="Times New Roman"/>
          <w:sz w:val="28"/>
          <w:szCs w:val="28"/>
        </w:rPr>
        <w:t>This submission is on behalf of the Human Rights Foundation of Aotearoa New Zealand</w:t>
      </w:r>
      <w:r w:rsidR="00F37635" w:rsidRPr="00FC17F1">
        <w:rPr>
          <w:rFonts w:cs="Times New Roman"/>
          <w:sz w:val="28"/>
          <w:szCs w:val="28"/>
        </w:rPr>
        <w:t xml:space="preserve"> (HRF</w:t>
      </w:r>
      <w:r w:rsidR="00DC5B0E" w:rsidRPr="00FC17F1">
        <w:rPr>
          <w:rFonts w:cs="Times New Roman"/>
          <w:sz w:val="28"/>
          <w:szCs w:val="28"/>
        </w:rPr>
        <w:t>)</w:t>
      </w:r>
      <w:r w:rsidRPr="00FC17F1">
        <w:rPr>
          <w:rFonts w:cs="Times New Roman"/>
          <w:sz w:val="28"/>
          <w:szCs w:val="28"/>
        </w:rPr>
        <w:t>. It is a parallel report to the New Zealand Government’s 4</w:t>
      </w:r>
      <w:r w:rsidRPr="00FC17F1">
        <w:rPr>
          <w:rFonts w:cs="Times New Roman"/>
          <w:sz w:val="28"/>
          <w:szCs w:val="28"/>
          <w:vertAlign w:val="superscript"/>
        </w:rPr>
        <w:t>th</w:t>
      </w:r>
      <w:r w:rsidRPr="00FC17F1">
        <w:rPr>
          <w:rFonts w:cs="Times New Roman"/>
          <w:sz w:val="28"/>
          <w:szCs w:val="28"/>
        </w:rPr>
        <w:t xml:space="preserve"> Periodic Report to the United Nations Committee on Economic, Social and Cultural Rights.</w:t>
      </w:r>
      <w:r w:rsidRPr="00FC17F1">
        <w:rPr>
          <w:rFonts w:cs="Times New Roman"/>
          <w:sz w:val="28"/>
          <w:szCs w:val="28"/>
        </w:rPr>
        <w:tab/>
      </w:r>
      <w:r w:rsidRPr="00FC17F1">
        <w:rPr>
          <w:rFonts w:cs="Times New Roman"/>
          <w:sz w:val="28"/>
          <w:szCs w:val="28"/>
        </w:rPr>
        <w:br/>
      </w:r>
    </w:p>
    <w:p w14:paraId="1C7FBBD6" w14:textId="5A80B59D" w:rsidR="005B6CC2" w:rsidRPr="00FC17F1" w:rsidRDefault="005B6CC2" w:rsidP="00DA2390">
      <w:pPr>
        <w:pStyle w:val="ListParagraph"/>
        <w:numPr>
          <w:ilvl w:val="0"/>
          <w:numId w:val="9"/>
        </w:numPr>
        <w:spacing w:line="360" w:lineRule="auto"/>
        <w:jc w:val="both"/>
        <w:rPr>
          <w:rFonts w:cs="Times New Roman"/>
          <w:color w:val="000000" w:themeColor="text1"/>
          <w:sz w:val="28"/>
          <w:szCs w:val="28"/>
        </w:rPr>
      </w:pPr>
      <w:r w:rsidRPr="00FC17F1">
        <w:rPr>
          <w:rFonts w:cs="Times New Roman"/>
          <w:sz w:val="28"/>
          <w:szCs w:val="28"/>
        </w:rPr>
        <w:t>The HRF is a non-governmental organisation, established in December 2001, to promote and defend human rights through research-based education and advocacy. We have made submissions on new laws with human rights implications. We also monitor compliance and implementation of New Zealand’s international obligations in accordance with the requirements of the international conventions New Zealand has signed</w:t>
      </w:r>
      <w:r w:rsidR="00DC5B0E" w:rsidRPr="00FC17F1">
        <w:rPr>
          <w:rFonts w:cs="Times New Roman"/>
          <w:sz w:val="28"/>
          <w:szCs w:val="28"/>
        </w:rPr>
        <w:t xml:space="preserve"> up to</w:t>
      </w:r>
      <w:r w:rsidRPr="00FC17F1">
        <w:rPr>
          <w:rFonts w:cs="Times New Roman"/>
          <w:sz w:val="28"/>
          <w:szCs w:val="28"/>
        </w:rPr>
        <w:t>, and have</w:t>
      </w:r>
      <w:r w:rsidR="00DC5B0E" w:rsidRPr="00FC17F1">
        <w:rPr>
          <w:rFonts w:cs="Times New Roman"/>
          <w:sz w:val="28"/>
          <w:szCs w:val="28"/>
        </w:rPr>
        <w:t>, over the past 17 years,</w:t>
      </w:r>
      <w:r w:rsidRPr="00FC17F1">
        <w:rPr>
          <w:rFonts w:cs="Times New Roman"/>
          <w:sz w:val="28"/>
          <w:szCs w:val="28"/>
        </w:rPr>
        <w:t xml:space="preserve"> prepared parallel reports for relevant United Nations treaty bodies to be considered alongside official reports. Though the primary focus of the Foundation is on human rights in New Zealand, we recognise the universality of human rights and have an interest in human rights in the Pacific and beyond.</w:t>
      </w:r>
      <w:r w:rsidRPr="00FC17F1">
        <w:rPr>
          <w:rFonts w:cs="Times New Roman"/>
          <w:sz w:val="28"/>
          <w:szCs w:val="28"/>
        </w:rPr>
        <w:tab/>
      </w:r>
      <w:r w:rsidRPr="00FC17F1">
        <w:rPr>
          <w:rFonts w:cs="Times New Roman"/>
          <w:sz w:val="28"/>
          <w:szCs w:val="28"/>
        </w:rPr>
        <w:br/>
      </w:r>
    </w:p>
    <w:p w14:paraId="70D56696" w14:textId="6881B64E" w:rsidR="005B6CC2" w:rsidRPr="00FC17F1" w:rsidRDefault="009D485E" w:rsidP="00DA2390">
      <w:pPr>
        <w:pStyle w:val="ListParagraph"/>
        <w:numPr>
          <w:ilvl w:val="0"/>
          <w:numId w:val="9"/>
        </w:numPr>
        <w:spacing w:line="360" w:lineRule="auto"/>
        <w:jc w:val="both"/>
        <w:rPr>
          <w:rFonts w:cs="Times New Roman"/>
          <w:color w:val="FF0000"/>
          <w:sz w:val="28"/>
          <w:szCs w:val="28"/>
        </w:rPr>
      </w:pPr>
      <w:r w:rsidRPr="00FC17F1">
        <w:rPr>
          <w:rFonts w:cs="Times New Roman"/>
          <w:sz w:val="28"/>
          <w:szCs w:val="28"/>
        </w:rPr>
        <w:t xml:space="preserve">The HRF endorses </w:t>
      </w:r>
      <w:r w:rsidR="00DC5B0E" w:rsidRPr="00FC17F1">
        <w:rPr>
          <w:rFonts w:cs="Times New Roman"/>
          <w:sz w:val="28"/>
          <w:szCs w:val="28"/>
        </w:rPr>
        <w:t xml:space="preserve">several </w:t>
      </w:r>
      <w:r w:rsidRPr="00FC17F1">
        <w:rPr>
          <w:rFonts w:cs="Times New Roman"/>
          <w:sz w:val="28"/>
          <w:szCs w:val="28"/>
        </w:rPr>
        <w:t xml:space="preserve">sections of reports and recommendations </w:t>
      </w:r>
      <w:r w:rsidR="00DC5B0E" w:rsidRPr="00FC17F1">
        <w:rPr>
          <w:rFonts w:cs="Times New Roman"/>
          <w:sz w:val="28"/>
          <w:szCs w:val="28"/>
        </w:rPr>
        <w:t xml:space="preserve">prepared by </w:t>
      </w:r>
      <w:r w:rsidRPr="00FC17F1">
        <w:rPr>
          <w:rFonts w:cs="Times New Roman"/>
          <w:sz w:val="28"/>
          <w:szCs w:val="28"/>
        </w:rPr>
        <w:t>other NGOs: Child Poverty Action Group/ Action for Children and Youth Aotearoa</w:t>
      </w:r>
      <w:r w:rsidR="00131A11" w:rsidRPr="00FC17F1">
        <w:rPr>
          <w:rFonts w:cs="Times New Roman"/>
          <w:sz w:val="28"/>
          <w:szCs w:val="28"/>
        </w:rPr>
        <w:t xml:space="preserve"> (CPAG/ACYA)</w:t>
      </w:r>
      <w:r w:rsidR="00DC5B0E" w:rsidRPr="00FC17F1">
        <w:rPr>
          <w:rFonts w:cs="Times New Roman"/>
          <w:sz w:val="28"/>
          <w:szCs w:val="28"/>
        </w:rPr>
        <w:t>,</w:t>
      </w:r>
      <w:r w:rsidRPr="00FC17F1">
        <w:rPr>
          <w:rFonts w:cs="Times New Roman"/>
          <w:sz w:val="28"/>
          <w:szCs w:val="28"/>
        </w:rPr>
        <w:t xml:space="preserve"> Peace Movement Aotearoa</w:t>
      </w:r>
      <w:r w:rsidR="00462A21">
        <w:rPr>
          <w:rFonts w:cs="Times New Roman"/>
          <w:sz w:val="28"/>
          <w:szCs w:val="28"/>
        </w:rPr>
        <w:t xml:space="preserve"> </w:t>
      </w:r>
      <w:r w:rsidR="00131A11" w:rsidRPr="00FC17F1">
        <w:rPr>
          <w:rFonts w:cs="Times New Roman"/>
          <w:sz w:val="28"/>
          <w:szCs w:val="28"/>
        </w:rPr>
        <w:t>(PMA) and the Council of Trade Unions (CTU)</w:t>
      </w:r>
      <w:r w:rsidRPr="00FC17F1">
        <w:rPr>
          <w:rFonts w:cs="Times New Roman"/>
          <w:sz w:val="28"/>
          <w:szCs w:val="28"/>
        </w:rPr>
        <w:t xml:space="preserve">. These sections are referred to where appropriate. </w:t>
      </w:r>
      <w:r w:rsidR="005B6CC2" w:rsidRPr="00FC17F1">
        <w:rPr>
          <w:rFonts w:cs="Times New Roman"/>
          <w:color w:val="FF0000"/>
          <w:sz w:val="28"/>
          <w:szCs w:val="28"/>
        </w:rPr>
        <w:tab/>
      </w:r>
      <w:r w:rsidR="005B6CC2" w:rsidRPr="00FC17F1">
        <w:rPr>
          <w:rFonts w:cs="Times New Roman"/>
          <w:color w:val="FF0000"/>
          <w:sz w:val="28"/>
          <w:szCs w:val="28"/>
        </w:rPr>
        <w:br/>
      </w:r>
    </w:p>
    <w:p w14:paraId="653B4D6B" w14:textId="000F6EA6" w:rsidR="005B6CC2" w:rsidRPr="00FC17F1" w:rsidRDefault="005B6CC2" w:rsidP="00DA2390">
      <w:pPr>
        <w:pStyle w:val="ListParagraph"/>
        <w:numPr>
          <w:ilvl w:val="0"/>
          <w:numId w:val="9"/>
        </w:numPr>
        <w:spacing w:line="360" w:lineRule="auto"/>
        <w:jc w:val="both"/>
        <w:rPr>
          <w:rFonts w:cs="Times New Roman"/>
          <w:sz w:val="28"/>
          <w:szCs w:val="28"/>
        </w:rPr>
      </w:pPr>
      <w:r w:rsidRPr="00C37B4D">
        <w:rPr>
          <w:rFonts w:cs="Times New Roman"/>
          <w:sz w:val="28"/>
          <w:szCs w:val="28"/>
        </w:rPr>
        <w:t>We appreciate this valuable opportunity to present our views to the Committee. Our submission is focussed on some, but not all, of the Committee’s List of Issues Prior to Reporting. We will make reference to the following documents:</w:t>
      </w:r>
      <w:r w:rsidR="00734475" w:rsidRPr="00C37B4D">
        <w:rPr>
          <w:rFonts w:cs="Times New Roman"/>
          <w:sz w:val="28"/>
          <w:szCs w:val="28"/>
        </w:rPr>
        <w:t xml:space="preserve"> </w:t>
      </w:r>
      <w:r w:rsidR="009D485E">
        <w:rPr>
          <w:rFonts w:cs="Times New Roman"/>
          <w:sz w:val="28"/>
          <w:szCs w:val="28"/>
        </w:rPr>
        <w:t xml:space="preserve">the </w:t>
      </w:r>
      <w:r w:rsidR="00734475" w:rsidRPr="009D485E">
        <w:rPr>
          <w:rFonts w:cs="Times New Roman"/>
          <w:sz w:val="28"/>
          <w:szCs w:val="28"/>
        </w:rPr>
        <w:t>HRF</w:t>
      </w:r>
      <w:r w:rsidR="009D485E" w:rsidRPr="00FC17F1">
        <w:rPr>
          <w:rFonts w:cs="Times New Roman"/>
          <w:sz w:val="28"/>
          <w:szCs w:val="28"/>
        </w:rPr>
        <w:t>’s</w:t>
      </w:r>
      <w:r w:rsidR="00734475" w:rsidRPr="009D485E">
        <w:rPr>
          <w:rFonts w:cs="Times New Roman"/>
          <w:sz w:val="28"/>
          <w:szCs w:val="28"/>
        </w:rPr>
        <w:t xml:space="preserve"> LOIPR report</w:t>
      </w:r>
      <w:r w:rsidR="009D485E" w:rsidRPr="00FC17F1">
        <w:rPr>
          <w:rFonts w:cs="Times New Roman"/>
          <w:sz w:val="28"/>
          <w:szCs w:val="28"/>
        </w:rPr>
        <w:t xml:space="preserve"> of February 2016 </w:t>
      </w:r>
      <w:r w:rsidR="002E53A2" w:rsidRPr="00FC17F1">
        <w:rPr>
          <w:rStyle w:val="FootnoteReference"/>
          <w:rFonts w:cs="Times New Roman"/>
          <w:sz w:val="28"/>
          <w:szCs w:val="28"/>
        </w:rPr>
        <w:footnoteReference w:id="1"/>
      </w:r>
      <w:r w:rsidR="00734475" w:rsidRPr="009D485E">
        <w:rPr>
          <w:rFonts w:cs="Times New Roman"/>
          <w:sz w:val="28"/>
          <w:szCs w:val="28"/>
        </w:rPr>
        <w:t xml:space="preserve"> </w:t>
      </w:r>
      <w:r w:rsidR="009D485E" w:rsidRPr="00FC17F1">
        <w:rPr>
          <w:rFonts w:cs="Times New Roman"/>
          <w:sz w:val="28"/>
          <w:szCs w:val="28"/>
        </w:rPr>
        <w:t xml:space="preserve">the </w:t>
      </w:r>
      <w:r w:rsidR="00734475" w:rsidRPr="009D485E">
        <w:rPr>
          <w:rFonts w:cs="Times New Roman"/>
          <w:sz w:val="28"/>
          <w:szCs w:val="28"/>
        </w:rPr>
        <w:lastRenderedPageBreak/>
        <w:t>CESCR</w:t>
      </w:r>
      <w:r w:rsidR="009D485E">
        <w:rPr>
          <w:rFonts w:cs="Times New Roman"/>
          <w:sz w:val="28"/>
          <w:szCs w:val="28"/>
        </w:rPr>
        <w:t>’s</w:t>
      </w:r>
      <w:r w:rsidR="00734475" w:rsidRPr="009D485E">
        <w:rPr>
          <w:rFonts w:cs="Times New Roman"/>
          <w:sz w:val="28"/>
          <w:szCs w:val="28"/>
        </w:rPr>
        <w:t xml:space="preserve"> LOIPR,</w:t>
      </w:r>
      <w:r w:rsidR="002E53A2" w:rsidRPr="00FC17F1">
        <w:rPr>
          <w:rStyle w:val="FootnoteReference"/>
          <w:rFonts w:cs="Times New Roman"/>
          <w:sz w:val="28"/>
          <w:szCs w:val="28"/>
        </w:rPr>
        <w:footnoteReference w:id="2"/>
      </w:r>
      <w:r w:rsidR="003F2110" w:rsidRPr="009D485E">
        <w:rPr>
          <w:rFonts w:cs="Times New Roman"/>
          <w:sz w:val="28"/>
          <w:szCs w:val="28"/>
        </w:rPr>
        <w:t xml:space="preserve"> </w:t>
      </w:r>
      <w:r w:rsidR="003F2110" w:rsidRPr="00FC17F1">
        <w:rPr>
          <w:rFonts w:cs="Times New Roman"/>
          <w:sz w:val="28"/>
          <w:szCs w:val="28"/>
        </w:rPr>
        <w:t>the</w:t>
      </w:r>
      <w:r w:rsidR="009D485E" w:rsidRPr="00FC17F1">
        <w:rPr>
          <w:rFonts w:cs="Times New Roman"/>
          <w:sz w:val="28"/>
          <w:szCs w:val="28"/>
        </w:rPr>
        <w:t xml:space="preserve"> New Zealand </w:t>
      </w:r>
      <w:r w:rsidR="00734475" w:rsidRPr="009D485E">
        <w:rPr>
          <w:rFonts w:cs="Times New Roman"/>
          <w:sz w:val="28"/>
          <w:szCs w:val="28"/>
        </w:rPr>
        <w:t>Government</w:t>
      </w:r>
      <w:r w:rsidR="009D485E" w:rsidRPr="00FC17F1">
        <w:rPr>
          <w:rFonts w:cs="Times New Roman"/>
          <w:sz w:val="28"/>
          <w:szCs w:val="28"/>
        </w:rPr>
        <w:t>’s</w:t>
      </w:r>
      <w:r w:rsidR="00734475" w:rsidRPr="009D485E">
        <w:rPr>
          <w:rFonts w:cs="Times New Roman"/>
          <w:sz w:val="28"/>
          <w:szCs w:val="28"/>
        </w:rPr>
        <w:t xml:space="preserve"> draft report</w:t>
      </w:r>
      <w:r w:rsidR="002E53A2" w:rsidRPr="00FC17F1">
        <w:rPr>
          <w:rStyle w:val="FootnoteReference"/>
          <w:rFonts w:cs="Times New Roman"/>
          <w:sz w:val="28"/>
          <w:szCs w:val="28"/>
        </w:rPr>
        <w:footnoteReference w:id="3"/>
      </w:r>
      <w:r w:rsidR="00734475" w:rsidRPr="009D485E">
        <w:rPr>
          <w:rFonts w:cs="Times New Roman"/>
          <w:sz w:val="28"/>
          <w:szCs w:val="28"/>
        </w:rPr>
        <w:t xml:space="preserve"> </w:t>
      </w:r>
      <w:r w:rsidR="009D485E" w:rsidRPr="00FC17F1">
        <w:rPr>
          <w:rFonts w:cs="Times New Roman"/>
          <w:sz w:val="28"/>
          <w:szCs w:val="28"/>
        </w:rPr>
        <w:t xml:space="preserve">and the </w:t>
      </w:r>
      <w:r w:rsidR="00734475" w:rsidRPr="009D485E">
        <w:rPr>
          <w:rFonts w:cs="Times New Roman"/>
          <w:sz w:val="28"/>
          <w:szCs w:val="28"/>
        </w:rPr>
        <w:t>HRF</w:t>
      </w:r>
      <w:r w:rsidR="009D485E" w:rsidRPr="00FC17F1">
        <w:rPr>
          <w:rFonts w:cs="Times New Roman"/>
          <w:sz w:val="28"/>
          <w:szCs w:val="28"/>
        </w:rPr>
        <w:t xml:space="preserve">’s </w:t>
      </w:r>
      <w:r w:rsidR="00734475" w:rsidRPr="009D485E">
        <w:rPr>
          <w:rFonts w:cs="Times New Roman"/>
          <w:sz w:val="28"/>
          <w:szCs w:val="28"/>
        </w:rPr>
        <w:t xml:space="preserve">submission </w:t>
      </w:r>
      <w:r w:rsidR="009D485E" w:rsidRPr="00FC17F1">
        <w:rPr>
          <w:rFonts w:cs="Times New Roman"/>
          <w:sz w:val="28"/>
          <w:szCs w:val="28"/>
        </w:rPr>
        <w:t xml:space="preserve">of 2013 </w:t>
      </w:r>
      <w:r w:rsidR="00734475" w:rsidRPr="009D485E">
        <w:rPr>
          <w:rFonts w:cs="Times New Roman"/>
          <w:sz w:val="28"/>
          <w:szCs w:val="28"/>
        </w:rPr>
        <w:t xml:space="preserve">to </w:t>
      </w:r>
      <w:r w:rsidR="009D485E" w:rsidRPr="00FC17F1">
        <w:rPr>
          <w:rFonts w:cs="Times New Roman"/>
          <w:sz w:val="28"/>
          <w:szCs w:val="28"/>
        </w:rPr>
        <w:t xml:space="preserve">the </w:t>
      </w:r>
      <w:r w:rsidR="00734475" w:rsidRPr="009D485E">
        <w:rPr>
          <w:rFonts w:cs="Times New Roman"/>
          <w:sz w:val="28"/>
          <w:szCs w:val="28"/>
        </w:rPr>
        <w:t xml:space="preserve">Constitutional </w:t>
      </w:r>
      <w:r w:rsidR="002E53A2" w:rsidRPr="00FC17F1">
        <w:rPr>
          <w:rFonts w:cs="Times New Roman"/>
          <w:sz w:val="28"/>
          <w:szCs w:val="28"/>
        </w:rPr>
        <w:t xml:space="preserve">Review </w:t>
      </w:r>
      <w:r w:rsidR="00734475" w:rsidRPr="009D485E">
        <w:rPr>
          <w:rFonts w:cs="Times New Roman"/>
          <w:sz w:val="28"/>
          <w:szCs w:val="28"/>
        </w:rPr>
        <w:t>Panel</w:t>
      </w:r>
      <w:r w:rsidR="002E53A2" w:rsidRPr="00FC17F1">
        <w:rPr>
          <w:rFonts w:cs="Times New Roman"/>
          <w:sz w:val="28"/>
          <w:szCs w:val="28"/>
        </w:rPr>
        <w:t>.</w:t>
      </w:r>
      <w:r w:rsidR="002E53A2" w:rsidRPr="00FC17F1">
        <w:rPr>
          <w:rStyle w:val="FootnoteReference"/>
          <w:rFonts w:cs="Times New Roman"/>
          <w:sz w:val="28"/>
          <w:szCs w:val="28"/>
        </w:rPr>
        <w:footnoteReference w:id="4"/>
      </w:r>
    </w:p>
    <w:p w14:paraId="0BC5AE0A" w14:textId="30D88837" w:rsidR="00936EB2" w:rsidRPr="00FC17F1" w:rsidRDefault="00936EB2" w:rsidP="00FC17F1">
      <w:pPr>
        <w:pStyle w:val="ListParagraph"/>
        <w:spacing w:line="360" w:lineRule="auto"/>
        <w:ind w:left="1080"/>
        <w:jc w:val="both"/>
        <w:rPr>
          <w:rFonts w:cs="Times New Roman"/>
          <w:color w:val="000000" w:themeColor="text1"/>
          <w:sz w:val="28"/>
          <w:szCs w:val="28"/>
        </w:rPr>
      </w:pPr>
    </w:p>
    <w:p w14:paraId="0D3E9BAE" w14:textId="116EC647" w:rsidR="00936EB2" w:rsidRPr="00FC17F1" w:rsidRDefault="00D67A6B" w:rsidP="00DA2390">
      <w:pPr>
        <w:pStyle w:val="ListParagraph"/>
        <w:numPr>
          <w:ilvl w:val="0"/>
          <w:numId w:val="9"/>
        </w:numPr>
        <w:spacing w:line="360" w:lineRule="auto"/>
        <w:jc w:val="both"/>
        <w:rPr>
          <w:rFonts w:cs="Times New Roman"/>
          <w:color w:val="000000" w:themeColor="text1"/>
          <w:sz w:val="28"/>
          <w:szCs w:val="28"/>
        </w:rPr>
      </w:pPr>
      <w:r w:rsidRPr="00FC17F1">
        <w:rPr>
          <w:rFonts w:cs="Times New Roman"/>
          <w:color w:val="000000" w:themeColor="text1"/>
          <w:sz w:val="28"/>
          <w:szCs w:val="28"/>
        </w:rPr>
        <w:t xml:space="preserve">We make </w:t>
      </w:r>
      <w:r w:rsidR="001B6CED" w:rsidRPr="00C37B4D">
        <w:rPr>
          <w:rFonts w:cs="Times New Roman"/>
          <w:color w:val="000000" w:themeColor="text1"/>
          <w:sz w:val="28"/>
          <w:szCs w:val="28"/>
        </w:rPr>
        <w:t>t</w:t>
      </w:r>
      <w:r w:rsidR="00936EB2" w:rsidRPr="00FC17F1">
        <w:rPr>
          <w:rFonts w:cs="Times New Roman"/>
          <w:color w:val="000000" w:themeColor="text1"/>
          <w:sz w:val="28"/>
          <w:szCs w:val="28"/>
        </w:rPr>
        <w:t>wo preliminary comments:</w:t>
      </w:r>
      <w:r w:rsidRPr="00FC17F1">
        <w:rPr>
          <w:rFonts w:cs="Times New Roman"/>
          <w:color w:val="000000" w:themeColor="text1"/>
          <w:sz w:val="28"/>
          <w:szCs w:val="28"/>
        </w:rPr>
        <w:t xml:space="preserve"> a</w:t>
      </w:r>
      <w:r w:rsidR="00936EB2" w:rsidRPr="00FC17F1">
        <w:rPr>
          <w:rFonts w:cs="Times New Roman"/>
          <w:color w:val="000000" w:themeColor="text1"/>
          <w:sz w:val="28"/>
          <w:szCs w:val="28"/>
        </w:rPr>
        <w:t>s the Committee will be aware</w:t>
      </w:r>
      <w:r w:rsidR="00494096" w:rsidRPr="00FC17F1">
        <w:rPr>
          <w:rFonts w:cs="Times New Roman"/>
          <w:color w:val="000000" w:themeColor="text1"/>
          <w:sz w:val="28"/>
          <w:szCs w:val="28"/>
        </w:rPr>
        <w:t>,</w:t>
      </w:r>
      <w:r w:rsidR="00936EB2" w:rsidRPr="00FC17F1">
        <w:rPr>
          <w:rFonts w:cs="Times New Roman"/>
          <w:color w:val="000000" w:themeColor="text1"/>
          <w:sz w:val="28"/>
          <w:szCs w:val="28"/>
        </w:rPr>
        <w:t xml:space="preserve"> </w:t>
      </w:r>
      <w:r w:rsidR="00DC5B0E">
        <w:rPr>
          <w:rFonts w:cs="Times New Roman"/>
          <w:color w:val="000000" w:themeColor="text1"/>
          <w:sz w:val="28"/>
          <w:szCs w:val="28"/>
        </w:rPr>
        <w:t xml:space="preserve">parliamentary </w:t>
      </w:r>
      <w:r w:rsidR="00936EB2" w:rsidRPr="00FC17F1">
        <w:rPr>
          <w:rFonts w:cs="Times New Roman"/>
          <w:color w:val="000000" w:themeColor="text1"/>
          <w:sz w:val="28"/>
          <w:szCs w:val="28"/>
        </w:rPr>
        <w:t>election</w:t>
      </w:r>
      <w:r w:rsidR="00DC5B0E">
        <w:rPr>
          <w:rFonts w:cs="Times New Roman"/>
          <w:color w:val="000000" w:themeColor="text1"/>
          <w:sz w:val="28"/>
          <w:szCs w:val="28"/>
        </w:rPr>
        <w:t>s</w:t>
      </w:r>
      <w:r w:rsidR="00936EB2" w:rsidRPr="00FC17F1">
        <w:rPr>
          <w:rFonts w:cs="Times New Roman"/>
          <w:color w:val="000000" w:themeColor="text1"/>
          <w:sz w:val="28"/>
          <w:szCs w:val="28"/>
        </w:rPr>
        <w:t xml:space="preserve"> in </w:t>
      </w:r>
      <w:r w:rsidR="00DC5B0E">
        <w:rPr>
          <w:rFonts w:cs="Times New Roman"/>
          <w:color w:val="000000" w:themeColor="text1"/>
          <w:sz w:val="28"/>
          <w:szCs w:val="28"/>
        </w:rPr>
        <w:t xml:space="preserve">New Zealand in late </w:t>
      </w:r>
      <w:r w:rsidR="00936EB2" w:rsidRPr="00FC17F1">
        <w:rPr>
          <w:rFonts w:cs="Times New Roman"/>
          <w:color w:val="000000" w:themeColor="text1"/>
          <w:sz w:val="28"/>
          <w:szCs w:val="28"/>
        </w:rPr>
        <w:t xml:space="preserve">2017 delivered a new coalition Labour-led Government. In its first hundred days </w:t>
      </w:r>
      <w:r w:rsidRPr="00FC17F1">
        <w:rPr>
          <w:rFonts w:cs="Times New Roman"/>
          <w:color w:val="000000" w:themeColor="text1"/>
          <w:sz w:val="28"/>
          <w:szCs w:val="28"/>
        </w:rPr>
        <w:t>(to February 3</w:t>
      </w:r>
      <w:r w:rsidRPr="00FC17F1">
        <w:rPr>
          <w:rFonts w:cs="Times New Roman"/>
          <w:color w:val="000000" w:themeColor="text1"/>
          <w:sz w:val="28"/>
          <w:szCs w:val="28"/>
          <w:vertAlign w:val="superscript"/>
        </w:rPr>
        <w:t>rd</w:t>
      </w:r>
      <w:r w:rsidRPr="00FC17F1">
        <w:rPr>
          <w:rFonts w:cs="Times New Roman"/>
          <w:color w:val="000000" w:themeColor="text1"/>
          <w:sz w:val="28"/>
          <w:szCs w:val="28"/>
        </w:rPr>
        <w:t xml:space="preserve">) </w:t>
      </w:r>
      <w:r w:rsidR="00936EB2" w:rsidRPr="00FC17F1">
        <w:rPr>
          <w:rFonts w:cs="Times New Roman"/>
          <w:color w:val="000000" w:themeColor="text1"/>
          <w:sz w:val="28"/>
          <w:szCs w:val="28"/>
        </w:rPr>
        <w:t>this Government has already signalled a raft of policy changes, many of which have a direct bearing on ESC rights</w:t>
      </w:r>
      <w:r w:rsidR="00494096" w:rsidRPr="00FC17F1">
        <w:rPr>
          <w:rFonts w:cs="Times New Roman"/>
          <w:color w:val="000000" w:themeColor="text1"/>
          <w:sz w:val="28"/>
          <w:szCs w:val="28"/>
        </w:rPr>
        <w:t xml:space="preserve"> and on the questions posed in the LOIPR</w:t>
      </w:r>
      <w:r w:rsidRPr="00FC17F1">
        <w:rPr>
          <w:rFonts w:cs="Times New Roman"/>
          <w:color w:val="000000" w:themeColor="text1"/>
          <w:sz w:val="28"/>
          <w:szCs w:val="28"/>
        </w:rPr>
        <w:t>. T</w:t>
      </w:r>
      <w:r w:rsidR="00494096" w:rsidRPr="00FC17F1">
        <w:rPr>
          <w:rFonts w:cs="Times New Roman"/>
          <w:color w:val="000000" w:themeColor="text1"/>
          <w:sz w:val="28"/>
          <w:szCs w:val="28"/>
        </w:rPr>
        <w:t xml:space="preserve">hese changes, or questions about or references to them, are mentioned where appropriate in the sections </w:t>
      </w:r>
      <w:r w:rsidR="00676CAB">
        <w:rPr>
          <w:rFonts w:cs="Times New Roman"/>
          <w:color w:val="000000" w:themeColor="text1"/>
          <w:sz w:val="28"/>
          <w:szCs w:val="28"/>
        </w:rPr>
        <w:t>that</w:t>
      </w:r>
      <w:r w:rsidR="00494096" w:rsidRPr="00FC17F1">
        <w:rPr>
          <w:rFonts w:cs="Times New Roman"/>
          <w:color w:val="000000" w:themeColor="text1"/>
          <w:sz w:val="28"/>
          <w:szCs w:val="28"/>
        </w:rPr>
        <w:t xml:space="preserve"> follow, a process which we understand the Government</w:t>
      </w:r>
      <w:r w:rsidRPr="00FC17F1">
        <w:rPr>
          <w:rFonts w:cs="Times New Roman"/>
          <w:color w:val="000000" w:themeColor="text1"/>
          <w:sz w:val="28"/>
          <w:szCs w:val="28"/>
        </w:rPr>
        <w:t xml:space="preserve"> also</w:t>
      </w:r>
      <w:r w:rsidR="00494096" w:rsidRPr="00FC17F1">
        <w:rPr>
          <w:rFonts w:cs="Times New Roman"/>
          <w:color w:val="000000" w:themeColor="text1"/>
          <w:sz w:val="28"/>
          <w:szCs w:val="28"/>
        </w:rPr>
        <w:t xml:space="preserve"> intends to follow.</w:t>
      </w:r>
      <w:r w:rsidR="00375D87" w:rsidRPr="00FC17F1">
        <w:rPr>
          <w:rFonts w:cs="Times New Roman"/>
          <w:color w:val="000000" w:themeColor="text1"/>
          <w:sz w:val="28"/>
          <w:szCs w:val="28"/>
        </w:rPr>
        <w:t xml:space="preserve"> We </w:t>
      </w:r>
      <w:r w:rsidR="00734475" w:rsidRPr="00C37B4D">
        <w:rPr>
          <w:rFonts w:cs="Times New Roman"/>
          <w:color w:val="000000" w:themeColor="text1"/>
          <w:sz w:val="28"/>
          <w:szCs w:val="28"/>
        </w:rPr>
        <w:t xml:space="preserve">therefore </w:t>
      </w:r>
      <w:r w:rsidR="00375D87" w:rsidRPr="00FC17F1">
        <w:rPr>
          <w:rFonts w:cs="Times New Roman"/>
          <w:color w:val="000000" w:themeColor="text1"/>
          <w:sz w:val="28"/>
          <w:szCs w:val="28"/>
        </w:rPr>
        <w:t xml:space="preserve">recommend that the Committee </w:t>
      </w:r>
      <w:r w:rsidR="00734475" w:rsidRPr="00C37B4D">
        <w:rPr>
          <w:rFonts w:cs="Times New Roman"/>
          <w:color w:val="000000" w:themeColor="text1"/>
          <w:sz w:val="28"/>
          <w:szCs w:val="28"/>
        </w:rPr>
        <w:t>require</w:t>
      </w:r>
      <w:r w:rsidR="00375D87" w:rsidRPr="00FC17F1">
        <w:rPr>
          <w:rFonts w:cs="Times New Roman"/>
          <w:color w:val="000000" w:themeColor="text1"/>
          <w:sz w:val="28"/>
          <w:szCs w:val="28"/>
        </w:rPr>
        <w:t xml:space="preserve"> a follow-up timetable for assessing progress on these policy changes.</w:t>
      </w:r>
    </w:p>
    <w:p w14:paraId="1CA07040" w14:textId="77777777" w:rsidR="00494096" w:rsidRPr="00FC17F1" w:rsidRDefault="00494096" w:rsidP="00FC17F1">
      <w:pPr>
        <w:spacing w:line="360" w:lineRule="auto"/>
        <w:ind w:left="1080"/>
        <w:jc w:val="both"/>
        <w:rPr>
          <w:rFonts w:cs="Times New Roman"/>
          <w:color w:val="000000" w:themeColor="text1"/>
          <w:sz w:val="28"/>
          <w:szCs w:val="28"/>
        </w:rPr>
      </w:pPr>
    </w:p>
    <w:p w14:paraId="0FB9959E" w14:textId="6B14917F" w:rsidR="00500B64" w:rsidRPr="00FC17F1" w:rsidRDefault="00B54E87" w:rsidP="00DA2390">
      <w:pPr>
        <w:pStyle w:val="ListParagraph"/>
        <w:numPr>
          <w:ilvl w:val="0"/>
          <w:numId w:val="9"/>
        </w:numPr>
        <w:spacing w:line="360" w:lineRule="auto"/>
        <w:jc w:val="both"/>
        <w:rPr>
          <w:rFonts w:cs="Times New Roman"/>
          <w:b/>
          <w:smallCaps/>
          <w:sz w:val="28"/>
          <w:szCs w:val="28"/>
        </w:rPr>
      </w:pPr>
      <w:r w:rsidRPr="00C37B4D">
        <w:rPr>
          <w:rFonts w:cs="Times New Roman"/>
          <w:color w:val="000000" w:themeColor="text1"/>
          <w:sz w:val="28"/>
          <w:szCs w:val="28"/>
        </w:rPr>
        <w:t>More fundamentally, g</w:t>
      </w:r>
      <w:r w:rsidR="00494096" w:rsidRPr="00FC17F1">
        <w:rPr>
          <w:rFonts w:cs="Times New Roman"/>
          <w:color w:val="000000" w:themeColor="text1"/>
          <w:sz w:val="28"/>
          <w:szCs w:val="28"/>
        </w:rPr>
        <w:t xml:space="preserve">iven the extent of these proposed changes </w:t>
      </w:r>
      <w:r w:rsidR="00734475" w:rsidRPr="00C37B4D">
        <w:rPr>
          <w:rFonts w:cs="Times New Roman"/>
          <w:color w:val="000000" w:themeColor="text1"/>
          <w:sz w:val="28"/>
          <w:szCs w:val="28"/>
        </w:rPr>
        <w:t>and</w:t>
      </w:r>
      <w:r w:rsidRPr="00C37B4D">
        <w:rPr>
          <w:rFonts w:cs="Times New Roman"/>
          <w:color w:val="000000" w:themeColor="text1"/>
          <w:sz w:val="28"/>
          <w:szCs w:val="28"/>
        </w:rPr>
        <w:t xml:space="preserve"> the Government’s emphasis on poverty and inequality </w:t>
      </w:r>
      <w:r w:rsidR="00494096" w:rsidRPr="00FC17F1">
        <w:rPr>
          <w:rFonts w:cs="Times New Roman"/>
          <w:color w:val="000000" w:themeColor="text1"/>
          <w:sz w:val="28"/>
          <w:szCs w:val="28"/>
        </w:rPr>
        <w:t xml:space="preserve">and </w:t>
      </w:r>
      <w:r w:rsidR="009D4D90">
        <w:rPr>
          <w:rFonts w:cs="Times New Roman"/>
          <w:color w:val="000000" w:themeColor="text1"/>
          <w:sz w:val="28"/>
          <w:szCs w:val="28"/>
        </w:rPr>
        <w:t>their</w:t>
      </w:r>
      <w:r w:rsidR="00494096" w:rsidRPr="00FC17F1">
        <w:rPr>
          <w:rFonts w:cs="Times New Roman"/>
          <w:color w:val="000000" w:themeColor="text1"/>
          <w:sz w:val="28"/>
          <w:szCs w:val="28"/>
        </w:rPr>
        <w:t xml:space="preserve"> relevance to </w:t>
      </w:r>
      <w:r w:rsidR="001B6CED" w:rsidRPr="00C37B4D">
        <w:rPr>
          <w:rFonts w:cs="Times New Roman"/>
          <w:color w:val="000000" w:themeColor="text1"/>
          <w:sz w:val="28"/>
          <w:szCs w:val="28"/>
        </w:rPr>
        <w:t xml:space="preserve">a </w:t>
      </w:r>
      <w:r w:rsidR="00494096" w:rsidRPr="00FC17F1">
        <w:rPr>
          <w:rFonts w:cs="Times New Roman"/>
          <w:color w:val="000000" w:themeColor="text1"/>
          <w:sz w:val="28"/>
          <w:szCs w:val="28"/>
        </w:rPr>
        <w:t>number of ESC rights, we find it even more surprising</w:t>
      </w:r>
      <w:r w:rsidR="00494096" w:rsidRPr="00C37B4D">
        <w:rPr>
          <w:rFonts w:cs="Times New Roman"/>
          <w:color w:val="000000" w:themeColor="text1"/>
          <w:sz w:val="28"/>
          <w:szCs w:val="28"/>
        </w:rPr>
        <w:t>, and disappointing,</w:t>
      </w:r>
      <w:r w:rsidR="00494096" w:rsidRPr="00FC17F1">
        <w:rPr>
          <w:rFonts w:cs="Times New Roman"/>
          <w:color w:val="000000" w:themeColor="text1"/>
          <w:sz w:val="28"/>
          <w:szCs w:val="28"/>
        </w:rPr>
        <w:t xml:space="preserve"> that there is still no indication that there will be any change in the Government’s stance on the enhancement of the statu</w:t>
      </w:r>
      <w:r w:rsidR="00D67A6B" w:rsidRPr="00C37B4D">
        <w:rPr>
          <w:rFonts w:cs="Times New Roman"/>
          <w:color w:val="000000" w:themeColor="text1"/>
          <w:sz w:val="28"/>
          <w:szCs w:val="28"/>
        </w:rPr>
        <w:t>s</w:t>
      </w:r>
      <w:r w:rsidR="001B6CED" w:rsidRPr="00C37B4D">
        <w:rPr>
          <w:rFonts w:cs="Times New Roman"/>
          <w:color w:val="000000" w:themeColor="text1"/>
          <w:sz w:val="28"/>
          <w:szCs w:val="28"/>
        </w:rPr>
        <w:t xml:space="preserve"> </w:t>
      </w:r>
      <w:r w:rsidR="00494096" w:rsidRPr="00FC17F1">
        <w:rPr>
          <w:rFonts w:cs="Times New Roman"/>
          <w:color w:val="000000" w:themeColor="text1"/>
          <w:sz w:val="28"/>
          <w:szCs w:val="28"/>
        </w:rPr>
        <w:t>of ESC rights</w:t>
      </w:r>
      <w:r w:rsidR="00494096" w:rsidRPr="00C37B4D">
        <w:rPr>
          <w:rFonts w:cs="Times New Roman"/>
          <w:color w:val="000000" w:themeColor="text1"/>
          <w:sz w:val="28"/>
          <w:szCs w:val="28"/>
        </w:rPr>
        <w:t xml:space="preserve"> in New Zealand</w:t>
      </w:r>
      <w:r w:rsidR="001B6CED" w:rsidRPr="00C37B4D">
        <w:rPr>
          <w:rFonts w:cs="Times New Roman"/>
          <w:color w:val="000000" w:themeColor="text1"/>
          <w:sz w:val="28"/>
          <w:szCs w:val="28"/>
        </w:rPr>
        <w:t xml:space="preserve"> (see below question 1)</w:t>
      </w:r>
      <w:r w:rsidR="00494096" w:rsidRPr="00C37B4D">
        <w:rPr>
          <w:rFonts w:cs="Times New Roman"/>
          <w:color w:val="000000" w:themeColor="text1"/>
          <w:sz w:val="28"/>
          <w:szCs w:val="28"/>
        </w:rPr>
        <w:t>.</w:t>
      </w:r>
      <w:r w:rsidR="00462A21">
        <w:rPr>
          <w:rFonts w:cs="Times New Roman"/>
          <w:color w:val="000000" w:themeColor="text1"/>
          <w:sz w:val="28"/>
          <w:szCs w:val="28"/>
        </w:rPr>
        <w:t xml:space="preserve"> </w:t>
      </w:r>
      <w:r w:rsidR="00081596">
        <w:rPr>
          <w:rFonts w:cs="Times New Roman"/>
          <w:color w:val="000000" w:themeColor="text1"/>
          <w:sz w:val="28"/>
          <w:szCs w:val="28"/>
        </w:rPr>
        <w:t>T</w:t>
      </w:r>
      <w:r w:rsidR="00375D87" w:rsidRPr="00FC17F1">
        <w:rPr>
          <w:rFonts w:cs="Times New Roman"/>
          <w:color w:val="000000" w:themeColor="text1"/>
          <w:sz w:val="28"/>
          <w:szCs w:val="28"/>
        </w:rPr>
        <w:t xml:space="preserve">he Covenant rights provide an ideal framework </w:t>
      </w:r>
      <w:r w:rsidR="00D67A6B" w:rsidRPr="00FC17F1">
        <w:rPr>
          <w:rFonts w:cs="Times New Roman"/>
          <w:color w:val="000000" w:themeColor="text1"/>
          <w:sz w:val="28"/>
          <w:szCs w:val="28"/>
        </w:rPr>
        <w:t>by which to assess</w:t>
      </w:r>
      <w:r w:rsidR="00375D87" w:rsidRPr="00FC17F1">
        <w:rPr>
          <w:rFonts w:cs="Times New Roman"/>
          <w:color w:val="000000" w:themeColor="text1"/>
          <w:sz w:val="28"/>
          <w:szCs w:val="28"/>
        </w:rPr>
        <w:t xml:space="preserve"> the Government’s plans</w:t>
      </w:r>
      <w:r w:rsidR="00081596">
        <w:rPr>
          <w:rFonts w:cs="Times New Roman"/>
          <w:color w:val="000000" w:themeColor="text1"/>
          <w:sz w:val="28"/>
          <w:szCs w:val="28"/>
        </w:rPr>
        <w:t xml:space="preserve"> and their implementation</w:t>
      </w:r>
      <w:r w:rsidR="00375D87" w:rsidRPr="00FC17F1">
        <w:rPr>
          <w:rFonts w:cs="Times New Roman"/>
          <w:color w:val="000000" w:themeColor="text1"/>
          <w:sz w:val="28"/>
          <w:szCs w:val="28"/>
        </w:rPr>
        <w:t>.</w:t>
      </w:r>
      <w:r w:rsidR="00D67A6B" w:rsidRPr="00FC17F1">
        <w:rPr>
          <w:rFonts w:cs="Times New Roman"/>
          <w:color w:val="000000" w:themeColor="text1"/>
          <w:sz w:val="28"/>
          <w:szCs w:val="28"/>
        </w:rPr>
        <w:t xml:space="preserve"> </w:t>
      </w:r>
      <w:r w:rsidR="001B6CED" w:rsidRPr="00FC17F1">
        <w:rPr>
          <w:rFonts w:cs="Times New Roman"/>
          <w:color w:val="000000" w:themeColor="text1"/>
          <w:sz w:val="28"/>
          <w:szCs w:val="28"/>
        </w:rPr>
        <w:t>Such recognition</w:t>
      </w:r>
      <w:r w:rsidR="00D67A6B" w:rsidRPr="00FC17F1">
        <w:rPr>
          <w:rFonts w:cs="Times New Roman"/>
          <w:color w:val="000000" w:themeColor="text1"/>
          <w:sz w:val="28"/>
          <w:szCs w:val="28"/>
        </w:rPr>
        <w:t xml:space="preserve"> would also </w:t>
      </w:r>
      <w:r w:rsidR="001B6CED" w:rsidRPr="00FC17F1">
        <w:rPr>
          <w:rFonts w:cs="Times New Roman"/>
          <w:color w:val="000000" w:themeColor="text1"/>
          <w:sz w:val="28"/>
          <w:szCs w:val="28"/>
        </w:rPr>
        <w:t xml:space="preserve">help to </w:t>
      </w:r>
      <w:r w:rsidR="00D67A6B" w:rsidRPr="00FC17F1">
        <w:rPr>
          <w:rFonts w:cs="Times New Roman"/>
          <w:color w:val="000000" w:themeColor="text1"/>
          <w:sz w:val="28"/>
          <w:szCs w:val="28"/>
        </w:rPr>
        <w:t xml:space="preserve">establish </w:t>
      </w:r>
      <w:r w:rsidR="00CA33B7">
        <w:rPr>
          <w:rFonts w:cs="Times New Roman"/>
          <w:color w:val="000000" w:themeColor="text1"/>
          <w:sz w:val="28"/>
          <w:szCs w:val="28"/>
        </w:rPr>
        <w:t xml:space="preserve">clearly </w:t>
      </w:r>
      <w:r w:rsidR="001B6CED" w:rsidRPr="00FC17F1">
        <w:rPr>
          <w:rFonts w:cs="Times New Roman"/>
          <w:color w:val="000000" w:themeColor="text1"/>
          <w:sz w:val="28"/>
          <w:szCs w:val="28"/>
        </w:rPr>
        <w:t>New Zealand’s overall commitment to international human rights standards.</w:t>
      </w:r>
    </w:p>
    <w:p w14:paraId="5DAD7C1A" w14:textId="77777777" w:rsidR="00500B64" w:rsidRPr="00FC17F1" w:rsidRDefault="00500B64" w:rsidP="00FC17F1">
      <w:pPr>
        <w:spacing w:line="360" w:lineRule="auto"/>
        <w:jc w:val="both"/>
        <w:rPr>
          <w:rFonts w:cs="Times New Roman"/>
          <w:b/>
          <w:smallCaps/>
          <w:color w:val="000000" w:themeColor="text1"/>
          <w:sz w:val="28"/>
          <w:szCs w:val="28"/>
        </w:rPr>
      </w:pPr>
    </w:p>
    <w:p w14:paraId="637EEA01" w14:textId="77777777" w:rsidR="00DF089D" w:rsidRPr="00FC17F1" w:rsidRDefault="00DF089D" w:rsidP="00FC17F1">
      <w:pPr>
        <w:spacing w:line="360" w:lineRule="auto"/>
        <w:jc w:val="both"/>
        <w:rPr>
          <w:rFonts w:cs="Times New Roman"/>
          <w:b/>
          <w:smallCaps/>
          <w:color w:val="000000" w:themeColor="text1"/>
          <w:sz w:val="28"/>
          <w:szCs w:val="28"/>
        </w:rPr>
      </w:pPr>
    </w:p>
    <w:p w14:paraId="2C6A3DE5" w14:textId="78880292" w:rsidR="000267E4" w:rsidRPr="00FC17F1" w:rsidRDefault="000D728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Implementation of the International Covenant on Economic, Social and Cultural Rights</w:t>
      </w:r>
    </w:p>
    <w:p w14:paraId="44C21D1C" w14:textId="77777777" w:rsidR="000267E4" w:rsidRPr="00FC17F1" w:rsidRDefault="000267E4" w:rsidP="00FC17F1">
      <w:pPr>
        <w:spacing w:line="360" w:lineRule="auto"/>
        <w:jc w:val="both"/>
        <w:rPr>
          <w:rFonts w:cs="Times New Roman"/>
          <w:b/>
          <w:smallCaps/>
          <w:color w:val="000000" w:themeColor="text1"/>
          <w:sz w:val="28"/>
          <w:szCs w:val="28"/>
        </w:rPr>
      </w:pPr>
    </w:p>
    <w:p w14:paraId="23474257" w14:textId="6AB46BBA" w:rsidR="000267E4" w:rsidRPr="00FC17F1" w:rsidRDefault="000D728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 xml:space="preserve">Part </w:t>
      </w:r>
      <w:r w:rsidR="00EE1D29" w:rsidRPr="00FC17F1">
        <w:rPr>
          <w:rFonts w:cs="Times New Roman"/>
          <w:b/>
          <w:iCs/>
          <w:color w:val="000000" w:themeColor="text1"/>
          <w:sz w:val="28"/>
          <w:szCs w:val="28"/>
        </w:rPr>
        <w:t>A</w:t>
      </w:r>
      <w:r w:rsidR="000267E4" w:rsidRPr="00FC17F1">
        <w:rPr>
          <w:rFonts w:cs="Times New Roman"/>
          <w:b/>
          <w:iCs/>
          <w:color w:val="000000" w:themeColor="text1"/>
          <w:sz w:val="28"/>
          <w:szCs w:val="28"/>
        </w:rPr>
        <w:t xml:space="preserve"> </w:t>
      </w:r>
      <w:r w:rsidR="00AC74C7" w:rsidRPr="00FC17F1">
        <w:rPr>
          <w:rFonts w:cs="Times New Roman"/>
          <w:b/>
          <w:smallCaps/>
          <w:color w:val="000000" w:themeColor="text1"/>
          <w:sz w:val="28"/>
          <w:szCs w:val="28"/>
        </w:rPr>
        <w:t>Issues Of Particular Relevance</w:t>
      </w:r>
    </w:p>
    <w:p w14:paraId="0B8D2337" w14:textId="58E70B27" w:rsidR="000D7287" w:rsidRPr="00FC17F1" w:rsidRDefault="000D7287" w:rsidP="00FC17F1">
      <w:pPr>
        <w:spacing w:line="360" w:lineRule="auto"/>
        <w:jc w:val="both"/>
        <w:rPr>
          <w:rFonts w:cs="Times New Roman"/>
          <w:b/>
          <w:smallCaps/>
          <w:color w:val="000000" w:themeColor="text1"/>
          <w:sz w:val="28"/>
          <w:szCs w:val="28"/>
        </w:rPr>
      </w:pPr>
    </w:p>
    <w:p w14:paraId="408CAC21" w14:textId="77777777" w:rsidR="00966472" w:rsidRPr="00FC17F1" w:rsidRDefault="00966472" w:rsidP="00FC17F1">
      <w:pPr>
        <w:spacing w:line="360" w:lineRule="auto"/>
        <w:jc w:val="both"/>
        <w:rPr>
          <w:rFonts w:cs="Times New Roman"/>
          <w:smallCaps/>
          <w:color w:val="000000" w:themeColor="text1"/>
          <w:sz w:val="28"/>
          <w:szCs w:val="28"/>
        </w:rPr>
      </w:pPr>
    </w:p>
    <w:p w14:paraId="6441E1DB" w14:textId="77777777" w:rsidR="00291DF1" w:rsidRPr="00FC17F1" w:rsidRDefault="00C15D92" w:rsidP="00FC17F1">
      <w:pPr>
        <w:pStyle w:val="SingleTxtG"/>
        <w:tabs>
          <w:tab w:val="num" w:pos="3474"/>
        </w:tabs>
        <w:spacing w:line="360" w:lineRule="auto"/>
        <w:ind w:left="0" w:right="-64"/>
        <w:rPr>
          <w:rFonts w:eastAsia="SimSun"/>
          <w:i/>
          <w:color w:val="000000" w:themeColor="text1"/>
          <w:sz w:val="28"/>
          <w:szCs w:val="28"/>
        </w:rPr>
      </w:pPr>
      <w:r w:rsidRPr="00FC17F1">
        <w:rPr>
          <w:rFonts w:eastAsia="SimSun"/>
          <w:i/>
          <w:color w:val="000000" w:themeColor="text1"/>
          <w:sz w:val="28"/>
          <w:szCs w:val="28"/>
        </w:rPr>
        <w:t xml:space="preserve">Question 1: </w:t>
      </w:r>
      <w:r w:rsidR="00857B13" w:rsidRPr="00FC17F1">
        <w:rPr>
          <w:rFonts w:eastAsia="SimSun"/>
          <w:i/>
          <w:color w:val="000000" w:themeColor="text1"/>
          <w:sz w:val="28"/>
          <w:szCs w:val="28"/>
        </w:rPr>
        <w:t>Please update the Committee on the Constitutional Review Process, in particular as regards any development in the recognition of economic, social and cultural rights in the New Zealand Bill of Rights Act, and on mechanisms for ensuring the compatibility of laws with international human rights treaties and the State party’s own sources of constitutional law, such as the Treaty of Waitangi and the Bill of Rights Act. In this regard, please explain the scope/relevance of declarations of inconsistency issued by the State party’s judicial power. Please also provide specific examples of cases, for the period 2012 and 2016, where Covenant rights have been invoked or applied by the domestic courts</w:t>
      </w:r>
      <w:r w:rsidR="00291DF1" w:rsidRPr="00FC17F1">
        <w:rPr>
          <w:rFonts w:eastAsia="SimSun"/>
          <w:i/>
          <w:color w:val="000000" w:themeColor="text1"/>
          <w:sz w:val="28"/>
          <w:szCs w:val="28"/>
        </w:rPr>
        <w:t>.</w:t>
      </w:r>
    </w:p>
    <w:p w14:paraId="70687661" w14:textId="24E0EF1D" w:rsidR="00F31E98" w:rsidRPr="00FC17F1" w:rsidRDefault="00857B13" w:rsidP="00FC17F1">
      <w:pPr>
        <w:pStyle w:val="SingleTxtG"/>
        <w:tabs>
          <w:tab w:val="num" w:pos="3474"/>
        </w:tabs>
        <w:spacing w:line="360" w:lineRule="auto"/>
        <w:ind w:left="0" w:right="-64"/>
        <w:rPr>
          <w:smallCaps/>
          <w:color w:val="000000" w:themeColor="text1"/>
          <w:sz w:val="28"/>
          <w:szCs w:val="28"/>
        </w:rPr>
      </w:pPr>
      <w:r w:rsidRPr="00FC17F1">
        <w:rPr>
          <w:rFonts w:eastAsia="SimSun"/>
          <w:i/>
          <w:color w:val="000000" w:themeColor="text1"/>
          <w:sz w:val="28"/>
          <w:szCs w:val="28"/>
        </w:rPr>
        <w:t xml:space="preserve"> </w:t>
      </w:r>
    </w:p>
    <w:p w14:paraId="3A5926E6" w14:textId="77777777" w:rsidR="00DC3558" w:rsidRPr="00FC17F1" w:rsidRDefault="00DC3558" w:rsidP="00FC17F1">
      <w:pPr>
        <w:spacing w:line="360" w:lineRule="auto"/>
        <w:jc w:val="both"/>
        <w:rPr>
          <w:rFonts w:cs="Times New Roman"/>
          <w:b/>
          <w:bCs/>
          <w:smallCaps/>
          <w:color w:val="000000" w:themeColor="text1"/>
          <w:sz w:val="28"/>
          <w:szCs w:val="28"/>
        </w:rPr>
      </w:pPr>
      <w:r w:rsidRPr="00FC17F1">
        <w:rPr>
          <w:rFonts w:cs="Times New Roman"/>
          <w:b/>
          <w:bCs/>
          <w:smallCaps/>
          <w:color w:val="000000" w:themeColor="text1"/>
          <w:sz w:val="28"/>
          <w:szCs w:val="28"/>
        </w:rPr>
        <w:t>ESC Rights are not incorporated into the domestic human rights legal framework: there is no constitutional or direct legislative protection for ESC rights.</w:t>
      </w:r>
    </w:p>
    <w:p w14:paraId="70DFE21D" w14:textId="7430030A" w:rsidR="00194EC8" w:rsidRPr="00FC17F1" w:rsidRDefault="00194EC8" w:rsidP="00FC17F1">
      <w:pPr>
        <w:spacing w:line="360" w:lineRule="auto"/>
        <w:jc w:val="both"/>
        <w:rPr>
          <w:rFonts w:cs="Times New Roman"/>
          <w:sz w:val="28"/>
          <w:szCs w:val="28"/>
        </w:rPr>
      </w:pPr>
    </w:p>
    <w:p w14:paraId="57F25776" w14:textId="3A8A83FC" w:rsidR="00194EC8" w:rsidRDefault="00023EBB" w:rsidP="00DA2390">
      <w:pPr>
        <w:pStyle w:val="ListParagraph"/>
        <w:numPr>
          <w:ilvl w:val="0"/>
          <w:numId w:val="9"/>
        </w:numPr>
        <w:spacing w:line="360" w:lineRule="auto"/>
        <w:jc w:val="both"/>
        <w:rPr>
          <w:rFonts w:cs="Times New Roman"/>
          <w:color w:val="000000" w:themeColor="text1"/>
          <w:sz w:val="28"/>
          <w:szCs w:val="28"/>
        </w:rPr>
      </w:pPr>
      <w:r w:rsidRPr="00FC17F1">
        <w:rPr>
          <w:rFonts w:cs="Times New Roman"/>
          <w:color w:val="000000" w:themeColor="text1"/>
          <w:sz w:val="28"/>
          <w:szCs w:val="28"/>
        </w:rPr>
        <w:t>T</w:t>
      </w:r>
      <w:r w:rsidR="00194EC8" w:rsidRPr="00FC17F1">
        <w:rPr>
          <w:rFonts w:cs="Times New Roman"/>
          <w:color w:val="000000" w:themeColor="text1"/>
          <w:sz w:val="28"/>
          <w:szCs w:val="28"/>
        </w:rPr>
        <w:t>he desirability of incorporating the Covenant into domestic law is stressed in th</w:t>
      </w:r>
      <w:r w:rsidRPr="00FC17F1">
        <w:rPr>
          <w:rFonts w:cs="Times New Roman"/>
          <w:color w:val="000000" w:themeColor="text1"/>
          <w:sz w:val="28"/>
          <w:szCs w:val="28"/>
        </w:rPr>
        <w:t xml:space="preserve">e Committee’s General Comments </w:t>
      </w:r>
      <w:r w:rsidR="00131A11">
        <w:rPr>
          <w:rFonts w:cs="Times New Roman"/>
          <w:color w:val="000000" w:themeColor="text1"/>
          <w:sz w:val="28"/>
          <w:szCs w:val="28"/>
        </w:rPr>
        <w:t>N</w:t>
      </w:r>
      <w:r w:rsidRPr="00FC17F1">
        <w:rPr>
          <w:rFonts w:cs="Times New Roman"/>
          <w:color w:val="000000" w:themeColor="text1"/>
          <w:sz w:val="28"/>
          <w:szCs w:val="28"/>
        </w:rPr>
        <w:t>os</w:t>
      </w:r>
      <w:r w:rsidR="001F5F01" w:rsidRPr="00FC17F1">
        <w:rPr>
          <w:rFonts w:cs="Times New Roman"/>
          <w:color w:val="000000" w:themeColor="text1"/>
          <w:sz w:val="28"/>
          <w:szCs w:val="28"/>
        </w:rPr>
        <w:t xml:space="preserve">. 3 and 9 and the Committee has </w:t>
      </w:r>
      <w:r w:rsidR="00081596">
        <w:rPr>
          <w:rFonts w:cs="Times New Roman"/>
          <w:color w:val="000000" w:themeColor="text1"/>
          <w:sz w:val="28"/>
          <w:szCs w:val="28"/>
        </w:rPr>
        <w:t xml:space="preserve">consistently </w:t>
      </w:r>
      <w:r w:rsidR="001F5F01" w:rsidRPr="00FC17F1">
        <w:rPr>
          <w:rFonts w:cs="Times New Roman"/>
          <w:color w:val="000000" w:themeColor="text1"/>
          <w:sz w:val="28"/>
          <w:szCs w:val="28"/>
        </w:rPr>
        <w:t xml:space="preserve">emphasised this to the New Zealand </w:t>
      </w:r>
      <w:r w:rsidR="00FF5CE1" w:rsidRPr="00FC17F1">
        <w:rPr>
          <w:rFonts w:cs="Times New Roman"/>
          <w:color w:val="000000" w:themeColor="text1"/>
          <w:sz w:val="28"/>
          <w:szCs w:val="28"/>
        </w:rPr>
        <w:t>G</w:t>
      </w:r>
      <w:r w:rsidR="001F5F01" w:rsidRPr="00FC17F1">
        <w:rPr>
          <w:rFonts w:cs="Times New Roman"/>
          <w:color w:val="000000" w:themeColor="text1"/>
          <w:sz w:val="28"/>
          <w:szCs w:val="28"/>
        </w:rPr>
        <w:t>overnment in its two prev</w:t>
      </w:r>
      <w:r w:rsidR="00F04536" w:rsidRPr="00FC17F1">
        <w:rPr>
          <w:rFonts w:cs="Times New Roman"/>
          <w:color w:val="000000" w:themeColor="text1"/>
          <w:sz w:val="28"/>
          <w:szCs w:val="28"/>
        </w:rPr>
        <w:t>ious Concluding Recommendations.</w:t>
      </w:r>
      <w:r w:rsidR="00F04536" w:rsidRPr="00FC17F1">
        <w:rPr>
          <w:rStyle w:val="FootnoteReference"/>
          <w:rFonts w:cs="Times New Roman"/>
          <w:color w:val="000000" w:themeColor="text1"/>
          <w:sz w:val="28"/>
          <w:szCs w:val="28"/>
        </w:rPr>
        <w:footnoteReference w:id="5"/>
      </w:r>
      <w:r w:rsidR="005B6CC2" w:rsidRPr="00C37B4D">
        <w:rPr>
          <w:rFonts w:cs="Times New Roman"/>
          <w:color w:val="000000" w:themeColor="text1"/>
          <w:sz w:val="28"/>
          <w:szCs w:val="28"/>
        </w:rPr>
        <w:tab/>
      </w:r>
    </w:p>
    <w:p w14:paraId="49F3206F" w14:textId="77777777" w:rsidR="00395AF2" w:rsidRPr="00FC17F1" w:rsidRDefault="00395AF2" w:rsidP="00FC17F1">
      <w:pPr>
        <w:pStyle w:val="ListParagraph"/>
        <w:spacing w:line="360" w:lineRule="auto"/>
        <w:ind w:left="360"/>
        <w:jc w:val="both"/>
        <w:rPr>
          <w:rFonts w:cs="Times New Roman"/>
          <w:color w:val="000000" w:themeColor="text1"/>
          <w:sz w:val="28"/>
          <w:szCs w:val="28"/>
        </w:rPr>
      </w:pPr>
    </w:p>
    <w:p w14:paraId="161FA6F4" w14:textId="6EF62E51" w:rsidR="005B6CC2" w:rsidRPr="00C37B4D" w:rsidRDefault="005B6CC2" w:rsidP="00DA2390">
      <w:pPr>
        <w:pStyle w:val="ListParagraph"/>
        <w:numPr>
          <w:ilvl w:val="0"/>
          <w:numId w:val="9"/>
        </w:numPr>
        <w:spacing w:line="360" w:lineRule="auto"/>
        <w:jc w:val="both"/>
        <w:rPr>
          <w:rFonts w:cs="Times New Roman"/>
          <w:color w:val="000000" w:themeColor="text1"/>
          <w:sz w:val="28"/>
          <w:szCs w:val="28"/>
        </w:rPr>
      </w:pPr>
      <w:r w:rsidRPr="00FC17F1">
        <w:rPr>
          <w:rFonts w:cs="Times New Roman"/>
          <w:color w:val="000000" w:themeColor="text1"/>
          <w:sz w:val="28"/>
          <w:szCs w:val="28"/>
        </w:rPr>
        <w:lastRenderedPageBreak/>
        <w:t>Although New Zealand has a</w:t>
      </w:r>
      <w:r w:rsidR="00081596">
        <w:rPr>
          <w:rFonts w:cs="Times New Roman"/>
          <w:color w:val="000000" w:themeColor="text1"/>
          <w:sz w:val="28"/>
          <w:szCs w:val="28"/>
        </w:rPr>
        <w:t>n</w:t>
      </w:r>
      <w:r w:rsidRPr="00FC17F1">
        <w:rPr>
          <w:rFonts w:cs="Times New Roman"/>
          <w:color w:val="000000" w:themeColor="text1"/>
          <w:sz w:val="28"/>
          <w:szCs w:val="28"/>
        </w:rPr>
        <w:t xml:space="preserve"> historical commitment to ESC rights since its support for their inclusion in the UDHR, this commitment has not been reflected in domestic law. Prior to the enactment of the New Zealand Bill of Rights Act (NZBORA) in 1990, the Select Committee suggested in its Final Report that ESC rights should be included. Unfortunately, this suggestion was not taken up </w:t>
      </w:r>
      <w:r w:rsidR="00081596">
        <w:rPr>
          <w:rFonts w:cs="Times New Roman"/>
          <w:color w:val="000000" w:themeColor="text1"/>
          <w:sz w:val="28"/>
          <w:szCs w:val="28"/>
        </w:rPr>
        <w:t xml:space="preserve">by the Government of the day </w:t>
      </w:r>
      <w:r w:rsidRPr="00FC17F1">
        <w:rPr>
          <w:rFonts w:cs="Times New Roman"/>
          <w:color w:val="000000" w:themeColor="text1"/>
          <w:sz w:val="28"/>
          <w:szCs w:val="28"/>
        </w:rPr>
        <w:t xml:space="preserve">and the NZBORA was enacted with no reference to ESC rights. </w:t>
      </w:r>
      <w:r w:rsidRPr="00C37B4D">
        <w:rPr>
          <w:rFonts w:cs="Times New Roman"/>
          <w:color w:val="000000" w:themeColor="text1"/>
          <w:sz w:val="28"/>
          <w:szCs w:val="28"/>
        </w:rPr>
        <w:tab/>
      </w:r>
      <w:r w:rsidRPr="00C37B4D">
        <w:rPr>
          <w:rFonts w:cs="Times New Roman"/>
          <w:color w:val="000000" w:themeColor="text1"/>
          <w:sz w:val="28"/>
          <w:szCs w:val="28"/>
        </w:rPr>
        <w:br/>
      </w:r>
      <w:r w:rsidRPr="00C37B4D">
        <w:rPr>
          <w:rFonts w:cs="Times New Roman"/>
          <w:color w:val="000000" w:themeColor="text1"/>
          <w:sz w:val="28"/>
          <w:szCs w:val="28"/>
        </w:rPr>
        <w:tab/>
      </w:r>
    </w:p>
    <w:p w14:paraId="01B7A6A0" w14:textId="755BC193" w:rsidR="005B6CC2" w:rsidRPr="00C37B4D" w:rsidRDefault="005B6CC2" w:rsidP="00DA2390">
      <w:pPr>
        <w:pStyle w:val="ListParagraph"/>
        <w:numPr>
          <w:ilvl w:val="0"/>
          <w:numId w:val="9"/>
        </w:numPr>
        <w:spacing w:line="360" w:lineRule="auto"/>
        <w:jc w:val="both"/>
        <w:rPr>
          <w:rFonts w:cs="Times New Roman"/>
          <w:sz w:val="28"/>
          <w:szCs w:val="28"/>
        </w:rPr>
      </w:pPr>
      <w:r w:rsidRPr="00C37B4D">
        <w:rPr>
          <w:rFonts w:cs="Times New Roman"/>
          <w:sz w:val="28"/>
          <w:szCs w:val="28"/>
        </w:rPr>
        <w:t>Submissions to the constitutional review process, including from the HRF,</w:t>
      </w:r>
      <w:r w:rsidR="002E53A2">
        <w:rPr>
          <w:rStyle w:val="FootnoteReference"/>
          <w:rFonts w:cs="Times New Roman"/>
          <w:sz w:val="28"/>
          <w:szCs w:val="28"/>
        </w:rPr>
        <w:footnoteReference w:id="6"/>
      </w:r>
      <w:r w:rsidRPr="00C37B4D">
        <w:rPr>
          <w:rFonts w:cs="Times New Roman"/>
          <w:sz w:val="28"/>
          <w:szCs w:val="28"/>
        </w:rPr>
        <w:t xml:space="preserve"> strongly recommended the incorporation of ESC rights into the New Zealand human rights framework. However, as appears from the Government report, there is currently an intention only of “further consultation” on</w:t>
      </w:r>
      <w:r w:rsidR="009D485E">
        <w:rPr>
          <w:rFonts w:cs="Times New Roman"/>
          <w:sz w:val="28"/>
          <w:szCs w:val="28"/>
        </w:rPr>
        <w:t xml:space="preserve"> this matter</w:t>
      </w:r>
      <w:r w:rsidRPr="00C37B4D">
        <w:rPr>
          <w:rFonts w:cs="Times New Roman"/>
          <w:sz w:val="28"/>
          <w:szCs w:val="28"/>
        </w:rPr>
        <w:t>.</w:t>
      </w:r>
      <w:r w:rsidRPr="00C37B4D">
        <w:rPr>
          <w:rFonts w:cs="Times New Roman"/>
          <w:sz w:val="28"/>
          <w:szCs w:val="28"/>
        </w:rPr>
        <w:tab/>
      </w:r>
    </w:p>
    <w:p w14:paraId="157A1D1A" w14:textId="77777777" w:rsidR="005B6CC2" w:rsidRPr="00C37B4D" w:rsidRDefault="005B6CC2" w:rsidP="00FC17F1">
      <w:pPr>
        <w:pStyle w:val="ListParagraph"/>
        <w:spacing w:line="360" w:lineRule="auto"/>
        <w:jc w:val="both"/>
        <w:rPr>
          <w:rFonts w:cs="Times New Roman"/>
          <w:sz w:val="28"/>
          <w:szCs w:val="28"/>
        </w:rPr>
      </w:pPr>
    </w:p>
    <w:p w14:paraId="412840EA" w14:textId="25861861" w:rsidR="005B6CC2" w:rsidRPr="00356FF4" w:rsidRDefault="00BB1180" w:rsidP="00DA2390">
      <w:pPr>
        <w:pStyle w:val="ListParagraph"/>
        <w:numPr>
          <w:ilvl w:val="0"/>
          <w:numId w:val="9"/>
        </w:numPr>
        <w:spacing w:line="360" w:lineRule="auto"/>
        <w:jc w:val="both"/>
        <w:rPr>
          <w:rFonts w:cs="Times New Roman"/>
          <w:sz w:val="28"/>
          <w:szCs w:val="28"/>
        </w:rPr>
      </w:pPr>
      <w:r w:rsidRPr="00C37B4D">
        <w:rPr>
          <w:rFonts w:cs="Times New Roman"/>
          <w:sz w:val="28"/>
          <w:szCs w:val="28"/>
        </w:rPr>
        <w:t xml:space="preserve"> </w:t>
      </w:r>
      <w:r w:rsidR="005B6CC2" w:rsidRPr="00C37B4D">
        <w:rPr>
          <w:rFonts w:cs="Times New Roman"/>
          <w:sz w:val="28"/>
          <w:szCs w:val="28"/>
        </w:rPr>
        <w:t xml:space="preserve">Thus, despite </w:t>
      </w:r>
      <w:r w:rsidR="009D485E">
        <w:rPr>
          <w:rFonts w:cs="Times New Roman"/>
          <w:sz w:val="28"/>
          <w:szCs w:val="28"/>
        </w:rPr>
        <w:t xml:space="preserve">the </w:t>
      </w:r>
      <w:r w:rsidR="005B6CC2" w:rsidRPr="00C37B4D">
        <w:rPr>
          <w:rFonts w:cs="Times New Roman"/>
          <w:sz w:val="28"/>
          <w:szCs w:val="28"/>
        </w:rPr>
        <w:t>recommendations from the Committee and both 2009</w:t>
      </w:r>
      <w:r w:rsidR="00395AF2">
        <w:rPr>
          <w:rStyle w:val="FootnoteReference"/>
          <w:rFonts w:cs="Times New Roman"/>
          <w:sz w:val="28"/>
          <w:szCs w:val="28"/>
        </w:rPr>
        <w:footnoteReference w:id="7"/>
      </w:r>
      <w:r w:rsidR="005B6CC2" w:rsidRPr="00C37B4D">
        <w:rPr>
          <w:rFonts w:cs="Times New Roman"/>
          <w:sz w:val="28"/>
          <w:szCs w:val="28"/>
        </w:rPr>
        <w:t xml:space="preserve"> and 2014</w:t>
      </w:r>
      <w:r w:rsidR="00395AF2">
        <w:rPr>
          <w:rStyle w:val="FootnoteReference"/>
          <w:rFonts w:cs="Times New Roman"/>
          <w:sz w:val="28"/>
          <w:szCs w:val="28"/>
        </w:rPr>
        <w:footnoteReference w:id="8"/>
      </w:r>
      <w:r w:rsidR="005B6CC2" w:rsidRPr="00C37B4D">
        <w:rPr>
          <w:rFonts w:cs="Times New Roman"/>
          <w:sz w:val="28"/>
          <w:szCs w:val="28"/>
        </w:rPr>
        <w:t xml:space="preserve"> U</w:t>
      </w:r>
      <w:r w:rsidR="00395AF2">
        <w:rPr>
          <w:rFonts w:cs="Times New Roman"/>
          <w:sz w:val="28"/>
          <w:szCs w:val="28"/>
        </w:rPr>
        <w:t>niversal Periodic Reviews (UPR)</w:t>
      </w:r>
      <w:r w:rsidR="005B6CC2" w:rsidRPr="00425A4A">
        <w:rPr>
          <w:rFonts w:cs="Times New Roman"/>
          <w:sz w:val="28"/>
          <w:szCs w:val="28"/>
        </w:rPr>
        <w:t>, New Zealand has not yet formally incorporated ESC rights into the domestic human rights framework. The Government has argued in these forums that individual statutes already protect such rights, as they do to some extent, although in piecemeal fashion. H</w:t>
      </w:r>
      <w:r w:rsidR="005B6CC2" w:rsidRPr="00DC5B0E">
        <w:rPr>
          <w:rFonts w:cs="Times New Roman"/>
          <w:sz w:val="28"/>
          <w:szCs w:val="28"/>
        </w:rPr>
        <w:t xml:space="preserve">owever, the advantages of the incorporation of civil and political rights apply equally to ESC rights. Further, if these rights, as </w:t>
      </w:r>
      <w:r w:rsidR="005B6CC2" w:rsidRPr="00081596">
        <w:rPr>
          <w:rFonts w:cs="Times New Roman"/>
          <w:sz w:val="28"/>
          <w:szCs w:val="28"/>
        </w:rPr>
        <w:t>argued, are so well protected, there can surely be no objection to their being incorporated directly into the New Zealand human rights framework.</w:t>
      </w:r>
      <w:r w:rsidRPr="007D2689">
        <w:rPr>
          <w:rFonts w:cs="Times New Roman"/>
          <w:sz w:val="28"/>
          <w:szCs w:val="28"/>
        </w:rPr>
        <w:br/>
      </w:r>
    </w:p>
    <w:p w14:paraId="2B06C536" w14:textId="0F1EA203" w:rsidR="00BB1180" w:rsidRPr="00C37B4D" w:rsidRDefault="00BB1180" w:rsidP="00DA2390">
      <w:pPr>
        <w:pStyle w:val="ListParagraph"/>
        <w:numPr>
          <w:ilvl w:val="0"/>
          <w:numId w:val="9"/>
        </w:numPr>
        <w:spacing w:line="360" w:lineRule="auto"/>
        <w:jc w:val="both"/>
        <w:rPr>
          <w:rFonts w:cs="Times New Roman"/>
          <w:color w:val="000000" w:themeColor="text1"/>
          <w:sz w:val="28"/>
          <w:szCs w:val="28"/>
        </w:rPr>
      </w:pPr>
      <w:r w:rsidRPr="00C37B4D">
        <w:rPr>
          <w:rFonts w:cs="Times New Roman"/>
          <w:color w:val="000000" w:themeColor="text1"/>
          <w:sz w:val="28"/>
          <w:szCs w:val="28"/>
        </w:rPr>
        <w:lastRenderedPageBreak/>
        <w:t xml:space="preserve"> The lack of protection for many of these rights affects the members of those </w:t>
      </w:r>
      <w:r w:rsidR="003F2110" w:rsidRPr="00C37B4D">
        <w:rPr>
          <w:rFonts w:cs="Times New Roman"/>
          <w:color w:val="000000" w:themeColor="text1"/>
          <w:sz w:val="28"/>
          <w:szCs w:val="28"/>
        </w:rPr>
        <w:t>groups that</w:t>
      </w:r>
      <w:r w:rsidRPr="00C37B4D">
        <w:rPr>
          <w:rFonts w:cs="Times New Roman"/>
          <w:color w:val="000000" w:themeColor="text1"/>
          <w:sz w:val="28"/>
          <w:szCs w:val="28"/>
        </w:rPr>
        <w:t xml:space="preserve"> are most vulnerable and marginalised</w:t>
      </w:r>
      <w:r w:rsidR="00395AF2">
        <w:rPr>
          <w:rFonts w:cs="Times New Roman"/>
          <w:color w:val="000000" w:themeColor="text1"/>
          <w:sz w:val="28"/>
          <w:szCs w:val="28"/>
        </w:rPr>
        <w:t>,</w:t>
      </w:r>
      <w:r w:rsidRPr="00C37B4D">
        <w:rPr>
          <w:rFonts w:cs="Times New Roman"/>
          <w:color w:val="000000" w:themeColor="text1"/>
          <w:sz w:val="28"/>
          <w:szCs w:val="28"/>
        </w:rPr>
        <w:t xml:space="preserve"> </w:t>
      </w:r>
      <w:r w:rsidR="00395AF2">
        <w:rPr>
          <w:rFonts w:cs="Times New Roman"/>
          <w:color w:val="000000" w:themeColor="text1"/>
          <w:sz w:val="28"/>
          <w:szCs w:val="28"/>
        </w:rPr>
        <w:t xml:space="preserve">providing </w:t>
      </w:r>
      <w:r w:rsidRPr="00C37B4D">
        <w:rPr>
          <w:rFonts w:cs="Times New Roman"/>
          <w:color w:val="000000" w:themeColor="text1"/>
          <w:sz w:val="28"/>
          <w:szCs w:val="28"/>
        </w:rPr>
        <w:t xml:space="preserve">even greater reason for their formal </w:t>
      </w:r>
      <w:r w:rsidR="00131A11">
        <w:rPr>
          <w:rFonts w:cs="Times New Roman"/>
          <w:color w:val="000000" w:themeColor="text1"/>
          <w:sz w:val="28"/>
          <w:szCs w:val="28"/>
        </w:rPr>
        <w:t xml:space="preserve">constitutional or legislative </w:t>
      </w:r>
      <w:r w:rsidRPr="00C37B4D">
        <w:rPr>
          <w:rFonts w:cs="Times New Roman"/>
          <w:color w:val="000000" w:themeColor="text1"/>
          <w:sz w:val="28"/>
          <w:szCs w:val="28"/>
        </w:rPr>
        <w:t>incorporation.</w:t>
      </w:r>
      <w:r w:rsidRPr="00C37B4D">
        <w:rPr>
          <w:rFonts w:cs="Times New Roman"/>
          <w:color w:val="000000" w:themeColor="text1"/>
          <w:sz w:val="28"/>
          <w:szCs w:val="28"/>
        </w:rPr>
        <w:tab/>
      </w:r>
      <w:r w:rsidRPr="00C37B4D">
        <w:rPr>
          <w:rFonts w:cs="Times New Roman"/>
          <w:color w:val="000000" w:themeColor="text1"/>
          <w:sz w:val="28"/>
          <w:szCs w:val="28"/>
        </w:rPr>
        <w:br/>
      </w:r>
    </w:p>
    <w:p w14:paraId="71BACBF3" w14:textId="691F6F93" w:rsidR="00BB1180" w:rsidRPr="00C37B4D" w:rsidRDefault="00BB1180" w:rsidP="00DA2390">
      <w:pPr>
        <w:pStyle w:val="ListParagraph"/>
        <w:numPr>
          <w:ilvl w:val="0"/>
          <w:numId w:val="9"/>
        </w:numPr>
        <w:spacing w:line="360" w:lineRule="auto"/>
        <w:jc w:val="both"/>
        <w:rPr>
          <w:rFonts w:cs="Times New Roman"/>
          <w:color w:val="000000" w:themeColor="text1"/>
          <w:sz w:val="28"/>
          <w:szCs w:val="28"/>
        </w:rPr>
      </w:pPr>
      <w:r w:rsidRPr="00C37B4D">
        <w:rPr>
          <w:rFonts w:cs="Times New Roman"/>
          <w:color w:val="000000" w:themeColor="text1"/>
          <w:sz w:val="28"/>
          <w:szCs w:val="28"/>
        </w:rPr>
        <w:t xml:space="preserve"> Although we still strongly recommend incorporation of ESC rights into the NZBORA, below </w:t>
      </w:r>
      <w:r w:rsidR="00E44054" w:rsidRPr="00C37B4D">
        <w:rPr>
          <w:rFonts w:cs="Times New Roman"/>
          <w:color w:val="000000" w:themeColor="text1"/>
          <w:sz w:val="28"/>
          <w:szCs w:val="28"/>
        </w:rPr>
        <w:t xml:space="preserve">in </w:t>
      </w:r>
      <w:r w:rsidR="00E44054" w:rsidRPr="00FC17F1">
        <w:rPr>
          <w:rFonts w:cs="Times New Roman"/>
          <w:sz w:val="28"/>
          <w:szCs w:val="28"/>
        </w:rPr>
        <w:t>paras</w:t>
      </w:r>
      <w:r w:rsidR="00E44054" w:rsidRPr="00C37B4D">
        <w:rPr>
          <w:rFonts w:cs="Times New Roman"/>
          <w:color w:val="000000" w:themeColor="text1"/>
          <w:sz w:val="28"/>
          <w:szCs w:val="28"/>
        </w:rPr>
        <w:t xml:space="preserve"> </w:t>
      </w:r>
      <w:r w:rsidR="00395AF2">
        <w:rPr>
          <w:rFonts w:cs="Times New Roman"/>
          <w:sz w:val="28"/>
          <w:szCs w:val="28"/>
        </w:rPr>
        <w:t>20-25</w:t>
      </w:r>
      <w:r w:rsidR="00E44054" w:rsidRPr="00C37B4D">
        <w:rPr>
          <w:rFonts w:cs="Times New Roman"/>
          <w:color w:val="000000" w:themeColor="text1"/>
          <w:sz w:val="28"/>
          <w:szCs w:val="28"/>
        </w:rPr>
        <w:t xml:space="preserve"> </w:t>
      </w:r>
      <w:r w:rsidRPr="00C37B4D">
        <w:rPr>
          <w:rFonts w:cs="Times New Roman"/>
          <w:color w:val="000000" w:themeColor="text1"/>
          <w:sz w:val="28"/>
          <w:szCs w:val="28"/>
        </w:rPr>
        <w:t>we draw the Committee’s attention to important limitations of the NZBORA itself</w:t>
      </w:r>
      <w:r w:rsidR="00734475" w:rsidRPr="00C37B4D">
        <w:rPr>
          <w:rFonts w:cs="Times New Roman"/>
          <w:color w:val="000000" w:themeColor="text1"/>
          <w:sz w:val="28"/>
          <w:szCs w:val="28"/>
        </w:rPr>
        <w:t>, which require reform</w:t>
      </w:r>
      <w:r w:rsidRPr="00C37B4D">
        <w:rPr>
          <w:rFonts w:cs="Times New Roman"/>
          <w:color w:val="000000" w:themeColor="text1"/>
          <w:sz w:val="28"/>
          <w:szCs w:val="28"/>
        </w:rPr>
        <w:t xml:space="preserve">.  </w:t>
      </w:r>
    </w:p>
    <w:p w14:paraId="74180FA8" w14:textId="77777777" w:rsidR="00E44054" w:rsidRPr="00C37B4D" w:rsidRDefault="00E44054" w:rsidP="00FC17F1">
      <w:pPr>
        <w:pStyle w:val="ListParagraph"/>
        <w:spacing w:line="360" w:lineRule="auto"/>
        <w:ind w:left="360"/>
        <w:jc w:val="both"/>
        <w:rPr>
          <w:rFonts w:cs="Times New Roman"/>
          <w:color w:val="000000" w:themeColor="text1"/>
          <w:sz w:val="28"/>
          <w:szCs w:val="28"/>
        </w:rPr>
      </w:pPr>
    </w:p>
    <w:p w14:paraId="41C2CE36" w14:textId="6A265851" w:rsidR="00AC74C7" w:rsidRPr="00FC17F1" w:rsidRDefault="00AC74C7" w:rsidP="00FC17F1">
      <w:pPr>
        <w:pStyle w:val="ListParagraph"/>
        <w:spacing w:line="360" w:lineRule="auto"/>
        <w:ind w:left="450"/>
        <w:jc w:val="both"/>
        <w:rPr>
          <w:rFonts w:cs="Times New Roman"/>
          <w:color w:val="000000" w:themeColor="text1"/>
          <w:sz w:val="28"/>
          <w:szCs w:val="28"/>
        </w:rPr>
      </w:pPr>
    </w:p>
    <w:p w14:paraId="5D6F557E" w14:textId="77777777" w:rsidR="00064B90" w:rsidRPr="00FC17F1" w:rsidRDefault="00064B90" w:rsidP="00FC17F1">
      <w:pPr>
        <w:spacing w:line="360" w:lineRule="auto"/>
        <w:jc w:val="both"/>
        <w:rPr>
          <w:rFonts w:cs="Times New Roman"/>
          <w:b/>
          <w:bCs/>
          <w:smallCaps/>
          <w:color w:val="000000" w:themeColor="text1"/>
          <w:sz w:val="28"/>
          <w:szCs w:val="28"/>
        </w:rPr>
      </w:pPr>
      <w:r w:rsidRPr="00FC17F1">
        <w:rPr>
          <w:rFonts w:cs="Times New Roman"/>
          <w:b/>
          <w:bCs/>
          <w:smallCaps/>
          <w:color w:val="000000" w:themeColor="text1"/>
          <w:sz w:val="28"/>
          <w:szCs w:val="28"/>
        </w:rPr>
        <w:t>Justiciability of Economic, Social and Cultural Rights</w:t>
      </w:r>
    </w:p>
    <w:p w14:paraId="132FB245" w14:textId="77777777" w:rsidR="00064B90" w:rsidRPr="00FC17F1" w:rsidRDefault="00064B90" w:rsidP="00FC17F1">
      <w:pPr>
        <w:pStyle w:val="ListParagraph"/>
        <w:spacing w:line="360" w:lineRule="auto"/>
        <w:ind w:left="360"/>
        <w:jc w:val="both"/>
        <w:rPr>
          <w:rFonts w:cs="Times New Roman"/>
          <w:b/>
          <w:bCs/>
          <w:smallCaps/>
          <w:color w:val="000000" w:themeColor="text1"/>
          <w:sz w:val="28"/>
          <w:szCs w:val="28"/>
        </w:rPr>
      </w:pPr>
    </w:p>
    <w:p w14:paraId="27D6BF55" w14:textId="28B43E81" w:rsidR="00064B90" w:rsidRPr="00FC17F1" w:rsidRDefault="00D5514C" w:rsidP="00FC17F1">
      <w:pPr>
        <w:spacing w:line="360" w:lineRule="auto"/>
        <w:jc w:val="both"/>
        <w:rPr>
          <w:rFonts w:cs="Times New Roman"/>
          <w:b/>
          <w:color w:val="000000" w:themeColor="text1"/>
          <w:sz w:val="28"/>
          <w:szCs w:val="28"/>
        </w:rPr>
      </w:pPr>
      <w:r w:rsidRPr="00FC17F1">
        <w:rPr>
          <w:rFonts w:cs="Times New Roman"/>
          <w:b/>
          <w:color w:val="000000" w:themeColor="text1"/>
          <w:sz w:val="28"/>
          <w:szCs w:val="28"/>
        </w:rPr>
        <w:t xml:space="preserve"> </w:t>
      </w:r>
      <w:r w:rsidR="00064B90" w:rsidRPr="00FC17F1">
        <w:rPr>
          <w:rFonts w:cs="Times New Roman"/>
          <w:b/>
          <w:color w:val="000000" w:themeColor="text1"/>
          <w:sz w:val="28"/>
          <w:szCs w:val="28"/>
        </w:rPr>
        <w:t>Introductio</w:t>
      </w:r>
      <w:r w:rsidR="00A1558A" w:rsidRPr="00FC17F1">
        <w:rPr>
          <w:rFonts w:cs="Times New Roman"/>
          <w:b/>
          <w:color w:val="000000" w:themeColor="text1"/>
          <w:sz w:val="28"/>
          <w:szCs w:val="28"/>
        </w:rPr>
        <w:t>n</w:t>
      </w:r>
    </w:p>
    <w:p w14:paraId="0CF727BC" w14:textId="69298127" w:rsidR="00734475" w:rsidRPr="00FC17F1" w:rsidRDefault="00064B90" w:rsidP="00DA2390">
      <w:pPr>
        <w:pStyle w:val="ListParagraph"/>
        <w:numPr>
          <w:ilvl w:val="0"/>
          <w:numId w:val="2"/>
        </w:numPr>
        <w:spacing w:line="360" w:lineRule="auto"/>
        <w:ind w:left="720"/>
        <w:jc w:val="both"/>
        <w:rPr>
          <w:rFonts w:cs="Times New Roman"/>
          <w:b/>
          <w:sz w:val="28"/>
          <w:szCs w:val="28"/>
        </w:rPr>
      </w:pPr>
      <w:r w:rsidRPr="00FC17F1">
        <w:rPr>
          <w:rFonts w:cs="Times New Roman"/>
          <w:color w:val="000000" w:themeColor="text1"/>
          <w:sz w:val="28"/>
          <w:szCs w:val="28"/>
        </w:rPr>
        <w:t xml:space="preserve">We note </w:t>
      </w:r>
      <w:r w:rsidR="00A1558A" w:rsidRPr="00FC17F1">
        <w:rPr>
          <w:rFonts w:cs="Times New Roman"/>
          <w:color w:val="000000" w:themeColor="text1"/>
          <w:sz w:val="28"/>
          <w:szCs w:val="28"/>
        </w:rPr>
        <w:t xml:space="preserve">also </w:t>
      </w:r>
      <w:r w:rsidRPr="00FC17F1">
        <w:rPr>
          <w:rFonts w:cs="Times New Roman"/>
          <w:color w:val="000000" w:themeColor="text1"/>
          <w:sz w:val="28"/>
          <w:szCs w:val="28"/>
        </w:rPr>
        <w:t>the desirability of making</w:t>
      </w:r>
      <w:r w:rsidR="009D4D90">
        <w:rPr>
          <w:rFonts w:cs="Times New Roman"/>
          <w:color w:val="000000" w:themeColor="text1"/>
          <w:sz w:val="28"/>
          <w:szCs w:val="28"/>
        </w:rPr>
        <w:t xml:space="preserve"> </w:t>
      </w:r>
      <w:r w:rsidRPr="00FC17F1">
        <w:rPr>
          <w:rFonts w:cs="Times New Roman"/>
          <w:color w:val="000000" w:themeColor="text1"/>
          <w:sz w:val="28"/>
          <w:szCs w:val="28"/>
        </w:rPr>
        <w:t xml:space="preserve">ESC rights justiciable as is recommended in the Committee’s General Comment No. </w:t>
      </w:r>
      <w:r w:rsidR="00B865ED">
        <w:rPr>
          <w:rFonts w:cs="Times New Roman"/>
          <w:color w:val="000000" w:themeColor="text1"/>
          <w:sz w:val="28"/>
          <w:szCs w:val="28"/>
        </w:rPr>
        <w:t xml:space="preserve">9. </w:t>
      </w:r>
      <w:r w:rsidRPr="00FC17F1">
        <w:rPr>
          <w:rFonts w:cs="Times New Roman"/>
          <w:sz w:val="28"/>
          <w:szCs w:val="28"/>
        </w:rPr>
        <w:t xml:space="preserve">Although historically ESC rights have not been considered to be justiciable in the way civil and political rights have been, this perception has changed in many jurisdictions and the justiciability of aspects of many ESC rights is increasingly recognised, domestically, regionally and internationally. </w:t>
      </w:r>
    </w:p>
    <w:p w14:paraId="2675C5FB" w14:textId="77777777" w:rsidR="00A1558A" w:rsidRPr="00FC17F1" w:rsidRDefault="00A1558A" w:rsidP="00FC17F1">
      <w:pPr>
        <w:spacing w:line="360" w:lineRule="auto"/>
        <w:jc w:val="both"/>
        <w:rPr>
          <w:rFonts w:cs="Times New Roman"/>
          <w:color w:val="000000" w:themeColor="text1"/>
          <w:sz w:val="28"/>
          <w:szCs w:val="28"/>
        </w:rPr>
      </w:pPr>
    </w:p>
    <w:p w14:paraId="229DA630" w14:textId="253A0B5B" w:rsidR="00064B90" w:rsidRPr="00FC17F1" w:rsidRDefault="00F60A85" w:rsidP="00FC17F1">
      <w:pPr>
        <w:spacing w:line="360" w:lineRule="auto"/>
        <w:jc w:val="both"/>
        <w:rPr>
          <w:rFonts w:cs="Times New Roman"/>
          <w:b/>
          <w:color w:val="000000" w:themeColor="text1"/>
          <w:sz w:val="28"/>
          <w:szCs w:val="28"/>
        </w:rPr>
      </w:pPr>
      <w:r w:rsidRPr="00FC17F1">
        <w:rPr>
          <w:rFonts w:cs="Times New Roman"/>
          <w:b/>
          <w:color w:val="000000" w:themeColor="text1"/>
          <w:sz w:val="28"/>
          <w:szCs w:val="28"/>
        </w:rPr>
        <w:t xml:space="preserve">The </w:t>
      </w:r>
      <w:r w:rsidR="00064B90" w:rsidRPr="00FC17F1">
        <w:rPr>
          <w:rFonts w:cs="Times New Roman"/>
          <w:b/>
          <w:color w:val="000000" w:themeColor="text1"/>
          <w:sz w:val="28"/>
          <w:szCs w:val="28"/>
        </w:rPr>
        <w:t xml:space="preserve">New Zealand Experience </w:t>
      </w:r>
    </w:p>
    <w:p w14:paraId="403A5D87" w14:textId="4F7D8508" w:rsidR="00A1558A" w:rsidRPr="00FC17F1" w:rsidRDefault="00064B90" w:rsidP="00DA2390">
      <w:pPr>
        <w:pStyle w:val="ListParagraph"/>
        <w:numPr>
          <w:ilvl w:val="0"/>
          <w:numId w:val="2"/>
        </w:numPr>
        <w:spacing w:line="360" w:lineRule="auto"/>
        <w:ind w:left="720"/>
        <w:jc w:val="both"/>
        <w:rPr>
          <w:rFonts w:cs="Times New Roman"/>
          <w:color w:val="000000" w:themeColor="text1"/>
          <w:sz w:val="28"/>
          <w:szCs w:val="28"/>
        </w:rPr>
      </w:pPr>
      <w:r w:rsidRPr="00FC17F1">
        <w:rPr>
          <w:rFonts w:cs="Times New Roman"/>
          <w:color w:val="000000" w:themeColor="text1"/>
          <w:sz w:val="28"/>
          <w:szCs w:val="28"/>
        </w:rPr>
        <w:t>Historically, the Courts in New Zealand have been reluctant to treat ESC rights as directly enforceable.</w:t>
      </w:r>
      <w:r w:rsidRPr="00FC17F1">
        <w:rPr>
          <w:rStyle w:val="FootnoteReference"/>
          <w:rFonts w:cs="Times New Roman"/>
          <w:color w:val="000000" w:themeColor="text1"/>
          <w:sz w:val="28"/>
          <w:szCs w:val="28"/>
        </w:rPr>
        <w:footnoteReference w:id="9"/>
      </w:r>
      <w:r w:rsidRPr="00FC17F1">
        <w:rPr>
          <w:rFonts w:cs="Times New Roman"/>
          <w:color w:val="000000" w:themeColor="text1"/>
          <w:sz w:val="28"/>
          <w:szCs w:val="28"/>
        </w:rPr>
        <w:t xml:space="preserve">  This is partly due to the lack of direct incorporation into domestic law as noted in </w:t>
      </w:r>
      <w:r w:rsidR="00F60A85">
        <w:rPr>
          <w:rFonts w:cs="Times New Roman"/>
          <w:color w:val="000000" w:themeColor="text1"/>
          <w:sz w:val="28"/>
          <w:szCs w:val="28"/>
        </w:rPr>
        <w:t xml:space="preserve">previous </w:t>
      </w:r>
      <w:r w:rsidRPr="00FC17F1">
        <w:rPr>
          <w:rFonts w:cs="Times New Roman"/>
          <w:color w:val="000000" w:themeColor="text1"/>
          <w:sz w:val="28"/>
          <w:szCs w:val="28"/>
        </w:rPr>
        <w:t>paragraph</w:t>
      </w:r>
      <w:r w:rsidR="00F60A85">
        <w:rPr>
          <w:rFonts w:cs="Times New Roman"/>
          <w:color w:val="000000" w:themeColor="text1"/>
          <w:sz w:val="28"/>
          <w:szCs w:val="28"/>
        </w:rPr>
        <w:t>s</w:t>
      </w:r>
      <w:r w:rsidRPr="00FC17F1">
        <w:rPr>
          <w:rFonts w:cs="Times New Roman"/>
          <w:color w:val="000000" w:themeColor="text1"/>
          <w:sz w:val="28"/>
          <w:szCs w:val="28"/>
        </w:rPr>
        <w:t>, and partly relying on the argument that the allocation of resources involved with ESC rights is of a political nature, and therefore a matter for Parliament rather than the judiciary.</w:t>
      </w:r>
    </w:p>
    <w:p w14:paraId="14FD3A1C" w14:textId="0440AD05" w:rsidR="00064B90" w:rsidRPr="00FC17F1" w:rsidRDefault="00064B90" w:rsidP="00FC17F1">
      <w:pPr>
        <w:spacing w:line="360" w:lineRule="auto"/>
        <w:jc w:val="both"/>
        <w:rPr>
          <w:rFonts w:cs="Times New Roman"/>
          <w:color w:val="000000" w:themeColor="text1"/>
          <w:sz w:val="28"/>
          <w:szCs w:val="28"/>
        </w:rPr>
      </w:pPr>
      <w:r w:rsidRPr="00FC17F1">
        <w:rPr>
          <w:rFonts w:cs="Times New Roman"/>
          <w:color w:val="000000" w:themeColor="text1"/>
          <w:sz w:val="28"/>
          <w:szCs w:val="28"/>
        </w:rPr>
        <w:t xml:space="preserve"> </w:t>
      </w:r>
    </w:p>
    <w:p w14:paraId="51AB0043" w14:textId="2A28B7A3" w:rsidR="00064B90" w:rsidRPr="00FC17F1" w:rsidRDefault="00064B90" w:rsidP="00DA2390">
      <w:pPr>
        <w:pStyle w:val="ListParagraph"/>
        <w:numPr>
          <w:ilvl w:val="0"/>
          <w:numId w:val="2"/>
        </w:numPr>
        <w:spacing w:line="360" w:lineRule="auto"/>
        <w:ind w:left="720" w:hanging="381"/>
        <w:jc w:val="both"/>
        <w:rPr>
          <w:rFonts w:cs="Times New Roman"/>
          <w:color w:val="000000" w:themeColor="text1"/>
          <w:sz w:val="28"/>
          <w:szCs w:val="28"/>
        </w:rPr>
      </w:pPr>
      <w:r w:rsidRPr="00FC17F1">
        <w:rPr>
          <w:rFonts w:cs="Times New Roman"/>
          <w:color w:val="000000" w:themeColor="text1"/>
          <w:sz w:val="28"/>
          <w:szCs w:val="28"/>
        </w:rPr>
        <w:lastRenderedPageBreak/>
        <w:t>However, we note a trend in the judicial system where judges are increasingly inclined to take note of the State’s international obligations,</w:t>
      </w:r>
      <w:r w:rsidR="00BB1180" w:rsidRPr="00C37B4D">
        <w:rPr>
          <w:rFonts w:cs="Times New Roman"/>
          <w:color w:val="000000" w:themeColor="text1"/>
          <w:sz w:val="28"/>
          <w:szCs w:val="28"/>
        </w:rPr>
        <w:t xml:space="preserve"> </w:t>
      </w:r>
      <w:r w:rsidRPr="00FC17F1">
        <w:rPr>
          <w:rFonts w:cs="Times New Roman"/>
          <w:color w:val="000000" w:themeColor="text1"/>
          <w:sz w:val="28"/>
          <w:szCs w:val="28"/>
        </w:rPr>
        <w:t>including the ICESCR</w:t>
      </w:r>
      <w:r w:rsidR="00766D5D" w:rsidRPr="00FC17F1">
        <w:rPr>
          <w:rFonts w:cs="Times New Roman"/>
          <w:color w:val="000000" w:themeColor="text1"/>
          <w:sz w:val="28"/>
          <w:szCs w:val="28"/>
        </w:rPr>
        <w:t>,</w:t>
      </w:r>
      <w:r w:rsidRPr="00FC17F1">
        <w:rPr>
          <w:rStyle w:val="FootnoteReference"/>
          <w:rFonts w:cs="Times New Roman"/>
          <w:color w:val="000000" w:themeColor="text1"/>
          <w:sz w:val="28"/>
          <w:szCs w:val="28"/>
        </w:rPr>
        <w:footnoteReference w:id="10"/>
      </w:r>
      <w:r w:rsidR="00766D5D" w:rsidRPr="00FC17F1">
        <w:rPr>
          <w:rFonts w:cs="Times New Roman"/>
          <w:color w:val="000000" w:themeColor="text1"/>
          <w:sz w:val="28"/>
          <w:szCs w:val="28"/>
        </w:rPr>
        <w:t xml:space="preserve"> as noted in the list of cases in the Government report</w:t>
      </w:r>
      <w:r w:rsidR="00C66696" w:rsidRPr="00C37B4D">
        <w:rPr>
          <w:rStyle w:val="FootnoteReference"/>
          <w:rFonts w:cs="Times New Roman"/>
          <w:color w:val="000000" w:themeColor="text1"/>
          <w:sz w:val="28"/>
          <w:szCs w:val="28"/>
        </w:rPr>
        <w:footnoteReference w:id="11"/>
      </w:r>
      <w:r w:rsidR="00766D5D" w:rsidRPr="00FC17F1">
        <w:rPr>
          <w:rFonts w:cs="Times New Roman"/>
          <w:color w:val="000000" w:themeColor="text1"/>
          <w:sz w:val="28"/>
          <w:szCs w:val="28"/>
        </w:rPr>
        <w:t xml:space="preserve">. It is not clear however whether the Covenant yet carries sufficient weight to have </w:t>
      </w:r>
      <w:r w:rsidR="00F60A85">
        <w:rPr>
          <w:rFonts w:cs="Times New Roman"/>
          <w:color w:val="000000" w:themeColor="text1"/>
          <w:sz w:val="28"/>
          <w:szCs w:val="28"/>
        </w:rPr>
        <w:t xml:space="preserve">any </w:t>
      </w:r>
      <w:r w:rsidR="00766D5D" w:rsidRPr="00FC17F1">
        <w:rPr>
          <w:rFonts w:cs="Times New Roman"/>
          <w:color w:val="000000" w:themeColor="text1"/>
          <w:sz w:val="28"/>
          <w:szCs w:val="28"/>
        </w:rPr>
        <w:t>effect on the outcome in such cases.</w:t>
      </w:r>
    </w:p>
    <w:p w14:paraId="5BDB71D4" w14:textId="77777777" w:rsidR="00A1558A" w:rsidRPr="00FC17F1" w:rsidRDefault="00A1558A" w:rsidP="00FC17F1">
      <w:pPr>
        <w:spacing w:line="360" w:lineRule="auto"/>
        <w:jc w:val="both"/>
        <w:rPr>
          <w:rFonts w:cs="Times New Roman"/>
          <w:color w:val="000000" w:themeColor="text1"/>
          <w:sz w:val="28"/>
          <w:szCs w:val="28"/>
        </w:rPr>
      </w:pPr>
    </w:p>
    <w:p w14:paraId="00BC6039" w14:textId="17E81103" w:rsidR="00631DC4" w:rsidRPr="00C37B4D" w:rsidRDefault="00064B90" w:rsidP="00DA2390">
      <w:pPr>
        <w:pStyle w:val="ListParagraph"/>
        <w:numPr>
          <w:ilvl w:val="0"/>
          <w:numId w:val="2"/>
        </w:numPr>
        <w:spacing w:line="360" w:lineRule="auto"/>
        <w:ind w:left="810"/>
        <w:jc w:val="both"/>
        <w:rPr>
          <w:rFonts w:cs="Times New Roman"/>
          <w:color w:val="000000" w:themeColor="text1"/>
          <w:sz w:val="28"/>
          <w:szCs w:val="28"/>
        </w:rPr>
      </w:pPr>
      <w:r w:rsidRPr="00FC17F1">
        <w:rPr>
          <w:rFonts w:cs="Times New Roman"/>
          <w:color w:val="000000" w:themeColor="text1"/>
          <w:sz w:val="28"/>
          <w:szCs w:val="28"/>
        </w:rPr>
        <w:t>We acknowledge that some ESC rights are protected by specific legislation,</w:t>
      </w:r>
      <w:r w:rsidRPr="00FC17F1">
        <w:rPr>
          <w:rStyle w:val="FootnoteReference"/>
          <w:rFonts w:cs="Times New Roman"/>
          <w:color w:val="000000" w:themeColor="text1"/>
          <w:sz w:val="28"/>
          <w:szCs w:val="28"/>
        </w:rPr>
        <w:footnoteReference w:id="12"/>
      </w:r>
      <w:r w:rsidRPr="00FC17F1">
        <w:rPr>
          <w:rFonts w:cs="Times New Roman"/>
          <w:color w:val="000000" w:themeColor="text1"/>
          <w:sz w:val="28"/>
          <w:szCs w:val="28"/>
        </w:rPr>
        <w:t xml:space="preserve"> but consider direct incorporation to be also necessary.  Direct incorporation and recognition of ESC rights promotes a clear human rights framework for interpretation and</w:t>
      </w:r>
      <w:r w:rsidR="00631DC4" w:rsidRPr="00C37B4D">
        <w:rPr>
          <w:rFonts w:cs="Times New Roman"/>
          <w:color w:val="000000" w:themeColor="text1"/>
          <w:sz w:val="28"/>
          <w:szCs w:val="28"/>
        </w:rPr>
        <w:t xml:space="preserve"> </w:t>
      </w:r>
      <w:r w:rsidRPr="00FC17F1">
        <w:rPr>
          <w:rFonts w:cs="Times New Roman"/>
          <w:color w:val="000000" w:themeColor="text1"/>
          <w:sz w:val="28"/>
          <w:szCs w:val="28"/>
        </w:rPr>
        <w:t xml:space="preserve">implementation of </w:t>
      </w:r>
      <w:r w:rsidR="007D2689">
        <w:rPr>
          <w:rFonts w:cs="Times New Roman"/>
          <w:color w:val="000000" w:themeColor="text1"/>
          <w:sz w:val="28"/>
          <w:szCs w:val="28"/>
        </w:rPr>
        <w:t>such</w:t>
      </w:r>
      <w:r w:rsidR="007D2689" w:rsidRPr="00FC17F1">
        <w:rPr>
          <w:rFonts w:cs="Times New Roman"/>
          <w:color w:val="000000" w:themeColor="text1"/>
          <w:sz w:val="28"/>
          <w:szCs w:val="28"/>
        </w:rPr>
        <w:t xml:space="preserve"> </w:t>
      </w:r>
      <w:r w:rsidRPr="00FC17F1">
        <w:rPr>
          <w:rFonts w:cs="Times New Roman"/>
          <w:color w:val="000000" w:themeColor="text1"/>
          <w:sz w:val="28"/>
          <w:szCs w:val="28"/>
        </w:rPr>
        <w:t>statute</w:t>
      </w:r>
      <w:r w:rsidR="007D2689">
        <w:rPr>
          <w:rFonts w:cs="Times New Roman"/>
          <w:color w:val="000000" w:themeColor="text1"/>
          <w:sz w:val="28"/>
          <w:szCs w:val="28"/>
        </w:rPr>
        <w:t>s</w:t>
      </w:r>
      <w:r w:rsidR="00B54E87" w:rsidRPr="00C37B4D">
        <w:rPr>
          <w:rFonts w:cs="Times New Roman"/>
          <w:color w:val="000000" w:themeColor="text1"/>
          <w:sz w:val="28"/>
          <w:szCs w:val="28"/>
        </w:rPr>
        <w:t>.</w:t>
      </w:r>
    </w:p>
    <w:p w14:paraId="35851560" w14:textId="77777777" w:rsidR="00631DC4" w:rsidRPr="00FC17F1" w:rsidRDefault="00631DC4" w:rsidP="00FC17F1">
      <w:pPr>
        <w:spacing w:line="360" w:lineRule="auto"/>
        <w:jc w:val="both"/>
        <w:rPr>
          <w:rFonts w:cs="Times New Roman"/>
          <w:color w:val="000000" w:themeColor="text1"/>
          <w:sz w:val="28"/>
          <w:szCs w:val="28"/>
        </w:rPr>
      </w:pPr>
    </w:p>
    <w:p w14:paraId="32BD76C5" w14:textId="77777777" w:rsidR="00631DC4" w:rsidRPr="00FC17F1" w:rsidRDefault="00631DC4" w:rsidP="00FC17F1">
      <w:pPr>
        <w:pStyle w:val="ListParagraph"/>
        <w:spacing w:line="360" w:lineRule="auto"/>
        <w:ind w:left="0"/>
        <w:jc w:val="both"/>
        <w:rPr>
          <w:rFonts w:cs="Times New Roman"/>
          <w:b/>
          <w:bCs/>
          <w:smallCaps/>
          <w:color w:val="000000" w:themeColor="text1"/>
          <w:sz w:val="28"/>
          <w:szCs w:val="28"/>
        </w:rPr>
      </w:pPr>
      <w:r w:rsidRPr="00FC17F1">
        <w:rPr>
          <w:rFonts w:cs="Times New Roman"/>
          <w:b/>
          <w:bCs/>
          <w:smallCaps/>
          <w:color w:val="000000" w:themeColor="text1"/>
          <w:sz w:val="28"/>
          <w:szCs w:val="28"/>
        </w:rPr>
        <w:t>Optional Protocol to the ICESCR</w:t>
      </w:r>
    </w:p>
    <w:p w14:paraId="298236AA" w14:textId="77777777" w:rsidR="00631DC4" w:rsidRPr="00FC17F1" w:rsidRDefault="00631DC4" w:rsidP="00FC17F1">
      <w:pPr>
        <w:pStyle w:val="ListParagraph"/>
        <w:spacing w:line="360" w:lineRule="auto"/>
        <w:ind w:left="0"/>
        <w:jc w:val="both"/>
        <w:rPr>
          <w:rFonts w:cs="Times New Roman"/>
          <w:b/>
          <w:bCs/>
          <w:smallCaps/>
          <w:color w:val="000000" w:themeColor="text1"/>
          <w:sz w:val="28"/>
          <w:szCs w:val="28"/>
        </w:rPr>
      </w:pPr>
    </w:p>
    <w:p w14:paraId="0377DC19" w14:textId="3CE161BA" w:rsidR="00631DC4" w:rsidRDefault="00631DC4" w:rsidP="00DA2390">
      <w:pPr>
        <w:pStyle w:val="ListParagraph"/>
        <w:numPr>
          <w:ilvl w:val="0"/>
          <w:numId w:val="2"/>
        </w:numPr>
        <w:spacing w:line="360" w:lineRule="auto"/>
        <w:ind w:left="810"/>
        <w:jc w:val="both"/>
        <w:rPr>
          <w:rFonts w:cs="Times New Roman"/>
          <w:color w:val="000000" w:themeColor="text1"/>
          <w:sz w:val="28"/>
          <w:szCs w:val="28"/>
        </w:rPr>
      </w:pPr>
      <w:r w:rsidRPr="00FC17F1">
        <w:rPr>
          <w:rFonts w:cs="Times New Roman"/>
          <w:color w:val="000000" w:themeColor="text1"/>
          <w:sz w:val="28"/>
          <w:szCs w:val="28"/>
        </w:rPr>
        <w:t xml:space="preserve">New Zealand has been a signatory to the First Optional Protocol to the International Covenant on Civil and Political Rights (OP-ICCPR) since 1989. However, its intentions with regard to the Optional Protocol to the International Covenant on Economic, Social and Cultural Rights (OP-ICESCR) remain unclear. </w:t>
      </w:r>
    </w:p>
    <w:p w14:paraId="12001FC0" w14:textId="77777777" w:rsidR="00395AF2" w:rsidRPr="00FC17F1" w:rsidRDefault="00395AF2" w:rsidP="00FC17F1">
      <w:pPr>
        <w:pStyle w:val="ListParagraph"/>
        <w:spacing w:line="360" w:lineRule="auto"/>
        <w:ind w:left="0"/>
        <w:jc w:val="both"/>
        <w:rPr>
          <w:rFonts w:cs="Times New Roman"/>
          <w:color w:val="000000" w:themeColor="text1"/>
          <w:sz w:val="28"/>
          <w:szCs w:val="28"/>
        </w:rPr>
      </w:pPr>
    </w:p>
    <w:p w14:paraId="2843515F" w14:textId="0F9F1136" w:rsidR="00631DC4" w:rsidRDefault="00631DC4" w:rsidP="00DA2390">
      <w:pPr>
        <w:pStyle w:val="ListParagraph"/>
        <w:numPr>
          <w:ilvl w:val="0"/>
          <w:numId w:val="2"/>
        </w:numPr>
        <w:spacing w:line="360" w:lineRule="auto"/>
        <w:ind w:left="900" w:hanging="426"/>
        <w:jc w:val="both"/>
        <w:rPr>
          <w:rFonts w:cs="Times New Roman"/>
          <w:color w:val="000000" w:themeColor="text1"/>
          <w:sz w:val="28"/>
          <w:szCs w:val="28"/>
        </w:rPr>
      </w:pPr>
      <w:r w:rsidRPr="00FC17F1">
        <w:rPr>
          <w:rFonts w:cs="Times New Roman"/>
          <w:color w:val="000000" w:themeColor="text1"/>
          <w:sz w:val="28"/>
          <w:szCs w:val="28"/>
        </w:rPr>
        <w:t xml:space="preserve">We strongly recommend the New Zealand Government ratify the OP-ICESCR, as it would not only provide an avenue for individual complaints to be heard where there is a lack of recognition for these rights in New Zealand but also indicate a commitment to take ESC rights seriously. </w:t>
      </w:r>
    </w:p>
    <w:p w14:paraId="738D7BAB" w14:textId="77777777" w:rsidR="00605CCD" w:rsidRPr="00FC17F1" w:rsidRDefault="00605CCD" w:rsidP="00FC17F1">
      <w:pPr>
        <w:pStyle w:val="ListParagraph"/>
        <w:ind w:left="0"/>
        <w:jc w:val="both"/>
        <w:rPr>
          <w:rFonts w:cs="Times New Roman"/>
          <w:color w:val="000000" w:themeColor="text1"/>
          <w:sz w:val="28"/>
          <w:szCs w:val="28"/>
        </w:rPr>
      </w:pPr>
    </w:p>
    <w:p w14:paraId="646400EF" w14:textId="0B186A63" w:rsidR="00605CCD" w:rsidRPr="00FC17F1" w:rsidRDefault="00605CCD" w:rsidP="00FC17F1">
      <w:pPr>
        <w:spacing w:line="360" w:lineRule="auto"/>
        <w:jc w:val="both"/>
        <w:rPr>
          <w:rFonts w:cs="Times New Roman"/>
          <w:b/>
          <w:color w:val="000000" w:themeColor="text1"/>
          <w:sz w:val="28"/>
          <w:szCs w:val="28"/>
        </w:rPr>
      </w:pPr>
      <w:r w:rsidRPr="00FC17F1">
        <w:rPr>
          <w:rFonts w:cs="Times New Roman"/>
          <w:b/>
          <w:color w:val="000000" w:themeColor="text1"/>
          <w:sz w:val="28"/>
          <w:szCs w:val="28"/>
        </w:rPr>
        <w:t>Recommendations</w:t>
      </w:r>
    </w:p>
    <w:p w14:paraId="29CEB1D0" w14:textId="77777777" w:rsidR="00395AF2" w:rsidRPr="00FC17F1" w:rsidRDefault="00395AF2" w:rsidP="00FC17F1">
      <w:pPr>
        <w:spacing w:line="360" w:lineRule="auto"/>
        <w:jc w:val="both"/>
        <w:rPr>
          <w:rFonts w:cs="Times New Roman"/>
          <w:color w:val="000000" w:themeColor="text1"/>
          <w:sz w:val="28"/>
          <w:szCs w:val="28"/>
        </w:rPr>
      </w:pPr>
    </w:p>
    <w:p w14:paraId="1823B626" w14:textId="2D6EFAE8" w:rsidR="00631DC4" w:rsidRPr="00FC17F1" w:rsidRDefault="004C6DF8" w:rsidP="00DA2390">
      <w:pPr>
        <w:pStyle w:val="ListParagraph"/>
        <w:numPr>
          <w:ilvl w:val="0"/>
          <w:numId w:val="2"/>
        </w:numPr>
        <w:tabs>
          <w:tab w:val="left" w:pos="5245"/>
        </w:tabs>
        <w:spacing w:line="360" w:lineRule="auto"/>
        <w:ind w:left="900"/>
        <w:jc w:val="both"/>
        <w:rPr>
          <w:rFonts w:cs="Times New Roman"/>
          <w:b/>
          <w:color w:val="000000" w:themeColor="text1"/>
          <w:sz w:val="28"/>
          <w:szCs w:val="28"/>
        </w:rPr>
      </w:pPr>
      <w:r>
        <w:rPr>
          <w:rFonts w:cs="Times New Roman"/>
          <w:b/>
          <w:color w:val="000000" w:themeColor="text1"/>
          <w:sz w:val="28"/>
          <w:szCs w:val="28"/>
        </w:rPr>
        <w:t>The HRF</w:t>
      </w:r>
      <w:r w:rsidR="00631DC4" w:rsidRPr="00FC17F1">
        <w:rPr>
          <w:rFonts w:cs="Times New Roman"/>
          <w:b/>
          <w:color w:val="000000" w:themeColor="text1"/>
          <w:sz w:val="28"/>
          <w:szCs w:val="28"/>
        </w:rPr>
        <w:t xml:space="preserve"> recommend</w:t>
      </w:r>
      <w:r>
        <w:rPr>
          <w:rFonts w:cs="Times New Roman"/>
          <w:b/>
          <w:color w:val="000000" w:themeColor="text1"/>
          <w:sz w:val="28"/>
          <w:szCs w:val="28"/>
        </w:rPr>
        <w:t>s</w:t>
      </w:r>
      <w:r w:rsidR="00631DC4" w:rsidRPr="00FC17F1">
        <w:rPr>
          <w:rFonts w:cs="Times New Roman"/>
          <w:b/>
          <w:color w:val="000000" w:themeColor="text1"/>
          <w:sz w:val="28"/>
          <w:szCs w:val="28"/>
        </w:rPr>
        <w:t xml:space="preserve"> that</w:t>
      </w:r>
      <w:r w:rsidR="007D2689" w:rsidRPr="00FC17F1">
        <w:rPr>
          <w:rFonts w:cs="Times New Roman"/>
          <w:b/>
          <w:color w:val="000000" w:themeColor="text1"/>
          <w:sz w:val="28"/>
          <w:szCs w:val="28"/>
        </w:rPr>
        <w:t xml:space="preserve"> the </w:t>
      </w:r>
      <w:r w:rsidR="00B865ED" w:rsidRPr="00FC17F1">
        <w:rPr>
          <w:rFonts w:cs="Times New Roman"/>
          <w:b/>
          <w:color w:val="000000" w:themeColor="text1"/>
          <w:sz w:val="28"/>
          <w:szCs w:val="28"/>
        </w:rPr>
        <w:t>C</w:t>
      </w:r>
      <w:r w:rsidR="007D2689" w:rsidRPr="00FC17F1">
        <w:rPr>
          <w:rFonts w:cs="Times New Roman"/>
          <w:b/>
          <w:color w:val="000000" w:themeColor="text1"/>
          <w:sz w:val="28"/>
          <w:szCs w:val="28"/>
        </w:rPr>
        <w:t>ommittee</w:t>
      </w:r>
      <w:r w:rsidR="00631DC4" w:rsidRPr="00FC17F1">
        <w:rPr>
          <w:rFonts w:cs="Times New Roman"/>
          <w:b/>
          <w:color w:val="000000" w:themeColor="text1"/>
          <w:sz w:val="28"/>
          <w:szCs w:val="28"/>
        </w:rPr>
        <w:t xml:space="preserve">: </w:t>
      </w:r>
    </w:p>
    <w:p w14:paraId="7C358E92" w14:textId="2BB75BC2" w:rsidR="00C66696" w:rsidRPr="00FC17F1" w:rsidRDefault="00631DC4" w:rsidP="00DA2390">
      <w:pPr>
        <w:pStyle w:val="ListParagraph"/>
        <w:numPr>
          <w:ilvl w:val="1"/>
          <w:numId w:val="2"/>
        </w:numPr>
        <w:spacing w:line="360" w:lineRule="auto"/>
        <w:ind w:left="2520"/>
        <w:jc w:val="both"/>
        <w:rPr>
          <w:rFonts w:cs="Times New Roman"/>
          <w:b/>
          <w:bCs/>
          <w:smallCaps/>
          <w:color w:val="000000" w:themeColor="text1"/>
          <w:sz w:val="28"/>
          <w:szCs w:val="28"/>
        </w:rPr>
      </w:pPr>
      <w:r w:rsidRPr="00FC17F1">
        <w:rPr>
          <w:rFonts w:cs="Times New Roman"/>
          <w:b/>
          <w:color w:val="000000" w:themeColor="text1"/>
          <w:sz w:val="28"/>
          <w:szCs w:val="28"/>
        </w:rPr>
        <w:t xml:space="preserve">reiterate its recommendation to New Zealand to incorporate the ICESCR directly into domestic law; </w:t>
      </w:r>
    </w:p>
    <w:p w14:paraId="09AF6644" w14:textId="0660DE9A" w:rsidR="00C66696" w:rsidRPr="00FC17F1" w:rsidRDefault="007D2689" w:rsidP="00DA2390">
      <w:pPr>
        <w:pStyle w:val="ListParagraph"/>
        <w:numPr>
          <w:ilvl w:val="1"/>
          <w:numId w:val="2"/>
        </w:numPr>
        <w:spacing w:line="360" w:lineRule="auto"/>
        <w:ind w:left="2520" w:hanging="425"/>
        <w:jc w:val="both"/>
        <w:rPr>
          <w:bCs/>
          <w:smallCaps/>
          <w:color w:val="000000" w:themeColor="text1"/>
        </w:rPr>
      </w:pPr>
      <w:r w:rsidRPr="00FC17F1">
        <w:rPr>
          <w:rFonts w:cs="Times New Roman"/>
          <w:b/>
          <w:color w:val="000000" w:themeColor="text1"/>
          <w:sz w:val="28"/>
          <w:szCs w:val="28"/>
        </w:rPr>
        <w:t xml:space="preserve">recommend that </w:t>
      </w:r>
      <w:r w:rsidR="00C66696" w:rsidRPr="00FC17F1">
        <w:rPr>
          <w:rFonts w:cs="Times New Roman"/>
          <w:b/>
          <w:color w:val="000000" w:themeColor="text1"/>
          <w:sz w:val="28"/>
          <w:szCs w:val="28"/>
        </w:rPr>
        <w:t xml:space="preserve">a range of </w:t>
      </w:r>
      <w:r w:rsidR="00631DC4" w:rsidRPr="00FC17F1">
        <w:rPr>
          <w:rFonts w:cs="Times New Roman"/>
          <w:b/>
          <w:color w:val="000000" w:themeColor="text1"/>
          <w:sz w:val="28"/>
          <w:szCs w:val="28"/>
        </w:rPr>
        <w:t>ESC rights be included in the NZBORA</w:t>
      </w:r>
      <w:r w:rsidR="00C66696" w:rsidRPr="00FC17F1">
        <w:rPr>
          <w:rFonts w:cs="Times New Roman"/>
          <w:b/>
          <w:color w:val="000000" w:themeColor="text1"/>
          <w:sz w:val="28"/>
          <w:szCs w:val="28"/>
        </w:rPr>
        <w:t>,</w:t>
      </w:r>
      <w:r w:rsidR="00631DC4" w:rsidRPr="00FC17F1">
        <w:rPr>
          <w:rFonts w:cs="Times New Roman"/>
          <w:b/>
          <w:color w:val="000000" w:themeColor="text1"/>
          <w:sz w:val="28"/>
          <w:szCs w:val="28"/>
        </w:rPr>
        <w:t xml:space="preserve"> </w:t>
      </w:r>
      <w:r w:rsidR="00C66696" w:rsidRPr="00FC17F1">
        <w:rPr>
          <w:rFonts w:cs="Times New Roman"/>
          <w:b/>
          <w:sz w:val="28"/>
          <w:szCs w:val="28"/>
        </w:rPr>
        <w:t>including rights to work, social security, health, housing, water, food, education, environment and cultural life.</w:t>
      </w:r>
    </w:p>
    <w:p w14:paraId="72064E3B" w14:textId="6F415267" w:rsidR="00631DC4" w:rsidRPr="00131A11" w:rsidRDefault="00A16AC8" w:rsidP="00DA2390">
      <w:pPr>
        <w:pStyle w:val="ListParagraph"/>
        <w:numPr>
          <w:ilvl w:val="1"/>
          <w:numId w:val="2"/>
        </w:numPr>
        <w:spacing w:line="360" w:lineRule="auto"/>
        <w:ind w:left="2520" w:hanging="425"/>
        <w:jc w:val="both"/>
        <w:rPr>
          <w:rFonts w:cs="Times New Roman"/>
          <w:b/>
          <w:bCs/>
          <w:smallCaps/>
          <w:color w:val="000000" w:themeColor="text1"/>
          <w:sz w:val="28"/>
          <w:szCs w:val="28"/>
        </w:rPr>
      </w:pPr>
      <w:r w:rsidRPr="00FC17F1">
        <w:rPr>
          <w:rFonts w:cs="Times New Roman"/>
          <w:b/>
          <w:color w:val="000000" w:themeColor="text1"/>
          <w:sz w:val="28"/>
          <w:szCs w:val="28"/>
        </w:rPr>
        <w:t>r</w:t>
      </w:r>
      <w:r w:rsidR="007D2689" w:rsidRPr="00FC17F1">
        <w:rPr>
          <w:rFonts w:cs="Times New Roman"/>
          <w:b/>
          <w:color w:val="000000" w:themeColor="text1"/>
          <w:sz w:val="28"/>
          <w:szCs w:val="28"/>
        </w:rPr>
        <w:t xml:space="preserve">ecommend that </w:t>
      </w:r>
      <w:r w:rsidR="00631DC4" w:rsidRPr="00FC17F1">
        <w:rPr>
          <w:rFonts w:cs="Times New Roman"/>
          <w:b/>
          <w:color w:val="000000" w:themeColor="text1"/>
          <w:sz w:val="28"/>
          <w:szCs w:val="28"/>
        </w:rPr>
        <w:t>New Zealand ratify the OP-ICESCR.</w:t>
      </w:r>
    </w:p>
    <w:p w14:paraId="39957C62" w14:textId="77777777" w:rsidR="00631DC4" w:rsidRPr="00FC17F1" w:rsidRDefault="00631DC4" w:rsidP="00FC17F1">
      <w:pPr>
        <w:spacing w:line="360" w:lineRule="auto"/>
        <w:jc w:val="both"/>
        <w:rPr>
          <w:rFonts w:cs="Times New Roman"/>
          <w:b/>
          <w:sz w:val="28"/>
          <w:szCs w:val="28"/>
        </w:rPr>
      </w:pPr>
    </w:p>
    <w:p w14:paraId="181867A0" w14:textId="77777777" w:rsidR="00356FF4" w:rsidRDefault="00AC74C7" w:rsidP="00FC17F1">
      <w:pPr>
        <w:jc w:val="both"/>
        <w:rPr>
          <w:b/>
          <w:sz w:val="28"/>
          <w:szCs w:val="28"/>
        </w:rPr>
      </w:pPr>
      <w:r w:rsidRPr="00FC17F1">
        <w:rPr>
          <w:b/>
          <w:sz w:val="28"/>
          <w:szCs w:val="28"/>
        </w:rPr>
        <w:t>Weaknesses of the NZBORA</w:t>
      </w:r>
    </w:p>
    <w:p w14:paraId="3756DA0E" w14:textId="606FC324" w:rsidR="00E44054" w:rsidRPr="00FC17F1" w:rsidRDefault="00AC74C7" w:rsidP="00FC17F1">
      <w:pPr>
        <w:jc w:val="both"/>
        <w:rPr>
          <w:rFonts w:cs="Times New Roman"/>
          <w:b/>
          <w:sz w:val="28"/>
          <w:szCs w:val="28"/>
        </w:rPr>
      </w:pPr>
      <w:r w:rsidRPr="00FC17F1">
        <w:rPr>
          <w:b/>
          <w:sz w:val="28"/>
          <w:szCs w:val="28"/>
        </w:rPr>
        <w:t xml:space="preserve"> </w:t>
      </w:r>
    </w:p>
    <w:p w14:paraId="18906C9B" w14:textId="022BE39E" w:rsidR="00E44054" w:rsidRPr="00FC17F1" w:rsidRDefault="00520E82" w:rsidP="00FC17F1">
      <w:pPr>
        <w:pStyle w:val="ListParagraph"/>
        <w:tabs>
          <w:tab w:val="left" w:pos="0"/>
          <w:tab w:val="left" w:pos="5245"/>
        </w:tabs>
        <w:spacing w:line="360" w:lineRule="auto"/>
        <w:ind w:left="1080" w:hanging="450"/>
        <w:jc w:val="both"/>
        <w:rPr>
          <w:rFonts w:cs="Times New Roman"/>
          <w:b/>
          <w:sz w:val="28"/>
          <w:szCs w:val="28"/>
        </w:rPr>
      </w:pPr>
      <w:r>
        <w:rPr>
          <w:rFonts w:cs="Times New Roman"/>
          <w:color w:val="000000" w:themeColor="text1"/>
          <w:sz w:val="28"/>
          <w:szCs w:val="28"/>
        </w:rPr>
        <w:t xml:space="preserve">20 </w:t>
      </w:r>
      <w:r w:rsidR="00356FF4">
        <w:rPr>
          <w:rFonts w:cs="Times New Roman"/>
          <w:color w:val="000000" w:themeColor="text1"/>
          <w:sz w:val="28"/>
          <w:szCs w:val="28"/>
        </w:rPr>
        <w:t>Because</w:t>
      </w:r>
      <w:r w:rsidR="00E44054" w:rsidRPr="007058FD">
        <w:rPr>
          <w:rFonts w:cs="Times New Roman"/>
          <w:color w:val="000000" w:themeColor="text1"/>
          <w:sz w:val="28"/>
          <w:szCs w:val="28"/>
        </w:rPr>
        <w:t xml:space="preserve"> the NZBORA is subject to parliamentary override</w:t>
      </w:r>
      <w:r w:rsidR="00356FF4">
        <w:rPr>
          <w:rFonts w:cs="Times New Roman"/>
          <w:color w:val="000000" w:themeColor="text1"/>
          <w:sz w:val="28"/>
          <w:szCs w:val="28"/>
        </w:rPr>
        <w:t xml:space="preserve"> </w:t>
      </w:r>
      <w:r w:rsidR="00E44054" w:rsidRPr="007058FD">
        <w:rPr>
          <w:rFonts w:cs="Times New Roman"/>
          <w:color w:val="000000" w:themeColor="text1"/>
          <w:sz w:val="28"/>
          <w:szCs w:val="28"/>
        </w:rPr>
        <w:t>via other legislation, in our view it does not provide sufficient protection for human rights,</w:t>
      </w:r>
      <w:r w:rsidR="00E44054" w:rsidRPr="007058FD">
        <w:rPr>
          <w:rStyle w:val="FootnoteReference"/>
          <w:rFonts w:cs="Times New Roman"/>
          <w:color w:val="000000" w:themeColor="text1"/>
          <w:sz w:val="28"/>
          <w:szCs w:val="28"/>
        </w:rPr>
        <w:footnoteReference w:id="13"/>
      </w:r>
      <w:r w:rsidR="00E44054" w:rsidRPr="007058FD">
        <w:rPr>
          <w:rFonts w:cs="Times New Roman"/>
          <w:color w:val="000000" w:themeColor="text1"/>
          <w:sz w:val="28"/>
          <w:szCs w:val="28"/>
        </w:rPr>
        <w:t xml:space="preserve"> </w:t>
      </w:r>
      <w:r w:rsidR="00356FF4">
        <w:rPr>
          <w:rFonts w:cs="Times New Roman"/>
          <w:color w:val="000000" w:themeColor="text1"/>
          <w:sz w:val="28"/>
          <w:szCs w:val="28"/>
        </w:rPr>
        <w:t>notwithstanding</w:t>
      </w:r>
      <w:r w:rsidR="00E44054" w:rsidRPr="007058FD">
        <w:rPr>
          <w:rFonts w:cs="Times New Roman"/>
          <w:color w:val="000000" w:themeColor="text1"/>
          <w:sz w:val="28"/>
          <w:szCs w:val="28"/>
        </w:rPr>
        <w:t xml:space="preserve"> the recent safeguards referred to in the Government’s report. </w:t>
      </w:r>
    </w:p>
    <w:p w14:paraId="5FA87D49" w14:textId="77777777" w:rsidR="00E44054" w:rsidRPr="00FC17F1" w:rsidRDefault="00E44054" w:rsidP="00FC17F1">
      <w:pPr>
        <w:spacing w:line="360" w:lineRule="auto"/>
        <w:jc w:val="both"/>
        <w:rPr>
          <w:rFonts w:cs="Times New Roman"/>
          <w:b/>
          <w:color w:val="000000" w:themeColor="text1"/>
          <w:sz w:val="28"/>
          <w:szCs w:val="28"/>
        </w:rPr>
      </w:pPr>
    </w:p>
    <w:p w14:paraId="712CA551" w14:textId="3AA4BF95" w:rsidR="00AC74C7" w:rsidRPr="00FC17F1" w:rsidRDefault="00AC74C7" w:rsidP="00DA2390">
      <w:pPr>
        <w:pStyle w:val="ListParagraph"/>
        <w:numPr>
          <w:ilvl w:val="0"/>
          <w:numId w:val="10"/>
        </w:numPr>
        <w:tabs>
          <w:tab w:val="left" w:pos="360"/>
          <w:tab w:val="left" w:pos="450"/>
          <w:tab w:val="left" w:pos="1800"/>
        </w:tabs>
        <w:spacing w:line="360" w:lineRule="auto"/>
        <w:ind w:left="1080" w:hanging="450"/>
        <w:jc w:val="both"/>
        <w:rPr>
          <w:rFonts w:cs="Times New Roman"/>
          <w:color w:val="000000" w:themeColor="text1"/>
          <w:sz w:val="28"/>
          <w:szCs w:val="28"/>
        </w:rPr>
      </w:pPr>
      <w:r w:rsidRPr="00FC17F1">
        <w:rPr>
          <w:rFonts w:cs="Times New Roman"/>
          <w:color w:val="000000" w:themeColor="text1"/>
          <w:sz w:val="28"/>
          <w:szCs w:val="28"/>
        </w:rPr>
        <w:t>Currently the</w:t>
      </w:r>
      <w:r w:rsidR="00A1558A" w:rsidRPr="00FC17F1">
        <w:rPr>
          <w:rFonts w:cs="Times New Roman"/>
          <w:color w:val="000000" w:themeColor="text1"/>
          <w:sz w:val="28"/>
          <w:szCs w:val="28"/>
        </w:rPr>
        <w:t xml:space="preserve"> </w:t>
      </w:r>
      <w:r w:rsidRPr="00FC17F1">
        <w:rPr>
          <w:rFonts w:cs="Times New Roman"/>
          <w:color w:val="000000" w:themeColor="text1"/>
          <w:sz w:val="28"/>
          <w:szCs w:val="28"/>
        </w:rPr>
        <w:t xml:space="preserve">NZBORA can be over-ridden by any other statute. Parliament has at times exercised its “supremacy” to override the NZBORA, even where this is contrary to New Zealand’s international obligations. For example, the New Zealand Public Health and Disability Amendment Bill (No 2) was </w:t>
      </w:r>
      <w:r w:rsidR="00356FF4" w:rsidRPr="00FC17F1">
        <w:rPr>
          <w:rFonts w:cs="Times New Roman"/>
          <w:color w:val="000000" w:themeColor="text1"/>
          <w:sz w:val="28"/>
          <w:szCs w:val="28"/>
        </w:rPr>
        <w:t xml:space="preserve">not only </w:t>
      </w:r>
      <w:r w:rsidRPr="00FC17F1">
        <w:rPr>
          <w:rFonts w:cs="Times New Roman"/>
          <w:color w:val="000000" w:themeColor="text1"/>
          <w:sz w:val="28"/>
          <w:szCs w:val="28"/>
        </w:rPr>
        <w:t xml:space="preserve">passed under urgency thereby limiting debate, </w:t>
      </w:r>
      <w:r w:rsidR="00356FF4" w:rsidRPr="00FC17F1">
        <w:rPr>
          <w:rFonts w:cs="Times New Roman"/>
          <w:color w:val="000000" w:themeColor="text1"/>
          <w:sz w:val="28"/>
          <w:szCs w:val="28"/>
        </w:rPr>
        <w:t xml:space="preserve">but </w:t>
      </w:r>
      <w:r w:rsidRPr="00FC17F1">
        <w:rPr>
          <w:rFonts w:cs="Times New Roman"/>
          <w:color w:val="000000" w:themeColor="text1"/>
          <w:sz w:val="28"/>
          <w:szCs w:val="28"/>
        </w:rPr>
        <w:t>contained a clause preventing review of the subject matter of the law for incompatibility with the NZBORA by the Human Rights Review Tribunal or by the Court</w:t>
      </w:r>
      <w:r w:rsidR="00356FF4" w:rsidRPr="00FC17F1">
        <w:rPr>
          <w:rFonts w:cs="Times New Roman"/>
          <w:color w:val="000000" w:themeColor="text1"/>
          <w:sz w:val="28"/>
          <w:szCs w:val="28"/>
        </w:rPr>
        <w:t>s</w:t>
      </w:r>
      <w:r w:rsidR="00E44054" w:rsidRPr="00FC17F1">
        <w:rPr>
          <w:rFonts w:cs="Times New Roman"/>
          <w:color w:val="000000" w:themeColor="text1"/>
          <w:sz w:val="28"/>
          <w:szCs w:val="28"/>
        </w:rPr>
        <w:t xml:space="preserve">. </w:t>
      </w:r>
      <w:r w:rsidRPr="00FC17F1">
        <w:rPr>
          <w:rFonts w:cs="Times New Roman"/>
          <w:color w:val="000000" w:themeColor="text1"/>
          <w:sz w:val="28"/>
          <w:szCs w:val="28"/>
        </w:rPr>
        <w:t xml:space="preserve">Similarly, the Electoral (Disqualification of Sentenced Prisoners) Amendment Act 2010 enacted a blanket disenfranchisement of all prisoners, despite the </w:t>
      </w:r>
      <w:r w:rsidRPr="00FC17F1">
        <w:rPr>
          <w:rFonts w:cs="Times New Roman"/>
          <w:color w:val="000000" w:themeColor="text1"/>
          <w:sz w:val="28"/>
          <w:szCs w:val="28"/>
        </w:rPr>
        <w:lastRenderedPageBreak/>
        <w:t>Attorney General’s advice under section 7 that this was inconsistent with NZBORA.</w:t>
      </w:r>
      <w:r w:rsidR="007058FD">
        <w:rPr>
          <w:rStyle w:val="FootnoteReference"/>
          <w:rFonts w:cs="Times New Roman"/>
          <w:color w:val="000000" w:themeColor="text1"/>
          <w:sz w:val="28"/>
          <w:szCs w:val="28"/>
        </w:rPr>
        <w:footnoteReference w:id="14"/>
      </w:r>
    </w:p>
    <w:p w14:paraId="178E81E5" w14:textId="77777777" w:rsidR="00AC74C7" w:rsidRPr="00FC17F1" w:rsidRDefault="00AC74C7" w:rsidP="00FC17F1">
      <w:pPr>
        <w:spacing w:line="360" w:lineRule="auto"/>
        <w:ind w:left="1440"/>
        <w:jc w:val="both"/>
        <w:rPr>
          <w:rFonts w:cs="Times New Roman"/>
          <w:color w:val="000000" w:themeColor="text1"/>
          <w:sz w:val="28"/>
          <w:szCs w:val="28"/>
        </w:rPr>
      </w:pPr>
    </w:p>
    <w:p w14:paraId="6BB163BB" w14:textId="2B949BFB" w:rsidR="00E44054" w:rsidRPr="00FC17F1" w:rsidRDefault="00AC74C7" w:rsidP="00DA2390">
      <w:pPr>
        <w:pStyle w:val="ListParagraph"/>
        <w:numPr>
          <w:ilvl w:val="0"/>
          <w:numId w:val="10"/>
        </w:numPr>
        <w:spacing w:line="360" w:lineRule="auto"/>
        <w:ind w:left="1080" w:hanging="450"/>
        <w:jc w:val="both"/>
        <w:rPr>
          <w:rFonts w:cs="Times New Roman"/>
          <w:color w:val="000000" w:themeColor="text1"/>
          <w:sz w:val="28"/>
          <w:szCs w:val="28"/>
        </w:rPr>
      </w:pPr>
      <w:r w:rsidRPr="00FC17F1">
        <w:rPr>
          <w:rFonts w:cs="Times New Roman"/>
          <w:color w:val="000000" w:themeColor="text1"/>
          <w:sz w:val="28"/>
          <w:szCs w:val="28"/>
        </w:rPr>
        <w:t xml:space="preserve">The National Report for </w:t>
      </w:r>
      <w:r w:rsidR="00356FF4" w:rsidRPr="00FC17F1">
        <w:rPr>
          <w:rFonts w:cs="Times New Roman"/>
          <w:color w:val="000000" w:themeColor="text1"/>
          <w:sz w:val="28"/>
          <w:szCs w:val="28"/>
        </w:rPr>
        <w:t xml:space="preserve">New Zealand’s </w:t>
      </w:r>
      <w:r w:rsidRPr="00FC17F1">
        <w:rPr>
          <w:rFonts w:cs="Times New Roman"/>
          <w:color w:val="000000" w:themeColor="text1"/>
          <w:sz w:val="28"/>
          <w:szCs w:val="28"/>
        </w:rPr>
        <w:t>Universal Periodic R</w:t>
      </w:r>
      <w:r w:rsidR="00356FF4" w:rsidRPr="00FC17F1">
        <w:rPr>
          <w:rFonts w:cs="Times New Roman"/>
          <w:color w:val="000000" w:themeColor="text1"/>
          <w:sz w:val="28"/>
          <w:szCs w:val="28"/>
        </w:rPr>
        <w:t>eview</w:t>
      </w:r>
      <w:r w:rsidRPr="00FC17F1">
        <w:rPr>
          <w:rFonts w:cs="Times New Roman"/>
          <w:color w:val="000000" w:themeColor="text1"/>
          <w:sz w:val="28"/>
          <w:szCs w:val="28"/>
        </w:rPr>
        <w:t xml:space="preserve"> in 2014 highlighted the lack of </w:t>
      </w:r>
      <w:r w:rsidR="00356FF4" w:rsidRPr="00FC17F1">
        <w:rPr>
          <w:rFonts w:cs="Times New Roman"/>
          <w:color w:val="000000" w:themeColor="text1"/>
          <w:sz w:val="28"/>
          <w:szCs w:val="28"/>
        </w:rPr>
        <w:t xml:space="preserve">the </w:t>
      </w:r>
      <w:r w:rsidRPr="00FC17F1">
        <w:rPr>
          <w:rFonts w:cs="Times New Roman"/>
          <w:color w:val="000000" w:themeColor="text1"/>
          <w:sz w:val="28"/>
          <w:szCs w:val="28"/>
        </w:rPr>
        <w:t>right to a</w:t>
      </w:r>
      <w:r w:rsidR="00C94D5B" w:rsidRPr="00FC17F1">
        <w:rPr>
          <w:rFonts w:cs="Times New Roman"/>
          <w:color w:val="000000" w:themeColor="text1"/>
          <w:sz w:val="28"/>
          <w:szCs w:val="28"/>
        </w:rPr>
        <w:t xml:space="preserve">n </w:t>
      </w:r>
      <w:r w:rsidR="003F2110" w:rsidRPr="00FC17F1">
        <w:rPr>
          <w:rFonts w:cs="Times New Roman"/>
          <w:color w:val="000000" w:themeColor="text1"/>
          <w:sz w:val="28"/>
          <w:szCs w:val="28"/>
        </w:rPr>
        <w:t>effective remedy</w:t>
      </w:r>
      <w:r w:rsidRPr="00FC17F1">
        <w:rPr>
          <w:rFonts w:cs="Times New Roman"/>
          <w:color w:val="000000" w:themeColor="text1"/>
          <w:sz w:val="28"/>
          <w:szCs w:val="28"/>
        </w:rPr>
        <w:t xml:space="preserve"> for human rights violations. </w:t>
      </w:r>
      <w:r w:rsidR="00356FF4" w:rsidRPr="00FC17F1">
        <w:rPr>
          <w:rFonts w:cs="Times New Roman"/>
          <w:color w:val="000000" w:themeColor="text1"/>
          <w:sz w:val="28"/>
          <w:szCs w:val="28"/>
        </w:rPr>
        <w:t xml:space="preserve">The Government noted that: </w:t>
      </w:r>
      <w:r w:rsidRPr="00FC17F1">
        <w:rPr>
          <w:rFonts w:cs="Times New Roman"/>
          <w:color w:val="000000" w:themeColor="text1"/>
          <w:sz w:val="28"/>
          <w:szCs w:val="28"/>
        </w:rPr>
        <w:t>“Individuals who consider that any of their rights under the NZBORA have been infringed can bring an action against the Government… a number of remedies are available, including the ability to award damages or compensation and to exclude evidence obtained in breach of a right guaranteed by the BORA”.</w:t>
      </w:r>
      <w:r w:rsidR="00F60A85">
        <w:rPr>
          <w:rStyle w:val="FootnoteReference"/>
          <w:rFonts w:cs="Times New Roman"/>
          <w:color w:val="000000" w:themeColor="text1"/>
          <w:sz w:val="28"/>
          <w:szCs w:val="28"/>
        </w:rPr>
        <w:footnoteReference w:id="15"/>
      </w:r>
      <w:r w:rsidRPr="00FC17F1">
        <w:rPr>
          <w:rFonts w:cs="Times New Roman"/>
          <w:color w:val="000000" w:themeColor="text1"/>
          <w:sz w:val="28"/>
          <w:szCs w:val="28"/>
        </w:rPr>
        <w:t xml:space="preserve"> At this very same time, the Attorney General was arguing in the courts that this right to a remedy did not apply to breach of the NZBORA by the judiciary, a claim that was eventually upheld by the Supreme Cour</w:t>
      </w:r>
      <w:r w:rsidR="00F60A85" w:rsidRPr="00FC17F1">
        <w:rPr>
          <w:rFonts w:cs="Times New Roman"/>
          <w:color w:val="000000" w:themeColor="text1"/>
          <w:sz w:val="28"/>
          <w:szCs w:val="28"/>
        </w:rPr>
        <w:t>t.</w:t>
      </w:r>
      <w:r w:rsidR="00F60A85">
        <w:rPr>
          <w:rStyle w:val="FootnoteReference"/>
          <w:rFonts w:cs="Times New Roman"/>
          <w:color w:val="000000" w:themeColor="text1"/>
          <w:sz w:val="28"/>
          <w:szCs w:val="28"/>
        </w:rPr>
        <w:footnoteReference w:id="16"/>
      </w:r>
      <w:r w:rsidR="00676CAB" w:rsidRPr="00FC17F1">
        <w:rPr>
          <w:rFonts w:cs="Times New Roman"/>
          <w:color w:val="000000" w:themeColor="text1"/>
          <w:sz w:val="28"/>
          <w:szCs w:val="28"/>
        </w:rPr>
        <w:t xml:space="preserve"> We consider that the Government should have been more frank with the UN system. </w:t>
      </w:r>
    </w:p>
    <w:p w14:paraId="7C3E7A9A" w14:textId="77777777" w:rsidR="00F60A85" w:rsidRPr="00FC17F1" w:rsidRDefault="00F60A85" w:rsidP="00FC17F1">
      <w:pPr>
        <w:pStyle w:val="ListParagraph"/>
        <w:spacing w:line="360" w:lineRule="auto"/>
        <w:ind w:left="1440"/>
        <w:jc w:val="both"/>
        <w:rPr>
          <w:rFonts w:cs="Times New Roman"/>
          <w:color w:val="000000" w:themeColor="text1"/>
          <w:sz w:val="28"/>
          <w:szCs w:val="28"/>
        </w:rPr>
      </w:pPr>
    </w:p>
    <w:p w14:paraId="66031C9D" w14:textId="32F2EAD1" w:rsidR="007058FD" w:rsidRDefault="00356FF4" w:rsidP="00DA2390">
      <w:pPr>
        <w:pStyle w:val="ListParagraph"/>
        <w:numPr>
          <w:ilvl w:val="0"/>
          <w:numId w:val="10"/>
        </w:numPr>
        <w:tabs>
          <w:tab w:val="left" w:pos="810"/>
          <w:tab w:val="left" w:pos="900"/>
          <w:tab w:val="left" w:pos="990"/>
          <w:tab w:val="left" w:pos="1260"/>
        </w:tabs>
        <w:spacing w:line="360" w:lineRule="auto"/>
        <w:ind w:left="1080" w:hanging="450"/>
        <w:jc w:val="both"/>
        <w:rPr>
          <w:rFonts w:cs="Times New Roman"/>
          <w:color w:val="000000" w:themeColor="text1"/>
          <w:sz w:val="28"/>
          <w:szCs w:val="28"/>
        </w:rPr>
      </w:pPr>
      <w:r>
        <w:rPr>
          <w:rFonts w:cs="Times New Roman"/>
          <w:color w:val="000000" w:themeColor="text1"/>
          <w:sz w:val="28"/>
          <w:szCs w:val="28"/>
        </w:rPr>
        <w:t>W</w:t>
      </w:r>
      <w:r w:rsidR="00E44054" w:rsidRPr="007058FD">
        <w:rPr>
          <w:rFonts w:cs="Times New Roman"/>
          <w:color w:val="000000" w:themeColor="text1"/>
          <w:sz w:val="28"/>
          <w:szCs w:val="28"/>
        </w:rPr>
        <w:t xml:space="preserve">e note that despite this </w:t>
      </w:r>
      <w:r w:rsidR="00C66696" w:rsidRPr="007058FD">
        <w:rPr>
          <w:rFonts w:cs="Times New Roman"/>
          <w:color w:val="000000" w:themeColor="text1"/>
          <w:sz w:val="28"/>
          <w:szCs w:val="28"/>
        </w:rPr>
        <w:t xml:space="preserve">lack of a </w:t>
      </w:r>
      <w:r>
        <w:rPr>
          <w:rFonts w:cs="Times New Roman"/>
          <w:color w:val="000000" w:themeColor="text1"/>
          <w:sz w:val="28"/>
          <w:szCs w:val="28"/>
        </w:rPr>
        <w:t>right to a</w:t>
      </w:r>
      <w:r w:rsidR="00794088">
        <w:rPr>
          <w:rFonts w:cs="Times New Roman"/>
          <w:color w:val="000000" w:themeColor="text1"/>
          <w:sz w:val="28"/>
          <w:szCs w:val="28"/>
        </w:rPr>
        <w:t>n effective</w:t>
      </w:r>
      <w:r>
        <w:rPr>
          <w:rFonts w:cs="Times New Roman"/>
          <w:color w:val="000000" w:themeColor="text1"/>
          <w:sz w:val="28"/>
          <w:szCs w:val="28"/>
        </w:rPr>
        <w:t xml:space="preserve"> </w:t>
      </w:r>
      <w:r w:rsidR="00C66696" w:rsidRPr="007058FD">
        <w:rPr>
          <w:rFonts w:cs="Times New Roman"/>
          <w:color w:val="000000" w:themeColor="text1"/>
          <w:sz w:val="28"/>
          <w:szCs w:val="28"/>
        </w:rPr>
        <w:t xml:space="preserve">remedy, </w:t>
      </w:r>
      <w:r w:rsidR="00E44054" w:rsidRPr="007058FD">
        <w:rPr>
          <w:rFonts w:cs="Times New Roman"/>
          <w:color w:val="000000" w:themeColor="text1"/>
          <w:sz w:val="28"/>
          <w:szCs w:val="28"/>
        </w:rPr>
        <w:t>the Courts are increasingly willing to award damages for breach of these rights.</w:t>
      </w:r>
      <w:r w:rsidR="00E44054" w:rsidRPr="00C37B4D">
        <w:rPr>
          <w:rStyle w:val="FootnoteReference"/>
          <w:rFonts w:cs="Times New Roman"/>
          <w:color w:val="000000" w:themeColor="text1"/>
          <w:sz w:val="28"/>
          <w:szCs w:val="28"/>
        </w:rPr>
        <w:footnoteReference w:id="17"/>
      </w:r>
      <w:r w:rsidR="00E44054" w:rsidRPr="007058FD">
        <w:rPr>
          <w:rFonts w:cs="Times New Roman"/>
          <w:color w:val="000000" w:themeColor="text1"/>
          <w:sz w:val="28"/>
          <w:szCs w:val="28"/>
        </w:rPr>
        <w:t xml:space="preserve"> </w:t>
      </w:r>
      <w:r>
        <w:rPr>
          <w:rFonts w:cs="Times New Roman"/>
          <w:color w:val="000000" w:themeColor="text1"/>
          <w:sz w:val="28"/>
          <w:szCs w:val="28"/>
        </w:rPr>
        <w:t>I</w:t>
      </w:r>
      <w:r w:rsidR="00C66696" w:rsidRPr="007058FD">
        <w:rPr>
          <w:rFonts w:cs="Times New Roman"/>
          <w:color w:val="000000" w:themeColor="text1"/>
          <w:sz w:val="28"/>
          <w:szCs w:val="28"/>
        </w:rPr>
        <w:t xml:space="preserve">t would be preferable </w:t>
      </w:r>
      <w:r>
        <w:rPr>
          <w:rFonts w:cs="Times New Roman"/>
          <w:color w:val="000000" w:themeColor="text1"/>
          <w:sz w:val="28"/>
          <w:szCs w:val="28"/>
        </w:rPr>
        <w:t xml:space="preserve">however </w:t>
      </w:r>
      <w:r w:rsidR="00C66696" w:rsidRPr="007058FD">
        <w:rPr>
          <w:rFonts w:cs="Times New Roman"/>
          <w:color w:val="000000" w:themeColor="text1"/>
          <w:sz w:val="28"/>
          <w:szCs w:val="28"/>
        </w:rPr>
        <w:t>for t</w:t>
      </w:r>
      <w:r w:rsidR="00E44054" w:rsidRPr="007058FD">
        <w:rPr>
          <w:rFonts w:cs="Times New Roman"/>
          <w:color w:val="000000" w:themeColor="text1"/>
          <w:sz w:val="28"/>
          <w:szCs w:val="28"/>
        </w:rPr>
        <w:t xml:space="preserve">he </w:t>
      </w:r>
      <w:r>
        <w:rPr>
          <w:rFonts w:cs="Times New Roman"/>
          <w:color w:val="000000" w:themeColor="text1"/>
          <w:sz w:val="28"/>
          <w:szCs w:val="28"/>
        </w:rPr>
        <w:t>right to a</w:t>
      </w:r>
      <w:r w:rsidR="00794088">
        <w:rPr>
          <w:rFonts w:cs="Times New Roman"/>
          <w:color w:val="000000" w:themeColor="text1"/>
          <w:sz w:val="28"/>
          <w:szCs w:val="28"/>
        </w:rPr>
        <w:t>n effective</w:t>
      </w:r>
      <w:r>
        <w:rPr>
          <w:rFonts w:cs="Times New Roman"/>
          <w:color w:val="000000" w:themeColor="text1"/>
          <w:sz w:val="28"/>
          <w:szCs w:val="28"/>
        </w:rPr>
        <w:t xml:space="preserve"> </w:t>
      </w:r>
      <w:r w:rsidR="00E44054" w:rsidRPr="007058FD">
        <w:rPr>
          <w:rFonts w:cs="Times New Roman"/>
          <w:color w:val="000000" w:themeColor="text1"/>
          <w:sz w:val="28"/>
          <w:szCs w:val="28"/>
        </w:rPr>
        <w:t>remedy</w:t>
      </w:r>
      <w:r w:rsidR="00C66696" w:rsidRPr="007058FD">
        <w:rPr>
          <w:rFonts w:cs="Times New Roman"/>
          <w:color w:val="000000" w:themeColor="text1"/>
          <w:sz w:val="28"/>
          <w:szCs w:val="28"/>
        </w:rPr>
        <w:t xml:space="preserve"> to</w:t>
      </w:r>
      <w:r w:rsidR="00E44054" w:rsidRPr="007058FD">
        <w:rPr>
          <w:rFonts w:cs="Times New Roman"/>
          <w:color w:val="000000" w:themeColor="text1"/>
          <w:sz w:val="28"/>
          <w:szCs w:val="28"/>
        </w:rPr>
        <w:t xml:space="preserve"> be included in the NZBORA itself.</w:t>
      </w:r>
      <w:r w:rsidR="00E44054" w:rsidRPr="007058FD">
        <w:rPr>
          <w:rFonts w:cs="Times New Roman"/>
          <w:color w:val="000000" w:themeColor="text1"/>
          <w:sz w:val="28"/>
          <w:szCs w:val="28"/>
        </w:rPr>
        <w:tab/>
      </w:r>
    </w:p>
    <w:p w14:paraId="03E40AFE" w14:textId="77777777" w:rsidR="00605CCD" w:rsidRPr="00FC17F1" w:rsidRDefault="00605CCD" w:rsidP="00FC17F1">
      <w:pPr>
        <w:pStyle w:val="ListParagraph"/>
        <w:ind w:left="1440"/>
        <w:jc w:val="both"/>
        <w:rPr>
          <w:rFonts w:cs="Times New Roman"/>
          <w:color w:val="000000" w:themeColor="text1"/>
          <w:sz w:val="28"/>
          <w:szCs w:val="28"/>
        </w:rPr>
      </w:pPr>
    </w:p>
    <w:p w14:paraId="43BE7D4C" w14:textId="7C552EC9" w:rsidR="00605CCD" w:rsidRPr="00FC17F1" w:rsidRDefault="00605CCD" w:rsidP="00FC17F1">
      <w:pPr>
        <w:pStyle w:val="ListParagraph"/>
        <w:spacing w:line="360" w:lineRule="auto"/>
        <w:ind w:left="0"/>
        <w:jc w:val="both"/>
        <w:rPr>
          <w:rFonts w:cs="Times New Roman"/>
          <w:b/>
          <w:color w:val="000000" w:themeColor="text1"/>
          <w:sz w:val="28"/>
          <w:szCs w:val="28"/>
        </w:rPr>
      </w:pPr>
      <w:r w:rsidRPr="00FC17F1">
        <w:rPr>
          <w:rFonts w:cs="Times New Roman"/>
          <w:b/>
          <w:color w:val="000000" w:themeColor="text1"/>
          <w:sz w:val="28"/>
          <w:szCs w:val="28"/>
        </w:rPr>
        <w:t>Recommendations</w:t>
      </w:r>
    </w:p>
    <w:p w14:paraId="6C20AA31" w14:textId="77777777" w:rsidR="00AC74C7" w:rsidRPr="00FC17F1" w:rsidRDefault="00AC74C7" w:rsidP="00FC17F1">
      <w:pPr>
        <w:ind w:left="1440"/>
        <w:jc w:val="both"/>
      </w:pPr>
    </w:p>
    <w:p w14:paraId="2253B34F" w14:textId="34C5E14E" w:rsidR="00804333" w:rsidRPr="00FC17F1" w:rsidRDefault="00C66696" w:rsidP="00DA2390">
      <w:pPr>
        <w:pStyle w:val="ListParagraph"/>
        <w:numPr>
          <w:ilvl w:val="0"/>
          <w:numId w:val="10"/>
        </w:numPr>
        <w:tabs>
          <w:tab w:val="left" w:pos="360"/>
          <w:tab w:val="left" w:pos="810"/>
          <w:tab w:val="left" w:pos="1080"/>
        </w:tabs>
        <w:spacing w:line="360" w:lineRule="auto"/>
        <w:ind w:left="1080" w:hanging="450"/>
        <w:jc w:val="both"/>
        <w:rPr>
          <w:rFonts w:cs="Times New Roman"/>
          <w:b/>
          <w:color w:val="000000" w:themeColor="text1"/>
          <w:sz w:val="28"/>
          <w:szCs w:val="28"/>
        </w:rPr>
      </w:pPr>
      <w:r w:rsidRPr="00FC17F1">
        <w:rPr>
          <w:rFonts w:cs="Times New Roman"/>
          <w:b/>
          <w:color w:val="000000" w:themeColor="text1"/>
          <w:sz w:val="28"/>
          <w:szCs w:val="28"/>
        </w:rPr>
        <w:t xml:space="preserve">The HRF reiterates its recommendations to the Constitutional Review Panel that the NZBORA be granted supreme status to override rights-infringing legislation, and that it be procedurally entrenched (requiring passage of any amendment by a 2/3 </w:t>
      </w:r>
      <w:r w:rsidRPr="00FC17F1">
        <w:rPr>
          <w:rFonts w:cs="Times New Roman"/>
          <w:b/>
          <w:color w:val="000000" w:themeColor="text1"/>
          <w:sz w:val="28"/>
          <w:szCs w:val="28"/>
        </w:rPr>
        <w:lastRenderedPageBreak/>
        <w:t>majority). Further we strongly suggest that mechanisms for monitoring compliance with the NZBORA be further improved – for example by extending the section 7 review of Bills by the Attorney General to Supplementary Order Papers.</w:t>
      </w:r>
    </w:p>
    <w:p w14:paraId="2AD1A125" w14:textId="77777777" w:rsidR="00804333" w:rsidRPr="00FC17F1" w:rsidRDefault="00804333" w:rsidP="00FC17F1">
      <w:pPr>
        <w:pStyle w:val="ListParagraph"/>
        <w:spacing w:line="360" w:lineRule="auto"/>
        <w:ind w:left="1440"/>
        <w:jc w:val="both"/>
        <w:rPr>
          <w:rFonts w:cs="Times New Roman"/>
          <w:b/>
          <w:color w:val="000000" w:themeColor="text1"/>
          <w:sz w:val="28"/>
          <w:szCs w:val="28"/>
        </w:rPr>
      </w:pPr>
    </w:p>
    <w:p w14:paraId="29455D4E" w14:textId="08024137" w:rsidR="00631DC4" w:rsidRPr="00FC17F1" w:rsidRDefault="00804333" w:rsidP="00DA2390">
      <w:pPr>
        <w:pStyle w:val="ListParagraph"/>
        <w:numPr>
          <w:ilvl w:val="0"/>
          <w:numId w:val="10"/>
        </w:numPr>
        <w:tabs>
          <w:tab w:val="left" w:pos="0"/>
          <w:tab w:val="left" w:pos="1260"/>
        </w:tabs>
        <w:spacing w:line="360" w:lineRule="auto"/>
        <w:ind w:left="1080" w:hanging="450"/>
        <w:jc w:val="both"/>
        <w:rPr>
          <w:rFonts w:cs="Times New Roman"/>
          <w:b/>
          <w:color w:val="000000" w:themeColor="text1"/>
          <w:sz w:val="28"/>
          <w:szCs w:val="28"/>
        </w:rPr>
      </w:pPr>
      <w:r w:rsidRPr="00FC17F1">
        <w:rPr>
          <w:rFonts w:cs="Times New Roman"/>
          <w:b/>
          <w:color w:val="000000" w:themeColor="text1"/>
          <w:sz w:val="28"/>
          <w:szCs w:val="28"/>
        </w:rPr>
        <w:t xml:space="preserve">The HRF recommends </w:t>
      </w:r>
      <w:r w:rsidR="003F2110" w:rsidRPr="00FC17F1">
        <w:rPr>
          <w:rFonts w:cs="Times New Roman"/>
          <w:b/>
          <w:color w:val="000000" w:themeColor="text1"/>
          <w:sz w:val="28"/>
          <w:szCs w:val="28"/>
        </w:rPr>
        <w:t>that the</w:t>
      </w:r>
      <w:r w:rsidR="00AC74C7" w:rsidRPr="00FC17F1">
        <w:rPr>
          <w:rFonts w:cs="Times New Roman"/>
          <w:b/>
          <w:color w:val="000000" w:themeColor="text1"/>
          <w:sz w:val="28"/>
          <w:szCs w:val="28"/>
        </w:rPr>
        <w:t xml:space="preserve"> NZBORA be amended to provide an explicit right to a</w:t>
      </w:r>
      <w:r w:rsidR="00794088" w:rsidRPr="00FC17F1">
        <w:rPr>
          <w:rFonts w:cs="Times New Roman"/>
          <w:b/>
          <w:color w:val="000000" w:themeColor="text1"/>
          <w:sz w:val="28"/>
          <w:szCs w:val="28"/>
        </w:rPr>
        <w:t>n effective</w:t>
      </w:r>
      <w:r w:rsidR="00AC74C7" w:rsidRPr="00FC17F1">
        <w:rPr>
          <w:rFonts w:cs="Times New Roman"/>
          <w:b/>
          <w:color w:val="000000" w:themeColor="text1"/>
          <w:sz w:val="28"/>
          <w:szCs w:val="28"/>
        </w:rPr>
        <w:t xml:space="preserve"> remedy for breach of the NZBORA including by the judiciary.</w:t>
      </w:r>
    </w:p>
    <w:p w14:paraId="3C785187" w14:textId="0D69CB77" w:rsidR="00375D87" w:rsidRPr="00FC17F1" w:rsidRDefault="00375D87" w:rsidP="00FC17F1">
      <w:pPr>
        <w:pStyle w:val="ListParagraph"/>
        <w:spacing w:line="360" w:lineRule="auto"/>
        <w:ind w:left="360"/>
        <w:jc w:val="both"/>
        <w:rPr>
          <w:rFonts w:cs="Times New Roman"/>
          <w:color w:val="000000" w:themeColor="text1"/>
          <w:sz w:val="28"/>
          <w:szCs w:val="28"/>
        </w:rPr>
      </w:pPr>
    </w:p>
    <w:p w14:paraId="110FAD1C" w14:textId="165AF5E3" w:rsidR="00404F0E" w:rsidRPr="00C37B4D" w:rsidRDefault="00404F0E" w:rsidP="00FC17F1">
      <w:pPr>
        <w:pStyle w:val="SingleTxtG"/>
        <w:spacing w:line="360" w:lineRule="auto"/>
        <w:ind w:left="0" w:right="78"/>
        <w:rPr>
          <w:rFonts w:eastAsia="SimSun"/>
          <w:i/>
          <w:color w:val="000000" w:themeColor="text1"/>
          <w:sz w:val="28"/>
          <w:szCs w:val="28"/>
        </w:rPr>
      </w:pPr>
      <w:r w:rsidRPr="00FC17F1">
        <w:rPr>
          <w:rFonts w:eastAsia="SimSun"/>
          <w:i/>
          <w:color w:val="000000" w:themeColor="text1"/>
          <w:sz w:val="28"/>
          <w:szCs w:val="28"/>
        </w:rPr>
        <w:t>Question 2: Please provide information on the measures taken to consult all stakeholders, including Maori, in the elaboration, negotiation and ratification of trade agreements, such as the</w:t>
      </w:r>
      <w:r w:rsidR="009C76F2" w:rsidRPr="00FC17F1">
        <w:rPr>
          <w:rFonts w:eastAsia="SimSun"/>
          <w:i/>
          <w:color w:val="000000" w:themeColor="text1"/>
          <w:sz w:val="28"/>
          <w:szCs w:val="28"/>
        </w:rPr>
        <w:t xml:space="preserve"> </w:t>
      </w:r>
      <w:r w:rsidRPr="00FC17F1">
        <w:rPr>
          <w:rFonts w:eastAsia="SimSun"/>
          <w:i/>
          <w:color w:val="000000" w:themeColor="text1"/>
          <w:sz w:val="28"/>
          <w:szCs w:val="28"/>
        </w:rPr>
        <w:t xml:space="preserve">Trans-Pacific </w:t>
      </w:r>
      <w:r w:rsidR="009C76F2" w:rsidRPr="00FC17F1">
        <w:rPr>
          <w:rFonts w:eastAsia="SimSun"/>
          <w:i/>
          <w:color w:val="000000" w:themeColor="text1"/>
          <w:sz w:val="28"/>
          <w:szCs w:val="28"/>
        </w:rPr>
        <w:t>Partnership</w:t>
      </w:r>
      <w:r w:rsidRPr="00FC17F1">
        <w:rPr>
          <w:rFonts w:eastAsia="SimSun"/>
          <w:i/>
          <w:color w:val="000000" w:themeColor="text1"/>
          <w:sz w:val="28"/>
          <w:szCs w:val="28"/>
        </w:rPr>
        <w:t xml:space="preserve"> Agreement and the Free Trade Agreement with the European Union, to ensure the protection of human rights and compliance with international human rights obligations. Please also indicate the safeguards in pl</w:t>
      </w:r>
      <w:r w:rsidR="009C76F2" w:rsidRPr="00FC17F1">
        <w:rPr>
          <w:rFonts w:eastAsia="SimSun"/>
          <w:i/>
          <w:color w:val="000000" w:themeColor="text1"/>
          <w:sz w:val="28"/>
          <w:szCs w:val="28"/>
        </w:rPr>
        <w:t>ac</w:t>
      </w:r>
      <w:r w:rsidRPr="00FC17F1">
        <w:rPr>
          <w:rFonts w:eastAsia="SimSun"/>
          <w:i/>
          <w:color w:val="000000" w:themeColor="text1"/>
          <w:sz w:val="28"/>
          <w:szCs w:val="28"/>
        </w:rPr>
        <w:t xml:space="preserve">e to ensure that the investor-State dispute settlement mechanism contained in the Trans-Pacific Partnership Agreement will not force States to compromise </w:t>
      </w:r>
      <w:r w:rsidR="009C76F2" w:rsidRPr="00FC17F1">
        <w:rPr>
          <w:rFonts w:eastAsia="SimSun"/>
          <w:i/>
          <w:color w:val="000000" w:themeColor="text1"/>
          <w:sz w:val="28"/>
          <w:szCs w:val="28"/>
        </w:rPr>
        <w:t>thei</w:t>
      </w:r>
      <w:r w:rsidRPr="00FC17F1">
        <w:rPr>
          <w:rFonts w:eastAsia="SimSun"/>
          <w:i/>
          <w:color w:val="000000" w:themeColor="text1"/>
          <w:sz w:val="28"/>
          <w:szCs w:val="28"/>
        </w:rPr>
        <w:t xml:space="preserve">r </w:t>
      </w:r>
      <w:r w:rsidR="00573D14" w:rsidRPr="00C37B4D">
        <w:rPr>
          <w:rFonts w:eastAsia="SimSun"/>
          <w:i/>
          <w:color w:val="000000" w:themeColor="text1"/>
          <w:sz w:val="28"/>
          <w:szCs w:val="28"/>
        </w:rPr>
        <w:t>international o</w:t>
      </w:r>
      <w:r w:rsidRPr="00FC17F1">
        <w:rPr>
          <w:rFonts w:eastAsia="SimSun"/>
          <w:i/>
          <w:color w:val="000000" w:themeColor="text1"/>
          <w:sz w:val="28"/>
          <w:szCs w:val="28"/>
        </w:rPr>
        <w:t>bligations.</w:t>
      </w:r>
    </w:p>
    <w:p w14:paraId="5928D9EE" w14:textId="77777777" w:rsidR="007E75BF" w:rsidRPr="00FC17F1" w:rsidRDefault="007E75BF" w:rsidP="00FC17F1">
      <w:pPr>
        <w:pStyle w:val="SingleTxtG"/>
        <w:spacing w:line="360" w:lineRule="auto"/>
        <w:ind w:left="0" w:right="78"/>
        <w:rPr>
          <w:rFonts w:eastAsia="SimSun"/>
          <w:i/>
          <w:color w:val="000000" w:themeColor="text1"/>
          <w:sz w:val="28"/>
          <w:szCs w:val="28"/>
        </w:rPr>
      </w:pPr>
    </w:p>
    <w:p w14:paraId="356D2D56" w14:textId="0EDD3D04" w:rsidR="00C72B23" w:rsidRPr="007058FD" w:rsidRDefault="0002367B" w:rsidP="00FC17F1">
      <w:pPr>
        <w:pStyle w:val="ListParagraph"/>
        <w:tabs>
          <w:tab w:val="left" w:pos="0"/>
        </w:tabs>
        <w:spacing w:line="360" w:lineRule="auto"/>
        <w:ind w:left="0"/>
        <w:jc w:val="both"/>
      </w:pPr>
      <w:r w:rsidRPr="00FC17F1">
        <w:rPr>
          <w:rFonts w:cs="Times New Roman"/>
          <w:b/>
          <w:sz w:val="28"/>
          <w:szCs w:val="28"/>
        </w:rPr>
        <w:t>The Trans-Pacific Partnership Agreement</w:t>
      </w:r>
      <w:r w:rsidR="00FE4C0F" w:rsidRPr="00C37B4D">
        <w:rPr>
          <w:rFonts w:cs="Times New Roman"/>
          <w:b/>
          <w:sz w:val="28"/>
          <w:szCs w:val="28"/>
        </w:rPr>
        <w:t>, now the Comprehensive and Progressive Agreement on Trans-Pacific Part</w:t>
      </w:r>
      <w:r w:rsidR="00E44054" w:rsidRPr="00C37B4D">
        <w:rPr>
          <w:rFonts w:cs="Times New Roman"/>
          <w:b/>
          <w:sz w:val="28"/>
          <w:szCs w:val="28"/>
        </w:rPr>
        <w:t>n</w:t>
      </w:r>
      <w:r w:rsidR="00FE4C0F" w:rsidRPr="00C37B4D">
        <w:rPr>
          <w:rFonts w:cs="Times New Roman"/>
          <w:b/>
          <w:sz w:val="28"/>
          <w:szCs w:val="28"/>
        </w:rPr>
        <w:t>ership</w:t>
      </w:r>
    </w:p>
    <w:p w14:paraId="4178CA01" w14:textId="6B2812DB" w:rsidR="00C72B23" w:rsidRPr="00C37B4D" w:rsidRDefault="00573D14" w:rsidP="00DA2390">
      <w:pPr>
        <w:pStyle w:val="ListParagraph"/>
        <w:numPr>
          <w:ilvl w:val="0"/>
          <w:numId w:val="10"/>
        </w:numPr>
        <w:tabs>
          <w:tab w:val="left" w:pos="990"/>
        </w:tabs>
        <w:spacing w:line="360" w:lineRule="auto"/>
        <w:jc w:val="both"/>
        <w:rPr>
          <w:rFonts w:cs="Times New Roman"/>
          <w:sz w:val="28"/>
          <w:szCs w:val="28"/>
        </w:rPr>
      </w:pPr>
      <w:r w:rsidRPr="00FC17F1">
        <w:rPr>
          <w:rFonts w:cs="Times New Roman"/>
          <w:sz w:val="28"/>
          <w:szCs w:val="28"/>
        </w:rPr>
        <w:t xml:space="preserve">In its </w:t>
      </w:r>
      <w:r w:rsidR="00794088">
        <w:rPr>
          <w:rFonts w:cs="Times New Roman"/>
          <w:sz w:val="28"/>
          <w:szCs w:val="28"/>
        </w:rPr>
        <w:t>submission</w:t>
      </w:r>
      <w:r w:rsidRPr="00FC17F1">
        <w:rPr>
          <w:rFonts w:cs="Times New Roman"/>
          <w:sz w:val="28"/>
          <w:szCs w:val="28"/>
        </w:rPr>
        <w:t xml:space="preserve"> on the LOIPR</w:t>
      </w:r>
      <w:r w:rsidRPr="00C37B4D">
        <w:rPr>
          <w:rFonts w:cs="Times New Roman"/>
          <w:sz w:val="28"/>
          <w:szCs w:val="28"/>
        </w:rPr>
        <w:t xml:space="preserve"> in </w:t>
      </w:r>
      <w:r w:rsidR="00F60A85">
        <w:rPr>
          <w:rFonts w:cs="Times New Roman"/>
          <w:sz w:val="28"/>
          <w:szCs w:val="28"/>
        </w:rPr>
        <w:t>February</w:t>
      </w:r>
      <w:r w:rsidRPr="00C37B4D">
        <w:rPr>
          <w:rFonts w:cs="Times New Roman"/>
          <w:sz w:val="28"/>
          <w:szCs w:val="28"/>
        </w:rPr>
        <w:t xml:space="preserve"> 2016 the HRF raised a number of concerns as to the effect of the TPPA on the enjoyment of ESC rights and on the lack of consultation around its negotiation.</w:t>
      </w:r>
    </w:p>
    <w:p w14:paraId="2E2A0D42" w14:textId="48A5319C" w:rsidR="00C72B23" w:rsidRPr="00C37B4D" w:rsidRDefault="00C72B23" w:rsidP="00FC17F1">
      <w:pPr>
        <w:pStyle w:val="ListParagraph"/>
        <w:spacing w:line="360" w:lineRule="auto"/>
        <w:ind w:left="360"/>
        <w:jc w:val="both"/>
        <w:rPr>
          <w:rFonts w:cs="Times New Roman"/>
          <w:sz w:val="28"/>
          <w:szCs w:val="28"/>
        </w:rPr>
      </w:pPr>
    </w:p>
    <w:p w14:paraId="01841B5A" w14:textId="598C99D8" w:rsidR="00C72B23" w:rsidRPr="00FC17F1" w:rsidRDefault="00C72B23" w:rsidP="00DA2390">
      <w:pPr>
        <w:pStyle w:val="ListParagraph"/>
        <w:numPr>
          <w:ilvl w:val="0"/>
          <w:numId w:val="10"/>
        </w:numPr>
        <w:spacing w:line="360" w:lineRule="auto"/>
        <w:jc w:val="both"/>
        <w:rPr>
          <w:rFonts w:cs="Times New Roman"/>
          <w:color w:val="000000" w:themeColor="text1"/>
          <w:sz w:val="28"/>
          <w:szCs w:val="28"/>
        </w:rPr>
      </w:pPr>
      <w:r w:rsidRPr="00FC17F1">
        <w:rPr>
          <w:rFonts w:cs="Times New Roman"/>
          <w:color w:val="000000" w:themeColor="text1"/>
          <w:sz w:val="28"/>
          <w:szCs w:val="28"/>
        </w:rPr>
        <w:t xml:space="preserve">The effects of commitment to the TPPA had been a matter of concern to many groups in a number of countries, including in New Zealand. These groups include human rights groups, environmentalists, healthcare professionals and trade unions. Arguably, the main concern </w:t>
      </w:r>
      <w:r w:rsidRPr="00FC17F1">
        <w:rPr>
          <w:rFonts w:cs="Times New Roman"/>
          <w:color w:val="000000" w:themeColor="text1"/>
          <w:sz w:val="28"/>
          <w:szCs w:val="28"/>
        </w:rPr>
        <w:lastRenderedPageBreak/>
        <w:t xml:space="preserve">was the possible loss of sovereignty, especially in connection with the Investor-State Dispute Settlement (ISDS) Process, where corporations can challenge domestic </w:t>
      </w:r>
      <w:r w:rsidR="003F2110" w:rsidRPr="00FC17F1">
        <w:rPr>
          <w:rFonts w:cs="Times New Roman"/>
          <w:color w:val="000000" w:themeColor="text1"/>
          <w:sz w:val="28"/>
          <w:szCs w:val="28"/>
        </w:rPr>
        <w:t>laws, which</w:t>
      </w:r>
      <w:r w:rsidRPr="00FC17F1">
        <w:rPr>
          <w:rFonts w:cs="Times New Roman"/>
          <w:color w:val="000000" w:themeColor="text1"/>
          <w:sz w:val="28"/>
          <w:szCs w:val="28"/>
        </w:rPr>
        <w:t xml:space="preserve"> can be argued to have a detrimental effect on the profits or activities of investing corporations. Such laws may well be designed to improve a human rights or environmental situation in that state</w:t>
      </w:r>
      <w:r w:rsidR="004F51AB">
        <w:rPr>
          <w:rFonts w:cs="Times New Roman"/>
          <w:color w:val="000000" w:themeColor="text1"/>
          <w:sz w:val="28"/>
          <w:szCs w:val="28"/>
        </w:rPr>
        <w:t>.</w:t>
      </w:r>
    </w:p>
    <w:p w14:paraId="4419F4C2" w14:textId="77777777" w:rsidR="00C72B23" w:rsidRPr="00C37B4D" w:rsidRDefault="00C72B23" w:rsidP="00FC17F1">
      <w:pPr>
        <w:pStyle w:val="ListParagraph"/>
        <w:spacing w:line="360" w:lineRule="auto"/>
        <w:ind w:left="1080"/>
        <w:jc w:val="both"/>
        <w:rPr>
          <w:rFonts w:cs="Times New Roman"/>
          <w:color w:val="000000" w:themeColor="text1"/>
          <w:sz w:val="28"/>
          <w:szCs w:val="28"/>
        </w:rPr>
      </w:pPr>
    </w:p>
    <w:p w14:paraId="32CF7EA3" w14:textId="3570BA50" w:rsidR="00C72B23" w:rsidRPr="00FC17F1" w:rsidRDefault="00C72B23" w:rsidP="00DA2390">
      <w:pPr>
        <w:pStyle w:val="ListParagraph"/>
        <w:numPr>
          <w:ilvl w:val="0"/>
          <w:numId w:val="10"/>
        </w:numPr>
        <w:spacing w:line="360" w:lineRule="auto"/>
        <w:jc w:val="both"/>
        <w:rPr>
          <w:rFonts w:cs="Times New Roman"/>
          <w:color w:val="000000" w:themeColor="text1"/>
          <w:sz w:val="28"/>
          <w:szCs w:val="28"/>
        </w:rPr>
      </w:pPr>
      <w:r w:rsidRPr="00FC17F1">
        <w:rPr>
          <w:rFonts w:cs="Times New Roman"/>
          <w:color w:val="000000" w:themeColor="text1"/>
          <w:sz w:val="28"/>
          <w:szCs w:val="28"/>
        </w:rPr>
        <w:t>Such rights include the rights to health, including access to essential medicines; to work and in the work place and rights to strike and to collective bargaining; the right to an adequate standard of living, including access to housing, food and water; rights to intellectual property, which may come into conflict with patenting rights; rights to a sustainable and healthy environment and to commitments to address climate change.</w:t>
      </w:r>
    </w:p>
    <w:p w14:paraId="5D39EF15" w14:textId="77777777" w:rsidR="00C72B23" w:rsidRPr="00C37B4D" w:rsidRDefault="00C72B23" w:rsidP="00FC17F1">
      <w:pPr>
        <w:pStyle w:val="ListParagraph"/>
        <w:spacing w:line="360" w:lineRule="auto"/>
        <w:ind w:left="1080"/>
        <w:jc w:val="both"/>
        <w:rPr>
          <w:rFonts w:cs="Times New Roman"/>
          <w:color w:val="000000" w:themeColor="text1"/>
          <w:sz w:val="28"/>
          <w:szCs w:val="28"/>
        </w:rPr>
      </w:pPr>
    </w:p>
    <w:p w14:paraId="1295D77E" w14:textId="40D9B6D7" w:rsidR="00C72B23" w:rsidRPr="00FC17F1" w:rsidRDefault="00C72B23" w:rsidP="00DA2390">
      <w:pPr>
        <w:pStyle w:val="ListParagraph"/>
        <w:numPr>
          <w:ilvl w:val="0"/>
          <w:numId w:val="10"/>
        </w:numPr>
        <w:spacing w:line="360" w:lineRule="auto"/>
        <w:jc w:val="both"/>
        <w:rPr>
          <w:rFonts w:cs="Times New Roman"/>
          <w:color w:val="000000" w:themeColor="text1"/>
          <w:sz w:val="28"/>
          <w:szCs w:val="28"/>
        </w:rPr>
      </w:pPr>
      <w:r w:rsidRPr="00FC17F1">
        <w:rPr>
          <w:rFonts w:cs="Times New Roman"/>
          <w:color w:val="000000" w:themeColor="text1"/>
          <w:sz w:val="28"/>
          <w:szCs w:val="28"/>
        </w:rPr>
        <w:t xml:space="preserve">We were </w:t>
      </w:r>
      <w:r w:rsidR="00794088">
        <w:rPr>
          <w:rFonts w:cs="Times New Roman"/>
          <w:color w:val="000000" w:themeColor="text1"/>
          <w:sz w:val="28"/>
          <w:szCs w:val="28"/>
        </w:rPr>
        <w:t xml:space="preserve">also </w:t>
      </w:r>
      <w:r w:rsidRPr="00FC17F1">
        <w:rPr>
          <w:rFonts w:cs="Times New Roman"/>
          <w:color w:val="000000" w:themeColor="text1"/>
          <w:sz w:val="28"/>
          <w:szCs w:val="28"/>
        </w:rPr>
        <w:t>concerned that the rights of some vulnerable groups may be particularly at risk. These include those in poverty, especially children, and indigenous people.</w:t>
      </w:r>
    </w:p>
    <w:p w14:paraId="1978AE9A" w14:textId="77777777" w:rsidR="00C72B23" w:rsidRPr="00C37B4D" w:rsidRDefault="00C72B23" w:rsidP="00FC17F1">
      <w:pPr>
        <w:pStyle w:val="ListParagraph"/>
        <w:spacing w:line="360" w:lineRule="auto"/>
        <w:ind w:left="1080"/>
        <w:jc w:val="both"/>
        <w:rPr>
          <w:rFonts w:cs="Times New Roman"/>
          <w:color w:val="000000" w:themeColor="text1"/>
          <w:sz w:val="28"/>
          <w:szCs w:val="28"/>
        </w:rPr>
      </w:pPr>
    </w:p>
    <w:p w14:paraId="45CF1BC4" w14:textId="1B870A5E" w:rsidR="00C72B23" w:rsidRPr="00FC17F1" w:rsidRDefault="00C72B23" w:rsidP="00DA2390">
      <w:pPr>
        <w:pStyle w:val="ListParagraph"/>
        <w:numPr>
          <w:ilvl w:val="0"/>
          <w:numId w:val="10"/>
        </w:numPr>
        <w:spacing w:line="360" w:lineRule="auto"/>
        <w:jc w:val="both"/>
        <w:rPr>
          <w:rFonts w:cs="Times New Roman"/>
          <w:color w:val="000000" w:themeColor="text1"/>
          <w:sz w:val="28"/>
          <w:szCs w:val="28"/>
        </w:rPr>
      </w:pPr>
      <w:r w:rsidRPr="00FC17F1">
        <w:rPr>
          <w:rFonts w:cs="Times New Roman"/>
          <w:color w:val="000000" w:themeColor="text1"/>
          <w:sz w:val="28"/>
          <w:szCs w:val="28"/>
        </w:rPr>
        <w:t>There are also several procedural rights, sometimes called ‘democracy rights’, the rights to information, consultation and participation in policy and decision-making by those whose rights will be affected, which seemed not to be taken into account, either in the ISDS proceedings or more broadly in the way the TPPA was negotiated.</w:t>
      </w:r>
    </w:p>
    <w:p w14:paraId="35691588" w14:textId="77777777" w:rsidR="00C72B23" w:rsidRPr="00C37B4D" w:rsidRDefault="00C72B23" w:rsidP="00FC17F1">
      <w:pPr>
        <w:pStyle w:val="ListParagraph"/>
        <w:spacing w:line="360" w:lineRule="auto"/>
        <w:ind w:left="1080"/>
        <w:jc w:val="both"/>
        <w:rPr>
          <w:rFonts w:cs="Times New Roman"/>
          <w:color w:val="000000" w:themeColor="text1"/>
          <w:sz w:val="28"/>
          <w:szCs w:val="28"/>
        </w:rPr>
      </w:pPr>
    </w:p>
    <w:p w14:paraId="64404E0B" w14:textId="01A97C80" w:rsidR="00573D14" w:rsidRPr="00FC17F1" w:rsidRDefault="00C72B23" w:rsidP="00DA2390">
      <w:pPr>
        <w:pStyle w:val="ListParagraph"/>
        <w:numPr>
          <w:ilvl w:val="0"/>
          <w:numId w:val="10"/>
        </w:numPr>
        <w:spacing w:line="360" w:lineRule="auto"/>
        <w:jc w:val="both"/>
        <w:rPr>
          <w:rFonts w:cs="Times New Roman"/>
          <w:sz w:val="28"/>
          <w:szCs w:val="28"/>
          <w:lang w:val="en-AU"/>
        </w:rPr>
      </w:pPr>
      <w:r w:rsidRPr="00FC17F1">
        <w:rPr>
          <w:rFonts w:cs="Times New Roman"/>
          <w:sz w:val="28"/>
          <w:szCs w:val="28"/>
          <w:lang w:val="en-AU"/>
        </w:rPr>
        <w:t>Following the withdrawal of the USA from the negotiations, t</w:t>
      </w:r>
      <w:r w:rsidR="0002367B" w:rsidRPr="00FC17F1">
        <w:rPr>
          <w:rFonts w:cs="Times New Roman"/>
          <w:sz w:val="28"/>
          <w:szCs w:val="28"/>
          <w:lang w:val="en-AU"/>
        </w:rPr>
        <w:t>he HRF ha</w:t>
      </w:r>
      <w:r w:rsidRPr="00FC17F1">
        <w:rPr>
          <w:rFonts w:cs="Times New Roman"/>
          <w:sz w:val="28"/>
          <w:szCs w:val="28"/>
          <w:lang w:val="en-AU"/>
        </w:rPr>
        <w:t>d</w:t>
      </w:r>
      <w:r w:rsidR="0002367B" w:rsidRPr="00FC17F1">
        <w:rPr>
          <w:rFonts w:cs="Times New Roman"/>
          <w:sz w:val="28"/>
          <w:szCs w:val="28"/>
          <w:lang w:val="en-AU"/>
        </w:rPr>
        <w:t xml:space="preserve"> ongoing concerns over the effect on the protection of ESC right</w:t>
      </w:r>
      <w:r w:rsidRPr="00FC17F1">
        <w:rPr>
          <w:rFonts w:cs="Times New Roman"/>
          <w:sz w:val="28"/>
          <w:szCs w:val="28"/>
          <w:lang w:val="en-AU"/>
        </w:rPr>
        <w:t>s</w:t>
      </w:r>
      <w:r w:rsidR="0002367B" w:rsidRPr="00FC17F1">
        <w:rPr>
          <w:rFonts w:cs="Times New Roman"/>
          <w:sz w:val="28"/>
          <w:szCs w:val="28"/>
          <w:lang w:val="en-AU"/>
        </w:rPr>
        <w:t xml:space="preserve"> of the new government’s interest in pursuing the </w:t>
      </w:r>
      <w:r w:rsidRPr="00FC17F1">
        <w:rPr>
          <w:rFonts w:cs="Times New Roman"/>
          <w:sz w:val="28"/>
          <w:szCs w:val="28"/>
          <w:lang w:val="en-AU"/>
        </w:rPr>
        <w:t xml:space="preserve">new </w:t>
      </w:r>
      <w:r w:rsidR="0002367B" w:rsidRPr="00FC17F1">
        <w:rPr>
          <w:rFonts w:cs="Times New Roman"/>
          <w:sz w:val="28"/>
          <w:szCs w:val="28"/>
          <w:lang w:val="en-AU"/>
        </w:rPr>
        <w:t>Trans-Pacific Partnership Agreement (TPP-11). The processes involved</w:t>
      </w:r>
      <w:r w:rsidRPr="00FC17F1">
        <w:rPr>
          <w:rFonts w:cs="Times New Roman"/>
          <w:sz w:val="28"/>
          <w:szCs w:val="28"/>
          <w:lang w:val="en-AU"/>
        </w:rPr>
        <w:t xml:space="preserve"> </w:t>
      </w:r>
      <w:r w:rsidR="0002367B" w:rsidRPr="00FC17F1">
        <w:rPr>
          <w:rFonts w:cs="Times New Roman"/>
          <w:sz w:val="28"/>
          <w:szCs w:val="28"/>
          <w:lang w:val="en-AU"/>
        </w:rPr>
        <w:t xml:space="preserve">still </w:t>
      </w:r>
      <w:r w:rsidRPr="00FC17F1">
        <w:rPr>
          <w:rFonts w:cs="Times New Roman"/>
          <w:sz w:val="28"/>
          <w:szCs w:val="28"/>
          <w:lang w:val="en-AU"/>
        </w:rPr>
        <w:lastRenderedPageBreak/>
        <w:t xml:space="preserve">appeared </w:t>
      </w:r>
      <w:r w:rsidR="0002367B" w:rsidRPr="00FC17F1">
        <w:rPr>
          <w:rFonts w:cs="Times New Roman"/>
          <w:sz w:val="28"/>
          <w:szCs w:val="28"/>
          <w:lang w:val="en-AU"/>
        </w:rPr>
        <w:t xml:space="preserve">not </w:t>
      </w:r>
      <w:r w:rsidRPr="00FC17F1">
        <w:rPr>
          <w:rFonts w:cs="Times New Roman"/>
          <w:sz w:val="28"/>
          <w:szCs w:val="28"/>
          <w:lang w:val="en-AU"/>
        </w:rPr>
        <w:t xml:space="preserve">to be </w:t>
      </w:r>
      <w:r w:rsidR="0002367B" w:rsidRPr="00FC17F1">
        <w:rPr>
          <w:rFonts w:cs="Times New Roman"/>
          <w:sz w:val="28"/>
          <w:szCs w:val="28"/>
          <w:lang w:val="en-AU"/>
        </w:rPr>
        <w:t>set up to take human rights or environmental concerns into consideration.</w:t>
      </w:r>
    </w:p>
    <w:p w14:paraId="10DBF600" w14:textId="23D1213D" w:rsidR="0002367B" w:rsidRPr="00FC17F1" w:rsidRDefault="0002367B" w:rsidP="00FC17F1">
      <w:pPr>
        <w:pStyle w:val="ListParagraph"/>
        <w:spacing w:line="360" w:lineRule="auto"/>
        <w:ind w:left="2160"/>
        <w:jc w:val="both"/>
        <w:rPr>
          <w:rFonts w:cs="Times New Roman"/>
          <w:sz w:val="28"/>
          <w:szCs w:val="28"/>
          <w:lang w:val="en-AU"/>
        </w:rPr>
      </w:pPr>
    </w:p>
    <w:p w14:paraId="21C81C00" w14:textId="03D625D0" w:rsidR="006C32C9" w:rsidRPr="00FC17F1" w:rsidRDefault="006C32C9" w:rsidP="00DA2390">
      <w:pPr>
        <w:pStyle w:val="ListParagraph"/>
        <w:numPr>
          <w:ilvl w:val="0"/>
          <w:numId w:val="10"/>
        </w:numPr>
        <w:tabs>
          <w:tab w:val="left" w:pos="990"/>
        </w:tabs>
        <w:spacing w:line="360" w:lineRule="auto"/>
        <w:jc w:val="both"/>
        <w:rPr>
          <w:rFonts w:cs="Times New Roman"/>
          <w:sz w:val="28"/>
          <w:szCs w:val="28"/>
          <w:lang w:val="en-AU"/>
        </w:rPr>
      </w:pPr>
      <w:r w:rsidRPr="00FC17F1">
        <w:rPr>
          <w:rFonts w:cs="Times New Roman"/>
          <w:sz w:val="28"/>
          <w:szCs w:val="28"/>
          <w:lang w:val="en-AU"/>
        </w:rPr>
        <w:t>In further developments</w:t>
      </w:r>
      <w:r w:rsidR="0004464F" w:rsidRPr="00C37B4D">
        <w:rPr>
          <w:rFonts w:cs="Times New Roman"/>
          <w:sz w:val="28"/>
          <w:szCs w:val="28"/>
          <w:lang w:val="en-AU"/>
        </w:rPr>
        <w:t>,</w:t>
      </w:r>
      <w:r w:rsidRPr="00FC17F1">
        <w:rPr>
          <w:rFonts w:cs="Times New Roman"/>
          <w:sz w:val="28"/>
          <w:szCs w:val="28"/>
          <w:lang w:val="en-AU"/>
        </w:rPr>
        <w:t xml:space="preserve"> the Government is now set to sign the Comprehensive and Progressive Agreement on Trans-Pacific Partnership </w:t>
      </w:r>
      <w:r w:rsidR="00FC26B3" w:rsidRPr="00C37B4D">
        <w:rPr>
          <w:rFonts w:cs="Times New Roman"/>
          <w:sz w:val="28"/>
          <w:szCs w:val="28"/>
          <w:lang w:val="en-AU"/>
        </w:rPr>
        <w:t xml:space="preserve">(CP-TPP) </w:t>
      </w:r>
      <w:r w:rsidRPr="00FC17F1">
        <w:rPr>
          <w:rFonts w:cs="Times New Roman"/>
          <w:sz w:val="28"/>
          <w:szCs w:val="28"/>
          <w:lang w:val="en-AU"/>
        </w:rPr>
        <w:t>in March of this year.</w:t>
      </w:r>
      <w:r w:rsidRPr="00C37B4D">
        <w:rPr>
          <w:rFonts w:cs="Times New Roman"/>
          <w:sz w:val="28"/>
          <w:szCs w:val="28"/>
          <w:lang w:val="en-AU"/>
        </w:rPr>
        <w:t xml:space="preserve"> Despite Government assurances that concerns raised previously have been addressed, those concerns have not been allayed since the text of the agreement remains secret. </w:t>
      </w:r>
      <w:r w:rsidR="00FC26B3" w:rsidRPr="00C37B4D">
        <w:rPr>
          <w:rFonts w:cs="Times New Roman"/>
          <w:sz w:val="28"/>
          <w:szCs w:val="28"/>
          <w:lang w:val="en-AU"/>
        </w:rPr>
        <w:t>Such</w:t>
      </w:r>
      <w:r w:rsidRPr="00C37B4D">
        <w:rPr>
          <w:rFonts w:cs="Times New Roman"/>
          <w:sz w:val="28"/>
          <w:szCs w:val="28"/>
          <w:lang w:val="en-AU"/>
        </w:rPr>
        <w:t xml:space="preserve"> secrecy and lack of information has been one of the strongest critiques of the process so far.</w:t>
      </w:r>
      <w:r w:rsidR="00D40F98" w:rsidRPr="00C37B4D">
        <w:rPr>
          <w:rStyle w:val="FootnoteReference"/>
          <w:rFonts w:cs="Times New Roman"/>
          <w:sz w:val="28"/>
          <w:szCs w:val="28"/>
          <w:lang w:val="en-AU"/>
        </w:rPr>
        <w:footnoteReference w:id="18"/>
      </w:r>
    </w:p>
    <w:p w14:paraId="5EE8204C" w14:textId="77777777" w:rsidR="006C32C9" w:rsidRPr="00C37B4D" w:rsidRDefault="006C32C9" w:rsidP="00FC17F1">
      <w:pPr>
        <w:spacing w:line="360" w:lineRule="auto"/>
        <w:ind w:left="360"/>
        <w:jc w:val="both"/>
        <w:rPr>
          <w:rFonts w:cs="Times New Roman"/>
          <w:sz w:val="28"/>
          <w:szCs w:val="28"/>
          <w:lang w:val="en-AU"/>
        </w:rPr>
      </w:pPr>
    </w:p>
    <w:p w14:paraId="61790C9B" w14:textId="046B4587" w:rsidR="0002367B" w:rsidRPr="00FC17F1" w:rsidRDefault="00B333B3" w:rsidP="00DA2390">
      <w:pPr>
        <w:pStyle w:val="ListParagraph"/>
        <w:numPr>
          <w:ilvl w:val="0"/>
          <w:numId w:val="10"/>
        </w:numPr>
        <w:spacing w:line="360" w:lineRule="auto"/>
        <w:jc w:val="both"/>
        <w:rPr>
          <w:rFonts w:cs="Times New Roman"/>
          <w:b/>
          <w:sz w:val="28"/>
          <w:szCs w:val="28"/>
          <w:lang w:val="en-AU"/>
        </w:rPr>
      </w:pPr>
      <w:r w:rsidRPr="00C37B4D">
        <w:rPr>
          <w:rFonts w:cs="Times New Roman"/>
          <w:sz w:val="28"/>
          <w:szCs w:val="28"/>
          <w:lang w:val="en-AU"/>
        </w:rPr>
        <w:t xml:space="preserve"> </w:t>
      </w:r>
      <w:r w:rsidR="007E75BF" w:rsidRPr="00FC17F1">
        <w:rPr>
          <w:rFonts w:cs="Times New Roman"/>
          <w:b/>
          <w:sz w:val="28"/>
          <w:szCs w:val="28"/>
          <w:lang w:val="en-AU"/>
        </w:rPr>
        <w:t>T</w:t>
      </w:r>
      <w:r w:rsidR="0002367B" w:rsidRPr="00FC17F1">
        <w:rPr>
          <w:rFonts w:cs="Times New Roman"/>
          <w:b/>
          <w:sz w:val="28"/>
          <w:szCs w:val="28"/>
          <w:lang w:val="en-AU"/>
        </w:rPr>
        <w:t xml:space="preserve">he HRF endorses </w:t>
      </w:r>
      <w:r w:rsidR="00FC26B3" w:rsidRPr="00FC17F1">
        <w:rPr>
          <w:rFonts w:cs="Times New Roman"/>
          <w:b/>
          <w:sz w:val="28"/>
          <w:szCs w:val="28"/>
          <w:lang w:val="en-AU"/>
        </w:rPr>
        <w:t xml:space="preserve">recommendations </w:t>
      </w:r>
      <w:r w:rsidR="0002367B" w:rsidRPr="00FC17F1">
        <w:rPr>
          <w:rFonts w:cs="Times New Roman"/>
          <w:b/>
          <w:sz w:val="28"/>
          <w:szCs w:val="28"/>
          <w:lang w:val="en-AU"/>
        </w:rPr>
        <w:t>that negotiation</w:t>
      </w:r>
      <w:r w:rsidR="00FC26B3" w:rsidRPr="00FC17F1">
        <w:rPr>
          <w:rFonts w:cs="Times New Roman"/>
          <w:b/>
          <w:sz w:val="28"/>
          <w:szCs w:val="28"/>
          <w:lang w:val="en-AU"/>
        </w:rPr>
        <w:t>s</w:t>
      </w:r>
      <w:r w:rsidR="0002367B" w:rsidRPr="00FC17F1">
        <w:rPr>
          <w:rFonts w:cs="Times New Roman"/>
          <w:b/>
          <w:sz w:val="28"/>
          <w:szCs w:val="28"/>
          <w:lang w:val="en-AU"/>
        </w:rPr>
        <w:t xml:space="preserve"> take place under conditions of openness, including the regular release of draft negotiation texts to the public</w:t>
      </w:r>
      <w:r w:rsidR="004F51AB" w:rsidRPr="00FC17F1">
        <w:rPr>
          <w:rFonts w:cs="Times New Roman"/>
          <w:b/>
          <w:sz w:val="28"/>
          <w:szCs w:val="28"/>
          <w:lang w:val="en-AU"/>
        </w:rPr>
        <w:t>;</w:t>
      </w:r>
      <w:r w:rsidR="0002367B" w:rsidRPr="00FC17F1">
        <w:rPr>
          <w:rFonts w:cs="Times New Roman"/>
          <w:b/>
          <w:sz w:val="28"/>
          <w:szCs w:val="28"/>
          <w:lang w:val="en-AU"/>
        </w:rPr>
        <w:t xml:space="preserve"> </w:t>
      </w:r>
      <w:r w:rsidR="004F51AB" w:rsidRPr="00FC17F1">
        <w:rPr>
          <w:rFonts w:cs="Times New Roman"/>
          <w:b/>
          <w:sz w:val="28"/>
          <w:szCs w:val="28"/>
          <w:lang w:val="en-AU"/>
        </w:rPr>
        <w:t>f</w:t>
      </w:r>
      <w:r w:rsidR="0002367B" w:rsidRPr="00FC17F1">
        <w:rPr>
          <w:rFonts w:cs="Times New Roman"/>
          <w:b/>
          <w:sz w:val="28"/>
          <w:szCs w:val="28"/>
          <w:lang w:val="en-AU"/>
        </w:rPr>
        <w:t xml:space="preserve">urthermore, </w:t>
      </w:r>
      <w:r w:rsidR="004F51AB" w:rsidRPr="00FC17F1">
        <w:rPr>
          <w:rFonts w:cs="Times New Roman"/>
          <w:b/>
          <w:sz w:val="28"/>
          <w:szCs w:val="28"/>
          <w:lang w:val="en-AU"/>
        </w:rPr>
        <w:t xml:space="preserve">that </w:t>
      </w:r>
      <w:r w:rsidR="0002367B" w:rsidRPr="00FC17F1">
        <w:rPr>
          <w:rFonts w:cs="Times New Roman"/>
          <w:b/>
          <w:sz w:val="28"/>
          <w:szCs w:val="28"/>
          <w:lang w:val="en-AU"/>
        </w:rPr>
        <w:t>negotiation mandates be voted on by Parliament – including the consideration of public submissions – before the start of future trade and investment negotiations. That also allows for independent economic, health, human rights and environmental impact assessments to be taken into account.</w:t>
      </w:r>
    </w:p>
    <w:p w14:paraId="681E8470" w14:textId="77777777" w:rsidR="00573D14" w:rsidRPr="00FC17F1" w:rsidRDefault="00573D14" w:rsidP="00FC17F1">
      <w:pPr>
        <w:pStyle w:val="ListParagraph"/>
        <w:spacing w:line="360" w:lineRule="auto"/>
        <w:ind w:left="2160"/>
        <w:jc w:val="both"/>
        <w:rPr>
          <w:rFonts w:cs="Times New Roman"/>
          <w:sz w:val="28"/>
          <w:szCs w:val="28"/>
          <w:lang w:val="en-AU"/>
        </w:rPr>
      </w:pPr>
    </w:p>
    <w:p w14:paraId="031FBFC2" w14:textId="560C8C4C" w:rsidR="00AC74C7" w:rsidRPr="00636883" w:rsidRDefault="00375D87" w:rsidP="00636883">
      <w:pPr>
        <w:spacing w:line="360" w:lineRule="auto"/>
        <w:ind w:left="630"/>
        <w:jc w:val="both"/>
        <w:rPr>
          <w:rFonts w:cs="Times New Roman"/>
          <w:sz w:val="28"/>
          <w:szCs w:val="28"/>
          <w:lang w:val="en-AU"/>
        </w:rPr>
      </w:pPr>
      <w:r w:rsidRPr="00FC17F1">
        <w:rPr>
          <w:rFonts w:cs="Times New Roman"/>
          <w:b/>
          <w:sz w:val="28"/>
          <w:szCs w:val="28"/>
        </w:rPr>
        <w:t>Note</w:t>
      </w:r>
      <w:r w:rsidRPr="00FC17F1">
        <w:rPr>
          <w:rFonts w:cs="Times New Roman"/>
          <w:sz w:val="28"/>
          <w:szCs w:val="28"/>
        </w:rPr>
        <w:t>: the concerns detailed here are also relevant to the discussion of Articles 6, 7, 8, 11 and 12 below.</w:t>
      </w:r>
    </w:p>
    <w:p w14:paraId="5F2444B2" w14:textId="77777777" w:rsidR="009C76F2" w:rsidRPr="00FC17F1" w:rsidRDefault="009C76F2" w:rsidP="00FC17F1">
      <w:pPr>
        <w:pStyle w:val="SingleTxtG"/>
        <w:spacing w:line="360" w:lineRule="auto"/>
        <w:ind w:left="0" w:right="78"/>
        <w:rPr>
          <w:rFonts w:eastAsia="SimSun"/>
          <w:i/>
          <w:color w:val="000000" w:themeColor="text1"/>
          <w:sz w:val="28"/>
          <w:szCs w:val="28"/>
        </w:rPr>
      </w:pPr>
    </w:p>
    <w:p w14:paraId="4CABE79D" w14:textId="6BA1E807" w:rsidR="009C76F2" w:rsidRPr="00FC17F1" w:rsidRDefault="00404F0E" w:rsidP="00FC17F1">
      <w:pPr>
        <w:pStyle w:val="SingleTxtG"/>
        <w:spacing w:line="360" w:lineRule="auto"/>
        <w:ind w:left="0" w:right="78"/>
        <w:rPr>
          <w:rFonts w:eastAsia="SimSun"/>
          <w:i/>
          <w:color w:val="000000" w:themeColor="text1"/>
          <w:sz w:val="28"/>
          <w:szCs w:val="28"/>
        </w:rPr>
      </w:pPr>
      <w:r w:rsidRPr="00FC17F1">
        <w:rPr>
          <w:rFonts w:eastAsia="SimSun"/>
          <w:i/>
          <w:color w:val="000000" w:themeColor="text1"/>
          <w:sz w:val="28"/>
          <w:szCs w:val="28"/>
        </w:rPr>
        <w:t>Question</w:t>
      </w:r>
      <w:r w:rsidR="009C76F2" w:rsidRPr="00FC17F1">
        <w:rPr>
          <w:rFonts w:eastAsia="SimSun"/>
          <w:i/>
          <w:color w:val="000000" w:themeColor="text1"/>
          <w:sz w:val="28"/>
          <w:szCs w:val="28"/>
        </w:rPr>
        <w:t xml:space="preserve"> 3: </w:t>
      </w:r>
      <w:r w:rsidRPr="00FC17F1">
        <w:rPr>
          <w:rFonts w:eastAsia="SimSun"/>
          <w:i/>
          <w:color w:val="000000" w:themeColor="text1"/>
          <w:sz w:val="28"/>
          <w:szCs w:val="28"/>
        </w:rPr>
        <w:t xml:space="preserve"> Please provide an assessment of how </w:t>
      </w:r>
      <w:r w:rsidR="009C76F2" w:rsidRPr="00FC17F1">
        <w:rPr>
          <w:rFonts w:eastAsia="SimSun"/>
          <w:i/>
          <w:color w:val="000000" w:themeColor="text1"/>
          <w:sz w:val="28"/>
          <w:szCs w:val="28"/>
        </w:rPr>
        <w:t>the different policies and progr</w:t>
      </w:r>
      <w:r w:rsidRPr="00FC17F1">
        <w:rPr>
          <w:rFonts w:eastAsia="SimSun"/>
          <w:i/>
          <w:color w:val="000000" w:themeColor="text1"/>
          <w:sz w:val="28"/>
          <w:szCs w:val="28"/>
        </w:rPr>
        <w:t>amme</w:t>
      </w:r>
      <w:r w:rsidR="009C76F2" w:rsidRPr="00FC17F1">
        <w:rPr>
          <w:rFonts w:eastAsia="SimSun"/>
          <w:i/>
          <w:color w:val="000000" w:themeColor="text1"/>
          <w:sz w:val="28"/>
          <w:szCs w:val="28"/>
        </w:rPr>
        <w:t>s</w:t>
      </w:r>
      <w:r w:rsidRPr="00FC17F1">
        <w:rPr>
          <w:rFonts w:eastAsia="SimSun"/>
          <w:i/>
          <w:color w:val="000000" w:themeColor="text1"/>
          <w:sz w:val="28"/>
          <w:szCs w:val="28"/>
        </w:rPr>
        <w:t xml:space="preserve"> in the State party for the enjoyment of economic, social and cultural rights by disadvantages and marginalised groups, in particular Maori, Pasifika and children and young people below 24 years of age, have addressed </w:t>
      </w:r>
      <w:r w:rsidRPr="00FC17F1">
        <w:rPr>
          <w:rFonts w:eastAsia="SimSun"/>
          <w:i/>
          <w:color w:val="000000" w:themeColor="text1"/>
          <w:sz w:val="28"/>
          <w:szCs w:val="28"/>
        </w:rPr>
        <w:lastRenderedPageBreak/>
        <w:t>structural factors. Pleas</w:t>
      </w:r>
      <w:r w:rsidR="009C76F2" w:rsidRPr="00FC17F1">
        <w:rPr>
          <w:rFonts w:eastAsia="SimSun"/>
          <w:i/>
          <w:color w:val="000000" w:themeColor="text1"/>
          <w:sz w:val="28"/>
          <w:szCs w:val="28"/>
        </w:rPr>
        <w:t>e also indicate the remaining obstacles and how the implementation of the recommendations contained in the 2015 report of the New Zealand Productivity Commission on social services would</w:t>
      </w:r>
      <w:r w:rsidR="00F23933" w:rsidRPr="00FC17F1">
        <w:rPr>
          <w:rFonts w:eastAsia="SimSun"/>
          <w:i/>
          <w:color w:val="000000" w:themeColor="text1"/>
          <w:sz w:val="28"/>
          <w:szCs w:val="28"/>
        </w:rPr>
        <w:t xml:space="preserve"> address them</w:t>
      </w:r>
      <w:r w:rsidR="009C76F2" w:rsidRPr="00FC17F1">
        <w:rPr>
          <w:rFonts w:eastAsia="SimSun"/>
          <w:i/>
          <w:color w:val="000000" w:themeColor="text1"/>
          <w:sz w:val="28"/>
          <w:szCs w:val="28"/>
        </w:rPr>
        <w:t>.</w:t>
      </w:r>
    </w:p>
    <w:p w14:paraId="213CA0DB" w14:textId="77777777" w:rsidR="00E57171" w:rsidRPr="00FC17F1" w:rsidRDefault="00E57171" w:rsidP="00FC17F1">
      <w:pPr>
        <w:pStyle w:val="SingleTxtG"/>
        <w:spacing w:line="360" w:lineRule="auto"/>
        <w:ind w:left="0" w:right="78"/>
        <w:rPr>
          <w:rFonts w:eastAsia="SimSun"/>
          <w:i/>
          <w:color w:val="000000" w:themeColor="text1"/>
          <w:sz w:val="28"/>
          <w:szCs w:val="28"/>
        </w:rPr>
      </w:pPr>
    </w:p>
    <w:p w14:paraId="0A3DE8D3" w14:textId="1E1E7F7A" w:rsidR="00F23933" w:rsidRPr="00822E85" w:rsidRDefault="007058FD" w:rsidP="00FC17F1">
      <w:pPr>
        <w:pStyle w:val="SingleTxtG"/>
        <w:spacing w:line="360" w:lineRule="auto"/>
        <w:ind w:left="0" w:right="78"/>
        <w:rPr>
          <w:rFonts w:eastAsia="SimSun"/>
          <w:b/>
          <w:sz w:val="28"/>
          <w:szCs w:val="28"/>
        </w:rPr>
      </w:pPr>
      <w:r w:rsidRPr="00DA2390">
        <w:rPr>
          <w:rFonts w:eastAsia="SimSun"/>
          <w:b/>
          <w:sz w:val="28"/>
          <w:szCs w:val="28"/>
        </w:rPr>
        <w:t xml:space="preserve">For </w:t>
      </w:r>
      <w:r w:rsidR="00FC26B3" w:rsidRPr="00DA2390">
        <w:rPr>
          <w:rFonts w:eastAsia="SimSun"/>
          <w:b/>
          <w:sz w:val="28"/>
          <w:szCs w:val="28"/>
        </w:rPr>
        <w:t>Maori and Pacifica people</w:t>
      </w:r>
      <w:r w:rsidR="00131A11" w:rsidRPr="00DA2390">
        <w:rPr>
          <w:rFonts w:eastAsia="SimSun"/>
          <w:b/>
          <w:sz w:val="28"/>
          <w:szCs w:val="28"/>
        </w:rPr>
        <w:t xml:space="preserve">: the HRF endorses the recommendations </w:t>
      </w:r>
      <w:r w:rsidR="003F2110" w:rsidRPr="003F2110">
        <w:rPr>
          <w:rFonts w:eastAsia="SimSun"/>
          <w:b/>
          <w:sz w:val="28"/>
          <w:szCs w:val="28"/>
        </w:rPr>
        <w:t>of the</w:t>
      </w:r>
      <w:r w:rsidR="00C47513" w:rsidRPr="00DA2390">
        <w:rPr>
          <w:rFonts w:eastAsia="SimSun"/>
          <w:b/>
          <w:sz w:val="28"/>
          <w:szCs w:val="28"/>
        </w:rPr>
        <w:t xml:space="preserve"> report of </w:t>
      </w:r>
      <w:r w:rsidRPr="00DA2390">
        <w:rPr>
          <w:rFonts w:eastAsia="SimSun"/>
          <w:b/>
          <w:sz w:val="28"/>
          <w:szCs w:val="28"/>
        </w:rPr>
        <w:t>Peace Movement Aotearoa</w:t>
      </w:r>
      <w:r w:rsidR="00C47513" w:rsidRPr="00DA2390">
        <w:rPr>
          <w:rFonts w:eastAsia="SimSun"/>
          <w:b/>
          <w:sz w:val="28"/>
          <w:szCs w:val="28"/>
        </w:rPr>
        <w:t>.</w:t>
      </w:r>
    </w:p>
    <w:p w14:paraId="3DAA2985" w14:textId="2A14F3AF" w:rsidR="00FC26B3" w:rsidRPr="00FC17F1" w:rsidRDefault="007058FD" w:rsidP="00FC17F1">
      <w:pPr>
        <w:pStyle w:val="SingleTxtG"/>
        <w:spacing w:line="360" w:lineRule="auto"/>
        <w:ind w:left="0" w:right="78"/>
        <w:rPr>
          <w:rFonts w:eastAsia="SimSun"/>
          <w:b/>
          <w:i/>
          <w:sz w:val="28"/>
          <w:szCs w:val="28"/>
        </w:rPr>
      </w:pPr>
      <w:r w:rsidRPr="00FC17F1">
        <w:rPr>
          <w:rFonts w:eastAsia="SimSun"/>
          <w:b/>
          <w:sz w:val="28"/>
          <w:szCs w:val="28"/>
        </w:rPr>
        <w:t>For c</w:t>
      </w:r>
      <w:r w:rsidR="00FC26B3" w:rsidRPr="00FC17F1">
        <w:rPr>
          <w:rFonts w:eastAsia="SimSun"/>
          <w:b/>
          <w:sz w:val="28"/>
          <w:szCs w:val="28"/>
        </w:rPr>
        <w:t>hildren</w:t>
      </w:r>
      <w:r w:rsidRPr="00FC17F1">
        <w:rPr>
          <w:rFonts w:eastAsia="SimSun"/>
          <w:b/>
          <w:sz w:val="28"/>
          <w:szCs w:val="28"/>
        </w:rPr>
        <w:t xml:space="preserve"> and young people</w:t>
      </w:r>
      <w:r w:rsidR="00C13D73" w:rsidRPr="004C6DF8">
        <w:rPr>
          <w:rFonts w:eastAsia="SimSun"/>
          <w:b/>
          <w:sz w:val="28"/>
          <w:szCs w:val="28"/>
        </w:rPr>
        <w:t xml:space="preserve">: </w:t>
      </w:r>
      <w:r w:rsidRPr="00FC17F1">
        <w:rPr>
          <w:rFonts w:eastAsia="SimSun"/>
          <w:b/>
          <w:sz w:val="28"/>
          <w:szCs w:val="28"/>
        </w:rPr>
        <w:t xml:space="preserve"> </w:t>
      </w:r>
      <w:r w:rsidR="00C13D73" w:rsidRPr="004C6DF8">
        <w:rPr>
          <w:rFonts w:eastAsia="SimSun"/>
          <w:b/>
          <w:sz w:val="28"/>
          <w:szCs w:val="28"/>
        </w:rPr>
        <w:t>the HRF endorses the recommendations</w:t>
      </w:r>
      <w:r w:rsidRPr="00FC17F1">
        <w:rPr>
          <w:rFonts w:eastAsia="SimSun"/>
          <w:b/>
          <w:sz w:val="28"/>
          <w:szCs w:val="28"/>
        </w:rPr>
        <w:t xml:space="preserve"> of CPAG/ ACYA</w:t>
      </w:r>
      <w:r w:rsidR="00C13D73" w:rsidRPr="004C6DF8">
        <w:rPr>
          <w:rFonts w:eastAsia="SimSun"/>
          <w:b/>
          <w:sz w:val="28"/>
          <w:szCs w:val="28"/>
        </w:rPr>
        <w:t>, report</w:t>
      </w:r>
      <w:r w:rsidR="00605CCD" w:rsidRPr="00FC17F1">
        <w:rPr>
          <w:rFonts w:eastAsia="SimSun"/>
          <w:b/>
          <w:sz w:val="28"/>
          <w:szCs w:val="28"/>
        </w:rPr>
        <w:t xml:space="preserve"> p 3</w:t>
      </w:r>
    </w:p>
    <w:p w14:paraId="0D6C54E2" w14:textId="77777777" w:rsidR="009C76F2" w:rsidRPr="00FC17F1" w:rsidRDefault="009C76F2" w:rsidP="00FC17F1">
      <w:pPr>
        <w:pStyle w:val="SingleTxtG"/>
        <w:spacing w:line="360" w:lineRule="auto"/>
        <w:ind w:left="0" w:right="78"/>
        <w:rPr>
          <w:rFonts w:eastAsia="SimSun"/>
          <w:i/>
          <w:color w:val="000000" w:themeColor="text1"/>
          <w:sz w:val="28"/>
          <w:szCs w:val="28"/>
        </w:rPr>
      </w:pPr>
    </w:p>
    <w:p w14:paraId="05B86719" w14:textId="1094E4C0" w:rsidR="009C76F2" w:rsidRPr="00FC17F1" w:rsidRDefault="009C76F2" w:rsidP="00FC17F1">
      <w:pPr>
        <w:pStyle w:val="SingleTxtG"/>
        <w:spacing w:line="360" w:lineRule="auto"/>
        <w:ind w:left="0" w:right="78"/>
        <w:rPr>
          <w:rFonts w:eastAsia="SimSun"/>
          <w:i/>
          <w:color w:val="000000" w:themeColor="text1"/>
          <w:sz w:val="28"/>
          <w:szCs w:val="28"/>
        </w:rPr>
      </w:pPr>
      <w:r w:rsidRPr="00FC17F1">
        <w:rPr>
          <w:rFonts w:eastAsia="SimSun"/>
          <w:i/>
          <w:color w:val="000000" w:themeColor="text1"/>
          <w:sz w:val="28"/>
          <w:szCs w:val="28"/>
        </w:rPr>
        <w:t>Question 4: Please provide an assessment of how measures to combat different types of violence for groups such as women and girls, persons with disabilities, children and transgender persons have been effective.</w:t>
      </w:r>
    </w:p>
    <w:p w14:paraId="31295EF1" w14:textId="2396C306" w:rsidR="00B333B3" w:rsidRPr="00FC17F1" w:rsidRDefault="00B333B3" w:rsidP="00FC17F1">
      <w:pPr>
        <w:pStyle w:val="SingleTxtG"/>
        <w:spacing w:line="360" w:lineRule="auto"/>
        <w:ind w:left="0" w:right="78"/>
        <w:rPr>
          <w:rFonts w:eastAsia="SimSun"/>
          <w:b/>
          <w:color w:val="000000" w:themeColor="text1"/>
          <w:sz w:val="28"/>
          <w:szCs w:val="28"/>
        </w:rPr>
      </w:pPr>
      <w:r w:rsidRPr="00C37B4D">
        <w:rPr>
          <w:rFonts w:eastAsia="SimSun"/>
          <w:b/>
          <w:color w:val="000000" w:themeColor="text1"/>
          <w:sz w:val="28"/>
          <w:szCs w:val="28"/>
        </w:rPr>
        <w:t>Introduction</w:t>
      </w:r>
    </w:p>
    <w:p w14:paraId="0EE73252" w14:textId="130D22C5" w:rsidR="00B333B3" w:rsidRPr="00C37B4D" w:rsidRDefault="00B333B3"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This section focuses primarily on violence against </w:t>
      </w:r>
      <w:r w:rsidR="003F2110" w:rsidRPr="00C37B4D">
        <w:rPr>
          <w:rFonts w:eastAsia="SimSun"/>
          <w:color w:val="000000" w:themeColor="text1"/>
          <w:sz w:val="28"/>
          <w:szCs w:val="28"/>
        </w:rPr>
        <w:t>women,</w:t>
      </w:r>
      <w:r w:rsidRPr="00C37B4D">
        <w:rPr>
          <w:rFonts w:eastAsia="SimSun"/>
          <w:color w:val="000000" w:themeColor="text1"/>
          <w:sz w:val="28"/>
          <w:szCs w:val="28"/>
        </w:rPr>
        <w:t xml:space="preserve"> as this is an issue the HRF has previously </w:t>
      </w:r>
      <w:r w:rsidR="00794088">
        <w:rPr>
          <w:rFonts w:eastAsia="SimSun"/>
          <w:color w:val="000000" w:themeColor="text1"/>
          <w:sz w:val="28"/>
          <w:szCs w:val="28"/>
        </w:rPr>
        <w:t>addressed in parallel and UPR reports</w:t>
      </w:r>
      <w:r w:rsidRPr="00C37B4D">
        <w:rPr>
          <w:rFonts w:eastAsia="SimSun"/>
          <w:color w:val="000000" w:themeColor="text1"/>
          <w:sz w:val="28"/>
          <w:szCs w:val="28"/>
        </w:rPr>
        <w:t xml:space="preserve">. </w:t>
      </w:r>
    </w:p>
    <w:p w14:paraId="7BB63C5F" w14:textId="77777777" w:rsidR="00B333B3" w:rsidRPr="00C37B4D" w:rsidRDefault="00B333B3"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We begin by outlining recent initiatives of the previous government, comment on some results of those initiatives and then propose recommendations.  </w:t>
      </w:r>
    </w:p>
    <w:p w14:paraId="0B114C80" w14:textId="54878D44" w:rsidR="00B333B3" w:rsidRPr="00C37B4D" w:rsidRDefault="00B333B3" w:rsidP="00FC17F1">
      <w:pPr>
        <w:pStyle w:val="SingleTxtG"/>
        <w:tabs>
          <w:tab w:val="left" w:pos="90"/>
        </w:tabs>
        <w:spacing w:line="360" w:lineRule="auto"/>
        <w:ind w:left="0" w:right="78"/>
        <w:rPr>
          <w:rFonts w:eastAsia="SimSun"/>
          <w:b/>
          <w:color w:val="000000" w:themeColor="text1"/>
          <w:sz w:val="28"/>
          <w:szCs w:val="28"/>
        </w:rPr>
      </w:pPr>
      <w:r w:rsidRPr="00FC17F1">
        <w:rPr>
          <w:rFonts w:eastAsia="SimSun"/>
          <w:b/>
          <w:color w:val="000000" w:themeColor="text1"/>
          <w:sz w:val="28"/>
          <w:szCs w:val="28"/>
        </w:rPr>
        <w:t>Government measures</w:t>
      </w:r>
    </w:p>
    <w:p w14:paraId="5223405F" w14:textId="79FBA2EC" w:rsidR="00B333B3" w:rsidRPr="00FC17F1" w:rsidRDefault="00B333B3" w:rsidP="00DA2390">
      <w:pPr>
        <w:pStyle w:val="SingleTxtG"/>
        <w:numPr>
          <w:ilvl w:val="0"/>
          <w:numId w:val="10"/>
        </w:numPr>
        <w:tabs>
          <w:tab w:val="left" w:pos="90"/>
        </w:tabs>
        <w:spacing w:line="360" w:lineRule="auto"/>
        <w:ind w:right="78"/>
        <w:rPr>
          <w:rFonts w:eastAsia="SimSun"/>
          <w:b/>
          <w:color w:val="000000" w:themeColor="text1"/>
          <w:sz w:val="28"/>
          <w:szCs w:val="28"/>
        </w:rPr>
      </w:pPr>
      <w:r w:rsidRPr="00C37B4D">
        <w:rPr>
          <w:rFonts w:eastAsia="SimSun"/>
          <w:color w:val="000000" w:themeColor="text1"/>
          <w:sz w:val="28"/>
          <w:szCs w:val="28"/>
        </w:rPr>
        <w:t xml:space="preserve"> The HRF notes the government measures outlined in the New Zealand government’s report.  The previous government, particularly the Minister of Justice, Hon Amy Adams, was energetic and committed to reducing family violence. We expect that the new Minister of Women’s Affairs, Hon Julie Genter, will be as equally committed.  Violence against women and girls is one of the priority </w:t>
      </w:r>
      <w:r w:rsidRPr="00C37B4D">
        <w:rPr>
          <w:rFonts w:eastAsia="SimSun"/>
          <w:color w:val="000000" w:themeColor="text1"/>
          <w:sz w:val="28"/>
          <w:szCs w:val="28"/>
        </w:rPr>
        <w:lastRenderedPageBreak/>
        <w:t xml:space="preserve">areas of the Ministry of Women’s Affairs, as </w:t>
      </w:r>
      <w:r w:rsidR="00F37635">
        <w:rPr>
          <w:rFonts w:eastAsia="SimSun"/>
          <w:color w:val="000000" w:themeColor="text1"/>
          <w:sz w:val="28"/>
          <w:szCs w:val="28"/>
        </w:rPr>
        <w:t>indicated on</w:t>
      </w:r>
      <w:r w:rsidRPr="00C37B4D">
        <w:rPr>
          <w:rFonts w:eastAsia="SimSun"/>
          <w:color w:val="000000" w:themeColor="text1"/>
          <w:sz w:val="28"/>
          <w:szCs w:val="28"/>
        </w:rPr>
        <w:t xml:space="preserve"> their </w:t>
      </w:r>
      <w:r w:rsidR="003F2110" w:rsidRPr="00C37B4D">
        <w:rPr>
          <w:rFonts w:eastAsia="SimSun"/>
          <w:color w:val="000000" w:themeColor="text1"/>
          <w:sz w:val="28"/>
          <w:szCs w:val="28"/>
        </w:rPr>
        <w:t>web site</w:t>
      </w:r>
      <w:r w:rsidRPr="00C37B4D">
        <w:rPr>
          <w:rFonts w:eastAsia="SimSun"/>
          <w:color w:val="000000" w:themeColor="text1"/>
          <w:sz w:val="28"/>
          <w:szCs w:val="28"/>
        </w:rPr>
        <w:t xml:space="preserve">. </w:t>
      </w:r>
    </w:p>
    <w:p w14:paraId="6834EF82" w14:textId="77777777" w:rsidR="00B333B3" w:rsidRPr="00C37B4D" w:rsidRDefault="00B333B3" w:rsidP="00DA2390">
      <w:pPr>
        <w:pStyle w:val="SingleTxtG"/>
        <w:numPr>
          <w:ilvl w:val="0"/>
          <w:numId w:val="10"/>
        </w:numPr>
        <w:tabs>
          <w:tab w:val="left" w:pos="90"/>
          <w:tab w:val="left" w:pos="9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In addition to the range of measures outlined in the government report, the following are worth noting: </w:t>
      </w:r>
    </w:p>
    <w:p w14:paraId="7F994B15" w14:textId="67BB70A0" w:rsidR="00B333B3" w:rsidRPr="00C37B4D" w:rsidRDefault="00B333B3" w:rsidP="00DA2390">
      <w:pPr>
        <w:pStyle w:val="SingleTxtG"/>
        <w:numPr>
          <w:ilvl w:val="1"/>
          <w:numId w:val="3"/>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 xml:space="preserve">The Chief District Court Judge and Chief Family Court judge have stated that all District Court judges </w:t>
      </w:r>
      <w:r w:rsidR="00F37635">
        <w:rPr>
          <w:rFonts w:eastAsia="SimSun"/>
          <w:color w:val="000000" w:themeColor="text1"/>
          <w:sz w:val="28"/>
          <w:szCs w:val="28"/>
        </w:rPr>
        <w:t xml:space="preserve">are to </w:t>
      </w:r>
      <w:r w:rsidRPr="00C37B4D">
        <w:rPr>
          <w:rFonts w:eastAsia="SimSun"/>
          <w:color w:val="000000" w:themeColor="text1"/>
          <w:sz w:val="28"/>
          <w:szCs w:val="28"/>
        </w:rPr>
        <w:t>receive regular on</w:t>
      </w:r>
      <w:r w:rsidR="00F37635">
        <w:rPr>
          <w:rFonts w:eastAsia="SimSun"/>
          <w:color w:val="000000" w:themeColor="text1"/>
          <w:sz w:val="28"/>
          <w:szCs w:val="28"/>
        </w:rPr>
        <w:t>-</w:t>
      </w:r>
      <w:r w:rsidRPr="00C37B4D">
        <w:rPr>
          <w:rFonts w:eastAsia="SimSun"/>
          <w:color w:val="000000" w:themeColor="text1"/>
          <w:sz w:val="28"/>
          <w:szCs w:val="28"/>
        </w:rPr>
        <w:t>going education on family and sexual violence. After the Family Violence Death Review Committee’s 4th Report, the District Court organised a three-day conference dedicated to better understanding domestic violence and its effect on victims.  Further</w:t>
      </w:r>
      <w:r w:rsidR="00F37635">
        <w:rPr>
          <w:rFonts w:eastAsia="SimSun"/>
          <w:color w:val="000000" w:themeColor="text1"/>
          <w:sz w:val="28"/>
          <w:szCs w:val="28"/>
        </w:rPr>
        <w:t>,</w:t>
      </w:r>
      <w:r w:rsidRPr="00C37B4D">
        <w:rPr>
          <w:rFonts w:eastAsia="SimSun"/>
          <w:color w:val="000000" w:themeColor="text1"/>
          <w:sz w:val="28"/>
          <w:szCs w:val="28"/>
        </w:rPr>
        <w:t xml:space="preserve"> the Institute of Judicial Studies has put considerable effort in</w:t>
      </w:r>
      <w:r w:rsidR="00F37635">
        <w:rPr>
          <w:rFonts w:eastAsia="SimSun"/>
          <w:color w:val="000000" w:themeColor="text1"/>
          <w:sz w:val="28"/>
          <w:szCs w:val="28"/>
        </w:rPr>
        <w:t>to family violence in</w:t>
      </w:r>
      <w:r w:rsidRPr="00C37B4D">
        <w:rPr>
          <w:rFonts w:eastAsia="SimSun"/>
          <w:color w:val="000000" w:themeColor="text1"/>
          <w:sz w:val="28"/>
          <w:szCs w:val="28"/>
        </w:rPr>
        <w:t xml:space="preserve"> its curriculum.</w:t>
      </w:r>
      <w:r w:rsidR="00425A4A">
        <w:rPr>
          <w:rStyle w:val="FootnoteReference"/>
          <w:rFonts w:eastAsia="SimSun"/>
          <w:color w:val="000000" w:themeColor="text1"/>
          <w:sz w:val="28"/>
          <w:szCs w:val="28"/>
        </w:rPr>
        <w:footnoteReference w:id="19"/>
      </w:r>
      <w:r w:rsidRPr="00C37B4D">
        <w:rPr>
          <w:rFonts w:eastAsia="SimSun"/>
          <w:color w:val="000000" w:themeColor="text1"/>
          <w:sz w:val="28"/>
          <w:szCs w:val="28"/>
        </w:rPr>
        <w:t xml:space="preserve">    </w:t>
      </w:r>
    </w:p>
    <w:p w14:paraId="21DACF90" w14:textId="26D47E43" w:rsidR="00B333B3" w:rsidRPr="00C37B4D" w:rsidRDefault="00B333B3" w:rsidP="00DA2390">
      <w:pPr>
        <w:pStyle w:val="SingleTxtG"/>
        <w:numPr>
          <w:ilvl w:val="1"/>
          <w:numId w:val="3"/>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 xml:space="preserve">Almost half of Family Court judges are now women. </w:t>
      </w:r>
      <w:r w:rsidR="00425A4A">
        <w:rPr>
          <w:rStyle w:val="FootnoteReference"/>
          <w:rFonts w:eastAsia="SimSun"/>
          <w:color w:val="000000" w:themeColor="text1"/>
          <w:sz w:val="28"/>
          <w:szCs w:val="28"/>
        </w:rPr>
        <w:footnoteReference w:id="20"/>
      </w:r>
      <w:r w:rsidRPr="00C37B4D">
        <w:rPr>
          <w:rFonts w:eastAsia="SimSun"/>
          <w:color w:val="000000" w:themeColor="text1"/>
          <w:sz w:val="28"/>
          <w:szCs w:val="28"/>
        </w:rPr>
        <w:t xml:space="preserve"> </w:t>
      </w:r>
    </w:p>
    <w:p w14:paraId="22C9E244" w14:textId="238AC60D" w:rsidR="00B333B3" w:rsidRPr="00C37B4D" w:rsidRDefault="00B333B3" w:rsidP="00DA2390">
      <w:pPr>
        <w:pStyle w:val="SingleTxtG"/>
        <w:numPr>
          <w:ilvl w:val="1"/>
          <w:numId w:val="3"/>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The Ministerial Group on Family Violence and Sexual Violence have developed a Workforce Capability Framework to increase the quality of knowledge, skills and behaviours of the workforce, decrease re</w:t>
      </w:r>
      <w:r w:rsidR="00F37635">
        <w:rPr>
          <w:rFonts w:eastAsia="SimSun"/>
          <w:color w:val="000000" w:themeColor="text1"/>
          <w:sz w:val="28"/>
          <w:szCs w:val="28"/>
        </w:rPr>
        <w:t>-</w:t>
      </w:r>
      <w:r w:rsidRPr="00C37B4D">
        <w:rPr>
          <w:rFonts w:eastAsia="SimSun"/>
          <w:color w:val="000000" w:themeColor="text1"/>
          <w:sz w:val="28"/>
          <w:szCs w:val="28"/>
        </w:rPr>
        <w:t xml:space="preserve">victimisation and promote continuous improvement within the workforce. It is not clear how this framework will be implemented. </w:t>
      </w:r>
    </w:p>
    <w:p w14:paraId="76831EF0" w14:textId="31741BFB" w:rsidR="00B333B3" w:rsidRPr="00C37B4D" w:rsidRDefault="00B333B3" w:rsidP="00DA2390">
      <w:pPr>
        <w:pStyle w:val="SingleTxtG"/>
        <w:numPr>
          <w:ilvl w:val="1"/>
          <w:numId w:val="3"/>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 xml:space="preserve">The Ministry of Justice has developed a Family Violence Risk Assessment and Management Framework to ensure consistency and best practice in supporting victims to recover and perpetrators to take responsibility for their </w:t>
      </w:r>
      <w:r w:rsidRPr="00C37B4D">
        <w:rPr>
          <w:rFonts w:eastAsia="SimSun"/>
          <w:color w:val="000000" w:themeColor="text1"/>
          <w:sz w:val="28"/>
          <w:szCs w:val="28"/>
        </w:rPr>
        <w:lastRenderedPageBreak/>
        <w:t xml:space="preserve">behaviour. This framework is detailed and over 50 pages long. Again how the Ministry proposes to implement this framework is not clear from the document. Nor is it clear who will be required to implement it.   </w:t>
      </w:r>
    </w:p>
    <w:p w14:paraId="019345A4" w14:textId="77777777" w:rsidR="00907D48" w:rsidRPr="00C37B4D" w:rsidRDefault="00907D48" w:rsidP="00FC17F1">
      <w:pPr>
        <w:pStyle w:val="SingleTxtG"/>
        <w:tabs>
          <w:tab w:val="left" w:pos="90"/>
        </w:tabs>
        <w:spacing w:line="360" w:lineRule="auto"/>
        <w:ind w:left="0" w:right="78"/>
        <w:rPr>
          <w:rFonts w:eastAsia="SimSun"/>
          <w:color w:val="000000" w:themeColor="text1"/>
          <w:sz w:val="28"/>
          <w:szCs w:val="28"/>
        </w:rPr>
      </w:pPr>
    </w:p>
    <w:p w14:paraId="7855E183" w14:textId="07E11315" w:rsidR="00B333B3" w:rsidRPr="00FC17F1" w:rsidRDefault="00B333B3" w:rsidP="00FC17F1">
      <w:pPr>
        <w:pStyle w:val="SingleTxtG"/>
        <w:tabs>
          <w:tab w:val="left" w:pos="90"/>
          <w:tab w:val="left" w:pos="6703"/>
        </w:tabs>
        <w:spacing w:line="360" w:lineRule="auto"/>
        <w:ind w:left="0" w:right="78"/>
        <w:rPr>
          <w:rFonts w:eastAsia="SimSun"/>
          <w:b/>
          <w:color w:val="000000" w:themeColor="text1"/>
          <w:sz w:val="28"/>
          <w:szCs w:val="28"/>
        </w:rPr>
      </w:pPr>
      <w:r w:rsidRPr="00FC17F1">
        <w:rPr>
          <w:rFonts w:eastAsia="SimSun"/>
          <w:b/>
          <w:color w:val="000000" w:themeColor="text1"/>
          <w:sz w:val="28"/>
          <w:szCs w:val="28"/>
        </w:rPr>
        <w:t>Assessment of effectiveness</w:t>
      </w:r>
      <w:r w:rsidR="00E54CC8">
        <w:rPr>
          <w:rFonts w:eastAsia="SimSun"/>
          <w:b/>
          <w:color w:val="000000" w:themeColor="text1"/>
          <w:sz w:val="28"/>
          <w:szCs w:val="28"/>
        </w:rPr>
        <w:tab/>
      </w:r>
    </w:p>
    <w:p w14:paraId="6212968B" w14:textId="296D59A4" w:rsidR="00907D48" w:rsidRPr="00C37B4D" w:rsidRDefault="00907D48" w:rsidP="00DA2390">
      <w:pPr>
        <w:pStyle w:val="SingleTxtG"/>
        <w:numPr>
          <w:ilvl w:val="0"/>
          <w:numId w:val="10"/>
        </w:numPr>
        <w:tabs>
          <w:tab w:val="left" w:pos="90"/>
          <w:tab w:val="left" w:pos="9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Because much violence against women and children is underreported, it is extremely difficult to assess the effectiveness of recent measures.</w:t>
      </w:r>
      <w:r w:rsidR="00F37635">
        <w:rPr>
          <w:rFonts w:eastAsia="SimSun"/>
          <w:color w:val="000000" w:themeColor="text1"/>
          <w:sz w:val="28"/>
          <w:szCs w:val="28"/>
        </w:rPr>
        <w:t xml:space="preserve"> </w:t>
      </w:r>
      <w:r w:rsidR="00B333B3" w:rsidRPr="00C37B4D">
        <w:rPr>
          <w:rFonts w:eastAsia="SimSun"/>
          <w:color w:val="000000" w:themeColor="text1"/>
          <w:sz w:val="28"/>
          <w:szCs w:val="28"/>
        </w:rPr>
        <w:t>However, the Family Violence Clearinghouse compiles from official sources a range of statistics on violence against women and girls.  The</w:t>
      </w:r>
      <w:r w:rsidR="00F37635">
        <w:rPr>
          <w:rFonts w:eastAsia="SimSun"/>
          <w:color w:val="000000" w:themeColor="text1"/>
          <w:sz w:val="28"/>
          <w:szCs w:val="28"/>
        </w:rPr>
        <w:t xml:space="preserve"> FVC</w:t>
      </w:r>
      <w:r w:rsidR="00B333B3" w:rsidRPr="00C37B4D">
        <w:rPr>
          <w:rFonts w:eastAsia="SimSun"/>
          <w:color w:val="000000" w:themeColor="text1"/>
          <w:sz w:val="28"/>
          <w:szCs w:val="28"/>
        </w:rPr>
        <w:t xml:space="preserve"> 2017 reports indicate that violence against women and children remains disturbingly high.  Key statistics are: </w:t>
      </w:r>
    </w:p>
    <w:p w14:paraId="020333D6" w14:textId="77777777"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In 2016 the Police investigated 118,910 family violence incidents, up from 110,126 in the 2015 year.  Responding to family violence accounts for 41% of a frontline Police officer’s time.</w:t>
      </w:r>
    </w:p>
    <w:p w14:paraId="5B5780FD" w14:textId="77777777"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 xml:space="preserve">The Family Violence Clearinghouse reports that since the release of the 2013 data summary, the Police have not updated the data for the number of children linked to family violence investigations.  Hence in 2012 101,293 children were linked to family violence investigations.  No updating data are recorded. </w:t>
      </w:r>
    </w:p>
    <w:p w14:paraId="7EDC2BE9" w14:textId="25888494"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In 2016 Police issued 15,994 Police safety orders, compared with the 13,997 issued in 2015.</w:t>
      </w:r>
      <w:r w:rsidR="00425A4A">
        <w:rPr>
          <w:rStyle w:val="FootnoteReference"/>
          <w:rFonts w:eastAsia="SimSun"/>
          <w:color w:val="000000" w:themeColor="text1"/>
          <w:sz w:val="28"/>
          <w:szCs w:val="28"/>
        </w:rPr>
        <w:footnoteReference w:id="21"/>
      </w:r>
      <w:r w:rsidRPr="00C37B4D">
        <w:rPr>
          <w:rFonts w:eastAsia="SimSun"/>
          <w:color w:val="000000" w:themeColor="text1"/>
          <w:sz w:val="28"/>
          <w:szCs w:val="28"/>
        </w:rPr>
        <w:t xml:space="preserve">   In 2016, </w:t>
      </w:r>
      <w:r w:rsidRPr="00C37B4D">
        <w:rPr>
          <w:rFonts w:eastAsia="SimSun"/>
          <w:color w:val="000000" w:themeColor="text1"/>
          <w:sz w:val="28"/>
          <w:szCs w:val="28"/>
        </w:rPr>
        <w:lastRenderedPageBreak/>
        <w:t>8% of Police safety orders were breached, the same proportion as in 2014 and 2015.</w:t>
      </w:r>
    </w:p>
    <w:p w14:paraId="1936D393" w14:textId="77777777"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 xml:space="preserve">In 2016, the Police recorded 24,086 assaults against female victims, up from the 22,062 recorded in 2015.  55% of these assaults involved a partner, ex-partner, boyfriend/girlfriend or ex-boyfriend, girlfriend. </w:t>
      </w:r>
    </w:p>
    <w:p w14:paraId="189EB96F" w14:textId="188553F1" w:rsidR="007B6A07" w:rsidRPr="00FC17F1" w:rsidRDefault="007B6A07" w:rsidP="00DA2390">
      <w:pPr>
        <w:pStyle w:val="ListParagraph"/>
        <w:numPr>
          <w:ilvl w:val="0"/>
          <w:numId w:val="5"/>
        </w:numPr>
        <w:spacing w:line="360" w:lineRule="auto"/>
        <w:ind w:left="2520"/>
        <w:jc w:val="both"/>
        <w:rPr>
          <w:rFonts w:eastAsia="SimSun"/>
          <w:color w:val="000000" w:themeColor="text1"/>
          <w:sz w:val="28"/>
          <w:szCs w:val="28"/>
        </w:rPr>
      </w:pPr>
      <w:r w:rsidRPr="00C37B4D">
        <w:rPr>
          <w:rFonts w:eastAsia="SimSun" w:cs="Times New Roman"/>
          <w:color w:val="000000" w:themeColor="text1"/>
          <w:sz w:val="28"/>
          <w:szCs w:val="28"/>
        </w:rPr>
        <w:t xml:space="preserve">In 2014, there were 7,163 male assaults female recorded, up from 6,749 in 2013.  </w:t>
      </w:r>
    </w:p>
    <w:p w14:paraId="4F5A9D9A" w14:textId="2B235AB2"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In 2016 the Police recorded 4,852 proceedings for breach of a protection order, compared with 4,655 in 2015. 4,104 people were convicted of breaching a protection order, up from 2,323 in 2007.</w:t>
      </w:r>
    </w:p>
    <w:p w14:paraId="14AD3950" w14:textId="065B2C25"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In 2016 the Police recorded 2,430 sexual assaults against females aged 16 and over.  In 82% of those, no offender was identified. Of the offenders identified, 33% were family members of the victim,</w:t>
      </w:r>
    </w:p>
    <w:p w14:paraId="732429CB" w14:textId="77777777"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In 2016 the Family Court received 5,461 applications for protection orders, an increase from the 5,265 in 2015.  Of these applications, 76% were made without notice, a marked decrease from 2008 when 89% of applications for protection orders were made without notice.</w:t>
      </w:r>
    </w:p>
    <w:p w14:paraId="1328D81B" w14:textId="728EB67F" w:rsidR="00907D48" w:rsidRPr="00C37B4D" w:rsidRDefault="007B6A07"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Of the 5,46</w:t>
      </w:r>
      <w:r w:rsidR="00B333B3" w:rsidRPr="00C37B4D">
        <w:rPr>
          <w:rFonts w:eastAsia="SimSun"/>
          <w:color w:val="000000" w:themeColor="text1"/>
          <w:sz w:val="28"/>
          <w:szCs w:val="28"/>
        </w:rPr>
        <w:t xml:space="preserve">1 applications, 63% were granted </w:t>
      </w:r>
    </w:p>
    <w:p w14:paraId="7C338A06" w14:textId="77777777" w:rsidR="00907D48"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 xml:space="preserve">In 2016, 89% of applicants were female, a proportion that has been remarkably constant over the past 10 years.  Similarly 89% of respondent in protection order applications were male, also a consistent statistic. </w:t>
      </w:r>
    </w:p>
    <w:p w14:paraId="21C797D3" w14:textId="60430502" w:rsidR="00B333B3" w:rsidRPr="00C37B4D" w:rsidRDefault="00B333B3" w:rsidP="00DA2390">
      <w:pPr>
        <w:pStyle w:val="SingleTxtG"/>
        <w:numPr>
          <w:ilvl w:val="0"/>
          <w:numId w:val="5"/>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lastRenderedPageBreak/>
        <w:t xml:space="preserve">The Family Violence Death Review Committee in its fifth report notes that between 2009 and 2015 there were a total of 194 family violence deaths, accounting for 40% of all homicides and related offences.  Of the 188 death reports, there were 194 family violence deaths.  Almost half, 47%, were intimate partner violence (IPV) deaths and 29% were child abuse and neglect deaths.  </w:t>
      </w:r>
    </w:p>
    <w:p w14:paraId="1FE8A965" w14:textId="45A64340" w:rsidR="00907D48" w:rsidRPr="00C37B4D" w:rsidRDefault="00907D48"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 xml:space="preserve">The New Zealand Crime and Safety Survey 2014 (NZCASS) published by the Ministry of </w:t>
      </w:r>
      <w:r w:rsidR="003F2110" w:rsidRPr="00C37B4D">
        <w:rPr>
          <w:rFonts w:eastAsia="SimSun"/>
          <w:color w:val="000000" w:themeColor="text1"/>
          <w:sz w:val="28"/>
          <w:szCs w:val="28"/>
        </w:rPr>
        <w:t>Justice</w:t>
      </w:r>
      <w:r w:rsidR="00B333B3" w:rsidRPr="00C37B4D">
        <w:rPr>
          <w:rFonts w:eastAsia="SimSun"/>
          <w:color w:val="000000" w:themeColor="text1"/>
          <w:sz w:val="28"/>
          <w:szCs w:val="28"/>
        </w:rPr>
        <w:t xml:space="preserve"> surveyed some 6943 adults on their experience of crime in the previous 12 months.    </w:t>
      </w:r>
    </w:p>
    <w:p w14:paraId="592F9EAD" w14:textId="24DF0A93" w:rsidR="00907D48" w:rsidRPr="00C37B4D" w:rsidRDefault="007B6A07"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lang w:val="en-NZ"/>
        </w:rPr>
        <w:t>In contrast to the statistics above for violence against women and children, overall the NZCASS reported a reduction in virtually all types of violence offences or crimes since its previous survey in 2009.  Its key statistics include the following</w:t>
      </w:r>
      <w:r w:rsidR="00B333B3" w:rsidRPr="00C37B4D">
        <w:rPr>
          <w:rFonts w:eastAsia="SimSun"/>
          <w:color w:val="000000" w:themeColor="text1"/>
          <w:sz w:val="28"/>
          <w:szCs w:val="28"/>
        </w:rPr>
        <w:t>:</w:t>
      </w:r>
    </w:p>
    <w:p w14:paraId="324A6137" w14:textId="6E94873F" w:rsidR="00907D48" w:rsidRPr="00C37B4D" w:rsidRDefault="00B333B3" w:rsidP="00DA2390">
      <w:pPr>
        <w:pStyle w:val="SingleTxtG"/>
        <w:numPr>
          <w:ilvl w:val="0"/>
          <w:numId w:val="11"/>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There were 186,000 sexual offences reported, compared with 285,000 in 2008.</w:t>
      </w:r>
      <w:r w:rsidR="00425A4A">
        <w:rPr>
          <w:rStyle w:val="FootnoteReference"/>
          <w:rFonts w:eastAsia="SimSun"/>
          <w:color w:val="000000" w:themeColor="text1"/>
          <w:sz w:val="28"/>
          <w:szCs w:val="28"/>
        </w:rPr>
        <w:footnoteReference w:id="22"/>
      </w:r>
      <w:r w:rsidRPr="00C37B4D">
        <w:rPr>
          <w:rFonts w:eastAsia="SimSun"/>
          <w:color w:val="000000" w:themeColor="text1"/>
          <w:sz w:val="28"/>
          <w:szCs w:val="28"/>
        </w:rPr>
        <w:t xml:space="preserve">   Hence the percentage of adults who were the victim of 1 or more sexual offences decreased from 4% in 2005 then down to 2% in 2013. </w:t>
      </w:r>
      <w:r w:rsidR="00425A4A">
        <w:rPr>
          <w:rStyle w:val="FootnoteReference"/>
          <w:rFonts w:eastAsia="SimSun"/>
          <w:color w:val="000000" w:themeColor="text1"/>
          <w:sz w:val="28"/>
          <w:szCs w:val="28"/>
        </w:rPr>
        <w:footnoteReference w:id="23"/>
      </w:r>
    </w:p>
    <w:p w14:paraId="122D290E" w14:textId="5C52134A" w:rsidR="00907D48" w:rsidRPr="00C37B4D" w:rsidRDefault="00B333B3" w:rsidP="00DA2390">
      <w:pPr>
        <w:pStyle w:val="SingleTxtG"/>
        <w:numPr>
          <w:ilvl w:val="0"/>
          <w:numId w:val="11"/>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There were 512,000 assaults recorded, down from the 744,000 in 2008.</w:t>
      </w:r>
      <w:r w:rsidR="00425A4A">
        <w:rPr>
          <w:rStyle w:val="FootnoteReference"/>
          <w:rFonts w:eastAsia="SimSun"/>
          <w:color w:val="000000" w:themeColor="text1"/>
          <w:sz w:val="28"/>
          <w:szCs w:val="28"/>
        </w:rPr>
        <w:footnoteReference w:id="24"/>
      </w:r>
      <w:r w:rsidRPr="00C37B4D">
        <w:rPr>
          <w:rFonts w:eastAsia="SimSun"/>
          <w:color w:val="000000" w:themeColor="text1"/>
          <w:sz w:val="28"/>
          <w:szCs w:val="28"/>
        </w:rPr>
        <w:t xml:space="preserve">   </w:t>
      </w:r>
    </w:p>
    <w:p w14:paraId="6BEE5F86" w14:textId="77777777" w:rsidR="00907D48" w:rsidRPr="00C37B4D" w:rsidRDefault="00B333B3" w:rsidP="00DA2390">
      <w:pPr>
        <w:pStyle w:val="SingleTxtG"/>
        <w:numPr>
          <w:ilvl w:val="0"/>
          <w:numId w:val="11"/>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Assaults amounted to 14 offences per 100 adults, compared with 22 offences per adults in 2008, a significant decrease.</w:t>
      </w:r>
    </w:p>
    <w:p w14:paraId="6A987DF1" w14:textId="029E7D0D" w:rsidR="00907D48" w:rsidRPr="00C37B4D" w:rsidRDefault="00B333B3" w:rsidP="00DA2390">
      <w:pPr>
        <w:pStyle w:val="SingleTxtG"/>
        <w:numPr>
          <w:ilvl w:val="0"/>
          <w:numId w:val="11"/>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5% of adults experienced a violent interpersonal offence by an intimate partner</w:t>
      </w:r>
      <w:r w:rsidR="00F37635">
        <w:rPr>
          <w:rFonts w:eastAsia="SimSun"/>
          <w:color w:val="000000" w:themeColor="text1"/>
          <w:sz w:val="28"/>
          <w:szCs w:val="28"/>
        </w:rPr>
        <w:t>,</w:t>
      </w:r>
      <w:r w:rsidRPr="00C37B4D">
        <w:rPr>
          <w:rFonts w:eastAsia="SimSun"/>
          <w:color w:val="000000" w:themeColor="text1"/>
          <w:sz w:val="28"/>
          <w:szCs w:val="28"/>
        </w:rPr>
        <w:t xml:space="preserve"> down from 7% in 2008.</w:t>
      </w:r>
      <w:r w:rsidR="00425A4A">
        <w:rPr>
          <w:rStyle w:val="FootnoteReference"/>
          <w:rFonts w:eastAsia="SimSun"/>
          <w:color w:val="000000" w:themeColor="text1"/>
          <w:sz w:val="28"/>
          <w:szCs w:val="28"/>
        </w:rPr>
        <w:footnoteReference w:id="25"/>
      </w:r>
      <w:r w:rsidRPr="00C37B4D">
        <w:rPr>
          <w:rFonts w:eastAsia="SimSun"/>
          <w:color w:val="000000" w:themeColor="text1"/>
          <w:sz w:val="28"/>
          <w:szCs w:val="28"/>
        </w:rPr>
        <w:t xml:space="preserve">   </w:t>
      </w:r>
      <w:r w:rsidRPr="00C37B4D">
        <w:rPr>
          <w:rFonts w:eastAsia="SimSun"/>
          <w:color w:val="000000" w:themeColor="text1"/>
          <w:sz w:val="28"/>
          <w:szCs w:val="28"/>
        </w:rPr>
        <w:lastRenderedPageBreak/>
        <w:t>Women were more likely than men to be the victim of a violent interpersonal offence by an intimate partner in 2013.</w:t>
      </w:r>
      <w:r w:rsidR="007B6A07" w:rsidRPr="00C37B4D">
        <w:rPr>
          <w:rStyle w:val="FootnoteReference"/>
          <w:rFonts w:eastAsia="SimSun"/>
          <w:color w:val="000000" w:themeColor="text1"/>
          <w:sz w:val="28"/>
          <w:szCs w:val="28"/>
        </w:rPr>
        <w:footnoteReference w:id="26"/>
      </w:r>
      <w:r w:rsidRPr="00C37B4D">
        <w:rPr>
          <w:rFonts w:eastAsia="SimSun"/>
          <w:color w:val="000000" w:themeColor="text1"/>
          <w:sz w:val="28"/>
          <w:szCs w:val="28"/>
        </w:rPr>
        <w:t xml:space="preserve">  </w:t>
      </w:r>
    </w:p>
    <w:p w14:paraId="7DE186EB" w14:textId="0B6660D4" w:rsidR="00B333B3" w:rsidRPr="00C37B4D" w:rsidRDefault="00B333B3" w:rsidP="00DA2390">
      <w:pPr>
        <w:pStyle w:val="SingleTxtG"/>
        <w:numPr>
          <w:ilvl w:val="0"/>
          <w:numId w:val="11"/>
        </w:numPr>
        <w:tabs>
          <w:tab w:val="left" w:pos="90"/>
        </w:tabs>
        <w:spacing w:line="360" w:lineRule="auto"/>
        <w:ind w:left="2520" w:right="78"/>
        <w:rPr>
          <w:rFonts w:eastAsia="SimSun"/>
          <w:color w:val="000000" w:themeColor="text1"/>
          <w:sz w:val="28"/>
          <w:szCs w:val="28"/>
        </w:rPr>
      </w:pPr>
      <w:r w:rsidRPr="00C37B4D">
        <w:rPr>
          <w:rFonts w:eastAsia="SimSun"/>
          <w:color w:val="000000" w:themeColor="text1"/>
          <w:sz w:val="28"/>
          <w:szCs w:val="28"/>
        </w:rPr>
        <w:t>A small percentage of adults, 1%, experienced about half of violent interpersonal offences.</w:t>
      </w:r>
      <w:r w:rsidR="00425A4A">
        <w:rPr>
          <w:rStyle w:val="FootnoteReference"/>
          <w:rFonts w:eastAsia="SimSun"/>
          <w:color w:val="000000" w:themeColor="text1"/>
          <w:sz w:val="28"/>
          <w:szCs w:val="28"/>
        </w:rPr>
        <w:footnoteReference w:id="27"/>
      </w:r>
      <w:r w:rsidRPr="00C37B4D">
        <w:rPr>
          <w:rFonts w:eastAsia="SimSun"/>
          <w:color w:val="000000" w:themeColor="text1"/>
          <w:sz w:val="28"/>
          <w:szCs w:val="28"/>
        </w:rPr>
        <w:t xml:space="preserve">   The report notes that “if we could stop victimisation after 2 offences, in 2013 we could have stopped around 271,000 violent interpersonal offences by intimate partners (or 55% of intimate partner violence). </w:t>
      </w:r>
    </w:p>
    <w:p w14:paraId="5001D8D6"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p>
    <w:p w14:paraId="3C1EACC3" w14:textId="4607E733" w:rsidR="00907D48" w:rsidRPr="00C37B4D" w:rsidRDefault="00907D48"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Unsurprisingly, the report highlights the continuing low reporting of crime with 68% of crimes not reported to the Police.</w:t>
      </w:r>
      <w:r w:rsidR="00425A4A">
        <w:rPr>
          <w:rStyle w:val="FootnoteReference"/>
          <w:rFonts w:eastAsia="SimSun"/>
          <w:color w:val="000000" w:themeColor="text1"/>
          <w:sz w:val="28"/>
          <w:szCs w:val="28"/>
        </w:rPr>
        <w:footnoteReference w:id="28"/>
      </w:r>
      <w:r w:rsidR="00B333B3" w:rsidRPr="00C37B4D">
        <w:rPr>
          <w:rFonts w:eastAsia="SimSun"/>
          <w:color w:val="000000" w:themeColor="text1"/>
          <w:sz w:val="28"/>
          <w:szCs w:val="28"/>
        </w:rPr>
        <w:t xml:space="preserve">  However</w:t>
      </w:r>
      <w:r w:rsidR="00F37635">
        <w:rPr>
          <w:rFonts w:eastAsia="SimSun"/>
          <w:color w:val="000000" w:themeColor="text1"/>
          <w:sz w:val="28"/>
          <w:szCs w:val="28"/>
        </w:rPr>
        <w:t>,</w:t>
      </w:r>
      <w:r w:rsidR="00B333B3" w:rsidRPr="00C37B4D">
        <w:rPr>
          <w:rFonts w:eastAsia="SimSun"/>
          <w:color w:val="000000" w:themeColor="text1"/>
          <w:sz w:val="28"/>
          <w:szCs w:val="28"/>
        </w:rPr>
        <w:t xml:space="preserve"> 76% of violent interpersonal offences committed by an intimate partner were not reported to the Police.  The report does not report on the 2013 figure for reporting on sexual offences, due to a sampling error, but notes that in 2008 only 7% of sexual offences were reported.</w:t>
      </w:r>
      <w:r w:rsidR="00425A4A">
        <w:rPr>
          <w:rStyle w:val="FootnoteReference"/>
          <w:rFonts w:eastAsia="SimSun"/>
          <w:color w:val="000000" w:themeColor="text1"/>
          <w:sz w:val="28"/>
          <w:szCs w:val="28"/>
        </w:rPr>
        <w:footnoteReference w:id="29"/>
      </w:r>
      <w:r w:rsidR="00B333B3" w:rsidRPr="00C37B4D">
        <w:rPr>
          <w:rFonts w:eastAsia="SimSun"/>
          <w:color w:val="000000" w:themeColor="text1"/>
          <w:sz w:val="28"/>
          <w:szCs w:val="28"/>
        </w:rPr>
        <w:t xml:space="preserve"> </w:t>
      </w:r>
    </w:p>
    <w:p w14:paraId="0343D3E4" w14:textId="277E8722" w:rsidR="00907D48" w:rsidRPr="00C37B4D" w:rsidRDefault="00B333B3"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Of concern was the number of adults, 45%, who said they didn’t know of any community services or organisations, apart from Police, that would be available if they were the victim of a crime, up from the 37% in 2009. Given the government-led emphasis to preventing violence in the past few years, including television advertisements, this statistic is disappointing if not surprising. Also of some concern is that only 55% of adults who reported offences to the Police were </w:t>
      </w:r>
      <w:r w:rsidRPr="00C37B4D">
        <w:rPr>
          <w:rFonts w:eastAsia="SimSun"/>
          <w:color w:val="000000" w:themeColor="text1"/>
          <w:sz w:val="28"/>
          <w:szCs w:val="28"/>
        </w:rPr>
        <w:lastRenderedPageBreak/>
        <w:t>satisfied with the Police service while 32% were dissatisfied or very dissatisfied.</w:t>
      </w:r>
      <w:r w:rsidR="00FE7037">
        <w:rPr>
          <w:rStyle w:val="FootnoteReference"/>
          <w:rFonts w:eastAsia="SimSun"/>
          <w:color w:val="000000" w:themeColor="text1"/>
          <w:sz w:val="28"/>
          <w:szCs w:val="28"/>
        </w:rPr>
        <w:footnoteReference w:id="30"/>
      </w:r>
      <w:r w:rsidRPr="00C37B4D">
        <w:rPr>
          <w:rFonts w:eastAsia="SimSun"/>
          <w:color w:val="000000" w:themeColor="text1"/>
          <w:sz w:val="28"/>
          <w:szCs w:val="28"/>
        </w:rPr>
        <w:t xml:space="preserve">  These figures are largely unchanged from 2008.</w:t>
      </w:r>
    </w:p>
    <w:p w14:paraId="6ACDF623" w14:textId="3FB6105B" w:rsidR="00B333B3" w:rsidRPr="007D2D20" w:rsidRDefault="00907D48"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The HRF is also concerned at the lack of comprehensive research into the effectiveness of programmes for perpetrators of intimate partner violence or family violence in New Zealand.   One report on responding to perpetrators notes:</w:t>
      </w:r>
      <w:r w:rsidR="00FE7037">
        <w:rPr>
          <w:rStyle w:val="FootnoteReference"/>
          <w:rFonts w:eastAsia="SimSun"/>
          <w:color w:val="000000" w:themeColor="text1"/>
          <w:sz w:val="28"/>
          <w:szCs w:val="28"/>
        </w:rPr>
        <w:footnoteReference w:id="31"/>
      </w:r>
      <w:r w:rsidR="00B333B3" w:rsidRPr="00C37B4D">
        <w:rPr>
          <w:rFonts w:eastAsia="SimSun"/>
          <w:color w:val="000000" w:themeColor="text1"/>
          <w:sz w:val="28"/>
          <w:szCs w:val="28"/>
        </w:rPr>
        <w:t xml:space="preserve"> “Current responses are piecemeal and insufficient, and mired in a complex web of bureaucracy.</w:t>
      </w:r>
    </w:p>
    <w:p w14:paraId="7A689AE4"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Four government departments provide funding for short term perpetrator non-violence programmes in the community</w:t>
      </w:r>
    </w:p>
    <w:p w14:paraId="1A0B188A"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More work is needed to develop better risk assessment and risk management practices across different parts of the system</w:t>
      </w:r>
    </w:p>
    <w:p w14:paraId="36B9156A"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Behaviour change-oriented programmes are relatively short with limited scope for tailoring to the heterogeneity of perpetrators</w:t>
      </w:r>
    </w:p>
    <w:p w14:paraId="75774E95"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Level and type of service is based on referral pathway rather than risk or need</w:t>
      </w:r>
    </w:p>
    <w:p w14:paraId="7D0EAA7A"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Self-referrals are growing, but most are unfunded</w:t>
      </w:r>
    </w:p>
    <w:p w14:paraId="36AF105E" w14:textId="469E3DCF"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Methods for engagement with victims and families f</w:t>
      </w:r>
      <w:r w:rsidR="007D2D20">
        <w:rPr>
          <w:rFonts w:eastAsia="SimSun"/>
          <w:color w:val="000000" w:themeColor="text1"/>
          <w:sz w:val="28"/>
          <w:szCs w:val="28"/>
        </w:rPr>
        <w:t xml:space="preserve">or safety monitoring are still </w:t>
      </w:r>
      <w:r w:rsidRPr="00C37B4D">
        <w:rPr>
          <w:rFonts w:eastAsia="SimSun"/>
          <w:color w:val="000000" w:themeColor="text1"/>
          <w:sz w:val="28"/>
          <w:szCs w:val="28"/>
        </w:rPr>
        <w:t>developing</w:t>
      </w:r>
    </w:p>
    <w:p w14:paraId="7513BE56"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There is a lack of recognition in service provision models that contact between perpetrators, victims and families often continues or resumes after a specific episode</w:t>
      </w:r>
    </w:p>
    <w:p w14:paraId="1179E16E"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w:t>
      </w:r>
      <w:r w:rsidRPr="00C37B4D">
        <w:rPr>
          <w:rFonts w:eastAsia="SimSun"/>
          <w:color w:val="000000" w:themeColor="text1"/>
          <w:sz w:val="28"/>
          <w:szCs w:val="28"/>
        </w:rPr>
        <w:tab/>
        <w:t xml:space="preserve">A sustained programme of public education similar to road safety campaigns is needed “at the top of the cliff”, to increase the impact of these “bottom of the cliff” efforts.       </w:t>
      </w:r>
    </w:p>
    <w:p w14:paraId="0BC9F9ED" w14:textId="77777777" w:rsidR="00B333B3" w:rsidRPr="00C37B4D" w:rsidRDefault="00B333B3" w:rsidP="00FC17F1">
      <w:pPr>
        <w:pStyle w:val="SingleTxtG"/>
        <w:tabs>
          <w:tab w:val="left" w:pos="90"/>
        </w:tabs>
        <w:spacing w:line="360" w:lineRule="auto"/>
        <w:ind w:right="78"/>
        <w:rPr>
          <w:rFonts w:eastAsia="SimSun"/>
          <w:color w:val="000000" w:themeColor="text1"/>
          <w:sz w:val="28"/>
          <w:szCs w:val="28"/>
        </w:rPr>
      </w:pPr>
    </w:p>
    <w:p w14:paraId="6F92D37F" w14:textId="20F3A91E" w:rsidR="00907D48" w:rsidRPr="00C37B4D" w:rsidRDefault="00907D48"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This same author notes that “Perpetrators and others have described their New Zealand as a ‘permissively violent society’.  If we are to reduce family violence, we need to become a society much less tolerant of all violence.”</w:t>
      </w:r>
      <w:r w:rsidR="00FE7037">
        <w:rPr>
          <w:rStyle w:val="FootnoteReference"/>
          <w:rFonts w:eastAsia="SimSun"/>
          <w:color w:val="000000" w:themeColor="text1"/>
          <w:sz w:val="28"/>
          <w:szCs w:val="28"/>
        </w:rPr>
        <w:footnoteReference w:id="32"/>
      </w:r>
      <w:r w:rsidR="00B333B3" w:rsidRPr="00C37B4D">
        <w:rPr>
          <w:rFonts w:eastAsia="SimSun"/>
          <w:color w:val="000000" w:themeColor="text1"/>
          <w:sz w:val="28"/>
          <w:szCs w:val="28"/>
        </w:rPr>
        <w:t xml:space="preserve">   </w:t>
      </w:r>
    </w:p>
    <w:p w14:paraId="18D54FC5" w14:textId="3B49835C" w:rsidR="00907D48" w:rsidRPr="007D2D20" w:rsidRDefault="00907D48" w:rsidP="00DA2390">
      <w:pPr>
        <w:pStyle w:val="SingleTxtG"/>
        <w:numPr>
          <w:ilvl w:val="0"/>
          <w:numId w:val="10"/>
        </w:numPr>
        <w:tabs>
          <w:tab w:val="left" w:pos="90"/>
          <w:tab w:val="left" w:pos="90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 xml:space="preserve">As has been widely noted in the literature, gender-based violence is a complex problem and one that is grossly under-reported. Hence it requires an integrated system where all agencies and individuals who are either directly or indirectly involved operate as one system. It requires a shared understanding about the dynamics of gender-based violence and an understanding that keeping current and future victims safe is a public responsibility.  </w:t>
      </w:r>
      <w:r w:rsidR="00B333B3" w:rsidRPr="007D2D20">
        <w:rPr>
          <w:rFonts w:eastAsia="SimSun"/>
          <w:color w:val="000000" w:themeColor="text1"/>
          <w:sz w:val="28"/>
          <w:szCs w:val="28"/>
        </w:rPr>
        <w:t xml:space="preserve"> </w:t>
      </w:r>
    </w:p>
    <w:p w14:paraId="1639A388" w14:textId="5CD5B938" w:rsidR="00907D48" w:rsidRPr="00C37B4D" w:rsidRDefault="00907D48" w:rsidP="00DA2390">
      <w:pPr>
        <w:pStyle w:val="SingleTxtG"/>
        <w:numPr>
          <w:ilvl w:val="0"/>
          <w:numId w:val="10"/>
        </w:numPr>
        <w:tabs>
          <w:tab w:val="left" w:pos="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 xml:space="preserve">We are concerned that the government has yet to provide the framework, let alone the details, of a comprehensive integrated system. We are also concerned that the government </w:t>
      </w:r>
      <w:r w:rsidR="00F37635">
        <w:rPr>
          <w:rFonts w:eastAsia="SimSun"/>
          <w:color w:val="000000" w:themeColor="text1"/>
          <w:sz w:val="28"/>
          <w:szCs w:val="28"/>
        </w:rPr>
        <w:t>avoids</w:t>
      </w:r>
      <w:r w:rsidR="00B333B3" w:rsidRPr="00C37B4D">
        <w:rPr>
          <w:rFonts w:eastAsia="SimSun"/>
          <w:color w:val="000000" w:themeColor="text1"/>
          <w:sz w:val="28"/>
          <w:szCs w:val="28"/>
        </w:rPr>
        <w:t xml:space="preserve"> acknowledg</w:t>
      </w:r>
      <w:r w:rsidR="00F37635">
        <w:rPr>
          <w:rFonts w:eastAsia="SimSun"/>
          <w:color w:val="000000" w:themeColor="text1"/>
          <w:sz w:val="28"/>
          <w:szCs w:val="28"/>
        </w:rPr>
        <w:t>ing</w:t>
      </w:r>
      <w:r w:rsidR="00B333B3" w:rsidRPr="00C37B4D">
        <w:rPr>
          <w:rFonts w:eastAsia="SimSun"/>
          <w:color w:val="000000" w:themeColor="text1"/>
          <w:sz w:val="28"/>
          <w:szCs w:val="28"/>
        </w:rPr>
        <w:t xml:space="preserve"> the gender-based nature of the problem, referring to it instead as “family violence” and “sexual violence”.  </w:t>
      </w:r>
    </w:p>
    <w:p w14:paraId="036D3B24" w14:textId="3AC758DD" w:rsidR="00B333B3" w:rsidRDefault="00907D48" w:rsidP="00DA2390">
      <w:pPr>
        <w:pStyle w:val="SingleTxtG"/>
        <w:numPr>
          <w:ilvl w:val="0"/>
          <w:numId w:val="10"/>
        </w:numPr>
        <w:tabs>
          <w:tab w:val="left" w:pos="90"/>
          <w:tab w:val="left" w:pos="990"/>
        </w:tabs>
        <w:spacing w:line="360" w:lineRule="auto"/>
        <w:ind w:right="78"/>
        <w:rPr>
          <w:rFonts w:eastAsia="SimSun"/>
          <w:color w:val="000000" w:themeColor="text1"/>
          <w:sz w:val="28"/>
          <w:szCs w:val="28"/>
        </w:rPr>
      </w:pPr>
      <w:r w:rsidRPr="00C37B4D">
        <w:rPr>
          <w:rFonts w:eastAsia="SimSun"/>
          <w:color w:val="000000" w:themeColor="text1"/>
          <w:sz w:val="28"/>
          <w:szCs w:val="28"/>
        </w:rPr>
        <w:t xml:space="preserve"> </w:t>
      </w:r>
      <w:r w:rsidR="00B333B3" w:rsidRPr="00C37B4D">
        <w:rPr>
          <w:rFonts w:eastAsia="SimSun"/>
          <w:color w:val="000000" w:themeColor="text1"/>
          <w:sz w:val="28"/>
          <w:szCs w:val="28"/>
        </w:rPr>
        <w:t>In this section, we have not addressed the amount an</w:t>
      </w:r>
      <w:r w:rsidRPr="00C37B4D">
        <w:rPr>
          <w:rFonts w:eastAsia="SimSun"/>
          <w:color w:val="000000" w:themeColor="text1"/>
          <w:sz w:val="28"/>
          <w:szCs w:val="28"/>
        </w:rPr>
        <w:t xml:space="preserve">d impact of sexual violence on </w:t>
      </w:r>
      <w:r w:rsidR="00B333B3" w:rsidRPr="00C37B4D">
        <w:rPr>
          <w:rFonts w:eastAsia="SimSun"/>
          <w:color w:val="000000" w:themeColor="text1"/>
          <w:sz w:val="28"/>
          <w:szCs w:val="28"/>
        </w:rPr>
        <w:t xml:space="preserve">women and children.  In New Zealand, this sector tends to be overshadowed by the emphasis on family violence and intimate partner violence. Sexual </w:t>
      </w:r>
      <w:r w:rsidRPr="00C37B4D">
        <w:rPr>
          <w:rFonts w:eastAsia="SimSun"/>
          <w:color w:val="000000" w:themeColor="text1"/>
          <w:sz w:val="28"/>
          <w:szCs w:val="28"/>
        </w:rPr>
        <w:t>violence</w:t>
      </w:r>
      <w:r w:rsidR="00B333B3" w:rsidRPr="00C37B4D">
        <w:rPr>
          <w:rFonts w:eastAsia="SimSun"/>
          <w:color w:val="000000" w:themeColor="text1"/>
          <w:sz w:val="28"/>
          <w:szCs w:val="28"/>
        </w:rPr>
        <w:t xml:space="preserve">, including rape, has its own complex dynamics and causes devastating impacts on women and, particularly, children.  Those impacts can be life-long. We address this issue briefly in our recommendations. </w:t>
      </w:r>
    </w:p>
    <w:p w14:paraId="7840D516" w14:textId="26DAC51D" w:rsidR="00605CCD" w:rsidRPr="00FC17F1" w:rsidRDefault="00605CCD" w:rsidP="00FC17F1">
      <w:pPr>
        <w:pStyle w:val="SingleTxtG"/>
        <w:tabs>
          <w:tab w:val="left" w:pos="90"/>
        </w:tabs>
        <w:spacing w:line="360" w:lineRule="auto"/>
        <w:ind w:left="0" w:right="78"/>
        <w:rPr>
          <w:rFonts w:eastAsia="SimSun"/>
          <w:b/>
          <w:sz w:val="28"/>
          <w:szCs w:val="28"/>
        </w:rPr>
      </w:pPr>
    </w:p>
    <w:p w14:paraId="672DDCE7" w14:textId="448ED351" w:rsidR="00907D48" w:rsidRPr="00FC17F1" w:rsidRDefault="00907D48" w:rsidP="00FC17F1">
      <w:pPr>
        <w:pStyle w:val="SingleTxtG"/>
        <w:tabs>
          <w:tab w:val="left" w:pos="90"/>
        </w:tabs>
        <w:spacing w:line="360" w:lineRule="auto"/>
        <w:ind w:left="0" w:right="78"/>
        <w:rPr>
          <w:rFonts w:eastAsia="SimSun"/>
          <w:b/>
          <w:color w:val="000000" w:themeColor="text1"/>
          <w:sz w:val="28"/>
          <w:szCs w:val="28"/>
        </w:rPr>
      </w:pPr>
      <w:r w:rsidRPr="00C37B4D">
        <w:rPr>
          <w:rFonts w:eastAsia="SimSun"/>
          <w:b/>
          <w:color w:val="000000" w:themeColor="text1"/>
          <w:sz w:val="28"/>
          <w:szCs w:val="28"/>
        </w:rPr>
        <w:t xml:space="preserve"> </w:t>
      </w:r>
      <w:r w:rsidR="00B333B3" w:rsidRPr="00FC17F1">
        <w:rPr>
          <w:rFonts w:eastAsia="SimSun"/>
          <w:b/>
          <w:color w:val="000000" w:themeColor="text1"/>
          <w:sz w:val="28"/>
          <w:szCs w:val="28"/>
        </w:rPr>
        <w:t>Recommendations</w:t>
      </w:r>
      <w:r w:rsidRPr="00C37B4D">
        <w:rPr>
          <w:rFonts w:eastAsia="SimSun"/>
          <w:b/>
          <w:color w:val="000000" w:themeColor="text1"/>
          <w:sz w:val="28"/>
          <w:szCs w:val="28"/>
        </w:rPr>
        <w:tab/>
      </w:r>
    </w:p>
    <w:p w14:paraId="00B5C15E" w14:textId="0DD124F7" w:rsidR="00907D48" w:rsidRPr="00FC17F1" w:rsidRDefault="00907D48" w:rsidP="00DA2390">
      <w:pPr>
        <w:pStyle w:val="SingleTxtG"/>
        <w:numPr>
          <w:ilvl w:val="0"/>
          <w:numId w:val="10"/>
        </w:numPr>
        <w:tabs>
          <w:tab w:val="left" w:pos="90"/>
        </w:tabs>
        <w:spacing w:line="360" w:lineRule="auto"/>
        <w:ind w:right="78"/>
        <w:rPr>
          <w:rFonts w:eastAsia="SimSun"/>
          <w:b/>
          <w:color w:val="000000" w:themeColor="text1"/>
          <w:sz w:val="28"/>
          <w:szCs w:val="28"/>
        </w:rPr>
      </w:pPr>
      <w:r w:rsidRPr="00C37B4D">
        <w:rPr>
          <w:rFonts w:eastAsia="SimSun"/>
          <w:color w:val="000000" w:themeColor="text1"/>
          <w:sz w:val="28"/>
          <w:szCs w:val="28"/>
        </w:rPr>
        <w:lastRenderedPageBreak/>
        <w:t xml:space="preserve"> </w:t>
      </w:r>
      <w:r w:rsidR="00C13D73" w:rsidRPr="00FC17F1">
        <w:rPr>
          <w:rFonts w:eastAsia="SimSun"/>
          <w:b/>
          <w:color w:val="000000" w:themeColor="text1"/>
          <w:sz w:val="28"/>
          <w:szCs w:val="28"/>
        </w:rPr>
        <w:t>The HRF recommends that</w:t>
      </w:r>
      <w:r w:rsidR="00B333B3" w:rsidRPr="00FC17F1">
        <w:rPr>
          <w:rFonts w:eastAsia="SimSun"/>
          <w:b/>
          <w:color w:val="000000" w:themeColor="text1"/>
          <w:sz w:val="28"/>
          <w:szCs w:val="28"/>
        </w:rPr>
        <w:t xml:space="preserve"> the Committee urge the New Zealand government to: </w:t>
      </w:r>
    </w:p>
    <w:p w14:paraId="06DA719B" w14:textId="7C95A536" w:rsidR="00E54CC8" w:rsidRDefault="00C13D73" w:rsidP="00DA2390">
      <w:pPr>
        <w:pStyle w:val="SingleTxtG"/>
        <w:numPr>
          <w:ilvl w:val="0"/>
          <w:numId w:val="20"/>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rPr>
        <w:t>i</w:t>
      </w:r>
      <w:r w:rsidR="00B333B3" w:rsidRPr="00FC17F1">
        <w:rPr>
          <w:rFonts w:eastAsia="SimSun"/>
          <w:b/>
          <w:color w:val="000000" w:themeColor="text1"/>
          <w:sz w:val="28"/>
          <w:szCs w:val="28"/>
        </w:rPr>
        <w:t xml:space="preserve">mplement a sustained programme of public education similar to road safety campaigns to reduce the culture of violence in New Zealand against women and children.       </w:t>
      </w:r>
    </w:p>
    <w:p w14:paraId="2C38E1F9" w14:textId="39947058" w:rsidR="00E54CC8" w:rsidRDefault="00C13D73" w:rsidP="00DA2390">
      <w:pPr>
        <w:pStyle w:val="SingleTxtG"/>
        <w:numPr>
          <w:ilvl w:val="0"/>
          <w:numId w:val="20"/>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rPr>
        <w:t>f</w:t>
      </w:r>
      <w:r w:rsidR="00B333B3" w:rsidRPr="00FC17F1">
        <w:rPr>
          <w:rFonts w:eastAsia="SimSun"/>
          <w:b/>
          <w:color w:val="000000" w:themeColor="text1"/>
          <w:sz w:val="28"/>
          <w:szCs w:val="28"/>
        </w:rPr>
        <w:t xml:space="preserve">ormulate a comprehensive multi-faceted plan for responding to and preventing violence against women and children.  This must include an integrated system where all agencies and individuals who are either directly or indirectly involved operate as one system with shared understandings of the dynamics of gender-based violence. </w:t>
      </w:r>
    </w:p>
    <w:p w14:paraId="71408245" w14:textId="29BAD3D6" w:rsidR="00E54CC8" w:rsidRDefault="00C13D73" w:rsidP="00DA2390">
      <w:pPr>
        <w:pStyle w:val="SingleTxtG"/>
        <w:numPr>
          <w:ilvl w:val="0"/>
          <w:numId w:val="20"/>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rPr>
        <w:t>p</w:t>
      </w:r>
      <w:r w:rsidR="00B333B3" w:rsidRPr="00FC17F1">
        <w:rPr>
          <w:rFonts w:eastAsia="SimSun"/>
          <w:b/>
          <w:color w:val="000000" w:themeColor="text1"/>
          <w:sz w:val="28"/>
          <w:szCs w:val="28"/>
        </w:rPr>
        <w:t xml:space="preserve">ilot such an integrated system in a smaller geographical area so it can be adequately funded, carefully monitored, reviewed and key lessons shared in other areas. </w:t>
      </w:r>
    </w:p>
    <w:p w14:paraId="2840C893" w14:textId="347054C0" w:rsidR="00907D48" w:rsidRPr="00FC17F1" w:rsidRDefault="00C13D73" w:rsidP="00DA2390">
      <w:pPr>
        <w:pStyle w:val="SingleTxtG"/>
        <w:numPr>
          <w:ilvl w:val="0"/>
          <w:numId w:val="20"/>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lang w:val="en-NZ"/>
        </w:rPr>
        <w:t xml:space="preserve"> e</w:t>
      </w:r>
      <w:r w:rsidR="007B6A07" w:rsidRPr="00FC17F1">
        <w:rPr>
          <w:rFonts w:eastAsia="SimSun"/>
          <w:b/>
          <w:color w:val="000000" w:themeColor="text1"/>
          <w:sz w:val="28"/>
          <w:szCs w:val="28"/>
          <w:lang w:val="en-NZ"/>
        </w:rPr>
        <w:t>nsure that the equally complex subject of sexual violence, which receives far less attention, is given equal priority. This will require formulating an integrated system which should include the following</w:t>
      </w:r>
      <w:r w:rsidR="007B6A07" w:rsidRPr="00FC17F1">
        <w:rPr>
          <w:rFonts w:eastAsia="SimSun"/>
          <w:b/>
          <w:color w:val="000000" w:themeColor="text1"/>
          <w:sz w:val="28"/>
          <w:szCs w:val="28"/>
        </w:rPr>
        <w:t>;</w:t>
      </w:r>
    </w:p>
    <w:p w14:paraId="24C87D88" w14:textId="77777777" w:rsidR="00907D48" w:rsidRPr="00FC17F1" w:rsidRDefault="00907D48" w:rsidP="00DA2390">
      <w:pPr>
        <w:pStyle w:val="SingleTxtG"/>
        <w:numPr>
          <w:ilvl w:val="2"/>
          <w:numId w:val="3"/>
        </w:numPr>
        <w:tabs>
          <w:tab w:val="left" w:pos="90"/>
        </w:tabs>
        <w:spacing w:line="360" w:lineRule="auto"/>
        <w:ind w:left="3240" w:right="78"/>
        <w:rPr>
          <w:rFonts w:eastAsia="SimSun"/>
          <w:b/>
          <w:color w:val="000000" w:themeColor="text1"/>
          <w:sz w:val="28"/>
          <w:szCs w:val="28"/>
        </w:rPr>
      </w:pPr>
      <w:r w:rsidRPr="00FC17F1">
        <w:rPr>
          <w:rFonts w:eastAsia="SimSun"/>
          <w:b/>
          <w:color w:val="000000" w:themeColor="text1"/>
          <w:sz w:val="28"/>
          <w:szCs w:val="28"/>
        </w:rPr>
        <w:t>r</w:t>
      </w:r>
      <w:r w:rsidR="00B333B3" w:rsidRPr="00FC17F1">
        <w:rPr>
          <w:rFonts w:eastAsia="SimSun"/>
          <w:b/>
          <w:color w:val="000000" w:themeColor="text1"/>
          <w:sz w:val="28"/>
          <w:szCs w:val="28"/>
        </w:rPr>
        <w:t>eviewing the effectiveness of relationship and sex education in all schools and making appropriate changes if required;</w:t>
      </w:r>
    </w:p>
    <w:p w14:paraId="2BF67903" w14:textId="77777777" w:rsidR="00907D48" w:rsidRPr="00FC17F1" w:rsidRDefault="00B333B3" w:rsidP="00DA2390">
      <w:pPr>
        <w:pStyle w:val="SingleTxtG"/>
        <w:numPr>
          <w:ilvl w:val="2"/>
          <w:numId w:val="3"/>
        </w:numPr>
        <w:tabs>
          <w:tab w:val="left" w:pos="90"/>
        </w:tabs>
        <w:spacing w:line="360" w:lineRule="auto"/>
        <w:ind w:left="3240" w:right="78"/>
        <w:rPr>
          <w:rFonts w:eastAsia="SimSun"/>
          <w:b/>
          <w:color w:val="000000" w:themeColor="text1"/>
          <w:sz w:val="28"/>
          <w:szCs w:val="28"/>
        </w:rPr>
      </w:pPr>
      <w:r w:rsidRPr="00FC17F1">
        <w:rPr>
          <w:rFonts w:eastAsia="SimSun"/>
          <w:b/>
          <w:color w:val="000000" w:themeColor="text1"/>
          <w:sz w:val="28"/>
          <w:szCs w:val="28"/>
        </w:rPr>
        <w:t>implementing a social media-based public education programme for young people promoting a culture of consent and respect in personal relationships;</w:t>
      </w:r>
    </w:p>
    <w:p w14:paraId="478F300A" w14:textId="77777777" w:rsidR="00907D48" w:rsidRPr="00FC17F1" w:rsidRDefault="00907D48" w:rsidP="00DA2390">
      <w:pPr>
        <w:pStyle w:val="SingleTxtG"/>
        <w:numPr>
          <w:ilvl w:val="2"/>
          <w:numId w:val="3"/>
        </w:numPr>
        <w:tabs>
          <w:tab w:val="left" w:pos="90"/>
        </w:tabs>
        <w:spacing w:line="360" w:lineRule="auto"/>
        <w:ind w:left="3240" w:right="78"/>
        <w:rPr>
          <w:rFonts w:eastAsia="SimSun"/>
          <w:b/>
          <w:color w:val="000000" w:themeColor="text1"/>
          <w:sz w:val="28"/>
          <w:szCs w:val="28"/>
        </w:rPr>
      </w:pPr>
      <w:r w:rsidRPr="00FC17F1">
        <w:rPr>
          <w:rFonts w:eastAsia="SimSun"/>
          <w:b/>
          <w:color w:val="000000" w:themeColor="text1"/>
          <w:sz w:val="28"/>
          <w:szCs w:val="28"/>
        </w:rPr>
        <w:lastRenderedPageBreak/>
        <w:t>e</w:t>
      </w:r>
      <w:r w:rsidR="00B333B3" w:rsidRPr="00FC17F1">
        <w:rPr>
          <w:rFonts w:eastAsia="SimSun"/>
          <w:b/>
          <w:color w:val="000000" w:themeColor="text1"/>
          <w:sz w:val="28"/>
          <w:szCs w:val="28"/>
        </w:rPr>
        <w:t>nsuring that all agencies that respond to victims of sexual violence are properly funded so that they can recruit and retain fully qualified and expert staff, provide timely crisis and therapeutic responses to all victims, manage the administrative demands of government funding contracts and participate in advocacy and public education programmes;</w:t>
      </w:r>
    </w:p>
    <w:p w14:paraId="77BE2F3E" w14:textId="77777777" w:rsidR="00C13D73" w:rsidRPr="00FC17F1" w:rsidRDefault="00B333B3" w:rsidP="00DA2390">
      <w:pPr>
        <w:pStyle w:val="SingleTxtG"/>
        <w:numPr>
          <w:ilvl w:val="2"/>
          <w:numId w:val="3"/>
        </w:numPr>
        <w:tabs>
          <w:tab w:val="left" w:pos="90"/>
        </w:tabs>
        <w:spacing w:line="360" w:lineRule="auto"/>
        <w:ind w:left="3240" w:right="78"/>
        <w:rPr>
          <w:rFonts w:eastAsia="SimSun"/>
          <w:b/>
          <w:color w:val="000000" w:themeColor="text1"/>
          <w:sz w:val="28"/>
          <w:szCs w:val="28"/>
        </w:rPr>
      </w:pPr>
      <w:r w:rsidRPr="00FC17F1">
        <w:rPr>
          <w:rFonts w:eastAsia="SimSun"/>
          <w:b/>
          <w:color w:val="000000" w:themeColor="text1"/>
          <w:sz w:val="28"/>
          <w:szCs w:val="28"/>
        </w:rPr>
        <w:t xml:space="preserve">researching and implementing initiatives to ensure that the Police and justice system are responding fairly and sensitively to crimes of sexual violence. </w:t>
      </w:r>
    </w:p>
    <w:p w14:paraId="21FFE494" w14:textId="31C53BA4" w:rsidR="00C13D73" w:rsidRPr="00FC17F1" w:rsidRDefault="00C13D73" w:rsidP="00FC17F1">
      <w:pPr>
        <w:pStyle w:val="SingleTxtG"/>
        <w:tabs>
          <w:tab w:val="left" w:pos="90"/>
        </w:tabs>
        <w:spacing w:line="360" w:lineRule="auto"/>
        <w:ind w:left="540" w:right="78"/>
        <w:rPr>
          <w:rFonts w:eastAsia="SimSun"/>
          <w:b/>
          <w:sz w:val="28"/>
          <w:szCs w:val="28"/>
        </w:rPr>
      </w:pPr>
      <w:r w:rsidRPr="00FC17F1">
        <w:rPr>
          <w:rFonts w:eastAsia="SimSun"/>
          <w:b/>
          <w:sz w:val="28"/>
          <w:szCs w:val="28"/>
        </w:rPr>
        <w:t xml:space="preserve">The HRF also endorses the recommendations of the </w:t>
      </w:r>
      <w:r w:rsidR="00F475F4" w:rsidRPr="00FC17F1">
        <w:rPr>
          <w:rFonts w:eastAsia="SimSun"/>
          <w:b/>
          <w:sz w:val="28"/>
          <w:szCs w:val="28"/>
        </w:rPr>
        <w:t>re</w:t>
      </w:r>
      <w:r w:rsidR="004C6DF8" w:rsidRPr="00FC17F1">
        <w:rPr>
          <w:rFonts w:eastAsia="SimSun"/>
          <w:b/>
          <w:sz w:val="28"/>
          <w:szCs w:val="28"/>
        </w:rPr>
        <w:t>p</w:t>
      </w:r>
      <w:r w:rsidR="00F475F4" w:rsidRPr="00FC17F1">
        <w:rPr>
          <w:rFonts w:eastAsia="SimSun"/>
          <w:b/>
          <w:sz w:val="28"/>
          <w:szCs w:val="28"/>
        </w:rPr>
        <w:t xml:space="preserve">ort of </w:t>
      </w:r>
      <w:r w:rsidRPr="00FC17F1">
        <w:rPr>
          <w:rFonts w:eastAsia="SimSun"/>
          <w:b/>
          <w:sz w:val="28"/>
          <w:szCs w:val="28"/>
        </w:rPr>
        <w:t xml:space="preserve">CPAG/ACYA, p 5  </w:t>
      </w:r>
    </w:p>
    <w:p w14:paraId="7C185CDC" w14:textId="77777777" w:rsidR="00FC26B3" w:rsidRPr="00FC17F1" w:rsidRDefault="00FC26B3" w:rsidP="00FC17F1">
      <w:pPr>
        <w:pStyle w:val="SingleTxtG"/>
        <w:spacing w:line="360" w:lineRule="auto"/>
        <w:ind w:left="0" w:right="78"/>
        <w:rPr>
          <w:rFonts w:eastAsia="SimSun"/>
          <w:b/>
          <w:i/>
          <w:color w:val="FF0000"/>
          <w:sz w:val="28"/>
          <w:szCs w:val="28"/>
        </w:rPr>
      </w:pPr>
    </w:p>
    <w:p w14:paraId="5AEAF2BF" w14:textId="2AFCFD38" w:rsidR="00DF3D0C" w:rsidRDefault="00EE1D29" w:rsidP="00FC17F1">
      <w:pPr>
        <w:pStyle w:val="SingleTxtG"/>
        <w:spacing w:line="360" w:lineRule="auto"/>
        <w:ind w:left="0" w:right="78"/>
        <w:rPr>
          <w:b/>
          <w:iCs/>
          <w:color w:val="000000" w:themeColor="text1"/>
          <w:sz w:val="28"/>
          <w:szCs w:val="28"/>
        </w:rPr>
      </w:pPr>
      <w:r w:rsidRPr="00DA2390">
        <w:rPr>
          <w:b/>
          <w:smallCaps/>
          <w:color w:val="000000" w:themeColor="text1"/>
          <w:sz w:val="28"/>
          <w:szCs w:val="28"/>
        </w:rPr>
        <w:t xml:space="preserve">Part </w:t>
      </w:r>
      <w:r w:rsidRPr="00DA2390">
        <w:rPr>
          <w:b/>
          <w:iCs/>
          <w:color w:val="000000" w:themeColor="text1"/>
          <w:sz w:val="28"/>
          <w:szCs w:val="28"/>
        </w:rPr>
        <w:t>B</w:t>
      </w:r>
      <w:r w:rsidR="00A24168" w:rsidRPr="00DA2390">
        <w:rPr>
          <w:b/>
          <w:iCs/>
          <w:color w:val="000000" w:themeColor="text1"/>
          <w:sz w:val="28"/>
          <w:szCs w:val="28"/>
        </w:rPr>
        <w:t xml:space="preserve"> </w:t>
      </w:r>
      <w:r w:rsidR="008423D7" w:rsidRPr="00DA2390">
        <w:rPr>
          <w:b/>
          <w:iCs/>
          <w:color w:val="000000" w:themeColor="text1"/>
          <w:sz w:val="28"/>
          <w:szCs w:val="28"/>
        </w:rPr>
        <w:t>IMPLEMENTATION OF THE COVENANT</w:t>
      </w:r>
    </w:p>
    <w:p w14:paraId="468B1FEA" w14:textId="77777777" w:rsidR="00C47513" w:rsidRPr="00DA2390" w:rsidRDefault="00C47513" w:rsidP="00FC17F1">
      <w:pPr>
        <w:pStyle w:val="SingleTxtG"/>
        <w:spacing w:line="360" w:lineRule="auto"/>
        <w:ind w:left="0" w:right="78"/>
        <w:rPr>
          <w:b/>
        </w:rPr>
      </w:pPr>
    </w:p>
    <w:p w14:paraId="257D37C3" w14:textId="42176AD4" w:rsidR="009C76F2" w:rsidRPr="00FC17F1" w:rsidRDefault="009C76F2" w:rsidP="00FC17F1">
      <w:pPr>
        <w:spacing w:line="360" w:lineRule="auto"/>
        <w:jc w:val="both"/>
        <w:rPr>
          <w:rFonts w:cs="Times New Roman"/>
          <w:b/>
          <w:smallCaps/>
          <w:color w:val="000000" w:themeColor="text1"/>
          <w:sz w:val="28"/>
          <w:szCs w:val="28"/>
          <w:lang w:val="fr-FR"/>
        </w:rPr>
      </w:pPr>
      <w:r w:rsidRPr="00FC17F1">
        <w:rPr>
          <w:rFonts w:cs="Times New Roman"/>
          <w:b/>
          <w:smallCaps/>
          <w:color w:val="000000" w:themeColor="text1"/>
          <w:sz w:val="28"/>
          <w:szCs w:val="28"/>
          <w:lang w:val="fr-FR"/>
        </w:rPr>
        <w:t xml:space="preserve">article 1 </w:t>
      </w:r>
      <w:r w:rsidR="00CE4F59" w:rsidRPr="00FC17F1">
        <w:rPr>
          <w:rFonts w:cs="Times New Roman"/>
          <w:b/>
          <w:smallCaps/>
          <w:color w:val="000000" w:themeColor="text1"/>
          <w:sz w:val="28"/>
          <w:szCs w:val="28"/>
          <w:lang w:val="fr-FR"/>
        </w:rPr>
        <w:t>(</w:t>
      </w:r>
      <w:r w:rsidRPr="00FC17F1">
        <w:rPr>
          <w:rFonts w:cs="Times New Roman"/>
          <w:b/>
          <w:smallCaps/>
          <w:color w:val="000000" w:themeColor="text1"/>
          <w:sz w:val="28"/>
          <w:szCs w:val="28"/>
          <w:lang w:val="fr-FR"/>
        </w:rPr>
        <w:t>2</w:t>
      </w:r>
      <w:r w:rsidR="00CE4F59" w:rsidRPr="00FC17F1">
        <w:rPr>
          <w:rFonts w:cs="Times New Roman"/>
          <w:b/>
          <w:smallCaps/>
          <w:color w:val="000000" w:themeColor="text1"/>
          <w:sz w:val="28"/>
          <w:szCs w:val="28"/>
          <w:lang w:val="fr-FR"/>
        </w:rPr>
        <w:t>)</w:t>
      </w:r>
      <w:r w:rsidRPr="00FC17F1">
        <w:rPr>
          <w:rFonts w:cs="Times New Roman"/>
          <w:b/>
          <w:smallCaps/>
          <w:color w:val="000000" w:themeColor="text1"/>
          <w:sz w:val="28"/>
          <w:szCs w:val="28"/>
          <w:lang w:val="fr-FR"/>
        </w:rPr>
        <w:t>: right to freely dispose of natural wealth and resources</w:t>
      </w:r>
    </w:p>
    <w:p w14:paraId="07121FAE" w14:textId="77777777" w:rsidR="009C76F2" w:rsidRPr="00FC17F1" w:rsidRDefault="009C76F2" w:rsidP="00FC17F1">
      <w:pPr>
        <w:spacing w:line="360" w:lineRule="auto"/>
        <w:jc w:val="both"/>
        <w:rPr>
          <w:rFonts w:cs="Times New Roman"/>
          <w:b/>
          <w:smallCaps/>
          <w:color w:val="000000" w:themeColor="text1"/>
          <w:sz w:val="28"/>
          <w:szCs w:val="28"/>
          <w:lang w:val="fr-FR"/>
        </w:rPr>
      </w:pPr>
    </w:p>
    <w:p w14:paraId="3CFE7315" w14:textId="6ECBD86E" w:rsidR="00AD76AA" w:rsidRDefault="009C76F2" w:rsidP="00FC17F1">
      <w:pPr>
        <w:spacing w:line="360" w:lineRule="auto"/>
        <w:jc w:val="both"/>
        <w:rPr>
          <w:rFonts w:eastAsia="Times New Roman" w:cs="Times New Roman"/>
          <w:bCs/>
          <w:i/>
          <w:color w:val="000000" w:themeColor="text1"/>
          <w:sz w:val="28"/>
          <w:szCs w:val="28"/>
        </w:rPr>
      </w:pPr>
      <w:r w:rsidRPr="00FC17F1">
        <w:rPr>
          <w:rFonts w:eastAsia="Times New Roman" w:cs="Times New Roman"/>
          <w:bCs/>
          <w:i/>
          <w:color w:val="000000" w:themeColor="text1"/>
          <w:sz w:val="28"/>
          <w:szCs w:val="28"/>
        </w:rPr>
        <w:t xml:space="preserve"> </w:t>
      </w:r>
      <w:r w:rsidR="00023302">
        <w:rPr>
          <w:rFonts w:eastAsia="Times New Roman" w:cs="Times New Roman"/>
          <w:bCs/>
          <w:i/>
          <w:color w:val="000000" w:themeColor="text1"/>
          <w:sz w:val="28"/>
          <w:szCs w:val="28"/>
        </w:rPr>
        <w:t xml:space="preserve">Question </w:t>
      </w:r>
      <w:r w:rsidR="00CE4F59" w:rsidRPr="00FC17F1">
        <w:rPr>
          <w:rFonts w:eastAsia="Times New Roman" w:cs="Times New Roman"/>
          <w:bCs/>
          <w:i/>
          <w:color w:val="000000" w:themeColor="text1"/>
          <w:sz w:val="28"/>
          <w:szCs w:val="28"/>
        </w:rPr>
        <w:t>5</w:t>
      </w:r>
      <w:r w:rsidRPr="00FC17F1">
        <w:rPr>
          <w:rFonts w:eastAsia="Times New Roman" w:cs="Times New Roman"/>
          <w:bCs/>
          <w:i/>
          <w:color w:val="000000" w:themeColor="text1"/>
          <w:sz w:val="28"/>
          <w:szCs w:val="28"/>
        </w:rPr>
        <w:t>:</w:t>
      </w:r>
      <w:r w:rsidRPr="00FC17F1">
        <w:rPr>
          <w:rFonts w:cs="Times New Roman"/>
          <w:sz w:val="28"/>
          <w:szCs w:val="28"/>
        </w:rPr>
        <w:t xml:space="preserve"> </w:t>
      </w:r>
      <w:r w:rsidRPr="00FC17F1">
        <w:rPr>
          <w:rFonts w:eastAsia="Times New Roman" w:cs="Times New Roman"/>
          <w:bCs/>
          <w:i/>
          <w:color w:val="000000" w:themeColor="text1"/>
          <w:sz w:val="28"/>
          <w:szCs w:val="28"/>
        </w:rPr>
        <w:t>Please update the Committee on the implementation of the recommendations of the Waitangi Tribunal to ensure the free prior and informed consent of Māori on any decisions regarding their lands, territories, waters and maritime areas, as well as on its recommendation on the Māori’s right to conserve, promote and develop their own culture, language and cultural heritage, traditional knowledge and cultural expressions, and their the right to protect their intellectual property.</w:t>
      </w:r>
    </w:p>
    <w:p w14:paraId="766E983C" w14:textId="77777777" w:rsidR="004F51AB" w:rsidRPr="00FC17F1" w:rsidRDefault="004F51AB" w:rsidP="00FC17F1">
      <w:pPr>
        <w:spacing w:line="360" w:lineRule="auto"/>
        <w:jc w:val="both"/>
        <w:rPr>
          <w:rFonts w:eastAsia="Times New Roman" w:cs="Times New Roman"/>
          <w:bCs/>
          <w:i/>
          <w:color w:val="000000" w:themeColor="text1"/>
          <w:sz w:val="28"/>
          <w:szCs w:val="28"/>
        </w:rPr>
      </w:pPr>
    </w:p>
    <w:p w14:paraId="1AB95263" w14:textId="3440DD8B" w:rsidR="00CF448A" w:rsidRPr="00DA2390" w:rsidRDefault="00C13D73" w:rsidP="00FC17F1">
      <w:pPr>
        <w:spacing w:line="360" w:lineRule="auto"/>
        <w:jc w:val="both"/>
        <w:rPr>
          <w:rFonts w:cs="Times New Roman"/>
          <w:smallCaps/>
          <w:sz w:val="28"/>
          <w:szCs w:val="28"/>
          <w:lang w:val="fr-FR"/>
        </w:rPr>
      </w:pPr>
      <w:r w:rsidRPr="00DA2390">
        <w:rPr>
          <w:rFonts w:cs="Times New Roman"/>
          <w:b/>
          <w:sz w:val="28"/>
          <w:szCs w:val="28"/>
        </w:rPr>
        <w:lastRenderedPageBreak/>
        <w:t>The HRF endorses the</w:t>
      </w:r>
      <w:r w:rsidR="004F51AB" w:rsidRPr="00DA2390">
        <w:rPr>
          <w:rFonts w:cs="Times New Roman"/>
          <w:b/>
          <w:sz w:val="28"/>
          <w:szCs w:val="28"/>
        </w:rPr>
        <w:t xml:space="preserve"> </w:t>
      </w:r>
      <w:r w:rsidR="00C47513" w:rsidRPr="00DA2390">
        <w:rPr>
          <w:rFonts w:cs="Times New Roman"/>
          <w:b/>
          <w:sz w:val="28"/>
          <w:szCs w:val="28"/>
        </w:rPr>
        <w:t xml:space="preserve">recommendation of the </w:t>
      </w:r>
      <w:r w:rsidR="004F51AB" w:rsidRPr="00DA2390">
        <w:rPr>
          <w:rFonts w:cs="Times New Roman"/>
          <w:b/>
          <w:sz w:val="28"/>
          <w:szCs w:val="28"/>
        </w:rPr>
        <w:t>report of</w:t>
      </w:r>
      <w:r w:rsidR="007D2D20" w:rsidRPr="00DA2390">
        <w:rPr>
          <w:rFonts w:cs="Times New Roman"/>
          <w:b/>
          <w:sz w:val="28"/>
          <w:szCs w:val="28"/>
        </w:rPr>
        <w:t xml:space="preserve"> Peace Movement Aotearoa</w:t>
      </w:r>
      <w:r w:rsidR="007D2D20" w:rsidRPr="00DA2390">
        <w:rPr>
          <w:rFonts w:cs="Times New Roman"/>
          <w:b/>
          <w:i/>
          <w:sz w:val="28"/>
          <w:szCs w:val="28"/>
        </w:rPr>
        <w:t>.</w:t>
      </w:r>
    </w:p>
    <w:p w14:paraId="529A5D08" w14:textId="77777777" w:rsidR="00934D68" w:rsidRPr="00FC17F1" w:rsidRDefault="00934D68" w:rsidP="00FC17F1">
      <w:pPr>
        <w:spacing w:line="360" w:lineRule="auto"/>
        <w:jc w:val="both"/>
        <w:rPr>
          <w:rFonts w:cs="Times New Roman"/>
          <w:smallCaps/>
          <w:color w:val="000000" w:themeColor="text1"/>
          <w:sz w:val="28"/>
          <w:szCs w:val="28"/>
          <w:lang w:val="fr-FR"/>
        </w:rPr>
      </w:pPr>
    </w:p>
    <w:p w14:paraId="7A415A31" w14:textId="6269A365" w:rsidR="009C76F2" w:rsidRPr="00FC17F1" w:rsidRDefault="009C76F2" w:rsidP="00FC17F1">
      <w:pPr>
        <w:spacing w:line="360" w:lineRule="auto"/>
        <w:jc w:val="both"/>
        <w:rPr>
          <w:rFonts w:cs="Times New Roman"/>
          <w:b/>
          <w:smallCaps/>
          <w:color w:val="000000" w:themeColor="text1"/>
          <w:sz w:val="28"/>
          <w:szCs w:val="28"/>
          <w:lang w:val="fr-FR"/>
        </w:rPr>
      </w:pPr>
      <w:r w:rsidRPr="00FC17F1">
        <w:rPr>
          <w:rFonts w:cs="Times New Roman"/>
          <w:b/>
          <w:smallCaps/>
          <w:color w:val="000000" w:themeColor="text1"/>
          <w:sz w:val="28"/>
          <w:szCs w:val="28"/>
          <w:lang w:val="fr-FR"/>
        </w:rPr>
        <w:t>arti</w:t>
      </w:r>
      <w:r w:rsidR="00CE4F59" w:rsidRPr="00FC17F1">
        <w:rPr>
          <w:rFonts w:cs="Times New Roman"/>
          <w:b/>
          <w:smallCaps/>
          <w:color w:val="000000" w:themeColor="text1"/>
          <w:sz w:val="28"/>
          <w:szCs w:val="28"/>
          <w:lang w:val="fr-FR"/>
        </w:rPr>
        <w:t>cle</w:t>
      </w:r>
      <w:r w:rsidR="004F51AB">
        <w:rPr>
          <w:rFonts w:cs="Times New Roman"/>
          <w:b/>
          <w:smallCaps/>
          <w:color w:val="000000" w:themeColor="text1"/>
          <w:sz w:val="28"/>
          <w:szCs w:val="28"/>
          <w:lang w:val="fr-FR"/>
        </w:rPr>
        <w:t xml:space="preserve"> 2</w:t>
      </w:r>
      <w:r w:rsidRPr="00FC17F1">
        <w:rPr>
          <w:rFonts w:cs="Times New Roman"/>
          <w:b/>
          <w:smallCaps/>
          <w:color w:val="000000" w:themeColor="text1"/>
          <w:sz w:val="28"/>
          <w:szCs w:val="28"/>
          <w:lang w:val="fr-FR"/>
        </w:rPr>
        <w:t xml:space="preserve"> </w:t>
      </w:r>
      <w:r w:rsidR="00CE4F59" w:rsidRPr="00FC17F1">
        <w:rPr>
          <w:rFonts w:cs="Times New Roman"/>
          <w:b/>
          <w:smallCaps/>
          <w:color w:val="000000" w:themeColor="text1"/>
          <w:sz w:val="28"/>
          <w:szCs w:val="28"/>
          <w:lang w:val="fr-FR"/>
        </w:rPr>
        <w:t>(</w:t>
      </w:r>
      <w:r w:rsidRPr="00FC17F1">
        <w:rPr>
          <w:rFonts w:cs="Times New Roman"/>
          <w:b/>
          <w:smallCaps/>
          <w:color w:val="000000" w:themeColor="text1"/>
          <w:sz w:val="28"/>
          <w:szCs w:val="28"/>
          <w:lang w:val="fr-FR"/>
        </w:rPr>
        <w:t>1</w:t>
      </w:r>
      <w:r w:rsidR="00CE4F59" w:rsidRPr="00FC17F1">
        <w:rPr>
          <w:rFonts w:cs="Times New Roman"/>
          <w:b/>
          <w:smallCaps/>
          <w:color w:val="000000" w:themeColor="text1"/>
          <w:sz w:val="28"/>
          <w:szCs w:val="28"/>
          <w:lang w:val="fr-FR"/>
        </w:rPr>
        <w:t>)</w:t>
      </w:r>
      <w:r w:rsidRPr="00FC17F1">
        <w:rPr>
          <w:rFonts w:cs="Times New Roman"/>
          <w:b/>
          <w:smallCaps/>
          <w:color w:val="000000" w:themeColor="text1"/>
          <w:sz w:val="28"/>
          <w:szCs w:val="28"/>
          <w:lang w:val="fr-FR"/>
        </w:rPr>
        <w:t> : ob</w:t>
      </w:r>
      <w:r w:rsidR="00B0032E" w:rsidRPr="00FC17F1">
        <w:rPr>
          <w:rFonts w:cs="Times New Roman"/>
          <w:b/>
          <w:smallCaps/>
          <w:color w:val="000000" w:themeColor="text1"/>
          <w:sz w:val="28"/>
          <w:szCs w:val="28"/>
          <w:lang w:val="fr-FR"/>
        </w:rPr>
        <w:t xml:space="preserve">ligation to take steps to the maximum of available resources </w:t>
      </w:r>
    </w:p>
    <w:p w14:paraId="672A6D9F" w14:textId="77777777" w:rsidR="00063880" w:rsidRPr="00FC17F1" w:rsidRDefault="00063880" w:rsidP="00FC17F1">
      <w:pPr>
        <w:spacing w:line="360" w:lineRule="auto"/>
        <w:jc w:val="both"/>
        <w:rPr>
          <w:rFonts w:cs="Times New Roman"/>
          <w:b/>
          <w:smallCaps/>
          <w:color w:val="000000" w:themeColor="text1"/>
          <w:sz w:val="28"/>
          <w:szCs w:val="28"/>
          <w:lang w:val="fr-FR"/>
        </w:rPr>
      </w:pPr>
    </w:p>
    <w:p w14:paraId="65BF0DF2" w14:textId="6F2A298F" w:rsidR="00B0032E" w:rsidRPr="00FC17F1" w:rsidRDefault="00FE152C" w:rsidP="00FC17F1">
      <w:pPr>
        <w:spacing w:line="360" w:lineRule="auto"/>
        <w:jc w:val="both"/>
        <w:rPr>
          <w:rFonts w:eastAsia="Times New Roman" w:cs="Times New Roman"/>
          <w:bCs/>
          <w:i/>
          <w:color w:val="000000" w:themeColor="text1"/>
          <w:sz w:val="28"/>
          <w:szCs w:val="28"/>
        </w:rPr>
      </w:pPr>
      <w:r>
        <w:rPr>
          <w:rFonts w:eastAsia="Times New Roman" w:cs="Times New Roman"/>
          <w:bCs/>
          <w:i/>
          <w:color w:val="000000" w:themeColor="text1"/>
          <w:sz w:val="28"/>
          <w:szCs w:val="28"/>
        </w:rPr>
        <w:t xml:space="preserve">Question </w:t>
      </w:r>
      <w:r w:rsidR="00CE4F59" w:rsidRPr="00FC17F1">
        <w:rPr>
          <w:rFonts w:eastAsia="Times New Roman" w:cs="Times New Roman"/>
          <w:bCs/>
          <w:i/>
          <w:color w:val="000000" w:themeColor="text1"/>
          <w:sz w:val="28"/>
          <w:szCs w:val="28"/>
        </w:rPr>
        <w:t>6</w:t>
      </w:r>
      <w:r w:rsidR="00D5514C" w:rsidRPr="00FC17F1">
        <w:rPr>
          <w:rFonts w:eastAsia="Times New Roman" w:cs="Times New Roman"/>
          <w:bCs/>
          <w:i/>
          <w:color w:val="000000" w:themeColor="text1"/>
          <w:sz w:val="28"/>
          <w:szCs w:val="28"/>
        </w:rPr>
        <w:t xml:space="preserve">: </w:t>
      </w:r>
      <w:r w:rsidR="00B0032E" w:rsidRPr="00FC17F1">
        <w:rPr>
          <w:rFonts w:eastAsia="Times New Roman" w:cs="Times New Roman"/>
          <w:bCs/>
          <w:i/>
          <w:color w:val="000000" w:themeColor="text1"/>
          <w:sz w:val="28"/>
          <w:szCs w:val="28"/>
        </w:rPr>
        <w:t xml:space="preserve">Please provide information on the public consolidation </w:t>
      </w:r>
      <w:r w:rsidR="00063880" w:rsidRPr="00FC17F1">
        <w:rPr>
          <w:rFonts w:eastAsia="Times New Roman" w:cs="Times New Roman"/>
          <w:bCs/>
          <w:i/>
          <w:color w:val="000000" w:themeColor="text1"/>
          <w:sz w:val="28"/>
          <w:szCs w:val="28"/>
        </w:rPr>
        <w:t>budget for sectors relevant to the Covenant rights, particularly with regard to employme</w:t>
      </w:r>
      <w:r w:rsidR="00F23933" w:rsidRPr="00FC17F1">
        <w:rPr>
          <w:rFonts w:eastAsia="Times New Roman" w:cs="Times New Roman"/>
          <w:bCs/>
          <w:i/>
          <w:color w:val="000000" w:themeColor="text1"/>
          <w:sz w:val="28"/>
          <w:szCs w:val="28"/>
        </w:rPr>
        <w:t>n</w:t>
      </w:r>
      <w:r w:rsidR="00631DC4" w:rsidRPr="00C37B4D">
        <w:rPr>
          <w:rFonts w:eastAsia="Times New Roman" w:cs="Times New Roman"/>
          <w:bCs/>
          <w:i/>
          <w:color w:val="000000" w:themeColor="text1"/>
          <w:sz w:val="28"/>
          <w:szCs w:val="28"/>
        </w:rPr>
        <w:t>t</w:t>
      </w:r>
      <w:r w:rsidR="00063880" w:rsidRPr="00FC17F1">
        <w:rPr>
          <w:rFonts w:eastAsia="Times New Roman" w:cs="Times New Roman"/>
          <w:bCs/>
          <w:i/>
          <w:color w:val="000000" w:themeColor="text1"/>
          <w:sz w:val="28"/>
          <w:szCs w:val="28"/>
        </w:rPr>
        <w:t>, social security, health a</w:t>
      </w:r>
      <w:r w:rsidR="00F23933" w:rsidRPr="00FC17F1">
        <w:rPr>
          <w:rFonts w:eastAsia="Times New Roman" w:cs="Times New Roman"/>
          <w:bCs/>
          <w:i/>
          <w:color w:val="000000" w:themeColor="text1"/>
          <w:sz w:val="28"/>
          <w:szCs w:val="28"/>
        </w:rPr>
        <w:t>n</w:t>
      </w:r>
      <w:r w:rsidR="00063880" w:rsidRPr="00FC17F1">
        <w:rPr>
          <w:rFonts w:eastAsia="Times New Roman" w:cs="Times New Roman"/>
          <w:bCs/>
          <w:i/>
          <w:color w:val="000000" w:themeColor="text1"/>
          <w:sz w:val="28"/>
          <w:szCs w:val="28"/>
        </w:rPr>
        <w:t>d education, indicating the share of the total public budget over the past five years. Please also provide information on additional spending for new policies to address inequalities.</w:t>
      </w:r>
    </w:p>
    <w:p w14:paraId="3F6BD171" w14:textId="77777777" w:rsidR="004F51AB" w:rsidRDefault="004F51AB" w:rsidP="00FC17F1">
      <w:pPr>
        <w:tabs>
          <w:tab w:val="center" w:pos="4150"/>
        </w:tabs>
        <w:spacing w:line="360" w:lineRule="auto"/>
        <w:jc w:val="both"/>
        <w:rPr>
          <w:rFonts w:eastAsia="Times New Roman" w:cs="Times New Roman"/>
          <w:bCs/>
          <w:i/>
          <w:color w:val="000000" w:themeColor="text1"/>
          <w:sz w:val="28"/>
          <w:szCs w:val="28"/>
        </w:rPr>
      </w:pPr>
    </w:p>
    <w:p w14:paraId="7AA91C79" w14:textId="377FF5B0" w:rsidR="00F23933" w:rsidRPr="00FC17F1" w:rsidRDefault="00C13D73" w:rsidP="00FC17F1">
      <w:pPr>
        <w:tabs>
          <w:tab w:val="center" w:pos="4150"/>
        </w:tabs>
        <w:spacing w:line="360" w:lineRule="auto"/>
        <w:jc w:val="both"/>
        <w:rPr>
          <w:rFonts w:eastAsia="Times New Roman" w:cs="Times New Roman"/>
          <w:b/>
          <w:bCs/>
          <w:color w:val="FF0000"/>
          <w:sz w:val="28"/>
          <w:szCs w:val="28"/>
        </w:rPr>
      </w:pPr>
      <w:r w:rsidRPr="00DA2390">
        <w:rPr>
          <w:rFonts w:eastAsia="Times New Roman" w:cs="Times New Roman"/>
          <w:b/>
          <w:bCs/>
          <w:sz w:val="28"/>
          <w:szCs w:val="28"/>
        </w:rPr>
        <w:t>The HRF endorses the</w:t>
      </w:r>
      <w:r w:rsidR="007D2D20" w:rsidRPr="00DA2390">
        <w:rPr>
          <w:rFonts w:eastAsia="Times New Roman" w:cs="Times New Roman"/>
          <w:b/>
          <w:bCs/>
          <w:sz w:val="28"/>
          <w:szCs w:val="28"/>
        </w:rPr>
        <w:t xml:space="preserve"> </w:t>
      </w:r>
      <w:r w:rsidR="00C47513" w:rsidRPr="00DA2390">
        <w:rPr>
          <w:rFonts w:eastAsia="Times New Roman" w:cs="Times New Roman"/>
          <w:b/>
          <w:bCs/>
          <w:sz w:val="28"/>
          <w:szCs w:val="28"/>
        </w:rPr>
        <w:t xml:space="preserve">recommendations in the </w:t>
      </w:r>
      <w:r w:rsidR="007D2D20" w:rsidRPr="00DA2390">
        <w:rPr>
          <w:rFonts w:eastAsia="Times New Roman" w:cs="Times New Roman"/>
          <w:b/>
          <w:bCs/>
          <w:sz w:val="28"/>
          <w:szCs w:val="28"/>
        </w:rPr>
        <w:t xml:space="preserve">report </w:t>
      </w:r>
      <w:r w:rsidR="004F51AB" w:rsidRPr="00DA2390">
        <w:rPr>
          <w:rFonts w:eastAsia="Times New Roman" w:cs="Times New Roman"/>
          <w:b/>
          <w:bCs/>
          <w:sz w:val="28"/>
          <w:szCs w:val="28"/>
        </w:rPr>
        <w:t xml:space="preserve">of </w:t>
      </w:r>
      <w:r w:rsidR="007D2D20" w:rsidRPr="00DA2390">
        <w:rPr>
          <w:rFonts w:eastAsia="Times New Roman" w:cs="Times New Roman"/>
          <w:b/>
          <w:bCs/>
          <w:sz w:val="28"/>
          <w:szCs w:val="28"/>
        </w:rPr>
        <w:t>PMA</w:t>
      </w:r>
      <w:r w:rsidR="004F51AB" w:rsidRPr="00DA2390">
        <w:rPr>
          <w:rFonts w:eastAsia="Times New Roman" w:cs="Times New Roman"/>
          <w:b/>
          <w:bCs/>
          <w:sz w:val="28"/>
          <w:szCs w:val="28"/>
        </w:rPr>
        <w:t xml:space="preserve"> </w:t>
      </w:r>
      <w:r w:rsidR="007D2D20" w:rsidRPr="00FC17F1">
        <w:rPr>
          <w:rFonts w:eastAsia="Times New Roman" w:cs="Times New Roman"/>
          <w:b/>
          <w:bCs/>
          <w:color w:val="FF0000"/>
          <w:sz w:val="28"/>
          <w:szCs w:val="28"/>
        </w:rPr>
        <w:t>.</w:t>
      </w:r>
    </w:p>
    <w:p w14:paraId="6A7D534B" w14:textId="48C84E83" w:rsidR="00F23933" w:rsidRPr="00FC17F1" w:rsidRDefault="00F23933" w:rsidP="00FC17F1">
      <w:pPr>
        <w:tabs>
          <w:tab w:val="center" w:pos="4150"/>
        </w:tabs>
        <w:spacing w:line="360" w:lineRule="auto"/>
        <w:jc w:val="both"/>
        <w:rPr>
          <w:rFonts w:eastAsia="Times New Roman" w:cs="Times New Roman"/>
          <w:bCs/>
          <w:i/>
          <w:color w:val="000000" w:themeColor="text1"/>
          <w:sz w:val="28"/>
          <w:szCs w:val="28"/>
        </w:rPr>
      </w:pPr>
    </w:p>
    <w:p w14:paraId="3488469D" w14:textId="02869754" w:rsidR="00E7524F" w:rsidRPr="00C37B4D" w:rsidRDefault="000475EE" w:rsidP="00FC17F1">
      <w:pPr>
        <w:tabs>
          <w:tab w:val="center" w:pos="4150"/>
        </w:tabs>
        <w:spacing w:line="360" w:lineRule="auto"/>
        <w:jc w:val="both"/>
        <w:rPr>
          <w:rFonts w:eastAsia="Times New Roman" w:cs="Times New Roman"/>
          <w:bCs/>
          <w:i/>
          <w:color w:val="000000" w:themeColor="text1"/>
          <w:sz w:val="28"/>
          <w:szCs w:val="28"/>
        </w:rPr>
      </w:pPr>
      <w:r>
        <w:rPr>
          <w:rFonts w:eastAsia="Times New Roman" w:cs="Times New Roman"/>
          <w:bCs/>
          <w:i/>
          <w:color w:val="000000" w:themeColor="text1"/>
          <w:sz w:val="28"/>
          <w:szCs w:val="28"/>
        </w:rPr>
        <w:t xml:space="preserve">Question </w:t>
      </w:r>
      <w:r w:rsidR="00F23933" w:rsidRPr="00FC17F1">
        <w:rPr>
          <w:rFonts w:eastAsia="Times New Roman" w:cs="Times New Roman"/>
          <w:bCs/>
          <w:i/>
          <w:color w:val="000000" w:themeColor="text1"/>
          <w:sz w:val="28"/>
          <w:szCs w:val="28"/>
        </w:rPr>
        <w:t>7</w:t>
      </w:r>
      <w:r w:rsidR="00D5514C" w:rsidRPr="00FC17F1">
        <w:rPr>
          <w:rFonts w:eastAsia="Times New Roman" w:cs="Times New Roman"/>
          <w:bCs/>
          <w:i/>
          <w:color w:val="000000" w:themeColor="text1"/>
          <w:sz w:val="28"/>
          <w:szCs w:val="28"/>
        </w:rPr>
        <w:t xml:space="preserve">: </w:t>
      </w:r>
      <w:r w:rsidR="00F23933" w:rsidRPr="00FC17F1">
        <w:rPr>
          <w:rFonts w:eastAsia="Times New Roman" w:cs="Times New Roman"/>
          <w:bCs/>
          <w:i/>
          <w:color w:val="000000" w:themeColor="text1"/>
          <w:sz w:val="28"/>
          <w:szCs w:val="28"/>
        </w:rPr>
        <w:t xml:space="preserve">Please provide information on the measures taken to ensure that private companies respect ESC rights throughout their operations, including when operating abroad. In doing so, please provide information </w:t>
      </w:r>
      <w:r w:rsidR="00E92B27" w:rsidRPr="00FC17F1">
        <w:rPr>
          <w:rFonts w:eastAsia="Times New Roman" w:cs="Times New Roman"/>
          <w:bCs/>
          <w:i/>
          <w:color w:val="000000" w:themeColor="text1"/>
          <w:sz w:val="28"/>
          <w:szCs w:val="28"/>
        </w:rPr>
        <w:t xml:space="preserve">on effective remedies </w:t>
      </w:r>
      <w:r w:rsidR="00F23933" w:rsidRPr="00FC17F1">
        <w:rPr>
          <w:rFonts w:eastAsia="Times New Roman" w:cs="Times New Roman"/>
          <w:bCs/>
          <w:i/>
          <w:color w:val="000000" w:themeColor="text1"/>
          <w:sz w:val="28"/>
          <w:szCs w:val="28"/>
        </w:rPr>
        <w:t>available for victims of violations of Coven</w:t>
      </w:r>
      <w:r w:rsidR="00E92B27" w:rsidRPr="00FC17F1">
        <w:rPr>
          <w:rFonts w:eastAsia="Times New Roman" w:cs="Times New Roman"/>
          <w:bCs/>
          <w:i/>
          <w:color w:val="000000" w:themeColor="text1"/>
          <w:sz w:val="28"/>
          <w:szCs w:val="28"/>
        </w:rPr>
        <w:t>a</w:t>
      </w:r>
      <w:r w:rsidR="00F23933" w:rsidRPr="00FC17F1">
        <w:rPr>
          <w:rFonts w:eastAsia="Times New Roman" w:cs="Times New Roman"/>
          <w:bCs/>
          <w:i/>
          <w:color w:val="000000" w:themeColor="text1"/>
          <w:sz w:val="28"/>
          <w:szCs w:val="28"/>
        </w:rPr>
        <w:t>nt rights by com</w:t>
      </w:r>
      <w:r w:rsidR="00E92B27" w:rsidRPr="00FC17F1">
        <w:rPr>
          <w:rFonts w:eastAsia="Times New Roman" w:cs="Times New Roman"/>
          <w:bCs/>
          <w:i/>
          <w:color w:val="000000" w:themeColor="text1"/>
          <w:sz w:val="28"/>
          <w:szCs w:val="28"/>
        </w:rPr>
        <w:t>panies</w:t>
      </w:r>
      <w:r w:rsidR="00E7524F" w:rsidRPr="00C37B4D">
        <w:rPr>
          <w:rFonts w:eastAsia="Times New Roman" w:cs="Times New Roman"/>
          <w:bCs/>
          <w:i/>
          <w:color w:val="000000" w:themeColor="text1"/>
          <w:sz w:val="28"/>
          <w:szCs w:val="28"/>
        </w:rPr>
        <w:t>.</w:t>
      </w:r>
    </w:p>
    <w:p w14:paraId="1C033E12" w14:textId="77777777" w:rsidR="00E7524F" w:rsidRPr="00C37B4D" w:rsidRDefault="00E7524F" w:rsidP="00FC17F1">
      <w:pPr>
        <w:tabs>
          <w:tab w:val="center" w:pos="4150"/>
        </w:tabs>
        <w:spacing w:line="360" w:lineRule="auto"/>
        <w:jc w:val="both"/>
        <w:rPr>
          <w:rFonts w:eastAsia="Times New Roman" w:cs="Times New Roman"/>
          <w:bCs/>
          <w:i/>
          <w:color w:val="000000" w:themeColor="text1"/>
          <w:sz w:val="28"/>
          <w:szCs w:val="28"/>
        </w:rPr>
      </w:pPr>
    </w:p>
    <w:p w14:paraId="29447382" w14:textId="003E53CC" w:rsidR="0010045D" w:rsidRPr="00FC17F1" w:rsidRDefault="00E7524F" w:rsidP="00DA2390">
      <w:pPr>
        <w:pStyle w:val="ListParagraph"/>
        <w:numPr>
          <w:ilvl w:val="0"/>
          <w:numId w:val="10"/>
        </w:numPr>
        <w:tabs>
          <w:tab w:val="center" w:pos="4150"/>
        </w:tabs>
        <w:spacing w:line="360" w:lineRule="auto"/>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 xml:space="preserve">The Government’s draft report in paras 115 to 125 addresses several issues concerning the responsibilities of private companies operating in New Zealand and the necessity of their adhering to New Zealand law. It does not, however, address the responsibilities or possibly obligations of multinational companies (MNEs) based in New Zealand operating abroad nor of the obligations of states in regard to such operations, with the exception of a reference to the OECD </w:t>
      </w:r>
      <w:r w:rsidR="003F2110" w:rsidRPr="00FC17F1">
        <w:rPr>
          <w:rFonts w:eastAsia="Times New Roman" w:cs="Times New Roman"/>
          <w:bCs/>
          <w:color w:val="000000" w:themeColor="text1"/>
          <w:sz w:val="28"/>
          <w:szCs w:val="28"/>
        </w:rPr>
        <w:t xml:space="preserve">Guidelines. </w:t>
      </w:r>
      <w:r w:rsidR="003C7F79" w:rsidRPr="00C37B4D">
        <w:rPr>
          <w:rStyle w:val="FootnoteReference"/>
          <w:rFonts w:eastAsia="Times New Roman" w:cs="Times New Roman"/>
          <w:bCs/>
          <w:color w:val="000000" w:themeColor="text1"/>
          <w:sz w:val="28"/>
          <w:szCs w:val="28"/>
        </w:rPr>
        <w:footnoteReference w:id="33"/>
      </w:r>
      <w:r w:rsidRPr="00FC17F1">
        <w:rPr>
          <w:rFonts w:eastAsia="Times New Roman" w:cs="Times New Roman"/>
          <w:bCs/>
          <w:color w:val="000000" w:themeColor="text1"/>
          <w:sz w:val="28"/>
          <w:szCs w:val="28"/>
        </w:rPr>
        <w:t xml:space="preserve"> </w:t>
      </w:r>
    </w:p>
    <w:p w14:paraId="29577C60" w14:textId="6E8AE1C6" w:rsidR="00C13D73" w:rsidRDefault="00664451">
      <w:pPr>
        <w:pStyle w:val="ListParagraph"/>
        <w:numPr>
          <w:ilvl w:val="0"/>
          <w:numId w:val="10"/>
        </w:numPr>
        <w:tabs>
          <w:tab w:val="center" w:pos="4150"/>
        </w:tabs>
        <w:spacing w:line="360" w:lineRule="auto"/>
        <w:jc w:val="both"/>
        <w:rPr>
          <w:sz w:val="28"/>
          <w:szCs w:val="28"/>
        </w:rPr>
      </w:pPr>
      <w:r w:rsidRPr="00FC17F1">
        <w:rPr>
          <w:sz w:val="28"/>
          <w:szCs w:val="28"/>
        </w:rPr>
        <w:lastRenderedPageBreak/>
        <w:t>Although all international standards as regards the extraterritorial obligations (ETOs) or responsibilities of MNEs are as yet voluntary (including the Global Compact,</w:t>
      </w:r>
      <w:r w:rsidR="0010045D">
        <w:rPr>
          <w:rStyle w:val="FootnoteReference"/>
          <w:sz w:val="28"/>
          <w:szCs w:val="28"/>
        </w:rPr>
        <w:footnoteReference w:id="34"/>
      </w:r>
      <w:r w:rsidRPr="00FC17F1">
        <w:rPr>
          <w:sz w:val="28"/>
          <w:szCs w:val="28"/>
        </w:rPr>
        <w:t xml:space="preserve"> the Ruggie Principles</w:t>
      </w:r>
      <w:r w:rsidR="0010045D">
        <w:rPr>
          <w:rStyle w:val="FootnoteReference"/>
          <w:sz w:val="28"/>
          <w:szCs w:val="28"/>
        </w:rPr>
        <w:footnoteReference w:id="35"/>
      </w:r>
      <w:r w:rsidR="00804333" w:rsidRPr="00FC17F1">
        <w:rPr>
          <w:sz w:val="28"/>
          <w:szCs w:val="28"/>
        </w:rPr>
        <w:t xml:space="preserve"> </w:t>
      </w:r>
      <w:r w:rsidRPr="00FC17F1">
        <w:rPr>
          <w:sz w:val="28"/>
          <w:szCs w:val="28"/>
        </w:rPr>
        <w:t>and various industry specific guidelines such as those for extractive industries</w:t>
      </w:r>
      <w:r w:rsidR="007B5120">
        <w:rPr>
          <w:sz w:val="28"/>
          <w:szCs w:val="28"/>
        </w:rPr>
        <w:t>)</w:t>
      </w:r>
      <w:r w:rsidRPr="00FC17F1">
        <w:rPr>
          <w:sz w:val="28"/>
          <w:szCs w:val="28"/>
        </w:rPr>
        <w:t>,</w:t>
      </w:r>
      <w:r w:rsidR="0010045D">
        <w:rPr>
          <w:rStyle w:val="FootnoteReference"/>
          <w:sz w:val="28"/>
          <w:szCs w:val="28"/>
        </w:rPr>
        <w:footnoteReference w:id="36"/>
      </w:r>
      <w:r w:rsidRPr="00FC17F1">
        <w:rPr>
          <w:sz w:val="28"/>
          <w:szCs w:val="28"/>
        </w:rPr>
        <w:t xml:space="preserve"> the </w:t>
      </w:r>
      <w:r w:rsidR="007B5120">
        <w:rPr>
          <w:sz w:val="28"/>
          <w:szCs w:val="28"/>
        </w:rPr>
        <w:t xml:space="preserve">international obligations </w:t>
      </w:r>
      <w:r w:rsidRPr="00FC17F1">
        <w:rPr>
          <w:sz w:val="28"/>
          <w:szCs w:val="28"/>
        </w:rPr>
        <w:t xml:space="preserve">of states as regards companies operating out of their territories are becoming </w:t>
      </w:r>
      <w:r w:rsidR="00FE4C0F" w:rsidRPr="00FC17F1">
        <w:rPr>
          <w:sz w:val="28"/>
          <w:szCs w:val="28"/>
        </w:rPr>
        <w:t xml:space="preserve">clearer and </w:t>
      </w:r>
      <w:r w:rsidR="00804333" w:rsidRPr="00FC17F1">
        <w:rPr>
          <w:sz w:val="28"/>
          <w:szCs w:val="28"/>
        </w:rPr>
        <w:t xml:space="preserve">increasingly </w:t>
      </w:r>
      <w:r w:rsidR="00FE4C0F" w:rsidRPr="00FC17F1">
        <w:rPr>
          <w:sz w:val="28"/>
          <w:szCs w:val="28"/>
        </w:rPr>
        <w:t>a matter of interest to Treaty Bodies.</w:t>
      </w:r>
      <w:r w:rsidR="0010045D" w:rsidRPr="0010045D">
        <w:rPr>
          <w:sz w:val="28"/>
          <w:szCs w:val="28"/>
        </w:rPr>
        <w:t xml:space="preserve"> </w:t>
      </w:r>
    </w:p>
    <w:p w14:paraId="61045965" w14:textId="77777777" w:rsidR="00C47513" w:rsidRDefault="00C47513" w:rsidP="00DA2390">
      <w:pPr>
        <w:pStyle w:val="ListParagraph"/>
        <w:tabs>
          <w:tab w:val="center" w:pos="4150"/>
        </w:tabs>
        <w:spacing w:line="360" w:lineRule="auto"/>
        <w:ind w:left="990"/>
        <w:jc w:val="both"/>
        <w:rPr>
          <w:sz w:val="28"/>
          <w:szCs w:val="28"/>
        </w:rPr>
      </w:pPr>
    </w:p>
    <w:p w14:paraId="374AD701" w14:textId="672DC4E3" w:rsidR="0010045D" w:rsidRPr="00FC17F1" w:rsidRDefault="00C13D73" w:rsidP="00FC17F1">
      <w:pPr>
        <w:tabs>
          <w:tab w:val="center" w:pos="4150"/>
        </w:tabs>
        <w:spacing w:line="360" w:lineRule="auto"/>
        <w:jc w:val="both"/>
        <w:rPr>
          <w:b/>
          <w:sz w:val="28"/>
          <w:szCs w:val="28"/>
        </w:rPr>
      </w:pPr>
      <w:r w:rsidRPr="00FC17F1">
        <w:rPr>
          <w:b/>
          <w:sz w:val="28"/>
          <w:szCs w:val="28"/>
        </w:rPr>
        <w:t>Recommendations</w:t>
      </w:r>
      <w:r w:rsidR="0010045D" w:rsidRPr="00FC17F1">
        <w:rPr>
          <w:b/>
          <w:sz w:val="28"/>
          <w:szCs w:val="28"/>
        </w:rPr>
        <w:tab/>
      </w:r>
    </w:p>
    <w:p w14:paraId="3FBD7865" w14:textId="77777777" w:rsidR="0010045D" w:rsidRPr="00FC17F1" w:rsidRDefault="0010045D" w:rsidP="00FC17F1">
      <w:pPr>
        <w:pStyle w:val="ListParagraph"/>
        <w:tabs>
          <w:tab w:val="center" w:pos="4150"/>
        </w:tabs>
        <w:spacing w:line="360" w:lineRule="auto"/>
        <w:ind w:left="360"/>
        <w:jc w:val="both"/>
        <w:rPr>
          <w:sz w:val="28"/>
          <w:szCs w:val="28"/>
        </w:rPr>
      </w:pPr>
    </w:p>
    <w:p w14:paraId="18E806C9" w14:textId="564A8376" w:rsidR="0010045D" w:rsidRDefault="00FE4C0F" w:rsidP="00DA2390">
      <w:pPr>
        <w:pStyle w:val="ListParagraph"/>
        <w:numPr>
          <w:ilvl w:val="0"/>
          <w:numId w:val="10"/>
        </w:numPr>
        <w:tabs>
          <w:tab w:val="center" w:pos="4150"/>
        </w:tabs>
        <w:spacing w:line="360" w:lineRule="auto"/>
        <w:jc w:val="both"/>
        <w:rPr>
          <w:b/>
          <w:sz w:val="28"/>
          <w:szCs w:val="28"/>
        </w:rPr>
      </w:pPr>
      <w:r w:rsidRPr="00FC17F1">
        <w:rPr>
          <w:b/>
          <w:sz w:val="28"/>
          <w:szCs w:val="28"/>
        </w:rPr>
        <w:t xml:space="preserve">Accordingly, </w:t>
      </w:r>
      <w:r w:rsidR="00C13D73" w:rsidRPr="00FC17F1">
        <w:rPr>
          <w:b/>
          <w:sz w:val="28"/>
          <w:szCs w:val="28"/>
        </w:rPr>
        <w:t>the HRF</w:t>
      </w:r>
      <w:r w:rsidR="00664451" w:rsidRPr="00FC17F1">
        <w:rPr>
          <w:b/>
          <w:sz w:val="28"/>
          <w:szCs w:val="28"/>
        </w:rPr>
        <w:t xml:space="preserve"> recommend</w:t>
      </w:r>
      <w:r w:rsidR="00C13D73" w:rsidRPr="00FC17F1">
        <w:rPr>
          <w:b/>
          <w:sz w:val="28"/>
          <w:szCs w:val="28"/>
        </w:rPr>
        <w:t>s</w:t>
      </w:r>
      <w:r w:rsidR="00664451" w:rsidRPr="00FC17F1">
        <w:rPr>
          <w:b/>
          <w:sz w:val="28"/>
          <w:szCs w:val="28"/>
        </w:rPr>
        <w:t xml:space="preserve"> that the Committee raise the issue of the </w:t>
      </w:r>
      <w:r w:rsidRPr="00FC17F1">
        <w:rPr>
          <w:b/>
          <w:sz w:val="28"/>
          <w:szCs w:val="28"/>
        </w:rPr>
        <w:t>Government’s position as regards such ETOs, including its data collection of</w:t>
      </w:r>
      <w:r w:rsidR="00631511" w:rsidRPr="00FC17F1">
        <w:rPr>
          <w:b/>
          <w:sz w:val="28"/>
          <w:szCs w:val="28"/>
        </w:rPr>
        <w:t xml:space="preserve"> the</w:t>
      </w:r>
      <w:r w:rsidRPr="00FC17F1">
        <w:rPr>
          <w:b/>
          <w:sz w:val="28"/>
          <w:szCs w:val="28"/>
        </w:rPr>
        <w:t xml:space="preserve"> acceptance </w:t>
      </w:r>
      <w:r w:rsidR="00631511" w:rsidRPr="00FC17F1">
        <w:rPr>
          <w:b/>
          <w:sz w:val="28"/>
          <w:szCs w:val="28"/>
        </w:rPr>
        <w:t xml:space="preserve">by locally-based MNEs </w:t>
      </w:r>
      <w:r w:rsidRPr="00FC17F1">
        <w:rPr>
          <w:b/>
          <w:sz w:val="28"/>
          <w:szCs w:val="28"/>
        </w:rPr>
        <w:t xml:space="preserve">of any voluntary standards and its processes for addressing any violations of ESC rights by </w:t>
      </w:r>
      <w:r w:rsidR="007E7608" w:rsidRPr="00FC17F1">
        <w:rPr>
          <w:b/>
          <w:sz w:val="28"/>
          <w:szCs w:val="28"/>
        </w:rPr>
        <w:t xml:space="preserve">such </w:t>
      </w:r>
      <w:r w:rsidRPr="00FC17F1">
        <w:rPr>
          <w:b/>
          <w:sz w:val="28"/>
          <w:szCs w:val="28"/>
        </w:rPr>
        <w:t>MNEs abroad.</w:t>
      </w:r>
      <w:r w:rsidR="0010045D" w:rsidRPr="00FC17F1">
        <w:rPr>
          <w:b/>
          <w:sz w:val="28"/>
          <w:szCs w:val="28"/>
        </w:rPr>
        <w:t xml:space="preserve"> </w:t>
      </w:r>
    </w:p>
    <w:p w14:paraId="58CCB50A" w14:textId="7B47043D" w:rsidR="00E54CC8" w:rsidRPr="00FC17F1" w:rsidRDefault="00E54CC8" w:rsidP="00DA2390">
      <w:pPr>
        <w:pStyle w:val="ListParagraph"/>
        <w:numPr>
          <w:ilvl w:val="0"/>
          <w:numId w:val="10"/>
        </w:numPr>
        <w:tabs>
          <w:tab w:val="center" w:pos="4150"/>
        </w:tabs>
        <w:spacing w:line="360" w:lineRule="auto"/>
        <w:jc w:val="both"/>
        <w:rPr>
          <w:b/>
          <w:sz w:val="28"/>
          <w:szCs w:val="28"/>
        </w:rPr>
      </w:pPr>
      <w:r w:rsidRPr="009A65A7">
        <w:rPr>
          <w:b/>
          <w:sz w:val="28"/>
          <w:szCs w:val="28"/>
        </w:rPr>
        <w:t>The HRF also recommends that the Committee enquire as to the New Zealand Government’s position on proposals in General Assembly resolutions to make MNEs directly responsible under international law for such violations.</w:t>
      </w:r>
      <w:r w:rsidRPr="009A65A7">
        <w:rPr>
          <w:rStyle w:val="FootnoteReference"/>
          <w:b/>
          <w:sz w:val="28"/>
          <w:szCs w:val="28"/>
        </w:rPr>
        <w:footnoteReference w:id="37"/>
      </w:r>
    </w:p>
    <w:p w14:paraId="43D35166" w14:textId="77777777" w:rsidR="0010045D" w:rsidRPr="00FC17F1" w:rsidRDefault="0010045D" w:rsidP="00FC17F1">
      <w:pPr>
        <w:pStyle w:val="ListParagraph"/>
        <w:tabs>
          <w:tab w:val="center" w:pos="4150"/>
        </w:tabs>
        <w:spacing w:line="360" w:lineRule="auto"/>
        <w:ind w:left="360"/>
        <w:jc w:val="both"/>
        <w:rPr>
          <w:b/>
          <w:sz w:val="28"/>
          <w:szCs w:val="28"/>
        </w:rPr>
      </w:pPr>
    </w:p>
    <w:p w14:paraId="17D042B3" w14:textId="48933875" w:rsidR="00CE4F59" w:rsidRPr="00FC17F1" w:rsidRDefault="00CE4F59" w:rsidP="00FC17F1">
      <w:pPr>
        <w:spacing w:line="360" w:lineRule="auto"/>
        <w:jc w:val="both"/>
        <w:rPr>
          <w:rFonts w:cs="Times New Roman"/>
          <w:b/>
          <w:smallCaps/>
          <w:color w:val="000000" w:themeColor="text1"/>
          <w:sz w:val="28"/>
          <w:szCs w:val="28"/>
          <w:lang w:val="fr-FR"/>
        </w:rPr>
      </w:pPr>
    </w:p>
    <w:p w14:paraId="06EFD72C" w14:textId="3FE4CF1F" w:rsidR="003B379B" w:rsidRPr="00C37B4D" w:rsidRDefault="00BD45DB" w:rsidP="00FC17F1">
      <w:pPr>
        <w:spacing w:line="360" w:lineRule="auto"/>
        <w:jc w:val="both"/>
        <w:rPr>
          <w:rFonts w:cs="Times New Roman"/>
          <w:b/>
          <w:smallCaps/>
          <w:color w:val="000000" w:themeColor="text1"/>
          <w:sz w:val="28"/>
          <w:szCs w:val="28"/>
          <w:lang w:val="fr-FR"/>
        </w:rPr>
      </w:pPr>
      <w:r w:rsidRPr="00FC17F1">
        <w:rPr>
          <w:rFonts w:cs="Times New Roman"/>
          <w:b/>
          <w:smallCaps/>
          <w:color w:val="000000" w:themeColor="text1"/>
          <w:sz w:val="28"/>
          <w:szCs w:val="28"/>
          <w:lang w:val="fr-FR"/>
        </w:rPr>
        <w:t xml:space="preserve">article 2 </w:t>
      </w:r>
      <w:r w:rsidR="003B379B" w:rsidRPr="00FC17F1">
        <w:rPr>
          <w:rFonts w:cs="Times New Roman"/>
          <w:b/>
          <w:smallCaps/>
          <w:color w:val="000000" w:themeColor="text1"/>
          <w:sz w:val="28"/>
          <w:szCs w:val="28"/>
          <w:lang w:val="fr-FR"/>
        </w:rPr>
        <w:t xml:space="preserve"> </w:t>
      </w:r>
      <w:r w:rsidR="00CE4F59" w:rsidRPr="00FC17F1">
        <w:rPr>
          <w:rFonts w:cs="Times New Roman"/>
          <w:b/>
          <w:smallCaps/>
          <w:color w:val="000000" w:themeColor="text1"/>
          <w:sz w:val="28"/>
          <w:szCs w:val="28"/>
          <w:lang w:val="fr-FR"/>
        </w:rPr>
        <w:t>(</w:t>
      </w:r>
      <w:r w:rsidR="003B379B" w:rsidRPr="00FC17F1">
        <w:rPr>
          <w:rFonts w:cs="Times New Roman"/>
          <w:b/>
          <w:smallCaps/>
          <w:color w:val="000000" w:themeColor="text1"/>
          <w:sz w:val="28"/>
          <w:szCs w:val="28"/>
          <w:lang w:val="fr-FR"/>
        </w:rPr>
        <w:t>2</w:t>
      </w:r>
      <w:r w:rsidR="00CE4F59" w:rsidRPr="00FC17F1">
        <w:rPr>
          <w:rFonts w:cs="Times New Roman"/>
          <w:b/>
          <w:smallCaps/>
          <w:color w:val="000000" w:themeColor="text1"/>
          <w:sz w:val="28"/>
          <w:szCs w:val="28"/>
          <w:lang w:val="fr-FR"/>
        </w:rPr>
        <w:t>)</w:t>
      </w:r>
      <w:r w:rsidR="003B379B" w:rsidRPr="00FC17F1">
        <w:rPr>
          <w:rFonts w:cs="Times New Roman"/>
          <w:b/>
          <w:smallCaps/>
          <w:color w:val="000000" w:themeColor="text1"/>
          <w:sz w:val="28"/>
          <w:szCs w:val="28"/>
          <w:lang w:val="fr-FR"/>
        </w:rPr>
        <w:t xml:space="preserve">: Non </w:t>
      </w:r>
      <w:r w:rsidR="007E7608">
        <w:rPr>
          <w:rFonts w:cs="Times New Roman"/>
          <w:b/>
          <w:smallCaps/>
          <w:color w:val="000000" w:themeColor="text1"/>
          <w:sz w:val="28"/>
          <w:szCs w:val="28"/>
          <w:lang w:val="fr-FR"/>
        </w:rPr>
        <w:t>-</w:t>
      </w:r>
      <w:r w:rsidR="003B379B" w:rsidRPr="00FC17F1">
        <w:rPr>
          <w:rFonts w:cs="Times New Roman"/>
          <w:b/>
          <w:smallCaps/>
          <w:color w:val="000000" w:themeColor="text1"/>
          <w:sz w:val="28"/>
          <w:szCs w:val="28"/>
          <w:lang w:val="fr-FR"/>
        </w:rPr>
        <w:t>Discrimination</w:t>
      </w:r>
    </w:p>
    <w:p w14:paraId="48E05E09" w14:textId="77777777" w:rsidR="00C76CE0" w:rsidRPr="00C37B4D" w:rsidRDefault="00C76CE0" w:rsidP="00FC17F1">
      <w:pPr>
        <w:spacing w:line="360" w:lineRule="auto"/>
        <w:jc w:val="both"/>
        <w:rPr>
          <w:rFonts w:cs="Times New Roman"/>
          <w:b/>
          <w:smallCaps/>
          <w:color w:val="000000" w:themeColor="text1"/>
          <w:sz w:val="28"/>
          <w:szCs w:val="28"/>
          <w:lang w:val="fr-FR"/>
        </w:rPr>
      </w:pPr>
    </w:p>
    <w:p w14:paraId="099501C5" w14:textId="1EA96D8E" w:rsidR="00C76CE0" w:rsidRPr="00FC17F1" w:rsidRDefault="007E7608" w:rsidP="00DA2390">
      <w:pPr>
        <w:pStyle w:val="ListParagraph"/>
        <w:numPr>
          <w:ilvl w:val="0"/>
          <w:numId w:val="10"/>
        </w:numPr>
        <w:spacing w:line="360" w:lineRule="auto"/>
        <w:jc w:val="both"/>
        <w:rPr>
          <w:rFonts w:cs="Times New Roman"/>
          <w:bCs/>
          <w:sz w:val="28"/>
          <w:szCs w:val="28"/>
        </w:rPr>
      </w:pPr>
      <w:r>
        <w:rPr>
          <w:rFonts w:cs="Times New Roman"/>
          <w:bCs/>
          <w:sz w:val="28"/>
          <w:szCs w:val="28"/>
        </w:rPr>
        <w:t xml:space="preserve">Note: </w:t>
      </w:r>
      <w:r w:rsidR="00C76CE0" w:rsidRPr="00FC17F1">
        <w:rPr>
          <w:rFonts w:cs="Times New Roman"/>
          <w:bCs/>
          <w:sz w:val="28"/>
          <w:szCs w:val="28"/>
        </w:rPr>
        <w:t xml:space="preserve">Efforts to combat discrimination need to account for the intersectional nature of discrimination where, for example, gender, </w:t>
      </w:r>
      <w:r w:rsidR="00C76CE0" w:rsidRPr="00FC17F1">
        <w:rPr>
          <w:rFonts w:cs="Times New Roman"/>
          <w:bCs/>
          <w:sz w:val="28"/>
          <w:szCs w:val="28"/>
        </w:rPr>
        <w:lastRenderedPageBreak/>
        <w:t xml:space="preserve">ethnicity, age and disability may act as multipliers of discrimination experienced by an individual.  </w:t>
      </w:r>
    </w:p>
    <w:p w14:paraId="3A1E6F9A" w14:textId="77777777" w:rsidR="00DF3D0C" w:rsidRPr="00FC17F1" w:rsidRDefault="00DF3D0C" w:rsidP="00FC17F1">
      <w:pPr>
        <w:spacing w:line="360" w:lineRule="auto"/>
        <w:jc w:val="both"/>
        <w:rPr>
          <w:rFonts w:cs="Times New Roman"/>
          <w:bCs/>
          <w:i/>
          <w:color w:val="000000" w:themeColor="text1"/>
          <w:sz w:val="28"/>
          <w:szCs w:val="28"/>
          <w:lang w:val="fr-FR"/>
        </w:rPr>
      </w:pPr>
    </w:p>
    <w:p w14:paraId="038B8483" w14:textId="3F895673" w:rsidR="00063880" w:rsidRDefault="00FE152C" w:rsidP="00FC17F1">
      <w:pPr>
        <w:spacing w:line="360" w:lineRule="auto"/>
        <w:jc w:val="both"/>
        <w:rPr>
          <w:rFonts w:cs="Times New Roman"/>
          <w:bCs/>
          <w:i/>
          <w:color w:val="000000" w:themeColor="text1"/>
          <w:sz w:val="28"/>
          <w:szCs w:val="28"/>
        </w:rPr>
      </w:pPr>
      <w:r>
        <w:rPr>
          <w:rFonts w:cs="Times New Roman"/>
          <w:bCs/>
          <w:i/>
          <w:color w:val="000000" w:themeColor="text1"/>
          <w:sz w:val="28"/>
          <w:szCs w:val="28"/>
        </w:rPr>
        <w:t xml:space="preserve">Question </w:t>
      </w:r>
      <w:r w:rsidR="00CE4F59" w:rsidRPr="00FC17F1">
        <w:rPr>
          <w:rFonts w:cs="Times New Roman"/>
          <w:bCs/>
          <w:i/>
          <w:color w:val="000000" w:themeColor="text1"/>
          <w:sz w:val="28"/>
          <w:szCs w:val="28"/>
        </w:rPr>
        <w:t>8</w:t>
      </w:r>
      <w:r w:rsidR="00D5514C" w:rsidRPr="00FC17F1">
        <w:rPr>
          <w:rFonts w:cs="Times New Roman"/>
          <w:bCs/>
          <w:i/>
          <w:color w:val="000000" w:themeColor="text1"/>
          <w:sz w:val="28"/>
          <w:szCs w:val="28"/>
        </w:rPr>
        <w:t xml:space="preserve">: </w:t>
      </w:r>
      <w:r w:rsidR="00063880" w:rsidRPr="00FC17F1">
        <w:rPr>
          <w:rFonts w:cs="Times New Roman"/>
          <w:bCs/>
          <w:i/>
          <w:color w:val="000000" w:themeColor="text1"/>
          <w:sz w:val="28"/>
          <w:szCs w:val="28"/>
        </w:rPr>
        <w:t xml:space="preserve">Please provide information and statistical data on the enjoyment of economic, social and cultural rights by persons with disabilities. </w:t>
      </w:r>
    </w:p>
    <w:p w14:paraId="153FD158" w14:textId="77777777" w:rsidR="00266EA6" w:rsidRDefault="00266EA6" w:rsidP="00FC17F1">
      <w:pPr>
        <w:spacing w:line="360" w:lineRule="auto"/>
        <w:jc w:val="both"/>
        <w:rPr>
          <w:rFonts w:cs="Times New Roman"/>
          <w:bCs/>
          <w:i/>
          <w:color w:val="000000" w:themeColor="text1"/>
          <w:sz w:val="28"/>
          <w:szCs w:val="28"/>
        </w:rPr>
      </w:pPr>
    </w:p>
    <w:p w14:paraId="00036951" w14:textId="10DC4B56" w:rsidR="006F75CA" w:rsidRPr="00FC17F1" w:rsidRDefault="004C6DF8" w:rsidP="00FC17F1">
      <w:pPr>
        <w:spacing w:line="360" w:lineRule="auto"/>
        <w:jc w:val="both"/>
        <w:rPr>
          <w:rFonts w:cs="Times New Roman"/>
          <w:bCs/>
          <w:i/>
          <w:sz w:val="28"/>
          <w:szCs w:val="28"/>
        </w:rPr>
      </w:pPr>
      <w:r w:rsidRPr="00FC17F1">
        <w:rPr>
          <w:rFonts w:cs="Times New Roman"/>
          <w:b/>
          <w:bCs/>
          <w:sz w:val="28"/>
          <w:szCs w:val="28"/>
        </w:rPr>
        <w:t>The HRF endorses</w:t>
      </w:r>
      <w:r w:rsidR="00605CCD" w:rsidRPr="00FC17F1">
        <w:rPr>
          <w:rFonts w:cs="Times New Roman"/>
          <w:b/>
          <w:bCs/>
          <w:sz w:val="28"/>
          <w:szCs w:val="28"/>
        </w:rPr>
        <w:t xml:space="preserve"> the</w:t>
      </w:r>
      <w:r w:rsidRPr="00FC17F1">
        <w:rPr>
          <w:rFonts w:cs="Times New Roman"/>
          <w:b/>
          <w:bCs/>
          <w:sz w:val="28"/>
          <w:szCs w:val="28"/>
        </w:rPr>
        <w:t xml:space="preserve"> </w:t>
      </w:r>
      <w:r w:rsidR="00605CCD" w:rsidRPr="00FC17F1">
        <w:rPr>
          <w:rFonts w:cs="Times New Roman"/>
          <w:b/>
          <w:bCs/>
          <w:sz w:val="28"/>
          <w:szCs w:val="28"/>
        </w:rPr>
        <w:t>report of CPAG/ACYA at pp</w:t>
      </w:r>
      <w:r w:rsidR="00A16AC8" w:rsidRPr="00FC17F1">
        <w:rPr>
          <w:rFonts w:cs="Times New Roman"/>
          <w:b/>
          <w:bCs/>
          <w:sz w:val="28"/>
          <w:szCs w:val="28"/>
        </w:rPr>
        <w:t xml:space="preserve">. </w:t>
      </w:r>
      <w:r w:rsidR="00605CCD" w:rsidRPr="00FC17F1">
        <w:rPr>
          <w:rFonts w:cs="Times New Roman"/>
          <w:b/>
          <w:bCs/>
          <w:sz w:val="28"/>
          <w:szCs w:val="28"/>
        </w:rPr>
        <w:t>9,10,14 as regards the rights of children with disabilities</w:t>
      </w:r>
    </w:p>
    <w:p w14:paraId="6AC96EA6" w14:textId="77777777" w:rsidR="00063880" w:rsidRPr="00FC17F1" w:rsidRDefault="00063880" w:rsidP="00FC17F1">
      <w:pPr>
        <w:spacing w:line="360" w:lineRule="auto"/>
        <w:jc w:val="both"/>
        <w:rPr>
          <w:rFonts w:cs="Times New Roman"/>
          <w:bCs/>
          <w:i/>
          <w:sz w:val="28"/>
          <w:szCs w:val="28"/>
        </w:rPr>
      </w:pPr>
    </w:p>
    <w:p w14:paraId="5E261673" w14:textId="12C64B3A" w:rsidR="006F75CA" w:rsidRDefault="00FE152C" w:rsidP="00FC17F1">
      <w:pPr>
        <w:spacing w:line="360" w:lineRule="auto"/>
        <w:jc w:val="both"/>
        <w:rPr>
          <w:rFonts w:cs="Times New Roman"/>
          <w:bCs/>
          <w:color w:val="000000" w:themeColor="text1"/>
          <w:sz w:val="28"/>
          <w:szCs w:val="28"/>
        </w:rPr>
      </w:pPr>
      <w:r>
        <w:rPr>
          <w:rFonts w:cs="Times New Roman"/>
          <w:bCs/>
          <w:i/>
          <w:color w:val="000000" w:themeColor="text1"/>
          <w:sz w:val="28"/>
          <w:szCs w:val="28"/>
        </w:rPr>
        <w:t xml:space="preserve">Question </w:t>
      </w:r>
      <w:r w:rsidR="00CE4F59" w:rsidRPr="00FC17F1">
        <w:rPr>
          <w:rFonts w:cs="Times New Roman"/>
          <w:bCs/>
          <w:i/>
          <w:color w:val="000000" w:themeColor="text1"/>
          <w:sz w:val="28"/>
          <w:szCs w:val="28"/>
        </w:rPr>
        <w:t>9</w:t>
      </w:r>
      <w:r w:rsidR="00D5514C" w:rsidRPr="00FC17F1">
        <w:rPr>
          <w:rFonts w:cs="Times New Roman"/>
          <w:bCs/>
          <w:i/>
          <w:color w:val="000000" w:themeColor="text1"/>
          <w:sz w:val="28"/>
          <w:szCs w:val="28"/>
        </w:rPr>
        <w:t xml:space="preserve">: </w:t>
      </w:r>
      <w:r w:rsidR="00063880" w:rsidRPr="00FC17F1">
        <w:rPr>
          <w:rFonts w:cs="Times New Roman"/>
          <w:bCs/>
          <w:i/>
          <w:color w:val="000000" w:themeColor="text1"/>
          <w:sz w:val="28"/>
          <w:szCs w:val="28"/>
        </w:rPr>
        <w:t>Please indicate to what extent asylum seekers, refugees and their reunified family members are able to enjoy their rights under the Covenant</w:t>
      </w:r>
      <w:r w:rsidR="006F75CA">
        <w:rPr>
          <w:rFonts w:cs="Times New Roman"/>
          <w:bCs/>
          <w:i/>
          <w:color w:val="000000" w:themeColor="text1"/>
          <w:sz w:val="28"/>
          <w:szCs w:val="28"/>
        </w:rPr>
        <w:t xml:space="preserve">. </w:t>
      </w:r>
      <w:r w:rsidR="006F75CA">
        <w:rPr>
          <w:rFonts w:cs="Times New Roman"/>
          <w:bCs/>
          <w:color w:val="000000" w:themeColor="text1"/>
          <w:sz w:val="28"/>
          <w:szCs w:val="28"/>
        </w:rPr>
        <w:t xml:space="preserve"> </w:t>
      </w:r>
      <w:r w:rsidR="006F75CA">
        <w:rPr>
          <w:rFonts w:cs="Times New Roman"/>
          <w:bCs/>
          <w:color w:val="000000" w:themeColor="text1"/>
          <w:sz w:val="28"/>
          <w:szCs w:val="28"/>
        </w:rPr>
        <w:tab/>
      </w:r>
    </w:p>
    <w:p w14:paraId="62B10AE9" w14:textId="77777777" w:rsidR="006F75CA" w:rsidRDefault="006F75CA" w:rsidP="00FC17F1">
      <w:pPr>
        <w:spacing w:line="360" w:lineRule="auto"/>
        <w:jc w:val="both"/>
        <w:rPr>
          <w:rFonts w:cs="Times New Roman"/>
          <w:bCs/>
          <w:color w:val="000000" w:themeColor="text1"/>
          <w:sz w:val="28"/>
          <w:szCs w:val="28"/>
        </w:rPr>
      </w:pPr>
    </w:p>
    <w:p w14:paraId="23800687" w14:textId="52301047" w:rsidR="00C76CE0" w:rsidRPr="00FC17F1" w:rsidRDefault="006F75CA" w:rsidP="00FC17F1">
      <w:pPr>
        <w:spacing w:line="360" w:lineRule="auto"/>
        <w:jc w:val="both"/>
        <w:rPr>
          <w:rFonts w:cs="Times New Roman"/>
          <w:b/>
          <w:sz w:val="28"/>
          <w:szCs w:val="28"/>
          <w:lang w:val="en-US"/>
        </w:rPr>
      </w:pPr>
      <w:r w:rsidRPr="006F75CA">
        <w:rPr>
          <w:rFonts w:cs="Times New Roman"/>
          <w:b/>
          <w:sz w:val="28"/>
          <w:szCs w:val="28"/>
          <w:lang w:val="en-US"/>
        </w:rPr>
        <w:t xml:space="preserve"> </w:t>
      </w:r>
      <w:r w:rsidRPr="00FC17F1">
        <w:rPr>
          <w:rFonts w:cs="Times New Roman"/>
          <w:b/>
          <w:sz w:val="28"/>
          <w:szCs w:val="28"/>
          <w:lang w:val="en-US"/>
        </w:rPr>
        <w:t>Refugees</w:t>
      </w:r>
    </w:p>
    <w:p w14:paraId="29286A7B" w14:textId="7935B5D8" w:rsidR="00C76CE0" w:rsidRPr="00FC17F1" w:rsidRDefault="00C76CE0"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New Zealand continues to have a formal Refugee Quota Programme of 750 places in addition to the 300 places available annually under the Refugee Family Support Category.</w:t>
      </w:r>
      <w:r w:rsidRPr="00FC17F1">
        <w:rPr>
          <w:rFonts w:cs="Times New Roman"/>
          <w:sz w:val="28"/>
          <w:szCs w:val="28"/>
          <w:vertAlign w:val="superscript"/>
          <w:lang w:val="en-US"/>
        </w:rPr>
        <w:footnoteReference w:id="38"/>
      </w:r>
      <w:r w:rsidRPr="00FC17F1">
        <w:rPr>
          <w:rFonts w:cs="Times New Roman"/>
          <w:sz w:val="28"/>
          <w:szCs w:val="28"/>
          <w:lang w:val="en-US"/>
        </w:rPr>
        <w:t xml:space="preserve"> However, the refugee quota in New Zealand has not changed from 750 for 28 years. </w:t>
      </w:r>
      <w:r w:rsidR="007B5120">
        <w:rPr>
          <w:rFonts w:cs="Times New Roman"/>
          <w:sz w:val="28"/>
          <w:szCs w:val="28"/>
          <w:lang w:val="en-US"/>
        </w:rPr>
        <w:t>Despite its relative wealth, stability and regular statements of support for human rights, New Zealand</w:t>
      </w:r>
      <w:r w:rsidRPr="00FC17F1">
        <w:rPr>
          <w:rFonts w:cs="Times New Roman"/>
          <w:sz w:val="28"/>
          <w:szCs w:val="28"/>
          <w:lang w:val="en-US"/>
        </w:rPr>
        <w:t xml:space="preserve"> currently rank</w:t>
      </w:r>
      <w:r w:rsidR="007B5120">
        <w:rPr>
          <w:rFonts w:cs="Times New Roman"/>
          <w:sz w:val="28"/>
          <w:szCs w:val="28"/>
          <w:lang w:val="en-US"/>
        </w:rPr>
        <w:t>s</w:t>
      </w:r>
      <w:r w:rsidRPr="00FC17F1">
        <w:rPr>
          <w:rFonts w:cs="Times New Roman"/>
          <w:sz w:val="28"/>
          <w:szCs w:val="28"/>
          <w:lang w:val="en-US"/>
        </w:rPr>
        <w:t xml:space="preserve"> 88</w:t>
      </w:r>
      <w:r w:rsidRPr="00FC17F1">
        <w:rPr>
          <w:rFonts w:cs="Times New Roman"/>
          <w:sz w:val="28"/>
          <w:szCs w:val="28"/>
          <w:vertAlign w:val="superscript"/>
          <w:lang w:val="en-US"/>
        </w:rPr>
        <w:t>th</w:t>
      </w:r>
      <w:r w:rsidRPr="00FC17F1">
        <w:rPr>
          <w:rFonts w:cs="Times New Roman"/>
          <w:sz w:val="28"/>
          <w:szCs w:val="28"/>
          <w:lang w:val="en-US"/>
        </w:rPr>
        <w:t xml:space="preserve"> in the world for the number of refugees and asylum seekers we host.</w:t>
      </w:r>
      <w:r w:rsidRPr="00FC17F1">
        <w:rPr>
          <w:rFonts w:cs="Times New Roman"/>
          <w:sz w:val="28"/>
          <w:szCs w:val="28"/>
          <w:vertAlign w:val="superscript"/>
          <w:lang w:val="en-US"/>
        </w:rPr>
        <w:footnoteReference w:id="39"/>
      </w:r>
      <w:r w:rsidRPr="00FC17F1">
        <w:rPr>
          <w:rFonts w:cs="Times New Roman"/>
          <w:sz w:val="28"/>
          <w:szCs w:val="28"/>
          <w:lang w:val="en-US"/>
        </w:rPr>
        <w:t xml:space="preserve"> Calls to increase New Zealand’s quota have come particularly in response to the refugee crisis following the war in Syria.</w:t>
      </w:r>
      <w:r w:rsidRPr="00FC17F1">
        <w:rPr>
          <w:rFonts w:cs="Times New Roman"/>
          <w:sz w:val="28"/>
          <w:szCs w:val="28"/>
          <w:vertAlign w:val="superscript"/>
          <w:lang w:val="en-US"/>
        </w:rPr>
        <w:footnoteReference w:id="40"/>
      </w:r>
      <w:r w:rsidRPr="00FC17F1">
        <w:rPr>
          <w:rFonts w:cs="Times New Roman"/>
          <w:sz w:val="28"/>
          <w:szCs w:val="28"/>
          <w:lang w:val="en-US"/>
        </w:rPr>
        <w:t xml:space="preserve"> In September 2015, the National Government undertook a further commitment to take 750 Syrian refugees over the next three years.</w:t>
      </w:r>
      <w:r w:rsidRPr="00FC17F1">
        <w:rPr>
          <w:rFonts w:cs="Times New Roman"/>
          <w:sz w:val="28"/>
          <w:szCs w:val="28"/>
          <w:vertAlign w:val="superscript"/>
          <w:lang w:val="en-US"/>
        </w:rPr>
        <w:footnoteReference w:id="41"/>
      </w:r>
      <w:r w:rsidRPr="00FC17F1">
        <w:rPr>
          <w:rFonts w:cs="Times New Roman"/>
          <w:sz w:val="28"/>
          <w:szCs w:val="28"/>
          <w:lang w:val="en-US"/>
        </w:rPr>
        <w:tab/>
      </w:r>
    </w:p>
    <w:p w14:paraId="77E049C7" w14:textId="77777777" w:rsidR="00C76CE0" w:rsidRPr="00FC17F1" w:rsidRDefault="00C76CE0" w:rsidP="00FC17F1">
      <w:pPr>
        <w:pStyle w:val="ListParagraph"/>
        <w:spacing w:line="360" w:lineRule="auto"/>
        <w:ind w:left="1080"/>
        <w:jc w:val="both"/>
        <w:rPr>
          <w:rFonts w:cs="Times New Roman"/>
          <w:sz w:val="28"/>
          <w:szCs w:val="28"/>
          <w:lang w:val="en-US"/>
        </w:rPr>
      </w:pPr>
    </w:p>
    <w:p w14:paraId="6BA67D5C" w14:textId="2D839F70" w:rsidR="006F75CA" w:rsidRDefault="00C76CE0" w:rsidP="00DA2390">
      <w:pPr>
        <w:pStyle w:val="ListParagraph"/>
        <w:numPr>
          <w:ilvl w:val="0"/>
          <w:numId w:val="10"/>
        </w:numPr>
        <w:tabs>
          <w:tab w:val="left" w:pos="990"/>
        </w:tabs>
        <w:spacing w:line="360" w:lineRule="auto"/>
        <w:jc w:val="both"/>
        <w:rPr>
          <w:rFonts w:cs="Times New Roman"/>
          <w:sz w:val="28"/>
          <w:szCs w:val="28"/>
          <w:lang w:val="en-US"/>
        </w:rPr>
      </w:pPr>
      <w:r w:rsidRPr="00FC17F1">
        <w:rPr>
          <w:rFonts w:cs="Times New Roman"/>
          <w:sz w:val="28"/>
          <w:szCs w:val="28"/>
          <w:lang w:val="en-US"/>
        </w:rPr>
        <w:lastRenderedPageBreak/>
        <w:t xml:space="preserve">The quota is set to come up for review this year, and there is considerable pressure from NGOs and civil society in support of increasing the quota to at least 1500. </w:t>
      </w:r>
      <w:r w:rsidR="003F2110">
        <w:rPr>
          <w:rFonts w:cs="Times New Roman"/>
          <w:sz w:val="28"/>
          <w:szCs w:val="28"/>
          <w:lang w:val="en-US"/>
        </w:rPr>
        <w:t xml:space="preserve">Labour’s election policy was to increase the quota to 1500 over three years, but this commitment did not find itself into the Coalition Agreement between the three coalition parties. Party during </w:t>
      </w:r>
      <w:r w:rsidRPr="00FC17F1">
        <w:rPr>
          <w:rFonts w:cs="Times New Roman"/>
          <w:sz w:val="28"/>
          <w:szCs w:val="28"/>
          <w:lang w:val="en-US"/>
        </w:rPr>
        <w:t>Both New Zealand’s population and the number of refugees settled in New Zealand when considered in comparison with our comparative wealth (using GDP) would indicate that New Zealand should be playing a more significant role</w:t>
      </w:r>
      <w:r w:rsidR="004C6DF8">
        <w:rPr>
          <w:rFonts w:cs="Times New Roman"/>
          <w:sz w:val="28"/>
          <w:szCs w:val="28"/>
          <w:lang w:val="en-US"/>
        </w:rPr>
        <w:t>.</w:t>
      </w:r>
      <w:r w:rsidRPr="00FC17F1">
        <w:rPr>
          <w:rFonts w:cs="Times New Roman"/>
          <w:sz w:val="28"/>
          <w:szCs w:val="28"/>
          <w:lang w:val="en-US"/>
        </w:rPr>
        <w:t xml:space="preserve">  </w:t>
      </w:r>
    </w:p>
    <w:p w14:paraId="173AAD67" w14:textId="77777777" w:rsidR="006F75CA" w:rsidRPr="00FC17F1" w:rsidRDefault="006F75CA" w:rsidP="00FC17F1">
      <w:pPr>
        <w:spacing w:line="360" w:lineRule="auto"/>
        <w:jc w:val="both"/>
        <w:rPr>
          <w:rFonts w:cs="Times New Roman"/>
          <w:sz w:val="28"/>
          <w:szCs w:val="28"/>
          <w:lang w:val="en-US"/>
        </w:rPr>
      </w:pPr>
    </w:p>
    <w:p w14:paraId="7A12FF2A" w14:textId="69047918" w:rsidR="00C76CE0" w:rsidRPr="00FC17F1" w:rsidRDefault="006F75CA" w:rsidP="00FC17F1">
      <w:pPr>
        <w:spacing w:line="360" w:lineRule="auto"/>
        <w:jc w:val="both"/>
        <w:rPr>
          <w:rFonts w:cs="Times New Roman"/>
          <w:strike/>
          <w:sz w:val="28"/>
          <w:szCs w:val="28"/>
          <w:lang w:val="en-US"/>
        </w:rPr>
      </w:pPr>
      <w:r w:rsidRPr="00B73789">
        <w:rPr>
          <w:rFonts w:cs="Times New Roman"/>
          <w:b/>
          <w:bCs/>
          <w:iCs/>
          <w:sz w:val="28"/>
          <w:szCs w:val="28"/>
          <w:lang w:val="en-US"/>
        </w:rPr>
        <w:t>Refugees: Right to Housing</w:t>
      </w:r>
    </w:p>
    <w:p w14:paraId="6DFA1BFD" w14:textId="1FCA7B6F" w:rsidR="00C76CE0" w:rsidRPr="00FC17F1" w:rsidRDefault="00C76CE0"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Assistance in finding housing is provided for quota refugees under the Refugee Resettlement Program</w:t>
      </w:r>
      <w:r w:rsidR="007B5120">
        <w:rPr>
          <w:rFonts w:cs="Times New Roman"/>
          <w:sz w:val="28"/>
          <w:szCs w:val="28"/>
          <w:lang w:val="en-US"/>
        </w:rPr>
        <w:t>me</w:t>
      </w:r>
      <w:r w:rsidRPr="00FC17F1">
        <w:rPr>
          <w:rFonts w:cs="Times New Roman"/>
          <w:sz w:val="28"/>
          <w:szCs w:val="28"/>
          <w:lang w:val="en-US"/>
        </w:rPr>
        <w:t xml:space="preserve"> via agencies such as New Zealand Red Cross.</w:t>
      </w:r>
      <w:r w:rsidRPr="00FC17F1">
        <w:rPr>
          <w:rFonts w:cs="Times New Roman"/>
          <w:sz w:val="28"/>
          <w:szCs w:val="28"/>
          <w:vertAlign w:val="superscript"/>
          <w:lang w:val="en-US"/>
        </w:rPr>
        <w:footnoteReference w:id="42"/>
      </w:r>
      <w:r w:rsidRPr="00FC17F1">
        <w:rPr>
          <w:rFonts w:cs="Times New Roman"/>
          <w:sz w:val="28"/>
          <w:szCs w:val="28"/>
          <w:lang w:val="en-US"/>
        </w:rPr>
        <w:t xml:space="preserve"> They continue to be supplied with Housing New Zealand homes because quota refugees are ‘A’ priority: they are at-risk households with a severe and persistent housing need that must be addressed immediately.</w:t>
      </w:r>
      <w:r w:rsidRPr="00FC17F1">
        <w:rPr>
          <w:rFonts w:cs="Times New Roman"/>
          <w:sz w:val="28"/>
          <w:szCs w:val="28"/>
          <w:vertAlign w:val="superscript"/>
          <w:lang w:val="en-US"/>
        </w:rPr>
        <w:footnoteReference w:id="43"/>
      </w:r>
      <w:r w:rsidRPr="00FC17F1">
        <w:rPr>
          <w:rFonts w:cs="Times New Roman"/>
          <w:sz w:val="28"/>
          <w:szCs w:val="28"/>
          <w:lang w:val="en-US"/>
        </w:rPr>
        <w:t xml:space="preserve"> As they are of permanent resident status, refugees are entitled to the ongoing support of Housing New Zealand. </w:t>
      </w:r>
    </w:p>
    <w:p w14:paraId="2F10AFBF" w14:textId="77777777" w:rsidR="00C76CE0" w:rsidRPr="00FC17F1" w:rsidRDefault="00C76CE0" w:rsidP="00FC17F1">
      <w:pPr>
        <w:pStyle w:val="ListParagraph"/>
        <w:spacing w:line="360" w:lineRule="auto"/>
        <w:ind w:left="1440"/>
        <w:jc w:val="both"/>
        <w:rPr>
          <w:rFonts w:cs="Times New Roman"/>
          <w:sz w:val="28"/>
          <w:szCs w:val="28"/>
          <w:lang w:val="en-US"/>
        </w:rPr>
      </w:pPr>
    </w:p>
    <w:p w14:paraId="2E330F86" w14:textId="4244FD99" w:rsidR="00C76CE0" w:rsidRPr="00FC17F1" w:rsidRDefault="00C76CE0"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Many refugees desire to settle in Auckland for reasons of employment and the presence of established refugee or ethnic communities.</w:t>
      </w:r>
      <w:r w:rsidRPr="00FC17F1">
        <w:rPr>
          <w:rFonts w:cs="Times New Roman"/>
          <w:sz w:val="28"/>
          <w:szCs w:val="28"/>
          <w:vertAlign w:val="superscript"/>
          <w:lang w:val="en-US"/>
        </w:rPr>
        <w:footnoteReference w:id="44"/>
      </w:r>
      <w:r w:rsidRPr="00FC17F1">
        <w:rPr>
          <w:rFonts w:cs="Times New Roman"/>
          <w:sz w:val="28"/>
          <w:szCs w:val="28"/>
          <w:lang w:val="en-US"/>
        </w:rPr>
        <w:t xml:space="preserve"> However, house prices in Auckland are now the second highest relative to income in the developed world</w:t>
      </w:r>
      <w:r w:rsidRPr="00FC17F1">
        <w:rPr>
          <w:rFonts w:cs="Times New Roman"/>
          <w:sz w:val="28"/>
          <w:szCs w:val="28"/>
          <w:vertAlign w:val="superscript"/>
          <w:lang w:val="en-US"/>
        </w:rPr>
        <w:footnoteReference w:id="45"/>
      </w:r>
      <w:r w:rsidRPr="00FC17F1">
        <w:rPr>
          <w:rFonts w:cs="Times New Roman"/>
          <w:sz w:val="28"/>
          <w:szCs w:val="28"/>
          <w:lang w:val="en-US"/>
        </w:rPr>
        <w:t xml:space="preserve"> which means it is more or less impossible for refugees ever </w:t>
      </w:r>
      <w:r w:rsidR="007B5120">
        <w:rPr>
          <w:rFonts w:cs="Times New Roman"/>
          <w:sz w:val="28"/>
          <w:szCs w:val="28"/>
          <w:lang w:val="en-US"/>
        </w:rPr>
        <w:t xml:space="preserve">to </w:t>
      </w:r>
      <w:r w:rsidRPr="00FC17F1">
        <w:rPr>
          <w:rFonts w:cs="Times New Roman"/>
          <w:sz w:val="28"/>
          <w:szCs w:val="28"/>
          <w:lang w:val="en-US"/>
        </w:rPr>
        <w:t>own their own home</w:t>
      </w:r>
      <w:r w:rsidR="007B5120">
        <w:rPr>
          <w:rFonts w:cs="Times New Roman"/>
          <w:sz w:val="28"/>
          <w:szCs w:val="28"/>
          <w:lang w:val="en-US"/>
        </w:rPr>
        <w:t xml:space="preserve">, a situation </w:t>
      </w:r>
      <w:r w:rsidR="00AF15EB">
        <w:rPr>
          <w:rFonts w:cs="Times New Roman"/>
          <w:sz w:val="28"/>
          <w:szCs w:val="28"/>
          <w:lang w:val="en-US"/>
        </w:rPr>
        <w:t>aspired to by most New Zealanders</w:t>
      </w:r>
      <w:r w:rsidRPr="00FC17F1">
        <w:rPr>
          <w:rFonts w:cs="Times New Roman"/>
          <w:sz w:val="28"/>
          <w:szCs w:val="28"/>
          <w:lang w:val="en-US"/>
        </w:rPr>
        <w:t xml:space="preserve">. </w:t>
      </w:r>
    </w:p>
    <w:p w14:paraId="77E7590C" w14:textId="77777777" w:rsidR="00C76CE0" w:rsidRPr="00FC17F1" w:rsidRDefault="00C76CE0" w:rsidP="00FC17F1">
      <w:pPr>
        <w:pStyle w:val="ListParagraph"/>
        <w:spacing w:line="360" w:lineRule="auto"/>
        <w:ind w:left="1440"/>
        <w:jc w:val="both"/>
        <w:rPr>
          <w:rFonts w:cs="Times New Roman"/>
          <w:bCs/>
          <w:i/>
          <w:iCs/>
          <w:sz w:val="28"/>
          <w:szCs w:val="28"/>
          <w:lang w:val="en-US"/>
        </w:rPr>
      </w:pPr>
    </w:p>
    <w:p w14:paraId="7BA591BA" w14:textId="028B2E60" w:rsidR="00C76CE0" w:rsidRPr="00FC17F1" w:rsidRDefault="00FE7037" w:rsidP="00FC17F1">
      <w:pPr>
        <w:spacing w:line="360" w:lineRule="auto"/>
        <w:jc w:val="both"/>
        <w:rPr>
          <w:rFonts w:cs="Times New Roman"/>
          <w:b/>
          <w:bCs/>
          <w:sz w:val="28"/>
          <w:szCs w:val="28"/>
          <w:lang w:val="en-US"/>
        </w:rPr>
      </w:pPr>
      <w:r w:rsidRPr="00FC17F1">
        <w:rPr>
          <w:rFonts w:cs="Times New Roman"/>
          <w:b/>
          <w:bCs/>
          <w:sz w:val="28"/>
          <w:szCs w:val="28"/>
          <w:lang w:val="en-US"/>
        </w:rPr>
        <w:t>Asylum Seekers</w:t>
      </w:r>
    </w:p>
    <w:p w14:paraId="6B91FBBB" w14:textId="722157AE" w:rsidR="00E54CC8" w:rsidRPr="00FC17F1" w:rsidRDefault="00E54CC8"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 xml:space="preserve">An asylum seeker is a person who fears returning to his or her home country and seeks refugee or “protected person” status. Asylum claims in New Zealand are decided according to the Immigration Act 2009 in accordance with the Convention Relating to the 1951 Status of Refugees, the International Convention on Civil and Political Rights (ICCPR), and the 1984 Convention against Torture and Other Cruel Inhuman or Degrading Treatment or Punishment. The refugee claim process is declaratory, not constitutive, meaning that a successful claimant is </w:t>
      </w:r>
      <w:r w:rsidRPr="00FC17F1">
        <w:rPr>
          <w:rFonts w:cs="Times New Roman"/>
          <w:i/>
          <w:sz w:val="28"/>
          <w:szCs w:val="28"/>
          <w:lang w:val="en-US"/>
        </w:rPr>
        <w:t xml:space="preserve">recognised </w:t>
      </w:r>
      <w:r w:rsidRPr="00FC17F1">
        <w:rPr>
          <w:rFonts w:cs="Times New Roman"/>
          <w:sz w:val="28"/>
          <w:szCs w:val="28"/>
          <w:lang w:val="en-US"/>
        </w:rPr>
        <w:t xml:space="preserve">as a refugee, that status pre-dating the determination of their claim. </w:t>
      </w:r>
      <w:r w:rsidRPr="00FC17F1">
        <w:rPr>
          <w:rFonts w:cs="Times New Roman"/>
          <w:color w:val="000000" w:themeColor="text1"/>
          <w:sz w:val="28"/>
          <w:szCs w:val="28"/>
          <w:shd w:val="clear" w:color="auto" w:fill="FFFFFF"/>
        </w:rPr>
        <w:t xml:space="preserve">Accordingly, asylum seekers too should have access </w:t>
      </w:r>
      <w:r w:rsidR="003F2110" w:rsidRPr="00FC17F1">
        <w:rPr>
          <w:rFonts w:cs="Times New Roman"/>
          <w:color w:val="000000" w:themeColor="text1"/>
          <w:sz w:val="28"/>
          <w:szCs w:val="28"/>
          <w:shd w:val="clear" w:color="auto" w:fill="FFFFFF"/>
        </w:rPr>
        <w:t>to basic</w:t>
      </w:r>
      <w:r w:rsidRPr="00FC17F1">
        <w:rPr>
          <w:rFonts w:cs="Times New Roman"/>
          <w:color w:val="000000" w:themeColor="text1"/>
          <w:sz w:val="28"/>
          <w:szCs w:val="28"/>
          <w:shd w:val="clear" w:color="auto" w:fill="FFFFFF"/>
        </w:rPr>
        <w:t xml:space="preserve"> ESC rights. Despite this, asylum seekers in New Zealand receive only minimal support. </w:t>
      </w:r>
    </w:p>
    <w:p w14:paraId="5A73185D" w14:textId="77777777" w:rsidR="00E54CC8" w:rsidRPr="00FC17F1" w:rsidRDefault="00E54CC8" w:rsidP="00E54CC8">
      <w:pPr>
        <w:spacing w:line="360" w:lineRule="auto"/>
        <w:jc w:val="both"/>
        <w:rPr>
          <w:rFonts w:cs="Times New Roman"/>
          <w:b/>
          <w:sz w:val="28"/>
          <w:szCs w:val="28"/>
          <w:lang w:val="en-US"/>
        </w:rPr>
      </w:pPr>
      <w:r w:rsidRPr="004A3B08">
        <w:rPr>
          <w:rFonts w:cs="Times New Roman"/>
          <w:sz w:val="28"/>
          <w:szCs w:val="28"/>
          <w:lang w:val="en-US"/>
        </w:rPr>
        <w:t xml:space="preserve"> </w:t>
      </w:r>
    </w:p>
    <w:p w14:paraId="0C7A8320" w14:textId="77777777" w:rsidR="00E54CC8" w:rsidRPr="00FC17F1" w:rsidRDefault="00E54CC8" w:rsidP="00FC17F1">
      <w:pPr>
        <w:spacing w:line="360" w:lineRule="auto"/>
        <w:jc w:val="both"/>
        <w:rPr>
          <w:rFonts w:cs="Times New Roman"/>
          <w:b/>
          <w:bCs/>
          <w:iCs/>
          <w:sz w:val="28"/>
          <w:szCs w:val="28"/>
          <w:lang w:val="en-US"/>
        </w:rPr>
      </w:pPr>
      <w:r w:rsidRPr="00FC17F1">
        <w:rPr>
          <w:rFonts w:cs="Times New Roman"/>
          <w:b/>
          <w:bCs/>
          <w:iCs/>
          <w:sz w:val="28"/>
          <w:szCs w:val="28"/>
          <w:lang w:val="en-US"/>
        </w:rPr>
        <w:t>Asylum seekers: Right to Education</w:t>
      </w:r>
    </w:p>
    <w:p w14:paraId="53052636" w14:textId="2C063885" w:rsidR="00E54CC8" w:rsidRPr="004A3B08" w:rsidRDefault="00E54CC8" w:rsidP="00DA2390">
      <w:pPr>
        <w:pStyle w:val="ListParagraph"/>
        <w:numPr>
          <w:ilvl w:val="0"/>
          <w:numId w:val="10"/>
        </w:numPr>
        <w:spacing w:line="360" w:lineRule="auto"/>
        <w:jc w:val="both"/>
        <w:rPr>
          <w:rFonts w:cs="Times New Roman"/>
          <w:sz w:val="28"/>
          <w:szCs w:val="28"/>
          <w:lang w:val="en-US"/>
        </w:rPr>
      </w:pPr>
      <w:r w:rsidRPr="004A3B08">
        <w:rPr>
          <w:rFonts w:cs="Times New Roman"/>
          <w:sz w:val="28"/>
          <w:szCs w:val="28"/>
          <w:lang w:val="en-US"/>
        </w:rPr>
        <w:t>According to the Immigration New Zealand Operational Manual, dependent children of asylum seekers and student asylum seekers are considered to be domestic students upon being issued a student visa.</w:t>
      </w:r>
      <w:r w:rsidRPr="004A3B08">
        <w:rPr>
          <w:rFonts w:cs="Times New Roman"/>
          <w:sz w:val="28"/>
          <w:szCs w:val="28"/>
          <w:vertAlign w:val="superscript"/>
          <w:lang w:val="en-US"/>
        </w:rPr>
        <w:footnoteReference w:id="46"/>
      </w:r>
      <w:r w:rsidRPr="004A3B08">
        <w:rPr>
          <w:rFonts w:cs="Times New Roman"/>
          <w:sz w:val="28"/>
          <w:szCs w:val="28"/>
          <w:lang w:val="en-US"/>
        </w:rPr>
        <w:t xml:space="preserve"> In practice, delays in the processing of visa applications can prevent students from accessing education for some time. Asylum seekers who have a current temporary entry class visa (for example, a work visa) are eligible to attend tertiary education as domestic students, without needing to obtain a student visa.</w:t>
      </w:r>
      <w:r w:rsidRPr="004A3B08">
        <w:rPr>
          <w:rStyle w:val="FootnoteReference"/>
          <w:rFonts w:cs="Times New Roman"/>
          <w:sz w:val="28"/>
          <w:szCs w:val="28"/>
          <w:lang w:val="en-US"/>
        </w:rPr>
        <w:footnoteReference w:id="47"/>
      </w:r>
      <w:r w:rsidRPr="004A3B08">
        <w:rPr>
          <w:rFonts w:cs="Times New Roman"/>
          <w:sz w:val="28"/>
          <w:szCs w:val="28"/>
          <w:lang w:val="en-US"/>
        </w:rPr>
        <w:t xml:space="preserve"> This ensures compliance with the ICESCR. Financial assistance with tertiary education in the form of a </w:t>
      </w:r>
      <w:r w:rsidRPr="004A3B08">
        <w:rPr>
          <w:rFonts w:cs="Times New Roman"/>
          <w:sz w:val="28"/>
          <w:szCs w:val="28"/>
          <w:lang w:val="en-US"/>
        </w:rPr>
        <w:lastRenderedPageBreak/>
        <w:t>student loan, however, is only available for those whose claims to refugee status have been approved.</w:t>
      </w:r>
      <w:r w:rsidRPr="004A3B08">
        <w:rPr>
          <w:rStyle w:val="FootnoteReference"/>
          <w:rFonts w:cs="Times New Roman"/>
          <w:sz w:val="28"/>
          <w:szCs w:val="28"/>
          <w:lang w:val="en-US"/>
        </w:rPr>
        <w:footnoteReference w:id="48"/>
      </w:r>
      <w:r w:rsidRPr="004A3B08">
        <w:rPr>
          <w:rFonts w:cs="Times New Roman"/>
          <w:sz w:val="28"/>
          <w:szCs w:val="28"/>
          <w:lang w:val="en-US"/>
        </w:rPr>
        <w:t xml:space="preserve"> </w:t>
      </w:r>
    </w:p>
    <w:p w14:paraId="0797B951" w14:textId="77777777" w:rsidR="00E54CC8" w:rsidRPr="004A3B08" w:rsidRDefault="00E54CC8" w:rsidP="00E54CC8">
      <w:pPr>
        <w:pStyle w:val="ListParagraph"/>
        <w:spacing w:line="360" w:lineRule="auto"/>
        <w:jc w:val="both"/>
        <w:rPr>
          <w:rFonts w:cs="Times New Roman"/>
          <w:sz w:val="28"/>
          <w:szCs w:val="28"/>
          <w:lang w:val="en-US"/>
        </w:rPr>
      </w:pPr>
    </w:p>
    <w:p w14:paraId="62AD07C7" w14:textId="77777777" w:rsidR="00E54CC8" w:rsidRPr="004A3B08" w:rsidRDefault="00E54CC8" w:rsidP="00E54CC8">
      <w:pPr>
        <w:pStyle w:val="ListParagraph"/>
        <w:spacing w:line="360" w:lineRule="auto"/>
        <w:jc w:val="both"/>
        <w:rPr>
          <w:rFonts w:cs="Times New Roman"/>
          <w:sz w:val="28"/>
          <w:szCs w:val="28"/>
          <w:lang w:val="en-US"/>
        </w:rPr>
      </w:pPr>
    </w:p>
    <w:p w14:paraId="231055B4" w14:textId="77777777" w:rsidR="00E54CC8" w:rsidRPr="00FC17F1" w:rsidRDefault="00E54CC8" w:rsidP="00FC17F1">
      <w:pPr>
        <w:spacing w:line="360" w:lineRule="auto"/>
        <w:jc w:val="both"/>
        <w:rPr>
          <w:rFonts w:cs="Times New Roman"/>
          <w:b/>
          <w:bCs/>
          <w:iCs/>
          <w:sz w:val="28"/>
          <w:szCs w:val="28"/>
          <w:lang w:val="en-US"/>
        </w:rPr>
      </w:pPr>
      <w:r w:rsidRPr="00FC17F1">
        <w:rPr>
          <w:rFonts w:cs="Times New Roman"/>
          <w:b/>
          <w:bCs/>
          <w:iCs/>
          <w:sz w:val="28"/>
          <w:szCs w:val="28"/>
          <w:lang w:val="en-US"/>
        </w:rPr>
        <w:t>Asylum seekers: Right to Housing</w:t>
      </w:r>
    </w:p>
    <w:p w14:paraId="44B4B042" w14:textId="3281D18B" w:rsidR="00E54CC8" w:rsidRPr="00FC17F1" w:rsidRDefault="00E54CC8" w:rsidP="00DA2390">
      <w:pPr>
        <w:pStyle w:val="ListParagraph"/>
        <w:numPr>
          <w:ilvl w:val="0"/>
          <w:numId w:val="10"/>
        </w:numPr>
        <w:spacing w:line="360" w:lineRule="auto"/>
        <w:jc w:val="both"/>
        <w:rPr>
          <w:rFonts w:cs="Times New Roman"/>
          <w:color w:val="000000" w:themeColor="text1"/>
          <w:sz w:val="28"/>
          <w:szCs w:val="28"/>
          <w:shd w:val="clear" w:color="auto" w:fill="FFFFFF"/>
        </w:rPr>
      </w:pPr>
      <w:r w:rsidRPr="00FC17F1">
        <w:rPr>
          <w:rFonts w:cs="Times New Roman"/>
          <w:color w:val="000000" w:themeColor="text1"/>
          <w:sz w:val="28"/>
          <w:szCs w:val="28"/>
          <w:shd w:val="clear" w:color="auto" w:fill="FFFFFF"/>
        </w:rPr>
        <w:t xml:space="preserve">Given the distressing background of asylum seekers and refugees, adequate settlement support is vital. Housing New Zealand generally only provides housing to residents. Any refugee seeking housing assistance must have a right to remain in the country. This effectively rules out the possibility of asylum seekers receiving such assistance. While asylum seekers are eligible for some government assistance, it is insufficient to cover the market rent of houses. </w:t>
      </w:r>
      <w:r w:rsidRPr="00FC17F1">
        <w:rPr>
          <w:rFonts w:cs="Times New Roman"/>
          <w:sz w:val="28"/>
          <w:szCs w:val="28"/>
          <w:lang w:val="en-US"/>
        </w:rPr>
        <w:t>Some asylum seekers who receive the emergency benefit may be eligible for assistance on a case-by-case basis. As of June 2014, the New Zealand government cut all funding to the Asylum Seekers Support Trust (formerly the Auckland Refugee Council) who provided Auckland’s only asylum seeker accommodation.</w:t>
      </w:r>
      <w:r w:rsidRPr="004A3B08">
        <w:rPr>
          <w:vertAlign w:val="superscript"/>
          <w:lang w:val="en-US"/>
        </w:rPr>
        <w:footnoteReference w:id="49"/>
      </w:r>
      <w:r w:rsidRPr="00FC17F1">
        <w:rPr>
          <w:rFonts w:cs="Times New Roman"/>
          <w:sz w:val="28"/>
          <w:szCs w:val="28"/>
          <w:lang w:val="en-US"/>
        </w:rPr>
        <w:t xml:space="preserve"> However, due to significant community support, the hostel has been able to remain open and has operated at full capacity.</w:t>
      </w:r>
      <w:r w:rsidRPr="004A3B08">
        <w:rPr>
          <w:vertAlign w:val="superscript"/>
          <w:lang w:val="en-US"/>
        </w:rPr>
        <w:footnoteReference w:id="50"/>
      </w:r>
      <w:r w:rsidRPr="00FC17F1">
        <w:rPr>
          <w:rFonts w:cs="Times New Roman"/>
          <w:sz w:val="28"/>
          <w:szCs w:val="28"/>
          <w:lang w:val="en-US"/>
        </w:rPr>
        <w:t xml:space="preserve"> </w:t>
      </w:r>
    </w:p>
    <w:p w14:paraId="62DAB3F5" w14:textId="77777777" w:rsidR="00E54CC8" w:rsidRPr="004A3B08" w:rsidRDefault="00E54CC8" w:rsidP="00E54CC8">
      <w:pPr>
        <w:pStyle w:val="ListParagraph"/>
        <w:spacing w:line="360" w:lineRule="auto"/>
        <w:jc w:val="both"/>
        <w:rPr>
          <w:rFonts w:cs="Times New Roman"/>
          <w:sz w:val="28"/>
          <w:szCs w:val="28"/>
          <w:lang w:val="en-US"/>
        </w:rPr>
      </w:pPr>
    </w:p>
    <w:p w14:paraId="7B36B1FD" w14:textId="46B83A55" w:rsidR="00E54CC8" w:rsidRPr="00FC17F1" w:rsidRDefault="00E54CC8"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 xml:space="preserve">It must be recognised first that the service provided by the Asylum Seekers Support Trust is limited. Secondly, asylum seekers are often destitute and traumatized, having had to flee and leave family behind.  It seems evident that there is a gap in support here because upon </w:t>
      </w:r>
      <w:r w:rsidRPr="00FC17F1">
        <w:rPr>
          <w:rFonts w:cs="Times New Roman"/>
          <w:sz w:val="28"/>
          <w:szCs w:val="28"/>
          <w:lang w:val="en-US"/>
        </w:rPr>
        <w:lastRenderedPageBreak/>
        <w:t>arrival, many are largely without assistance and unable to cover the market rent of a house.</w:t>
      </w:r>
      <w:r w:rsidRPr="004A3B08">
        <w:rPr>
          <w:vertAlign w:val="superscript"/>
          <w:lang w:val="en-US"/>
        </w:rPr>
        <w:footnoteReference w:id="51"/>
      </w:r>
      <w:r w:rsidRPr="00FC17F1">
        <w:rPr>
          <w:rFonts w:cs="Times New Roman"/>
          <w:sz w:val="28"/>
          <w:szCs w:val="28"/>
          <w:lang w:val="en-US"/>
        </w:rPr>
        <w:t xml:space="preserve"> </w:t>
      </w:r>
    </w:p>
    <w:p w14:paraId="7C573E01" w14:textId="77777777" w:rsidR="00E54CC8" w:rsidRPr="004A3B08" w:rsidRDefault="00E54CC8" w:rsidP="00E54CC8">
      <w:pPr>
        <w:pStyle w:val="ListParagraph"/>
        <w:spacing w:line="360" w:lineRule="auto"/>
        <w:jc w:val="both"/>
        <w:rPr>
          <w:rFonts w:cs="Times New Roman"/>
          <w:b/>
          <w:bCs/>
          <w:i/>
          <w:iCs/>
          <w:sz w:val="28"/>
          <w:szCs w:val="28"/>
          <w:lang w:val="en-US"/>
        </w:rPr>
      </w:pPr>
    </w:p>
    <w:p w14:paraId="39F29962" w14:textId="77777777" w:rsidR="00E54CC8" w:rsidRPr="00FC17F1" w:rsidRDefault="00E54CC8" w:rsidP="00FC17F1">
      <w:pPr>
        <w:spacing w:line="360" w:lineRule="auto"/>
        <w:jc w:val="both"/>
        <w:rPr>
          <w:rFonts w:cs="Times New Roman"/>
          <w:b/>
          <w:bCs/>
          <w:iCs/>
          <w:sz w:val="28"/>
          <w:szCs w:val="28"/>
          <w:lang w:val="en-US"/>
        </w:rPr>
      </w:pPr>
      <w:r w:rsidRPr="00FC17F1">
        <w:rPr>
          <w:rFonts w:cs="Times New Roman"/>
          <w:b/>
          <w:bCs/>
          <w:iCs/>
          <w:sz w:val="28"/>
          <w:szCs w:val="28"/>
          <w:lang w:val="en-US"/>
        </w:rPr>
        <w:t xml:space="preserve">Asylum seekers: Right to work </w:t>
      </w:r>
    </w:p>
    <w:p w14:paraId="2AF32988" w14:textId="512600D7" w:rsidR="00E54CC8" w:rsidRPr="00FC17F1" w:rsidRDefault="00E54CC8"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Asylum seekers are able to work as long as they have a valid work visa to remain in New Zealand. In order to be issued with a work visa, asylum seekers must demonstrate a need to work to support themselves in New Zealand while their claims are ongoing. Immigration New Zealand now issues work visas with a twelve-month validity to increase the incentive to employ asylum seekers, and improve job prospects.</w:t>
      </w:r>
      <w:r w:rsidRPr="004A3B08">
        <w:rPr>
          <w:vertAlign w:val="superscript"/>
          <w:lang w:val="en-US"/>
        </w:rPr>
        <w:footnoteReference w:id="52"/>
      </w:r>
      <w:r w:rsidRPr="00FC17F1">
        <w:rPr>
          <w:rFonts w:cs="Times New Roman"/>
          <w:sz w:val="28"/>
          <w:szCs w:val="28"/>
          <w:lang w:val="en-US"/>
        </w:rPr>
        <w:t xml:space="preserve"> </w:t>
      </w:r>
    </w:p>
    <w:p w14:paraId="4D8D1395" w14:textId="77777777" w:rsidR="00E54CC8" w:rsidRPr="004A3B08" w:rsidRDefault="00E54CC8" w:rsidP="00E54CC8">
      <w:pPr>
        <w:pStyle w:val="ListParagraph"/>
        <w:spacing w:line="360" w:lineRule="auto"/>
        <w:jc w:val="both"/>
        <w:rPr>
          <w:rFonts w:cs="Times New Roman"/>
          <w:sz w:val="28"/>
          <w:szCs w:val="28"/>
          <w:lang w:val="en-US"/>
        </w:rPr>
      </w:pPr>
    </w:p>
    <w:p w14:paraId="3835186A" w14:textId="2EB974FD" w:rsidR="00E54CC8" w:rsidRPr="00FC17F1" w:rsidRDefault="00E54CC8" w:rsidP="00DA2390">
      <w:pPr>
        <w:pStyle w:val="ListParagraph"/>
        <w:numPr>
          <w:ilvl w:val="0"/>
          <w:numId w:val="10"/>
        </w:numPr>
        <w:spacing w:line="360" w:lineRule="auto"/>
        <w:jc w:val="both"/>
        <w:rPr>
          <w:rFonts w:cs="Times New Roman"/>
          <w:sz w:val="28"/>
          <w:szCs w:val="28"/>
          <w:lang w:val="en-US"/>
        </w:rPr>
      </w:pPr>
      <w:r w:rsidRPr="00FC17F1">
        <w:rPr>
          <w:rFonts w:cs="Times New Roman"/>
          <w:color w:val="000000" w:themeColor="text1"/>
          <w:sz w:val="28"/>
          <w:szCs w:val="28"/>
          <w:shd w:val="clear" w:color="auto" w:fill="FFFFFF"/>
        </w:rPr>
        <w:t>However, those who are denied formal entry and not given a visa may be kept in hard detention (prison) if they are considered a security risk, in a “soft” form of detention at the Mangere Resettlement Camp (with curfew hours) or may be allowed into the community if they are sponsored. They are not given work visas and have to rely on the charity of their friends and the community.</w:t>
      </w:r>
      <w:r w:rsidRPr="00FC17F1">
        <w:rPr>
          <w:rFonts w:cs="Times New Roman"/>
          <w:sz w:val="28"/>
          <w:szCs w:val="28"/>
        </w:rPr>
        <w:t xml:space="preserve"> </w:t>
      </w:r>
      <w:r w:rsidRPr="00FC17F1">
        <w:rPr>
          <w:rFonts w:cs="Times New Roman"/>
          <w:color w:val="000000" w:themeColor="text1"/>
          <w:sz w:val="28"/>
          <w:szCs w:val="28"/>
          <w:shd w:val="clear" w:color="auto" w:fill="FFFFFF"/>
        </w:rPr>
        <w:t>Lack of employment and thus income increases the struggles of these convention refugee and complementary protection applicants. Asylum seekers lawfully in New Zealand may be eligible to receive Emergency Benefit or Temporary Additional Support where they have made an application for refugee status and are waiting for a decision (including a decision from the Immigration and Protection Tribunal).</w:t>
      </w:r>
    </w:p>
    <w:p w14:paraId="67F679D1" w14:textId="77777777" w:rsidR="00E54CC8" w:rsidRPr="004A3B08" w:rsidRDefault="00E54CC8" w:rsidP="00E54CC8">
      <w:pPr>
        <w:pStyle w:val="ListParagraph"/>
        <w:spacing w:line="360" w:lineRule="auto"/>
        <w:jc w:val="both"/>
        <w:rPr>
          <w:rFonts w:cs="Times New Roman"/>
          <w:sz w:val="28"/>
          <w:szCs w:val="28"/>
          <w:lang w:val="en-US"/>
        </w:rPr>
      </w:pPr>
    </w:p>
    <w:p w14:paraId="75AC228F" w14:textId="77777777" w:rsidR="00E54CC8" w:rsidRPr="00FC17F1" w:rsidRDefault="00E54CC8" w:rsidP="00FC17F1">
      <w:pPr>
        <w:spacing w:line="360" w:lineRule="auto"/>
        <w:jc w:val="both"/>
        <w:rPr>
          <w:rFonts w:cs="Times New Roman"/>
          <w:b/>
          <w:bCs/>
          <w:iCs/>
          <w:sz w:val="28"/>
          <w:szCs w:val="28"/>
          <w:lang w:val="en-US"/>
        </w:rPr>
      </w:pPr>
      <w:r w:rsidRPr="00FC17F1">
        <w:rPr>
          <w:rFonts w:cs="Times New Roman"/>
          <w:b/>
          <w:bCs/>
          <w:iCs/>
          <w:sz w:val="28"/>
          <w:szCs w:val="28"/>
          <w:lang w:val="en-US"/>
        </w:rPr>
        <w:t>Asylum seekers: Right to Physical and Mental Health</w:t>
      </w:r>
    </w:p>
    <w:p w14:paraId="67B6CDC5" w14:textId="21DFFB31" w:rsidR="00E54CC8" w:rsidRPr="004A3B08" w:rsidRDefault="00E54CC8" w:rsidP="00DA2390">
      <w:pPr>
        <w:pStyle w:val="ListParagraph"/>
        <w:numPr>
          <w:ilvl w:val="0"/>
          <w:numId w:val="10"/>
        </w:numPr>
        <w:spacing w:line="360" w:lineRule="auto"/>
        <w:jc w:val="both"/>
        <w:rPr>
          <w:rFonts w:cs="Times New Roman"/>
          <w:sz w:val="28"/>
          <w:szCs w:val="28"/>
          <w:lang w:val="en-US"/>
        </w:rPr>
      </w:pPr>
      <w:r w:rsidRPr="004A3B08">
        <w:rPr>
          <w:rFonts w:cs="Times New Roman"/>
          <w:sz w:val="28"/>
          <w:szCs w:val="28"/>
          <w:lang w:val="en-US"/>
        </w:rPr>
        <w:lastRenderedPageBreak/>
        <w:t xml:space="preserve">Both those individuals who have protection status and those who are in the process of having an application for refugee or protection status are eligible for publically provided health services upon presentation of an approval letter or receipt of claim letter from the RSB. </w:t>
      </w:r>
    </w:p>
    <w:p w14:paraId="6B00E84A" w14:textId="77777777" w:rsidR="00E54CC8" w:rsidRPr="004A3B08" w:rsidRDefault="00E54CC8" w:rsidP="00E54CC8">
      <w:pPr>
        <w:pStyle w:val="ListParagraph"/>
        <w:spacing w:line="360" w:lineRule="auto"/>
        <w:jc w:val="both"/>
        <w:rPr>
          <w:rFonts w:cs="Times New Roman"/>
          <w:sz w:val="28"/>
          <w:szCs w:val="28"/>
          <w:lang w:val="en-US"/>
        </w:rPr>
      </w:pPr>
    </w:p>
    <w:p w14:paraId="1CDC440A" w14:textId="61032DA8" w:rsidR="00E54CC8" w:rsidRPr="00FC17F1" w:rsidRDefault="00E54CC8" w:rsidP="00DA2390">
      <w:pPr>
        <w:pStyle w:val="ListParagraph"/>
        <w:numPr>
          <w:ilvl w:val="0"/>
          <w:numId w:val="10"/>
        </w:numPr>
        <w:spacing w:line="360" w:lineRule="auto"/>
        <w:jc w:val="both"/>
        <w:rPr>
          <w:rFonts w:cs="Times New Roman"/>
          <w:sz w:val="28"/>
          <w:szCs w:val="28"/>
          <w:lang w:val="en-US"/>
        </w:rPr>
      </w:pPr>
      <w:r w:rsidRPr="00FC17F1">
        <w:rPr>
          <w:rFonts w:cs="Times New Roman"/>
          <w:sz w:val="28"/>
          <w:szCs w:val="28"/>
          <w:lang w:val="en-US"/>
        </w:rPr>
        <w:t xml:space="preserve">However, in reality, accessing the care is difficult. It appears agencies working with asylum seekers, such as Refugees and Survivors New Zealand, lack the funding and support to help asylum seekers understand, access and use the health services they are entitled to. In addition, any benefits that could be gained by this care appear to be almost entirely negated by the conditions in which many asylum seekers find themselves upon arrival: already distressed, many are homeless or living in vulnerable situations with minimal financial means.  </w:t>
      </w:r>
    </w:p>
    <w:p w14:paraId="492AEF80" w14:textId="77777777" w:rsidR="00E54CC8" w:rsidRPr="004A3B08" w:rsidRDefault="00E54CC8" w:rsidP="00E54CC8">
      <w:pPr>
        <w:pStyle w:val="ListParagraph"/>
        <w:spacing w:line="360" w:lineRule="auto"/>
        <w:jc w:val="both"/>
        <w:rPr>
          <w:rFonts w:cs="Times New Roman"/>
          <w:sz w:val="28"/>
          <w:szCs w:val="28"/>
          <w:lang w:val="en-US"/>
        </w:rPr>
      </w:pPr>
    </w:p>
    <w:p w14:paraId="0F32E05D" w14:textId="02FE2074" w:rsidR="00E54CC8" w:rsidRPr="004A3B08" w:rsidRDefault="00E54CC8" w:rsidP="00DA2390">
      <w:pPr>
        <w:pStyle w:val="ListParagraph"/>
        <w:numPr>
          <w:ilvl w:val="0"/>
          <w:numId w:val="10"/>
        </w:numPr>
        <w:spacing w:line="360" w:lineRule="auto"/>
        <w:jc w:val="both"/>
        <w:rPr>
          <w:rFonts w:cs="Times New Roman"/>
          <w:sz w:val="28"/>
          <w:szCs w:val="28"/>
          <w:lang w:val="en-US"/>
        </w:rPr>
      </w:pPr>
      <w:r w:rsidRPr="004A3B08">
        <w:rPr>
          <w:rFonts w:cs="Times New Roman"/>
          <w:sz w:val="28"/>
          <w:szCs w:val="28"/>
          <w:lang w:val="en-US"/>
        </w:rPr>
        <w:t xml:space="preserve">Furthermore, asylum seekers must still register with local general practices and pay practice fees as any other residents would. This proves a barrier to accessing healthcare in addition to the language and cultural barriers refugees face. </w:t>
      </w:r>
    </w:p>
    <w:p w14:paraId="2DD6019D" w14:textId="77777777" w:rsidR="00E54CC8" w:rsidRPr="004A3B08" w:rsidRDefault="00E54CC8" w:rsidP="00E54CC8">
      <w:pPr>
        <w:pStyle w:val="ListParagraph"/>
        <w:spacing w:line="360" w:lineRule="auto"/>
        <w:ind w:left="360"/>
        <w:jc w:val="both"/>
        <w:rPr>
          <w:rFonts w:cs="Times New Roman"/>
          <w:sz w:val="28"/>
          <w:szCs w:val="28"/>
          <w:lang w:val="en-US"/>
        </w:rPr>
      </w:pPr>
    </w:p>
    <w:p w14:paraId="0608B5DC" w14:textId="23A4ACB0" w:rsidR="00E54CC8" w:rsidRDefault="00E54CC8">
      <w:pPr>
        <w:pStyle w:val="ListParagraph"/>
        <w:numPr>
          <w:ilvl w:val="0"/>
          <w:numId w:val="10"/>
        </w:numPr>
        <w:spacing w:line="360" w:lineRule="auto"/>
        <w:jc w:val="both"/>
        <w:rPr>
          <w:rFonts w:cs="Times New Roman"/>
          <w:sz w:val="28"/>
          <w:szCs w:val="28"/>
          <w:lang w:val="en-US"/>
        </w:rPr>
      </w:pPr>
      <w:r w:rsidRPr="004A3B08">
        <w:rPr>
          <w:rFonts w:cs="Times New Roman"/>
          <w:sz w:val="28"/>
          <w:szCs w:val="28"/>
          <w:lang w:val="en-US"/>
        </w:rPr>
        <w:t xml:space="preserve">The Operational Manual has policies regarding people trafficking, however there it is difficult for victims to access this information. Suspected victims of people trafficking may be issued a special work visa if the New Zealand Police or Immigration New Zealand determine it is necessary for the person to remain in New Zealand, the person has not obstructed an investigation, and if an immigration officer determines that the person has personal circumstances justifying the grant of a work visa. This policy leaves victims of people trafficking vulnerable, as they face a risk of being deported upon reporting to the </w:t>
      </w:r>
      <w:r w:rsidRPr="004A3B08">
        <w:rPr>
          <w:rFonts w:cs="Times New Roman"/>
          <w:sz w:val="28"/>
          <w:szCs w:val="28"/>
          <w:lang w:val="en-US"/>
        </w:rPr>
        <w:lastRenderedPageBreak/>
        <w:t>authorities if their account is not accepted or if the authorities decide the grant of a work visa is not warranted.</w:t>
      </w:r>
      <w:r w:rsidRPr="004A3B08">
        <w:rPr>
          <w:rStyle w:val="FootnoteReference"/>
          <w:rFonts w:cs="Times New Roman"/>
          <w:sz w:val="28"/>
          <w:szCs w:val="28"/>
          <w:lang w:val="en-US"/>
        </w:rPr>
        <w:footnoteReference w:id="53"/>
      </w:r>
      <w:r w:rsidRPr="004A3B08">
        <w:rPr>
          <w:rFonts w:cs="Times New Roman"/>
          <w:sz w:val="28"/>
          <w:szCs w:val="28"/>
          <w:lang w:val="en-US"/>
        </w:rPr>
        <w:t xml:space="preserve"> Many victims may therefore choose not to report offending, for fear of facing compliance action by Immigration New Zealand.</w:t>
      </w:r>
    </w:p>
    <w:p w14:paraId="1E9E041E" w14:textId="77777777" w:rsidR="00822E85" w:rsidRPr="00DA2390" w:rsidRDefault="00822E85" w:rsidP="00DA2390">
      <w:pPr>
        <w:pStyle w:val="ListParagraph"/>
        <w:rPr>
          <w:rFonts w:cs="Times New Roman"/>
          <w:sz w:val="28"/>
          <w:szCs w:val="28"/>
          <w:lang w:val="en-US"/>
        </w:rPr>
      </w:pPr>
    </w:p>
    <w:p w14:paraId="7F81AFA1" w14:textId="70D72513" w:rsidR="00822E85" w:rsidRDefault="00B85A64" w:rsidP="00B85A64">
      <w:pPr>
        <w:spacing w:line="360" w:lineRule="auto"/>
        <w:jc w:val="both"/>
        <w:rPr>
          <w:rFonts w:cs="Times New Roman"/>
          <w:b/>
          <w:sz w:val="28"/>
          <w:szCs w:val="28"/>
          <w:lang w:val="en-US"/>
        </w:rPr>
      </w:pPr>
      <w:r>
        <w:rPr>
          <w:rFonts w:cs="Times New Roman"/>
          <w:b/>
          <w:sz w:val="28"/>
          <w:szCs w:val="28"/>
          <w:lang w:val="en-US"/>
        </w:rPr>
        <w:t>Recommendations</w:t>
      </w:r>
      <w:r>
        <w:rPr>
          <w:rFonts w:cs="Times New Roman"/>
          <w:b/>
          <w:sz w:val="28"/>
          <w:szCs w:val="28"/>
          <w:lang w:val="en-US"/>
        </w:rPr>
        <w:tab/>
      </w:r>
    </w:p>
    <w:p w14:paraId="2F1C6EE5" w14:textId="77777777" w:rsidR="00B85A64" w:rsidRDefault="00B85A64" w:rsidP="00B85A64">
      <w:pPr>
        <w:spacing w:line="360" w:lineRule="auto"/>
        <w:jc w:val="both"/>
        <w:rPr>
          <w:rFonts w:cs="Times New Roman"/>
          <w:b/>
          <w:sz w:val="28"/>
          <w:szCs w:val="28"/>
          <w:lang w:val="en-US"/>
        </w:rPr>
      </w:pPr>
    </w:p>
    <w:p w14:paraId="17E59E18" w14:textId="39B49F59" w:rsidR="00B85A64" w:rsidRDefault="009D515F" w:rsidP="00B85A64">
      <w:pPr>
        <w:pStyle w:val="ListParagraph"/>
        <w:numPr>
          <w:ilvl w:val="0"/>
          <w:numId w:val="10"/>
        </w:numPr>
        <w:spacing w:line="360" w:lineRule="auto"/>
        <w:jc w:val="both"/>
        <w:rPr>
          <w:rFonts w:eastAsia="SimSun" w:cs="Times New Roman"/>
          <w:b/>
          <w:sz w:val="28"/>
          <w:szCs w:val="28"/>
        </w:rPr>
      </w:pPr>
      <w:r>
        <w:rPr>
          <w:rFonts w:eastAsia="SimSun" w:cs="Times New Roman"/>
          <w:b/>
          <w:sz w:val="28"/>
          <w:szCs w:val="28"/>
        </w:rPr>
        <w:t xml:space="preserve">The HRF recommends that the Committee request a report as to the </w:t>
      </w:r>
      <w:r w:rsidR="008B7AD4">
        <w:rPr>
          <w:rFonts w:eastAsia="SimSun" w:cs="Times New Roman"/>
          <w:b/>
          <w:sz w:val="28"/>
          <w:szCs w:val="28"/>
        </w:rPr>
        <w:t>governments’</w:t>
      </w:r>
      <w:r>
        <w:rPr>
          <w:rFonts w:eastAsia="SimSun" w:cs="Times New Roman"/>
          <w:b/>
          <w:sz w:val="28"/>
          <w:szCs w:val="28"/>
        </w:rPr>
        <w:t xml:space="preserve"> intentions as regards to increasing the refugee quota.</w:t>
      </w:r>
    </w:p>
    <w:p w14:paraId="7238392B" w14:textId="77777777" w:rsidR="009D515F" w:rsidRDefault="009D515F" w:rsidP="009D515F">
      <w:pPr>
        <w:pStyle w:val="ListParagraph"/>
        <w:spacing w:line="360" w:lineRule="auto"/>
        <w:ind w:left="990"/>
        <w:jc w:val="both"/>
        <w:rPr>
          <w:rFonts w:eastAsia="SimSun" w:cs="Times New Roman"/>
          <w:b/>
          <w:sz w:val="28"/>
          <w:szCs w:val="28"/>
        </w:rPr>
      </w:pPr>
    </w:p>
    <w:p w14:paraId="67E00BB4" w14:textId="2CF7A38A" w:rsidR="00B85A64" w:rsidRPr="00B85A64" w:rsidRDefault="00B85A64" w:rsidP="00B85A64">
      <w:pPr>
        <w:pStyle w:val="ListParagraph"/>
        <w:numPr>
          <w:ilvl w:val="0"/>
          <w:numId w:val="10"/>
        </w:numPr>
        <w:spacing w:line="360" w:lineRule="auto"/>
        <w:jc w:val="both"/>
        <w:rPr>
          <w:rFonts w:eastAsia="SimSun" w:cs="Times New Roman"/>
          <w:b/>
          <w:sz w:val="28"/>
          <w:szCs w:val="28"/>
        </w:rPr>
      </w:pPr>
      <w:r w:rsidRPr="00B85A64">
        <w:rPr>
          <w:rFonts w:eastAsia="SimSun" w:cs="Times New Roman"/>
          <w:b/>
          <w:sz w:val="28"/>
          <w:szCs w:val="28"/>
        </w:rPr>
        <w:t>The HRF recommends that the Committee request an interim report on measures undertaken to address the difficulties of refugees in accessing ESC rights.</w:t>
      </w:r>
    </w:p>
    <w:p w14:paraId="192DEC28" w14:textId="77777777" w:rsidR="00B85A64" w:rsidRDefault="00B85A64" w:rsidP="00B85A64">
      <w:pPr>
        <w:pStyle w:val="ListParagraph"/>
        <w:spacing w:line="360" w:lineRule="auto"/>
        <w:ind w:left="810"/>
        <w:jc w:val="both"/>
        <w:rPr>
          <w:rFonts w:eastAsia="SimSun" w:cs="Times New Roman"/>
          <w:b/>
          <w:sz w:val="28"/>
          <w:szCs w:val="28"/>
        </w:rPr>
      </w:pPr>
    </w:p>
    <w:p w14:paraId="11C9865D" w14:textId="77777777" w:rsidR="00B85A64" w:rsidRDefault="00B85A64" w:rsidP="00B85A64">
      <w:pPr>
        <w:pStyle w:val="ListParagraph"/>
        <w:numPr>
          <w:ilvl w:val="0"/>
          <w:numId w:val="10"/>
        </w:numPr>
        <w:spacing w:line="360" w:lineRule="auto"/>
        <w:jc w:val="both"/>
        <w:rPr>
          <w:rFonts w:eastAsia="SimSun" w:cs="Times New Roman"/>
          <w:b/>
          <w:sz w:val="28"/>
          <w:szCs w:val="28"/>
        </w:rPr>
      </w:pPr>
      <w:r>
        <w:rPr>
          <w:rFonts w:eastAsia="SimSun" w:cs="Times New Roman"/>
          <w:b/>
          <w:sz w:val="28"/>
          <w:szCs w:val="28"/>
        </w:rPr>
        <w:t>The HRF recommends that the Committee request a report as to measures taken to address barriers preventing asylum seekers from accessing ESC rights</w:t>
      </w:r>
    </w:p>
    <w:p w14:paraId="1E66A21E" w14:textId="77777777" w:rsidR="008B7AD4" w:rsidRPr="008B7AD4" w:rsidRDefault="008B7AD4" w:rsidP="008B7AD4">
      <w:pPr>
        <w:pStyle w:val="ListParagraph"/>
        <w:rPr>
          <w:rFonts w:eastAsia="SimSun" w:cs="Times New Roman"/>
          <w:b/>
          <w:sz w:val="28"/>
          <w:szCs w:val="28"/>
        </w:rPr>
      </w:pPr>
    </w:p>
    <w:p w14:paraId="53DB037A" w14:textId="680A5B60" w:rsidR="008B7AD4" w:rsidRPr="008B7AD4" w:rsidRDefault="008B7AD4" w:rsidP="008B7AD4">
      <w:pPr>
        <w:pStyle w:val="ListParagraph"/>
        <w:numPr>
          <w:ilvl w:val="0"/>
          <w:numId w:val="10"/>
        </w:numPr>
        <w:spacing w:line="360" w:lineRule="auto"/>
        <w:jc w:val="both"/>
        <w:rPr>
          <w:rFonts w:eastAsia="SimSun" w:cs="Times New Roman"/>
          <w:b/>
          <w:sz w:val="28"/>
          <w:szCs w:val="28"/>
        </w:rPr>
      </w:pPr>
      <w:r w:rsidRPr="008B7AD4">
        <w:rPr>
          <w:rFonts w:eastAsia="SimSun" w:cs="Times New Roman"/>
          <w:b/>
          <w:sz w:val="28"/>
          <w:szCs w:val="28"/>
        </w:rPr>
        <w:t>The HRF recommends that the Committee ​encourage the New Zealand Government to support or adopt measures to ensure that all refugee claimants have the right to work in New Zealand while their claims for refugee and protected person status are being determined.</w:t>
      </w:r>
    </w:p>
    <w:p w14:paraId="1421490C" w14:textId="77777777" w:rsidR="008B7AD4" w:rsidRPr="008B7AD4" w:rsidRDefault="008B7AD4" w:rsidP="008B7AD4">
      <w:pPr>
        <w:spacing w:line="360" w:lineRule="auto"/>
        <w:ind w:left="630"/>
        <w:jc w:val="both"/>
        <w:rPr>
          <w:rFonts w:eastAsia="SimSun" w:cs="Times New Roman"/>
          <w:b/>
          <w:sz w:val="28"/>
          <w:szCs w:val="28"/>
        </w:rPr>
      </w:pPr>
    </w:p>
    <w:p w14:paraId="700463E2" w14:textId="24E03E0B" w:rsidR="008B7AD4" w:rsidRDefault="008B7AD4" w:rsidP="008B7AD4">
      <w:pPr>
        <w:pStyle w:val="ListParagraph"/>
        <w:numPr>
          <w:ilvl w:val="0"/>
          <w:numId w:val="10"/>
        </w:numPr>
        <w:spacing w:line="360" w:lineRule="auto"/>
        <w:jc w:val="both"/>
        <w:rPr>
          <w:rFonts w:eastAsia="SimSun" w:cs="Times New Roman"/>
          <w:b/>
          <w:sz w:val="28"/>
          <w:szCs w:val="28"/>
        </w:rPr>
      </w:pPr>
      <w:r w:rsidRPr="008B7AD4">
        <w:rPr>
          <w:rFonts w:eastAsia="SimSun" w:cs="Times New Roman"/>
          <w:b/>
          <w:sz w:val="28"/>
          <w:szCs w:val="28"/>
        </w:rPr>
        <w:t xml:space="preserve">The HRF recommends that the Committee ​encourage the New Zealand Government to support or adopt measures to ensure that all refugee claimants have meaningful access to healthcare </w:t>
      </w:r>
      <w:r w:rsidRPr="008B7AD4">
        <w:rPr>
          <w:rFonts w:eastAsia="SimSun" w:cs="Times New Roman"/>
          <w:b/>
          <w:sz w:val="28"/>
          <w:szCs w:val="28"/>
        </w:rPr>
        <w:lastRenderedPageBreak/>
        <w:t>services, including mental health services, and support for torture and trauma by qualified professionals.</w:t>
      </w:r>
    </w:p>
    <w:p w14:paraId="47685433" w14:textId="77777777" w:rsidR="008B7AD4" w:rsidRPr="008B7AD4" w:rsidRDefault="008B7AD4" w:rsidP="008B7AD4">
      <w:pPr>
        <w:spacing w:line="360" w:lineRule="auto"/>
        <w:jc w:val="both"/>
        <w:rPr>
          <w:rFonts w:eastAsia="SimSun" w:cs="Times New Roman"/>
          <w:b/>
          <w:sz w:val="28"/>
          <w:szCs w:val="28"/>
        </w:rPr>
      </w:pPr>
    </w:p>
    <w:p w14:paraId="6151E90E" w14:textId="002FDE1B" w:rsidR="008B7AD4" w:rsidRPr="00DA2390" w:rsidRDefault="008B7AD4" w:rsidP="008B7AD4">
      <w:pPr>
        <w:pStyle w:val="ListParagraph"/>
        <w:numPr>
          <w:ilvl w:val="0"/>
          <w:numId w:val="10"/>
        </w:numPr>
        <w:spacing w:line="360" w:lineRule="auto"/>
        <w:jc w:val="both"/>
        <w:rPr>
          <w:rFonts w:eastAsia="SimSun" w:cs="Times New Roman"/>
          <w:b/>
          <w:sz w:val="28"/>
          <w:szCs w:val="28"/>
        </w:rPr>
      </w:pPr>
      <w:r>
        <w:rPr>
          <w:rFonts w:eastAsia="SimSun" w:cs="Times New Roman"/>
          <w:b/>
          <w:sz w:val="28"/>
          <w:szCs w:val="28"/>
        </w:rPr>
        <w:t xml:space="preserve">As per the HRF report to the Committee in 2012 we reiterate our recommendation that </w:t>
      </w:r>
      <w:r w:rsidRPr="008B7AD4">
        <w:rPr>
          <w:rFonts w:eastAsia="SimSun" w:cs="Times New Roman"/>
          <w:b/>
          <w:sz w:val="28"/>
          <w:szCs w:val="28"/>
        </w:rPr>
        <w:t>the New Zealand Government amend the current laws to allow refugee and​ ​protection applicants who have attained permanent residency to be eligible​ ​immediately for Housing New Zealand accommodation upon receipt of refugee​ ​status​.​</w:t>
      </w:r>
    </w:p>
    <w:p w14:paraId="04468FF4" w14:textId="77777777" w:rsidR="0033698B" w:rsidRDefault="0033698B" w:rsidP="00FC17F1">
      <w:pPr>
        <w:rPr>
          <w:b/>
          <w:bCs/>
          <w:color w:val="000000" w:themeColor="text1"/>
        </w:rPr>
      </w:pPr>
    </w:p>
    <w:p w14:paraId="11DEA208" w14:textId="78E36047" w:rsidR="00E747A2" w:rsidRDefault="0033698B" w:rsidP="00FC17F1">
      <w:pPr>
        <w:spacing w:line="360" w:lineRule="auto"/>
        <w:jc w:val="both"/>
        <w:rPr>
          <w:rFonts w:cs="Times New Roman"/>
          <w:b/>
          <w:bCs/>
          <w:color w:val="000000" w:themeColor="text1"/>
          <w:sz w:val="28"/>
          <w:szCs w:val="28"/>
          <w:lang w:val="en-US"/>
        </w:rPr>
      </w:pPr>
      <w:r w:rsidRPr="0033698B">
        <w:rPr>
          <w:rFonts w:cs="Times New Roman"/>
          <w:b/>
          <w:bCs/>
          <w:color w:val="000000" w:themeColor="text1"/>
          <w:sz w:val="28"/>
          <w:szCs w:val="28"/>
        </w:rPr>
        <w:t xml:space="preserve"> Article 2(2):</w:t>
      </w:r>
      <w:r w:rsidR="0063011E">
        <w:rPr>
          <w:rFonts w:cs="Times New Roman"/>
          <w:b/>
          <w:bCs/>
          <w:color w:val="000000" w:themeColor="text1"/>
          <w:sz w:val="28"/>
          <w:szCs w:val="28"/>
        </w:rPr>
        <w:t xml:space="preserve"> an additional issue:</w:t>
      </w:r>
      <w:r w:rsidRPr="0033698B">
        <w:rPr>
          <w:rFonts w:cs="Times New Roman"/>
          <w:b/>
          <w:bCs/>
          <w:color w:val="000000" w:themeColor="text1"/>
          <w:sz w:val="28"/>
          <w:szCs w:val="28"/>
        </w:rPr>
        <w:t xml:space="preserve"> the Rights of Older </w:t>
      </w:r>
      <w:r w:rsidR="003F2110" w:rsidRPr="0033698B">
        <w:rPr>
          <w:rFonts w:cs="Times New Roman"/>
          <w:b/>
          <w:bCs/>
          <w:color w:val="000000" w:themeColor="text1"/>
          <w:sz w:val="28"/>
          <w:szCs w:val="28"/>
        </w:rPr>
        <w:t>Persons</w:t>
      </w:r>
      <w:r w:rsidR="003F2110">
        <w:rPr>
          <w:rFonts w:cs="Times New Roman"/>
          <w:b/>
          <w:bCs/>
          <w:color w:val="000000" w:themeColor="text1"/>
          <w:sz w:val="28"/>
          <w:szCs w:val="28"/>
        </w:rPr>
        <w:t xml:space="preserve">. </w:t>
      </w:r>
      <w:r w:rsidR="00E747A2" w:rsidRPr="00C37B4D">
        <w:rPr>
          <w:rFonts w:cs="Times New Roman"/>
          <w:b/>
          <w:bCs/>
          <w:color w:val="000000" w:themeColor="text1"/>
          <w:sz w:val="28"/>
          <w:szCs w:val="28"/>
          <w:lang w:val="en-US"/>
        </w:rPr>
        <w:t xml:space="preserve">Problems and challenges </w:t>
      </w:r>
      <w:r w:rsidR="00E747A2">
        <w:rPr>
          <w:rFonts w:cs="Times New Roman"/>
          <w:b/>
          <w:bCs/>
          <w:color w:val="000000" w:themeColor="text1"/>
          <w:sz w:val="28"/>
          <w:szCs w:val="28"/>
          <w:lang w:val="en-US"/>
        </w:rPr>
        <w:t xml:space="preserve">that are having an </w:t>
      </w:r>
      <w:r w:rsidR="00E747A2" w:rsidRPr="00C37B4D">
        <w:rPr>
          <w:rFonts w:cs="Times New Roman"/>
          <w:b/>
          <w:bCs/>
          <w:color w:val="000000" w:themeColor="text1"/>
          <w:sz w:val="28"/>
          <w:szCs w:val="28"/>
          <w:lang w:val="en-US"/>
        </w:rPr>
        <w:t>impact</w:t>
      </w:r>
      <w:r w:rsidR="00E747A2">
        <w:rPr>
          <w:rFonts w:cs="Times New Roman"/>
          <w:b/>
          <w:bCs/>
          <w:color w:val="000000" w:themeColor="text1"/>
          <w:sz w:val="28"/>
          <w:szCs w:val="28"/>
          <w:lang w:val="en-US"/>
        </w:rPr>
        <w:t xml:space="preserve"> on</w:t>
      </w:r>
      <w:r w:rsidR="00E747A2" w:rsidRPr="00C37B4D">
        <w:rPr>
          <w:rFonts w:cs="Times New Roman"/>
          <w:b/>
          <w:bCs/>
          <w:color w:val="000000" w:themeColor="text1"/>
          <w:sz w:val="28"/>
          <w:szCs w:val="28"/>
          <w:lang w:val="en-US"/>
        </w:rPr>
        <w:t xml:space="preserve"> the ESC rights of older New Zealanders</w:t>
      </w:r>
    </w:p>
    <w:p w14:paraId="676FF0F3" w14:textId="77777777" w:rsidR="0033698B" w:rsidRDefault="0033698B" w:rsidP="00FC17F1">
      <w:pPr>
        <w:pStyle w:val="ListParagraph"/>
        <w:spacing w:line="360" w:lineRule="auto"/>
        <w:ind w:left="360"/>
        <w:jc w:val="both"/>
        <w:rPr>
          <w:rFonts w:cs="Times New Roman"/>
          <w:sz w:val="28"/>
          <w:szCs w:val="28"/>
          <w:lang w:val="en-US"/>
        </w:rPr>
      </w:pPr>
    </w:p>
    <w:p w14:paraId="6543C428" w14:textId="45F1892A" w:rsidR="00AE2309" w:rsidRPr="00AE2309" w:rsidRDefault="00AE2309" w:rsidP="00DA2390">
      <w:pPr>
        <w:pStyle w:val="ListParagraph"/>
        <w:numPr>
          <w:ilvl w:val="0"/>
          <w:numId w:val="10"/>
        </w:numPr>
        <w:spacing w:line="360" w:lineRule="auto"/>
        <w:jc w:val="both"/>
        <w:rPr>
          <w:rFonts w:cs="Times New Roman"/>
          <w:bCs/>
          <w:color w:val="000000" w:themeColor="text1"/>
          <w:sz w:val="28"/>
          <w:szCs w:val="28"/>
          <w:lang w:val="en-US"/>
        </w:rPr>
      </w:pPr>
      <w:r w:rsidRPr="00AE2309">
        <w:rPr>
          <w:rFonts w:cs="Times New Roman"/>
          <w:bCs/>
          <w:color w:val="000000" w:themeColor="text1"/>
          <w:sz w:val="28"/>
          <w:szCs w:val="28"/>
          <w:lang w:val="en-US"/>
        </w:rPr>
        <w:t xml:space="preserve">It is </w:t>
      </w:r>
      <w:r w:rsidR="003F2110" w:rsidRPr="00AE2309">
        <w:rPr>
          <w:rFonts w:cs="Times New Roman"/>
          <w:bCs/>
          <w:color w:val="000000" w:themeColor="text1"/>
          <w:sz w:val="28"/>
          <w:szCs w:val="28"/>
          <w:lang w:val="en-US"/>
        </w:rPr>
        <w:t>well known</w:t>
      </w:r>
      <w:r w:rsidRPr="00AE2309">
        <w:rPr>
          <w:rFonts w:cs="Times New Roman"/>
          <w:bCs/>
          <w:color w:val="000000" w:themeColor="text1"/>
          <w:sz w:val="28"/>
          <w:szCs w:val="28"/>
          <w:lang w:val="en-US"/>
        </w:rPr>
        <w:t xml:space="preserve"> that the number of New Zealanders living past the age of 65 is growing and will continue to grow over the coming years. Statistics New Zealand has made long term projections for New Zealand’s ageing population, in particular about increasing numbers and proportions of the population at the older ages (details are set out in the Appendix) and that population growth will slow as New Zealand’s population ages and the gap between the number of births and deaths narrows. These trends require the New Zealand Government to take comprehensive and proactive measures to deal with the many current and ongoing problems and challenges that result from the increasing number of New Zealanders living to and advanced age as well as ensuring that their ESC rights are fully recognised and protected.</w:t>
      </w:r>
    </w:p>
    <w:p w14:paraId="5FF46AF0" w14:textId="7C183EAB" w:rsidR="00EE0F7A" w:rsidRPr="00FC17F1" w:rsidRDefault="00EE0F7A" w:rsidP="00FC17F1">
      <w:pPr>
        <w:spacing w:line="360" w:lineRule="auto"/>
        <w:jc w:val="both"/>
        <w:rPr>
          <w:sz w:val="28"/>
          <w:szCs w:val="28"/>
          <w:lang w:val="en-US"/>
        </w:rPr>
      </w:pPr>
    </w:p>
    <w:p w14:paraId="5DCF71F2" w14:textId="49291B3C" w:rsidR="0063011E" w:rsidRDefault="008B3BED" w:rsidP="00DA2390">
      <w:pPr>
        <w:pStyle w:val="ListParagraph"/>
        <w:numPr>
          <w:ilvl w:val="0"/>
          <w:numId w:val="10"/>
        </w:numPr>
        <w:spacing w:line="360" w:lineRule="auto"/>
        <w:jc w:val="both"/>
        <w:rPr>
          <w:rFonts w:cs="Times New Roman"/>
          <w:bCs/>
          <w:color w:val="000000" w:themeColor="text1"/>
          <w:sz w:val="28"/>
          <w:szCs w:val="28"/>
          <w:lang w:val="en-US"/>
        </w:rPr>
      </w:pPr>
      <w:r w:rsidRPr="00FC17F1">
        <w:rPr>
          <w:rFonts w:cs="Times New Roman"/>
          <w:bCs/>
          <w:color w:val="000000" w:themeColor="text1"/>
          <w:sz w:val="28"/>
          <w:szCs w:val="28"/>
          <w:lang w:val="en-US"/>
        </w:rPr>
        <w:lastRenderedPageBreak/>
        <w:t xml:space="preserve"> Th</w:t>
      </w:r>
      <w:r w:rsidR="00EE0F7A" w:rsidRPr="00E9217F">
        <w:rPr>
          <w:rFonts w:cs="Times New Roman"/>
          <w:bCs/>
          <w:color w:val="000000" w:themeColor="text1"/>
          <w:sz w:val="28"/>
          <w:szCs w:val="28"/>
          <w:lang w:val="en-US"/>
        </w:rPr>
        <w:t>e Appendix sets out a number of</w:t>
      </w:r>
      <w:r w:rsidRPr="00FC17F1">
        <w:rPr>
          <w:rFonts w:cs="Times New Roman"/>
          <w:bCs/>
          <w:color w:val="000000" w:themeColor="text1"/>
          <w:sz w:val="28"/>
          <w:szCs w:val="28"/>
          <w:lang w:val="en-US"/>
        </w:rPr>
        <w:t xml:space="preserve"> problems and challenges </w:t>
      </w:r>
      <w:r w:rsidR="00EE0F7A" w:rsidRPr="00E9217F">
        <w:rPr>
          <w:rFonts w:cs="Times New Roman"/>
          <w:bCs/>
          <w:color w:val="000000" w:themeColor="text1"/>
          <w:sz w:val="28"/>
          <w:szCs w:val="28"/>
          <w:lang w:val="en-US"/>
        </w:rPr>
        <w:t xml:space="preserve">that face older New Zealanders. These </w:t>
      </w:r>
      <w:r w:rsidRPr="00FC17F1">
        <w:rPr>
          <w:rFonts w:cs="Times New Roman"/>
          <w:bCs/>
          <w:color w:val="000000" w:themeColor="text1"/>
          <w:sz w:val="28"/>
          <w:szCs w:val="28"/>
          <w:lang w:val="en-US"/>
        </w:rPr>
        <w:t>include: age discrimination, elder abuse, some pensioners experiencing financial hardship, barriers preventing older people from ascertaining the social security assistance to which they are potentially entitled, and the impact on the right to health of older people stemming from the manipulation by successive Governments of the waiting lists for operations and medical treatment.</w:t>
      </w:r>
      <w:r w:rsidR="00E9217F" w:rsidRPr="00E9217F">
        <w:rPr>
          <w:rFonts w:cs="Times New Roman"/>
          <w:bCs/>
          <w:color w:val="000000" w:themeColor="text1"/>
          <w:sz w:val="28"/>
          <w:szCs w:val="28"/>
          <w:lang w:val="en-US"/>
        </w:rPr>
        <w:t xml:space="preserve"> These issues involve New Zealand’s</w:t>
      </w:r>
      <w:r w:rsidR="00E747A2" w:rsidRPr="00E9217F">
        <w:rPr>
          <w:rFonts w:cs="Times New Roman"/>
          <w:bCs/>
          <w:color w:val="000000" w:themeColor="text1"/>
          <w:sz w:val="28"/>
          <w:szCs w:val="28"/>
          <w:lang w:val="en-US"/>
        </w:rPr>
        <w:t xml:space="preserve"> obligations under Article</w:t>
      </w:r>
      <w:r w:rsidR="00DE510E" w:rsidRPr="00E9217F">
        <w:rPr>
          <w:rFonts w:cs="Times New Roman"/>
          <w:bCs/>
          <w:color w:val="000000" w:themeColor="text1"/>
          <w:sz w:val="28"/>
          <w:szCs w:val="28"/>
          <w:lang w:val="en-US"/>
        </w:rPr>
        <w:t xml:space="preserve"> 11- the right to an adequate standard of living; Article 9 - barriers preventing some older people from easily accessing information about supplementary benefits; Article 12 - issues having an impact on older peoples’ right to health and the provision of the necessaries of life; Article 12 - hospital waiting lists and older people</w:t>
      </w:r>
      <w:r w:rsidR="00E9217F" w:rsidRPr="00E9217F">
        <w:rPr>
          <w:rFonts w:cs="Times New Roman"/>
          <w:bCs/>
          <w:color w:val="000000" w:themeColor="text1"/>
          <w:sz w:val="28"/>
          <w:szCs w:val="28"/>
          <w:lang w:val="en-US"/>
        </w:rPr>
        <w:t>; Article 9 - Barriers obstructing some older people from easily accessing information about supplementary benefits</w:t>
      </w:r>
      <w:r w:rsidR="00E9217F">
        <w:rPr>
          <w:rFonts w:cs="Times New Roman"/>
          <w:bCs/>
          <w:color w:val="000000" w:themeColor="text1"/>
          <w:sz w:val="28"/>
          <w:szCs w:val="28"/>
          <w:lang w:val="en-US"/>
        </w:rPr>
        <w:t>,</w:t>
      </w:r>
      <w:r w:rsidR="00E9217F" w:rsidRPr="00E9217F">
        <w:rPr>
          <w:rFonts w:cs="Times New Roman"/>
          <w:bCs/>
          <w:color w:val="000000" w:themeColor="text1"/>
          <w:sz w:val="28"/>
          <w:szCs w:val="28"/>
          <w:lang w:val="en-US"/>
        </w:rPr>
        <w:t xml:space="preserve"> and </w:t>
      </w:r>
      <w:r w:rsidR="00E9217F">
        <w:rPr>
          <w:rFonts w:cs="Times New Roman"/>
          <w:bCs/>
          <w:color w:val="000000" w:themeColor="text1"/>
          <w:sz w:val="28"/>
          <w:szCs w:val="28"/>
          <w:lang w:val="en-US"/>
        </w:rPr>
        <w:t>p</w:t>
      </w:r>
      <w:r w:rsidR="00DE510E" w:rsidRPr="00E9217F">
        <w:rPr>
          <w:rFonts w:cs="Times New Roman"/>
          <w:bCs/>
          <w:color w:val="000000" w:themeColor="text1"/>
          <w:sz w:val="28"/>
          <w:szCs w:val="28"/>
          <w:lang w:val="en-US"/>
        </w:rPr>
        <w:t>ensioners in financial hardship</w:t>
      </w:r>
      <w:r w:rsidR="00E9217F">
        <w:rPr>
          <w:rFonts w:cs="Times New Roman"/>
          <w:bCs/>
          <w:color w:val="000000" w:themeColor="text1"/>
          <w:sz w:val="28"/>
          <w:szCs w:val="28"/>
          <w:lang w:val="en-US"/>
        </w:rPr>
        <w:t>.</w:t>
      </w:r>
    </w:p>
    <w:p w14:paraId="4A52ADC8" w14:textId="77777777" w:rsidR="00AE2309" w:rsidRDefault="00AE2309" w:rsidP="00FC17F1">
      <w:pPr>
        <w:pStyle w:val="ListParagraph"/>
        <w:spacing w:line="360" w:lineRule="auto"/>
        <w:ind w:left="810"/>
        <w:jc w:val="both"/>
        <w:rPr>
          <w:rFonts w:cs="Times New Roman"/>
          <w:bCs/>
          <w:color w:val="000000" w:themeColor="text1"/>
          <w:sz w:val="28"/>
          <w:szCs w:val="28"/>
          <w:lang w:val="en-US"/>
        </w:rPr>
      </w:pPr>
    </w:p>
    <w:p w14:paraId="7A886EBE" w14:textId="77777777" w:rsidR="00AE2309" w:rsidRPr="00000C93" w:rsidRDefault="00AE2309" w:rsidP="00DA2390">
      <w:pPr>
        <w:pStyle w:val="ListParagraph"/>
        <w:numPr>
          <w:ilvl w:val="0"/>
          <w:numId w:val="10"/>
        </w:numPr>
        <w:spacing w:line="360" w:lineRule="auto"/>
        <w:jc w:val="both"/>
        <w:rPr>
          <w:rFonts w:cs="Times New Roman"/>
          <w:bCs/>
          <w:color w:val="000000" w:themeColor="text1"/>
          <w:sz w:val="28"/>
          <w:szCs w:val="28"/>
          <w:lang w:val="en-US"/>
        </w:rPr>
      </w:pPr>
      <w:r>
        <w:rPr>
          <w:rFonts w:cs="Times New Roman"/>
          <w:bCs/>
          <w:color w:val="000000" w:themeColor="text1"/>
          <w:sz w:val="28"/>
          <w:szCs w:val="28"/>
          <w:lang w:val="en-US"/>
        </w:rPr>
        <w:t>Based on the details and analysis in the Appendix, the HRF makes the following recommendations:</w:t>
      </w:r>
    </w:p>
    <w:p w14:paraId="63A11CD7" w14:textId="77777777" w:rsidR="00FF4BB4" w:rsidRPr="00FC17F1" w:rsidRDefault="00FF4BB4" w:rsidP="00FC17F1">
      <w:pPr>
        <w:pStyle w:val="ListParagraph"/>
        <w:jc w:val="both"/>
        <w:rPr>
          <w:rFonts w:cs="Times New Roman"/>
          <w:bCs/>
          <w:color w:val="000000" w:themeColor="text1"/>
          <w:sz w:val="28"/>
          <w:szCs w:val="28"/>
          <w:lang w:val="en-US"/>
        </w:rPr>
      </w:pPr>
    </w:p>
    <w:p w14:paraId="299B85C0" w14:textId="2D6A54EB" w:rsidR="008B3BED" w:rsidRDefault="008B3BED"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Recommendation</w:t>
      </w:r>
      <w:r w:rsidR="00E747A2">
        <w:rPr>
          <w:rFonts w:cs="Times New Roman"/>
          <w:b/>
          <w:bCs/>
          <w:color w:val="000000" w:themeColor="text1"/>
          <w:sz w:val="28"/>
          <w:szCs w:val="28"/>
          <w:lang w:val="en-US"/>
        </w:rPr>
        <w:t>s</w:t>
      </w:r>
    </w:p>
    <w:p w14:paraId="63487943" w14:textId="77777777" w:rsidR="0063011E" w:rsidRPr="00C37B4D" w:rsidRDefault="0063011E" w:rsidP="00FC17F1">
      <w:pPr>
        <w:spacing w:line="360" w:lineRule="auto"/>
        <w:jc w:val="both"/>
        <w:rPr>
          <w:rFonts w:cs="Times New Roman"/>
          <w:b/>
          <w:bCs/>
          <w:color w:val="000000" w:themeColor="text1"/>
          <w:sz w:val="28"/>
          <w:szCs w:val="28"/>
          <w:lang w:val="en-US"/>
        </w:rPr>
      </w:pPr>
    </w:p>
    <w:p w14:paraId="4E66D756" w14:textId="19D1E505" w:rsidR="008B3BED" w:rsidRPr="00FC17F1" w:rsidRDefault="00FF4BB4" w:rsidP="00DA2390">
      <w:pPr>
        <w:pStyle w:val="ListParagraph"/>
        <w:numPr>
          <w:ilvl w:val="0"/>
          <w:numId w:val="10"/>
        </w:numPr>
        <w:spacing w:line="360" w:lineRule="auto"/>
        <w:jc w:val="both"/>
        <w:rPr>
          <w:rFonts w:cs="Times New Roman"/>
          <w:b/>
          <w:bCs/>
          <w:color w:val="000000" w:themeColor="text1"/>
          <w:sz w:val="28"/>
          <w:szCs w:val="28"/>
          <w:lang w:val="en-US"/>
        </w:rPr>
      </w:pPr>
      <w:r w:rsidRPr="00C37B4D">
        <w:rPr>
          <w:rFonts w:cs="Times New Roman"/>
          <w:bCs/>
          <w:color w:val="000000" w:themeColor="text1"/>
          <w:sz w:val="28"/>
          <w:szCs w:val="28"/>
          <w:lang w:val="en-US"/>
        </w:rPr>
        <w:t xml:space="preserve"> </w:t>
      </w:r>
      <w:r w:rsidR="008B3BED" w:rsidRPr="00FC17F1">
        <w:rPr>
          <w:rFonts w:cs="Times New Roman"/>
          <w:b/>
          <w:bCs/>
          <w:color w:val="000000" w:themeColor="text1"/>
          <w:sz w:val="28"/>
          <w:szCs w:val="28"/>
          <w:lang w:val="en-US"/>
        </w:rPr>
        <w:t xml:space="preserve">Given the growing number of people over 50 who still need to work in order to enjoy an adequate standard of living there is a need for the New Zealand Government to introduce stringent sanctions designed to deter employers and potential employers from discriminating older employees and job applicants. </w:t>
      </w:r>
    </w:p>
    <w:p w14:paraId="709948DF" w14:textId="77777777" w:rsidR="00FF4BB4" w:rsidRPr="00FC17F1" w:rsidRDefault="00FF4BB4" w:rsidP="00FC17F1">
      <w:pPr>
        <w:spacing w:line="360" w:lineRule="auto"/>
        <w:jc w:val="both"/>
        <w:rPr>
          <w:rFonts w:cs="Times New Roman"/>
          <w:b/>
          <w:bCs/>
          <w:color w:val="000000" w:themeColor="text1"/>
          <w:sz w:val="28"/>
          <w:szCs w:val="28"/>
          <w:lang w:val="en-US"/>
        </w:rPr>
      </w:pPr>
    </w:p>
    <w:p w14:paraId="5A5FEE1C" w14:textId="3672E997"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There is also an urgent need for a </w:t>
      </w:r>
      <w:r w:rsidR="0076327C" w:rsidRPr="00FC17F1">
        <w:rPr>
          <w:rFonts w:cs="Times New Roman"/>
          <w:b/>
          <w:bCs/>
          <w:color w:val="000000" w:themeColor="text1"/>
          <w:sz w:val="28"/>
          <w:szCs w:val="28"/>
          <w:lang w:val="en-US"/>
        </w:rPr>
        <w:t>P</w:t>
      </w:r>
      <w:r w:rsidRPr="00FC17F1">
        <w:rPr>
          <w:rFonts w:cs="Times New Roman"/>
          <w:b/>
          <w:bCs/>
          <w:color w:val="000000" w:themeColor="text1"/>
          <w:sz w:val="28"/>
          <w:szCs w:val="28"/>
          <w:lang w:val="en-US"/>
        </w:rPr>
        <w:t xml:space="preserve">ublic Inquiry into age discrimination. Such an inquiry should focus on the extent of the </w:t>
      </w:r>
      <w:r w:rsidRPr="00FC17F1">
        <w:rPr>
          <w:rFonts w:cs="Times New Roman"/>
          <w:b/>
          <w:bCs/>
          <w:color w:val="000000" w:themeColor="text1"/>
          <w:sz w:val="28"/>
          <w:szCs w:val="28"/>
          <w:lang w:val="en-US"/>
        </w:rPr>
        <w:lastRenderedPageBreak/>
        <w:t>problem in New Zealand, the lack of transparency in relation to hiring decisions, and ways in which hiring decisions can be made more transparent.</w:t>
      </w:r>
    </w:p>
    <w:p w14:paraId="67B70017" w14:textId="77777777" w:rsidR="00FF4BB4" w:rsidRPr="00FC17F1" w:rsidRDefault="00FF4BB4" w:rsidP="00FC17F1">
      <w:pPr>
        <w:spacing w:line="360" w:lineRule="auto"/>
        <w:jc w:val="both"/>
        <w:rPr>
          <w:rFonts w:cs="Times New Roman"/>
          <w:b/>
          <w:bCs/>
          <w:color w:val="000000" w:themeColor="text1"/>
          <w:sz w:val="28"/>
          <w:szCs w:val="28"/>
          <w:lang w:val="en-US"/>
        </w:rPr>
      </w:pPr>
    </w:p>
    <w:p w14:paraId="03815855" w14:textId="77777777" w:rsidR="00FF4BB4" w:rsidRPr="00FC17F1" w:rsidRDefault="00FF4BB4" w:rsidP="00FC17F1">
      <w:pPr>
        <w:jc w:val="both"/>
        <w:rPr>
          <w:b/>
          <w:lang w:val="en-US"/>
        </w:rPr>
      </w:pPr>
    </w:p>
    <w:p w14:paraId="3A9F935A" w14:textId="3E23FD8B"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The New Zealand </w:t>
      </w:r>
      <w:r w:rsidR="003F2110" w:rsidRPr="00FC17F1">
        <w:rPr>
          <w:rFonts w:cs="Times New Roman"/>
          <w:b/>
          <w:bCs/>
          <w:color w:val="000000" w:themeColor="text1"/>
          <w:sz w:val="28"/>
          <w:szCs w:val="28"/>
          <w:lang w:val="en-US"/>
        </w:rPr>
        <w:t>Government should</w:t>
      </w:r>
      <w:r w:rsidR="00E9217F" w:rsidRPr="00FC17F1">
        <w:rPr>
          <w:rFonts w:cs="Times New Roman"/>
          <w:b/>
          <w:bCs/>
          <w:color w:val="000000" w:themeColor="text1"/>
          <w:sz w:val="28"/>
          <w:szCs w:val="28"/>
          <w:lang w:val="en-US"/>
        </w:rPr>
        <w:t xml:space="preserve"> </w:t>
      </w:r>
      <w:r w:rsidRPr="00FC17F1">
        <w:rPr>
          <w:rFonts w:cs="Times New Roman"/>
          <w:b/>
          <w:bCs/>
          <w:color w:val="000000" w:themeColor="text1"/>
          <w:sz w:val="28"/>
          <w:szCs w:val="28"/>
          <w:lang w:val="en-US"/>
        </w:rPr>
        <w:t xml:space="preserve">increase </w:t>
      </w:r>
      <w:r w:rsidR="00E9217F" w:rsidRPr="00FC17F1">
        <w:rPr>
          <w:rFonts w:cs="Times New Roman"/>
          <w:b/>
          <w:bCs/>
          <w:color w:val="000000" w:themeColor="text1"/>
          <w:sz w:val="28"/>
          <w:szCs w:val="28"/>
          <w:lang w:val="en-US"/>
        </w:rPr>
        <w:t>(if necessary, means-tested) the</w:t>
      </w:r>
      <w:r w:rsidRPr="00FC17F1">
        <w:rPr>
          <w:rFonts w:cs="Times New Roman"/>
          <w:b/>
          <w:bCs/>
          <w:color w:val="000000" w:themeColor="text1"/>
          <w:sz w:val="28"/>
          <w:szCs w:val="28"/>
          <w:lang w:val="en-US"/>
        </w:rPr>
        <w:t xml:space="preserve"> NZS entitlement provided to older New Zealander</w:t>
      </w:r>
      <w:r w:rsidR="0076327C" w:rsidRPr="00FC17F1">
        <w:rPr>
          <w:rFonts w:cs="Times New Roman"/>
          <w:b/>
          <w:bCs/>
          <w:color w:val="000000" w:themeColor="text1"/>
          <w:sz w:val="28"/>
          <w:szCs w:val="28"/>
          <w:lang w:val="en-US"/>
        </w:rPr>
        <w:t>s</w:t>
      </w:r>
      <w:r w:rsidRPr="00FC17F1">
        <w:rPr>
          <w:rFonts w:cs="Times New Roman"/>
          <w:b/>
          <w:bCs/>
          <w:color w:val="000000" w:themeColor="text1"/>
          <w:sz w:val="28"/>
          <w:szCs w:val="28"/>
          <w:lang w:val="en-US"/>
        </w:rPr>
        <w:t xml:space="preserve"> who are currently experiencing financial hardship and is available to those who are likely to experience such hardship in the future. </w:t>
      </w:r>
    </w:p>
    <w:p w14:paraId="6E689104" w14:textId="77777777" w:rsidR="00FF4BB4" w:rsidRPr="0063011E" w:rsidRDefault="00FF4BB4" w:rsidP="00FC17F1">
      <w:pPr>
        <w:spacing w:line="360" w:lineRule="auto"/>
        <w:jc w:val="both"/>
        <w:rPr>
          <w:rFonts w:cs="Times New Roman"/>
          <w:b/>
          <w:bCs/>
          <w:color w:val="000000" w:themeColor="text1"/>
          <w:sz w:val="28"/>
          <w:szCs w:val="28"/>
          <w:lang w:val="en-US"/>
        </w:rPr>
      </w:pPr>
    </w:p>
    <w:p w14:paraId="1B1ACB69" w14:textId="45526453"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In order to help older people, their families and advisors to quickly identify the range of Benefits, Subsidies Allowances and Grants that are, or may be, available to them, a separate Senior Citizens’ Benefits, Subsidies Allowances and Grants Act </w:t>
      </w:r>
      <w:r w:rsidR="00E31DA7" w:rsidRPr="00FC17F1">
        <w:rPr>
          <w:rFonts w:cs="Times New Roman"/>
          <w:b/>
          <w:bCs/>
          <w:color w:val="000000" w:themeColor="text1"/>
          <w:sz w:val="28"/>
          <w:szCs w:val="28"/>
          <w:lang w:val="en-US"/>
        </w:rPr>
        <w:t xml:space="preserve">should be enacted </w:t>
      </w:r>
      <w:r w:rsidRPr="00FC17F1">
        <w:rPr>
          <w:rFonts w:cs="Times New Roman"/>
          <w:b/>
          <w:bCs/>
          <w:color w:val="000000" w:themeColor="text1"/>
          <w:sz w:val="28"/>
          <w:szCs w:val="28"/>
          <w:lang w:val="en-US"/>
        </w:rPr>
        <w:t>which sets out those benefits in one place</w:t>
      </w:r>
      <w:r w:rsidR="00E31DA7" w:rsidRPr="00FC17F1">
        <w:rPr>
          <w:rFonts w:cs="Times New Roman"/>
          <w:b/>
          <w:bCs/>
          <w:color w:val="000000" w:themeColor="text1"/>
          <w:sz w:val="28"/>
          <w:szCs w:val="28"/>
          <w:lang w:val="en-US"/>
        </w:rPr>
        <w:t xml:space="preserve">. Similarly, </w:t>
      </w:r>
      <w:r w:rsidRPr="00FC17F1">
        <w:rPr>
          <w:rFonts w:cs="Times New Roman"/>
          <w:b/>
          <w:bCs/>
          <w:color w:val="000000" w:themeColor="text1"/>
          <w:sz w:val="28"/>
          <w:szCs w:val="28"/>
          <w:lang w:val="en-US"/>
        </w:rPr>
        <w:t xml:space="preserve">a single regulation </w:t>
      </w:r>
      <w:r w:rsidR="00E9217F" w:rsidRPr="00FC17F1">
        <w:rPr>
          <w:rFonts w:cs="Times New Roman"/>
          <w:b/>
          <w:bCs/>
          <w:color w:val="000000" w:themeColor="text1"/>
          <w:sz w:val="28"/>
          <w:szCs w:val="28"/>
          <w:lang w:val="en-US"/>
        </w:rPr>
        <w:t>abou</w:t>
      </w:r>
      <w:r w:rsidR="00E31DA7" w:rsidRPr="00FC17F1">
        <w:rPr>
          <w:rFonts w:cs="Times New Roman"/>
          <w:b/>
          <w:bCs/>
          <w:color w:val="000000" w:themeColor="text1"/>
          <w:sz w:val="28"/>
          <w:szCs w:val="28"/>
          <w:lang w:val="en-US"/>
        </w:rPr>
        <w:t>t benefits, sub</w:t>
      </w:r>
      <w:r w:rsidR="00E9217F" w:rsidRPr="00FC17F1">
        <w:rPr>
          <w:rFonts w:cs="Times New Roman"/>
          <w:b/>
          <w:bCs/>
          <w:color w:val="000000" w:themeColor="text1"/>
          <w:sz w:val="28"/>
          <w:szCs w:val="28"/>
          <w:lang w:val="en-US"/>
        </w:rPr>
        <w:t>sidies and grants should also be</w:t>
      </w:r>
      <w:r w:rsidR="00E31DA7" w:rsidRPr="00FC17F1">
        <w:rPr>
          <w:rFonts w:cs="Times New Roman"/>
          <w:b/>
          <w:bCs/>
          <w:color w:val="000000" w:themeColor="text1"/>
          <w:sz w:val="28"/>
          <w:szCs w:val="28"/>
          <w:lang w:val="en-US"/>
        </w:rPr>
        <w:t xml:space="preserve"> promulgated with a </w:t>
      </w:r>
      <w:r w:rsidR="00E9217F" w:rsidRPr="00FC17F1">
        <w:rPr>
          <w:rFonts w:cs="Times New Roman"/>
          <w:b/>
          <w:bCs/>
          <w:color w:val="000000" w:themeColor="text1"/>
          <w:sz w:val="28"/>
          <w:szCs w:val="28"/>
          <w:lang w:val="en-US"/>
        </w:rPr>
        <w:t>title</w:t>
      </w:r>
      <w:r w:rsidR="00E31DA7" w:rsidRPr="00FC17F1">
        <w:rPr>
          <w:rFonts w:cs="Times New Roman"/>
          <w:b/>
          <w:bCs/>
          <w:color w:val="000000" w:themeColor="text1"/>
          <w:sz w:val="28"/>
          <w:szCs w:val="28"/>
          <w:lang w:val="en-US"/>
        </w:rPr>
        <w:t xml:space="preserve"> such as </w:t>
      </w:r>
      <w:r w:rsidRPr="00FC17F1">
        <w:rPr>
          <w:rFonts w:cs="Times New Roman"/>
          <w:b/>
          <w:bCs/>
          <w:color w:val="000000" w:themeColor="text1"/>
          <w:sz w:val="28"/>
          <w:szCs w:val="28"/>
          <w:lang w:val="en-US"/>
        </w:rPr>
        <w:t xml:space="preserve">the Senior Citizens’ Benefits, Subsidies Allowances and Grants Regulation. </w:t>
      </w:r>
    </w:p>
    <w:p w14:paraId="6DFA294C" w14:textId="77777777" w:rsidR="008B3BED" w:rsidRPr="00FC17F1" w:rsidRDefault="008B3BED" w:rsidP="00FC17F1">
      <w:pPr>
        <w:spacing w:line="360" w:lineRule="auto"/>
        <w:jc w:val="both"/>
        <w:rPr>
          <w:rFonts w:cs="Times New Roman"/>
          <w:b/>
          <w:bCs/>
          <w:color w:val="000000" w:themeColor="text1"/>
          <w:sz w:val="28"/>
          <w:szCs w:val="28"/>
          <w:lang w:val="en-US"/>
        </w:rPr>
      </w:pPr>
    </w:p>
    <w:p w14:paraId="310F449E" w14:textId="5CA29812"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Information about the Act and Regulations could then be consolidated on a single website containing all the supporting information (including application forms and practical advice about how to meet the eligibility criteria for each type of benefit or other form of assistance) relevant to the forms of financial support contained in the suggested Act and Regulations. This initiative should also be supported by the provision of trained and free advocates who can assist older people to navigate their way through the labyrinth of application processes and to represent </w:t>
      </w:r>
      <w:r w:rsidRPr="00FC17F1">
        <w:rPr>
          <w:rFonts w:cs="Times New Roman"/>
          <w:b/>
          <w:bCs/>
          <w:color w:val="000000" w:themeColor="text1"/>
          <w:sz w:val="28"/>
          <w:szCs w:val="28"/>
          <w:lang w:val="en-US"/>
        </w:rPr>
        <w:lastRenderedPageBreak/>
        <w:t>them in their dealings with the agencies who handle pensions and benefits.</w:t>
      </w:r>
    </w:p>
    <w:p w14:paraId="31C82C8D" w14:textId="77777777" w:rsidR="008B3BED" w:rsidRPr="00FC17F1" w:rsidRDefault="008B3BED" w:rsidP="00FC17F1">
      <w:pPr>
        <w:spacing w:line="360" w:lineRule="auto"/>
        <w:jc w:val="both"/>
        <w:rPr>
          <w:rFonts w:cs="Times New Roman"/>
          <w:b/>
          <w:bCs/>
          <w:color w:val="000000" w:themeColor="text1"/>
          <w:sz w:val="28"/>
          <w:szCs w:val="28"/>
          <w:lang w:val="en-US"/>
        </w:rPr>
      </w:pPr>
    </w:p>
    <w:p w14:paraId="6761FE2E" w14:textId="313F9CB9"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The benefits of adopting this suggested solution are that it would:</w:t>
      </w:r>
    </w:p>
    <w:p w14:paraId="35610633" w14:textId="5E921DCB" w:rsidR="008B3BED" w:rsidRPr="00FC17F1" w:rsidRDefault="008B3BED" w:rsidP="00DA2390">
      <w:pPr>
        <w:pStyle w:val="ListParagraph"/>
        <w:numPr>
          <w:ilvl w:val="0"/>
          <w:numId w:val="12"/>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Support the Government’s Ageing in Place policy by demonstrating that the Government is serious about providing “older person friendly” support to those who wish to remain in their own homes;</w:t>
      </w:r>
    </w:p>
    <w:p w14:paraId="6637A40C" w14:textId="77777777" w:rsidR="008B3BED" w:rsidRPr="00FC17F1" w:rsidRDefault="008B3BED" w:rsidP="00DA2390">
      <w:pPr>
        <w:numPr>
          <w:ilvl w:val="0"/>
          <w:numId w:val="12"/>
        </w:numPr>
        <w:tabs>
          <w:tab w:val="left" w:pos="1890"/>
        </w:tabs>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Greatly assist family members and support persons for older people to easily identify the forms of benefits and other assistance for which older people are entitled to apply;</w:t>
      </w:r>
    </w:p>
    <w:p w14:paraId="7F9D522C" w14:textId="77777777" w:rsidR="008B3BED" w:rsidRPr="00FC17F1" w:rsidRDefault="008B3BED" w:rsidP="00DA2390">
      <w:pPr>
        <w:numPr>
          <w:ilvl w:val="0"/>
          <w:numId w:val="12"/>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Enhance New Zealand’s good reputation as a champion of human rights (especially ESC rights) and a respecter of the rights of older people by removing barriers that have the potential to impede easy access by older people to information about benefits and assistance for which they are, or may be, eligible. </w:t>
      </w:r>
    </w:p>
    <w:p w14:paraId="51665ED0" w14:textId="77777777" w:rsidR="008B3BED" w:rsidRPr="00FC17F1" w:rsidRDefault="008B3BED" w:rsidP="00FC17F1">
      <w:pPr>
        <w:spacing w:line="360" w:lineRule="auto"/>
        <w:jc w:val="both"/>
        <w:rPr>
          <w:rFonts w:cs="Times New Roman"/>
          <w:b/>
          <w:bCs/>
          <w:color w:val="000000" w:themeColor="text1"/>
          <w:sz w:val="28"/>
          <w:szCs w:val="28"/>
          <w:lang w:val="en-US"/>
        </w:rPr>
      </w:pPr>
    </w:p>
    <w:p w14:paraId="0327A7CB" w14:textId="1756B758" w:rsidR="00570004" w:rsidRPr="00FC17F1" w:rsidRDefault="008B3BED" w:rsidP="00DA2390">
      <w:pPr>
        <w:pStyle w:val="ListParagraph"/>
        <w:numPr>
          <w:ilvl w:val="0"/>
          <w:numId w:val="10"/>
        </w:numPr>
        <w:spacing w:line="360" w:lineRule="auto"/>
        <w:ind w:left="90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In order to contain, control and reduce the level of elder abuse in New Zealand the Government </w:t>
      </w:r>
      <w:r w:rsidR="003F2110" w:rsidRPr="00FC17F1">
        <w:rPr>
          <w:rFonts w:cs="Times New Roman"/>
          <w:b/>
          <w:bCs/>
          <w:color w:val="000000" w:themeColor="text1"/>
          <w:sz w:val="28"/>
          <w:szCs w:val="28"/>
          <w:lang w:val="en-US"/>
        </w:rPr>
        <w:t>should provide</w:t>
      </w:r>
      <w:r w:rsidRPr="00FC17F1">
        <w:rPr>
          <w:rFonts w:cs="Times New Roman"/>
          <w:b/>
          <w:bCs/>
          <w:color w:val="000000" w:themeColor="text1"/>
          <w:sz w:val="28"/>
          <w:szCs w:val="28"/>
          <w:lang w:val="en-US"/>
        </w:rPr>
        <w:t xml:space="preserve"> a far greater level of financial support to the elder abuse network by:</w:t>
      </w:r>
    </w:p>
    <w:p w14:paraId="09707190" w14:textId="77777777" w:rsidR="00570004" w:rsidRPr="00FC17F1" w:rsidRDefault="00570004" w:rsidP="00FC17F1">
      <w:pPr>
        <w:pStyle w:val="ListParagraph"/>
        <w:spacing w:line="360" w:lineRule="auto"/>
        <w:ind w:left="360"/>
        <w:jc w:val="both"/>
        <w:rPr>
          <w:rFonts w:cs="Times New Roman"/>
          <w:b/>
          <w:bCs/>
          <w:color w:val="000000" w:themeColor="text1"/>
          <w:sz w:val="28"/>
          <w:szCs w:val="28"/>
          <w:lang w:val="en-US"/>
        </w:rPr>
      </w:pPr>
    </w:p>
    <w:p w14:paraId="515BB31D" w14:textId="74C4749F" w:rsidR="00C37B4D" w:rsidRPr="00FC17F1" w:rsidRDefault="008B3BED" w:rsidP="00DA2390">
      <w:pPr>
        <w:pStyle w:val="ListParagraph"/>
        <w:numPr>
          <w:ilvl w:val="0"/>
          <w:numId w:val="13"/>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Developing specialist, well</w:t>
      </w:r>
      <w:r w:rsidR="00710329">
        <w:rPr>
          <w:rFonts w:cs="Times New Roman"/>
          <w:b/>
          <w:bCs/>
          <w:color w:val="000000" w:themeColor="text1"/>
          <w:sz w:val="28"/>
          <w:szCs w:val="28"/>
          <w:lang w:val="en-US"/>
        </w:rPr>
        <w:t>-</w:t>
      </w:r>
      <w:r w:rsidRPr="00FC17F1">
        <w:rPr>
          <w:rFonts w:cs="Times New Roman"/>
          <w:b/>
          <w:bCs/>
          <w:color w:val="000000" w:themeColor="text1"/>
          <w:sz w:val="28"/>
          <w:szCs w:val="28"/>
          <w:lang w:val="en-US"/>
        </w:rPr>
        <w:t>resourced and nationwide groups of police units that focus exclusively on (a) investigating instances of elder abuse that are criminal in nature, and (b) ensuring that those proven to be responsible for such crimes are held responsible for their conduct;</w:t>
      </w:r>
    </w:p>
    <w:p w14:paraId="39C16340" w14:textId="77777777" w:rsidR="00570004" w:rsidRPr="00FC17F1" w:rsidRDefault="00570004" w:rsidP="00FC17F1">
      <w:pPr>
        <w:spacing w:line="360" w:lineRule="auto"/>
        <w:jc w:val="both"/>
        <w:rPr>
          <w:rFonts w:cs="Times New Roman"/>
          <w:b/>
          <w:bCs/>
          <w:color w:val="000000" w:themeColor="text1"/>
          <w:sz w:val="28"/>
          <w:szCs w:val="28"/>
          <w:lang w:val="en-US"/>
        </w:rPr>
      </w:pPr>
    </w:p>
    <w:p w14:paraId="730FDAC8" w14:textId="5DA68BD5" w:rsidR="00C37B4D" w:rsidRPr="00FC17F1" w:rsidRDefault="008B3BED" w:rsidP="00DA2390">
      <w:pPr>
        <w:pStyle w:val="ListParagraph"/>
        <w:numPr>
          <w:ilvl w:val="0"/>
          <w:numId w:val="13"/>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Ensur</w:t>
      </w:r>
      <w:r w:rsidR="00E9217F" w:rsidRPr="00FC17F1">
        <w:rPr>
          <w:rFonts w:cs="Times New Roman"/>
          <w:b/>
          <w:bCs/>
          <w:color w:val="000000" w:themeColor="text1"/>
          <w:sz w:val="28"/>
          <w:szCs w:val="28"/>
          <w:lang w:val="en-US"/>
        </w:rPr>
        <w:t>ing</w:t>
      </w:r>
      <w:r w:rsidRPr="00FC17F1">
        <w:rPr>
          <w:rFonts w:cs="Times New Roman"/>
          <w:b/>
          <w:bCs/>
          <w:color w:val="000000" w:themeColor="text1"/>
          <w:sz w:val="28"/>
          <w:szCs w:val="28"/>
          <w:lang w:val="en-US"/>
        </w:rPr>
        <w:t xml:space="preserve"> that the amount of funds made available to agencies who support the victims of elder abuse is increased to a level which allows those agencies to employ many more staff and thereby increase their capacity to identify and assist the police with their task of effectively combating elder abuse in New Zealand both now and in the future;</w:t>
      </w:r>
    </w:p>
    <w:p w14:paraId="73E75A51" w14:textId="77777777" w:rsidR="00570004" w:rsidRPr="00FC17F1" w:rsidRDefault="00570004" w:rsidP="00FC17F1">
      <w:pPr>
        <w:spacing w:line="360" w:lineRule="auto"/>
        <w:jc w:val="both"/>
        <w:rPr>
          <w:rFonts w:cs="Times New Roman"/>
          <w:b/>
          <w:bCs/>
          <w:color w:val="000000" w:themeColor="text1"/>
          <w:sz w:val="28"/>
          <w:szCs w:val="28"/>
          <w:lang w:val="en-US"/>
        </w:rPr>
      </w:pPr>
    </w:p>
    <w:p w14:paraId="2842372C" w14:textId="2FBAE6CF" w:rsidR="008B3BED" w:rsidRPr="00FC17F1" w:rsidRDefault="008B3BED" w:rsidP="00DA2390">
      <w:pPr>
        <w:pStyle w:val="ListParagraph"/>
        <w:numPr>
          <w:ilvl w:val="0"/>
          <w:numId w:val="13"/>
        </w:numPr>
        <w:tabs>
          <w:tab w:val="left" w:pos="1440"/>
        </w:tabs>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Supporting a law </w:t>
      </w:r>
      <w:r w:rsidR="003F2110" w:rsidRPr="00FC17F1">
        <w:rPr>
          <w:rFonts w:cs="Times New Roman"/>
          <w:b/>
          <w:bCs/>
          <w:color w:val="000000" w:themeColor="text1"/>
          <w:sz w:val="28"/>
          <w:szCs w:val="28"/>
          <w:lang w:val="en-US"/>
        </w:rPr>
        <w:t>change, which</w:t>
      </w:r>
      <w:r w:rsidRPr="00FC17F1">
        <w:rPr>
          <w:rFonts w:cs="Times New Roman"/>
          <w:b/>
          <w:bCs/>
          <w:color w:val="000000" w:themeColor="text1"/>
          <w:sz w:val="28"/>
          <w:szCs w:val="28"/>
          <w:lang w:val="en-US"/>
        </w:rPr>
        <w:t xml:space="preserve"> will make it a criminal offence for those who are aware of actual or suspected cases of elder abuse to fail to report what they know or suspect to the police. </w:t>
      </w:r>
    </w:p>
    <w:p w14:paraId="48C6815C" w14:textId="77777777" w:rsidR="00C37B4D" w:rsidRPr="00FC17F1" w:rsidRDefault="00C37B4D" w:rsidP="00FC17F1">
      <w:pPr>
        <w:spacing w:line="360" w:lineRule="auto"/>
        <w:jc w:val="both"/>
        <w:rPr>
          <w:rFonts w:cs="Times New Roman"/>
          <w:b/>
          <w:bCs/>
          <w:color w:val="000000" w:themeColor="text1"/>
          <w:sz w:val="28"/>
          <w:szCs w:val="28"/>
          <w:lang w:val="en-US"/>
        </w:rPr>
      </w:pPr>
    </w:p>
    <w:p w14:paraId="51F23BE8" w14:textId="2FA53445"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There should be an independent inquiry into the way in which waiting lists for elective surgery have been manipulated by successive Governments with a view to enacting a law to make it illegal to artificially dilute waiting list numbers by deliberately excluding from those lists, many people in genuine need of that surgery.</w:t>
      </w:r>
      <w:r w:rsidRPr="00FC17F1">
        <w:rPr>
          <w:vertAlign w:val="superscript"/>
          <w:lang w:val="en-US"/>
        </w:rPr>
        <w:footnoteReference w:id="54"/>
      </w:r>
      <w:r w:rsidRPr="00FC17F1">
        <w:rPr>
          <w:rFonts w:cs="Times New Roman"/>
          <w:b/>
          <w:bCs/>
          <w:color w:val="000000" w:themeColor="text1"/>
          <w:sz w:val="28"/>
          <w:szCs w:val="28"/>
          <w:lang w:val="en-US"/>
        </w:rPr>
        <w:t xml:space="preserve"> </w:t>
      </w:r>
    </w:p>
    <w:p w14:paraId="3D326477" w14:textId="77777777" w:rsidR="005B00DA" w:rsidRPr="00FC17F1" w:rsidRDefault="005B00DA" w:rsidP="00FC17F1">
      <w:pPr>
        <w:pStyle w:val="ListParagraph"/>
        <w:spacing w:line="360" w:lineRule="auto"/>
        <w:ind w:left="850"/>
        <w:jc w:val="both"/>
        <w:rPr>
          <w:rFonts w:cs="Times New Roman"/>
          <w:b/>
          <w:bCs/>
          <w:color w:val="000000" w:themeColor="text1"/>
          <w:sz w:val="28"/>
          <w:szCs w:val="28"/>
          <w:lang w:val="en-US"/>
        </w:rPr>
      </w:pPr>
    </w:p>
    <w:p w14:paraId="54F11AD5" w14:textId="30354E2B" w:rsidR="008B3BED" w:rsidRPr="00FC17F1" w:rsidRDefault="008B3BED" w:rsidP="00DA2390">
      <w:pPr>
        <w:pStyle w:val="ListParagraph"/>
        <w:numPr>
          <w:ilvl w:val="0"/>
          <w:numId w:val="10"/>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The Government needs to take urgent steps to genuinely reduce the size of the elective surgery waiting list (if necessary by using the some charitable organizations </w:t>
      </w:r>
      <w:r w:rsidR="003F2110" w:rsidRPr="00FC17F1">
        <w:rPr>
          <w:rFonts w:cs="Times New Roman"/>
          <w:b/>
          <w:bCs/>
          <w:color w:val="000000" w:themeColor="text1"/>
          <w:sz w:val="28"/>
          <w:szCs w:val="28"/>
          <w:lang w:val="en-US"/>
        </w:rPr>
        <w:t>that</w:t>
      </w:r>
      <w:r w:rsidRPr="00FC17F1">
        <w:rPr>
          <w:rFonts w:cs="Times New Roman"/>
          <w:b/>
          <w:bCs/>
          <w:color w:val="000000" w:themeColor="text1"/>
          <w:sz w:val="28"/>
          <w:szCs w:val="28"/>
          <w:lang w:val="en-US"/>
        </w:rPr>
        <w:t xml:space="preserve"> carry out simple operations (eg, the Fred Hollows Foundation for cataract surgeries). </w:t>
      </w:r>
    </w:p>
    <w:p w14:paraId="373E6F35" w14:textId="77777777" w:rsidR="008B3BED" w:rsidRPr="00FC17F1" w:rsidRDefault="008B3BED" w:rsidP="00FC17F1">
      <w:pPr>
        <w:spacing w:line="360" w:lineRule="auto"/>
        <w:jc w:val="both"/>
        <w:rPr>
          <w:rFonts w:cs="Times New Roman"/>
          <w:b/>
          <w:bCs/>
          <w:color w:val="000000" w:themeColor="text1"/>
          <w:sz w:val="28"/>
          <w:szCs w:val="28"/>
          <w:lang w:val="en-US"/>
        </w:rPr>
      </w:pPr>
    </w:p>
    <w:p w14:paraId="65795802" w14:textId="77777777" w:rsidR="00972AE2" w:rsidRPr="0063011E" w:rsidRDefault="00972AE2" w:rsidP="00FC17F1">
      <w:pPr>
        <w:spacing w:line="360" w:lineRule="auto"/>
        <w:jc w:val="both"/>
        <w:rPr>
          <w:rFonts w:cs="Times New Roman"/>
          <w:b/>
          <w:smallCaps/>
          <w:color w:val="000000" w:themeColor="text1"/>
          <w:sz w:val="28"/>
          <w:szCs w:val="28"/>
        </w:rPr>
      </w:pPr>
    </w:p>
    <w:p w14:paraId="7DCAE0C3" w14:textId="77777777" w:rsidR="003B379B" w:rsidRPr="00FC17F1" w:rsidRDefault="003B379B"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article 3: Equal Rights of Men and Women</w:t>
      </w:r>
    </w:p>
    <w:p w14:paraId="6B1DA33B" w14:textId="77777777" w:rsidR="00DF3D0C" w:rsidRPr="00FC17F1" w:rsidRDefault="00DF3D0C" w:rsidP="00FC17F1">
      <w:pPr>
        <w:spacing w:line="360" w:lineRule="auto"/>
        <w:jc w:val="both"/>
        <w:rPr>
          <w:rFonts w:eastAsia="Times New Roman" w:cs="Times New Roman"/>
          <w:bCs/>
          <w:i/>
          <w:color w:val="000000" w:themeColor="text1"/>
          <w:sz w:val="28"/>
          <w:szCs w:val="28"/>
        </w:rPr>
      </w:pPr>
    </w:p>
    <w:p w14:paraId="08A5BAE7" w14:textId="64B42881" w:rsidR="008B3BED" w:rsidRPr="00C37B4D" w:rsidRDefault="00FE152C" w:rsidP="00FC17F1">
      <w:pPr>
        <w:spacing w:line="360" w:lineRule="auto"/>
        <w:jc w:val="both"/>
        <w:rPr>
          <w:rFonts w:eastAsia="Times New Roman" w:cs="Times New Roman"/>
          <w:bCs/>
          <w:color w:val="FF0000"/>
          <w:sz w:val="28"/>
          <w:szCs w:val="28"/>
        </w:rPr>
      </w:pPr>
      <w:r>
        <w:rPr>
          <w:rFonts w:eastAsia="Times New Roman" w:cs="Times New Roman"/>
          <w:bCs/>
          <w:i/>
          <w:color w:val="000000" w:themeColor="text1"/>
          <w:sz w:val="28"/>
          <w:szCs w:val="28"/>
        </w:rPr>
        <w:t>Question</w:t>
      </w:r>
      <w:r w:rsidR="00CF52C5">
        <w:rPr>
          <w:rFonts w:eastAsia="Times New Roman" w:cs="Times New Roman"/>
          <w:bCs/>
          <w:i/>
          <w:color w:val="000000" w:themeColor="text1"/>
          <w:sz w:val="28"/>
          <w:szCs w:val="28"/>
        </w:rPr>
        <w:t xml:space="preserve"> </w:t>
      </w:r>
      <w:r w:rsidR="00CE4F59" w:rsidRPr="00FC17F1">
        <w:rPr>
          <w:rFonts w:eastAsia="Times New Roman" w:cs="Times New Roman"/>
          <w:bCs/>
          <w:i/>
          <w:color w:val="000000" w:themeColor="text1"/>
          <w:sz w:val="28"/>
          <w:szCs w:val="28"/>
        </w:rPr>
        <w:t>10</w:t>
      </w:r>
      <w:r w:rsidR="00EA7B2A" w:rsidRPr="00FC17F1">
        <w:rPr>
          <w:rFonts w:eastAsia="Times New Roman" w:cs="Times New Roman"/>
          <w:bCs/>
          <w:i/>
          <w:color w:val="000000" w:themeColor="text1"/>
          <w:sz w:val="28"/>
          <w:szCs w:val="28"/>
        </w:rPr>
        <w:t xml:space="preserve">: </w:t>
      </w:r>
      <w:r w:rsidR="00063880" w:rsidRPr="00FC17F1">
        <w:rPr>
          <w:rFonts w:eastAsia="Times New Roman" w:cs="Times New Roman"/>
          <w:bCs/>
          <w:i/>
          <w:color w:val="000000" w:themeColor="text1"/>
          <w:sz w:val="28"/>
          <w:szCs w:val="28"/>
        </w:rPr>
        <w:t>Please indicate whether the implementation of the Gender Equality Declaration has helped to accelerate women’s access to decision-making positions in the public and private sectors. Please provide an assessment of the remaining obstacles to the achievement of gender equali</w:t>
      </w:r>
      <w:r w:rsidR="00DB6F71" w:rsidRPr="00FC17F1">
        <w:rPr>
          <w:rFonts w:eastAsia="Times New Roman" w:cs="Times New Roman"/>
          <w:bCs/>
          <w:i/>
          <w:color w:val="000000" w:themeColor="text1"/>
          <w:sz w:val="28"/>
          <w:szCs w:val="28"/>
        </w:rPr>
        <w:t>ty.</w:t>
      </w:r>
    </w:p>
    <w:p w14:paraId="276D3B74" w14:textId="77777777" w:rsidR="00972AE2" w:rsidRDefault="00972AE2" w:rsidP="00FC17F1">
      <w:pPr>
        <w:spacing w:line="360" w:lineRule="auto"/>
        <w:jc w:val="both"/>
        <w:rPr>
          <w:rFonts w:eastAsia="Times New Roman" w:cs="Times New Roman"/>
          <w:b/>
          <w:bCs/>
          <w:color w:val="000000" w:themeColor="text1"/>
          <w:sz w:val="28"/>
          <w:szCs w:val="28"/>
        </w:rPr>
      </w:pPr>
    </w:p>
    <w:p w14:paraId="0003ECCD" w14:textId="50F022A0" w:rsidR="008B3BED" w:rsidRPr="00FC17F1" w:rsidRDefault="008B3BED" w:rsidP="00FC17F1">
      <w:pPr>
        <w:spacing w:line="360" w:lineRule="auto"/>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Introduction</w:t>
      </w:r>
      <w:r w:rsidR="00972AE2">
        <w:rPr>
          <w:rFonts w:eastAsia="Times New Roman" w:cs="Times New Roman"/>
          <w:b/>
          <w:bCs/>
          <w:color w:val="000000" w:themeColor="text1"/>
          <w:sz w:val="28"/>
          <w:szCs w:val="28"/>
        </w:rPr>
        <w:t xml:space="preserve"> </w:t>
      </w:r>
    </w:p>
    <w:p w14:paraId="15889336" w14:textId="0571D8C5" w:rsidR="008B3BED" w:rsidRPr="00FC17F1"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 xml:space="preserve">In this section, the HRF outlines women’s access to decision-making positions in the public and private sectors, provides comment on the remaining obstacles to gender equality and proposes some recommendations. </w:t>
      </w:r>
    </w:p>
    <w:p w14:paraId="5CBB5F37" w14:textId="77777777" w:rsidR="008B3BED" w:rsidRPr="00C37B4D" w:rsidRDefault="008B3BED" w:rsidP="00FC17F1">
      <w:pPr>
        <w:spacing w:line="360" w:lineRule="auto"/>
        <w:jc w:val="both"/>
        <w:rPr>
          <w:rFonts w:eastAsia="Times New Roman" w:cs="Times New Roman"/>
          <w:bCs/>
          <w:color w:val="000000" w:themeColor="text1"/>
          <w:sz w:val="28"/>
          <w:szCs w:val="28"/>
        </w:rPr>
      </w:pPr>
    </w:p>
    <w:p w14:paraId="33844547" w14:textId="384C2886" w:rsidR="008B3BED" w:rsidRPr="00FC17F1" w:rsidRDefault="008B3BED" w:rsidP="00FC17F1">
      <w:pPr>
        <w:spacing w:line="360" w:lineRule="auto"/>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Women in the public sector</w:t>
      </w:r>
    </w:p>
    <w:p w14:paraId="44FEDC2F" w14:textId="55FD0F48" w:rsidR="008B3BED" w:rsidRPr="00C37B4D"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Under the State Sector Act 1988, chief executives in the public service are required to operate a personnel policy that includes provisions requiring an equal opportunities programme and that recognises the employment requirements of women.</w:t>
      </w:r>
      <w:r w:rsidR="00FE7037">
        <w:rPr>
          <w:rStyle w:val="FootnoteReference"/>
          <w:rFonts w:eastAsia="Times New Roman" w:cs="Times New Roman"/>
          <w:bCs/>
          <w:color w:val="000000" w:themeColor="text1"/>
          <w:sz w:val="28"/>
          <w:szCs w:val="28"/>
        </w:rPr>
        <w:footnoteReference w:id="55"/>
      </w:r>
      <w:r w:rsidRPr="00FC17F1">
        <w:rPr>
          <w:rFonts w:eastAsia="Times New Roman" w:cs="Times New Roman"/>
          <w:bCs/>
          <w:color w:val="000000" w:themeColor="text1"/>
          <w:sz w:val="28"/>
          <w:szCs w:val="28"/>
        </w:rPr>
        <w:t xml:space="preserve">  Other state sector entities, for example, Crown Entities, are governed by similar provisions.  The State Services Commission is supporting chief executives to lead improvements in diversity</w:t>
      </w:r>
      <w:r w:rsidR="00983D9B">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 xml:space="preserve">in their agencies. </w:t>
      </w:r>
      <w:r w:rsidR="00FE7037">
        <w:rPr>
          <w:rStyle w:val="FootnoteReference"/>
          <w:rFonts w:eastAsia="Times New Roman" w:cs="Times New Roman"/>
          <w:bCs/>
          <w:color w:val="000000" w:themeColor="text1"/>
          <w:sz w:val="28"/>
          <w:szCs w:val="28"/>
        </w:rPr>
        <w:footnoteReference w:id="56"/>
      </w:r>
      <w:r w:rsidRPr="00C37B4D">
        <w:rPr>
          <w:rFonts w:eastAsia="Times New Roman" w:cs="Times New Roman"/>
          <w:bCs/>
          <w:color w:val="000000" w:themeColor="text1"/>
          <w:sz w:val="28"/>
          <w:szCs w:val="28"/>
        </w:rPr>
        <w:tab/>
      </w:r>
    </w:p>
    <w:p w14:paraId="2122E74B" w14:textId="77777777" w:rsidR="008B3BED" w:rsidRPr="00C37B4D" w:rsidRDefault="008B3BED" w:rsidP="00FC17F1">
      <w:pPr>
        <w:pStyle w:val="ListParagraph"/>
        <w:spacing w:line="360" w:lineRule="auto"/>
        <w:ind w:left="1080"/>
        <w:jc w:val="both"/>
        <w:rPr>
          <w:rFonts w:eastAsia="Times New Roman" w:cs="Times New Roman"/>
          <w:bCs/>
          <w:color w:val="000000" w:themeColor="text1"/>
          <w:sz w:val="28"/>
          <w:szCs w:val="28"/>
        </w:rPr>
      </w:pPr>
    </w:p>
    <w:p w14:paraId="7FC9582F" w14:textId="7688882E" w:rsidR="008B3BED" w:rsidRPr="00C37B4D"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 xml:space="preserve">The participation of women in the Public Service workforce continues at a high level, with 60.5% of employees being female, at 30 June </w:t>
      </w:r>
      <w:r w:rsidRPr="00FC17F1">
        <w:rPr>
          <w:rFonts w:eastAsia="Times New Roman" w:cs="Times New Roman"/>
          <w:bCs/>
          <w:color w:val="000000" w:themeColor="text1"/>
          <w:sz w:val="28"/>
          <w:szCs w:val="28"/>
        </w:rPr>
        <w:lastRenderedPageBreak/>
        <w:t>2017.  This compares with only 47.3% in the overall New Zealand labour force in the year to June 2017.</w:t>
      </w:r>
      <w:r w:rsidR="0093643E">
        <w:rPr>
          <w:rStyle w:val="FootnoteReference"/>
          <w:rFonts w:eastAsia="Times New Roman" w:cs="Times New Roman"/>
          <w:bCs/>
          <w:color w:val="000000" w:themeColor="text1"/>
          <w:sz w:val="28"/>
          <w:szCs w:val="28"/>
        </w:rPr>
        <w:footnoteReference w:id="57"/>
      </w:r>
      <w:r w:rsidRPr="00FC17F1">
        <w:rPr>
          <w:rFonts w:eastAsia="Times New Roman" w:cs="Times New Roman"/>
          <w:bCs/>
          <w:color w:val="000000" w:themeColor="text1"/>
          <w:sz w:val="28"/>
          <w:szCs w:val="28"/>
        </w:rPr>
        <w:t xml:space="preserve">  </w:t>
      </w:r>
    </w:p>
    <w:p w14:paraId="0AE4F103" w14:textId="77777777" w:rsidR="008B3BED" w:rsidRPr="00FC17F1" w:rsidRDefault="008B3BED" w:rsidP="00FC17F1">
      <w:pPr>
        <w:pStyle w:val="ListParagraph"/>
        <w:spacing w:line="360" w:lineRule="auto"/>
        <w:jc w:val="both"/>
        <w:rPr>
          <w:rFonts w:eastAsia="Times New Roman" w:cs="Times New Roman"/>
          <w:bCs/>
          <w:color w:val="000000" w:themeColor="text1"/>
          <w:sz w:val="28"/>
          <w:szCs w:val="28"/>
        </w:rPr>
      </w:pPr>
    </w:p>
    <w:p w14:paraId="1C642709" w14:textId="70D0AEE4" w:rsidR="008B3BED" w:rsidRPr="00FC17F1"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Female representation at the senior leadership level is lower than the proportion of women in the Public Service, but has increased strongly over the past decade. As at 30 June 2017, 47.9% of the top three tiers of senior management were women, up from 38.4% in 2008. The State Services Commission estimates that, if current trends continue, by around 2020 50% of the top three tiers of senior management will be women.</w:t>
      </w:r>
      <w:r w:rsidR="0093643E">
        <w:rPr>
          <w:rStyle w:val="FootnoteReference"/>
          <w:rFonts w:eastAsia="Times New Roman" w:cs="Times New Roman"/>
          <w:bCs/>
          <w:color w:val="000000" w:themeColor="text1"/>
          <w:sz w:val="28"/>
          <w:szCs w:val="28"/>
        </w:rPr>
        <w:footnoteReference w:id="58"/>
      </w:r>
      <w:r w:rsidRPr="00FC17F1">
        <w:rPr>
          <w:rFonts w:eastAsia="Times New Roman" w:cs="Times New Roman"/>
          <w:bCs/>
          <w:color w:val="000000" w:themeColor="text1"/>
          <w:sz w:val="28"/>
          <w:szCs w:val="28"/>
        </w:rPr>
        <w:t xml:space="preserve"> While welcoming this progress, we also note that, at February 2018, only 12 (or 38%) of the 31 Chief Executives of the Public Service departments are women. This indicates that at the most senior level of the public service women still face hurdles to achieving gender equality and this is unlikely to be achieved by 2020.</w:t>
      </w:r>
    </w:p>
    <w:p w14:paraId="248E9720" w14:textId="77777777" w:rsidR="00972AE2" w:rsidRDefault="00972AE2" w:rsidP="00FC17F1">
      <w:pPr>
        <w:spacing w:line="360" w:lineRule="auto"/>
        <w:jc w:val="both"/>
        <w:rPr>
          <w:rFonts w:eastAsia="Times New Roman" w:cs="Times New Roman"/>
          <w:b/>
          <w:bCs/>
          <w:color w:val="000000" w:themeColor="text1"/>
          <w:sz w:val="28"/>
          <w:szCs w:val="28"/>
        </w:rPr>
      </w:pPr>
    </w:p>
    <w:p w14:paraId="5CB76C09" w14:textId="1C2EFAD8" w:rsidR="008B3BED" w:rsidRPr="00FC17F1" w:rsidRDefault="008B3BED" w:rsidP="00FC17F1">
      <w:pPr>
        <w:spacing w:line="360" w:lineRule="auto"/>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Women in the private sector</w:t>
      </w:r>
    </w:p>
    <w:p w14:paraId="03B8872A" w14:textId="77777777" w:rsidR="008B3BED" w:rsidRPr="00FC17F1" w:rsidRDefault="008B3BED" w:rsidP="00FC17F1">
      <w:pPr>
        <w:spacing w:line="360" w:lineRule="auto"/>
        <w:jc w:val="both"/>
        <w:rPr>
          <w:rFonts w:eastAsia="Times New Roman" w:cs="Times New Roman"/>
          <w:bCs/>
          <w:color w:val="000000" w:themeColor="text1"/>
          <w:sz w:val="28"/>
          <w:szCs w:val="28"/>
        </w:rPr>
      </w:pPr>
    </w:p>
    <w:p w14:paraId="57E9611A" w14:textId="6FA25B84" w:rsidR="008B3BED"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In contrast to the public sector, in the business sector, women make up a much smaller proportion of leaders. A study of 500 businesses conducted for Westpac by Deloitte found that women make up 49% of the workforce but only 29% of leadership roles.</w:t>
      </w:r>
      <w:r w:rsidR="0093643E">
        <w:rPr>
          <w:rStyle w:val="FootnoteReference"/>
          <w:rFonts w:eastAsia="Times New Roman" w:cs="Times New Roman"/>
          <w:bCs/>
          <w:color w:val="000000" w:themeColor="text1"/>
          <w:sz w:val="28"/>
          <w:szCs w:val="28"/>
        </w:rPr>
        <w:footnoteReference w:id="59"/>
      </w:r>
      <w:r w:rsidRPr="00FC17F1">
        <w:rPr>
          <w:rFonts w:eastAsia="Times New Roman" w:cs="Times New Roman"/>
          <w:bCs/>
          <w:color w:val="000000" w:themeColor="text1"/>
          <w:sz w:val="28"/>
          <w:szCs w:val="28"/>
        </w:rPr>
        <w:t xml:space="preserve">  The study also found that, of those surveyed, 42% of businesses said they had seen no change in gender balance in leadership in the last two years.   </w:t>
      </w:r>
      <w:r w:rsidRPr="00C37B4D">
        <w:rPr>
          <w:rFonts w:eastAsia="Times New Roman" w:cs="Times New Roman"/>
          <w:bCs/>
          <w:color w:val="000000" w:themeColor="text1"/>
          <w:sz w:val="28"/>
          <w:szCs w:val="28"/>
        </w:rPr>
        <w:tab/>
      </w:r>
    </w:p>
    <w:p w14:paraId="0D487321" w14:textId="77777777" w:rsidR="00972AE2" w:rsidRPr="00FC17F1" w:rsidRDefault="00972AE2" w:rsidP="00FC17F1">
      <w:pPr>
        <w:spacing w:line="360" w:lineRule="auto"/>
        <w:jc w:val="both"/>
        <w:rPr>
          <w:rFonts w:eastAsia="Times New Roman" w:cs="Times New Roman"/>
          <w:bCs/>
          <w:color w:val="000000" w:themeColor="text1"/>
          <w:sz w:val="28"/>
          <w:szCs w:val="28"/>
        </w:rPr>
      </w:pPr>
    </w:p>
    <w:p w14:paraId="382DF9BC" w14:textId="2F25C673" w:rsidR="008B3BED" w:rsidRPr="00C37B4D"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 xml:space="preserve">The study also revealed that only 40% of businesses had a gender parity strategy and of those who had one, only 26% measured </w:t>
      </w:r>
      <w:r w:rsidRPr="00FC17F1">
        <w:rPr>
          <w:rFonts w:eastAsia="Times New Roman" w:cs="Times New Roman"/>
          <w:bCs/>
          <w:color w:val="000000" w:themeColor="text1"/>
          <w:sz w:val="28"/>
          <w:szCs w:val="28"/>
        </w:rPr>
        <w:lastRenderedPageBreak/>
        <w:t>themselves against it.</w:t>
      </w:r>
      <w:r w:rsidR="00224497">
        <w:rPr>
          <w:rStyle w:val="FootnoteReference"/>
          <w:rFonts w:eastAsia="Times New Roman" w:cs="Times New Roman"/>
          <w:bCs/>
          <w:color w:val="000000" w:themeColor="text1"/>
          <w:sz w:val="28"/>
          <w:szCs w:val="28"/>
        </w:rPr>
        <w:footnoteReference w:id="60"/>
      </w:r>
      <w:r w:rsidRPr="00FC17F1">
        <w:rPr>
          <w:rFonts w:eastAsia="Times New Roman" w:cs="Times New Roman"/>
          <w:bCs/>
          <w:color w:val="000000" w:themeColor="text1"/>
          <w:sz w:val="28"/>
          <w:szCs w:val="28"/>
        </w:rPr>
        <w:t xml:space="preserve">  Of concern </w:t>
      </w:r>
      <w:r w:rsidR="00983D9B">
        <w:rPr>
          <w:rFonts w:eastAsia="Times New Roman" w:cs="Times New Roman"/>
          <w:bCs/>
          <w:color w:val="000000" w:themeColor="text1"/>
          <w:sz w:val="28"/>
          <w:szCs w:val="28"/>
        </w:rPr>
        <w:t>i</w:t>
      </w:r>
      <w:r w:rsidRPr="00FC17F1">
        <w:rPr>
          <w:rFonts w:eastAsia="Times New Roman" w:cs="Times New Roman"/>
          <w:bCs/>
          <w:color w:val="000000" w:themeColor="text1"/>
          <w:sz w:val="28"/>
          <w:szCs w:val="28"/>
        </w:rPr>
        <w:t xml:space="preserve">s that just under half of respondents said a lack of female talent, either in the workforce or internally, was a barrier to parity. Yet New Zealand women are now earning tertiary qualifications at a higher rate than men. For example, the proportion of women with formal qualifications has increased from 42% in 1991 to 80% in 2013. The figures for men increased from 50% in 1991 to 705 in 2013. </w:t>
      </w:r>
      <w:r w:rsidR="00224497">
        <w:rPr>
          <w:rStyle w:val="FootnoteReference"/>
          <w:rFonts w:eastAsia="Times New Roman" w:cs="Times New Roman"/>
          <w:bCs/>
          <w:color w:val="000000" w:themeColor="text1"/>
          <w:sz w:val="28"/>
          <w:szCs w:val="28"/>
        </w:rPr>
        <w:footnoteReference w:id="61"/>
      </w:r>
      <w:r w:rsidRPr="00C37B4D">
        <w:rPr>
          <w:rFonts w:eastAsia="Times New Roman" w:cs="Times New Roman"/>
          <w:bCs/>
          <w:color w:val="000000" w:themeColor="text1"/>
          <w:sz w:val="28"/>
          <w:szCs w:val="28"/>
        </w:rPr>
        <w:tab/>
      </w:r>
    </w:p>
    <w:p w14:paraId="623A9338" w14:textId="77777777" w:rsidR="008B3BED" w:rsidRPr="00C37B4D" w:rsidRDefault="008B3BED" w:rsidP="00FC17F1">
      <w:pPr>
        <w:pStyle w:val="ListParagraph"/>
        <w:spacing w:line="360" w:lineRule="auto"/>
        <w:ind w:left="1080"/>
        <w:jc w:val="both"/>
        <w:rPr>
          <w:rFonts w:eastAsia="Times New Roman" w:cs="Times New Roman"/>
          <w:bCs/>
          <w:color w:val="000000" w:themeColor="text1"/>
          <w:sz w:val="28"/>
          <w:szCs w:val="28"/>
        </w:rPr>
      </w:pPr>
    </w:p>
    <w:p w14:paraId="0CCB4E98" w14:textId="573AF155" w:rsidR="008B3BED" w:rsidRPr="00C37B4D"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In 2015, data from 125 listed NZX companies showed that 17% of directors on private sector boards were women, up from 14% in 2014.</w:t>
      </w:r>
      <w:r w:rsidR="00224497">
        <w:rPr>
          <w:rStyle w:val="FootnoteReference"/>
          <w:rFonts w:eastAsia="Times New Roman" w:cs="Times New Roman"/>
          <w:bCs/>
          <w:color w:val="000000" w:themeColor="text1"/>
          <w:sz w:val="28"/>
          <w:szCs w:val="28"/>
        </w:rPr>
        <w:footnoteReference w:id="62"/>
      </w:r>
      <w:r w:rsidRPr="00FC17F1">
        <w:rPr>
          <w:rFonts w:eastAsia="Times New Roman" w:cs="Times New Roman"/>
          <w:bCs/>
          <w:color w:val="000000" w:themeColor="text1"/>
          <w:sz w:val="28"/>
          <w:szCs w:val="28"/>
        </w:rPr>
        <w:t xml:space="preserve">  Data from the NZX also found that the proportion of women in senior roles in New Zealand decreased from 21% in 2014 to 19% in 2015.</w:t>
      </w:r>
      <w:r w:rsidR="00224497">
        <w:rPr>
          <w:rStyle w:val="FootnoteReference"/>
          <w:rFonts w:eastAsia="Times New Roman" w:cs="Times New Roman"/>
          <w:bCs/>
          <w:color w:val="000000" w:themeColor="text1"/>
          <w:sz w:val="28"/>
          <w:szCs w:val="28"/>
        </w:rPr>
        <w:footnoteReference w:id="63"/>
      </w:r>
      <w:r w:rsidRPr="00FC17F1">
        <w:rPr>
          <w:rFonts w:eastAsia="Times New Roman" w:cs="Times New Roman"/>
          <w:bCs/>
          <w:color w:val="000000" w:themeColor="text1"/>
          <w:sz w:val="28"/>
          <w:szCs w:val="28"/>
        </w:rPr>
        <w:t xml:space="preserve">  </w:t>
      </w:r>
    </w:p>
    <w:p w14:paraId="12AD5F35" w14:textId="77777777" w:rsidR="008B3BED" w:rsidRPr="00FC17F1" w:rsidRDefault="008B3BED" w:rsidP="00FC17F1">
      <w:pPr>
        <w:pStyle w:val="ListParagraph"/>
        <w:spacing w:line="360" w:lineRule="auto"/>
        <w:jc w:val="both"/>
        <w:rPr>
          <w:rFonts w:eastAsia="Times New Roman" w:cs="Times New Roman"/>
          <w:bCs/>
          <w:color w:val="000000" w:themeColor="text1"/>
          <w:sz w:val="28"/>
          <w:szCs w:val="28"/>
        </w:rPr>
      </w:pPr>
    </w:p>
    <w:p w14:paraId="704518C2" w14:textId="03C182B8" w:rsidR="008B3BED" w:rsidRPr="00FC17F1"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We note that the Ministry for Women identified three barriers to women continuing to advance their careers at the same rate as men</w:t>
      </w:r>
      <w:r w:rsidRPr="00C37B4D">
        <w:rPr>
          <w:rFonts w:eastAsia="Times New Roman" w:cs="Times New Roman"/>
          <w:bCs/>
          <w:color w:val="000000" w:themeColor="text1"/>
          <w:sz w:val="28"/>
          <w:szCs w:val="28"/>
        </w:rPr>
        <w:t>:</w:t>
      </w:r>
    </w:p>
    <w:p w14:paraId="25D3BE0E" w14:textId="77777777" w:rsidR="008B3BED" w:rsidRPr="00FC17F1" w:rsidRDefault="008B3BED" w:rsidP="00FC17F1">
      <w:pPr>
        <w:pStyle w:val="ListParagraph"/>
        <w:spacing w:line="360" w:lineRule="auto"/>
        <w:jc w:val="both"/>
        <w:rPr>
          <w:rFonts w:eastAsia="Times New Roman" w:cs="Times New Roman"/>
          <w:bCs/>
          <w:color w:val="000000" w:themeColor="text1"/>
          <w:sz w:val="28"/>
          <w:szCs w:val="28"/>
        </w:rPr>
      </w:pPr>
    </w:p>
    <w:p w14:paraId="7F492EC4" w14:textId="6200827D" w:rsidR="008B3BED" w:rsidRPr="00C37B4D" w:rsidRDefault="008B3BED" w:rsidP="00DA2390">
      <w:pPr>
        <w:pStyle w:val="ListParagraph"/>
        <w:numPr>
          <w:ilvl w:val="1"/>
          <w:numId w:val="10"/>
        </w:numPr>
        <w:spacing w:line="360" w:lineRule="auto"/>
        <w:ind w:left="1890"/>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unconscious bias against women taking up leadership roles.  This can affect recruitment, assessment and development practices at every level within an organisation</w:t>
      </w:r>
      <w:r w:rsidR="00B6422A">
        <w:rPr>
          <w:rFonts w:eastAsia="Times New Roman" w:cs="Times New Roman"/>
          <w:bCs/>
          <w:color w:val="000000" w:themeColor="text1"/>
          <w:sz w:val="28"/>
          <w:szCs w:val="28"/>
        </w:rPr>
        <w:t>;</w:t>
      </w:r>
    </w:p>
    <w:p w14:paraId="5D0416ED" w14:textId="0BB91530" w:rsidR="008B3BED" w:rsidRPr="00C37B4D" w:rsidRDefault="008B3BED" w:rsidP="00DA2390">
      <w:pPr>
        <w:pStyle w:val="ListParagraph"/>
        <w:numPr>
          <w:ilvl w:val="1"/>
          <w:numId w:val="10"/>
        </w:numPr>
        <w:tabs>
          <w:tab w:val="left" w:pos="1890"/>
        </w:tabs>
        <w:spacing w:line="360" w:lineRule="auto"/>
        <w:ind w:left="1890"/>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employer breaks to employment (eg for child-rearing) or a non-traditional career path (eg community leadership or executive roles),</w:t>
      </w:r>
      <w:r w:rsidR="00B6422A">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can make it difficult for women to maintain an upward career path</w:t>
      </w:r>
      <w:r w:rsidR="00B6422A">
        <w:rPr>
          <w:rFonts w:eastAsia="Times New Roman" w:cs="Times New Roman"/>
          <w:bCs/>
          <w:color w:val="000000" w:themeColor="text1"/>
          <w:sz w:val="28"/>
          <w:szCs w:val="28"/>
        </w:rPr>
        <w:t>;</w:t>
      </w:r>
    </w:p>
    <w:p w14:paraId="14FF7166" w14:textId="77777777" w:rsidR="00972AE2" w:rsidRDefault="008B3BED" w:rsidP="00DA2390">
      <w:pPr>
        <w:pStyle w:val="ListParagraph"/>
        <w:numPr>
          <w:ilvl w:val="1"/>
          <w:numId w:val="10"/>
        </w:numPr>
        <w:spacing w:line="360" w:lineRule="auto"/>
        <w:ind w:left="1890"/>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lastRenderedPageBreak/>
        <w:t xml:space="preserve">lack of options for flexible work or a workplace culture that applies informal or formal penalties for using flexible work options. </w:t>
      </w:r>
      <w:r w:rsidR="00224497">
        <w:rPr>
          <w:rStyle w:val="FootnoteReference"/>
          <w:rFonts w:eastAsia="Times New Roman" w:cs="Times New Roman"/>
          <w:bCs/>
          <w:color w:val="000000" w:themeColor="text1"/>
          <w:sz w:val="28"/>
          <w:szCs w:val="28"/>
        </w:rPr>
        <w:footnoteReference w:id="64"/>
      </w:r>
    </w:p>
    <w:p w14:paraId="6FD31A2A" w14:textId="77777777" w:rsidR="00972AE2" w:rsidRDefault="00972AE2" w:rsidP="00FC17F1">
      <w:pPr>
        <w:spacing w:line="360" w:lineRule="auto"/>
        <w:jc w:val="both"/>
        <w:rPr>
          <w:rFonts w:eastAsia="Times New Roman" w:cs="Times New Roman"/>
          <w:bCs/>
          <w:color w:val="000000" w:themeColor="text1"/>
          <w:sz w:val="28"/>
          <w:szCs w:val="28"/>
        </w:rPr>
      </w:pPr>
    </w:p>
    <w:p w14:paraId="73A5AC62" w14:textId="0B4935A1" w:rsidR="008B3BED" w:rsidRPr="00FC17F1"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 xml:space="preserve">We agree with this analysis. In addition, we consider that the poor performance of the private sector reflects a lack of leadership and commitment to addressing gender equality.   </w:t>
      </w:r>
      <w:r w:rsidRPr="00FC17F1">
        <w:rPr>
          <w:rFonts w:eastAsia="Times New Roman" w:cs="Times New Roman"/>
          <w:bCs/>
          <w:color w:val="000000" w:themeColor="text1"/>
          <w:sz w:val="28"/>
          <w:szCs w:val="28"/>
        </w:rPr>
        <w:tab/>
      </w:r>
    </w:p>
    <w:p w14:paraId="6229AA06" w14:textId="35D32CA1" w:rsidR="008B3BED" w:rsidRPr="00C37B4D" w:rsidRDefault="008B3BED" w:rsidP="00FC17F1">
      <w:pPr>
        <w:pStyle w:val="ListParagraph"/>
        <w:spacing w:line="360" w:lineRule="auto"/>
        <w:ind w:left="1080"/>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ab/>
      </w:r>
    </w:p>
    <w:p w14:paraId="42CE49CB" w14:textId="129B1C9C" w:rsidR="008B3BED" w:rsidRPr="00C37B4D"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There appear to be small pockets in the private sector where business leaders are addressing this issue.</w:t>
      </w:r>
      <w:r w:rsidR="00224497">
        <w:rPr>
          <w:rStyle w:val="FootnoteReference"/>
          <w:rFonts w:eastAsia="Times New Roman" w:cs="Times New Roman"/>
          <w:bCs/>
          <w:color w:val="000000" w:themeColor="text1"/>
          <w:sz w:val="28"/>
          <w:szCs w:val="28"/>
        </w:rPr>
        <w:footnoteReference w:id="65"/>
      </w:r>
      <w:r w:rsidRPr="00FC17F1">
        <w:rPr>
          <w:rFonts w:eastAsia="Times New Roman" w:cs="Times New Roman"/>
          <w:bCs/>
          <w:color w:val="000000" w:themeColor="text1"/>
          <w:sz w:val="28"/>
          <w:szCs w:val="28"/>
        </w:rPr>
        <w:t xml:space="preserve"> For example the New Zealand Law Society (NZLS) has recently launched a “Gender Diversity and Inclusion Charter”. This move reflects the fact that women now make up close to 70% of law graduates, are now just over half of lawyers with practising certificates yet make up less than 30% of those who are partners or directors of firms. Although voluntary, signatories to the Charter are expected to: </w:t>
      </w:r>
    </w:p>
    <w:p w14:paraId="1AC24784" w14:textId="77777777" w:rsidR="008B3BED" w:rsidRPr="00FC17F1" w:rsidRDefault="008B3BED" w:rsidP="00FC17F1">
      <w:pPr>
        <w:pStyle w:val="ListParagraph"/>
        <w:spacing w:line="360" w:lineRule="auto"/>
        <w:jc w:val="both"/>
        <w:rPr>
          <w:rFonts w:eastAsia="Times New Roman" w:cs="Times New Roman"/>
          <w:bCs/>
          <w:color w:val="000000" w:themeColor="text1"/>
          <w:sz w:val="28"/>
          <w:szCs w:val="28"/>
        </w:rPr>
      </w:pPr>
    </w:p>
    <w:p w14:paraId="74EC7052" w14:textId="7A02823D" w:rsidR="008B3BED" w:rsidRPr="00C37B4D" w:rsidRDefault="008B3BED" w:rsidP="00DA2390">
      <w:pPr>
        <w:pStyle w:val="ListParagraph"/>
        <w:numPr>
          <w:ilvl w:val="1"/>
          <w:numId w:val="10"/>
        </w:numPr>
        <w:tabs>
          <w:tab w:val="left" w:pos="1800"/>
        </w:tabs>
        <w:spacing w:line="360" w:lineRule="auto"/>
        <w:ind w:left="1890"/>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develop recruitment, retention and promotion policies that include diversity and inclusion</w:t>
      </w:r>
      <w:r w:rsidR="00B6422A">
        <w:rPr>
          <w:rFonts w:eastAsia="Times New Roman" w:cs="Times New Roman"/>
          <w:bCs/>
          <w:color w:val="000000" w:themeColor="text1"/>
          <w:sz w:val="28"/>
          <w:szCs w:val="28"/>
        </w:rPr>
        <w:t>;</w:t>
      </w:r>
    </w:p>
    <w:p w14:paraId="7CD16985" w14:textId="28920A9A" w:rsidR="008B3BED" w:rsidRPr="00C37B4D" w:rsidRDefault="008B3BED" w:rsidP="00DA2390">
      <w:pPr>
        <w:pStyle w:val="ListParagraph"/>
        <w:numPr>
          <w:ilvl w:val="1"/>
          <w:numId w:val="10"/>
        </w:numPr>
        <w:spacing w:line="360" w:lineRule="auto"/>
        <w:ind w:left="1890"/>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conduct gender pay audits to identify and eliminate gender pay disparities</w:t>
      </w:r>
      <w:r w:rsidR="00B6422A">
        <w:rPr>
          <w:rFonts w:eastAsia="Times New Roman" w:cs="Times New Roman"/>
          <w:bCs/>
          <w:color w:val="000000" w:themeColor="text1"/>
          <w:sz w:val="28"/>
          <w:szCs w:val="28"/>
        </w:rPr>
        <w:t>;</w:t>
      </w:r>
    </w:p>
    <w:p w14:paraId="75421295" w14:textId="5CE5EFEA" w:rsidR="008B3BED" w:rsidRPr="00FC17F1" w:rsidRDefault="008B3BED" w:rsidP="00DA2390">
      <w:pPr>
        <w:pStyle w:val="ListParagraph"/>
        <w:numPr>
          <w:ilvl w:val="1"/>
          <w:numId w:val="10"/>
        </w:numPr>
        <w:spacing w:line="360" w:lineRule="auto"/>
        <w:ind w:left="1890"/>
        <w:jc w:val="both"/>
        <w:rPr>
          <w:rFonts w:eastAsia="Times New Roman" w:cs="Times New Roman"/>
          <w:bCs/>
          <w:color w:val="000000" w:themeColor="text1"/>
          <w:sz w:val="28"/>
          <w:szCs w:val="28"/>
        </w:rPr>
      </w:pPr>
      <w:r w:rsidRPr="00FC17F1">
        <w:rPr>
          <w:rFonts w:eastAsia="Times New Roman" w:cs="Times New Roman"/>
          <w:bCs/>
          <w:color w:val="000000" w:themeColor="text1"/>
          <w:sz w:val="28"/>
          <w:szCs w:val="28"/>
        </w:rPr>
        <w:t>actively work to increase the percentage of women in senior legal roles.</w:t>
      </w:r>
      <w:r w:rsidR="00224497">
        <w:rPr>
          <w:rStyle w:val="FootnoteReference"/>
          <w:rFonts w:eastAsia="Times New Roman" w:cs="Times New Roman"/>
          <w:bCs/>
          <w:color w:val="000000" w:themeColor="text1"/>
          <w:sz w:val="28"/>
          <w:szCs w:val="28"/>
        </w:rPr>
        <w:footnoteReference w:id="66"/>
      </w:r>
      <w:r w:rsidRPr="00FC17F1">
        <w:rPr>
          <w:rFonts w:eastAsia="Times New Roman" w:cs="Times New Roman"/>
          <w:bCs/>
          <w:color w:val="000000" w:themeColor="text1"/>
          <w:sz w:val="28"/>
          <w:szCs w:val="28"/>
        </w:rPr>
        <w:t xml:space="preserve">   </w:t>
      </w:r>
    </w:p>
    <w:p w14:paraId="02CFC1CA" w14:textId="77777777" w:rsidR="008B3BED" w:rsidRPr="00FC17F1" w:rsidRDefault="008B3BED" w:rsidP="00FC17F1">
      <w:pPr>
        <w:spacing w:line="360" w:lineRule="auto"/>
        <w:jc w:val="both"/>
        <w:rPr>
          <w:rFonts w:eastAsia="Times New Roman" w:cs="Times New Roman"/>
          <w:bCs/>
          <w:color w:val="000000" w:themeColor="text1"/>
          <w:sz w:val="28"/>
          <w:szCs w:val="28"/>
        </w:rPr>
      </w:pPr>
    </w:p>
    <w:p w14:paraId="774A05F9" w14:textId="63A54C36" w:rsidR="008B3BED" w:rsidRPr="00FC17F1" w:rsidRDefault="008B3BED" w:rsidP="00DA2390">
      <w:pPr>
        <w:pStyle w:val="ListParagraph"/>
        <w:numPr>
          <w:ilvl w:val="0"/>
          <w:numId w:val="10"/>
        </w:numPr>
        <w:spacing w:line="360" w:lineRule="auto"/>
        <w:jc w:val="both"/>
        <w:rPr>
          <w:rFonts w:eastAsia="Times New Roman" w:cs="Times New Roman"/>
          <w:bCs/>
          <w:color w:val="000000" w:themeColor="text1"/>
          <w:sz w:val="28"/>
          <w:szCs w:val="28"/>
        </w:rPr>
      </w:pPr>
      <w:r w:rsidRPr="00C37B4D">
        <w:rPr>
          <w:rFonts w:eastAsia="Times New Roman" w:cs="Times New Roman"/>
          <w:bCs/>
          <w:color w:val="000000" w:themeColor="text1"/>
          <w:sz w:val="28"/>
          <w:szCs w:val="28"/>
        </w:rPr>
        <w:t xml:space="preserve"> </w:t>
      </w:r>
      <w:r w:rsidRPr="00FC17F1">
        <w:rPr>
          <w:rFonts w:eastAsia="Times New Roman" w:cs="Times New Roman"/>
          <w:bCs/>
          <w:color w:val="000000" w:themeColor="text1"/>
          <w:sz w:val="28"/>
          <w:szCs w:val="28"/>
        </w:rPr>
        <w:t xml:space="preserve">In addition, the NZLS and New Zealand Bar Association have implemented the “Gender Equitable Engagement and Instruction </w:t>
      </w:r>
      <w:r w:rsidRPr="00FC17F1">
        <w:rPr>
          <w:rFonts w:eastAsia="Times New Roman" w:cs="Times New Roman"/>
          <w:bCs/>
          <w:color w:val="000000" w:themeColor="text1"/>
          <w:sz w:val="28"/>
          <w:szCs w:val="28"/>
        </w:rPr>
        <w:lastRenderedPageBreak/>
        <w:t>Policy” which aims to have at least 30% of court proceedings, arbitral proceedings and regulatory investigations led by women lawyers with relevant expertise by 1 December 2018.</w:t>
      </w:r>
      <w:r w:rsidR="00E42D45">
        <w:rPr>
          <w:rStyle w:val="FootnoteReference"/>
          <w:rFonts w:eastAsia="Times New Roman" w:cs="Times New Roman"/>
          <w:bCs/>
          <w:color w:val="000000" w:themeColor="text1"/>
          <w:sz w:val="28"/>
          <w:szCs w:val="28"/>
        </w:rPr>
        <w:footnoteReference w:id="67"/>
      </w:r>
      <w:r w:rsidRPr="00FC17F1">
        <w:rPr>
          <w:rFonts w:eastAsia="Times New Roman" w:cs="Times New Roman"/>
          <w:bCs/>
          <w:color w:val="000000" w:themeColor="text1"/>
          <w:sz w:val="28"/>
          <w:szCs w:val="28"/>
        </w:rPr>
        <w:t xml:space="preserve"> In announcing the policy, the NZLS acknowledged the disadvantage faced by many women barristers because of attitudinal mind</w:t>
      </w:r>
      <w:r w:rsidR="00B6422A">
        <w:rPr>
          <w:rFonts w:eastAsia="Times New Roman" w:cs="Times New Roman"/>
          <w:bCs/>
          <w:color w:val="000000" w:themeColor="text1"/>
          <w:sz w:val="28"/>
          <w:szCs w:val="28"/>
        </w:rPr>
        <w:t>-</w:t>
      </w:r>
      <w:r w:rsidRPr="00FC17F1">
        <w:rPr>
          <w:rFonts w:eastAsia="Times New Roman" w:cs="Times New Roman"/>
          <w:bCs/>
          <w:color w:val="000000" w:themeColor="text1"/>
          <w:sz w:val="28"/>
          <w:szCs w:val="28"/>
        </w:rPr>
        <w:t>sets among law firms and clients.  It stated that “this policy is aimed at driving cultural change and giving greater opportunities to women.”</w:t>
      </w:r>
      <w:r w:rsidR="00E42D45">
        <w:rPr>
          <w:rStyle w:val="FootnoteReference"/>
          <w:rFonts w:eastAsia="Times New Roman" w:cs="Times New Roman"/>
          <w:bCs/>
          <w:color w:val="000000" w:themeColor="text1"/>
          <w:sz w:val="28"/>
          <w:szCs w:val="28"/>
        </w:rPr>
        <w:footnoteReference w:id="68"/>
      </w:r>
      <w:r w:rsidRPr="00FC17F1">
        <w:rPr>
          <w:rFonts w:eastAsia="Times New Roman" w:cs="Times New Roman"/>
          <w:bCs/>
          <w:color w:val="000000" w:themeColor="text1"/>
          <w:sz w:val="28"/>
          <w:szCs w:val="28"/>
        </w:rPr>
        <w:t xml:space="preserve">   </w:t>
      </w:r>
    </w:p>
    <w:p w14:paraId="27BF13AE" w14:textId="77777777" w:rsidR="00972AE2" w:rsidRDefault="00972AE2" w:rsidP="00FC17F1">
      <w:pPr>
        <w:spacing w:line="360" w:lineRule="auto"/>
        <w:jc w:val="both"/>
        <w:rPr>
          <w:rFonts w:eastAsia="Times New Roman" w:cs="Times New Roman"/>
          <w:bCs/>
          <w:color w:val="000000" w:themeColor="text1"/>
          <w:sz w:val="28"/>
          <w:szCs w:val="28"/>
        </w:rPr>
      </w:pPr>
    </w:p>
    <w:p w14:paraId="4BA39759" w14:textId="6862B04F" w:rsidR="008B3BED" w:rsidRPr="00FC17F1" w:rsidRDefault="00972AE2" w:rsidP="00FC17F1">
      <w:pPr>
        <w:spacing w:line="360" w:lineRule="auto"/>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Recommendations</w:t>
      </w:r>
    </w:p>
    <w:p w14:paraId="136AE54C" w14:textId="0792911C" w:rsidR="008B3BED" w:rsidRPr="00FC17F1" w:rsidRDefault="008B3BED" w:rsidP="00DA2390">
      <w:pPr>
        <w:pStyle w:val="ListParagraph"/>
        <w:numPr>
          <w:ilvl w:val="0"/>
          <w:numId w:val="10"/>
        </w:numPr>
        <w:spacing w:line="360" w:lineRule="auto"/>
        <w:jc w:val="both"/>
        <w:rPr>
          <w:rFonts w:eastAsia="Times New Roman" w:cs="Times New Roman"/>
          <w:b/>
          <w:bCs/>
          <w:color w:val="000000" w:themeColor="text1"/>
          <w:sz w:val="28"/>
          <w:szCs w:val="28"/>
        </w:rPr>
      </w:pPr>
      <w:r w:rsidRPr="00C37B4D">
        <w:rPr>
          <w:rFonts w:eastAsia="Times New Roman" w:cs="Times New Roman"/>
          <w:bCs/>
          <w:color w:val="000000" w:themeColor="text1"/>
          <w:sz w:val="28"/>
          <w:szCs w:val="28"/>
        </w:rPr>
        <w:t xml:space="preserve"> </w:t>
      </w:r>
      <w:r w:rsidR="0063011E" w:rsidRPr="00FC17F1">
        <w:rPr>
          <w:rFonts w:eastAsia="Times New Roman" w:cs="Times New Roman"/>
          <w:b/>
          <w:bCs/>
          <w:color w:val="000000" w:themeColor="text1"/>
          <w:sz w:val="28"/>
          <w:szCs w:val="28"/>
        </w:rPr>
        <w:t>The HRF recommends that</w:t>
      </w:r>
      <w:r w:rsidRPr="00FC17F1">
        <w:rPr>
          <w:rFonts w:eastAsia="Times New Roman" w:cs="Times New Roman"/>
          <w:b/>
          <w:bCs/>
          <w:color w:val="000000" w:themeColor="text1"/>
          <w:sz w:val="28"/>
          <w:szCs w:val="28"/>
        </w:rPr>
        <w:t xml:space="preserve"> the Committee encourage the New Zealand government to support or adopt the following measures:</w:t>
      </w:r>
    </w:p>
    <w:p w14:paraId="2D12B196" w14:textId="77777777" w:rsidR="00972AE2" w:rsidRPr="00FC17F1" w:rsidRDefault="00972AE2" w:rsidP="00FC17F1">
      <w:pPr>
        <w:pStyle w:val="ListParagraph"/>
        <w:spacing w:line="360" w:lineRule="auto"/>
        <w:ind w:left="360"/>
        <w:jc w:val="both"/>
        <w:rPr>
          <w:rFonts w:eastAsia="Times New Roman" w:cs="Times New Roman"/>
          <w:b/>
          <w:bCs/>
          <w:color w:val="000000" w:themeColor="text1"/>
          <w:sz w:val="28"/>
          <w:szCs w:val="28"/>
        </w:rPr>
      </w:pPr>
    </w:p>
    <w:p w14:paraId="3B20A9CB" w14:textId="1CD59CFD" w:rsidR="008B3BED" w:rsidRPr="00FC17F1" w:rsidRDefault="008B3BED" w:rsidP="00DA2390">
      <w:pPr>
        <w:pStyle w:val="ListParagraph"/>
        <w:numPr>
          <w:ilvl w:val="0"/>
          <w:numId w:val="7"/>
        </w:numPr>
        <w:spacing w:line="360" w:lineRule="auto"/>
        <w:ind w:left="171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The government and public sector must continue to play a leading role in promoting and reporting on gender diversity. Reporting comprehensively on and achieving gender diversity should be included in the key performance indic</w:t>
      </w:r>
      <w:r w:rsidR="00972AE2" w:rsidRPr="00FC17F1">
        <w:rPr>
          <w:rFonts w:eastAsia="Times New Roman" w:cs="Times New Roman"/>
          <w:b/>
          <w:bCs/>
          <w:color w:val="000000" w:themeColor="text1"/>
          <w:sz w:val="28"/>
          <w:szCs w:val="28"/>
        </w:rPr>
        <w:t>ators of all public sector CEOs.</w:t>
      </w:r>
      <w:r w:rsidRPr="00FC17F1">
        <w:rPr>
          <w:rFonts w:eastAsia="Times New Roman" w:cs="Times New Roman"/>
          <w:b/>
          <w:bCs/>
          <w:color w:val="000000" w:themeColor="text1"/>
          <w:sz w:val="28"/>
          <w:szCs w:val="28"/>
        </w:rPr>
        <w:t xml:space="preserve"> </w:t>
      </w:r>
      <w:r w:rsidR="00B553B9" w:rsidRPr="00FC17F1">
        <w:rPr>
          <w:rStyle w:val="FootnoteReference"/>
          <w:rFonts w:eastAsia="Times New Roman" w:cs="Times New Roman"/>
          <w:b/>
          <w:bCs/>
          <w:color w:val="000000" w:themeColor="text1"/>
          <w:sz w:val="28"/>
          <w:szCs w:val="28"/>
        </w:rPr>
        <w:footnoteReference w:id="69"/>
      </w:r>
    </w:p>
    <w:p w14:paraId="38EBAAEB" w14:textId="77777777" w:rsidR="005B00DA" w:rsidRPr="00FC17F1" w:rsidRDefault="005B00DA" w:rsidP="00FC17F1">
      <w:pPr>
        <w:pStyle w:val="ListParagraph"/>
        <w:spacing w:line="360" w:lineRule="auto"/>
        <w:jc w:val="both"/>
        <w:rPr>
          <w:rFonts w:eastAsia="Times New Roman" w:cs="Times New Roman"/>
          <w:b/>
          <w:bCs/>
          <w:color w:val="000000" w:themeColor="text1"/>
          <w:sz w:val="28"/>
          <w:szCs w:val="28"/>
        </w:rPr>
      </w:pPr>
    </w:p>
    <w:p w14:paraId="08B9F703" w14:textId="77777777" w:rsidR="008B3BED" w:rsidRPr="00FC17F1" w:rsidRDefault="008B3BED" w:rsidP="00DA2390">
      <w:pPr>
        <w:pStyle w:val="ListParagraph"/>
        <w:numPr>
          <w:ilvl w:val="0"/>
          <w:numId w:val="7"/>
        </w:numPr>
        <w:tabs>
          <w:tab w:val="left" w:pos="900"/>
          <w:tab w:val="left" w:pos="1440"/>
          <w:tab w:val="left" w:pos="1710"/>
        </w:tabs>
        <w:spacing w:line="360" w:lineRule="auto"/>
        <w:ind w:left="171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 xml:space="preserve">The government should ensure that at least 50% of new appointments to public sector boards are women.  </w:t>
      </w:r>
    </w:p>
    <w:p w14:paraId="65D4FBAF" w14:textId="77777777" w:rsidR="008B3BED" w:rsidRPr="00FC17F1" w:rsidRDefault="008B3BED" w:rsidP="00FC17F1">
      <w:pPr>
        <w:pStyle w:val="ListParagraph"/>
        <w:spacing w:line="360" w:lineRule="auto"/>
        <w:ind w:left="1800"/>
        <w:jc w:val="both"/>
        <w:rPr>
          <w:rFonts w:eastAsia="Times New Roman" w:cs="Times New Roman"/>
          <w:b/>
          <w:bCs/>
          <w:color w:val="000000" w:themeColor="text1"/>
          <w:sz w:val="28"/>
          <w:szCs w:val="28"/>
        </w:rPr>
      </w:pPr>
    </w:p>
    <w:p w14:paraId="36C867A7" w14:textId="4098541F" w:rsidR="008B3BED" w:rsidRPr="00FC17F1" w:rsidRDefault="008B3BED" w:rsidP="00DA2390">
      <w:pPr>
        <w:pStyle w:val="ListParagraph"/>
        <w:numPr>
          <w:ilvl w:val="0"/>
          <w:numId w:val="7"/>
        </w:numPr>
        <w:spacing w:line="360" w:lineRule="auto"/>
        <w:ind w:left="171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 xml:space="preserve">Serious consideration be given to legislative measures requiring businesses of a certain size to produce and implement equal employment opportunity programmes with minimum mandatory requirements including measurable targets. There is a wealth of literature on producing such </w:t>
      </w:r>
      <w:r w:rsidRPr="00FC17F1">
        <w:rPr>
          <w:rFonts w:eastAsia="Times New Roman" w:cs="Times New Roman"/>
          <w:b/>
          <w:bCs/>
          <w:color w:val="000000" w:themeColor="text1"/>
          <w:sz w:val="28"/>
          <w:szCs w:val="28"/>
        </w:rPr>
        <w:lastRenderedPageBreak/>
        <w:t>programmes and the most effective measures.</w:t>
      </w:r>
      <w:r w:rsidR="00B6422A" w:rsidRPr="00FC17F1">
        <w:rPr>
          <w:rFonts w:eastAsia="Times New Roman" w:cs="Times New Roman"/>
          <w:b/>
          <w:bCs/>
          <w:color w:val="000000" w:themeColor="text1"/>
          <w:sz w:val="28"/>
          <w:szCs w:val="28"/>
        </w:rPr>
        <w:t xml:space="preserve"> </w:t>
      </w:r>
      <w:r w:rsidRPr="00FC17F1">
        <w:rPr>
          <w:rFonts w:eastAsia="Times New Roman" w:cs="Times New Roman"/>
          <w:b/>
          <w:bCs/>
          <w:color w:val="000000" w:themeColor="text1"/>
          <w:sz w:val="28"/>
          <w:szCs w:val="28"/>
        </w:rPr>
        <w:t xml:space="preserve">Businesses that do not comply could face sanctions, including fines. </w:t>
      </w:r>
    </w:p>
    <w:p w14:paraId="6D1FF689" w14:textId="77777777" w:rsidR="00972AE2" w:rsidRPr="00FC17F1" w:rsidRDefault="00972AE2" w:rsidP="00FC17F1">
      <w:pPr>
        <w:pStyle w:val="ListParagraph"/>
        <w:jc w:val="both"/>
        <w:rPr>
          <w:rFonts w:eastAsia="Times New Roman" w:cs="Times New Roman"/>
          <w:b/>
          <w:bCs/>
          <w:color w:val="000000" w:themeColor="text1"/>
          <w:sz w:val="28"/>
          <w:szCs w:val="28"/>
        </w:rPr>
      </w:pPr>
    </w:p>
    <w:p w14:paraId="3F34F175" w14:textId="6325EB24" w:rsidR="00972AE2" w:rsidRPr="00FC17F1" w:rsidRDefault="00972AE2" w:rsidP="00DA2390">
      <w:pPr>
        <w:pStyle w:val="ListParagraph"/>
        <w:numPr>
          <w:ilvl w:val="0"/>
          <w:numId w:val="7"/>
        </w:numPr>
        <w:spacing w:line="360" w:lineRule="auto"/>
        <w:ind w:left="171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The local government sector, including local authorities, should also be required by legislation to implement and report on appropriate equal employment opportunity programmes with measurable targets. Section 40 of the Local Government Act 2002 requires local authorities to prepare a local governance statement that includes information on “equal employment opportunities policy.”</w:t>
      </w:r>
      <w:r w:rsidR="00B6422A" w:rsidRPr="00FC17F1">
        <w:rPr>
          <w:rFonts w:eastAsia="Times New Roman" w:cs="Times New Roman"/>
          <w:b/>
          <w:bCs/>
          <w:color w:val="000000" w:themeColor="text1"/>
          <w:sz w:val="28"/>
          <w:szCs w:val="28"/>
        </w:rPr>
        <w:t xml:space="preserve"> </w:t>
      </w:r>
      <w:r w:rsidRPr="00FC17F1">
        <w:rPr>
          <w:rFonts w:eastAsia="Times New Roman" w:cs="Times New Roman"/>
          <w:b/>
          <w:bCs/>
          <w:color w:val="000000" w:themeColor="text1"/>
          <w:sz w:val="28"/>
          <w:szCs w:val="28"/>
        </w:rPr>
        <w:t>This is too general and contains no sanctions for inadequate programmes or policies. It is time for New Zealand to be serious on promoting and achieving equity for women at all levels of the workforce.</w:t>
      </w:r>
    </w:p>
    <w:p w14:paraId="785FB632" w14:textId="77777777" w:rsidR="00AD76AA" w:rsidRPr="00FC17F1" w:rsidRDefault="00AD76AA" w:rsidP="00FC17F1">
      <w:pPr>
        <w:pStyle w:val="ListParagraph"/>
        <w:spacing w:line="360" w:lineRule="auto"/>
        <w:ind w:left="1800"/>
        <w:jc w:val="both"/>
        <w:rPr>
          <w:rFonts w:cs="Times New Roman"/>
          <w:b/>
          <w:sz w:val="28"/>
          <w:szCs w:val="28"/>
        </w:rPr>
      </w:pPr>
    </w:p>
    <w:p w14:paraId="56614618" w14:textId="4F04C86D" w:rsidR="00C76CE0" w:rsidRPr="00FC17F1" w:rsidRDefault="00C76CE0" w:rsidP="00DA2390">
      <w:pPr>
        <w:pStyle w:val="ListParagraph"/>
        <w:numPr>
          <w:ilvl w:val="0"/>
          <w:numId w:val="7"/>
        </w:numPr>
        <w:spacing w:line="360" w:lineRule="auto"/>
        <w:ind w:left="1710"/>
        <w:jc w:val="both"/>
        <w:rPr>
          <w:rFonts w:cs="Times New Roman"/>
          <w:b/>
          <w:sz w:val="28"/>
          <w:szCs w:val="28"/>
        </w:rPr>
      </w:pPr>
      <w:r w:rsidRPr="00FC17F1">
        <w:rPr>
          <w:rFonts w:cs="Times New Roman"/>
          <w:b/>
          <w:sz w:val="28"/>
          <w:szCs w:val="28"/>
        </w:rPr>
        <w:t>The achievement of gender equality needs to take into account the impact of ‘multiple discrimination’ as an obstacle for the achievement of gender equality for all women in Aotearoa New Zealand.</w:t>
      </w:r>
    </w:p>
    <w:p w14:paraId="06E33B29" w14:textId="77777777" w:rsidR="00C76CE0" w:rsidRPr="00FC17F1" w:rsidRDefault="00C76CE0" w:rsidP="00FC17F1">
      <w:pPr>
        <w:spacing w:line="360" w:lineRule="auto"/>
        <w:jc w:val="both"/>
        <w:rPr>
          <w:rFonts w:eastAsia="Times New Roman" w:cs="Times New Roman"/>
          <w:b/>
          <w:bCs/>
          <w:color w:val="000000" w:themeColor="text1"/>
          <w:sz w:val="28"/>
          <w:szCs w:val="28"/>
        </w:rPr>
      </w:pPr>
    </w:p>
    <w:p w14:paraId="78030CA5" w14:textId="77777777" w:rsidR="00EE1D29" w:rsidRPr="00FC17F1" w:rsidRDefault="00EE1D29" w:rsidP="00FC17F1">
      <w:pPr>
        <w:spacing w:line="360" w:lineRule="auto"/>
        <w:ind w:left="360"/>
        <w:jc w:val="both"/>
        <w:rPr>
          <w:rFonts w:cs="Times New Roman"/>
          <w:b/>
          <w:color w:val="000000" w:themeColor="text1"/>
          <w:sz w:val="28"/>
          <w:szCs w:val="28"/>
        </w:rPr>
      </w:pPr>
      <w:bookmarkStart w:id="1" w:name="h.2454cpts3431"/>
      <w:bookmarkEnd w:id="1"/>
    </w:p>
    <w:p w14:paraId="6ACCAB7A" w14:textId="6F54F704" w:rsidR="00154BE2" w:rsidRPr="00FC17F1" w:rsidRDefault="00B24DE6"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 xml:space="preserve">Article </w:t>
      </w:r>
      <w:r w:rsidR="00857B13" w:rsidRPr="00FC17F1">
        <w:rPr>
          <w:rFonts w:cs="Times New Roman"/>
          <w:b/>
          <w:smallCaps/>
          <w:color w:val="000000" w:themeColor="text1"/>
          <w:sz w:val="28"/>
          <w:szCs w:val="28"/>
        </w:rPr>
        <w:t>6</w:t>
      </w:r>
      <w:r w:rsidRPr="00FC17F1">
        <w:rPr>
          <w:rFonts w:cs="Times New Roman"/>
          <w:b/>
          <w:smallCaps/>
          <w:color w:val="000000" w:themeColor="text1"/>
          <w:sz w:val="28"/>
          <w:szCs w:val="28"/>
        </w:rPr>
        <w:t xml:space="preserve">: The Right to </w:t>
      </w:r>
      <w:r w:rsidR="00857B13" w:rsidRPr="00FC17F1">
        <w:rPr>
          <w:rFonts w:cs="Times New Roman"/>
          <w:b/>
          <w:smallCaps/>
          <w:color w:val="000000" w:themeColor="text1"/>
          <w:sz w:val="28"/>
          <w:szCs w:val="28"/>
        </w:rPr>
        <w:t>work</w:t>
      </w:r>
    </w:p>
    <w:p w14:paraId="29953A82" w14:textId="77777777" w:rsidR="00DB6F71" w:rsidRPr="00FC17F1" w:rsidRDefault="00DB6F71" w:rsidP="00FC17F1">
      <w:pPr>
        <w:spacing w:line="360" w:lineRule="auto"/>
        <w:jc w:val="both"/>
        <w:rPr>
          <w:rFonts w:cs="Times New Roman"/>
          <w:b/>
          <w:smallCaps/>
          <w:color w:val="000000" w:themeColor="text1"/>
          <w:sz w:val="28"/>
          <w:szCs w:val="28"/>
        </w:rPr>
      </w:pPr>
    </w:p>
    <w:p w14:paraId="50995F0D" w14:textId="395B862D" w:rsidR="00B24DE6" w:rsidRDefault="00FE152C" w:rsidP="00FC17F1">
      <w:pPr>
        <w:spacing w:line="360" w:lineRule="auto"/>
        <w:jc w:val="both"/>
        <w:rPr>
          <w:rFonts w:cs="Times New Roman"/>
          <w:i/>
          <w:color w:val="000000" w:themeColor="text1"/>
          <w:sz w:val="28"/>
          <w:szCs w:val="28"/>
        </w:rPr>
      </w:pPr>
      <w:r>
        <w:rPr>
          <w:rFonts w:cs="Times New Roman"/>
          <w:i/>
          <w:color w:val="000000" w:themeColor="text1"/>
          <w:sz w:val="28"/>
          <w:szCs w:val="28"/>
        </w:rPr>
        <w:t xml:space="preserve">Question </w:t>
      </w:r>
      <w:r w:rsidR="0087677A" w:rsidRPr="00FC17F1">
        <w:rPr>
          <w:rFonts w:cs="Times New Roman"/>
          <w:i/>
          <w:color w:val="000000" w:themeColor="text1"/>
          <w:sz w:val="28"/>
          <w:szCs w:val="28"/>
        </w:rPr>
        <w:t>12</w:t>
      </w:r>
      <w:r w:rsidR="004337EB" w:rsidRPr="00FC17F1">
        <w:rPr>
          <w:rFonts w:cs="Times New Roman"/>
          <w:i/>
          <w:color w:val="000000" w:themeColor="text1"/>
          <w:sz w:val="28"/>
          <w:szCs w:val="28"/>
        </w:rPr>
        <w:t>:</w:t>
      </w:r>
      <w:r w:rsidR="00EA7B2A" w:rsidRPr="00FC17F1">
        <w:rPr>
          <w:rFonts w:cs="Times New Roman"/>
          <w:i/>
          <w:color w:val="000000" w:themeColor="text1"/>
          <w:sz w:val="28"/>
          <w:szCs w:val="28"/>
        </w:rPr>
        <w:t xml:space="preserve"> </w:t>
      </w:r>
      <w:r w:rsidR="00857B13" w:rsidRPr="00FC17F1">
        <w:rPr>
          <w:rFonts w:cs="Times New Roman"/>
          <w:i/>
          <w:color w:val="000000" w:themeColor="text1"/>
          <w:sz w:val="28"/>
          <w:szCs w:val="28"/>
        </w:rPr>
        <w:t>Please provide information on the impact of measures taken to promote</w:t>
      </w:r>
      <w:r w:rsidR="00063880" w:rsidRPr="00FC17F1">
        <w:rPr>
          <w:rFonts w:cs="Times New Roman"/>
          <w:i/>
          <w:color w:val="000000" w:themeColor="text1"/>
          <w:sz w:val="28"/>
          <w:szCs w:val="28"/>
        </w:rPr>
        <w:t xml:space="preserve"> </w:t>
      </w:r>
      <w:r w:rsidR="00857B13" w:rsidRPr="00FC17F1">
        <w:rPr>
          <w:rFonts w:cs="Times New Roman"/>
          <w:i/>
          <w:color w:val="000000" w:themeColor="text1"/>
          <w:sz w:val="28"/>
          <w:szCs w:val="28"/>
        </w:rPr>
        <w:t>adequate employment for women, Māori, persons with disabilities and young</w:t>
      </w:r>
      <w:r w:rsidR="00063880" w:rsidRPr="00FC17F1">
        <w:rPr>
          <w:rFonts w:cs="Times New Roman"/>
          <w:i/>
          <w:color w:val="000000" w:themeColor="text1"/>
          <w:sz w:val="28"/>
          <w:szCs w:val="28"/>
        </w:rPr>
        <w:t xml:space="preserve"> </w:t>
      </w:r>
      <w:r w:rsidR="00857B13" w:rsidRPr="00FC17F1">
        <w:rPr>
          <w:rFonts w:cs="Times New Roman"/>
          <w:i/>
          <w:color w:val="000000" w:themeColor="text1"/>
          <w:sz w:val="28"/>
          <w:szCs w:val="28"/>
        </w:rPr>
        <w:t>persons.</w:t>
      </w:r>
    </w:p>
    <w:p w14:paraId="70CE4AF4" w14:textId="77777777" w:rsidR="004A699E" w:rsidRPr="00FC17F1" w:rsidRDefault="004A699E" w:rsidP="00FC17F1">
      <w:pPr>
        <w:spacing w:line="360" w:lineRule="auto"/>
        <w:jc w:val="both"/>
        <w:rPr>
          <w:rFonts w:cs="Times New Roman"/>
          <w:i/>
          <w:color w:val="000000" w:themeColor="text1"/>
          <w:sz w:val="28"/>
          <w:szCs w:val="28"/>
        </w:rPr>
      </w:pPr>
    </w:p>
    <w:p w14:paraId="1BFF214A" w14:textId="455E1F91" w:rsidR="00E92B27" w:rsidRPr="00FC17F1" w:rsidRDefault="0063011E" w:rsidP="00FC17F1">
      <w:pPr>
        <w:spacing w:line="360" w:lineRule="auto"/>
        <w:ind w:left="630"/>
        <w:jc w:val="both"/>
        <w:rPr>
          <w:rFonts w:cs="Times New Roman"/>
          <w:b/>
          <w:sz w:val="28"/>
          <w:szCs w:val="28"/>
        </w:rPr>
      </w:pPr>
      <w:r w:rsidRPr="00FC17F1">
        <w:rPr>
          <w:rFonts w:cs="Times New Roman"/>
          <w:b/>
          <w:sz w:val="28"/>
          <w:szCs w:val="28"/>
        </w:rPr>
        <w:t xml:space="preserve">The HRF endorses the </w:t>
      </w:r>
      <w:r w:rsidR="00636883">
        <w:rPr>
          <w:rFonts w:cs="Times New Roman"/>
          <w:b/>
          <w:sz w:val="28"/>
          <w:szCs w:val="28"/>
        </w:rPr>
        <w:t>report</w:t>
      </w:r>
      <w:r w:rsidRPr="00FC17F1">
        <w:rPr>
          <w:rFonts w:cs="Times New Roman"/>
          <w:b/>
          <w:sz w:val="28"/>
          <w:szCs w:val="28"/>
        </w:rPr>
        <w:t xml:space="preserve"> of</w:t>
      </w:r>
      <w:r w:rsidR="00972AE2" w:rsidRPr="00FC17F1">
        <w:rPr>
          <w:rFonts w:cs="Times New Roman"/>
          <w:b/>
          <w:sz w:val="28"/>
          <w:szCs w:val="28"/>
        </w:rPr>
        <w:t xml:space="preserve"> </w:t>
      </w:r>
      <w:r w:rsidRPr="00FC17F1">
        <w:rPr>
          <w:rFonts w:cs="Times New Roman"/>
          <w:b/>
          <w:sz w:val="28"/>
          <w:szCs w:val="28"/>
        </w:rPr>
        <w:t xml:space="preserve">the </w:t>
      </w:r>
      <w:r w:rsidR="008E1953" w:rsidRPr="00FC17F1">
        <w:rPr>
          <w:rFonts w:cs="Times New Roman"/>
          <w:b/>
          <w:sz w:val="28"/>
          <w:szCs w:val="28"/>
        </w:rPr>
        <w:t>CTU</w:t>
      </w:r>
      <w:r w:rsidRPr="00FC17F1">
        <w:rPr>
          <w:rFonts w:cs="Times New Roman"/>
          <w:b/>
          <w:sz w:val="28"/>
          <w:szCs w:val="28"/>
        </w:rPr>
        <w:t xml:space="preserve"> </w:t>
      </w:r>
      <w:r w:rsidR="00636883">
        <w:rPr>
          <w:rFonts w:cs="Times New Roman"/>
          <w:b/>
          <w:sz w:val="28"/>
          <w:szCs w:val="28"/>
        </w:rPr>
        <w:t>in paragraphs 5.3-5.11</w:t>
      </w:r>
    </w:p>
    <w:p w14:paraId="3C91C080" w14:textId="77777777" w:rsidR="00AD76AA" w:rsidRPr="00FC17F1" w:rsidRDefault="00AD76AA" w:rsidP="00FC17F1">
      <w:pPr>
        <w:spacing w:line="360" w:lineRule="auto"/>
        <w:jc w:val="both"/>
        <w:rPr>
          <w:rFonts w:cs="Times New Roman"/>
          <w:b/>
          <w:color w:val="000000" w:themeColor="text1"/>
          <w:sz w:val="28"/>
          <w:szCs w:val="28"/>
        </w:rPr>
      </w:pPr>
    </w:p>
    <w:p w14:paraId="4D258027" w14:textId="77777777" w:rsidR="006346C7" w:rsidRPr="00FC17F1" w:rsidRDefault="006346C7" w:rsidP="00FC17F1">
      <w:pPr>
        <w:spacing w:line="360" w:lineRule="auto"/>
        <w:jc w:val="both"/>
        <w:rPr>
          <w:rFonts w:cs="Times New Roman"/>
          <w:b/>
          <w:smallCaps/>
          <w:sz w:val="28"/>
          <w:szCs w:val="28"/>
        </w:rPr>
      </w:pPr>
    </w:p>
    <w:p w14:paraId="32B24078" w14:textId="492F03EC" w:rsidR="00B24DE6" w:rsidRPr="00FC17F1" w:rsidRDefault="00B24DE6" w:rsidP="00FC17F1">
      <w:pPr>
        <w:spacing w:line="360" w:lineRule="auto"/>
        <w:jc w:val="both"/>
        <w:rPr>
          <w:rFonts w:cs="Times New Roman"/>
          <w:b/>
          <w:smallCaps/>
          <w:sz w:val="28"/>
          <w:szCs w:val="28"/>
        </w:rPr>
      </w:pPr>
      <w:r w:rsidRPr="00FC17F1">
        <w:rPr>
          <w:rFonts w:cs="Times New Roman"/>
          <w:b/>
          <w:smallCaps/>
          <w:sz w:val="28"/>
          <w:szCs w:val="28"/>
        </w:rPr>
        <w:t xml:space="preserve">Article </w:t>
      </w:r>
      <w:r w:rsidR="00857B13" w:rsidRPr="00FC17F1">
        <w:rPr>
          <w:rFonts w:cs="Times New Roman"/>
          <w:b/>
          <w:smallCaps/>
          <w:sz w:val="28"/>
          <w:szCs w:val="28"/>
        </w:rPr>
        <w:t>7</w:t>
      </w:r>
      <w:r w:rsidRPr="00FC17F1">
        <w:rPr>
          <w:rFonts w:cs="Times New Roman"/>
          <w:b/>
          <w:iCs/>
          <w:sz w:val="28"/>
          <w:szCs w:val="28"/>
        </w:rPr>
        <w:t>:</w:t>
      </w:r>
      <w:r w:rsidRPr="00FC17F1">
        <w:rPr>
          <w:rFonts w:cs="Times New Roman"/>
          <w:b/>
          <w:smallCaps/>
          <w:sz w:val="28"/>
          <w:szCs w:val="28"/>
        </w:rPr>
        <w:t xml:space="preserve"> The Right to </w:t>
      </w:r>
      <w:r w:rsidR="00857B13" w:rsidRPr="00FC17F1">
        <w:rPr>
          <w:rFonts w:cs="Times New Roman"/>
          <w:b/>
          <w:smallCaps/>
          <w:sz w:val="28"/>
          <w:szCs w:val="28"/>
        </w:rPr>
        <w:t>just and favourable conditions of work</w:t>
      </w:r>
    </w:p>
    <w:p w14:paraId="7B600F6F" w14:textId="77777777" w:rsidR="00B24DE6" w:rsidRPr="00FC17F1" w:rsidRDefault="00B24DE6" w:rsidP="00FC17F1">
      <w:pPr>
        <w:spacing w:line="360" w:lineRule="auto"/>
        <w:jc w:val="both"/>
        <w:rPr>
          <w:rFonts w:cs="Times New Roman"/>
          <w:sz w:val="28"/>
          <w:szCs w:val="28"/>
        </w:rPr>
      </w:pPr>
    </w:p>
    <w:p w14:paraId="08418DFE" w14:textId="073736FB" w:rsidR="001C04FD" w:rsidRDefault="00FE152C" w:rsidP="00FC17F1">
      <w:pPr>
        <w:spacing w:line="360" w:lineRule="auto"/>
        <w:jc w:val="both"/>
        <w:rPr>
          <w:rFonts w:cs="Times New Roman"/>
          <w:i/>
          <w:sz w:val="28"/>
          <w:szCs w:val="28"/>
        </w:rPr>
      </w:pPr>
      <w:r>
        <w:rPr>
          <w:rFonts w:cs="Times New Roman"/>
          <w:i/>
          <w:sz w:val="28"/>
          <w:szCs w:val="28"/>
        </w:rPr>
        <w:t>Question</w:t>
      </w:r>
      <w:r w:rsidR="00B24DE6" w:rsidRPr="00FC17F1">
        <w:rPr>
          <w:rFonts w:cs="Times New Roman"/>
          <w:i/>
          <w:sz w:val="28"/>
          <w:szCs w:val="28"/>
        </w:rPr>
        <w:t xml:space="preserve"> 1</w:t>
      </w:r>
      <w:r w:rsidR="00E92B27" w:rsidRPr="00FC17F1">
        <w:rPr>
          <w:rFonts w:cs="Times New Roman"/>
          <w:i/>
          <w:sz w:val="28"/>
          <w:szCs w:val="28"/>
        </w:rPr>
        <w:t>3</w:t>
      </w:r>
      <w:r w:rsidR="00B24DE6" w:rsidRPr="00FC17F1">
        <w:rPr>
          <w:rFonts w:cs="Times New Roman"/>
          <w:i/>
          <w:sz w:val="28"/>
          <w:szCs w:val="28"/>
        </w:rPr>
        <w:t>:</w:t>
      </w:r>
      <w:r w:rsidR="00857B13" w:rsidRPr="00FC17F1">
        <w:rPr>
          <w:rFonts w:cs="Times New Roman"/>
          <w:sz w:val="28"/>
          <w:szCs w:val="28"/>
        </w:rPr>
        <w:t xml:space="preserve"> </w:t>
      </w:r>
      <w:r w:rsidR="00857B13" w:rsidRPr="00FC17F1">
        <w:rPr>
          <w:rFonts w:cs="Times New Roman"/>
          <w:i/>
          <w:sz w:val="28"/>
          <w:szCs w:val="28"/>
        </w:rPr>
        <w:t>Please report on steps taken to address the prevalence of insecure-work</w:t>
      </w:r>
      <w:r w:rsidR="001C04FD" w:rsidRPr="00FC17F1">
        <w:rPr>
          <w:rFonts w:cs="Times New Roman"/>
          <w:i/>
          <w:sz w:val="28"/>
          <w:szCs w:val="28"/>
        </w:rPr>
        <w:t xml:space="preserve"> </w:t>
      </w:r>
      <w:r w:rsidR="00857B13" w:rsidRPr="00FC17F1">
        <w:rPr>
          <w:rFonts w:cs="Times New Roman"/>
          <w:i/>
          <w:sz w:val="28"/>
          <w:szCs w:val="28"/>
        </w:rPr>
        <w:t>arrangements and on how the right to just and favourable conditions of work is</w:t>
      </w:r>
      <w:r w:rsidR="001C04FD" w:rsidRPr="00FC17F1">
        <w:rPr>
          <w:rFonts w:cs="Times New Roman"/>
          <w:i/>
          <w:sz w:val="28"/>
          <w:szCs w:val="28"/>
        </w:rPr>
        <w:t xml:space="preserve"> </w:t>
      </w:r>
      <w:r w:rsidR="00857B13" w:rsidRPr="00FC17F1">
        <w:rPr>
          <w:rFonts w:cs="Times New Roman"/>
          <w:i/>
          <w:sz w:val="28"/>
          <w:szCs w:val="28"/>
        </w:rPr>
        <w:t>realized, for example, for workers who are required to be available for work</w:t>
      </w:r>
      <w:r w:rsidR="001C04FD" w:rsidRPr="00FC17F1">
        <w:rPr>
          <w:rFonts w:cs="Times New Roman"/>
          <w:i/>
          <w:sz w:val="28"/>
          <w:szCs w:val="28"/>
        </w:rPr>
        <w:t xml:space="preserve"> </w:t>
      </w:r>
      <w:r w:rsidR="00857B13" w:rsidRPr="00FC17F1">
        <w:rPr>
          <w:rFonts w:cs="Times New Roman"/>
          <w:i/>
          <w:sz w:val="28"/>
          <w:szCs w:val="28"/>
        </w:rPr>
        <w:t>under zero-hour contracts or are subject to shift cancellations without notice.</w:t>
      </w:r>
      <w:r w:rsidR="00B24DE6" w:rsidRPr="00FC17F1">
        <w:rPr>
          <w:rFonts w:cs="Times New Roman"/>
          <w:i/>
          <w:sz w:val="28"/>
          <w:szCs w:val="28"/>
        </w:rPr>
        <w:t xml:space="preserve"> </w:t>
      </w:r>
    </w:p>
    <w:p w14:paraId="10531834" w14:textId="77777777" w:rsidR="00B3215F" w:rsidRPr="00FC17F1" w:rsidRDefault="00B3215F" w:rsidP="00FC17F1">
      <w:pPr>
        <w:spacing w:line="360" w:lineRule="auto"/>
        <w:jc w:val="both"/>
        <w:rPr>
          <w:rFonts w:cs="Times New Roman"/>
          <w:i/>
          <w:sz w:val="28"/>
          <w:szCs w:val="28"/>
        </w:rPr>
      </w:pPr>
    </w:p>
    <w:p w14:paraId="51F0ED78" w14:textId="44DB8012" w:rsidR="002E0EC9" w:rsidRPr="00FC17F1" w:rsidRDefault="00B3215F" w:rsidP="00FC17F1">
      <w:pPr>
        <w:spacing w:line="360" w:lineRule="auto"/>
        <w:ind w:left="720"/>
        <w:jc w:val="both"/>
        <w:rPr>
          <w:rFonts w:cs="Times New Roman"/>
          <w:b/>
          <w:sz w:val="28"/>
          <w:szCs w:val="28"/>
        </w:rPr>
      </w:pPr>
      <w:r w:rsidRPr="00FC17F1">
        <w:rPr>
          <w:rFonts w:cs="Times New Roman"/>
          <w:b/>
          <w:sz w:val="28"/>
          <w:szCs w:val="28"/>
        </w:rPr>
        <w:t>The HRF endorses the re</w:t>
      </w:r>
      <w:r w:rsidR="00636883">
        <w:rPr>
          <w:rFonts w:cs="Times New Roman"/>
          <w:b/>
          <w:sz w:val="28"/>
          <w:szCs w:val="28"/>
        </w:rPr>
        <w:t>port of the CTU in</w:t>
      </w:r>
      <w:r w:rsidRPr="00FC17F1">
        <w:rPr>
          <w:rFonts w:cs="Times New Roman"/>
          <w:b/>
          <w:sz w:val="28"/>
          <w:szCs w:val="28"/>
        </w:rPr>
        <w:t xml:space="preserve"> </w:t>
      </w:r>
      <w:r w:rsidR="00636883">
        <w:rPr>
          <w:rFonts w:cs="Times New Roman"/>
          <w:b/>
          <w:sz w:val="28"/>
          <w:szCs w:val="28"/>
        </w:rPr>
        <w:t>paragraphs 6.2-6.4</w:t>
      </w:r>
    </w:p>
    <w:p w14:paraId="5C287EFB" w14:textId="0C361CC9" w:rsidR="00C76CE0" w:rsidRPr="00FC17F1" w:rsidRDefault="00C76CE0" w:rsidP="00FC17F1">
      <w:pPr>
        <w:pStyle w:val="ListParagraph"/>
        <w:spacing w:line="360" w:lineRule="auto"/>
        <w:ind w:left="850"/>
        <w:jc w:val="both"/>
        <w:rPr>
          <w:rFonts w:cs="Times New Roman"/>
          <w:sz w:val="28"/>
          <w:szCs w:val="28"/>
        </w:rPr>
      </w:pPr>
      <w:r w:rsidRPr="00FC17F1">
        <w:rPr>
          <w:rFonts w:cs="Times New Roman"/>
          <w:sz w:val="28"/>
          <w:szCs w:val="28"/>
        </w:rPr>
        <w:t xml:space="preserve"> </w:t>
      </w:r>
    </w:p>
    <w:p w14:paraId="15118503" w14:textId="77777777" w:rsidR="00C76CE0" w:rsidRPr="00FC17F1" w:rsidRDefault="00C76CE0" w:rsidP="00FC17F1">
      <w:pPr>
        <w:spacing w:line="360" w:lineRule="auto"/>
        <w:jc w:val="both"/>
        <w:rPr>
          <w:rFonts w:cs="Times New Roman"/>
          <w:i/>
          <w:sz w:val="28"/>
          <w:szCs w:val="28"/>
        </w:rPr>
      </w:pPr>
    </w:p>
    <w:p w14:paraId="4FCDE682" w14:textId="6C44EB5C" w:rsidR="00972AE2" w:rsidRDefault="00FE152C" w:rsidP="00FC17F1">
      <w:pPr>
        <w:spacing w:line="360" w:lineRule="auto"/>
        <w:jc w:val="both"/>
        <w:rPr>
          <w:rFonts w:cs="Times New Roman"/>
          <w:i/>
          <w:sz w:val="28"/>
          <w:szCs w:val="28"/>
        </w:rPr>
      </w:pPr>
      <w:r>
        <w:rPr>
          <w:rFonts w:cs="Times New Roman"/>
          <w:i/>
          <w:sz w:val="28"/>
          <w:szCs w:val="28"/>
        </w:rPr>
        <w:t>Question</w:t>
      </w:r>
      <w:r w:rsidR="00E92B27" w:rsidRPr="00FC17F1">
        <w:rPr>
          <w:rFonts w:cs="Times New Roman"/>
          <w:i/>
          <w:sz w:val="28"/>
          <w:szCs w:val="28"/>
        </w:rPr>
        <w:t xml:space="preserve"> 14</w:t>
      </w:r>
      <w:r w:rsidR="004337EB" w:rsidRPr="00FC17F1">
        <w:rPr>
          <w:rFonts w:cs="Times New Roman"/>
          <w:i/>
          <w:sz w:val="28"/>
          <w:szCs w:val="28"/>
        </w:rPr>
        <w:t>:</w:t>
      </w:r>
      <w:r w:rsidR="00E92B27" w:rsidRPr="00FC17F1">
        <w:rPr>
          <w:rFonts w:cs="Times New Roman"/>
          <w:i/>
          <w:sz w:val="28"/>
          <w:szCs w:val="28"/>
        </w:rPr>
        <w:t xml:space="preserve"> </w:t>
      </w:r>
      <w:r w:rsidR="00857B13" w:rsidRPr="00FC17F1">
        <w:rPr>
          <w:rFonts w:cs="Times New Roman"/>
          <w:i/>
          <w:sz w:val="28"/>
          <w:szCs w:val="28"/>
        </w:rPr>
        <w:t>Please explain to what extent the various minimum wage rates enable a decent</w:t>
      </w:r>
      <w:r w:rsidR="001C04FD" w:rsidRPr="00FC17F1">
        <w:rPr>
          <w:rFonts w:cs="Times New Roman"/>
          <w:i/>
          <w:sz w:val="28"/>
          <w:szCs w:val="28"/>
        </w:rPr>
        <w:t xml:space="preserve"> </w:t>
      </w:r>
      <w:r w:rsidR="00857B13" w:rsidRPr="00FC17F1">
        <w:rPr>
          <w:rFonts w:cs="Times New Roman"/>
          <w:i/>
          <w:sz w:val="28"/>
          <w:szCs w:val="28"/>
        </w:rPr>
        <w:t>living for workers and their families. Please provide information, including</w:t>
      </w:r>
      <w:r w:rsidR="001C04FD" w:rsidRPr="00FC17F1">
        <w:rPr>
          <w:rFonts w:cs="Times New Roman"/>
          <w:i/>
          <w:sz w:val="28"/>
          <w:szCs w:val="28"/>
        </w:rPr>
        <w:t xml:space="preserve"> </w:t>
      </w:r>
      <w:r w:rsidR="00857B13" w:rsidRPr="00FC17F1">
        <w:rPr>
          <w:rFonts w:cs="Times New Roman"/>
          <w:i/>
          <w:sz w:val="28"/>
          <w:szCs w:val="28"/>
        </w:rPr>
        <w:t>statistical data, on households whose members are in paid employment but</w:t>
      </w:r>
      <w:r w:rsidR="001C04FD" w:rsidRPr="00FC17F1">
        <w:rPr>
          <w:rFonts w:cs="Times New Roman"/>
          <w:i/>
          <w:sz w:val="28"/>
          <w:szCs w:val="28"/>
        </w:rPr>
        <w:t xml:space="preserve"> </w:t>
      </w:r>
      <w:r w:rsidR="00857B13" w:rsidRPr="00FC17F1">
        <w:rPr>
          <w:rFonts w:cs="Times New Roman"/>
          <w:i/>
          <w:sz w:val="28"/>
          <w:szCs w:val="28"/>
        </w:rPr>
        <w:t>whose incomes are below the poverty line</w:t>
      </w:r>
      <w:r w:rsidR="008E1953">
        <w:rPr>
          <w:rFonts w:cs="Times New Roman"/>
          <w:i/>
          <w:sz w:val="28"/>
          <w:szCs w:val="28"/>
        </w:rPr>
        <w:t>.</w:t>
      </w:r>
    </w:p>
    <w:p w14:paraId="61DEE8B8" w14:textId="77777777" w:rsidR="008E1953" w:rsidRPr="00FC17F1" w:rsidRDefault="008E1953" w:rsidP="00FC17F1">
      <w:pPr>
        <w:spacing w:line="360" w:lineRule="auto"/>
        <w:jc w:val="both"/>
        <w:rPr>
          <w:rFonts w:cs="Times New Roman"/>
          <w:i/>
          <w:sz w:val="28"/>
          <w:szCs w:val="28"/>
        </w:rPr>
      </w:pPr>
    </w:p>
    <w:p w14:paraId="6211050E" w14:textId="2B1F72BB" w:rsidR="002E0EC9" w:rsidRPr="00FC17F1" w:rsidRDefault="00B3215F" w:rsidP="00FC17F1">
      <w:pPr>
        <w:spacing w:line="360" w:lineRule="auto"/>
        <w:ind w:left="720"/>
        <w:jc w:val="both"/>
        <w:rPr>
          <w:rFonts w:cs="Times New Roman"/>
          <w:b/>
          <w:sz w:val="28"/>
          <w:szCs w:val="28"/>
        </w:rPr>
      </w:pPr>
      <w:r w:rsidRPr="004C6DF8">
        <w:rPr>
          <w:rFonts w:cs="Times New Roman"/>
          <w:b/>
          <w:sz w:val="28"/>
          <w:szCs w:val="28"/>
        </w:rPr>
        <w:t xml:space="preserve">The HRF endorses the recommendations of </w:t>
      </w:r>
      <w:r w:rsidR="00972AE2" w:rsidRPr="00FC17F1">
        <w:rPr>
          <w:rFonts w:cs="Times New Roman"/>
          <w:b/>
          <w:sz w:val="28"/>
          <w:szCs w:val="28"/>
        </w:rPr>
        <w:t>CPAG</w:t>
      </w:r>
      <w:r w:rsidR="00094E98" w:rsidRPr="00FC17F1">
        <w:rPr>
          <w:rFonts w:cs="Times New Roman"/>
          <w:b/>
          <w:sz w:val="28"/>
          <w:szCs w:val="28"/>
        </w:rPr>
        <w:t>/ACYA at p 7</w:t>
      </w:r>
      <w:r w:rsidR="00972AE2" w:rsidRPr="00FC17F1">
        <w:rPr>
          <w:rFonts w:cs="Times New Roman"/>
          <w:b/>
          <w:sz w:val="28"/>
          <w:szCs w:val="28"/>
        </w:rPr>
        <w:t xml:space="preserve"> and </w:t>
      </w:r>
      <w:r w:rsidR="00636883">
        <w:rPr>
          <w:rFonts w:cs="Times New Roman"/>
          <w:b/>
          <w:sz w:val="28"/>
          <w:szCs w:val="28"/>
        </w:rPr>
        <w:t>the report of the CTU in paragraphs 6.14-6.19</w:t>
      </w:r>
    </w:p>
    <w:p w14:paraId="09FD5CAB" w14:textId="77777777" w:rsidR="00972AE2" w:rsidRPr="00FC17F1" w:rsidRDefault="00972AE2" w:rsidP="00FC17F1">
      <w:pPr>
        <w:spacing w:line="360" w:lineRule="auto"/>
        <w:jc w:val="both"/>
        <w:rPr>
          <w:rFonts w:cs="Times New Roman"/>
          <w:i/>
          <w:color w:val="FF0000"/>
          <w:sz w:val="28"/>
          <w:szCs w:val="28"/>
        </w:rPr>
      </w:pPr>
    </w:p>
    <w:p w14:paraId="5B7C0D8D" w14:textId="6854FFFA" w:rsidR="00E57171" w:rsidRPr="00FC17F1" w:rsidRDefault="00FE152C" w:rsidP="00FC17F1">
      <w:pPr>
        <w:spacing w:line="360" w:lineRule="auto"/>
        <w:jc w:val="both"/>
        <w:rPr>
          <w:rFonts w:cs="Times New Roman"/>
          <w:i/>
          <w:sz w:val="28"/>
          <w:szCs w:val="28"/>
        </w:rPr>
      </w:pPr>
      <w:r>
        <w:rPr>
          <w:rFonts w:cs="Times New Roman"/>
          <w:i/>
          <w:sz w:val="28"/>
          <w:szCs w:val="28"/>
        </w:rPr>
        <w:t>Question</w:t>
      </w:r>
      <w:r w:rsidR="00CE5543">
        <w:rPr>
          <w:rFonts w:cs="Times New Roman"/>
          <w:i/>
          <w:sz w:val="28"/>
          <w:szCs w:val="28"/>
        </w:rPr>
        <w:t xml:space="preserve"> </w:t>
      </w:r>
      <w:r w:rsidR="00E92B27" w:rsidRPr="00FC17F1">
        <w:rPr>
          <w:rFonts w:cs="Times New Roman"/>
          <w:i/>
          <w:sz w:val="28"/>
          <w:szCs w:val="28"/>
        </w:rPr>
        <w:t>15</w:t>
      </w:r>
      <w:r w:rsidR="004337EB" w:rsidRPr="00FC17F1">
        <w:rPr>
          <w:rFonts w:cs="Times New Roman"/>
          <w:i/>
          <w:sz w:val="28"/>
          <w:szCs w:val="28"/>
        </w:rPr>
        <w:t>:</w:t>
      </w:r>
      <w:r w:rsidR="00EA7B2A" w:rsidRPr="00FC17F1">
        <w:rPr>
          <w:rFonts w:cs="Times New Roman"/>
          <w:i/>
          <w:sz w:val="28"/>
          <w:szCs w:val="28"/>
        </w:rPr>
        <w:t xml:space="preserve"> </w:t>
      </w:r>
      <w:r w:rsidR="00857B13" w:rsidRPr="00FC17F1">
        <w:rPr>
          <w:rFonts w:cs="Times New Roman"/>
          <w:i/>
          <w:sz w:val="28"/>
          <w:szCs w:val="28"/>
        </w:rPr>
        <w:t>Please provide information on the extent of discrimination on the ground of sex,</w:t>
      </w:r>
      <w:r w:rsidR="001C04FD" w:rsidRPr="00FC17F1">
        <w:rPr>
          <w:rFonts w:cs="Times New Roman"/>
          <w:i/>
          <w:sz w:val="28"/>
          <w:szCs w:val="28"/>
        </w:rPr>
        <w:t xml:space="preserve"> </w:t>
      </w:r>
      <w:r w:rsidR="00857B13" w:rsidRPr="00FC17F1">
        <w:rPr>
          <w:rFonts w:cs="Times New Roman"/>
          <w:i/>
          <w:sz w:val="28"/>
          <w:szCs w:val="28"/>
        </w:rPr>
        <w:t>race or other status, as well as on bullying and sexual harassment in the</w:t>
      </w:r>
      <w:r w:rsidR="001C04FD" w:rsidRPr="00FC17F1">
        <w:rPr>
          <w:rFonts w:cs="Times New Roman"/>
          <w:i/>
          <w:sz w:val="28"/>
          <w:szCs w:val="28"/>
        </w:rPr>
        <w:t xml:space="preserve"> </w:t>
      </w:r>
      <w:r w:rsidR="00857B13" w:rsidRPr="00FC17F1">
        <w:rPr>
          <w:rFonts w:cs="Times New Roman"/>
          <w:i/>
          <w:sz w:val="28"/>
          <w:szCs w:val="28"/>
        </w:rPr>
        <w:t>workplace, and elaborate on the effectiveness of prevention measures taken and</w:t>
      </w:r>
      <w:r w:rsidR="001C04FD" w:rsidRPr="00FC17F1">
        <w:rPr>
          <w:rFonts w:cs="Times New Roman"/>
          <w:i/>
          <w:sz w:val="28"/>
          <w:szCs w:val="28"/>
        </w:rPr>
        <w:t xml:space="preserve"> </w:t>
      </w:r>
      <w:r w:rsidR="00857B13" w:rsidRPr="00FC17F1">
        <w:rPr>
          <w:rFonts w:cs="Times New Roman"/>
          <w:i/>
          <w:sz w:val="28"/>
          <w:szCs w:val="28"/>
        </w:rPr>
        <w:t>of avenues of remedies for victims.</w:t>
      </w:r>
    </w:p>
    <w:p w14:paraId="76E85D31" w14:textId="77777777" w:rsidR="008E1953" w:rsidRDefault="008E1953" w:rsidP="00FC17F1">
      <w:pPr>
        <w:spacing w:line="360" w:lineRule="auto"/>
        <w:jc w:val="both"/>
        <w:rPr>
          <w:rFonts w:cs="Times New Roman"/>
          <w:i/>
          <w:sz w:val="28"/>
          <w:szCs w:val="28"/>
        </w:rPr>
      </w:pPr>
    </w:p>
    <w:p w14:paraId="27068F26" w14:textId="669F5F94" w:rsidR="002E0EC9" w:rsidRPr="00FC17F1" w:rsidRDefault="00B3215F" w:rsidP="00FC17F1">
      <w:pPr>
        <w:spacing w:line="360" w:lineRule="auto"/>
        <w:ind w:left="810"/>
        <w:jc w:val="both"/>
        <w:rPr>
          <w:rFonts w:cs="Times New Roman"/>
          <w:i/>
          <w:color w:val="FF0000"/>
          <w:sz w:val="28"/>
          <w:szCs w:val="28"/>
        </w:rPr>
      </w:pPr>
      <w:r w:rsidRPr="00FC17F1">
        <w:rPr>
          <w:rFonts w:cs="Times New Roman"/>
          <w:b/>
          <w:sz w:val="28"/>
          <w:szCs w:val="28"/>
        </w:rPr>
        <w:t>The HRF endorses the</w:t>
      </w:r>
      <w:r w:rsidR="008E1953" w:rsidRPr="00FC17F1">
        <w:rPr>
          <w:rFonts w:cs="Times New Roman"/>
          <w:b/>
          <w:sz w:val="28"/>
          <w:szCs w:val="28"/>
        </w:rPr>
        <w:t xml:space="preserve"> report of the CTU</w:t>
      </w:r>
      <w:r w:rsidRPr="00FC17F1">
        <w:rPr>
          <w:rFonts w:cs="Times New Roman"/>
          <w:b/>
          <w:sz w:val="28"/>
          <w:szCs w:val="28"/>
        </w:rPr>
        <w:t xml:space="preserve"> </w:t>
      </w:r>
      <w:r w:rsidR="003331B7">
        <w:rPr>
          <w:rFonts w:cs="Times New Roman"/>
          <w:b/>
          <w:sz w:val="28"/>
          <w:szCs w:val="28"/>
        </w:rPr>
        <w:t>in paragraphs 6.4-6.6 which address the issue of equal pay for women</w:t>
      </w:r>
    </w:p>
    <w:p w14:paraId="57D8BBC6" w14:textId="73DA5D70" w:rsidR="00972AE2" w:rsidRPr="00FC17F1" w:rsidRDefault="00972AE2" w:rsidP="00FC17F1">
      <w:pPr>
        <w:spacing w:line="360" w:lineRule="auto"/>
        <w:jc w:val="both"/>
        <w:rPr>
          <w:rFonts w:cs="Times New Roman"/>
          <w:i/>
          <w:color w:val="FF0000"/>
          <w:sz w:val="28"/>
          <w:szCs w:val="28"/>
        </w:rPr>
      </w:pPr>
    </w:p>
    <w:p w14:paraId="7569298F" w14:textId="77777777" w:rsidR="001C04FD" w:rsidRPr="00FC17F1" w:rsidRDefault="001C04FD" w:rsidP="00FC17F1">
      <w:pPr>
        <w:spacing w:line="360" w:lineRule="auto"/>
        <w:jc w:val="both"/>
        <w:rPr>
          <w:rFonts w:cs="Times New Roman"/>
          <w:i/>
          <w:color w:val="FF0000"/>
          <w:sz w:val="28"/>
          <w:szCs w:val="28"/>
        </w:rPr>
      </w:pPr>
    </w:p>
    <w:p w14:paraId="6AD8B913" w14:textId="77777777" w:rsidR="00844284" w:rsidRPr="00FC17F1" w:rsidRDefault="009B3094" w:rsidP="00FC17F1">
      <w:pPr>
        <w:spacing w:line="360" w:lineRule="auto"/>
        <w:jc w:val="both"/>
        <w:rPr>
          <w:rFonts w:cs="Times New Roman"/>
          <w:b/>
          <w:smallCaps/>
          <w:sz w:val="28"/>
          <w:szCs w:val="28"/>
        </w:rPr>
      </w:pPr>
      <w:r w:rsidRPr="00FC17F1">
        <w:rPr>
          <w:rFonts w:cs="Times New Roman"/>
          <w:b/>
          <w:smallCaps/>
          <w:sz w:val="28"/>
          <w:szCs w:val="28"/>
        </w:rPr>
        <w:lastRenderedPageBreak/>
        <w:t xml:space="preserve">Article </w:t>
      </w:r>
      <w:r w:rsidR="00FD22D1" w:rsidRPr="00FC17F1">
        <w:rPr>
          <w:rFonts w:cs="Times New Roman"/>
          <w:b/>
          <w:smallCaps/>
          <w:sz w:val="28"/>
          <w:szCs w:val="28"/>
        </w:rPr>
        <w:t>8</w:t>
      </w:r>
      <w:r w:rsidRPr="00FC17F1">
        <w:rPr>
          <w:rFonts w:cs="Times New Roman"/>
          <w:b/>
          <w:iCs/>
          <w:sz w:val="28"/>
          <w:szCs w:val="28"/>
        </w:rPr>
        <w:t>:</w:t>
      </w:r>
      <w:r w:rsidRPr="00FC17F1">
        <w:rPr>
          <w:rFonts w:cs="Times New Roman"/>
          <w:b/>
          <w:smallCaps/>
          <w:sz w:val="28"/>
          <w:szCs w:val="28"/>
        </w:rPr>
        <w:t xml:space="preserve"> </w:t>
      </w:r>
      <w:r w:rsidR="00844284" w:rsidRPr="00FC17F1">
        <w:rPr>
          <w:rFonts w:cs="Times New Roman"/>
          <w:b/>
          <w:smallCaps/>
          <w:sz w:val="28"/>
          <w:szCs w:val="28"/>
        </w:rPr>
        <w:t>Trade Union Rights</w:t>
      </w:r>
    </w:p>
    <w:p w14:paraId="1DAAE058" w14:textId="77777777" w:rsidR="00844284" w:rsidRPr="00FC17F1" w:rsidRDefault="00844284" w:rsidP="00FC17F1">
      <w:pPr>
        <w:spacing w:line="360" w:lineRule="auto"/>
        <w:jc w:val="both"/>
        <w:rPr>
          <w:rFonts w:cs="Times New Roman"/>
          <w:i/>
          <w:sz w:val="28"/>
          <w:szCs w:val="28"/>
        </w:rPr>
      </w:pPr>
    </w:p>
    <w:p w14:paraId="303D2055" w14:textId="26B182FB" w:rsidR="00FD22D1" w:rsidRPr="00C37B4D" w:rsidRDefault="00844284" w:rsidP="00FC17F1">
      <w:pPr>
        <w:spacing w:line="360" w:lineRule="auto"/>
        <w:jc w:val="both"/>
        <w:rPr>
          <w:rFonts w:cs="Times New Roman"/>
          <w:i/>
          <w:sz w:val="28"/>
          <w:szCs w:val="28"/>
        </w:rPr>
      </w:pPr>
      <w:r w:rsidRPr="00FC17F1">
        <w:rPr>
          <w:rFonts w:cs="Times New Roman"/>
          <w:i/>
          <w:sz w:val="28"/>
          <w:szCs w:val="28"/>
        </w:rPr>
        <w:t xml:space="preserve"> </w:t>
      </w:r>
      <w:r w:rsidR="00FE152C">
        <w:rPr>
          <w:rFonts w:cs="Times New Roman"/>
          <w:i/>
          <w:sz w:val="28"/>
          <w:szCs w:val="28"/>
        </w:rPr>
        <w:t>Question</w:t>
      </w:r>
      <w:r w:rsidR="00CE5543">
        <w:rPr>
          <w:rFonts w:cs="Times New Roman"/>
          <w:i/>
          <w:sz w:val="28"/>
          <w:szCs w:val="28"/>
        </w:rPr>
        <w:t xml:space="preserve"> </w:t>
      </w:r>
      <w:r w:rsidRPr="00FC17F1">
        <w:rPr>
          <w:rFonts w:cs="Times New Roman"/>
          <w:i/>
          <w:sz w:val="28"/>
          <w:szCs w:val="28"/>
        </w:rPr>
        <w:t>1</w:t>
      </w:r>
      <w:r w:rsidR="004337EB" w:rsidRPr="00FC17F1">
        <w:rPr>
          <w:rFonts w:cs="Times New Roman"/>
          <w:i/>
          <w:sz w:val="28"/>
          <w:szCs w:val="28"/>
        </w:rPr>
        <w:t>6:</w:t>
      </w:r>
      <w:r w:rsidRPr="00FC17F1">
        <w:rPr>
          <w:rFonts w:cs="Times New Roman"/>
          <w:i/>
          <w:sz w:val="28"/>
          <w:szCs w:val="28"/>
        </w:rPr>
        <w:t xml:space="preserve"> </w:t>
      </w:r>
      <w:r w:rsidR="00FD22D1" w:rsidRPr="00FC17F1">
        <w:rPr>
          <w:rFonts w:cs="Times New Roman"/>
          <w:i/>
          <w:sz w:val="28"/>
          <w:szCs w:val="28"/>
        </w:rPr>
        <w:t>Please describe how the Employment Relations Amendment Act affects</w:t>
      </w:r>
      <w:r w:rsidR="001C04FD" w:rsidRPr="00FC17F1">
        <w:rPr>
          <w:rFonts w:cs="Times New Roman"/>
          <w:i/>
          <w:sz w:val="28"/>
          <w:szCs w:val="28"/>
        </w:rPr>
        <w:t xml:space="preserve"> </w:t>
      </w:r>
      <w:r w:rsidR="00FD22D1" w:rsidRPr="00FC17F1">
        <w:rPr>
          <w:rFonts w:cs="Times New Roman"/>
          <w:i/>
          <w:sz w:val="28"/>
          <w:szCs w:val="28"/>
        </w:rPr>
        <w:t xml:space="preserve">collective bargaining </w:t>
      </w:r>
      <w:r w:rsidR="001C04FD" w:rsidRPr="00FC17F1">
        <w:rPr>
          <w:rFonts w:cs="Times New Roman"/>
          <w:i/>
          <w:sz w:val="28"/>
          <w:szCs w:val="28"/>
        </w:rPr>
        <w:t>a</w:t>
      </w:r>
      <w:r w:rsidR="00FD22D1" w:rsidRPr="00FC17F1">
        <w:rPr>
          <w:rFonts w:cs="Times New Roman"/>
          <w:i/>
          <w:sz w:val="28"/>
          <w:szCs w:val="28"/>
        </w:rPr>
        <w:t>rrangements and what protections remain for new</w:t>
      </w:r>
      <w:r w:rsidR="001C04FD" w:rsidRPr="00FC17F1">
        <w:rPr>
          <w:rFonts w:cs="Times New Roman"/>
          <w:i/>
          <w:sz w:val="28"/>
          <w:szCs w:val="28"/>
        </w:rPr>
        <w:t xml:space="preserve"> </w:t>
      </w:r>
      <w:r w:rsidR="00FD22D1" w:rsidRPr="00FC17F1">
        <w:rPr>
          <w:rFonts w:cs="Times New Roman"/>
          <w:i/>
          <w:sz w:val="28"/>
          <w:szCs w:val="28"/>
        </w:rPr>
        <w:t>employees and young people who may be disadvantaged by the changes.</w:t>
      </w:r>
    </w:p>
    <w:p w14:paraId="626A1011" w14:textId="77777777" w:rsidR="00C76CE0" w:rsidRPr="00C37B4D" w:rsidRDefault="00C76CE0" w:rsidP="00FC17F1">
      <w:pPr>
        <w:spacing w:line="360" w:lineRule="auto"/>
        <w:jc w:val="both"/>
        <w:rPr>
          <w:rFonts w:cs="Times New Roman"/>
          <w:i/>
          <w:sz w:val="28"/>
          <w:szCs w:val="28"/>
        </w:rPr>
      </w:pPr>
    </w:p>
    <w:p w14:paraId="3D8F35BA" w14:textId="0AE2F898" w:rsidR="00C76CE0" w:rsidRDefault="00C76CE0" w:rsidP="00DA2390">
      <w:pPr>
        <w:pStyle w:val="ListParagraph"/>
        <w:widowControl w:val="0"/>
        <w:numPr>
          <w:ilvl w:val="0"/>
          <w:numId w:val="10"/>
        </w:numPr>
        <w:autoSpaceDE w:val="0"/>
        <w:autoSpaceDN w:val="0"/>
        <w:adjustRightInd w:val="0"/>
        <w:spacing w:after="240" w:line="360" w:lineRule="auto"/>
        <w:jc w:val="both"/>
        <w:rPr>
          <w:rFonts w:cs="Times New Roman"/>
          <w:sz w:val="28"/>
          <w:szCs w:val="28"/>
          <w:lang w:val="en-US"/>
        </w:rPr>
      </w:pPr>
      <w:r w:rsidRPr="00FC17F1">
        <w:rPr>
          <w:rFonts w:cs="Times New Roman"/>
          <w:sz w:val="28"/>
          <w:szCs w:val="28"/>
        </w:rPr>
        <w:t>Union membership in Aotearoa New Zealand has declined, quite sharply, since 2011. Younger workers are less likely to be members of trade unions.</w:t>
      </w:r>
      <w:r w:rsidRPr="00FC17F1">
        <w:rPr>
          <w:rStyle w:val="FootnoteReference"/>
          <w:rFonts w:cs="Times New Roman"/>
          <w:sz w:val="28"/>
          <w:szCs w:val="28"/>
        </w:rPr>
        <w:footnoteReference w:id="70"/>
      </w:r>
      <w:r w:rsidRPr="00FC17F1">
        <w:rPr>
          <w:rFonts w:cs="Times New Roman"/>
          <w:sz w:val="28"/>
          <w:szCs w:val="28"/>
        </w:rPr>
        <w:t xml:space="preserve">  Research outside of Aotearoa New Zealand has shown </w:t>
      </w:r>
      <w:r w:rsidRPr="00FC17F1">
        <w:rPr>
          <w:rFonts w:cs="Times New Roman"/>
          <w:sz w:val="28"/>
          <w:szCs w:val="28"/>
          <w:lang w:val="en-US"/>
        </w:rPr>
        <w:t>that rates of union membership tend to be lowest in the sectors of economy in which young people are heavily represented, such as sales and personal and protective services that are often in small firms. Many young workers in these sectors regard their jobs as short-term and so they have little incentive to engage in a struggle to improve pay and conditions.</w:t>
      </w:r>
      <w:r w:rsidRPr="00FC17F1">
        <w:rPr>
          <w:rStyle w:val="FootnoteReference"/>
          <w:rFonts w:cs="Times New Roman"/>
          <w:sz w:val="28"/>
          <w:szCs w:val="28"/>
          <w:lang w:val="en-US"/>
        </w:rPr>
        <w:footnoteReference w:id="71"/>
      </w:r>
      <w:r w:rsidRPr="00FC17F1">
        <w:rPr>
          <w:rFonts w:cs="Times New Roman"/>
          <w:sz w:val="28"/>
          <w:szCs w:val="28"/>
          <w:lang w:val="en-US"/>
        </w:rPr>
        <w:t xml:space="preserve"> </w:t>
      </w:r>
    </w:p>
    <w:p w14:paraId="0477507D" w14:textId="61E2DB61" w:rsidR="00B3215F" w:rsidRDefault="00B3215F" w:rsidP="00FC17F1">
      <w:pPr>
        <w:pStyle w:val="ListParagraph"/>
        <w:widowControl w:val="0"/>
        <w:autoSpaceDE w:val="0"/>
        <w:autoSpaceDN w:val="0"/>
        <w:adjustRightInd w:val="0"/>
        <w:spacing w:after="240" w:line="360" w:lineRule="auto"/>
        <w:ind w:left="850"/>
        <w:jc w:val="both"/>
        <w:rPr>
          <w:rFonts w:cs="Times New Roman"/>
          <w:sz w:val="28"/>
          <w:szCs w:val="28"/>
          <w:lang w:val="en-US"/>
        </w:rPr>
      </w:pPr>
    </w:p>
    <w:p w14:paraId="570703AC" w14:textId="4A56C983" w:rsidR="00B3215F" w:rsidRPr="00FC17F1" w:rsidRDefault="00B3215F" w:rsidP="00FC17F1">
      <w:pPr>
        <w:pStyle w:val="ListParagraph"/>
        <w:widowControl w:val="0"/>
        <w:autoSpaceDE w:val="0"/>
        <w:autoSpaceDN w:val="0"/>
        <w:adjustRightInd w:val="0"/>
        <w:spacing w:after="240" w:line="360" w:lineRule="auto"/>
        <w:ind w:left="850"/>
        <w:jc w:val="both"/>
        <w:rPr>
          <w:rFonts w:cs="Times New Roman"/>
          <w:b/>
          <w:sz w:val="28"/>
          <w:szCs w:val="28"/>
          <w:lang w:val="en-US"/>
        </w:rPr>
      </w:pPr>
      <w:r w:rsidRPr="00FC17F1">
        <w:rPr>
          <w:rFonts w:cs="Times New Roman"/>
          <w:b/>
          <w:sz w:val="28"/>
          <w:szCs w:val="28"/>
          <w:lang w:val="en-US"/>
        </w:rPr>
        <w:t xml:space="preserve">The HRF also endorses the report of the CTU </w:t>
      </w:r>
      <w:r w:rsidR="003331B7">
        <w:rPr>
          <w:rFonts w:cs="Times New Roman"/>
          <w:b/>
          <w:sz w:val="28"/>
          <w:szCs w:val="28"/>
          <w:lang w:val="en-US"/>
        </w:rPr>
        <w:t>in paragraphs 7.2-7.6</w:t>
      </w:r>
    </w:p>
    <w:p w14:paraId="48DF9C2D" w14:textId="77777777" w:rsidR="00FD22D1" w:rsidRPr="00FC17F1" w:rsidRDefault="00FD22D1" w:rsidP="00FC17F1">
      <w:pPr>
        <w:spacing w:line="360" w:lineRule="auto"/>
        <w:jc w:val="both"/>
        <w:rPr>
          <w:rFonts w:cs="Times New Roman"/>
          <w:b/>
          <w:smallCaps/>
          <w:sz w:val="28"/>
          <w:szCs w:val="28"/>
        </w:rPr>
      </w:pPr>
    </w:p>
    <w:p w14:paraId="06E5CEC4" w14:textId="22B011DD" w:rsidR="009B3094" w:rsidRPr="00FC17F1" w:rsidRDefault="00FD22D1" w:rsidP="00FC17F1">
      <w:pPr>
        <w:pStyle w:val="BodyTextIndent"/>
        <w:spacing w:line="360" w:lineRule="auto"/>
        <w:ind w:left="0"/>
        <w:rPr>
          <w:b/>
          <w:smallCaps/>
          <w:sz w:val="28"/>
          <w:szCs w:val="28"/>
        </w:rPr>
      </w:pPr>
      <w:r w:rsidRPr="00FC17F1">
        <w:rPr>
          <w:b/>
          <w:smallCaps/>
          <w:sz w:val="28"/>
          <w:szCs w:val="28"/>
        </w:rPr>
        <w:t>Article 9</w:t>
      </w:r>
      <w:r w:rsidRPr="00FC17F1">
        <w:rPr>
          <w:b/>
          <w:iCs/>
          <w:sz w:val="28"/>
          <w:szCs w:val="28"/>
        </w:rPr>
        <w:t xml:space="preserve">: </w:t>
      </w:r>
      <w:r w:rsidRPr="00FC17F1">
        <w:rPr>
          <w:b/>
          <w:smallCaps/>
          <w:sz w:val="28"/>
          <w:szCs w:val="28"/>
        </w:rPr>
        <w:t>Right to Social Security</w:t>
      </w:r>
    </w:p>
    <w:p w14:paraId="57AA1490" w14:textId="77777777" w:rsidR="0037037E" w:rsidRPr="00FC17F1" w:rsidRDefault="0037037E" w:rsidP="00FC17F1">
      <w:pPr>
        <w:pStyle w:val="BodyTextIndent"/>
        <w:spacing w:line="360" w:lineRule="auto"/>
        <w:ind w:left="0"/>
        <w:rPr>
          <w:b/>
          <w:smallCaps/>
          <w:sz w:val="28"/>
          <w:szCs w:val="28"/>
        </w:rPr>
      </w:pPr>
    </w:p>
    <w:p w14:paraId="01C668CA" w14:textId="1402C324" w:rsidR="002E0EC9" w:rsidRPr="00FC17F1" w:rsidRDefault="00844284" w:rsidP="00FC17F1">
      <w:pPr>
        <w:pStyle w:val="BodyTextIndent"/>
        <w:spacing w:line="360" w:lineRule="auto"/>
        <w:ind w:left="0"/>
        <w:rPr>
          <w:i/>
          <w:sz w:val="28"/>
          <w:szCs w:val="28"/>
          <w:lang w:val="en-GB"/>
        </w:rPr>
      </w:pPr>
      <w:r w:rsidRPr="00FC17F1">
        <w:rPr>
          <w:i/>
          <w:sz w:val="28"/>
          <w:szCs w:val="28"/>
        </w:rPr>
        <w:t xml:space="preserve"> </w:t>
      </w:r>
      <w:r w:rsidR="00FE152C">
        <w:rPr>
          <w:i/>
          <w:sz w:val="28"/>
          <w:szCs w:val="28"/>
        </w:rPr>
        <w:t xml:space="preserve">Question </w:t>
      </w:r>
      <w:r w:rsidRPr="00FC17F1">
        <w:rPr>
          <w:i/>
          <w:sz w:val="28"/>
          <w:szCs w:val="28"/>
        </w:rPr>
        <w:t>17</w:t>
      </w:r>
      <w:r w:rsidR="004337EB" w:rsidRPr="00FC17F1">
        <w:rPr>
          <w:i/>
          <w:sz w:val="28"/>
          <w:szCs w:val="28"/>
        </w:rPr>
        <w:t xml:space="preserve">: </w:t>
      </w:r>
      <w:r w:rsidR="00FD22D1" w:rsidRPr="00FC17F1">
        <w:rPr>
          <w:i/>
          <w:sz w:val="28"/>
          <w:szCs w:val="28"/>
        </w:rPr>
        <w:t>Please update the Committee on measures taken to ensure that ongoing welfare reforms do not further disadvantage the most marginalized individuals and groups, as well as on social assistance measures in place for those no longer entitled to insurance-linked benefits</w:t>
      </w:r>
      <w:r w:rsidRPr="00FC17F1">
        <w:rPr>
          <w:i/>
          <w:sz w:val="28"/>
          <w:szCs w:val="28"/>
          <w:lang w:val="en-GB"/>
        </w:rPr>
        <w:t xml:space="preserve"> </w:t>
      </w:r>
    </w:p>
    <w:p w14:paraId="37D32CCB" w14:textId="77777777" w:rsidR="00D5514C" w:rsidRPr="00FC17F1" w:rsidRDefault="00D5514C" w:rsidP="00FC17F1">
      <w:pPr>
        <w:spacing w:line="360" w:lineRule="auto"/>
        <w:jc w:val="both"/>
        <w:rPr>
          <w:rFonts w:eastAsia="Times New Roman" w:cs="Times New Roman"/>
          <w:i/>
          <w:sz w:val="28"/>
          <w:szCs w:val="28"/>
          <w:lang w:val="en-NZ" w:eastAsia="en-NZ"/>
        </w:rPr>
      </w:pPr>
    </w:p>
    <w:p w14:paraId="76268BE0" w14:textId="3A7D98D2" w:rsidR="00D5514C" w:rsidRPr="00FC17F1" w:rsidRDefault="00D5514C" w:rsidP="00837ACE">
      <w:pPr>
        <w:pStyle w:val="ListParagraph"/>
        <w:tabs>
          <w:tab w:val="left" w:pos="851"/>
          <w:tab w:val="left" w:pos="1701"/>
          <w:tab w:val="left" w:pos="2552"/>
          <w:tab w:val="left" w:pos="3402"/>
          <w:tab w:val="left" w:pos="4253"/>
          <w:tab w:val="right" w:pos="9015"/>
        </w:tabs>
        <w:spacing w:line="360" w:lineRule="auto"/>
        <w:ind w:left="0"/>
        <w:jc w:val="both"/>
        <w:outlineLvl w:val="1"/>
        <w:rPr>
          <w:lang w:val="en-NZ" w:eastAsia="en-NZ"/>
        </w:rPr>
      </w:pPr>
      <w:r w:rsidRPr="00FC17F1">
        <w:rPr>
          <w:rFonts w:eastAsia="Times New Roman" w:cs="Times New Roman"/>
          <w:b/>
          <w:sz w:val="28"/>
          <w:szCs w:val="28"/>
          <w:lang w:val="en-NZ" w:eastAsia="en-NZ"/>
        </w:rPr>
        <w:lastRenderedPageBreak/>
        <w:t xml:space="preserve">Introduction </w:t>
      </w:r>
    </w:p>
    <w:p w14:paraId="3FD119F2" w14:textId="2AE9115E" w:rsidR="00D5514C" w:rsidRDefault="00D5514C" w:rsidP="00DA2390">
      <w:pPr>
        <w:pStyle w:val="ListParagraph"/>
        <w:numPr>
          <w:ilvl w:val="0"/>
          <w:numId w:val="10"/>
        </w:numPr>
        <w:tabs>
          <w:tab w:val="left" w:pos="851"/>
          <w:tab w:val="left" w:pos="1701"/>
          <w:tab w:val="left" w:pos="2552"/>
          <w:tab w:val="left" w:pos="3402"/>
          <w:tab w:val="left" w:pos="4253"/>
          <w:tab w:val="right" w:pos="9015"/>
        </w:tabs>
        <w:spacing w:line="360" w:lineRule="auto"/>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The right to social security, contained in Art 9 of the ICESCR, is of fundamental importance for the guarantee of basic human dignity and is integrally related to other basic human rights, such as the right to an adequate standard of living.  </w:t>
      </w:r>
    </w:p>
    <w:p w14:paraId="55C91918" w14:textId="77777777" w:rsidR="00972AE2" w:rsidRPr="00FC17F1" w:rsidRDefault="00972AE2" w:rsidP="00FC17F1">
      <w:pPr>
        <w:pStyle w:val="ListParagraph"/>
        <w:tabs>
          <w:tab w:val="left" w:pos="851"/>
          <w:tab w:val="left" w:pos="1701"/>
          <w:tab w:val="left" w:pos="2552"/>
          <w:tab w:val="left" w:pos="3402"/>
          <w:tab w:val="left" w:pos="4253"/>
          <w:tab w:val="right" w:pos="9015"/>
        </w:tabs>
        <w:spacing w:line="360" w:lineRule="auto"/>
        <w:ind w:left="360"/>
        <w:jc w:val="both"/>
        <w:outlineLvl w:val="2"/>
        <w:rPr>
          <w:rFonts w:eastAsia="Times New Roman" w:cs="Times New Roman"/>
          <w:sz w:val="28"/>
          <w:szCs w:val="28"/>
          <w:lang w:val="en-NZ" w:eastAsia="en-NZ"/>
        </w:rPr>
      </w:pPr>
    </w:p>
    <w:p w14:paraId="6D3A9602" w14:textId="3682A5D2" w:rsidR="006A7B3B" w:rsidRDefault="008B7AD4" w:rsidP="008B7AD4">
      <w:pPr>
        <w:pStyle w:val="ListParagraph"/>
        <w:numPr>
          <w:ilvl w:val="0"/>
          <w:numId w:val="10"/>
        </w:numPr>
        <w:tabs>
          <w:tab w:val="left" w:pos="851"/>
          <w:tab w:val="left" w:pos="1701"/>
          <w:tab w:val="left" w:pos="2552"/>
          <w:tab w:val="left" w:pos="3402"/>
          <w:tab w:val="left" w:pos="4253"/>
          <w:tab w:val="right" w:pos="9015"/>
        </w:tabs>
        <w:spacing w:before="240" w:line="360" w:lineRule="auto"/>
        <w:ind w:left="108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 xml:space="preserve">In this section, we address the following: we report on the continuation and extension of the welfare reforms discussed in some detail in our March 2012 report, we discuss the effect of these reforms on the living standards and dignity of beneficiaries, we comment on proposals of the new Labour-led government and we propose recommendations. </w:t>
      </w:r>
    </w:p>
    <w:p w14:paraId="36E50FDC" w14:textId="77777777" w:rsidR="006A7B3B" w:rsidRPr="00FC17F1" w:rsidRDefault="006A7B3B" w:rsidP="00FC17F1">
      <w:pPr>
        <w:tabs>
          <w:tab w:val="left" w:pos="851"/>
          <w:tab w:val="left" w:pos="1701"/>
          <w:tab w:val="left" w:pos="2552"/>
          <w:tab w:val="left" w:pos="3402"/>
          <w:tab w:val="left" w:pos="4253"/>
          <w:tab w:val="right" w:pos="9015"/>
        </w:tabs>
        <w:spacing w:before="240" w:line="360" w:lineRule="auto"/>
        <w:jc w:val="both"/>
        <w:outlineLvl w:val="2"/>
        <w:rPr>
          <w:rFonts w:eastAsia="Times New Roman" w:cs="Times New Roman"/>
          <w:sz w:val="28"/>
          <w:szCs w:val="28"/>
          <w:lang w:val="en-NZ" w:eastAsia="en-NZ"/>
        </w:rPr>
      </w:pPr>
    </w:p>
    <w:p w14:paraId="65058968" w14:textId="2DEAD7EC" w:rsidR="00D5514C" w:rsidRPr="00FC17F1" w:rsidRDefault="00972AE2"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r w:rsidRPr="00505A53">
        <w:rPr>
          <w:rFonts w:eastAsia="Times New Roman" w:cs="Times New Roman"/>
          <w:b/>
          <w:sz w:val="28"/>
          <w:szCs w:val="28"/>
          <w:lang w:val="en-NZ" w:eastAsia="en-NZ"/>
        </w:rPr>
        <w:t>Ongoing reforms to New Zealand’s welfare system</w:t>
      </w:r>
    </w:p>
    <w:p w14:paraId="50B78CA6" w14:textId="5FFACDC4" w:rsidR="00D5514C" w:rsidRPr="00FC17F1" w:rsidRDefault="00D5514C" w:rsidP="008B7AD4">
      <w:pPr>
        <w:pStyle w:val="ListParagraph"/>
        <w:numPr>
          <w:ilvl w:val="0"/>
          <w:numId w:val="10"/>
        </w:numPr>
        <w:tabs>
          <w:tab w:val="left" w:pos="851"/>
          <w:tab w:val="left" w:pos="1701"/>
          <w:tab w:val="left" w:pos="2552"/>
          <w:tab w:val="left" w:pos="3402"/>
          <w:tab w:val="left" w:pos="4253"/>
          <w:tab w:val="right" w:pos="9015"/>
        </w:tabs>
        <w:spacing w:line="360" w:lineRule="auto"/>
        <w:ind w:left="1170" w:hanging="540"/>
        <w:jc w:val="both"/>
        <w:outlineLvl w:val="1"/>
        <w:rPr>
          <w:rFonts w:eastAsia="Times New Roman" w:cs="Times New Roman"/>
          <w:b/>
          <w:sz w:val="28"/>
          <w:szCs w:val="28"/>
          <w:lang w:val="en-NZ" w:eastAsia="en-NZ"/>
        </w:rPr>
      </w:pPr>
      <w:r w:rsidRPr="00FC17F1">
        <w:rPr>
          <w:rFonts w:eastAsia="Times New Roman" w:cs="Times New Roman"/>
          <w:sz w:val="28"/>
          <w:szCs w:val="28"/>
          <w:lang w:val="en-NZ" w:eastAsia="en-NZ"/>
        </w:rPr>
        <w:t xml:space="preserve"> Since 2011, the previous National Government steadily increased reforms of the welfare system, intensifying its focus on getting participants into paid work and the use of sanctions against recipients who failed to comply with requirements. As a result, the current welfare system is cumbersome, confusing, entitlements are hard to determine and the culture of WINZ has been described as unhelpful and lacking in compassion.  </w:t>
      </w:r>
    </w:p>
    <w:p w14:paraId="61765AEA" w14:textId="77777777" w:rsidR="006A7B3B" w:rsidRPr="00FC17F1" w:rsidRDefault="006A7B3B" w:rsidP="00FC17F1">
      <w:pPr>
        <w:pStyle w:val="ListParagraph"/>
        <w:tabs>
          <w:tab w:val="left" w:pos="851"/>
          <w:tab w:val="left" w:pos="1701"/>
          <w:tab w:val="left" w:pos="2552"/>
          <w:tab w:val="left" w:pos="3402"/>
          <w:tab w:val="left" w:pos="4253"/>
          <w:tab w:val="right" w:pos="9015"/>
        </w:tabs>
        <w:spacing w:line="360" w:lineRule="auto"/>
        <w:ind w:left="360"/>
        <w:jc w:val="both"/>
        <w:outlineLvl w:val="1"/>
        <w:rPr>
          <w:rFonts w:eastAsia="Times New Roman" w:cs="Times New Roman"/>
          <w:b/>
          <w:sz w:val="28"/>
          <w:szCs w:val="28"/>
          <w:lang w:val="en-NZ" w:eastAsia="en-NZ"/>
        </w:rPr>
      </w:pPr>
    </w:p>
    <w:p w14:paraId="72F38105" w14:textId="33B4C53A" w:rsidR="00D5514C" w:rsidRDefault="00D5514C" w:rsidP="008B7AD4">
      <w:pPr>
        <w:pStyle w:val="ListParagraph"/>
        <w:numPr>
          <w:ilvl w:val="0"/>
          <w:numId w:val="10"/>
        </w:numPr>
        <w:tabs>
          <w:tab w:val="left" w:pos="851"/>
          <w:tab w:val="left" w:pos="1701"/>
          <w:tab w:val="left" w:pos="2552"/>
          <w:tab w:val="left" w:pos="3402"/>
          <w:tab w:val="left" w:pos="4253"/>
          <w:tab w:val="right" w:pos="9015"/>
        </w:tabs>
        <w:spacing w:before="240" w:line="360" w:lineRule="auto"/>
        <w:ind w:left="1080" w:hanging="45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What is notable about the reforms is that there has been </w:t>
      </w:r>
      <w:r w:rsidR="006A7B3B">
        <w:rPr>
          <w:rFonts w:eastAsia="Times New Roman" w:cs="Times New Roman"/>
          <w:sz w:val="28"/>
          <w:szCs w:val="28"/>
          <w:lang w:val="en-NZ" w:eastAsia="en-NZ"/>
        </w:rPr>
        <w:t>little</w:t>
      </w:r>
      <w:r w:rsidRPr="00FC17F1">
        <w:rPr>
          <w:rFonts w:eastAsia="Times New Roman" w:cs="Times New Roman"/>
          <w:sz w:val="28"/>
          <w:szCs w:val="28"/>
          <w:lang w:val="en-NZ" w:eastAsia="en-NZ"/>
        </w:rPr>
        <w:t xml:space="preserve"> effort to restore basic benefits to the levels they were before the significant cuts in 1991. Nor have benefits been adequately indexed to movements in average weekly wages or cost of living.</w:t>
      </w:r>
    </w:p>
    <w:p w14:paraId="6C44D723" w14:textId="77777777" w:rsidR="006A7B3B" w:rsidRPr="00FC17F1" w:rsidRDefault="006A7B3B" w:rsidP="00FC17F1">
      <w:pPr>
        <w:jc w:val="both"/>
      </w:pPr>
    </w:p>
    <w:p w14:paraId="6ABBBA01" w14:textId="32E6D95D" w:rsidR="00D5514C" w:rsidRPr="00FC17F1" w:rsidRDefault="006A7B3B" w:rsidP="00DA2390">
      <w:pPr>
        <w:pStyle w:val="ListParagraph"/>
        <w:numPr>
          <w:ilvl w:val="0"/>
          <w:numId w:val="10"/>
        </w:numPr>
        <w:tabs>
          <w:tab w:val="left" w:pos="851"/>
          <w:tab w:val="left" w:pos="1701"/>
          <w:tab w:val="left" w:pos="2552"/>
          <w:tab w:val="left" w:pos="3402"/>
          <w:tab w:val="left" w:pos="4253"/>
          <w:tab w:val="right" w:pos="9015"/>
        </w:tabs>
        <w:spacing w:before="240" w:line="360" w:lineRule="auto"/>
        <w:jc w:val="both"/>
        <w:outlineLvl w:val="2"/>
        <w:rPr>
          <w:rFonts w:eastAsia="Times New Roman" w:cs="Times New Roman"/>
          <w:sz w:val="28"/>
          <w:szCs w:val="28"/>
          <w:lang w:val="en-NZ" w:eastAsia="en-NZ"/>
        </w:rPr>
      </w:pPr>
      <w:r w:rsidRPr="006A7B3B">
        <w:rPr>
          <w:rFonts w:eastAsia="Times New Roman" w:cs="Times New Roman"/>
          <w:bCs/>
          <w:color w:val="000000" w:themeColor="text1"/>
          <w:sz w:val="28"/>
          <w:szCs w:val="28"/>
        </w:rPr>
        <w:lastRenderedPageBreak/>
        <w:t xml:space="preserve">  </w:t>
      </w:r>
      <w:r w:rsidRPr="006A7B3B">
        <w:rPr>
          <w:rFonts w:eastAsia="Times New Roman" w:cs="Times New Roman"/>
          <w:sz w:val="28"/>
          <w:szCs w:val="28"/>
          <w:lang w:val="en-NZ" w:eastAsia="en-NZ"/>
        </w:rPr>
        <w:t>F</w:t>
      </w:r>
      <w:r w:rsidR="00D5514C" w:rsidRPr="00FC17F1">
        <w:rPr>
          <w:rFonts w:eastAsia="Times New Roman" w:cs="Times New Roman"/>
          <w:sz w:val="28"/>
          <w:szCs w:val="28"/>
          <w:lang w:val="en-NZ" w:eastAsia="en-NZ"/>
        </w:rPr>
        <w:t>or example, in 2012 the government made changes to the Working for Families (WFF) package.</w:t>
      </w:r>
      <w:r w:rsidR="00D5514C" w:rsidRPr="00FC17F1">
        <w:rPr>
          <w:vertAlign w:val="superscript"/>
          <w:lang w:val="en-NZ" w:eastAsia="en-NZ"/>
        </w:rPr>
        <w:footnoteReference w:id="72"/>
      </w:r>
      <w:r w:rsidR="00D5514C" w:rsidRPr="00FC17F1">
        <w:rPr>
          <w:rFonts w:eastAsia="Times New Roman" w:cs="Times New Roman"/>
          <w:sz w:val="28"/>
          <w:szCs w:val="28"/>
          <w:lang w:val="en-NZ" w:eastAsia="en-NZ"/>
        </w:rPr>
        <w:t xml:space="preserve">  In brief these changes lowered the abatement threshold from $36,827 to $35,000; increased the abatement rate of 25 cents in the dollar compared with the 2011 level of 20 cents in the dollar.  The Family Tax credit was increased for inflation but the rate for those aged 16 and over was frozen.  The threshold for abatement was reduced.</w:t>
      </w:r>
      <w:r w:rsidR="00D5514C" w:rsidRPr="00FC17F1">
        <w:rPr>
          <w:vertAlign w:val="superscript"/>
          <w:lang w:val="en-NZ" w:eastAsia="en-NZ"/>
        </w:rPr>
        <w:footnoteReference w:id="73"/>
      </w:r>
      <w:r w:rsidR="00D5514C" w:rsidRPr="00FC17F1">
        <w:rPr>
          <w:rFonts w:eastAsia="Times New Roman" w:cs="Times New Roman"/>
          <w:sz w:val="28"/>
          <w:szCs w:val="28"/>
          <w:lang w:val="en-NZ" w:eastAsia="en-NZ"/>
        </w:rPr>
        <w:t xml:space="preserve">   The result of these changes was to reduce dramatically real spending on WFF over time. Compared with what a properly indexed scheme would have cost, the cumulative savings were very significant. It has been estimated that over the period 2017 -2018 the cumulative loss to low income families was nearly $3 billion.</w:t>
      </w:r>
      <w:r w:rsidR="00D5514C" w:rsidRPr="00FC17F1">
        <w:rPr>
          <w:vertAlign w:val="superscript"/>
          <w:lang w:val="en-NZ" w:eastAsia="en-NZ"/>
        </w:rPr>
        <w:footnoteReference w:id="74"/>
      </w:r>
    </w:p>
    <w:p w14:paraId="658CA963" w14:textId="77777777" w:rsidR="00D5514C" w:rsidRPr="00FC17F1" w:rsidRDefault="00D5514C" w:rsidP="00FC17F1">
      <w:pPr>
        <w:pStyle w:val="ListParagraph"/>
        <w:tabs>
          <w:tab w:val="left" w:pos="851"/>
          <w:tab w:val="left" w:pos="1701"/>
          <w:tab w:val="left" w:pos="2552"/>
          <w:tab w:val="left" w:pos="3402"/>
          <w:tab w:val="left" w:pos="4253"/>
          <w:tab w:val="right" w:pos="9015"/>
        </w:tabs>
        <w:spacing w:before="240" w:line="360" w:lineRule="auto"/>
        <w:ind w:left="2160"/>
        <w:jc w:val="both"/>
        <w:outlineLvl w:val="2"/>
        <w:rPr>
          <w:rFonts w:eastAsia="Times New Roman" w:cs="Times New Roman"/>
          <w:sz w:val="28"/>
          <w:szCs w:val="28"/>
          <w:lang w:val="en-NZ" w:eastAsia="en-NZ"/>
        </w:rPr>
      </w:pPr>
    </w:p>
    <w:p w14:paraId="3EDBA4EF" w14:textId="3B2DE628" w:rsidR="00D5514C" w:rsidRPr="00FC17F1" w:rsidRDefault="00D5514C" w:rsidP="008B7AD4">
      <w:pPr>
        <w:pStyle w:val="ListParagraph"/>
        <w:numPr>
          <w:ilvl w:val="0"/>
          <w:numId w:val="10"/>
        </w:numPr>
        <w:tabs>
          <w:tab w:val="left" w:pos="851"/>
          <w:tab w:val="left" w:pos="1701"/>
          <w:tab w:val="left" w:pos="2552"/>
          <w:tab w:val="left" w:pos="3402"/>
          <w:tab w:val="left" w:pos="4253"/>
          <w:tab w:val="right" w:pos="9015"/>
        </w:tabs>
        <w:spacing w:before="240" w:line="360" w:lineRule="auto"/>
        <w:ind w:left="1080" w:hanging="45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 In October 2012, increased work obligations for sole parents and partners of beneficiaries came into force; for example, single parents with children aged 5 and over to be available for part-time work, single parents with children 14 years and over to be available for full-time work; single parents who had another child while on the benefit to be available for work after that child reached one year. Also in October, MSD implemented a new Service Delivery Model, including Work-Focused </w:t>
      </w:r>
      <w:r w:rsidR="00875BE1">
        <w:rPr>
          <w:rFonts w:eastAsia="Times New Roman" w:cs="Times New Roman"/>
          <w:sz w:val="28"/>
          <w:szCs w:val="28"/>
          <w:lang w:val="en-NZ" w:eastAsia="en-NZ"/>
        </w:rPr>
        <w:t>C</w:t>
      </w:r>
      <w:r w:rsidRPr="00FC17F1">
        <w:rPr>
          <w:rFonts w:eastAsia="Times New Roman" w:cs="Times New Roman"/>
          <w:sz w:val="28"/>
          <w:szCs w:val="28"/>
          <w:lang w:val="en-NZ" w:eastAsia="en-NZ"/>
        </w:rPr>
        <w:t xml:space="preserve">ase Management, as a pilot in 24 WINZ offices.  </w:t>
      </w:r>
    </w:p>
    <w:p w14:paraId="2E2F3EE5" w14:textId="77777777" w:rsidR="00D5514C" w:rsidRPr="00FC17F1" w:rsidRDefault="00D5514C" w:rsidP="00FC17F1">
      <w:pPr>
        <w:pStyle w:val="ListParagraph"/>
        <w:tabs>
          <w:tab w:val="left" w:pos="851"/>
          <w:tab w:val="left" w:pos="1701"/>
          <w:tab w:val="left" w:pos="2552"/>
          <w:tab w:val="left" w:pos="3402"/>
          <w:tab w:val="left" w:pos="4253"/>
          <w:tab w:val="right" w:pos="9015"/>
        </w:tabs>
        <w:spacing w:before="240" w:line="360" w:lineRule="auto"/>
        <w:ind w:left="450"/>
        <w:jc w:val="both"/>
        <w:outlineLvl w:val="2"/>
        <w:rPr>
          <w:rFonts w:eastAsia="Times New Roman" w:cs="Times New Roman"/>
          <w:sz w:val="28"/>
          <w:szCs w:val="28"/>
          <w:lang w:val="en-NZ" w:eastAsia="en-NZ"/>
        </w:rPr>
      </w:pPr>
    </w:p>
    <w:p w14:paraId="0B53463C" w14:textId="6AE372A8" w:rsidR="00D5514C" w:rsidRPr="00FC17F1" w:rsidRDefault="00D5514C" w:rsidP="008B7AD4">
      <w:pPr>
        <w:pStyle w:val="ListParagraph"/>
        <w:numPr>
          <w:ilvl w:val="0"/>
          <w:numId w:val="10"/>
        </w:numPr>
        <w:tabs>
          <w:tab w:val="left" w:pos="851"/>
          <w:tab w:val="left" w:pos="1701"/>
          <w:tab w:val="left" w:pos="2552"/>
          <w:tab w:val="left" w:pos="3402"/>
          <w:tab w:val="left" w:pos="4253"/>
          <w:tab w:val="right" w:pos="9015"/>
        </w:tabs>
        <w:spacing w:before="240" w:line="360" w:lineRule="auto"/>
        <w:ind w:left="1080" w:hanging="45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 Sanctions continued to apply to beneficiaries who failed to meet obligations. There are three types of sanctions: graduated (ie a percentage reduction in benefit amount), suspended and cancelled. </w:t>
      </w:r>
      <w:r w:rsidRPr="00FC17F1">
        <w:rPr>
          <w:rFonts w:eastAsia="Times New Roman" w:cs="Times New Roman"/>
          <w:sz w:val="28"/>
          <w:szCs w:val="28"/>
          <w:lang w:val="en-NZ" w:eastAsia="en-NZ"/>
        </w:rPr>
        <w:lastRenderedPageBreak/>
        <w:t>Sole parents and couples with dependent children face a maximum of 50% reduction of their main benefit when sanctioned within a 12-month period. For single people with no dependent children, the first sanction is a maximum 50% reduction in their benefit; for a second failure they face a 100% suspension of their main benefit.</w:t>
      </w:r>
      <w:r w:rsidRPr="00FC17F1">
        <w:rPr>
          <w:vertAlign w:val="superscript"/>
          <w:lang w:val="en-NZ" w:eastAsia="en-NZ"/>
        </w:rPr>
        <w:footnoteReference w:id="75"/>
      </w:r>
      <w:r w:rsidRPr="00FC17F1">
        <w:rPr>
          <w:rFonts w:eastAsia="Times New Roman" w:cs="Times New Roman"/>
          <w:sz w:val="28"/>
          <w:szCs w:val="28"/>
          <w:lang w:val="en-NZ" w:eastAsia="en-NZ"/>
        </w:rPr>
        <w:t xml:space="preserve"> </w:t>
      </w:r>
    </w:p>
    <w:p w14:paraId="14BA245F"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77FC564A" w14:textId="05CE9474" w:rsidR="00D5514C" w:rsidRPr="00FC17F1" w:rsidRDefault="006A7B3B" w:rsidP="00DA2390">
      <w:pPr>
        <w:pStyle w:val="ListParagraph"/>
        <w:numPr>
          <w:ilvl w:val="0"/>
          <w:numId w:val="10"/>
        </w:numPr>
        <w:tabs>
          <w:tab w:val="left" w:pos="990"/>
          <w:tab w:val="left" w:pos="1701"/>
          <w:tab w:val="left" w:pos="2552"/>
          <w:tab w:val="left" w:pos="3402"/>
          <w:tab w:val="left" w:pos="4253"/>
          <w:tab w:val="right" w:pos="9015"/>
        </w:tabs>
        <w:spacing w:line="360" w:lineRule="auto"/>
        <w:ind w:hanging="54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The government also increased an emphasis on “benefit fraud” through a range of policy announcements and measures including enhanced information sharing provisions for example with Inland Revenue</w:t>
      </w:r>
      <w:r w:rsidR="00875BE1">
        <w:rPr>
          <w:rFonts w:eastAsia="Times New Roman" w:cs="Times New Roman"/>
          <w:sz w:val="28"/>
          <w:szCs w:val="28"/>
          <w:lang w:val="en-NZ" w:eastAsia="en-NZ"/>
        </w:rPr>
        <w:t>.</w:t>
      </w:r>
      <w:r w:rsidR="00D5514C" w:rsidRPr="00FC17F1">
        <w:rPr>
          <w:rFonts w:eastAsia="Times New Roman" w:cs="Times New Roman"/>
          <w:sz w:val="28"/>
          <w:szCs w:val="28"/>
          <w:lang w:val="en-NZ" w:eastAsia="en-NZ"/>
        </w:rPr>
        <w:t xml:space="preserve"> In addition</w:t>
      </w:r>
      <w:r w:rsidR="00875BE1">
        <w:rPr>
          <w:rFonts w:eastAsia="Times New Roman" w:cs="Times New Roman"/>
          <w:sz w:val="28"/>
          <w:szCs w:val="28"/>
          <w:lang w:val="en-NZ" w:eastAsia="en-NZ"/>
        </w:rPr>
        <w:t>,</w:t>
      </w:r>
      <w:r w:rsidR="00D5514C" w:rsidRPr="00FC17F1">
        <w:rPr>
          <w:rFonts w:eastAsia="Times New Roman" w:cs="Times New Roman"/>
          <w:sz w:val="28"/>
          <w:szCs w:val="28"/>
          <w:lang w:val="en-NZ" w:eastAsia="en-NZ"/>
        </w:rPr>
        <w:t xml:space="preserve"> those receiving Job Seeker Support and Sole Parent benefits were also required to re-apply after twelve months, drug testing was introduced for some recipients and sole parents were asked to provide the name of a person who could verify their relationship status. And in 2014 MSD implemented the Low Trust Client initiative, designed to prevent beneficiaries who had been convicted of welfare fraud or had in the last 12 months had overpayments established following a fraud investigation, from repeating this behaviour.</w:t>
      </w:r>
      <w:r w:rsidR="00D5514C" w:rsidRPr="00FC17F1">
        <w:rPr>
          <w:vertAlign w:val="superscript"/>
          <w:lang w:val="en-NZ" w:eastAsia="en-NZ"/>
        </w:rPr>
        <w:footnoteReference w:id="76"/>
      </w:r>
      <w:r w:rsidR="00D5514C" w:rsidRPr="00FC17F1">
        <w:rPr>
          <w:rFonts w:eastAsia="Times New Roman" w:cs="Times New Roman"/>
          <w:sz w:val="28"/>
          <w:szCs w:val="28"/>
          <w:lang w:val="en-NZ" w:eastAsia="en-NZ"/>
        </w:rPr>
        <w:t xml:space="preserve"> </w:t>
      </w:r>
    </w:p>
    <w:p w14:paraId="4412094F" w14:textId="1AE8C0F2" w:rsidR="00D5514C" w:rsidRPr="00FC17F1" w:rsidRDefault="00D5514C" w:rsidP="00FC17F1">
      <w:pPr>
        <w:tabs>
          <w:tab w:val="left" w:pos="851"/>
          <w:tab w:val="left" w:pos="1701"/>
          <w:tab w:val="left" w:pos="2552"/>
          <w:tab w:val="left" w:pos="3402"/>
          <w:tab w:val="left" w:pos="4253"/>
          <w:tab w:val="right" w:pos="9015"/>
        </w:tabs>
        <w:spacing w:line="360" w:lineRule="auto"/>
        <w:jc w:val="both"/>
        <w:outlineLvl w:val="2"/>
        <w:rPr>
          <w:rFonts w:eastAsia="Times New Roman" w:cs="Times New Roman"/>
          <w:sz w:val="28"/>
          <w:szCs w:val="28"/>
          <w:lang w:val="en-NZ" w:eastAsia="en-NZ"/>
        </w:rPr>
      </w:pPr>
    </w:p>
    <w:p w14:paraId="02FBE967" w14:textId="6121E78D" w:rsidR="00D5514C" w:rsidRPr="00FC17F1" w:rsidRDefault="008E1953" w:rsidP="00DA2390">
      <w:pPr>
        <w:pStyle w:val="ListParagraph"/>
        <w:numPr>
          <w:ilvl w:val="0"/>
          <w:numId w:val="10"/>
        </w:numPr>
        <w:tabs>
          <w:tab w:val="left" w:pos="360"/>
          <w:tab w:val="left" w:pos="630"/>
          <w:tab w:val="left" w:pos="1170"/>
          <w:tab w:val="left" w:pos="1701"/>
          <w:tab w:val="left" w:pos="2552"/>
          <w:tab w:val="left" w:pos="3402"/>
          <w:tab w:val="left" w:pos="4253"/>
          <w:tab w:val="right" w:pos="9015"/>
        </w:tabs>
        <w:spacing w:before="240" w:line="360" w:lineRule="auto"/>
        <w:ind w:hanging="54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 xml:space="preserve">In July 2014, the Social Security (Fraud Measures and Debt Recovery Amendment Act) came into force. The Act had a particular focus on relationship fraud which the government argued made up a large proportion of welfare fraud each year. It made spouses and partners, as well as beneficiaries themselves, potentially also accountable for relationship fraud.  </w:t>
      </w:r>
    </w:p>
    <w:p w14:paraId="1535D5C2"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4D5635F1" w14:textId="7F5C7D03" w:rsidR="00D5514C" w:rsidRPr="00FC17F1" w:rsidRDefault="00D5514C" w:rsidP="00DA2390">
      <w:pPr>
        <w:pStyle w:val="ListParagraph"/>
        <w:numPr>
          <w:ilvl w:val="0"/>
          <w:numId w:val="10"/>
        </w:numPr>
        <w:tabs>
          <w:tab w:val="left" w:pos="1170"/>
          <w:tab w:val="left" w:pos="1701"/>
          <w:tab w:val="left" w:pos="2552"/>
          <w:tab w:val="left" w:pos="3402"/>
          <w:tab w:val="left" w:pos="4253"/>
          <w:tab w:val="right" w:pos="9015"/>
        </w:tabs>
        <w:spacing w:line="360" w:lineRule="auto"/>
        <w:ind w:hanging="54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lastRenderedPageBreak/>
        <w:t xml:space="preserve">A wide range of NGOs and Maori organisations voiced their concerns at the spread and impact of poverty, shown in rising homelessness, increased use of foodbanks and a deterioration in child health associated with poverty-related factors. </w:t>
      </w:r>
    </w:p>
    <w:p w14:paraId="7F602D72"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27BC78E2" w14:textId="2F24E532" w:rsidR="00D5514C" w:rsidRPr="00FC17F1" w:rsidRDefault="00D5514C" w:rsidP="00DA2390">
      <w:pPr>
        <w:pStyle w:val="ListParagraph"/>
        <w:numPr>
          <w:ilvl w:val="0"/>
          <w:numId w:val="10"/>
        </w:numPr>
        <w:tabs>
          <w:tab w:val="left" w:pos="900"/>
          <w:tab w:val="left" w:pos="1701"/>
          <w:tab w:val="left" w:pos="2552"/>
          <w:tab w:val="left" w:pos="3402"/>
          <w:tab w:val="left" w:pos="4253"/>
          <w:tab w:val="right" w:pos="9015"/>
        </w:tabs>
        <w:spacing w:line="360" w:lineRule="auto"/>
        <w:ind w:hanging="54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Hence</w:t>
      </w:r>
      <w:r w:rsidR="00875BE1">
        <w:rPr>
          <w:rFonts w:eastAsia="Times New Roman" w:cs="Times New Roman"/>
          <w:sz w:val="28"/>
          <w:szCs w:val="28"/>
          <w:lang w:val="en-NZ" w:eastAsia="en-NZ"/>
        </w:rPr>
        <w:t>,</w:t>
      </w:r>
      <w:r w:rsidRPr="00FC17F1">
        <w:rPr>
          <w:rFonts w:eastAsia="Times New Roman" w:cs="Times New Roman"/>
          <w:sz w:val="28"/>
          <w:szCs w:val="28"/>
          <w:lang w:val="en-NZ" w:eastAsia="en-NZ"/>
        </w:rPr>
        <w:t xml:space="preserve"> the new government from 2014</w:t>
      </w:r>
      <w:r w:rsidR="00631511" w:rsidRPr="00FC17F1">
        <w:rPr>
          <w:rFonts w:eastAsia="Times New Roman" w:cs="Times New Roman"/>
          <w:sz w:val="28"/>
          <w:szCs w:val="28"/>
          <w:lang w:val="en-NZ" w:eastAsia="en-NZ"/>
        </w:rPr>
        <w:t xml:space="preserve"> to</w:t>
      </w:r>
      <w:r w:rsidRPr="00FC17F1">
        <w:rPr>
          <w:rFonts w:eastAsia="Times New Roman" w:cs="Times New Roman"/>
          <w:sz w:val="28"/>
          <w:szCs w:val="28"/>
          <w:lang w:val="en-NZ" w:eastAsia="en-NZ"/>
        </w:rPr>
        <w:t xml:space="preserve"> 2017 introduced some measures aimed at alleviating poverty. These included increasing the Parental Tax Credit (PTC) from $150 per week to $220 a week, extending the period of payment from eight weeks to ten weeks and increasing the maximum payment f</w:t>
      </w:r>
      <w:r w:rsidR="00875BE1">
        <w:rPr>
          <w:rFonts w:eastAsia="Times New Roman" w:cs="Times New Roman"/>
          <w:sz w:val="28"/>
          <w:szCs w:val="28"/>
          <w:lang w:val="en-NZ" w:eastAsia="en-NZ"/>
        </w:rPr>
        <w:t>r</w:t>
      </w:r>
      <w:r w:rsidRPr="00FC17F1">
        <w:rPr>
          <w:rFonts w:eastAsia="Times New Roman" w:cs="Times New Roman"/>
          <w:sz w:val="28"/>
          <w:szCs w:val="28"/>
          <w:lang w:val="en-NZ" w:eastAsia="en-NZ"/>
        </w:rPr>
        <w:t>om $1,200 to $2,200, increasing paid parental leave from 14 weeks to 16 weeks, and then to 18 weeks on 1 April 2016</w:t>
      </w:r>
      <w:r w:rsidR="00875BE1">
        <w:rPr>
          <w:rFonts w:eastAsia="Times New Roman" w:cs="Times New Roman"/>
          <w:sz w:val="28"/>
          <w:szCs w:val="28"/>
          <w:lang w:val="en-NZ" w:eastAsia="en-NZ"/>
        </w:rPr>
        <w:t>,</w:t>
      </w:r>
      <w:r w:rsidRPr="00FC17F1">
        <w:rPr>
          <w:rFonts w:eastAsia="Times New Roman" w:cs="Times New Roman"/>
          <w:sz w:val="28"/>
          <w:szCs w:val="28"/>
          <w:lang w:val="en-NZ" w:eastAsia="en-NZ"/>
        </w:rPr>
        <w:t xml:space="preserve"> and increasing benefit rates for families with children by $25 a week from April 2016. Paid parental leave was increased in line with the movement in average weekly wages.</w:t>
      </w:r>
      <w:r w:rsidRPr="00FC17F1">
        <w:rPr>
          <w:vertAlign w:val="superscript"/>
          <w:lang w:val="en-NZ" w:eastAsia="en-NZ"/>
        </w:rPr>
        <w:footnoteReference w:id="77"/>
      </w:r>
      <w:r w:rsidRPr="00FC17F1">
        <w:rPr>
          <w:rFonts w:eastAsia="Times New Roman" w:cs="Times New Roman"/>
          <w:sz w:val="28"/>
          <w:szCs w:val="28"/>
          <w:lang w:val="en-NZ" w:eastAsia="en-NZ"/>
        </w:rPr>
        <w:t xml:space="preserve"> </w:t>
      </w:r>
    </w:p>
    <w:p w14:paraId="0476435B"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4802B7F3" w14:textId="59C52A18" w:rsidR="00D5514C" w:rsidRPr="00FC17F1" w:rsidRDefault="006A7B3B" w:rsidP="00DA2390">
      <w:pPr>
        <w:pStyle w:val="ListParagraph"/>
        <w:numPr>
          <w:ilvl w:val="0"/>
          <w:numId w:val="10"/>
        </w:numPr>
        <w:tabs>
          <w:tab w:val="left" w:pos="630"/>
          <w:tab w:val="left" w:pos="900"/>
          <w:tab w:val="left" w:pos="1701"/>
          <w:tab w:val="left" w:pos="2552"/>
          <w:tab w:val="left" w:pos="3402"/>
          <w:tab w:val="left" w:pos="4253"/>
          <w:tab w:val="right" w:pos="9015"/>
        </w:tabs>
        <w:spacing w:line="360" w:lineRule="auto"/>
        <w:ind w:left="900" w:hanging="54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Alongside these positive measures, the government continued to implement increased obligations for beneficiaries. For example</w:t>
      </w:r>
      <w:r w:rsidR="00875BE1">
        <w:rPr>
          <w:rFonts w:eastAsia="Times New Roman" w:cs="Times New Roman"/>
          <w:sz w:val="28"/>
          <w:szCs w:val="28"/>
          <w:lang w:val="en-NZ" w:eastAsia="en-NZ"/>
        </w:rPr>
        <w:t>,</w:t>
      </w:r>
      <w:r w:rsidR="00D5514C" w:rsidRPr="00FC17F1">
        <w:rPr>
          <w:rFonts w:eastAsia="Times New Roman" w:cs="Times New Roman"/>
          <w:sz w:val="28"/>
          <w:szCs w:val="28"/>
          <w:lang w:val="en-NZ" w:eastAsia="en-NZ"/>
        </w:rPr>
        <w:t xml:space="preserve"> </w:t>
      </w:r>
      <w:r w:rsidR="00875BE1">
        <w:rPr>
          <w:rFonts w:eastAsia="Times New Roman" w:cs="Times New Roman"/>
          <w:sz w:val="28"/>
          <w:szCs w:val="28"/>
          <w:lang w:val="en-NZ" w:eastAsia="en-NZ"/>
        </w:rPr>
        <w:t>as a result of changes introduced in</w:t>
      </w:r>
      <w:r w:rsidR="00D5514C" w:rsidRPr="00FC17F1">
        <w:rPr>
          <w:rFonts w:eastAsia="Times New Roman" w:cs="Times New Roman"/>
          <w:sz w:val="28"/>
          <w:szCs w:val="28"/>
          <w:lang w:val="en-NZ" w:eastAsia="en-NZ"/>
        </w:rPr>
        <w:t xml:space="preserve"> the 2015 budget, most sole parents and partners of beneficiaries were required to look for part-time work when their youngest child reached the age of three years (previously five years). From 1 April 2016, beneficiaries receiving Sole </w:t>
      </w:r>
      <w:r w:rsidR="00875BE1">
        <w:rPr>
          <w:rFonts w:eastAsia="Times New Roman" w:cs="Times New Roman"/>
          <w:sz w:val="28"/>
          <w:szCs w:val="28"/>
          <w:lang w:val="en-NZ" w:eastAsia="en-NZ"/>
        </w:rPr>
        <w:t>P</w:t>
      </w:r>
      <w:r w:rsidR="00D5514C" w:rsidRPr="00FC17F1">
        <w:rPr>
          <w:rFonts w:eastAsia="Times New Roman" w:cs="Times New Roman"/>
          <w:sz w:val="28"/>
          <w:szCs w:val="28"/>
          <w:lang w:val="en-NZ" w:eastAsia="en-NZ"/>
        </w:rPr>
        <w:t xml:space="preserve">arent </w:t>
      </w:r>
      <w:r w:rsidR="00875BE1">
        <w:rPr>
          <w:rFonts w:eastAsia="Times New Roman" w:cs="Times New Roman"/>
          <w:sz w:val="28"/>
          <w:szCs w:val="28"/>
          <w:lang w:val="en-NZ" w:eastAsia="en-NZ"/>
        </w:rPr>
        <w:t>S</w:t>
      </w:r>
      <w:r w:rsidR="00D5514C" w:rsidRPr="00FC17F1">
        <w:rPr>
          <w:rFonts w:eastAsia="Times New Roman" w:cs="Times New Roman"/>
          <w:sz w:val="28"/>
          <w:szCs w:val="28"/>
          <w:lang w:val="en-NZ" w:eastAsia="en-NZ"/>
        </w:rPr>
        <w:t>upport (SPS) needed to re-apply for their benefit every 12 months, as was already required of those on Jobseeker Support.</w:t>
      </w:r>
    </w:p>
    <w:p w14:paraId="2B57C077"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5C2A566B" w14:textId="77777777" w:rsidR="006A7B3B" w:rsidRDefault="00D5514C" w:rsidP="00FC17F1">
      <w:pPr>
        <w:tabs>
          <w:tab w:val="left" w:pos="851"/>
          <w:tab w:val="left" w:pos="1701"/>
          <w:tab w:val="left" w:pos="2552"/>
          <w:tab w:val="left" w:pos="3402"/>
          <w:tab w:val="left" w:pos="4253"/>
          <w:tab w:val="right" w:pos="9015"/>
        </w:tabs>
        <w:spacing w:line="360" w:lineRule="auto"/>
        <w:jc w:val="both"/>
        <w:outlineLvl w:val="1"/>
        <w:rPr>
          <w:rFonts w:eastAsia="Times New Roman" w:cs="Times New Roman"/>
          <w:b/>
          <w:sz w:val="28"/>
          <w:szCs w:val="28"/>
          <w:lang w:val="en-NZ" w:eastAsia="en-NZ"/>
        </w:rPr>
      </w:pPr>
      <w:r w:rsidRPr="00FC17F1">
        <w:rPr>
          <w:rFonts w:eastAsia="Times New Roman" w:cs="Times New Roman"/>
          <w:b/>
          <w:sz w:val="28"/>
          <w:szCs w:val="28"/>
          <w:lang w:val="en-NZ" w:eastAsia="en-NZ"/>
        </w:rPr>
        <w:t>The impact of these reforms</w:t>
      </w:r>
    </w:p>
    <w:p w14:paraId="72721F5B" w14:textId="3047BAFD" w:rsidR="00877B44" w:rsidRDefault="00D5514C" w:rsidP="00DA2390">
      <w:pPr>
        <w:pStyle w:val="ListParagraph"/>
        <w:numPr>
          <w:ilvl w:val="0"/>
          <w:numId w:val="10"/>
        </w:numPr>
        <w:tabs>
          <w:tab w:val="left" w:pos="360"/>
          <w:tab w:val="left" w:pos="900"/>
          <w:tab w:val="left" w:pos="1701"/>
          <w:tab w:val="left" w:pos="2552"/>
          <w:tab w:val="left" w:pos="3402"/>
          <w:tab w:val="left" w:pos="4253"/>
          <w:tab w:val="right" w:pos="9015"/>
        </w:tabs>
        <w:spacing w:line="360" w:lineRule="auto"/>
        <w:ind w:left="720" w:hanging="540"/>
        <w:jc w:val="both"/>
        <w:outlineLvl w:val="1"/>
        <w:rPr>
          <w:rFonts w:eastAsia="Times New Roman" w:cs="Times New Roman"/>
          <w:sz w:val="28"/>
          <w:szCs w:val="28"/>
          <w:lang w:val="en-NZ" w:eastAsia="en-NZ"/>
        </w:rPr>
      </w:pPr>
      <w:r w:rsidRPr="00FC17F1">
        <w:rPr>
          <w:rFonts w:eastAsia="Times New Roman" w:cs="Times New Roman"/>
          <w:sz w:val="28"/>
          <w:szCs w:val="28"/>
          <w:lang w:val="en-NZ" w:eastAsia="en-NZ"/>
        </w:rPr>
        <w:t>The HRF is concerned that overall the reforms have undermined the dignity and security of beneficiaries, many of whom belong to the most marginalised groups in New Zealand.</w:t>
      </w:r>
      <w:r w:rsidR="00875BE1" w:rsidRPr="00FC17F1">
        <w:rPr>
          <w:rFonts w:eastAsia="Times New Roman" w:cs="Times New Roman"/>
          <w:sz w:val="28"/>
          <w:szCs w:val="28"/>
          <w:lang w:val="en-NZ" w:eastAsia="en-NZ"/>
        </w:rPr>
        <w:t xml:space="preserve"> </w:t>
      </w:r>
      <w:r w:rsidRPr="00FC17F1">
        <w:rPr>
          <w:rFonts w:eastAsia="Times New Roman" w:cs="Times New Roman"/>
          <w:sz w:val="28"/>
          <w:szCs w:val="28"/>
          <w:lang w:val="en-NZ" w:eastAsia="en-NZ"/>
        </w:rPr>
        <w:t xml:space="preserve">A result of the government’s policy </w:t>
      </w:r>
      <w:r w:rsidRPr="00FC17F1">
        <w:rPr>
          <w:rFonts w:eastAsia="Times New Roman" w:cs="Times New Roman"/>
          <w:sz w:val="28"/>
          <w:szCs w:val="28"/>
          <w:lang w:val="en-NZ" w:eastAsia="en-NZ"/>
        </w:rPr>
        <w:lastRenderedPageBreak/>
        <w:t>direction has been to make being a ‘beneficiary’ an undesirable status and something solely within the control of the beneficiary. The implication is that with appropriate effort beneficiaries can move quickly off welfare into the more desirable state of paid employment. This ignores the complex needs and vulnerabilities of beneficiaries, many of whom have experienced challenging and unforeseen life events or are performing the traditionally undervalued but skilled work of caring for children and dependents.</w:t>
      </w:r>
      <w:r w:rsidRPr="00FC17F1">
        <w:rPr>
          <w:vertAlign w:val="superscript"/>
          <w:lang w:val="en-NZ" w:eastAsia="en-NZ"/>
        </w:rPr>
        <w:footnoteReference w:id="78"/>
      </w:r>
      <w:r w:rsidRPr="00FC17F1">
        <w:rPr>
          <w:rFonts w:eastAsia="Times New Roman" w:cs="Times New Roman"/>
          <w:sz w:val="28"/>
          <w:szCs w:val="28"/>
          <w:lang w:val="en-NZ" w:eastAsia="en-NZ"/>
        </w:rPr>
        <w:t xml:space="preserve"> The purpose of a social security system is to support and protect citizens through these life events and circumstances, so that they can enjoy the same basic economic and social rights of citizens with more favourable life circumstances.   This is a fundamental human right, well within the affordability of a wealthy country such as New Zealand, which</w:t>
      </w:r>
      <w:r w:rsidR="00697495" w:rsidRPr="00FC17F1">
        <w:rPr>
          <w:rFonts w:eastAsia="Times New Roman" w:cs="Times New Roman"/>
          <w:sz w:val="28"/>
          <w:szCs w:val="28"/>
          <w:lang w:val="en-NZ" w:eastAsia="en-NZ"/>
        </w:rPr>
        <w:t>, on the contrary</w:t>
      </w:r>
      <w:r w:rsidRPr="00FC17F1">
        <w:rPr>
          <w:rFonts w:eastAsia="Times New Roman" w:cs="Times New Roman"/>
          <w:sz w:val="28"/>
          <w:szCs w:val="28"/>
          <w:lang w:val="en-NZ" w:eastAsia="en-NZ"/>
        </w:rPr>
        <w:t xml:space="preserve"> has growing inequality.</w:t>
      </w:r>
      <w:r w:rsidR="00877B44">
        <w:rPr>
          <w:rFonts w:eastAsia="Times New Roman" w:cs="Times New Roman"/>
          <w:sz w:val="28"/>
          <w:szCs w:val="28"/>
          <w:lang w:val="en-NZ" w:eastAsia="en-NZ"/>
        </w:rPr>
        <w:t xml:space="preserve"> </w:t>
      </w:r>
      <w:r w:rsidR="00877B44">
        <w:rPr>
          <w:rFonts w:eastAsia="Times New Roman" w:cs="Times New Roman"/>
          <w:sz w:val="28"/>
          <w:szCs w:val="28"/>
          <w:lang w:val="en-NZ" w:eastAsia="en-NZ"/>
        </w:rPr>
        <w:tab/>
      </w:r>
      <w:r w:rsidR="00877B44">
        <w:rPr>
          <w:rFonts w:eastAsia="Times New Roman" w:cs="Times New Roman"/>
          <w:sz w:val="28"/>
          <w:szCs w:val="28"/>
          <w:lang w:val="en-NZ" w:eastAsia="en-NZ"/>
        </w:rPr>
        <w:br/>
      </w:r>
    </w:p>
    <w:p w14:paraId="0986A019" w14:textId="09D2A8E0" w:rsidR="00D5514C" w:rsidRPr="00FC17F1" w:rsidRDefault="00D5514C" w:rsidP="00DA2390">
      <w:pPr>
        <w:pStyle w:val="ListParagraph"/>
        <w:numPr>
          <w:ilvl w:val="0"/>
          <w:numId w:val="10"/>
        </w:numPr>
        <w:tabs>
          <w:tab w:val="left" w:pos="900"/>
          <w:tab w:val="left" w:pos="1701"/>
          <w:tab w:val="left" w:pos="2552"/>
          <w:tab w:val="left" w:pos="3402"/>
          <w:tab w:val="left" w:pos="4253"/>
          <w:tab w:val="right" w:pos="9015"/>
        </w:tabs>
        <w:spacing w:line="360" w:lineRule="auto"/>
        <w:ind w:left="720" w:hanging="540"/>
        <w:jc w:val="both"/>
        <w:outlineLvl w:val="1"/>
        <w:rPr>
          <w:rFonts w:eastAsia="Times New Roman" w:cs="Times New Roman"/>
          <w:sz w:val="28"/>
          <w:szCs w:val="28"/>
          <w:lang w:val="en-NZ" w:eastAsia="en-NZ"/>
        </w:rPr>
      </w:pPr>
      <w:r w:rsidRPr="00FC17F1">
        <w:rPr>
          <w:rFonts w:eastAsia="Times New Roman" w:cs="Times New Roman"/>
          <w:sz w:val="28"/>
          <w:szCs w:val="28"/>
          <w:lang w:val="en-NZ" w:eastAsia="en-NZ"/>
        </w:rPr>
        <w:t xml:space="preserve">This policy </w:t>
      </w:r>
      <w:r w:rsidR="00697495" w:rsidRPr="00FC17F1">
        <w:rPr>
          <w:rFonts w:eastAsia="Times New Roman" w:cs="Times New Roman"/>
          <w:sz w:val="28"/>
          <w:szCs w:val="28"/>
          <w:lang w:val="en-NZ" w:eastAsia="en-NZ"/>
        </w:rPr>
        <w:t xml:space="preserve">approach </w:t>
      </w:r>
      <w:r w:rsidRPr="00FC17F1">
        <w:rPr>
          <w:rFonts w:eastAsia="Times New Roman" w:cs="Times New Roman"/>
          <w:sz w:val="28"/>
          <w:szCs w:val="28"/>
          <w:lang w:val="en-NZ" w:eastAsia="en-NZ"/>
        </w:rPr>
        <w:t>also ignores the complexity of the New Zealand labour market in which a significant number of jobs are low paid, casual, or short-term in nature. Being pressured off a benefit into a job that may be short-term or have casual hours (that are not guaranteed) provides at best uncertain security. And paid employment is not a guarantee against poverty for families with children. Around 40% of children in poverty live in families supported by paid work.</w:t>
      </w:r>
      <w:r w:rsidRPr="00FC17F1">
        <w:rPr>
          <w:vertAlign w:val="superscript"/>
          <w:lang w:val="en-NZ" w:eastAsia="en-NZ"/>
        </w:rPr>
        <w:footnoteReference w:id="79"/>
      </w:r>
      <w:r w:rsidRPr="00FC17F1">
        <w:rPr>
          <w:rFonts w:eastAsia="Times New Roman" w:cs="Times New Roman"/>
          <w:sz w:val="28"/>
          <w:szCs w:val="28"/>
          <w:lang w:val="en-NZ" w:eastAsia="en-NZ"/>
        </w:rPr>
        <w:t xml:space="preserve">   Hence the investment into the complex but much-needed WFF package.    </w:t>
      </w:r>
    </w:p>
    <w:p w14:paraId="0CB894F5"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2037457C" w14:textId="71A56294" w:rsidR="00D5514C" w:rsidRPr="00FC17F1" w:rsidRDefault="002D0971" w:rsidP="00DA2390">
      <w:pPr>
        <w:pStyle w:val="ListParagraph"/>
        <w:numPr>
          <w:ilvl w:val="0"/>
          <w:numId w:val="10"/>
        </w:numPr>
        <w:tabs>
          <w:tab w:val="left" w:pos="720"/>
          <w:tab w:val="left" w:pos="1701"/>
          <w:tab w:val="left" w:pos="2552"/>
          <w:tab w:val="left" w:pos="3402"/>
          <w:tab w:val="left" w:pos="4253"/>
          <w:tab w:val="right" w:pos="9015"/>
        </w:tabs>
        <w:spacing w:line="360" w:lineRule="auto"/>
        <w:ind w:left="72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O</w:t>
      </w:r>
      <w:r w:rsidR="00D5514C" w:rsidRPr="00FC17F1">
        <w:rPr>
          <w:rFonts w:eastAsia="Times New Roman" w:cs="Times New Roman"/>
          <w:sz w:val="28"/>
          <w:szCs w:val="28"/>
          <w:lang w:val="en-NZ" w:eastAsia="en-NZ"/>
        </w:rPr>
        <w:t xml:space="preserve">f considerable concern is the low level of core benefits which mean that the </w:t>
      </w: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 xml:space="preserve">standard of living experienced by beneficiaries, compared to that of the wider community, has continued to decline. This has led to an </w:t>
      </w:r>
      <w:r w:rsidR="00D5514C" w:rsidRPr="00FC17F1">
        <w:rPr>
          <w:rFonts w:eastAsia="Times New Roman" w:cs="Times New Roman"/>
          <w:sz w:val="28"/>
          <w:szCs w:val="28"/>
          <w:lang w:val="en-NZ" w:eastAsia="en-NZ"/>
        </w:rPr>
        <w:lastRenderedPageBreak/>
        <w:t>increasing gap between wages and benefit payments.</w:t>
      </w:r>
      <w:r w:rsidR="00D5514C" w:rsidRPr="00FC17F1">
        <w:rPr>
          <w:vertAlign w:val="superscript"/>
          <w:lang w:val="en-NZ" w:eastAsia="en-NZ"/>
        </w:rPr>
        <w:footnoteReference w:id="80"/>
      </w:r>
      <w:r w:rsidR="00D5514C" w:rsidRPr="00FC17F1">
        <w:rPr>
          <w:rFonts w:eastAsia="Times New Roman" w:cs="Times New Roman"/>
          <w:sz w:val="28"/>
          <w:szCs w:val="28"/>
          <w:lang w:val="en-NZ" w:eastAsia="en-NZ"/>
        </w:rPr>
        <w:t xml:space="preserve"> </w:t>
      </w:r>
      <w:r w:rsidR="006A7B3B">
        <w:rPr>
          <w:rFonts w:eastAsia="Times New Roman" w:cs="Times New Roman"/>
          <w:sz w:val="28"/>
          <w:szCs w:val="28"/>
          <w:lang w:val="en-NZ" w:eastAsia="en-NZ"/>
        </w:rPr>
        <w:tab/>
      </w:r>
      <w:r w:rsidR="00A0644D" w:rsidRPr="00FC17F1">
        <w:rPr>
          <w:rFonts w:eastAsia="Times New Roman" w:cs="Times New Roman"/>
          <w:sz w:val="28"/>
          <w:szCs w:val="28"/>
          <w:lang w:val="en-NZ" w:eastAsia="en-NZ"/>
        </w:rPr>
        <w:br/>
      </w:r>
      <w:r w:rsidR="00D5514C" w:rsidRPr="00FC17F1">
        <w:rPr>
          <w:rFonts w:eastAsia="Times New Roman" w:cs="Times New Roman"/>
          <w:sz w:val="28"/>
          <w:szCs w:val="28"/>
          <w:lang w:val="en-NZ" w:eastAsia="en-NZ"/>
        </w:rPr>
        <w:t xml:space="preserve"> </w:t>
      </w:r>
    </w:p>
    <w:p w14:paraId="1256E40C" w14:textId="70C3B35C" w:rsidR="00A0644D" w:rsidRPr="00FC17F1" w:rsidRDefault="00D5514C" w:rsidP="00DA2390">
      <w:pPr>
        <w:pStyle w:val="ListParagraph"/>
        <w:numPr>
          <w:ilvl w:val="0"/>
          <w:numId w:val="10"/>
        </w:numPr>
        <w:tabs>
          <w:tab w:val="left" w:pos="810"/>
          <w:tab w:val="left" w:pos="1701"/>
          <w:tab w:val="left" w:pos="2552"/>
          <w:tab w:val="left" w:pos="3402"/>
          <w:tab w:val="left" w:pos="4253"/>
          <w:tab w:val="right" w:pos="9015"/>
        </w:tabs>
        <w:spacing w:before="240" w:line="360" w:lineRule="auto"/>
        <w:ind w:hanging="54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The low level of benefits has also led to many beneficiaries being required to access third tier supplementary assistance. The main types of supplementary assistance are: Accommodation Supplement (AS), Temporary Additional Support (TAS), Special Needs Grants (SNGs), Benefit Advances (ADV) and Recoverable Assistance Payments (RAP). These grants (apart from the AS) are complex to access and require a scrutiny of the beneficiary’s expenditure, income and assets.  Some forms are repayable, ad</w:t>
      </w:r>
      <w:r w:rsidR="00A0644D" w:rsidRPr="00FC17F1">
        <w:rPr>
          <w:rFonts w:eastAsia="Times New Roman" w:cs="Times New Roman"/>
          <w:sz w:val="28"/>
          <w:szCs w:val="28"/>
          <w:lang w:val="en-NZ" w:eastAsia="en-NZ"/>
        </w:rPr>
        <w:t xml:space="preserve">ding to the debt trap. </w:t>
      </w:r>
    </w:p>
    <w:p w14:paraId="23E73AD5" w14:textId="77777777" w:rsidR="00A0644D" w:rsidRPr="00FC17F1" w:rsidRDefault="00A0644D" w:rsidP="00FC17F1">
      <w:pPr>
        <w:pStyle w:val="ListParagraph"/>
        <w:tabs>
          <w:tab w:val="left" w:pos="851"/>
          <w:tab w:val="left" w:pos="1701"/>
          <w:tab w:val="left" w:pos="2552"/>
          <w:tab w:val="left" w:pos="3402"/>
          <w:tab w:val="left" w:pos="4253"/>
          <w:tab w:val="right" w:pos="9015"/>
        </w:tabs>
        <w:spacing w:before="240" w:line="360" w:lineRule="auto"/>
        <w:ind w:left="450"/>
        <w:jc w:val="both"/>
        <w:outlineLvl w:val="2"/>
        <w:rPr>
          <w:rFonts w:eastAsia="Times New Roman" w:cs="Times New Roman"/>
          <w:sz w:val="28"/>
          <w:szCs w:val="28"/>
          <w:lang w:val="en-NZ" w:eastAsia="en-NZ"/>
        </w:rPr>
      </w:pPr>
    </w:p>
    <w:p w14:paraId="23A2429B" w14:textId="001E67BD" w:rsidR="00A0644D" w:rsidRPr="00FC17F1" w:rsidRDefault="005C2F37" w:rsidP="00DA2390">
      <w:pPr>
        <w:pStyle w:val="ListParagraph"/>
        <w:numPr>
          <w:ilvl w:val="0"/>
          <w:numId w:val="10"/>
        </w:numPr>
        <w:tabs>
          <w:tab w:val="left" w:pos="630"/>
          <w:tab w:val="left" w:pos="1701"/>
          <w:tab w:val="left" w:pos="2552"/>
          <w:tab w:val="left" w:pos="3402"/>
          <w:tab w:val="left" w:pos="4253"/>
          <w:tab w:val="right" w:pos="9015"/>
        </w:tabs>
        <w:spacing w:before="240" w:line="360" w:lineRule="auto"/>
        <w:ind w:left="72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The number of people receiving TAS increased by 4,111 since December 2016 to 72,355 as at 31 December 2017. The number of hardship grants (which include SNG, ADV, and RAP) increased from 252,422 in the December 2016 quarter to 290,070 in the December 2017 quarter, an increase of nearly 15%. The value of these grants increased by 6.7%. This followed significant increases in the preceding year. Of serious concern is that food has remained the main reason for needing hardship assistance. Most of the value of payments granted is either for accommodation related costs (excluding Emergency Housing) or food assistance.</w:t>
      </w:r>
      <w:r w:rsidR="00D5514C" w:rsidRPr="00FC17F1">
        <w:rPr>
          <w:vertAlign w:val="superscript"/>
          <w:lang w:val="en-NZ" w:eastAsia="en-NZ"/>
        </w:rPr>
        <w:footnoteReference w:id="81"/>
      </w:r>
      <w:r w:rsidR="00A0644D" w:rsidRPr="00FC17F1">
        <w:rPr>
          <w:rFonts w:eastAsia="Times New Roman" w:cs="Times New Roman"/>
          <w:sz w:val="28"/>
          <w:szCs w:val="28"/>
          <w:lang w:val="en-NZ" w:eastAsia="en-NZ"/>
        </w:rPr>
        <w:t xml:space="preserve">    </w:t>
      </w:r>
    </w:p>
    <w:p w14:paraId="79CFCBD0" w14:textId="77777777" w:rsidR="00A0644D" w:rsidRPr="00FC17F1" w:rsidRDefault="00A0644D" w:rsidP="00FC17F1">
      <w:pPr>
        <w:pStyle w:val="ListParagraph"/>
        <w:tabs>
          <w:tab w:val="left" w:pos="851"/>
          <w:tab w:val="left" w:pos="1701"/>
          <w:tab w:val="left" w:pos="2552"/>
          <w:tab w:val="left" w:pos="3402"/>
          <w:tab w:val="left" w:pos="4253"/>
          <w:tab w:val="right" w:pos="9015"/>
        </w:tabs>
        <w:spacing w:before="240" w:line="360" w:lineRule="auto"/>
        <w:ind w:left="450"/>
        <w:jc w:val="both"/>
        <w:outlineLvl w:val="2"/>
        <w:rPr>
          <w:rFonts w:eastAsia="Times New Roman" w:cs="Times New Roman"/>
          <w:sz w:val="28"/>
          <w:szCs w:val="28"/>
          <w:lang w:val="en-NZ" w:eastAsia="en-NZ"/>
        </w:rPr>
      </w:pPr>
    </w:p>
    <w:p w14:paraId="1B766A41" w14:textId="297E6646" w:rsidR="00D5514C" w:rsidRPr="00FC17F1" w:rsidRDefault="00D5514C" w:rsidP="00DA2390">
      <w:pPr>
        <w:pStyle w:val="ListParagraph"/>
        <w:numPr>
          <w:ilvl w:val="0"/>
          <w:numId w:val="10"/>
        </w:numPr>
        <w:tabs>
          <w:tab w:val="left" w:pos="1701"/>
          <w:tab w:val="left" w:pos="2552"/>
          <w:tab w:val="left" w:pos="3402"/>
          <w:tab w:val="left" w:pos="4253"/>
          <w:tab w:val="right" w:pos="9015"/>
        </w:tabs>
        <w:spacing w:before="240" w:line="360" w:lineRule="auto"/>
        <w:ind w:left="720" w:hanging="54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Determining one’s entitlement to the Accommodation Supplement is difficult as it depends on an assessment of several factors including assets and location. One way to determine the level of AS is to complete an on-line questionnaire, impossible for those without ready access to computers.    </w:t>
      </w:r>
    </w:p>
    <w:p w14:paraId="5043F46D" w14:textId="77777777" w:rsidR="00A0644D" w:rsidRPr="00FC17F1" w:rsidRDefault="00A0644D" w:rsidP="00FC17F1">
      <w:pPr>
        <w:pStyle w:val="ListParagraph"/>
        <w:tabs>
          <w:tab w:val="left" w:pos="851"/>
          <w:tab w:val="left" w:pos="1701"/>
          <w:tab w:val="left" w:pos="2552"/>
          <w:tab w:val="left" w:pos="3402"/>
          <w:tab w:val="left" w:pos="4253"/>
          <w:tab w:val="right" w:pos="9015"/>
        </w:tabs>
        <w:spacing w:before="240" w:line="360" w:lineRule="auto"/>
        <w:ind w:left="450"/>
        <w:jc w:val="both"/>
        <w:outlineLvl w:val="2"/>
        <w:rPr>
          <w:rFonts w:eastAsia="Times New Roman" w:cs="Times New Roman"/>
          <w:sz w:val="28"/>
          <w:szCs w:val="28"/>
          <w:lang w:val="en-NZ" w:eastAsia="en-NZ"/>
        </w:rPr>
      </w:pPr>
    </w:p>
    <w:p w14:paraId="28D70466" w14:textId="71265023" w:rsidR="00D5514C" w:rsidRPr="00FC17F1" w:rsidRDefault="002D0971" w:rsidP="00DA2390">
      <w:pPr>
        <w:pStyle w:val="ListParagraph"/>
        <w:numPr>
          <w:ilvl w:val="0"/>
          <w:numId w:val="10"/>
        </w:numPr>
        <w:tabs>
          <w:tab w:val="left" w:pos="630"/>
          <w:tab w:val="left" w:pos="1701"/>
          <w:tab w:val="left" w:pos="2552"/>
          <w:tab w:val="left" w:pos="3402"/>
          <w:tab w:val="left" w:pos="4253"/>
          <w:tab w:val="right" w:pos="9015"/>
        </w:tabs>
        <w:spacing w:before="240" w:line="360" w:lineRule="auto"/>
        <w:ind w:left="63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Further</w:t>
      </w:r>
      <w:r w:rsidR="00697495">
        <w:rPr>
          <w:rFonts w:eastAsia="Times New Roman" w:cs="Times New Roman"/>
          <w:sz w:val="28"/>
          <w:szCs w:val="28"/>
          <w:lang w:val="en-NZ" w:eastAsia="en-NZ"/>
        </w:rPr>
        <w:t>,</w:t>
      </w:r>
      <w:r w:rsidR="00D5514C" w:rsidRPr="00FC17F1">
        <w:rPr>
          <w:rFonts w:eastAsia="Times New Roman" w:cs="Times New Roman"/>
          <w:sz w:val="28"/>
          <w:szCs w:val="28"/>
          <w:lang w:val="en-NZ" w:eastAsia="en-NZ"/>
        </w:rPr>
        <w:t xml:space="preserve"> the AS is also inadequate given increasing rent levels in New Zealand.  One client of the author</w:t>
      </w:r>
      <w:r w:rsidR="00697495">
        <w:rPr>
          <w:rFonts w:eastAsia="Times New Roman" w:cs="Times New Roman"/>
          <w:sz w:val="28"/>
          <w:szCs w:val="28"/>
          <w:lang w:val="en-NZ" w:eastAsia="en-NZ"/>
        </w:rPr>
        <w:t xml:space="preserve"> of this section</w:t>
      </w:r>
      <w:r w:rsidR="00D5514C" w:rsidRPr="00FC17F1">
        <w:rPr>
          <w:rFonts w:eastAsia="Times New Roman" w:cs="Times New Roman"/>
          <w:sz w:val="28"/>
          <w:szCs w:val="28"/>
          <w:lang w:val="en-NZ" w:eastAsia="en-NZ"/>
        </w:rPr>
        <w:t xml:space="preserve">, a woman with significant mental health issues arising from childhood sexual abuse, separated from her spouse and needs to support herself through a difficult separation. She received the following benefit payments:  </w:t>
      </w:r>
    </w:p>
    <w:p w14:paraId="5BD08D27"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6AC3F1AC" w14:textId="77777777" w:rsidR="00D5514C" w:rsidRPr="00FC17F1" w:rsidRDefault="00D5514C" w:rsidP="00FC17F1">
      <w:pPr>
        <w:tabs>
          <w:tab w:val="left" w:pos="1260"/>
          <w:tab w:val="left" w:pos="1701"/>
          <w:tab w:val="left" w:pos="2552"/>
          <w:tab w:val="left" w:pos="3402"/>
          <w:tab w:val="left" w:pos="4253"/>
        </w:tabs>
        <w:spacing w:line="360" w:lineRule="auto"/>
        <w:ind w:left="1620"/>
        <w:jc w:val="both"/>
        <w:rPr>
          <w:rFonts w:eastAsia="Times New Roman" w:cs="Times New Roman"/>
          <w:sz w:val="28"/>
          <w:szCs w:val="28"/>
          <w:lang w:val="en-NZ" w:eastAsia="en-NZ"/>
        </w:rPr>
      </w:pPr>
      <w:r w:rsidRPr="00FC17F1">
        <w:rPr>
          <w:rFonts w:eastAsia="Times New Roman" w:cs="Times New Roman"/>
          <w:sz w:val="28"/>
          <w:szCs w:val="28"/>
          <w:lang w:val="en-NZ" w:eastAsia="en-NZ"/>
        </w:rPr>
        <w:t>Jobseeker Support</w:t>
      </w:r>
      <w:r w:rsidRPr="00FC17F1">
        <w:rPr>
          <w:rFonts w:eastAsia="Times New Roman" w:cs="Times New Roman"/>
          <w:sz w:val="28"/>
          <w:szCs w:val="28"/>
          <w:lang w:val="en-NZ" w:eastAsia="en-NZ"/>
        </w:rPr>
        <w:tab/>
      </w:r>
      <w:r w:rsidRPr="00FC17F1">
        <w:rPr>
          <w:rFonts w:eastAsia="Times New Roman" w:cs="Times New Roman"/>
          <w:sz w:val="28"/>
          <w:szCs w:val="28"/>
          <w:lang w:val="en-NZ" w:eastAsia="en-NZ"/>
        </w:rPr>
        <w:tab/>
      </w:r>
      <w:r w:rsidRPr="00FC17F1">
        <w:rPr>
          <w:rFonts w:eastAsia="Times New Roman" w:cs="Times New Roman"/>
          <w:sz w:val="28"/>
          <w:szCs w:val="28"/>
          <w:lang w:val="en-NZ" w:eastAsia="en-NZ"/>
        </w:rPr>
        <w:tab/>
        <w:t>$212.45</w:t>
      </w:r>
    </w:p>
    <w:p w14:paraId="7A1B51E3" w14:textId="668996DC" w:rsidR="00D5514C" w:rsidRPr="00FC17F1" w:rsidRDefault="005C2F37" w:rsidP="00FC17F1">
      <w:pPr>
        <w:tabs>
          <w:tab w:val="left" w:pos="851"/>
          <w:tab w:val="left" w:pos="1701"/>
          <w:tab w:val="left" w:pos="2552"/>
          <w:tab w:val="left" w:pos="3402"/>
          <w:tab w:val="left" w:pos="4253"/>
        </w:tabs>
        <w:spacing w:line="360" w:lineRule="auto"/>
        <w:ind w:left="1620"/>
        <w:jc w:val="both"/>
        <w:rPr>
          <w:rFonts w:eastAsia="Times New Roman" w:cs="Times New Roman"/>
          <w:sz w:val="28"/>
          <w:szCs w:val="28"/>
          <w:lang w:val="en-NZ" w:eastAsia="en-NZ"/>
        </w:rPr>
      </w:pPr>
      <w:r w:rsidRPr="00FC17F1">
        <w:rPr>
          <w:rFonts w:eastAsia="Times New Roman" w:cs="Times New Roman"/>
          <w:sz w:val="28"/>
          <w:szCs w:val="28"/>
          <w:lang w:val="en-NZ" w:eastAsia="en-NZ"/>
        </w:rPr>
        <w:t>Accommodation Supplement</w:t>
      </w:r>
      <w:r w:rsidRPr="00FC17F1">
        <w:rPr>
          <w:rFonts w:eastAsia="Times New Roman" w:cs="Times New Roman"/>
          <w:sz w:val="28"/>
          <w:szCs w:val="28"/>
          <w:lang w:val="en-NZ" w:eastAsia="en-NZ"/>
        </w:rPr>
        <w:tab/>
      </w:r>
      <w:r w:rsidR="00D5514C" w:rsidRPr="00FC17F1">
        <w:rPr>
          <w:rFonts w:eastAsia="Times New Roman" w:cs="Times New Roman"/>
          <w:sz w:val="28"/>
          <w:szCs w:val="28"/>
          <w:lang w:val="en-NZ" w:eastAsia="en-NZ"/>
        </w:rPr>
        <w:t>$145.00</w:t>
      </w:r>
    </w:p>
    <w:p w14:paraId="05215BB8" w14:textId="75D0430D" w:rsidR="00D5514C" w:rsidRPr="00FC17F1" w:rsidRDefault="00D5514C" w:rsidP="00FC17F1">
      <w:pPr>
        <w:tabs>
          <w:tab w:val="left" w:pos="851"/>
          <w:tab w:val="left" w:pos="1701"/>
          <w:tab w:val="left" w:pos="2552"/>
          <w:tab w:val="left" w:pos="3402"/>
          <w:tab w:val="left" w:pos="4253"/>
        </w:tabs>
        <w:spacing w:line="360" w:lineRule="auto"/>
        <w:ind w:left="1620"/>
        <w:jc w:val="both"/>
        <w:rPr>
          <w:rFonts w:eastAsia="Times New Roman" w:cs="Times New Roman"/>
          <w:sz w:val="28"/>
          <w:szCs w:val="28"/>
          <w:lang w:val="en-NZ" w:eastAsia="en-NZ"/>
        </w:rPr>
      </w:pPr>
      <w:r w:rsidRPr="00FC17F1">
        <w:rPr>
          <w:rFonts w:eastAsia="Times New Roman" w:cs="Times New Roman"/>
          <w:sz w:val="28"/>
          <w:szCs w:val="28"/>
          <w:lang w:val="en-NZ" w:eastAsia="en-NZ"/>
        </w:rPr>
        <w:t>Temporary Additional Support</w:t>
      </w:r>
      <w:r w:rsidR="005C2F37">
        <w:rPr>
          <w:rFonts w:eastAsia="Times New Roman" w:cs="Times New Roman"/>
          <w:sz w:val="28"/>
          <w:szCs w:val="28"/>
          <w:lang w:val="en-NZ" w:eastAsia="en-NZ"/>
        </w:rPr>
        <w:t xml:space="preserve"> </w:t>
      </w:r>
      <w:r w:rsidRPr="00FC17F1">
        <w:rPr>
          <w:rFonts w:eastAsia="Times New Roman" w:cs="Times New Roman"/>
          <w:sz w:val="28"/>
          <w:szCs w:val="28"/>
          <w:lang w:val="en-NZ" w:eastAsia="en-NZ"/>
        </w:rPr>
        <w:t>$45.57</w:t>
      </w:r>
    </w:p>
    <w:p w14:paraId="6BC844D5" w14:textId="51A92FC6" w:rsidR="00D5514C" w:rsidRPr="00FC17F1" w:rsidRDefault="00D5514C" w:rsidP="00FC17F1">
      <w:pPr>
        <w:tabs>
          <w:tab w:val="left" w:pos="851"/>
          <w:tab w:val="left" w:pos="1701"/>
          <w:tab w:val="left" w:pos="2552"/>
          <w:tab w:val="left" w:pos="3402"/>
          <w:tab w:val="left" w:pos="4253"/>
        </w:tabs>
        <w:spacing w:line="360" w:lineRule="auto"/>
        <w:ind w:left="1620"/>
        <w:jc w:val="both"/>
        <w:rPr>
          <w:rFonts w:eastAsia="Times New Roman" w:cs="Times New Roman"/>
          <w:sz w:val="28"/>
          <w:szCs w:val="28"/>
          <w:lang w:val="en-NZ" w:eastAsia="en-NZ"/>
        </w:rPr>
      </w:pPr>
      <w:r w:rsidRPr="00FC17F1">
        <w:rPr>
          <w:rFonts w:eastAsia="Times New Roman" w:cs="Times New Roman"/>
          <w:sz w:val="28"/>
          <w:szCs w:val="28"/>
          <w:lang w:val="en-NZ" w:eastAsia="en-NZ"/>
        </w:rPr>
        <w:t>Total payments issued</w:t>
      </w:r>
      <w:r w:rsidR="005C2F37">
        <w:rPr>
          <w:rFonts w:eastAsia="Times New Roman" w:cs="Times New Roman"/>
          <w:sz w:val="28"/>
          <w:szCs w:val="28"/>
          <w:lang w:val="en-NZ" w:eastAsia="en-NZ"/>
        </w:rPr>
        <w:tab/>
      </w:r>
      <w:r w:rsidR="005C2F37">
        <w:rPr>
          <w:rFonts w:eastAsia="Times New Roman" w:cs="Times New Roman"/>
          <w:sz w:val="28"/>
          <w:szCs w:val="28"/>
          <w:lang w:val="en-NZ" w:eastAsia="en-NZ"/>
        </w:rPr>
        <w:tab/>
      </w:r>
      <w:r w:rsidR="005C2F37">
        <w:rPr>
          <w:rFonts w:eastAsia="Times New Roman" w:cs="Times New Roman"/>
          <w:sz w:val="28"/>
          <w:szCs w:val="28"/>
          <w:lang w:val="en-NZ" w:eastAsia="en-NZ"/>
        </w:rPr>
        <w:tab/>
      </w:r>
      <w:r w:rsidRPr="00FC17F1">
        <w:rPr>
          <w:rFonts w:eastAsia="Times New Roman" w:cs="Times New Roman"/>
          <w:sz w:val="28"/>
          <w:szCs w:val="28"/>
          <w:lang w:val="en-NZ" w:eastAsia="en-NZ"/>
        </w:rPr>
        <w:t>$403.02</w:t>
      </w:r>
      <w:r w:rsidRPr="00FC17F1">
        <w:rPr>
          <w:rFonts w:eastAsia="Times New Roman" w:cs="Times New Roman"/>
          <w:sz w:val="28"/>
          <w:szCs w:val="28"/>
          <w:vertAlign w:val="superscript"/>
          <w:lang w:val="en-NZ" w:eastAsia="en-NZ"/>
        </w:rPr>
        <w:footnoteReference w:id="82"/>
      </w:r>
    </w:p>
    <w:p w14:paraId="7D0598E9" w14:textId="77777777" w:rsidR="00D5514C" w:rsidRPr="00FC17F1" w:rsidRDefault="00D5514C" w:rsidP="00FC17F1">
      <w:pPr>
        <w:tabs>
          <w:tab w:val="left" w:pos="851"/>
          <w:tab w:val="left" w:pos="1701"/>
          <w:tab w:val="left" w:pos="2552"/>
          <w:tab w:val="left" w:pos="3402"/>
          <w:tab w:val="left" w:pos="4253"/>
        </w:tabs>
        <w:spacing w:line="360" w:lineRule="auto"/>
        <w:ind w:left="851"/>
        <w:jc w:val="both"/>
        <w:rPr>
          <w:rFonts w:eastAsia="Times New Roman" w:cs="Times New Roman"/>
          <w:sz w:val="28"/>
          <w:szCs w:val="28"/>
          <w:lang w:val="en-NZ" w:eastAsia="en-NZ"/>
        </w:rPr>
      </w:pPr>
    </w:p>
    <w:p w14:paraId="3069E29A" w14:textId="77777777" w:rsidR="00A0644D" w:rsidRPr="00C37B4D" w:rsidRDefault="00D5514C" w:rsidP="00FC17F1">
      <w:pPr>
        <w:tabs>
          <w:tab w:val="left" w:pos="851"/>
          <w:tab w:val="left" w:pos="1701"/>
          <w:tab w:val="left" w:pos="2552"/>
          <w:tab w:val="left" w:pos="3402"/>
          <w:tab w:val="left" w:pos="4253"/>
        </w:tabs>
        <w:spacing w:line="360" w:lineRule="auto"/>
        <w:ind w:left="851"/>
        <w:jc w:val="both"/>
        <w:rPr>
          <w:rFonts w:eastAsia="Times New Roman" w:cs="Times New Roman"/>
          <w:sz w:val="28"/>
          <w:szCs w:val="28"/>
          <w:lang w:val="en-NZ" w:eastAsia="en-NZ"/>
        </w:rPr>
      </w:pPr>
      <w:r w:rsidRPr="00FC17F1">
        <w:rPr>
          <w:rFonts w:eastAsia="Times New Roman" w:cs="Times New Roman"/>
          <w:sz w:val="28"/>
          <w:szCs w:val="28"/>
          <w:lang w:val="en-NZ" w:eastAsia="en-NZ"/>
        </w:rPr>
        <w:t>She is renting a small flat in a central Auckland suburb and paying a weekly rent of  $350.  She simply cannot manage on her benefit level, her rent is in arrears and her mental health is deteriorating.</w:t>
      </w:r>
      <w:r w:rsidR="00A0644D" w:rsidRPr="00C37B4D">
        <w:rPr>
          <w:rFonts w:eastAsia="Times New Roman" w:cs="Times New Roman"/>
          <w:sz w:val="28"/>
          <w:szCs w:val="28"/>
          <w:lang w:val="en-NZ" w:eastAsia="en-NZ"/>
        </w:rPr>
        <w:t xml:space="preserve"> </w:t>
      </w:r>
    </w:p>
    <w:p w14:paraId="30F6C4FC" w14:textId="77777777" w:rsidR="00AF3838" w:rsidRDefault="00AF3838" w:rsidP="00FC17F1">
      <w:pPr>
        <w:tabs>
          <w:tab w:val="left" w:pos="1701"/>
          <w:tab w:val="left" w:pos="2552"/>
          <w:tab w:val="left" w:pos="3402"/>
          <w:tab w:val="left" w:pos="4253"/>
        </w:tabs>
        <w:spacing w:line="360" w:lineRule="auto"/>
        <w:jc w:val="both"/>
        <w:rPr>
          <w:rFonts w:eastAsia="Times New Roman" w:cs="Times New Roman"/>
          <w:sz w:val="28"/>
          <w:szCs w:val="28"/>
          <w:lang w:val="en-NZ" w:eastAsia="en-NZ"/>
        </w:rPr>
      </w:pPr>
    </w:p>
    <w:p w14:paraId="48C5C969" w14:textId="5AFBC340" w:rsidR="00D5514C" w:rsidRPr="00FC17F1" w:rsidRDefault="00D5514C" w:rsidP="00DA2390">
      <w:pPr>
        <w:pStyle w:val="ListParagraph"/>
        <w:numPr>
          <w:ilvl w:val="0"/>
          <w:numId w:val="10"/>
        </w:numPr>
        <w:tabs>
          <w:tab w:val="left" w:pos="1701"/>
          <w:tab w:val="left" w:pos="2552"/>
          <w:tab w:val="left" w:pos="3402"/>
          <w:tab w:val="left" w:pos="4253"/>
        </w:tabs>
        <w:spacing w:line="360" w:lineRule="auto"/>
        <w:ind w:left="720" w:hanging="540"/>
        <w:jc w:val="both"/>
        <w:rPr>
          <w:rFonts w:eastAsia="Times New Roman" w:cs="Times New Roman"/>
          <w:sz w:val="28"/>
          <w:szCs w:val="28"/>
          <w:lang w:val="en-NZ" w:eastAsia="en-NZ"/>
        </w:rPr>
      </w:pPr>
      <w:r w:rsidRPr="00FC17F1">
        <w:rPr>
          <w:rFonts w:eastAsia="Times New Roman" w:cs="Times New Roman"/>
          <w:sz w:val="28"/>
          <w:szCs w:val="28"/>
          <w:lang w:val="en-NZ" w:eastAsia="en-NZ"/>
        </w:rPr>
        <w:t>Since 2014</w:t>
      </w:r>
      <w:r w:rsidR="00697495" w:rsidRPr="00FC17F1">
        <w:rPr>
          <w:rFonts w:eastAsia="Times New Roman" w:cs="Times New Roman"/>
          <w:sz w:val="28"/>
          <w:szCs w:val="28"/>
          <w:lang w:val="en-NZ" w:eastAsia="en-NZ"/>
        </w:rPr>
        <w:t>,</w:t>
      </w:r>
      <w:r w:rsidRPr="00FC17F1">
        <w:rPr>
          <w:rFonts w:eastAsia="Times New Roman" w:cs="Times New Roman"/>
          <w:sz w:val="28"/>
          <w:szCs w:val="28"/>
          <w:lang w:val="en-NZ" w:eastAsia="en-NZ"/>
        </w:rPr>
        <w:t xml:space="preserve"> many beneficiaries including families experienced sanctions.  The MSD benefit fact sheets and data tables include the following statistics:</w:t>
      </w:r>
    </w:p>
    <w:p w14:paraId="66CC931D"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5134B4CC" w14:textId="2224D750" w:rsidR="00D5514C" w:rsidRPr="00FC17F1" w:rsidRDefault="00697495" w:rsidP="00837ACE">
      <w:pPr>
        <w:numPr>
          <w:ilvl w:val="3"/>
          <w:numId w:val="0"/>
        </w:numPr>
        <w:tabs>
          <w:tab w:val="left" w:pos="990"/>
          <w:tab w:val="left" w:pos="2552"/>
          <w:tab w:val="left" w:pos="3402"/>
          <w:tab w:val="left" w:pos="4253"/>
          <w:tab w:val="right" w:pos="9015"/>
        </w:tabs>
        <w:spacing w:line="360" w:lineRule="auto"/>
        <w:ind w:left="806" w:hanging="763"/>
        <w:jc w:val="both"/>
        <w:outlineLvl w:val="3"/>
        <w:rPr>
          <w:rFonts w:eastAsia="Times New Roman" w:cs="Times New Roman"/>
          <w:sz w:val="28"/>
          <w:szCs w:val="28"/>
          <w:lang w:val="en-NZ" w:eastAsia="en-NZ"/>
        </w:rPr>
      </w:pPr>
      <w:r>
        <w:rPr>
          <w:rFonts w:eastAsia="Times New Roman" w:cs="Times New Roman"/>
          <w:sz w:val="28"/>
          <w:szCs w:val="28"/>
          <w:lang w:val="en-NZ" w:eastAsia="en-NZ"/>
        </w:rPr>
        <w:tab/>
      </w:r>
      <w:r w:rsidR="00D5514C" w:rsidRPr="00FC17F1">
        <w:rPr>
          <w:rFonts w:eastAsia="Times New Roman" w:cs="Times New Roman"/>
          <w:sz w:val="28"/>
          <w:szCs w:val="28"/>
          <w:lang w:val="en-NZ" w:eastAsia="en-NZ"/>
        </w:rPr>
        <w:t>The number of benefit sanctions imposed due to failure to fulfil work obligations increased by 30.1% in the December 2017 quarter.</w:t>
      </w:r>
    </w:p>
    <w:p w14:paraId="6E08DA36" w14:textId="61421801" w:rsidR="00D5514C" w:rsidRPr="00FC17F1" w:rsidRDefault="00697495" w:rsidP="00837ACE">
      <w:pPr>
        <w:numPr>
          <w:ilvl w:val="3"/>
          <w:numId w:val="0"/>
        </w:numPr>
        <w:tabs>
          <w:tab w:val="left" w:pos="990"/>
          <w:tab w:val="left" w:pos="1170"/>
          <w:tab w:val="left" w:pos="2552"/>
          <w:tab w:val="left" w:pos="3402"/>
          <w:tab w:val="left" w:pos="4253"/>
          <w:tab w:val="right" w:pos="9015"/>
        </w:tabs>
        <w:spacing w:line="360" w:lineRule="auto"/>
        <w:ind w:left="806" w:hanging="763"/>
        <w:jc w:val="both"/>
        <w:outlineLvl w:val="3"/>
        <w:rPr>
          <w:rFonts w:eastAsia="Times New Roman" w:cs="Times New Roman"/>
          <w:sz w:val="28"/>
          <w:szCs w:val="28"/>
          <w:lang w:val="en-NZ" w:eastAsia="en-NZ"/>
        </w:rPr>
      </w:pPr>
      <w:r>
        <w:rPr>
          <w:rFonts w:eastAsia="Times New Roman" w:cs="Times New Roman"/>
          <w:sz w:val="28"/>
          <w:szCs w:val="28"/>
          <w:lang w:val="en-NZ" w:eastAsia="en-NZ"/>
        </w:rPr>
        <w:tab/>
      </w:r>
      <w:r w:rsidR="00D5514C" w:rsidRPr="00FC17F1">
        <w:rPr>
          <w:rFonts w:eastAsia="Times New Roman" w:cs="Times New Roman"/>
          <w:sz w:val="28"/>
          <w:szCs w:val="28"/>
          <w:lang w:val="en-NZ" w:eastAsia="en-NZ"/>
        </w:rPr>
        <w:t xml:space="preserve">From March 2015 to 31 December 2017, 41,378 people on SPS (who are sole parent families) were sanctioned.     </w:t>
      </w:r>
    </w:p>
    <w:p w14:paraId="64A83D3B" w14:textId="43B232E3" w:rsidR="00D5514C" w:rsidRPr="00FC17F1" w:rsidRDefault="00697495" w:rsidP="00837ACE">
      <w:pPr>
        <w:numPr>
          <w:ilvl w:val="3"/>
          <w:numId w:val="0"/>
        </w:numPr>
        <w:tabs>
          <w:tab w:val="left" w:pos="851"/>
          <w:tab w:val="left" w:pos="990"/>
          <w:tab w:val="left" w:pos="1530"/>
          <w:tab w:val="left" w:pos="2552"/>
          <w:tab w:val="left" w:pos="3402"/>
          <w:tab w:val="left" w:pos="4253"/>
          <w:tab w:val="right" w:pos="9015"/>
        </w:tabs>
        <w:spacing w:line="360" w:lineRule="auto"/>
        <w:ind w:left="806" w:hanging="763"/>
        <w:jc w:val="both"/>
        <w:outlineLvl w:val="3"/>
        <w:rPr>
          <w:rFonts w:eastAsia="Times New Roman" w:cs="Times New Roman"/>
          <w:sz w:val="28"/>
          <w:szCs w:val="28"/>
          <w:lang w:val="en-NZ" w:eastAsia="en-NZ"/>
        </w:rPr>
      </w:pPr>
      <w:r>
        <w:rPr>
          <w:rFonts w:eastAsia="Times New Roman" w:cs="Times New Roman"/>
          <w:sz w:val="28"/>
          <w:szCs w:val="28"/>
          <w:lang w:val="en-NZ" w:eastAsia="en-NZ"/>
        </w:rPr>
        <w:tab/>
      </w:r>
      <w:r w:rsidR="00D5514C" w:rsidRPr="00FC17F1">
        <w:rPr>
          <w:rFonts w:eastAsia="Times New Roman" w:cs="Times New Roman"/>
          <w:sz w:val="28"/>
          <w:szCs w:val="28"/>
          <w:lang w:val="en-NZ" w:eastAsia="en-NZ"/>
        </w:rPr>
        <w:t xml:space="preserve">From March 2015 to 31 December 2017, the number of people sanctioned involved 59,701 children.    </w:t>
      </w:r>
    </w:p>
    <w:p w14:paraId="2541E4C4"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6BF1EEFE" w14:textId="622DF4DB" w:rsidR="00D5514C" w:rsidRPr="00FC17F1" w:rsidRDefault="008E1953" w:rsidP="00DA2390">
      <w:pPr>
        <w:pStyle w:val="ListParagraph"/>
        <w:numPr>
          <w:ilvl w:val="0"/>
          <w:numId w:val="10"/>
        </w:numPr>
        <w:tabs>
          <w:tab w:val="left" w:pos="720"/>
          <w:tab w:val="left" w:pos="1701"/>
          <w:tab w:val="left" w:pos="2552"/>
          <w:tab w:val="left" w:pos="3402"/>
          <w:tab w:val="left" w:pos="4253"/>
          <w:tab w:val="right" w:pos="9015"/>
        </w:tabs>
        <w:spacing w:line="360" w:lineRule="auto"/>
        <w:ind w:left="720" w:hanging="540"/>
        <w:jc w:val="both"/>
        <w:outlineLvl w:val="2"/>
        <w:rPr>
          <w:rFonts w:eastAsia="Times New Roman" w:cs="Times New Roman"/>
          <w:sz w:val="28"/>
          <w:szCs w:val="28"/>
          <w:lang w:val="en-NZ" w:eastAsia="en-NZ"/>
        </w:rPr>
      </w:pPr>
      <w:r>
        <w:rPr>
          <w:rFonts w:eastAsia="Times New Roman" w:cs="Times New Roman"/>
          <w:sz w:val="28"/>
          <w:szCs w:val="28"/>
          <w:lang w:val="en-NZ" w:eastAsia="en-NZ"/>
        </w:rPr>
        <w:lastRenderedPageBreak/>
        <w:t xml:space="preserve"> </w:t>
      </w:r>
      <w:r w:rsidR="00D5514C" w:rsidRPr="00FC17F1">
        <w:rPr>
          <w:rFonts w:eastAsia="Times New Roman" w:cs="Times New Roman"/>
          <w:sz w:val="28"/>
          <w:szCs w:val="28"/>
          <w:lang w:val="en-NZ" w:eastAsia="en-NZ"/>
        </w:rPr>
        <w:t>This establishes that sanctions are affecting children. However, there is no official information on the impact of sanctions on the wellbeing of children and families. One research report “Off-benefit transitions” looked at 140,000 people who moved off a benefit from 1 July 2010 to 30 June 2011.</w:t>
      </w:r>
      <w:r w:rsidR="00D5514C" w:rsidRPr="00FC17F1">
        <w:rPr>
          <w:vertAlign w:val="superscript"/>
          <w:lang w:val="en-NZ" w:eastAsia="en-NZ"/>
        </w:rPr>
        <w:footnoteReference w:id="83"/>
      </w:r>
      <w:r w:rsidR="00D5514C" w:rsidRPr="00FC17F1">
        <w:rPr>
          <w:rFonts w:eastAsia="Times New Roman" w:cs="Times New Roman"/>
          <w:sz w:val="28"/>
          <w:szCs w:val="28"/>
          <w:lang w:val="en-NZ" w:eastAsia="en-NZ"/>
        </w:rPr>
        <w:t xml:space="preserve">  It showed that, while 78% of those who had moved off a benefit had not returned to one within two years:</w:t>
      </w:r>
    </w:p>
    <w:p w14:paraId="3B6A8487"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006B0B6F" w14:textId="77777777" w:rsidR="00D5514C" w:rsidRPr="00FC17F1" w:rsidRDefault="00D5514C" w:rsidP="00DA2390">
      <w:pPr>
        <w:numPr>
          <w:ilvl w:val="0"/>
          <w:numId w:val="1"/>
        </w:num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r w:rsidRPr="00FC17F1">
        <w:rPr>
          <w:rFonts w:eastAsia="Times New Roman" w:cs="Times New Roman"/>
          <w:i/>
          <w:sz w:val="28"/>
          <w:szCs w:val="28"/>
          <w:lang w:val="en-NZ" w:eastAsia="en-NZ"/>
        </w:rPr>
        <w:t>For 18% of people who moved off a benefit but did not return, their main activity two years later was unknown.  It is possible that some of these people are being supported by their partner.</w:t>
      </w:r>
    </w:p>
    <w:p w14:paraId="25A25361" w14:textId="77777777" w:rsidR="00D5514C" w:rsidRPr="00FC17F1" w:rsidRDefault="00D5514C" w:rsidP="00DA2390">
      <w:pPr>
        <w:numPr>
          <w:ilvl w:val="0"/>
          <w:numId w:val="1"/>
        </w:num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r w:rsidRPr="00FC17F1">
        <w:rPr>
          <w:rFonts w:eastAsia="Times New Roman" w:cs="Times New Roman"/>
          <w:i/>
          <w:sz w:val="28"/>
          <w:szCs w:val="28"/>
          <w:lang w:val="en-NZ" w:eastAsia="en-NZ"/>
        </w:rPr>
        <w:t>Most people who returned to a benefit did so within 12 months.</w:t>
      </w:r>
    </w:p>
    <w:p w14:paraId="5F65709A" w14:textId="77777777" w:rsidR="00D5514C" w:rsidRPr="00FC17F1" w:rsidRDefault="00D5514C" w:rsidP="00DA2390">
      <w:pPr>
        <w:numPr>
          <w:ilvl w:val="0"/>
          <w:numId w:val="1"/>
        </w:num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r w:rsidRPr="00FC17F1">
        <w:rPr>
          <w:rFonts w:eastAsia="Times New Roman" w:cs="Times New Roman"/>
          <w:i/>
          <w:sz w:val="28"/>
          <w:szCs w:val="28"/>
          <w:lang w:val="en-NZ" w:eastAsia="en-NZ"/>
        </w:rPr>
        <w:t>People who moved off a health-related benefit and into a job were less likely than others to still be in employment two years later.</w:t>
      </w:r>
    </w:p>
    <w:p w14:paraId="519DAA69" w14:textId="77777777" w:rsidR="00D5514C" w:rsidRPr="00FC17F1" w:rsidRDefault="00D5514C" w:rsidP="00DA2390">
      <w:pPr>
        <w:numPr>
          <w:ilvl w:val="0"/>
          <w:numId w:val="1"/>
        </w:num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r w:rsidRPr="00FC17F1">
        <w:rPr>
          <w:rFonts w:eastAsia="Times New Roman" w:cs="Times New Roman"/>
          <w:i/>
          <w:sz w:val="28"/>
          <w:szCs w:val="28"/>
          <w:lang w:val="en-NZ" w:eastAsia="en-NZ"/>
        </w:rPr>
        <w:t>People who moved off a benefit to take up tertiary education were more likely to return to a benefit two years later than those who had found jobs.</w:t>
      </w:r>
    </w:p>
    <w:p w14:paraId="289F53DD" w14:textId="77777777" w:rsidR="00D5514C" w:rsidRPr="00FC17F1" w:rsidRDefault="00D5514C" w:rsidP="00DA2390">
      <w:pPr>
        <w:numPr>
          <w:ilvl w:val="0"/>
          <w:numId w:val="1"/>
        </w:num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r w:rsidRPr="00FC17F1">
        <w:rPr>
          <w:rFonts w:eastAsia="Times New Roman" w:cs="Times New Roman"/>
          <w:i/>
          <w:sz w:val="28"/>
          <w:szCs w:val="28"/>
          <w:lang w:val="en-NZ" w:eastAsia="en-NZ"/>
        </w:rPr>
        <w:t xml:space="preserve">Those who moved off a benefit because they had been placed in detention tended to return to a benefit or were still in detention two years later. </w:t>
      </w:r>
    </w:p>
    <w:p w14:paraId="03611756"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3EC8EDBF" w14:textId="57EE22FE" w:rsidR="00D5514C" w:rsidRPr="00FC17F1" w:rsidRDefault="008E1953" w:rsidP="00DA2390">
      <w:pPr>
        <w:pStyle w:val="ListParagraph"/>
        <w:numPr>
          <w:ilvl w:val="0"/>
          <w:numId w:val="10"/>
        </w:numPr>
        <w:tabs>
          <w:tab w:val="left" w:pos="360"/>
          <w:tab w:val="left" w:pos="1701"/>
          <w:tab w:val="left" w:pos="2552"/>
          <w:tab w:val="left" w:pos="3402"/>
          <w:tab w:val="left" w:pos="4253"/>
          <w:tab w:val="right" w:pos="9015"/>
        </w:tabs>
        <w:spacing w:line="360" w:lineRule="auto"/>
        <w:ind w:left="720" w:hanging="54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MSD fact sheets on benefits do not provide statistics on Maori including the impact of sanctions on Maori families. This area also deserves careful research</w:t>
      </w:r>
      <w:r w:rsidR="001B3054">
        <w:rPr>
          <w:rFonts w:eastAsia="Times New Roman" w:cs="Times New Roman"/>
          <w:sz w:val="28"/>
          <w:szCs w:val="28"/>
          <w:lang w:val="en-NZ" w:eastAsia="en-NZ"/>
        </w:rPr>
        <w:t xml:space="preserve">, given that </w:t>
      </w:r>
      <w:r w:rsidR="001B3054" w:rsidRPr="00E745DF">
        <w:rPr>
          <w:rFonts w:eastAsia="Times New Roman" w:cs="Times New Roman"/>
          <w:sz w:val="28"/>
          <w:szCs w:val="28"/>
          <w:lang w:val="en-NZ" w:eastAsia="en-NZ"/>
        </w:rPr>
        <w:t>Maori are over represented in the benefit population</w:t>
      </w:r>
      <w:r w:rsidR="001B3054">
        <w:rPr>
          <w:rFonts w:eastAsia="Times New Roman" w:cs="Times New Roman"/>
          <w:sz w:val="28"/>
          <w:szCs w:val="28"/>
          <w:lang w:val="en-NZ" w:eastAsia="en-NZ"/>
        </w:rPr>
        <w:t>, and it may required special measures to turn around this situation.</w:t>
      </w:r>
    </w:p>
    <w:p w14:paraId="3D55985F"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17C34224" w14:textId="5128E84A" w:rsidR="00D5514C" w:rsidRPr="00FC17F1" w:rsidRDefault="008E1953" w:rsidP="00DA2390">
      <w:pPr>
        <w:pStyle w:val="ListParagraph"/>
        <w:numPr>
          <w:ilvl w:val="0"/>
          <w:numId w:val="10"/>
        </w:numPr>
        <w:tabs>
          <w:tab w:val="left" w:pos="720"/>
          <w:tab w:val="left" w:pos="1701"/>
          <w:tab w:val="left" w:pos="2552"/>
          <w:tab w:val="left" w:pos="3402"/>
          <w:tab w:val="left" w:pos="4253"/>
          <w:tab w:val="right" w:pos="9015"/>
        </w:tabs>
        <w:spacing w:line="360" w:lineRule="auto"/>
        <w:ind w:left="720" w:hanging="54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 xml:space="preserve">Nor, despite the number and range of reforms, has there been any comprehensive evaluation of the effectiveness of the reforms, including </w:t>
      </w:r>
      <w:r w:rsidR="00D5514C" w:rsidRPr="00FC17F1">
        <w:rPr>
          <w:rFonts w:eastAsia="Times New Roman" w:cs="Times New Roman"/>
          <w:sz w:val="28"/>
          <w:szCs w:val="28"/>
          <w:lang w:val="en-NZ" w:eastAsia="en-NZ"/>
        </w:rPr>
        <w:lastRenderedPageBreak/>
        <w:t xml:space="preserve">their impact on behavioural change, on people’s employment and economic security.   </w:t>
      </w:r>
    </w:p>
    <w:p w14:paraId="38CD1973"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2F56175C" w14:textId="5879BEC9" w:rsidR="00D5514C" w:rsidRPr="00FC17F1" w:rsidRDefault="00A0644D" w:rsidP="00DA2390">
      <w:pPr>
        <w:pStyle w:val="ListParagraph"/>
        <w:numPr>
          <w:ilvl w:val="0"/>
          <w:numId w:val="10"/>
        </w:numPr>
        <w:tabs>
          <w:tab w:val="left" w:pos="720"/>
          <w:tab w:val="left" w:pos="1701"/>
          <w:tab w:val="left" w:pos="2552"/>
          <w:tab w:val="left" w:pos="3402"/>
          <w:tab w:val="left" w:pos="4253"/>
          <w:tab w:val="right" w:pos="9015"/>
        </w:tabs>
        <w:spacing w:line="360" w:lineRule="auto"/>
        <w:ind w:left="720" w:hanging="45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Many community organisations consider that the reforms have led to a punitive and unhelpful culture in WINZ.</w:t>
      </w:r>
      <w:r w:rsidR="00D5514C" w:rsidRPr="00FC17F1">
        <w:rPr>
          <w:vertAlign w:val="superscript"/>
          <w:lang w:val="en-NZ" w:eastAsia="en-NZ"/>
        </w:rPr>
        <w:footnoteReference w:id="84"/>
      </w:r>
      <w:r w:rsidR="00D5514C" w:rsidRPr="00FC17F1">
        <w:rPr>
          <w:rFonts w:eastAsia="Times New Roman" w:cs="Times New Roman"/>
          <w:sz w:val="28"/>
          <w:szCs w:val="28"/>
          <w:lang w:val="en-NZ" w:eastAsia="en-NZ"/>
        </w:rPr>
        <w:t xml:space="preserve"> Beneficiaries complain of not being informed of their full entitlements, such as child care support. The Citizens Advice Bureau publicly reported that over the last two years, it received 7,000 calls from beneficiaries. It has just been awarded a contract to advocate for beneficiaries.</w:t>
      </w:r>
      <w:r w:rsidR="00D5514C" w:rsidRPr="00FC17F1">
        <w:rPr>
          <w:vertAlign w:val="superscript"/>
          <w:lang w:val="en-NZ" w:eastAsia="en-NZ"/>
        </w:rPr>
        <w:footnoteReference w:id="85"/>
      </w:r>
      <w:r w:rsidR="00D5514C" w:rsidRPr="00FC17F1">
        <w:rPr>
          <w:rFonts w:eastAsia="Times New Roman" w:cs="Times New Roman"/>
          <w:sz w:val="28"/>
          <w:szCs w:val="28"/>
          <w:lang w:val="en-NZ" w:eastAsia="en-NZ"/>
        </w:rPr>
        <w:t xml:space="preserve"> One woman who spoke out on a public radio programme was a grandmother caring for her grandson. On approaching WINZ for a benefit, she was told by a case manager that she was not eligible as there had been no involvement by Child Youth and Family (now the Ministry of Vulnerable Children Oranga Tamariki). A year later she again approached WINZ supported by a Grandparents Group. This time she succeeded in being granted a benefit. Unsurprisingly, there is a widespread perception that, in order to gain appropriate assistance from WINZ, beneficiaries need the support of an experienced advocate.  </w:t>
      </w:r>
    </w:p>
    <w:p w14:paraId="10947B63" w14:textId="77777777" w:rsidR="00A0644D" w:rsidRPr="00FC17F1" w:rsidRDefault="00A0644D" w:rsidP="00FC17F1">
      <w:pPr>
        <w:tabs>
          <w:tab w:val="left" w:pos="851"/>
          <w:tab w:val="left" w:pos="1701"/>
          <w:tab w:val="left" w:pos="2552"/>
          <w:tab w:val="left" w:pos="3402"/>
          <w:tab w:val="left" w:pos="4253"/>
          <w:tab w:val="right" w:pos="9015"/>
        </w:tabs>
        <w:spacing w:line="360" w:lineRule="auto"/>
        <w:jc w:val="both"/>
        <w:outlineLvl w:val="2"/>
        <w:rPr>
          <w:rFonts w:eastAsia="Times New Roman" w:cs="Times New Roman"/>
          <w:sz w:val="28"/>
          <w:szCs w:val="28"/>
          <w:lang w:val="en-NZ" w:eastAsia="en-NZ"/>
        </w:rPr>
      </w:pPr>
    </w:p>
    <w:p w14:paraId="5F2354E7" w14:textId="51991902" w:rsidR="00A0644D" w:rsidRPr="00FC17F1" w:rsidRDefault="008E1953" w:rsidP="00DA2390">
      <w:pPr>
        <w:pStyle w:val="ListParagraph"/>
        <w:numPr>
          <w:ilvl w:val="0"/>
          <w:numId w:val="10"/>
        </w:numPr>
        <w:tabs>
          <w:tab w:val="left" w:pos="450"/>
          <w:tab w:val="left" w:pos="1701"/>
          <w:tab w:val="left" w:pos="2552"/>
          <w:tab w:val="left" w:pos="3402"/>
          <w:tab w:val="left" w:pos="4253"/>
          <w:tab w:val="right" w:pos="9015"/>
        </w:tabs>
        <w:spacing w:before="240" w:line="360" w:lineRule="auto"/>
        <w:ind w:left="63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5C2F37">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The Public Service Association (the largest public sector union) in this same radio programme expressed concern for beneficiaries. It highlighted the lack of time staff are allocated to support beneficiaries due to high caseloads and having to meet performance indicators.  Some staff are expected to see 40 people a day.</w:t>
      </w:r>
    </w:p>
    <w:p w14:paraId="1E55DD9B" w14:textId="77777777" w:rsidR="00A0644D" w:rsidRPr="00FC17F1" w:rsidRDefault="00A0644D" w:rsidP="00FC17F1">
      <w:pPr>
        <w:pStyle w:val="ListParagraph"/>
        <w:tabs>
          <w:tab w:val="left" w:pos="851"/>
          <w:tab w:val="left" w:pos="1701"/>
          <w:tab w:val="left" w:pos="2552"/>
          <w:tab w:val="left" w:pos="3402"/>
          <w:tab w:val="left" w:pos="4253"/>
          <w:tab w:val="right" w:pos="9015"/>
        </w:tabs>
        <w:spacing w:before="240" w:line="360" w:lineRule="auto"/>
        <w:ind w:left="450"/>
        <w:jc w:val="both"/>
        <w:outlineLvl w:val="2"/>
        <w:rPr>
          <w:rFonts w:eastAsia="Times New Roman" w:cs="Times New Roman"/>
          <w:sz w:val="28"/>
          <w:szCs w:val="28"/>
          <w:lang w:val="en-NZ" w:eastAsia="en-NZ"/>
        </w:rPr>
      </w:pPr>
    </w:p>
    <w:p w14:paraId="6C8CB727" w14:textId="5C3A7A1D" w:rsidR="00A0644D" w:rsidRPr="00FC17F1" w:rsidRDefault="008E1953" w:rsidP="00DA2390">
      <w:pPr>
        <w:pStyle w:val="ListParagraph"/>
        <w:numPr>
          <w:ilvl w:val="0"/>
          <w:numId w:val="10"/>
        </w:numPr>
        <w:tabs>
          <w:tab w:val="left" w:pos="450"/>
          <w:tab w:val="left" w:pos="720"/>
          <w:tab w:val="left" w:pos="1701"/>
          <w:tab w:val="left" w:pos="2552"/>
          <w:tab w:val="left" w:pos="3402"/>
          <w:tab w:val="left" w:pos="4253"/>
          <w:tab w:val="right" w:pos="9015"/>
        </w:tabs>
        <w:spacing w:before="240" w:line="360" w:lineRule="auto"/>
        <w:ind w:left="72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 xml:space="preserve">One recent High Court case heard in late 2017 demonstrates the confusing and arbitrary nature of WINZ decision-making. In this case, </w:t>
      </w:r>
      <w:r w:rsidR="00D5514C" w:rsidRPr="00FC17F1">
        <w:rPr>
          <w:rFonts w:eastAsia="Times New Roman" w:cs="Times New Roman"/>
          <w:sz w:val="28"/>
          <w:szCs w:val="28"/>
          <w:lang w:val="en-NZ" w:eastAsia="en-NZ"/>
        </w:rPr>
        <w:lastRenderedPageBreak/>
        <w:t>the MSD held that the beneficiary, who was in receipt of the Domestic Purposes Benefit at the relevant time, had received income over and above what she was entitled to and must repay the benefit.  In order to make ends meet, the beneficiary borrowed money from a variety of sources including her mother.  She had repaid virtually all of it. The Social Security Appeal Authority largely upheld the decision of the MSD that the beneficiary has to pay back over $100,000 to MSD. Its key findings were that money spent by the plaintiff from her credit card, from bank overdraft, spending to repay her mother for a loan and spending from Avanti and GE loans amounted to “income”. The beneficiary appealed to the High Court, arguing that money in the nature of a loan to be repaid does not have the essential quality of income in the Social Security Act 1964. For the relevant period, the beneficiary was repeatedly told by her case managers that she did not have to declare loans or borrowed money as income when she filled in her yearly and other forms. Neither did any WINZ policy available to her state that spending from borrowed money was or could be classified as income for the purposes of benefit entitlement. Indeed</w:t>
      </w:r>
      <w:r w:rsidR="002E2A5E">
        <w:rPr>
          <w:rFonts w:eastAsia="Times New Roman" w:cs="Times New Roman"/>
          <w:sz w:val="28"/>
          <w:szCs w:val="28"/>
          <w:lang w:val="en-NZ" w:eastAsia="en-NZ"/>
        </w:rPr>
        <w:t>,</w:t>
      </w:r>
      <w:r w:rsidR="00D5514C" w:rsidRPr="00FC17F1">
        <w:rPr>
          <w:rFonts w:eastAsia="Times New Roman" w:cs="Times New Roman"/>
          <w:sz w:val="28"/>
          <w:szCs w:val="28"/>
          <w:lang w:val="en-NZ" w:eastAsia="en-NZ"/>
        </w:rPr>
        <w:t xml:space="preserve"> the WINZ web-site to</w:t>
      </w:r>
      <w:r w:rsidR="002E2A5E">
        <w:rPr>
          <w:rFonts w:eastAsia="Times New Roman" w:cs="Times New Roman"/>
          <w:sz w:val="28"/>
          <w:szCs w:val="28"/>
          <w:lang w:val="en-NZ" w:eastAsia="en-NZ"/>
        </w:rPr>
        <w:t xml:space="preserve"> this </w:t>
      </w:r>
      <w:r w:rsidR="00D5514C" w:rsidRPr="00FC17F1">
        <w:rPr>
          <w:rFonts w:eastAsia="Times New Roman" w:cs="Times New Roman"/>
          <w:sz w:val="28"/>
          <w:szCs w:val="28"/>
          <w:lang w:val="en-NZ" w:eastAsia="en-NZ"/>
        </w:rPr>
        <w:t xml:space="preserve">day does not state that “loans” have to be declared as income. The High Court has not yet released its decision.   </w:t>
      </w:r>
    </w:p>
    <w:p w14:paraId="4B245B07" w14:textId="6D5B47FB" w:rsidR="00D5514C" w:rsidRPr="00FC17F1" w:rsidRDefault="00D5514C" w:rsidP="00FC17F1">
      <w:pPr>
        <w:pStyle w:val="ListParagraph"/>
        <w:tabs>
          <w:tab w:val="left" w:pos="851"/>
          <w:tab w:val="left" w:pos="1701"/>
          <w:tab w:val="left" w:pos="2552"/>
          <w:tab w:val="left" w:pos="3402"/>
          <w:tab w:val="left" w:pos="4253"/>
          <w:tab w:val="right" w:pos="9015"/>
        </w:tabs>
        <w:spacing w:before="240" w:line="360" w:lineRule="auto"/>
        <w:ind w:left="36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   </w:t>
      </w:r>
    </w:p>
    <w:p w14:paraId="4CC4FC93" w14:textId="733BCC7C" w:rsidR="00D5514C" w:rsidRPr="00FC17F1" w:rsidRDefault="006A7B3B" w:rsidP="00DA2390">
      <w:pPr>
        <w:pStyle w:val="ListParagraph"/>
        <w:numPr>
          <w:ilvl w:val="0"/>
          <w:numId w:val="10"/>
        </w:numPr>
        <w:tabs>
          <w:tab w:val="left" w:pos="450"/>
          <w:tab w:val="left" w:pos="630"/>
          <w:tab w:val="left" w:pos="1701"/>
          <w:tab w:val="left" w:pos="2552"/>
          <w:tab w:val="left" w:pos="3402"/>
          <w:tab w:val="left" w:pos="4253"/>
          <w:tab w:val="right" w:pos="9015"/>
        </w:tabs>
        <w:spacing w:before="240" w:line="360" w:lineRule="auto"/>
        <w:ind w:left="630" w:hanging="450"/>
        <w:jc w:val="both"/>
        <w:outlineLvl w:val="2"/>
        <w:rPr>
          <w:rFonts w:eastAsia="Times New Roman" w:cs="Times New Roman"/>
          <w:sz w:val="28"/>
          <w:szCs w:val="28"/>
          <w:lang w:val="en-NZ" w:eastAsia="en-NZ"/>
        </w:rPr>
      </w:pPr>
      <w:r>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 xml:space="preserve">There is also concern at the lack of independence of Benefit Review Committees (BRCs). If a beneficiary disputes a benefits decision, they have to complete a Review of Decision form. The MSD will first take a look at the original decision and may change it. If not changed, the decision goes to the Benefits Review Committee (BRC). The BRC comprises two MSD staff members who were not involved in the original decision plus a community representative. It conducts hearings which the beneficiary is entitled to attend. Given the importance of these </w:t>
      </w:r>
      <w:r w:rsidR="00D5514C" w:rsidRPr="00FC17F1">
        <w:rPr>
          <w:rFonts w:eastAsia="Times New Roman" w:cs="Times New Roman"/>
          <w:sz w:val="28"/>
          <w:szCs w:val="28"/>
          <w:lang w:val="en-NZ" w:eastAsia="en-NZ"/>
        </w:rPr>
        <w:lastRenderedPageBreak/>
        <w:t>committees, many NGOs propose that these committees should be completely independent of the MSD.   Presently it is difficult and daunting for many beneficiaries to present their case to the BRC. If they are fortunate enough to have access to a community law centre, they may be able to find an experienced advocate. Legal aid is not available for BRCs</w:t>
      </w:r>
      <w:r w:rsidR="002E2A5E">
        <w:rPr>
          <w:rFonts w:eastAsia="Times New Roman" w:cs="Times New Roman"/>
          <w:sz w:val="28"/>
          <w:szCs w:val="28"/>
          <w:lang w:val="en-NZ" w:eastAsia="en-NZ"/>
        </w:rPr>
        <w:t xml:space="preserve">, something that </w:t>
      </w:r>
      <w:r w:rsidR="00D5514C" w:rsidRPr="00FC17F1">
        <w:rPr>
          <w:rFonts w:eastAsia="Times New Roman" w:cs="Times New Roman"/>
          <w:sz w:val="28"/>
          <w:szCs w:val="28"/>
          <w:lang w:val="en-NZ" w:eastAsia="en-NZ"/>
        </w:rPr>
        <w:t xml:space="preserve">should be reconsidered.   </w:t>
      </w:r>
    </w:p>
    <w:p w14:paraId="3C1A75DC"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5E284652" w14:textId="5820B3CC" w:rsidR="00D5514C" w:rsidRPr="00FC17F1" w:rsidRDefault="00D5514C" w:rsidP="00837ACE">
      <w:pPr>
        <w:tabs>
          <w:tab w:val="left" w:pos="851"/>
          <w:tab w:val="left" w:pos="1701"/>
          <w:tab w:val="left" w:pos="2552"/>
          <w:tab w:val="left" w:pos="3402"/>
          <w:tab w:val="left" w:pos="4253"/>
          <w:tab w:val="right" w:pos="9015"/>
        </w:tabs>
        <w:spacing w:line="360" w:lineRule="auto"/>
        <w:jc w:val="both"/>
        <w:outlineLvl w:val="1"/>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Initiatives of the </w:t>
      </w:r>
      <w:r w:rsidR="002E2A5E">
        <w:rPr>
          <w:rFonts w:eastAsia="Times New Roman" w:cs="Times New Roman"/>
          <w:b/>
          <w:sz w:val="28"/>
          <w:szCs w:val="28"/>
          <w:lang w:val="en-NZ" w:eastAsia="en-NZ"/>
        </w:rPr>
        <w:t>n</w:t>
      </w:r>
      <w:r w:rsidRPr="00FC17F1">
        <w:rPr>
          <w:rFonts w:eastAsia="Times New Roman" w:cs="Times New Roman"/>
          <w:b/>
          <w:sz w:val="28"/>
          <w:szCs w:val="28"/>
          <w:lang w:val="en-NZ" w:eastAsia="en-NZ"/>
        </w:rPr>
        <w:t>ew Labour-led Government</w:t>
      </w:r>
    </w:p>
    <w:p w14:paraId="156BD522" w14:textId="799E7199" w:rsidR="00D5514C" w:rsidRPr="00FC17F1" w:rsidRDefault="00D5514C" w:rsidP="00DA2390">
      <w:pPr>
        <w:pStyle w:val="ListParagraph"/>
        <w:numPr>
          <w:ilvl w:val="0"/>
          <w:numId w:val="10"/>
        </w:numPr>
        <w:tabs>
          <w:tab w:val="left" w:pos="720"/>
          <w:tab w:val="left" w:pos="1701"/>
          <w:tab w:val="left" w:pos="2552"/>
          <w:tab w:val="left" w:pos="3402"/>
          <w:tab w:val="left" w:pos="4253"/>
          <w:tab w:val="right" w:pos="9015"/>
        </w:tabs>
        <w:spacing w:line="360" w:lineRule="auto"/>
        <w:ind w:left="720" w:hanging="54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Since taking office, the new Labour-led government has introduced some important measures to increase the income and security of beneficiaries and families.  These include:</w:t>
      </w:r>
    </w:p>
    <w:p w14:paraId="64DC2FBF" w14:textId="564334CE" w:rsidR="00D5514C" w:rsidRPr="00FC17F1" w:rsidRDefault="00D5514C" w:rsidP="00DA2390">
      <w:pPr>
        <w:pStyle w:val="ListParagraph"/>
        <w:numPr>
          <w:ilvl w:val="2"/>
          <w:numId w:val="8"/>
        </w:numPr>
        <w:tabs>
          <w:tab w:val="left" w:pos="851"/>
          <w:tab w:val="left" w:pos="1701"/>
          <w:tab w:val="left" w:pos="2552"/>
          <w:tab w:val="left" w:pos="3402"/>
          <w:tab w:val="left" w:pos="4253"/>
          <w:tab w:val="right" w:pos="9015"/>
        </w:tabs>
        <w:spacing w:before="240" w:line="360" w:lineRule="auto"/>
        <w:ind w:hanging="450"/>
        <w:jc w:val="both"/>
        <w:outlineLvl w:val="3"/>
        <w:rPr>
          <w:rFonts w:eastAsia="Times New Roman" w:cs="Times New Roman"/>
          <w:sz w:val="28"/>
          <w:szCs w:val="28"/>
          <w:lang w:val="en-NZ" w:eastAsia="en-NZ"/>
        </w:rPr>
      </w:pPr>
      <w:r w:rsidRPr="00FC17F1">
        <w:rPr>
          <w:rFonts w:eastAsia="Times New Roman" w:cs="Times New Roman"/>
          <w:sz w:val="28"/>
          <w:szCs w:val="28"/>
          <w:lang w:val="en-NZ" w:eastAsia="en-NZ"/>
        </w:rPr>
        <w:t>Increasing paid parental leave from 18 weeks to 22 weeks from 1 July 2018, with a further increase to 26 weeks from 1 July 2018;</w:t>
      </w:r>
    </w:p>
    <w:p w14:paraId="6E20ADA4" w14:textId="4E78E847" w:rsidR="00D5514C" w:rsidRPr="00FC17F1" w:rsidRDefault="00D5514C" w:rsidP="00DA2390">
      <w:pPr>
        <w:pStyle w:val="ListParagraph"/>
        <w:numPr>
          <w:ilvl w:val="2"/>
          <w:numId w:val="8"/>
        </w:numPr>
        <w:tabs>
          <w:tab w:val="left" w:pos="851"/>
          <w:tab w:val="left" w:pos="1701"/>
          <w:tab w:val="left" w:pos="2552"/>
          <w:tab w:val="left" w:pos="3402"/>
          <w:tab w:val="left" w:pos="4253"/>
          <w:tab w:val="right" w:pos="9015"/>
        </w:tabs>
        <w:spacing w:before="240" w:line="360" w:lineRule="auto"/>
        <w:ind w:hanging="450"/>
        <w:jc w:val="both"/>
        <w:outlineLvl w:val="3"/>
        <w:rPr>
          <w:rFonts w:eastAsia="Times New Roman" w:cs="Times New Roman"/>
          <w:sz w:val="28"/>
          <w:szCs w:val="28"/>
          <w:lang w:val="en-NZ" w:eastAsia="en-NZ"/>
        </w:rPr>
      </w:pPr>
      <w:r w:rsidRPr="00FC17F1">
        <w:rPr>
          <w:rFonts w:eastAsia="Times New Roman" w:cs="Times New Roman"/>
          <w:sz w:val="28"/>
          <w:szCs w:val="28"/>
          <w:lang w:val="en-NZ" w:eastAsia="en-NZ"/>
        </w:rPr>
        <w:t xml:space="preserve">National superannuitants and beneficiaries will get a one-off payment of $500 to help pay for heating over the winter.  As this applies to all beneficiaries without asset testing, it will be simple to administer.   </w:t>
      </w:r>
    </w:p>
    <w:p w14:paraId="76B2650F" w14:textId="77777777" w:rsidR="00D5514C" w:rsidRPr="00FC17F1" w:rsidRDefault="00D5514C" w:rsidP="00DA2390">
      <w:pPr>
        <w:pStyle w:val="ListParagraph"/>
        <w:numPr>
          <w:ilvl w:val="2"/>
          <w:numId w:val="8"/>
        </w:numPr>
        <w:tabs>
          <w:tab w:val="left" w:pos="851"/>
          <w:tab w:val="left" w:pos="1701"/>
          <w:tab w:val="left" w:pos="2552"/>
          <w:tab w:val="left" w:pos="3402"/>
          <w:tab w:val="left" w:pos="4253"/>
          <w:tab w:val="right" w:pos="9015"/>
        </w:tabs>
        <w:spacing w:before="240" w:line="360" w:lineRule="auto"/>
        <w:ind w:hanging="360"/>
        <w:jc w:val="both"/>
        <w:outlineLvl w:val="3"/>
        <w:rPr>
          <w:rFonts w:eastAsia="Times New Roman" w:cs="Times New Roman"/>
          <w:sz w:val="28"/>
          <w:szCs w:val="28"/>
          <w:lang w:val="en-NZ" w:eastAsia="en-NZ"/>
        </w:rPr>
      </w:pPr>
      <w:r w:rsidRPr="00FC17F1">
        <w:rPr>
          <w:rFonts w:eastAsia="Times New Roman" w:cs="Times New Roman"/>
          <w:sz w:val="28"/>
          <w:szCs w:val="28"/>
          <w:lang w:val="en-NZ" w:eastAsia="en-NZ"/>
        </w:rPr>
        <w:t xml:space="preserve">Giving all parents of new born babies $65 extra a week for a year, with poorer families getting it for three years.     </w:t>
      </w:r>
    </w:p>
    <w:p w14:paraId="41CC367E" w14:textId="28CC431C" w:rsidR="00D5514C" w:rsidRPr="00FC17F1" w:rsidRDefault="00D5514C" w:rsidP="00DA2390">
      <w:pPr>
        <w:pStyle w:val="ListParagraph"/>
        <w:numPr>
          <w:ilvl w:val="2"/>
          <w:numId w:val="8"/>
        </w:numPr>
        <w:tabs>
          <w:tab w:val="left" w:pos="851"/>
          <w:tab w:val="left" w:pos="1701"/>
          <w:tab w:val="left" w:pos="2552"/>
          <w:tab w:val="left" w:pos="3402"/>
          <w:tab w:val="left" w:pos="4253"/>
          <w:tab w:val="right" w:pos="9015"/>
        </w:tabs>
        <w:spacing w:line="360" w:lineRule="auto"/>
        <w:ind w:hanging="450"/>
        <w:jc w:val="both"/>
        <w:outlineLvl w:val="3"/>
        <w:rPr>
          <w:rFonts w:eastAsia="Times New Roman" w:cs="Times New Roman"/>
          <w:sz w:val="28"/>
          <w:szCs w:val="28"/>
          <w:lang w:val="en-NZ" w:eastAsia="en-NZ"/>
        </w:rPr>
      </w:pPr>
      <w:r w:rsidRPr="00FC17F1">
        <w:rPr>
          <w:rFonts w:eastAsia="Times New Roman" w:cs="Times New Roman"/>
          <w:sz w:val="28"/>
          <w:szCs w:val="28"/>
          <w:lang w:val="en-NZ" w:eastAsia="en-NZ"/>
        </w:rPr>
        <w:t xml:space="preserve">Increasing the orphan’s benefit, unsupported child benefit and foster care allowance.  </w:t>
      </w:r>
    </w:p>
    <w:p w14:paraId="52535903" w14:textId="77777777" w:rsidR="00D5514C" w:rsidRPr="00FC17F1" w:rsidRDefault="00D5514C" w:rsidP="00FC17F1">
      <w:pPr>
        <w:tabs>
          <w:tab w:val="left" w:pos="851"/>
          <w:tab w:val="left" w:pos="1701"/>
          <w:tab w:val="left" w:pos="2552"/>
          <w:tab w:val="left" w:pos="3402"/>
          <w:tab w:val="left" w:pos="4253"/>
          <w:tab w:val="right" w:pos="9015"/>
        </w:tabs>
        <w:spacing w:line="360" w:lineRule="auto"/>
        <w:ind w:left="1702"/>
        <w:jc w:val="both"/>
        <w:outlineLvl w:val="3"/>
        <w:rPr>
          <w:rFonts w:eastAsia="Times New Roman" w:cs="Times New Roman"/>
          <w:sz w:val="28"/>
          <w:szCs w:val="28"/>
          <w:lang w:val="en-NZ" w:eastAsia="en-NZ"/>
        </w:rPr>
      </w:pPr>
    </w:p>
    <w:p w14:paraId="628AAEBD" w14:textId="0F73C2A3" w:rsidR="00D5514C" w:rsidRPr="00FC17F1" w:rsidRDefault="00A0644D" w:rsidP="00DA2390">
      <w:pPr>
        <w:pStyle w:val="ListParagraph"/>
        <w:numPr>
          <w:ilvl w:val="0"/>
          <w:numId w:val="10"/>
        </w:numPr>
        <w:tabs>
          <w:tab w:val="left" w:pos="810"/>
          <w:tab w:val="left" w:pos="1701"/>
          <w:tab w:val="left" w:pos="2552"/>
          <w:tab w:val="left" w:pos="3402"/>
          <w:tab w:val="left" w:pos="4253"/>
          <w:tab w:val="right" w:pos="9015"/>
        </w:tabs>
        <w:spacing w:line="360" w:lineRule="auto"/>
        <w:ind w:hanging="630"/>
        <w:jc w:val="both"/>
        <w:outlineLvl w:val="2"/>
        <w:rPr>
          <w:rFonts w:eastAsia="Times New Roman" w:cs="Times New Roman"/>
          <w:sz w:val="28"/>
          <w:szCs w:val="28"/>
          <w:lang w:val="en-NZ" w:eastAsia="en-NZ"/>
        </w:rPr>
      </w:pPr>
      <w:r w:rsidRPr="00FC17F1">
        <w:rPr>
          <w:rFonts w:eastAsia="Times New Roman" w:cs="Times New Roman"/>
          <w:sz w:val="28"/>
          <w:szCs w:val="28"/>
          <w:lang w:val="en-NZ" w:eastAsia="en-NZ"/>
        </w:rPr>
        <w:t xml:space="preserve"> </w:t>
      </w:r>
      <w:r w:rsidR="00D5514C" w:rsidRPr="00FC17F1">
        <w:rPr>
          <w:rFonts w:eastAsia="Times New Roman" w:cs="Times New Roman"/>
          <w:sz w:val="28"/>
          <w:szCs w:val="28"/>
          <w:lang w:val="en-NZ" w:eastAsia="en-NZ"/>
        </w:rPr>
        <w:t>While these are significant measures, the HRF considers that New Zealand’s welfare and social security system needs a comprehensive review and overhaul. We set out our key recommendations in the next section.</w:t>
      </w:r>
      <w:r w:rsidR="00D5514C" w:rsidRPr="00FC17F1">
        <w:rPr>
          <w:vertAlign w:val="superscript"/>
          <w:lang w:val="en-NZ" w:eastAsia="en-NZ"/>
        </w:rPr>
        <w:footnoteReference w:id="86"/>
      </w:r>
      <w:r w:rsidR="00D5514C" w:rsidRPr="00FC17F1">
        <w:rPr>
          <w:rFonts w:eastAsia="Times New Roman" w:cs="Times New Roman"/>
          <w:sz w:val="28"/>
          <w:szCs w:val="28"/>
          <w:lang w:val="en-NZ" w:eastAsia="en-NZ"/>
        </w:rPr>
        <w:t xml:space="preserve">    </w:t>
      </w:r>
    </w:p>
    <w:p w14:paraId="7D5E8304"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sz w:val="28"/>
          <w:szCs w:val="28"/>
          <w:lang w:val="en-NZ" w:eastAsia="en-NZ"/>
        </w:rPr>
      </w:pPr>
    </w:p>
    <w:p w14:paraId="2DD5220C" w14:textId="1D21BE43" w:rsidR="00D5514C" w:rsidRPr="00FC17F1" w:rsidRDefault="00D5514C" w:rsidP="00FC17F1">
      <w:pPr>
        <w:tabs>
          <w:tab w:val="left" w:pos="851"/>
          <w:tab w:val="left" w:pos="1701"/>
          <w:tab w:val="left" w:pos="2552"/>
          <w:tab w:val="left" w:pos="3402"/>
          <w:tab w:val="left" w:pos="4253"/>
          <w:tab w:val="right" w:pos="9015"/>
        </w:tabs>
        <w:spacing w:line="360" w:lineRule="auto"/>
        <w:jc w:val="both"/>
        <w:outlineLvl w:val="1"/>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Recommendations </w:t>
      </w:r>
    </w:p>
    <w:p w14:paraId="6487E7EB" w14:textId="0E701FA8" w:rsidR="00D5514C" w:rsidRPr="00FC17F1" w:rsidRDefault="006A7B3B" w:rsidP="00DA2390">
      <w:pPr>
        <w:pStyle w:val="ListParagraph"/>
        <w:numPr>
          <w:ilvl w:val="0"/>
          <w:numId w:val="10"/>
        </w:numPr>
        <w:tabs>
          <w:tab w:val="left" w:pos="720"/>
          <w:tab w:val="left" w:pos="1701"/>
          <w:tab w:val="left" w:pos="2552"/>
          <w:tab w:val="left" w:pos="3402"/>
          <w:tab w:val="left" w:pos="4253"/>
          <w:tab w:val="right" w:pos="9015"/>
        </w:tabs>
        <w:spacing w:before="240" w:line="360" w:lineRule="auto"/>
        <w:ind w:left="720" w:hanging="540"/>
        <w:jc w:val="both"/>
        <w:outlineLvl w:val="2"/>
        <w:rPr>
          <w:rFonts w:eastAsia="Times New Roman" w:cs="Times New Roman"/>
          <w:b/>
          <w:sz w:val="28"/>
          <w:szCs w:val="28"/>
          <w:lang w:val="en-NZ" w:eastAsia="en-NZ"/>
        </w:rPr>
      </w:pPr>
      <w:r>
        <w:rPr>
          <w:rFonts w:eastAsia="Times New Roman" w:cs="Times New Roman"/>
          <w:sz w:val="28"/>
          <w:szCs w:val="28"/>
          <w:lang w:val="en-NZ" w:eastAsia="en-NZ"/>
        </w:rPr>
        <w:t xml:space="preserve"> </w:t>
      </w:r>
      <w:r w:rsidR="00C3449B">
        <w:rPr>
          <w:rFonts w:eastAsia="Times New Roman" w:cs="Times New Roman"/>
          <w:b/>
          <w:sz w:val="28"/>
          <w:szCs w:val="28"/>
          <w:lang w:val="en-NZ" w:eastAsia="en-NZ"/>
        </w:rPr>
        <w:t>T</w:t>
      </w:r>
      <w:r w:rsidR="00B3215F" w:rsidRPr="00FC17F1">
        <w:rPr>
          <w:rFonts w:eastAsia="Times New Roman" w:cs="Times New Roman"/>
          <w:b/>
          <w:sz w:val="28"/>
          <w:szCs w:val="28"/>
          <w:lang w:val="en-NZ" w:eastAsia="en-NZ"/>
        </w:rPr>
        <w:t>he HRF</w:t>
      </w:r>
      <w:r w:rsidR="00D5514C" w:rsidRPr="00FC17F1">
        <w:rPr>
          <w:rFonts w:eastAsia="Times New Roman" w:cs="Times New Roman"/>
          <w:b/>
          <w:sz w:val="28"/>
          <w:szCs w:val="28"/>
          <w:lang w:val="en-NZ" w:eastAsia="en-NZ"/>
        </w:rPr>
        <w:t xml:space="preserve"> recommend</w:t>
      </w:r>
      <w:r w:rsidR="00B3215F" w:rsidRPr="00FC17F1">
        <w:rPr>
          <w:rFonts w:eastAsia="Times New Roman" w:cs="Times New Roman"/>
          <w:b/>
          <w:sz w:val="28"/>
          <w:szCs w:val="28"/>
          <w:lang w:val="en-NZ" w:eastAsia="en-NZ"/>
        </w:rPr>
        <w:t>s</w:t>
      </w:r>
      <w:r w:rsidR="00D5514C" w:rsidRPr="00FC17F1">
        <w:rPr>
          <w:rFonts w:eastAsia="Times New Roman" w:cs="Times New Roman"/>
          <w:b/>
          <w:sz w:val="28"/>
          <w:szCs w:val="28"/>
          <w:lang w:val="en-NZ" w:eastAsia="en-NZ"/>
        </w:rPr>
        <w:t xml:space="preserve"> that the Committee urge the New Zealand </w:t>
      </w:r>
      <w:r w:rsidR="00C3449B">
        <w:rPr>
          <w:rFonts w:eastAsia="Times New Roman" w:cs="Times New Roman"/>
          <w:b/>
          <w:sz w:val="28"/>
          <w:szCs w:val="28"/>
          <w:lang w:val="en-NZ" w:eastAsia="en-NZ"/>
        </w:rPr>
        <w:t>G</w:t>
      </w:r>
      <w:r w:rsidR="00D5514C" w:rsidRPr="00FC17F1">
        <w:rPr>
          <w:rFonts w:eastAsia="Times New Roman" w:cs="Times New Roman"/>
          <w:b/>
          <w:sz w:val="28"/>
          <w:szCs w:val="28"/>
          <w:lang w:val="en-NZ" w:eastAsia="en-NZ"/>
        </w:rPr>
        <w:t xml:space="preserve">overnment to: </w:t>
      </w:r>
    </w:p>
    <w:p w14:paraId="4CD9201A" w14:textId="7E7B2F31"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Review the design of family income support and welfare benefits, income tests, the archaic view of relationships and the harsh sanctions in place so that the social welfare system is focussed on helping those in need, </w:t>
      </w:r>
      <w:r w:rsidR="002E2A5E" w:rsidRPr="00FC17F1">
        <w:rPr>
          <w:rFonts w:eastAsia="Times New Roman" w:cs="Times New Roman"/>
          <w:b/>
          <w:sz w:val="28"/>
          <w:szCs w:val="28"/>
          <w:lang w:val="en-NZ" w:eastAsia="en-NZ"/>
        </w:rPr>
        <w:t xml:space="preserve">rather than </w:t>
      </w:r>
      <w:r w:rsidRPr="00FC17F1">
        <w:rPr>
          <w:rFonts w:eastAsia="Times New Roman" w:cs="Times New Roman"/>
          <w:b/>
          <w:sz w:val="28"/>
          <w:szCs w:val="28"/>
          <w:lang w:val="en-NZ" w:eastAsia="en-NZ"/>
        </w:rPr>
        <w:t xml:space="preserve">on reducing benefit numbers and reducing costs.  </w:t>
      </w:r>
    </w:p>
    <w:p w14:paraId="40B15758" w14:textId="56CE6FB9"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Set benefits at liveable levels. This will reduce the complicated system of third tier support and relieve the hardship of many beneficiaries.   </w:t>
      </w:r>
    </w:p>
    <w:p w14:paraId="6E7092E6" w14:textId="48A0EF0A"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Index all benefits to wages or inflation so they are increased each year </w:t>
      </w:r>
      <w:r w:rsidR="002E2A5E" w:rsidRPr="00FC17F1">
        <w:rPr>
          <w:rFonts w:eastAsia="Times New Roman" w:cs="Times New Roman"/>
          <w:b/>
          <w:sz w:val="28"/>
          <w:szCs w:val="28"/>
          <w:lang w:val="en-NZ" w:eastAsia="en-NZ"/>
        </w:rPr>
        <w:t>like</w:t>
      </w:r>
      <w:r w:rsidRPr="00FC17F1">
        <w:rPr>
          <w:rFonts w:eastAsia="Times New Roman" w:cs="Times New Roman"/>
          <w:b/>
          <w:sz w:val="28"/>
          <w:szCs w:val="28"/>
          <w:lang w:val="en-NZ" w:eastAsia="en-NZ"/>
        </w:rPr>
        <w:t xml:space="preserve"> New Zealand superannuation.</w:t>
      </w:r>
    </w:p>
    <w:p w14:paraId="6FC069C7" w14:textId="77777777"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Simplify and rewrite the purposes of the Social Security Act 1964 so its principal object is, one again, to help those in need so that all citizens can enjoy basic economic and social rights and live in dignity. </w:t>
      </w:r>
    </w:p>
    <w:p w14:paraId="43A6EA9C" w14:textId="77777777"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Begin an immediate review of all MSD cases before the courts and all enforcement by MSD of alleged beneficiary debts and seriously consider a moratorium on further enforcement action while the review is completed.</w:t>
      </w:r>
    </w:p>
    <w:p w14:paraId="75832B20" w14:textId="35F5AB2D"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Consider writing off all debts owed by beneficiaries to WINZ. The total figure is approximately $200 million.  In the 2015 budget, the previous government announced it would write off up to $1.7 billion in child </w:t>
      </w:r>
      <w:r w:rsidRPr="00FC17F1">
        <w:rPr>
          <w:rFonts w:eastAsia="Times New Roman" w:cs="Times New Roman"/>
          <w:b/>
          <w:sz w:val="28"/>
          <w:szCs w:val="28"/>
          <w:lang w:val="en-NZ" w:eastAsia="en-NZ"/>
        </w:rPr>
        <w:lastRenderedPageBreak/>
        <w:t>support penalties. Between 2008 and 2014, Inland Revenue wrote off $5 billion in tax debt.</w:t>
      </w:r>
      <w:r w:rsidRPr="00FC17F1">
        <w:rPr>
          <w:rFonts w:cs="Times New Roman"/>
          <w:b/>
          <w:sz w:val="28"/>
          <w:szCs w:val="28"/>
          <w:vertAlign w:val="superscript"/>
          <w:lang w:val="en-NZ" w:eastAsia="en-NZ"/>
        </w:rPr>
        <w:footnoteReference w:id="87"/>
      </w:r>
      <w:r w:rsidRPr="00FC17F1">
        <w:rPr>
          <w:rFonts w:eastAsia="Times New Roman" w:cs="Times New Roman"/>
          <w:b/>
          <w:sz w:val="28"/>
          <w:szCs w:val="28"/>
          <w:lang w:val="en-NZ" w:eastAsia="en-NZ"/>
        </w:rPr>
        <w:t xml:space="preserve"> </w:t>
      </w:r>
    </w:p>
    <w:p w14:paraId="4278D03F" w14:textId="2B23E6C7"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Close the tip line people can call in to report on benefit fraud. Many allegations of fraud are made maliciously by former partners or are motivated by personal disputes. They add to the administrative burden of already overworked staff.       </w:t>
      </w:r>
    </w:p>
    <w:p w14:paraId="2FD9D2DC" w14:textId="1B591AE4"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Increase the amount beneficiaries can earn (it is currently $100 a week) before their benefits are abated. This assist beneficiaries transition to work and enables them to maintain work experience and skills while in receipt of a benefit.  </w:t>
      </w:r>
    </w:p>
    <w:p w14:paraId="56412C64" w14:textId="370D49B6"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Repeal the law that applies a sanction of between $22 and $28 a week levied against parents who cannot or will not name the other parent in law. These sanctions apply 97.7% to women and 52% to Maori.</w:t>
      </w:r>
      <w:r w:rsidRPr="00FC17F1">
        <w:rPr>
          <w:rFonts w:cs="Times New Roman"/>
          <w:b/>
          <w:sz w:val="28"/>
          <w:szCs w:val="28"/>
          <w:vertAlign w:val="superscript"/>
          <w:lang w:val="en-NZ" w:eastAsia="en-NZ"/>
        </w:rPr>
        <w:footnoteReference w:id="88"/>
      </w:r>
      <w:r w:rsidRPr="00FC17F1">
        <w:rPr>
          <w:rFonts w:eastAsia="Times New Roman" w:cs="Times New Roman"/>
          <w:b/>
          <w:sz w:val="28"/>
          <w:szCs w:val="28"/>
          <w:lang w:val="en-NZ" w:eastAsia="en-NZ"/>
        </w:rPr>
        <w:t xml:space="preserve"> Some women do not wish to name the father because of an abusive or violent relationship</w:t>
      </w:r>
      <w:r w:rsidR="00983BEE" w:rsidRPr="00FC17F1">
        <w:rPr>
          <w:rFonts w:eastAsia="Times New Roman" w:cs="Times New Roman"/>
          <w:b/>
          <w:sz w:val="28"/>
          <w:szCs w:val="28"/>
          <w:lang w:val="en-NZ" w:eastAsia="en-NZ"/>
        </w:rPr>
        <w:t xml:space="preserve"> – </w:t>
      </w:r>
      <w:r w:rsidRPr="00FC17F1">
        <w:rPr>
          <w:rFonts w:eastAsia="Times New Roman" w:cs="Times New Roman"/>
          <w:b/>
          <w:sz w:val="28"/>
          <w:szCs w:val="28"/>
          <w:lang w:val="en-NZ" w:eastAsia="en-NZ"/>
        </w:rPr>
        <w:t xml:space="preserve">they should not be penalised for doing so.     </w:t>
      </w:r>
    </w:p>
    <w:p w14:paraId="1D50EBF2" w14:textId="25A25529"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Consider making entitlements to benefits individual rather than basing them on relationship status. This would reduce intrusive and complex investigations into the status of a person’s relationship.</w:t>
      </w:r>
      <w:r w:rsidR="00983BEE" w:rsidRPr="00FC17F1">
        <w:rPr>
          <w:rFonts w:eastAsia="Times New Roman" w:cs="Times New Roman"/>
          <w:b/>
          <w:sz w:val="28"/>
          <w:szCs w:val="28"/>
          <w:lang w:val="en-NZ" w:eastAsia="en-NZ"/>
        </w:rPr>
        <w:t xml:space="preserve"> </w:t>
      </w:r>
      <w:r w:rsidRPr="00FC17F1">
        <w:rPr>
          <w:rFonts w:eastAsia="Times New Roman" w:cs="Times New Roman"/>
          <w:b/>
          <w:sz w:val="28"/>
          <w:szCs w:val="28"/>
          <w:lang w:val="en-NZ" w:eastAsia="en-NZ"/>
        </w:rPr>
        <w:t xml:space="preserve">In the alternative, simplify the definition of ‘relationship in the nature of marriage’ to reduce the intrusive investigations into highly personal matters. For example, a new beneficiary who enters into an intimate relationship </w:t>
      </w:r>
      <w:r w:rsidRPr="00FC17F1">
        <w:rPr>
          <w:rFonts w:eastAsia="Times New Roman" w:cs="Times New Roman"/>
          <w:b/>
          <w:sz w:val="28"/>
          <w:szCs w:val="28"/>
          <w:lang w:val="en-NZ" w:eastAsia="en-NZ"/>
        </w:rPr>
        <w:lastRenderedPageBreak/>
        <w:t>may be entitled to retain their benefit until they marry, or enter into a civil union or are in a de facto relationship for</w:t>
      </w:r>
      <w:r w:rsidR="00983BEE" w:rsidRPr="00FC17F1">
        <w:rPr>
          <w:rFonts w:eastAsia="Times New Roman" w:cs="Times New Roman"/>
          <w:b/>
          <w:sz w:val="28"/>
          <w:szCs w:val="28"/>
          <w:lang w:val="en-NZ" w:eastAsia="en-NZ"/>
        </w:rPr>
        <w:t>, say,</w:t>
      </w:r>
      <w:r w:rsidRPr="00FC17F1">
        <w:rPr>
          <w:rFonts w:eastAsia="Times New Roman" w:cs="Times New Roman"/>
          <w:b/>
          <w:sz w:val="28"/>
          <w:szCs w:val="28"/>
          <w:lang w:val="en-NZ" w:eastAsia="en-NZ"/>
        </w:rPr>
        <w:t xml:space="preserve"> three years.                               </w:t>
      </w:r>
    </w:p>
    <w:p w14:paraId="61BDC351" w14:textId="0EB4B21E" w:rsidR="00C3449B"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Transform the culture of WINZ so that every staff member is required to treat beneficiaries fairly and respectfully and ensure that beneficiaries receive all the assistance to which they are entitled. </w:t>
      </w:r>
    </w:p>
    <w:p w14:paraId="38EFB431" w14:textId="77777777" w:rsidR="00D5514C" w:rsidRPr="00FC17F1" w:rsidRDefault="00D5514C" w:rsidP="00DA2390">
      <w:pPr>
        <w:pStyle w:val="ListParagraph"/>
        <w:numPr>
          <w:ilvl w:val="0"/>
          <w:numId w:val="14"/>
        </w:numPr>
        <w:tabs>
          <w:tab w:val="left" w:pos="851"/>
          <w:tab w:val="left" w:pos="1701"/>
          <w:tab w:val="left" w:pos="2552"/>
          <w:tab w:val="left" w:pos="3402"/>
          <w:tab w:val="left" w:pos="4253"/>
          <w:tab w:val="right" w:pos="9015"/>
        </w:tabs>
        <w:spacing w:before="240" w:line="360" w:lineRule="auto"/>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Abolish the BRCs and replace them with an independent body to deal with decisions about benefits. Consider establishing a Social Security Ombudsman.   </w:t>
      </w:r>
    </w:p>
    <w:p w14:paraId="5EE097BC" w14:textId="77777777" w:rsidR="00D5514C" w:rsidRPr="00FC17F1" w:rsidRDefault="00D5514C" w:rsidP="00FC17F1">
      <w:pPr>
        <w:tabs>
          <w:tab w:val="left" w:pos="851"/>
          <w:tab w:val="left" w:pos="1701"/>
          <w:tab w:val="left" w:pos="2552"/>
          <w:tab w:val="left" w:pos="3402"/>
          <w:tab w:val="left" w:pos="4253"/>
        </w:tabs>
        <w:spacing w:line="360" w:lineRule="auto"/>
        <w:jc w:val="both"/>
        <w:rPr>
          <w:rFonts w:eastAsia="Times New Roman" w:cs="Times New Roman"/>
          <w:b/>
          <w:sz w:val="28"/>
          <w:szCs w:val="28"/>
          <w:lang w:val="en-NZ" w:eastAsia="en-NZ"/>
        </w:rPr>
      </w:pPr>
    </w:p>
    <w:p w14:paraId="40B380A0" w14:textId="77777777" w:rsidR="00D5514C" w:rsidRPr="00FC17F1" w:rsidRDefault="00D5514C" w:rsidP="00FC17F1">
      <w:pPr>
        <w:pStyle w:val="BodyTextIndent"/>
        <w:spacing w:line="360" w:lineRule="auto"/>
        <w:ind w:left="0"/>
        <w:rPr>
          <w:b/>
          <w:sz w:val="28"/>
          <w:szCs w:val="28"/>
          <w:lang w:val="en-GB"/>
        </w:rPr>
      </w:pPr>
    </w:p>
    <w:p w14:paraId="04FE435F" w14:textId="77777777" w:rsidR="002E0EC9" w:rsidRPr="00FC17F1" w:rsidRDefault="002E0EC9" w:rsidP="00FC17F1">
      <w:pPr>
        <w:pStyle w:val="BodyTextIndent"/>
        <w:spacing w:line="360" w:lineRule="auto"/>
        <w:ind w:left="0"/>
        <w:rPr>
          <w:i/>
          <w:sz w:val="28"/>
          <w:szCs w:val="28"/>
          <w:lang w:val="en-GB"/>
        </w:rPr>
      </w:pPr>
    </w:p>
    <w:p w14:paraId="07002027" w14:textId="4904ED15" w:rsidR="00FD22D1" w:rsidRPr="00FC17F1" w:rsidRDefault="00FE152C" w:rsidP="00FC17F1">
      <w:pPr>
        <w:pStyle w:val="BodyTextIndent"/>
        <w:spacing w:line="360" w:lineRule="auto"/>
        <w:ind w:left="0"/>
        <w:rPr>
          <w:i/>
          <w:sz w:val="28"/>
          <w:szCs w:val="28"/>
          <w:lang w:val="en-GB"/>
        </w:rPr>
      </w:pPr>
      <w:r>
        <w:rPr>
          <w:i/>
          <w:sz w:val="28"/>
          <w:szCs w:val="28"/>
          <w:lang w:val="en-GB"/>
        </w:rPr>
        <w:t xml:space="preserve">Question </w:t>
      </w:r>
      <w:r w:rsidR="00844284" w:rsidRPr="00FC17F1">
        <w:rPr>
          <w:i/>
          <w:sz w:val="28"/>
          <w:szCs w:val="28"/>
          <w:lang w:val="en-GB"/>
        </w:rPr>
        <w:t>18</w:t>
      </w:r>
      <w:r w:rsidR="004337EB" w:rsidRPr="00FC17F1">
        <w:rPr>
          <w:i/>
          <w:sz w:val="28"/>
          <w:szCs w:val="28"/>
          <w:lang w:val="en-GB"/>
        </w:rPr>
        <w:t>:</w:t>
      </w:r>
      <w:r w:rsidR="00844284" w:rsidRPr="00FC17F1">
        <w:rPr>
          <w:i/>
          <w:sz w:val="28"/>
          <w:szCs w:val="28"/>
          <w:lang w:val="en-GB"/>
        </w:rPr>
        <w:t xml:space="preserve"> </w:t>
      </w:r>
      <w:r w:rsidR="00FD22D1" w:rsidRPr="00FC17F1">
        <w:rPr>
          <w:i/>
          <w:sz w:val="28"/>
          <w:szCs w:val="28"/>
          <w:lang w:val="en-GB"/>
        </w:rPr>
        <w:t>Please indicate to what extent the protection of the right to social security, the right to an adequate standard of living, and the best interests of the child are taken into account in decision-making processes regarding benefit sanctions under the Social Security Act 1964.</w:t>
      </w:r>
    </w:p>
    <w:p w14:paraId="18A641B1" w14:textId="77777777" w:rsidR="002E0EC9" w:rsidRPr="00C37B4D" w:rsidRDefault="002E0EC9" w:rsidP="00FC17F1">
      <w:pPr>
        <w:pStyle w:val="BodyTextIndent"/>
        <w:spacing w:line="360" w:lineRule="auto"/>
        <w:ind w:left="0"/>
        <w:rPr>
          <w:i/>
          <w:sz w:val="28"/>
          <w:szCs w:val="28"/>
          <w:lang w:val="en-GB"/>
        </w:rPr>
      </w:pPr>
    </w:p>
    <w:p w14:paraId="6F3D3192" w14:textId="77777777" w:rsidR="00C3449B" w:rsidRPr="00FC17F1" w:rsidRDefault="007036EE" w:rsidP="00DA2390">
      <w:pPr>
        <w:pStyle w:val="BodyTextIndent"/>
        <w:numPr>
          <w:ilvl w:val="0"/>
          <w:numId w:val="10"/>
        </w:numPr>
        <w:spacing w:line="360" w:lineRule="auto"/>
        <w:ind w:left="1080" w:hanging="630"/>
        <w:rPr>
          <w:i/>
          <w:sz w:val="28"/>
          <w:szCs w:val="28"/>
          <w:lang w:val="en-GB"/>
        </w:rPr>
      </w:pPr>
      <w:r>
        <w:rPr>
          <w:sz w:val="28"/>
          <w:szCs w:val="28"/>
          <w:lang w:val="en-GB"/>
        </w:rPr>
        <w:t xml:space="preserve"> </w:t>
      </w:r>
      <w:r w:rsidR="00C76CE0" w:rsidRPr="00FC17F1">
        <w:rPr>
          <w:sz w:val="28"/>
          <w:szCs w:val="28"/>
          <w:lang w:val="en-GB"/>
        </w:rPr>
        <w:t xml:space="preserve">As noted by CPAG, some New Zealand children experience discrimination stemming from the Government’s emphasis on the active citizenship model of social security, which in turn is focused on the ‘work readiness’ of parents and caregivers, rather than the impact of such an approach for children.  Social security legislation is not informed by the principle of the best interests of the child. </w:t>
      </w:r>
    </w:p>
    <w:p w14:paraId="5A0262A8" w14:textId="1CBDE8E9" w:rsidR="00C3449B" w:rsidRPr="00FC17F1" w:rsidRDefault="00C3449B" w:rsidP="00DA2390">
      <w:pPr>
        <w:pStyle w:val="BodyTextIndent"/>
        <w:numPr>
          <w:ilvl w:val="0"/>
          <w:numId w:val="10"/>
        </w:numPr>
        <w:spacing w:line="360" w:lineRule="auto"/>
        <w:ind w:left="1080" w:hanging="900"/>
        <w:rPr>
          <w:i/>
          <w:sz w:val="28"/>
          <w:szCs w:val="28"/>
          <w:lang w:val="en-GB"/>
        </w:rPr>
      </w:pPr>
      <w:r w:rsidRPr="00FC17F1">
        <w:rPr>
          <w:sz w:val="28"/>
          <w:szCs w:val="28"/>
          <w:lang w:val="en-GB"/>
        </w:rPr>
        <w:t xml:space="preserve">The HRF endorses recent efforts by the NZ Human Right Commission to ensure that the rewriting of social security legislation includes a commitment to ensure that decision-makers have regard to the welfare and </w:t>
      </w:r>
      <w:r w:rsidRPr="00FC17F1">
        <w:rPr>
          <w:sz w:val="28"/>
          <w:szCs w:val="28"/>
        </w:rPr>
        <w:t xml:space="preserve">best interests of any child. Such an approach is also consonant with s 6 of the Vulnerable Children Act </w:t>
      </w:r>
      <w:r w:rsidR="003F2110" w:rsidRPr="00FC17F1">
        <w:rPr>
          <w:sz w:val="28"/>
          <w:szCs w:val="28"/>
        </w:rPr>
        <w:t>2014, which</w:t>
      </w:r>
      <w:r w:rsidRPr="00FC17F1">
        <w:rPr>
          <w:sz w:val="28"/>
          <w:szCs w:val="28"/>
        </w:rPr>
        <w:t xml:space="preserve"> states that </w:t>
      </w:r>
      <w:r w:rsidRPr="00FC17F1">
        <w:rPr>
          <w:sz w:val="28"/>
          <w:szCs w:val="28"/>
        </w:rPr>
        <w:lastRenderedPageBreak/>
        <w:t>improving the well-being of vulnerable children means promoting their best interests.  In particular, s 6(f) of the Act requires the taking of measures – informed by the best interests of the child- to improve the social and economic well-being of vulnerable children.</w:t>
      </w:r>
    </w:p>
    <w:p w14:paraId="12B9DC32" w14:textId="23763717" w:rsidR="00B3215F" w:rsidRDefault="00B3215F" w:rsidP="00FC17F1">
      <w:pPr>
        <w:pStyle w:val="BodyTextIndent"/>
        <w:spacing w:line="360" w:lineRule="auto"/>
        <w:ind w:left="0"/>
        <w:rPr>
          <w:i/>
          <w:sz w:val="28"/>
          <w:szCs w:val="28"/>
          <w:lang w:val="en-GB"/>
        </w:rPr>
      </w:pPr>
    </w:p>
    <w:p w14:paraId="092C2CF9" w14:textId="243AFD63" w:rsidR="00B3215F" w:rsidRDefault="00B3215F" w:rsidP="00FC17F1">
      <w:pPr>
        <w:pStyle w:val="BodyTextIndent"/>
        <w:spacing w:line="360" w:lineRule="auto"/>
        <w:ind w:left="-180"/>
        <w:rPr>
          <w:b/>
          <w:sz w:val="28"/>
          <w:szCs w:val="28"/>
          <w:lang w:val="en-GB"/>
        </w:rPr>
      </w:pPr>
      <w:r w:rsidRPr="00FC17F1">
        <w:rPr>
          <w:b/>
          <w:sz w:val="28"/>
          <w:szCs w:val="28"/>
          <w:lang w:val="en-GB"/>
        </w:rPr>
        <w:t>Recommendations</w:t>
      </w:r>
    </w:p>
    <w:p w14:paraId="0617936A" w14:textId="153C603A" w:rsidR="00C3449B" w:rsidRDefault="00C3449B" w:rsidP="00FC17F1">
      <w:pPr>
        <w:pStyle w:val="BodyTextIndent"/>
        <w:spacing w:line="360" w:lineRule="auto"/>
        <w:ind w:left="420"/>
        <w:rPr>
          <w:b/>
          <w:sz w:val="28"/>
          <w:szCs w:val="28"/>
          <w:lang w:val="en-GB"/>
        </w:rPr>
      </w:pPr>
    </w:p>
    <w:p w14:paraId="48444AB1" w14:textId="3C9CF302" w:rsidR="00C3449B" w:rsidRPr="00C3449B" w:rsidRDefault="00C3449B" w:rsidP="00DA2390">
      <w:pPr>
        <w:pStyle w:val="BodyTextIndent"/>
        <w:numPr>
          <w:ilvl w:val="0"/>
          <w:numId w:val="10"/>
        </w:numPr>
        <w:spacing w:line="360" w:lineRule="auto"/>
        <w:ind w:left="1080" w:hanging="720"/>
        <w:rPr>
          <w:b/>
          <w:sz w:val="28"/>
          <w:szCs w:val="28"/>
          <w:lang w:val="en-GB"/>
        </w:rPr>
      </w:pPr>
      <w:r w:rsidRPr="00FC17F1">
        <w:rPr>
          <w:b/>
          <w:sz w:val="28"/>
          <w:szCs w:val="28"/>
          <w:lang w:val="en-GB"/>
        </w:rPr>
        <w:t xml:space="preserve">The HRF endorses recent efforts by the NZ Human Right Commission to ensure that the rewriting of social security legislation includes a commitment to ensure that decision-makers have regard to the welfare and </w:t>
      </w:r>
      <w:r w:rsidRPr="00FC17F1">
        <w:rPr>
          <w:b/>
          <w:sz w:val="28"/>
          <w:szCs w:val="28"/>
        </w:rPr>
        <w:t>best interests of any child</w:t>
      </w:r>
      <w:r>
        <w:rPr>
          <w:b/>
          <w:sz w:val="28"/>
          <w:szCs w:val="28"/>
        </w:rPr>
        <w:t>.</w:t>
      </w:r>
    </w:p>
    <w:p w14:paraId="7E1F88C8" w14:textId="77777777" w:rsidR="00B3215F" w:rsidRPr="00FC17F1" w:rsidRDefault="00B3215F" w:rsidP="00FC17F1">
      <w:pPr>
        <w:pStyle w:val="BodyTextIndent"/>
        <w:spacing w:line="360" w:lineRule="auto"/>
        <w:ind w:left="420"/>
        <w:rPr>
          <w:b/>
          <w:sz w:val="28"/>
          <w:szCs w:val="28"/>
          <w:lang w:val="en-GB"/>
        </w:rPr>
      </w:pPr>
    </w:p>
    <w:p w14:paraId="60464380" w14:textId="707BA8F5" w:rsidR="008E1953" w:rsidRPr="00FC17F1" w:rsidRDefault="008E1953" w:rsidP="00FC17F1">
      <w:pPr>
        <w:pStyle w:val="BodyTextIndent"/>
        <w:spacing w:line="360" w:lineRule="auto"/>
        <w:ind w:left="780"/>
        <w:rPr>
          <w:i/>
          <w:sz w:val="28"/>
          <w:szCs w:val="28"/>
          <w:lang w:val="en-GB"/>
        </w:rPr>
      </w:pPr>
    </w:p>
    <w:p w14:paraId="014FA5E8" w14:textId="6FEB513E" w:rsidR="00094E98" w:rsidRPr="00FC17F1" w:rsidRDefault="00B3215F" w:rsidP="00DA2390">
      <w:pPr>
        <w:pStyle w:val="BodyTextIndent"/>
        <w:spacing w:line="360" w:lineRule="auto"/>
        <w:ind w:left="1170"/>
        <w:rPr>
          <w:b/>
          <w:sz w:val="28"/>
          <w:szCs w:val="28"/>
          <w:lang w:val="en-GB"/>
        </w:rPr>
      </w:pPr>
      <w:r w:rsidRPr="00C3449B">
        <w:rPr>
          <w:b/>
          <w:sz w:val="28"/>
          <w:szCs w:val="28"/>
          <w:lang w:val="en-GB"/>
        </w:rPr>
        <w:t xml:space="preserve">The HRF also endorses the report of </w:t>
      </w:r>
      <w:r w:rsidR="00094E98" w:rsidRPr="00FC17F1">
        <w:rPr>
          <w:b/>
          <w:sz w:val="28"/>
          <w:szCs w:val="28"/>
          <w:lang w:val="en-GB"/>
        </w:rPr>
        <w:t xml:space="preserve"> CPAG/ACYA at p 7</w:t>
      </w:r>
    </w:p>
    <w:p w14:paraId="66122A33" w14:textId="77777777" w:rsidR="00C76CE0" w:rsidRPr="00FC17F1" w:rsidRDefault="00C76CE0" w:rsidP="00FC17F1">
      <w:pPr>
        <w:pStyle w:val="BodyTextIndent"/>
        <w:spacing w:line="360" w:lineRule="auto"/>
        <w:ind w:left="0"/>
        <w:rPr>
          <w:b/>
          <w:sz w:val="28"/>
          <w:szCs w:val="28"/>
          <w:lang w:val="en-GB"/>
        </w:rPr>
      </w:pPr>
    </w:p>
    <w:p w14:paraId="6F1725CD" w14:textId="77777777" w:rsidR="00C76CE0" w:rsidRPr="00FC17F1" w:rsidRDefault="00C76CE0" w:rsidP="00FC17F1">
      <w:pPr>
        <w:pStyle w:val="BodyTextIndent"/>
        <w:spacing w:line="360" w:lineRule="auto"/>
        <w:ind w:left="0"/>
        <w:rPr>
          <w:i/>
          <w:sz w:val="28"/>
          <w:szCs w:val="28"/>
          <w:lang w:val="en-GB"/>
        </w:rPr>
      </w:pPr>
    </w:p>
    <w:p w14:paraId="2ECCBF94" w14:textId="33E1C5E6" w:rsidR="00FD22D1" w:rsidRDefault="00FD22D1" w:rsidP="00FC17F1">
      <w:pPr>
        <w:pStyle w:val="BodyTextIndent"/>
        <w:spacing w:line="360" w:lineRule="auto"/>
        <w:ind w:left="0"/>
        <w:rPr>
          <w:b/>
          <w:smallCaps/>
          <w:sz w:val="28"/>
          <w:szCs w:val="28"/>
        </w:rPr>
      </w:pPr>
      <w:r w:rsidRPr="00FC17F1">
        <w:rPr>
          <w:b/>
          <w:smallCaps/>
          <w:sz w:val="28"/>
          <w:szCs w:val="28"/>
        </w:rPr>
        <w:t>Article 11</w:t>
      </w:r>
      <w:r w:rsidRPr="00FC17F1">
        <w:rPr>
          <w:b/>
          <w:iCs/>
          <w:sz w:val="28"/>
          <w:szCs w:val="28"/>
        </w:rPr>
        <w:t xml:space="preserve">: </w:t>
      </w:r>
      <w:r w:rsidR="00CD73A1">
        <w:rPr>
          <w:b/>
          <w:iCs/>
          <w:sz w:val="28"/>
          <w:szCs w:val="28"/>
        </w:rPr>
        <w:t xml:space="preserve">the </w:t>
      </w:r>
      <w:r w:rsidRPr="00FC17F1">
        <w:rPr>
          <w:b/>
          <w:smallCaps/>
          <w:sz w:val="28"/>
          <w:szCs w:val="28"/>
        </w:rPr>
        <w:t>Right to an Adequate Standard of Living</w:t>
      </w:r>
    </w:p>
    <w:p w14:paraId="7771C4DE" w14:textId="77777777" w:rsidR="00C01269" w:rsidRPr="00C37B4D" w:rsidRDefault="00C01269" w:rsidP="00FC17F1">
      <w:pPr>
        <w:pStyle w:val="BodyTextIndent"/>
        <w:spacing w:line="360" w:lineRule="auto"/>
        <w:ind w:left="0"/>
        <w:rPr>
          <w:b/>
          <w:smallCaps/>
          <w:sz w:val="28"/>
          <w:szCs w:val="28"/>
        </w:rPr>
      </w:pPr>
    </w:p>
    <w:p w14:paraId="3BAD6B74" w14:textId="353F5B98" w:rsidR="00FD22D1" w:rsidRPr="00C37B4D" w:rsidRDefault="00844284" w:rsidP="00FC17F1">
      <w:pPr>
        <w:pStyle w:val="BodyTextIndent"/>
        <w:spacing w:line="360" w:lineRule="auto"/>
        <w:ind w:left="0"/>
        <w:rPr>
          <w:i/>
          <w:sz w:val="28"/>
          <w:szCs w:val="28"/>
        </w:rPr>
      </w:pPr>
      <w:r w:rsidRPr="00FC17F1">
        <w:rPr>
          <w:i/>
          <w:sz w:val="28"/>
          <w:szCs w:val="28"/>
        </w:rPr>
        <w:t xml:space="preserve"> </w:t>
      </w:r>
      <w:r w:rsidR="00FE152C">
        <w:rPr>
          <w:i/>
          <w:sz w:val="28"/>
          <w:szCs w:val="28"/>
        </w:rPr>
        <w:t xml:space="preserve">Question </w:t>
      </w:r>
      <w:r w:rsidRPr="00FC17F1">
        <w:rPr>
          <w:i/>
          <w:sz w:val="28"/>
          <w:szCs w:val="28"/>
        </w:rPr>
        <w:t>19</w:t>
      </w:r>
      <w:r w:rsidR="004337EB" w:rsidRPr="00FC17F1">
        <w:rPr>
          <w:i/>
          <w:sz w:val="28"/>
          <w:szCs w:val="28"/>
        </w:rPr>
        <w:t xml:space="preserve">: </w:t>
      </w:r>
      <w:r w:rsidR="00FD22D1" w:rsidRPr="00FC17F1">
        <w:rPr>
          <w:i/>
          <w:sz w:val="28"/>
          <w:szCs w:val="28"/>
        </w:rPr>
        <w:t>Please update the Committee on the poverty threshold applied in the State party. Please also provide updated statistical data on poverty, disaggregated by age group, ethnicity, household size and family status. Please provide information on obstacles to reducing child poverty in the State party.</w:t>
      </w:r>
    </w:p>
    <w:p w14:paraId="31EFD1CE" w14:textId="350DB154" w:rsidR="00015170" w:rsidRPr="00C37B4D" w:rsidRDefault="00015170" w:rsidP="00FC17F1">
      <w:pPr>
        <w:pStyle w:val="BodyTextIndent"/>
        <w:spacing w:line="360" w:lineRule="auto"/>
        <w:ind w:left="0"/>
        <w:rPr>
          <w:i/>
          <w:sz w:val="28"/>
          <w:szCs w:val="28"/>
        </w:rPr>
      </w:pPr>
    </w:p>
    <w:p w14:paraId="5CE23F2E" w14:textId="37FB30EF" w:rsidR="00812D70" w:rsidRDefault="00812D70" w:rsidP="00DA2390">
      <w:pPr>
        <w:pStyle w:val="ListParagraph"/>
        <w:numPr>
          <w:ilvl w:val="0"/>
          <w:numId w:val="10"/>
        </w:numPr>
        <w:spacing w:line="360" w:lineRule="auto"/>
        <w:ind w:left="1080" w:hanging="900"/>
        <w:jc w:val="both"/>
        <w:rPr>
          <w:rFonts w:cs="Times New Roman"/>
          <w:sz w:val="28"/>
          <w:szCs w:val="28"/>
          <w:lang w:val="en-AU"/>
        </w:rPr>
      </w:pPr>
      <w:r>
        <w:rPr>
          <w:sz w:val="28"/>
          <w:szCs w:val="28"/>
        </w:rPr>
        <w:t xml:space="preserve"> </w:t>
      </w:r>
      <w:r w:rsidRPr="00B73789">
        <w:rPr>
          <w:rFonts w:cs="Times New Roman"/>
          <w:sz w:val="28"/>
          <w:szCs w:val="28"/>
          <w:lang w:val="en-AU"/>
        </w:rPr>
        <w:t xml:space="preserve">The right to an adequate standard of living comprises rights to food, clothing, water and housing. As discussed above </w:t>
      </w:r>
      <w:r w:rsidR="00B3215F">
        <w:rPr>
          <w:rFonts w:cs="Times New Roman"/>
          <w:sz w:val="28"/>
          <w:szCs w:val="28"/>
          <w:lang w:val="en-AU"/>
        </w:rPr>
        <w:t xml:space="preserve">in the introductory </w:t>
      </w:r>
      <w:r w:rsidRPr="00B73789">
        <w:rPr>
          <w:rFonts w:cs="Times New Roman"/>
          <w:sz w:val="28"/>
          <w:szCs w:val="28"/>
          <w:lang w:val="en-AU"/>
        </w:rPr>
        <w:t>paragraph</w:t>
      </w:r>
      <w:r w:rsidR="00B3215F" w:rsidRPr="00FC17F1">
        <w:rPr>
          <w:rFonts w:cs="Times New Roman"/>
          <w:sz w:val="28"/>
          <w:szCs w:val="28"/>
          <w:lang w:val="en-AU"/>
        </w:rPr>
        <w:t>s</w:t>
      </w:r>
      <w:r w:rsidRPr="00B3215F">
        <w:rPr>
          <w:rFonts w:cs="Times New Roman"/>
          <w:sz w:val="28"/>
          <w:szCs w:val="28"/>
          <w:lang w:val="en-AU"/>
        </w:rPr>
        <w:t xml:space="preserve">, </w:t>
      </w:r>
      <w:r w:rsidRPr="00B73789">
        <w:rPr>
          <w:rFonts w:cs="Times New Roman"/>
          <w:sz w:val="28"/>
          <w:szCs w:val="28"/>
          <w:lang w:val="en-AU"/>
        </w:rPr>
        <w:t>none of these rights are protected by constitutional or direct legislative incorporation in New Zealand law.</w:t>
      </w:r>
    </w:p>
    <w:p w14:paraId="50BABC0B" w14:textId="77777777" w:rsidR="00592151" w:rsidRDefault="00592151" w:rsidP="00FC17F1">
      <w:pPr>
        <w:pStyle w:val="ListParagraph"/>
        <w:spacing w:line="360" w:lineRule="auto"/>
        <w:ind w:left="780"/>
        <w:jc w:val="both"/>
        <w:rPr>
          <w:rFonts w:cs="Times New Roman"/>
          <w:sz w:val="28"/>
          <w:szCs w:val="28"/>
          <w:lang w:val="en-AU"/>
        </w:rPr>
      </w:pPr>
    </w:p>
    <w:p w14:paraId="1E39A8EC" w14:textId="6C236EB0" w:rsidR="00592151" w:rsidRDefault="00592151" w:rsidP="00DA2390">
      <w:pPr>
        <w:pStyle w:val="BodyTextIndent"/>
        <w:numPr>
          <w:ilvl w:val="0"/>
          <w:numId w:val="10"/>
        </w:numPr>
        <w:spacing w:line="360" w:lineRule="auto"/>
        <w:ind w:left="1080" w:hanging="900"/>
        <w:rPr>
          <w:sz w:val="28"/>
          <w:szCs w:val="28"/>
        </w:rPr>
      </w:pPr>
      <w:r>
        <w:rPr>
          <w:sz w:val="28"/>
          <w:szCs w:val="28"/>
        </w:rPr>
        <w:lastRenderedPageBreak/>
        <w:t xml:space="preserve"> </w:t>
      </w:r>
      <w:r w:rsidRPr="00C37B4D">
        <w:rPr>
          <w:sz w:val="28"/>
          <w:szCs w:val="28"/>
        </w:rPr>
        <w:t xml:space="preserve">As the HRF noted in its LOIPR report, New Zealand does not have the levels of absolute </w:t>
      </w:r>
      <w:r w:rsidR="003F2110" w:rsidRPr="00C37B4D">
        <w:rPr>
          <w:sz w:val="28"/>
          <w:szCs w:val="28"/>
        </w:rPr>
        <w:t>poverty that are</w:t>
      </w:r>
      <w:r w:rsidRPr="00C37B4D">
        <w:rPr>
          <w:sz w:val="28"/>
          <w:szCs w:val="28"/>
        </w:rPr>
        <w:t xml:space="preserve"> experienced elsewhere. Nevertheless, there is general agreement on the existence here of relative poverty.</w:t>
      </w:r>
    </w:p>
    <w:p w14:paraId="18912CB1" w14:textId="77777777" w:rsidR="00554A12" w:rsidRDefault="00554A12" w:rsidP="00FC17F1">
      <w:pPr>
        <w:pStyle w:val="ListParagraph"/>
        <w:jc w:val="both"/>
        <w:rPr>
          <w:sz w:val="28"/>
          <w:szCs w:val="28"/>
        </w:rPr>
      </w:pPr>
    </w:p>
    <w:p w14:paraId="0C078BF7" w14:textId="7F5D2624" w:rsidR="00554A12" w:rsidRDefault="00554A12" w:rsidP="00DA2390">
      <w:pPr>
        <w:pStyle w:val="BodyTextIndent"/>
        <w:numPr>
          <w:ilvl w:val="0"/>
          <w:numId w:val="10"/>
        </w:numPr>
        <w:spacing w:line="360" w:lineRule="auto"/>
        <w:ind w:left="1080" w:hanging="900"/>
        <w:rPr>
          <w:sz w:val="28"/>
          <w:szCs w:val="28"/>
        </w:rPr>
      </w:pPr>
      <w:r>
        <w:rPr>
          <w:sz w:val="28"/>
          <w:szCs w:val="28"/>
        </w:rPr>
        <w:t xml:space="preserve"> </w:t>
      </w:r>
      <w:r w:rsidRPr="00000C93">
        <w:rPr>
          <w:sz w:val="28"/>
          <w:szCs w:val="28"/>
        </w:rPr>
        <w:t>An issue of major concern is the increased and increasing level of inequality in New Zealand, stemming from the market-oriented employment and benefit reforms of the 1980s and early 1990s. This inequality gap has a major effect on the enjoyment of the component rights of an adequate standard of living, particularly for those on low wages or on benefits. The issue of “the working poor” remains an issue for New Zealand, as it does for most other OECD countries.</w:t>
      </w:r>
      <w:r w:rsidRPr="008E1953">
        <w:rPr>
          <w:vertAlign w:val="superscript"/>
        </w:rPr>
        <w:footnoteReference w:id="89"/>
      </w:r>
    </w:p>
    <w:p w14:paraId="0D882A4C" w14:textId="77777777" w:rsidR="00554A12" w:rsidRDefault="00554A12" w:rsidP="00FC17F1">
      <w:pPr>
        <w:pStyle w:val="ListParagraph"/>
        <w:jc w:val="both"/>
        <w:rPr>
          <w:sz w:val="28"/>
          <w:szCs w:val="28"/>
        </w:rPr>
      </w:pPr>
    </w:p>
    <w:p w14:paraId="2C709F7D" w14:textId="77777777" w:rsidR="00554A12" w:rsidRDefault="00554A12" w:rsidP="00DA2390">
      <w:pPr>
        <w:pStyle w:val="BodyTextIndent"/>
        <w:numPr>
          <w:ilvl w:val="0"/>
          <w:numId w:val="10"/>
        </w:numPr>
        <w:spacing w:line="360" w:lineRule="auto"/>
        <w:ind w:left="1080" w:hanging="900"/>
        <w:rPr>
          <w:sz w:val="28"/>
          <w:szCs w:val="28"/>
        </w:rPr>
      </w:pPr>
      <w:r>
        <w:rPr>
          <w:sz w:val="28"/>
          <w:szCs w:val="28"/>
        </w:rPr>
        <w:t xml:space="preserve"> </w:t>
      </w:r>
      <w:r w:rsidRPr="00554A12">
        <w:rPr>
          <w:sz w:val="28"/>
          <w:szCs w:val="28"/>
        </w:rPr>
        <w:t>Successive governments have made some attempt at alleviation of hardship for lower income families, notably through the introduction in 2007 of a family assistance policy, “Working For Families”. However, this programme assists only those families in work, not those on a benefit. The Child Poverty Action Group (CPAG) has challenged this aspect in the courts as discriminatory on the ground of employment status, which is prohibited under the Human Rights Act 1993.</w:t>
      </w:r>
    </w:p>
    <w:p w14:paraId="097E2D08" w14:textId="77777777" w:rsidR="00554A12" w:rsidRDefault="00554A12" w:rsidP="00FC17F1">
      <w:pPr>
        <w:pStyle w:val="ListParagraph"/>
        <w:jc w:val="both"/>
        <w:rPr>
          <w:sz w:val="28"/>
          <w:szCs w:val="28"/>
        </w:rPr>
      </w:pPr>
    </w:p>
    <w:p w14:paraId="01D5FE01" w14:textId="2ABDC4F4" w:rsidR="00554A12" w:rsidRPr="00554A12" w:rsidRDefault="00554A12" w:rsidP="00DA2390">
      <w:pPr>
        <w:pStyle w:val="BodyTextIndent"/>
        <w:numPr>
          <w:ilvl w:val="0"/>
          <w:numId w:val="10"/>
        </w:numPr>
        <w:spacing w:line="360" w:lineRule="auto"/>
        <w:ind w:left="1080" w:hanging="900"/>
        <w:rPr>
          <w:sz w:val="28"/>
          <w:szCs w:val="28"/>
        </w:rPr>
      </w:pPr>
      <w:r w:rsidRPr="00554A12">
        <w:rPr>
          <w:sz w:val="28"/>
          <w:szCs w:val="28"/>
        </w:rPr>
        <w:t xml:space="preserve">Social security legislation that focuses on ‘work readiness’ of parents and caregivers and fails to incorporate the fundamental principles of non-discrimination and the best interests of the child is a major obstacle to improving the child’s right to an adequate standard of living.  The Office for the Commissioner for Children has engaged in research to secure better outcomes for children living in poverty in </w:t>
      </w:r>
      <w:r w:rsidRPr="00554A12">
        <w:rPr>
          <w:sz w:val="28"/>
          <w:szCs w:val="28"/>
        </w:rPr>
        <w:lastRenderedPageBreak/>
        <w:t>Aotearoa New Zealand and such research – in terms of its methodology that includes extensive consultation with children and young people – as well as its findings is to be considered as current best practice.</w:t>
      </w:r>
    </w:p>
    <w:p w14:paraId="68E914F6" w14:textId="77777777" w:rsidR="00812D70" w:rsidRDefault="00812D70" w:rsidP="00FC17F1">
      <w:pPr>
        <w:pStyle w:val="BodyTextIndent"/>
        <w:spacing w:line="360" w:lineRule="auto"/>
        <w:ind w:left="0"/>
        <w:rPr>
          <w:sz w:val="28"/>
          <w:szCs w:val="28"/>
        </w:rPr>
      </w:pPr>
    </w:p>
    <w:p w14:paraId="5541D9FD" w14:textId="3725F852" w:rsidR="00015170" w:rsidRPr="00C37B4D" w:rsidRDefault="00812D70" w:rsidP="00FC17F1">
      <w:pPr>
        <w:jc w:val="both"/>
        <w:rPr>
          <w:lang w:val="en-AU"/>
        </w:rPr>
      </w:pPr>
      <w:r w:rsidRPr="00FC17F1">
        <w:rPr>
          <w:rFonts w:cs="Times New Roman"/>
          <w:sz w:val="28"/>
          <w:szCs w:val="28"/>
        </w:rPr>
        <w:t xml:space="preserve"> </w:t>
      </w:r>
    </w:p>
    <w:p w14:paraId="78382F07" w14:textId="1FE03D0C" w:rsidR="00015170" w:rsidRPr="00C37B4D" w:rsidRDefault="00812D70" w:rsidP="00DA2390">
      <w:pPr>
        <w:pStyle w:val="BodyTextIndent"/>
        <w:numPr>
          <w:ilvl w:val="0"/>
          <w:numId w:val="10"/>
        </w:numPr>
        <w:spacing w:line="360" w:lineRule="auto"/>
        <w:ind w:left="1080" w:hanging="810"/>
        <w:rPr>
          <w:sz w:val="28"/>
          <w:szCs w:val="28"/>
        </w:rPr>
      </w:pPr>
      <w:r>
        <w:rPr>
          <w:sz w:val="28"/>
          <w:szCs w:val="28"/>
        </w:rPr>
        <w:t xml:space="preserve"> </w:t>
      </w:r>
      <w:r w:rsidR="00015170" w:rsidRPr="00C37B4D">
        <w:rPr>
          <w:sz w:val="28"/>
          <w:szCs w:val="28"/>
        </w:rPr>
        <w:t>Concern about the level of child poverty in New Zealand was raised by the HRF in its 2012 report and in the Committee’s 2012 Concluding Observations. It remains a matter of concern to a wide range of NGOs and others in New Zealand, including the Children’s Commissioner and the Child Poverty Action Group (CPAG)</w:t>
      </w:r>
      <w:r w:rsidR="00CD73A1">
        <w:rPr>
          <w:sz w:val="28"/>
          <w:szCs w:val="28"/>
        </w:rPr>
        <w:t xml:space="preserve"> (see below).</w:t>
      </w:r>
    </w:p>
    <w:p w14:paraId="40D8195C" w14:textId="7463C247" w:rsidR="00FB4B8C" w:rsidRPr="00C37B4D" w:rsidRDefault="00FB4B8C" w:rsidP="00FC17F1">
      <w:pPr>
        <w:pStyle w:val="BodyTextIndent"/>
        <w:spacing w:line="360" w:lineRule="auto"/>
        <w:ind w:left="0"/>
        <w:rPr>
          <w:i/>
          <w:sz w:val="28"/>
          <w:szCs w:val="28"/>
        </w:rPr>
      </w:pPr>
    </w:p>
    <w:p w14:paraId="3221262A" w14:textId="7892BFE9" w:rsidR="00FB4B8C" w:rsidRDefault="00FB4B8C" w:rsidP="00DA2390">
      <w:pPr>
        <w:pStyle w:val="BodyTextIndent"/>
        <w:numPr>
          <w:ilvl w:val="0"/>
          <w:numId w:val="10"/>
        </w:numPr>
        <w:spacing w:line="360" w:lineRule="auto"/>
        <w:ind w:left="1080" w:hanging="810"/>
        <w:rPr>
          <w:sz w:val="28"/>
          <w:szCs w:val="28"/>
        </w:rPr>
      </w:pPr>
      <w:r w:rsidRPr="00FC17F1">
        <w:rPr>
          <w:sz w:val="28"/>
          <w:szCs w:val="28"/>
        </w:rPr>
        <w:t>The new Government has made poverty alleviation and eradication a central plank of its polic</w:t>
      </w:r>
      <w:r w:rsidRPr="00C37B4D">
        <w:rPr>
          <w:sz w:val="28"/>
          <w:szCs w:val="28"/>
        </w:rPr>
        <w:t>ies</w:t>
      </w:r>
      <w:r w:rsidR="009B059A">
        <w:rPr>
          <w:sz w:val="28"/>
          <w:szCs w:val="28"/>
        </w:rPr>
        <w:t>, with the Prime Minister taking on a leadership role. In January 2018, as part of its first 100 days programme, the Government introduced comprehensive new child poverty legislation.</w:t>
      </w:r>
      <w:r w:rsidR="009B059A">
        <w:rPr>
          <w:rStyle w:val="FootnoteReference"/>
          <w:sz w:val="28"/>
          <w:szCs w:val="28"/>
        </w:rPr>
        <w:footnoteReference w:id="90"/>
      </w:r>
    </w:p>
    <w:p w14:paraId="24736DA2" w14:textId="77777777" w:rsidR="00C3449B" w:rsidRDefault="00C3449B" w:rsidP="00FC17F1">
      <w:pPr>
        <w:pStyle w:val="ListParagraph"/>
        <w:jc w:val="both"/>
        <w:rPr>
          <w:sz w:val="28"/>
          <w:szCs w:val="28"/>
        </w:rPr>
      </w:pPr>
    </w:p>
    <w:p w14:paraId="1C91ABC2" w14:textId="60038E12" w:rsidR="00C3449B" w:rsidRDefault="00C3449B" w:rsidP="00FC17F1">
      <w:pPr>
        <w:pStyle w:val="BodyTextIndent"/>
        <w:spacing w:line="360" w:lineRule="auto"/>
        <w:ind w:left="0"/>
        <w:rPr>
          <w:b/>
          <w:sz w:val="28"/>
          <w:szCs w:val="28"/>
        </w:rPr>
      </w:pPr>
      <w:r w:rsidRPr="00FC17F1">
        <w:rPr>
          <w:b/>
          <w:sz w:val="28"/>
          <w:szCs w:val="28"/>
        </w:rPr>
        <w:t>Recommendations</w:t>
      </w:r>
    </w:p>
    <w:p w14:paraId="58BDA57C" w14:textId="77777777" w:rsidR="00554A12" w:rsidRDefault="00C3449B" w:rsidP="00DA2390">
      <w:pPr>
        <w:pStyle w:val="BodyTextIndent"/>
        <w:numPr>
          <w:ilvl w:val="0"/>
          <w:numId w:val="10"/>
        </w:numPr>
        <w:tabs>
          <w:tab w:val="left" w:pos="1080"/>
        </w:tabs>
        <w:spacing w:line="360" w:lineRule="auto"/>
        <w:ind w:left="900" w:hanging="630"/>
        <w:rPr>
          <w:b/>
          <w:sz w:val="28"/>
          <w:szCs w:val="28"/>
        </w:rPr>
      </w:pPr>
      <w:r>
        <w:rPr>
          <w:b/>
          <w:sz w:val="28"/>
          <w:szCs w:val="28"/>
        </w:rPr>
        <w:t xml:space="preserve">The HRF recommends: </w:t>
      </w:r>
    </w:p>
    <w:p w14:paraId="036E2ADA" w14:textId="30D94395" w:rsidR="00C3449B" w:rsidRDefault="00C3449B" w:rsidP="00DA2390">
      <w:pPr>
        <w:pStyle w:val="BodyTextIndent"/>
        <w:numPr>
          <w:ilvl w:val="1"/>
          <w:numId w:val="10"/>
        </w:numPr>
        <w:tabs>
          <w:tab w:val="left" w:pos="1080"/>
        </w:tabs>
        <w:spacing w:line="360" w:lineRule="auto"/>
        <w:ind w:left="1710"/>
        <w:rPr>
          <w:b/>
          <w:sz w:val="28"/>
          <w:szCs w:val="28"/>
        </w:rPr>
      </w:pPr>
      <w:r>
        <w:rPr>
          <w:b/>
          <w:sz w:val="28"/>
          <w:szCs w:val="28"/>
        </w:rPr>
        <w:t>that the Committee recommend that the Government take note of  reports of the Office of the Commissioner for Children</w:t>
      </w:r>
      <w:r w:rsidR="00C01269">
        <w:rPr>
          <w:b/>
          <w:sz w:val="28"/>
          <w:szCs w:val="28"/>
        </w:rPr>
        <w:t>, CPAG and the Salvation Army;</w:t>
      </w:r>
    </w:p>
    <w:p w14:paraId="562E1D0A" w14:textId="1A028160" w:rsidR="00C3449B" w:rsidRPr="00FC17F1" w:rsidRDefault="00C3449B" w:rsidP="00DA2390">
      <w:pPr>
        <w:pStyle w:val="BodyTextIndent"/>
        <w:numPr>
          <w:ilvl w:val="1"/>
          <w:numId w:val="10"/>
        </w:numPr>
        <w:spacing w:line="360" w:lineRule="auto"/>
        <w:ind w:left="1710"/>
        <w:rPr>
          <w:b/>
          <w:sz w:val="28"/>
          <w:szCs w:val="28"/>
        </w:rPr>
      </w:pPr>
      <w:r>
        <w:rPr>
          <w:b/>
          <w:sz w:val="28"/>
          <w:szCs w:val="28"/>
        </w:rPr>
        <w:t>that the Committee ask f</w:t>
      </w:r>
      <w:r w:rsidR="00C01269">
        <w:rPr>
          <w:b/>
          <w:sz w:val="28"/>
          <w:szCs w:val="28"/>
        </w:rPr>
        <w:t>or</w:t>
      </w:r>
      <w:r>
        <w:rPr>
          <w:b/>
          <w:sz w:val="28"/>
          <w:szCs w:val="28"/>
        </w:rPr>
        <w:t xml:space="preserve"> an interim report on the progress of the Government’s </w:t>
      </w:r>
      <w:r w:rsidR="00C01269">
        <w:rPr>
          <w:b/>
          <w:sz w:val="28"/>
          <w:szCs w:val="28"/>
        </w:rPr>
        <w:t>initiatives to address child poverty and growing inequality in New Zealand</w:t>
      </w:r>
    </w:p>
    <w:p w14:paraId="4BE7E7F1" w14:textId="77777777" w:rsidR="00E86961" w:rsidRDefault="00E86961" w:rsidP="00FC17F1">
      <w:pPr>
        <w:pStyle w:val="ListParagraph"/>
        <w:jc w:val="both"/>
        <w:rPr>
          <w:sz w:val="28"/>
          <w:szCs w:val="28"/>
        </w:rPr>
      </w:pPr>
    </w:p>
    <w:p w14:paraId="00A8AED2" w14:textId="2DF461CF" w:rsidR="002E0EC9" w:rsidRPr="00FC17F1" w:rsidRDefault="00C01269" w:rsidP="00FC17F1">
      <w:pPr>
        <w:pStyle w:val="BodyTextIndent"/>
        <w:tabs>
          <w:tab w:val="left" w:pos="900"/>
          <w:tab w:val="left" w:pos="990"/>
        </w:tabs>
        <w:spacing w:line="360" w:lineRule="auto"/>
        <w:ind w:left="900"/>
        <w:rPr>
          <w:b/>
          <w:sz w:val="28"/>
          <w:szCs w:val="28"/>
        </w:rPr>
      </w:pPr>
      <w:r w:rsidRPr="00FC17F1">
        <w:rPr>
          <w:b/>
          <w:sz w:val="28"/>
          <w:szCs w:val="28"/>
        </w:rPr>
        <w:lastRenderedPageBreak/>
        <w:t>The HRF also endorses</w:t>
      </w:r>
      <w:r w:rsidR="00812D70" w:rsidRPr="00FC17F1">
        <w:rPr>
          <w:b/>
          <w:sz w:val="28"/>
          <w:szCs w:val="28"/>
        </w:rPr>
        <w:t xml:space="preserve"> the report </w:t>
      </w:r>
      <w:r w:rsidR="00CD73A1" w:rsidRPr="00FC17F1">
        <w:rPr>
          <w:b/>
          <w:sz w:val="28"/>
          <w:szCs w:val="28"/>
        </w:rPr>
        <w:t xml:space="preserve">and recommendations </w:t>
      </w:r>
      <w:r w:rsidR="00812D70" w:rsidRPr="00FC17F1">
        <w:rPr>
          <w:b/>
          <w:sz w:val="28"/>
          <w:szCs w:val="28"/>
        </w:rPr>
        <w:t xml:space="preserve">of </w:t>
      </w:r>
      <w:r w:rsidR="00844284" w:rsidRPr="00FC17F1">
        <w:rPr>
          <w:b/>
          <w:sz w:val="28"/>
          <w:szCs w:val="28"/>
        </w:rPr>
        <w:t>CPAG</w:t>
      </w:r>
      <w:r w:rsidR="009B059A" w:rsidRPr="00FC17F1">
        <w:rPr>
          <w:b/>
          <w:sz w:val="28"/>
          <w:szCs w:val="28"/>
        </w:rPr>
        <w:t>/ACYA at p</w:t>
      </w:r>
      <w:r w:rsidR="00094E98" w:rsidRPr="00FC17F1">
        <w:rPr>
          <w:b/>
          <w:sz w:val="28"/>
          <w:szCs w:val="28"/>
        </w:rPr>
        <w:t>p.3 and 9</w:t>
      </w:r>
      <w:r w:rsidR="00AD38D2">
        <w:rPr>
          <w:b/>
          <w:sz w:val="28"/>
          <w:szCs w:val="28"/>
        </w:rPr>
        <w:t xml:space="preserve"> and the CTU </w:t>
      </w:r>
      <w:r w:rsidR="003331B7">
        <w:rPr>
          <w:b/>
          <w:sz w:val="28"/>
          <w:szCs w:val="28"/>
        </w:rPr>
        <w:t>in paragraphs 9.2-9.8 and 9.12-9.16</w:t>
      </w:r>
    </w:p>
    <w:p w14:paraId="6837BAE6" w14:textId="77777777" w:rsidR="002E0EC9" w:rsidRPr="00FC17F1" w:rsidRDefault="002E0EC9" w:rsidP="00FC17F1">
      <w:pPr>
        <w:pStyle w:val="BodyTextIndent"/>
        <w:spacing w:line="360" w:lineRule="auto"/>
        <w:ind w:left="0"/>
        <w:rPr>
          <w:color w:val="FF0000"/>
          <w:sz w:val="28"/>
          <w:szCs w:val="28"/>
        </w:rPr>
      </w:pPr>
    </w:p>
    <w:p w14:paraId="67CE7E40" w14:textId="5AA99D66" w:rsidR="00FD22D1" w:rsidRPr="00FC17F1" w:rsidRDefault="00FE152C" w:rsidP="00FC17F1">
      <w:pPr>
        <w:pStyle w:val="BodyTextIndent"/>
        <w:spacing w:line="360" w:lineRule="auto"/>
        <w:ind w:left="0"/>
        <w:rPr>
          <w:i/>
          <w:sz w:val="28"/>
          <w:szCs w:val="28"/>
        </w:rPr>
      </w:pPr>
      <w:r>
        <w:rPr>
          <w:i/>
          <w:sz w:val="28"/>
          <w:szCs w:val="28"/>
        </w:rPr>
        <w:t xml:space="preserve">Question </w:t>
      </w:r>
      <w:r w:rsidR="00844284" w:rsidRPr="00FC17F1">
        <w:rPr>
          <w:i/>
          <w:sz w:val="28"/>
          <w:szCs w:val="28"/>
        </w:rPr>
        <w:t>2</w:t>
      </w:r>
      <w:r w:rsidR="004337EB" w:rsidRPr="00FC17F1">
        <w:rPr>
          <w:i/>
          <w:sz w:val="28"/>
          <w:szCs w:val="28"/>
        </w:rPr>
        <w:t>0:</w:t>
      </w:r>
      <w:r w:rsidR="00844284" w:rsidRPr="00FC17F1">
        <w:rPr>
          <w:i/>
          <w:sz w:val="28"/>
          <w:szCs w:val="28"/>
        </w:rPr>
        <w:t xml:space="preserve"> </w:t>
      </w:r>
      <w:r w:rsidR="00FD22D1" w:rsidRPr="00FC17F1">
        <w:rPr>
          <w:i/>
          <w:sz w:val="28"/>
          <w:szCs w:val="28"/>
        </w:rPr>
        <w:t>Please provide information on measures taken to respond to the reported increase in the number of families resorting to food banks.</w:t>
      </w:r>
    </w:p>
    <w:p w14:paraId="2D61C7C7" w14:textId="77777777" w:rsidR="00AE6D16" w:rsidRPr="00FC17F1" w:rsidRDefault="00AE6D16" w:rsidP="00FC17F1">
      <w:pPr>
        <w:pStyle w:val="BodyTextIndent"/>
        <w:spacing w:line="360" w:lineRule="auto"/>
        <w:ind w:left="0"/>
        <w:rPr>
          <w:i/>
          <w:sz w:val="28"/>
          <w:szCs w:val="28"/>
        </w:rPr>
      </w:pPr>
    </w:p>
    <w:p w14:paraId="27394FF8" w14:textId="16F90949" w:rsidR="0037021F" w:rsidRPr="00FC17F1" w:rsidRDefault="00015170" w:rsidP="00FC17F1">
      <w:pPr>
        <w:spacing w:line="360" w:lineRule="auto"/>
        <w:jc w:val="both"/>
        <w:rPr>
          <w:rFonts w:cs="Times New Roman"/>
          <w:b/>
          <w:sz w:val="28"/>
          <w:szCs w:val="28"/>
          <w:lang w:val="en-AU"/>
        </w:rPr>
      </w:pPr>
      <w:r w:rsidRPr="00FC17F1">
        <w:rPr>
          <w:rFonts w:cs="Times New Roman"/>
          <w:b/>
          <w:sz w:val="28"/>
          <w:szCs w:val="28"/>
          <w:lang w:val="en-AU"/>
        </w:rPr>
        <w:t xml:space="preserve">Article 11: the </w:t>
      </w:r>
      <w:r w:rsidR="00CD73A1">
        <w:rPr>
          <w:rFonts w:cs="Times New Roman"/>
          <w:b/>
          <w:sz w:val="28"/>
          <w:szCs w:val="28"/>
          <w:lang w:val="en-AU"/>
        </w:rPr>
        <w:t>R</w:t>
      </w:r>
      <w:r w:rsidRPr="00FC17F1">
        <w:rPr>
          <w:rFonts w:cs="Times New Roman"/>
          <w:b/>
          <w:sz w:val="28"/>
          <w:szCs w:val="28"/>
          <w:lang w:val="en-AU"/>
        </w:rPr>
        <w:t xml:space="preserve">ight to an </w:t>
      </w:r>
      <w:r w:rsidR="00CD73A1">
        <w:rPr>
          <w:rFonts w:cs="Times New Roman"/>
          <w:b/>
          <w:sz w:val="28"/>
          <w:szCs w:val="28"/>
          <w:lang w:val="en-AU"/>
        </w:rPr>
        <w:t>A</w:t>
      </w:r>
      <w:r w:rsidRPr="00FC17F1">
        <w:rPr>
          <w:rFonts w:cs="Times New Roman"/>
          <w:b/>
          <w:sz w:val="28"/>
          <w:szCs w:val="28"/>
          <w:lang w:val="en-AU"/>
        </w:rPr>
        <w:t xml:space="preserve">dequate </w:t>
      </w:r>
      <w:r w:rsidR="00CD73A1">
        <w:rPr>
          <w:rFonts w:cs="Times New Roman"/>
          <w:b/>
          <w:sz w:val="28"/>
          <w:szCs w:val="28"/>
          <w:lang w:val="en-AU"/>
        </w:rPr>
        <w:t>S</w:t>
      </w:r>
      <w:r w:rsidRPr="00FC17F1">
        <w:rPr>
          <w:rFonts w:cs="Times New Roman"/>
          <w:b/>
          <w:sz w:val="28"/>
          <w:szCs w:val="28"/>
          <w:lang w:val="en-AU"/>
        </w:rPr>
        <w:t xml:space="preserve">tandard of </w:t>
      </w:r>
      <w:r w:rsidR="00CD73A1">
        <w:rPr>
          <w:rFonts w:cs="Times New Roman"/>
          <w:b/>
          <w:sz w:val="28"/>
          <w:szCs w:val="28"/>
          <w:lang w:val="en-AU"/>
        </w:rPr>
        <w:t>L</w:t>
      </w:r>
      <w:r w:rsidRPr="00FC17F1">
        <w:rPr>
          <w:rFonts w:cs="Times New Roman"/>
          <w:b/>
          <w:sz w:val="28"/>
          <w:szCs w:val="28"/>
          <w:lang w:val="en-AU"/>
        </w:rPr>
        <w:t>iving: t</w:t>
      </w:r>
      <w:r w:rsidR="0037021F" w:rsidRPr="00FC17F1">
        <w:rPr>
          <w:rFonts w:cs="Times New Roman"/>
          <w:b/>
          <w:sz w:val="28"/>
          <w:szCs w:val="28"/>
          <w:lang w:val="en-AU"/>
        </w:rPr>
        <w:t xml:space="preserve">he </w:t>
      </w:r>
      <w:r w:rsidR="00CD73A1">
        <w:rPr>
          <w:rFonts w:cs="Times New Roman"/>
          <w:b/>
          <w:sz w:val="28"/>
          <w:szCs w:val="28"/>
          <w:lang w:val="en-AU"/>
        </w:rPr>
        <w:t>R</w:t>
      </w:r>
      <w:r w:rsidR="0037021F" w:rsidRPr="00FC17F1">
        <w:rPr>
          <w:rFonts w:cs="Times New Roman"/>
          <w:b/>
          <w:sz w:val="28"/>
          <w:szCs w:val="28"/>
          <w:lang w:val="en-AU"/>
        </w:rPr>
        <w:t xml:space="preserve">ight to </w:t>
      </w:r>
      <w:r w:rsidR="00CD73A1">
        <w:rPr>
          <w:rFonts w:cs="Times New Roman"/>
          <w:b/>
          <w:sz w:val="28"/>
          <w:szCs w:val="28"/>
          <w:lang w:val="en-AU"/>
        </w:rPr>
        <w:t>F</w:t>
      </w:r>
      <w:r w:rsidR="0037021F" w:rsidRPr="00FC17F1">
        <w:rPr>
          <w:rFonts w:cs="Times New Roman"/>
          <w:b/>
          <w:sz w:val="28"/>
          <w:szCs w:val="28"/>
          <w:lang w:val="en-AU"/>
        </w:rPr>
        <w:t>ood</w:t>
      </w:r>
    </w:p>
    <w:p w14:paraId="5CBD9B6F" w14:textId="77777777" w:rsidR="0037021F" w:rsidRPr="00FC17F1" w:rsidRDefault="0037021F" w:rsidP="00FC17F1">
      <w:pPr>
        <w:pStyle w:val="ListParagraph"/>
        <w:spacing w:line="360" w:lineRule="auto"/>
        <w:ind w:left="1440"/>
        <w:jc w:val="both"/>
        <w:rPr>
          <w:rFonts w:cs="Times New Roman"/>
          <w:sz w:val="28"/>
          <w:szCs w:val="28"/>
          <w:lang w:val="en-AU"/>
        </w:rPr>
      </w:pPr>
      <w:r w:rsidRPr="00FC17F1">
        <w:rPr>
          <w:rFonts w:cs="Times New Roman"/>
          <w:sz w:val="28"/>
          <w:szCs w:val="28"/>
          <w:lang w:val="en-AU"/>
        </w:rPr>
        <w:t xml:space="preserve">     </w:t>
      </w:r>
    </w:p>
    <w:p w14:paraId="0D0AB252" w14:textId="6AE5F1D6" w:rsidR="004D363E" w:rsidRPr="00FC17F1" w:rsidRDefault="00554A12" w:rsidP="00DA2390">
      <w:pPr>
        <w:pStyle w:val="ListParagraph"/>
        <w:numPr>
          <w:ilvl w:val="0"/>
          <w:numId w:val="10"/>
        </w:numPr>
        <w:tabs>
          <w:tab w:val="left" w:pos="810"/>
        </w:tabs>
        <w:spacing w:line="360" w:lineRule="auto"/>
        <w:ind w:hanging="450"/>
        <w:jc w:val="both"/>
        <w:rPr>
          <w:lang w:val="en-US"/>
        </w:rPr>
      </w:pPr>
      <w:r>
        <w:rPr>
          <w:rFonts w:cs="Times New Roman"/>
          <w:sz w:val="28"/>
          <w:szCs w:val="28"/>
          <w:lang w:val="en-AU"/>
        </w:rPr>
        <w:t xml:space="preserve"> </w:t>
      </w:r>
      <w:r w:rsidR="0037021F" w:rsidRPr="00FC17F1">
        <w:rPr>
          <w:rFonts w:cs="Times New Roman"/>
          <w:sz w:val="28"/>
          <w:szCs w:val="28"/>
          <w:lang w:val="en-AU"/>
        </w:rPr>
        <w:t>As with other ESC rights, there is no constitutional or legislative protection of the right to food in New Zealand. Nor are there any statutory or judicial or quasi-judicial structures such as protect aspects of the rights to work and housing.</w:t>
      </w:r>
      <w:r w:rsidR="004D363E" w:rsidRPr="00FC17F1">
        <w:rPr>
          <w:rFonts w:cs="Times New Roman"/>
          <w:sz w:val="28"/>
          <w:szCs w:val="28"/>
          <w:lang w:val="en-AU"/>
        </w:rPr>
        <w:t xml:space="preserve"> </w:t>
      </w:r>
    </w:p>
    <w:p w14:paraId="1A9F80D5" w14:textId="127B8C8D" w:rsidR="004D363E" w:rsidRPr="00FC17F1" w:rsidRDefault="004D363E" w:rsidP="00FC17F1">
      <w:pPr>
        <w:pStyle w:val="ListParagraph"/>
        <w:spacing w:line="360" w:lineRule="auto"/>
        <w:ind w:left="360"/>
        <w:jc w:val="both"/>
        <w:rPr>
          <w:rFonts w:cs="Times New Roman"/>
          <w:sz w:val="28"/>
          <w:szCs w:val="28"/>
          <w:lang w:val="en-US"/>
        </w:rPr>
      </w:pPr>
      <w:r w:rsidRPr="00C37B4D">
        <w:rPr>
          <w:rFonts w:cs="Times New Roman"/>
          <w:sz w:val="28"/>
          <w:szCs w:val="28"/>
          <w:lang w:val="en-US"/>
        </w:rPr>
        <w:t xml:space="preserve"> </w:t>
      </w:r>
    </w:p>
    <w:p w14:paraId="20234D13" w14:textId="6C763A58" w:rsidR="000E68F4" w:rsidRPr="00FC17F1" w:rsidRDefault="004D363E" w:rsidP="00DA2390">
      <w:pPr>
        <w:pStyle w:val="ListParagraph"/>
        <w:numPr>
          <w:ilvl w:val="0"/>
          <w:numId w:val="10"/>
        </w:numPr>
        <w:spacing w:line="360" w:lineRule="auto"/>
        <w:ind w:hanging="540"/>
        <w:jc w:val="both"/>
        <w:rPr>
          <w:rFonts w:cs="Times New Roman"/>
          <w:sz w:val="28"/>
          <w:szCs w:val="28"/>
          <w:lang w:val="en-AU"/>
        </w:rPr>
      </w:pPr>
      <w:r w:rsidRPr="00FC17F1">
        <w:rPr>
          <w:rFonts w:cs="Times New Roman"/>
          <w:sz w:val="28"/>
          <w:szCs w:val="28"/>
          <w:lang w:val="en-AU"/>
        </w:rPr>
        <w:t xml:space="preserve"> </w:t>
      </w:r>
      <w:r w:rsidR="000E68F4" w:rsidRPr="00FC17F1">
        <w:rPr>
          <w:rFonts w:cs="Times New Roman"/>
          <w:sz w:val="28"/>
          <w:szCs w:val="28"/>
          <w:lang w:val="en-AU"/>
        </w:rPr>
        <w:t>As noted above</w:t>
      </w:r>
      <w:r w:rsidR="00C55E70">
        <w:rPr>
          <w:rFonts w:cs="Times New Roman"/>
          <w:sz w:val="28"/>
          <w:szCs w:val="28"/>
          <w:lang w:val="en-AU"/>
        </w:rPr>
        <w:t>,</w:t>
      </w:r>
      <w:r w:rsidR="000E68F4" w:rsidRPr="00FC17F1">
        <w:rPr>
          <w:rFonts w:cs="Times New Roman"/>
          <w:sz w:val="28"/>
          <w:szCs w:val="28"/>
          <w:lang w:val="en-AU"/>
        </w:rPr>
        <w:t xml:space="preserve"> New Zealand does not have the levels of absolute poverty or food deprivation which are experienced elsewhere. Nevertheless, there is general agreement on the existence here of relative poverty,</w:t>
      </w:r>
      <w:r w:rsidR="00015170" w:rsidRPr="00FC17F1">
        <w:rPr>
          <w:rFonts w:cs="Times New Roman"/>
          <w:sz w:val="28"/>
          <w:szCs w:val="28"/>
          <w:lang w:val="en-AU"/>
        </w:rPr>
        <w:t xml:space="preserve"> </w:t>
      </w:r>
      <w:r w:rsidR="0037021F" w:rsidRPr="00FC17F1">
        <w:rPr>
          <w:rFonts w:cs="Times New Roman"/>
          <w:sz w:val="28"/>
          <w:szCs w:val="28"/>
          <w:lang w:val="en-AU"/>
        </w:rPr>
        <w:t xml:space="preserve">which can lead to difficulty in accessing adequate food. The lack of access to adequate, sufficient, appropriate, food is particularly acute for certain disadvantaged groups, including the poor and Maori and Pacific people. For all of these the underlying issue is poverty and children are particularly affected. </w:t>
      </w:r>
    </w:p>
    <w:p w14:paraId="329AEB59" w14:textId="77777777" w:rsidR="000E68F4" w:rsidRPr="00C37B4D" w:rsidRDefault="000E68F4" w:rsidP="00FC17F1">
      <w:pPr>
        <w:pStyle w:val="ListParagraph"/>
        <w:spacing w:line="360" w:lineRule="auto"/>
        <w:ind w:left="1440"/>
        <w:jc w:val="both"/>
        <w:rPr>
          <w:rFonts w:cs="Times New Roman"/>
          <w:sz w:val="28"/>
          <w:szCs w:val="28"/>
          <w:lang w:val="en-AU"/>
        </w:rPr>
      </w:pPr>
    </w:p>
    <w:p w14:paraId="064D9FFA" w14:textId="2FBEDCE1" w:rsidR="00015170" w:rsidRPr="00FC17F1" w:rsidRDefault="007036EE" w:rsidP="00DA2390">
      <w:pPr>
        <w:pStyle w:val="ListParagraph"/>
        <w:numPr>
          <w:ilvl w:val="0"/>
          <w:numId w:val="10"/>
        </w:numPr>
        <w:spacing w:line="360" w:lineRule="auto"/>
        <w:ind w:left="900" w:hanging="630"/>
        <w:jc w:val="both"/>
        <w:rPr>
          <w:rFonts w:cs="Times New Roman"/>
          <w:sz w:val="28"/>
          <w:szCs w:val="28"/>
          <w:lang w:val="en-AU"/>
        </w:rPr>
      </w:pPr>
      <w:r>
        <w:rPr>
          <w:rFonts w:cs="Times New Roman"/>
          <w:sz w:val="28"/>
          <w:szCs w:val="28"/>
          <w:lang w:val="en-AU"/>
        </w:rPr>
        <w:t xml:space="preserve"> </w:t>
      </w:r>
      <w:r w:rsidR="00FE152C">
        <w:rPr>
          <w:rFonts w:cs="Times New Roman"/>
          <w:sz w:val="28"/>
          <w:szCs w:val="28"/>
          <w:lang w:val="en-AU"/>
        </w:rPr>
        <w:t xml:space="preserve"> </w:t>
      </w:r>
      <w:r w:rsidR="000E68F4" w:rsidRPr="00C37B4D">
        <w:rPr>
          <w:rFonts w:cs="Times New Roman"/>
          <w:sz w:val="28"/>
          <w:szCs w:val="28"/>
          <w:lang w:val="en-AU"/>
        </w:rPr>
        <w:t>The fact that many schools, often with the assistance of local companies and the Government itself, have to provide breakfast and/or lunch for a significant number of children, provides a telling example, as does the increasing call on foodbanks, as outlined in a series of policy reports over a number of years by the Salvation Army.</w:t>
      </w:r>
    </w:p>
    <w:p w14:paraId="65349A17" w14:textId="77777777" w:rsidR="00015170" w:rsidRPr="00C37B4D" w:rsidRDefault="00015170" w:rsidP="00FC17F1">
      <w:pPr>
        <w:pStyle w:val="ListParagraph"/>
        <w:spacing w:line="360" w:lineRule="auto"/>
        <w:ind w:left="1440"/>
        <w:jc w:val="both"/>
        <w:rPr>
          <w:rFonts w:cs="Times New Roman"/>
          <w:sz w:val="28"/>
          <w:szCs w:val="28"/>
          <w:lang w:val="en-AU"/>
        </w:rPr>
      </w:pPr>
    </w:p>
    <w:p w14:paraId="086DF46D" w14:textId="397E84F7" w:rsidR="000E68F4" w:rsidRPr="00FC17F1" w:rsidRDefault="00A43993" w:rsidP="00DA2390">
      <w:pPr>
        <w:pStyle w:val="ListParagraph"/>
        <w:numPr>
          <w:ilvl w:val="0"/>
          <w:numId w:val="10"/>
        </w:numPr>
        <w:tabs>
          <w:tab w:val="left" w:pos="720"/>
        </w:tabs>
        <w:spacing w:line="360" w:lineRule="auto"/>
        <w:ind w:left="900" w:hanging="630"/>
        <w:jc w:val="both"/>
        <w:rPr>
          <w:rFonts w:cs="Times New Roman"/>
          <w:sz w:val="28"/>
          <w:szCs w:val="28"/>
          <w:lang w:val="en-AU"/>
        </w:rPr>
      </w:pPr>
      <w:r>
        <w:rPr>
          <w:rFonts w:cs="Times New Roman"/>
          <w:sz w:val="28"/>
          <w:szCs w:val="28"/>
          <w:lang w:val="en-AU"/>
        </w:rPr>
        <w:lastRenderedPageBreak/>
        <w:t xml:space="preserve"> </w:t>
      </w:r>
      <w:r w:rsidR="00FE152C">
        <w:rPr>
          <w:rFonts w:cs="Times New Roman"/>
          <w:sz w:val="28"/>
          <w:szCs w:val="28"/>
          <w:lang w:val="en-AU"/>
        </w:rPr>
        <w:t xml:space="preserve"> </w:t>
      </w:r>
      <w:r w:rsidR="000E68F4" w:rsidRPr="00FC17F1">
        <w:rPr>
          <w:rFonts w:cs="Times New Roman"/>
          <w:sz w:val="28"/>
          <w:szCs w:val="28"/>
          <w:lang w:val="en-AU"/>
        </w:rPr>
        <w:t xml:space="preserve">These problems have not been lessened since the HRF raised concerns </w:t>
      </w:r>
      <w:r w:rsidR="003F2110" w:rsidRPr="00FC17F1">
        <w:rPr>
          <w:rFonts w:cs="Times New Roman"/>
          <w:sz w:val="28"/>
          <w:szCs w:val="28"/>
          <w:lang w:val="en-AU"/>
        </w:rPr>
        <w:t xml:space="preserve">in </w:t>
      </w:r>
      <w:r w:rsidR="003F2110">
        <w:rPr>
          <w:rFonts w:cs="Times New Roman"/>
          <w:sz w:val="28"/>
          <w:szCs w:val="28"/>
          <w:lang w:val="en-AU"/>
        </w:rPr>
        <w:t>its</w:t>
      </w:r>
      <w:r w:rsidR="000E68F4" w:rsidRPr="00FC17F1">
        <w:rPr>
          <w:rFonts w:cs="Times New Roman"/>
          <w:sz w:val="28"/>
          <w:szCs w:val="28"/>
          <w:lang w:val="en-AU"/>
        </w:rPr>
        <w:t xml:space="preserve"> LOIPR report. Indeed recent reports from the Auckland City Mission (ACM)</w:t>
      </w:r>
      <w:r w:rsidR="00812D70">
        <w:rPr>
          <w:rStyle w:val="FootnoteReference"/>
          <w:rFonts w:cs="Times New Roman"/>
          <w:sz w:val="28"/>
          <w:szCs w:val="28"/>
          <w:lang w:val="en-AU"/>
        </w:rPr>
        <w:footnoteReference w:id="91"/>
      </w:r>
      <w:r w:rsidR="000E68F4" w:rsidRPr="00FC17F1">
        <w:rPr>
          <w:rFonts w:cs="Times New Roman"/>
          <w:sz w:val="28"/>
          <w:szCs w:val="28"/>
          <w:lang w:val="en-AU"/>
        </w:rPr>
        <w:t xml:space="preserve"> and the Salvation Army</w:t>
      </w:r>
      <w:r w:rsidR="00812D70" w:rsidRPr="00FC17F1">
        <w:rPr>
          <w:rStyle w:val="FootnoteReference"/>
          <w:rFonts w:cs="Times New Roman"/>
          <w:sz w:val="28"/>
          <w:szCs w:val="28"/>
          <w:lang w:val="en-AU"/>
        </w:rPr>
        <w:footnoteReference w:id="92"/>
      </w:r>
      <w:r w:rsidR="000E68F4" w:rsidRPr="00FC17F1">
        <w:rPr>
          <w:rFonts w:cs="Times New Roman"/>
          <w:color w:val="FF0000"/>
          <w:sz w:val="28"/>
          <w:szCs w:val="28"/>
          <w:lang w:val="en-AU"/>
        </w:rPr>
        <w:t xml:space="preserve"> </w:t>
      </w:r>
      <w:r w:rsidR="000E68F4" w:rsidRPr="00FC17F1">
        <w:rPr>
          <w:rFonts w:cs="Times New Roman"/>
          <w:sz w:val="28"/>
          <w:szCs w:val="28"/>
          <w:lang w:val="en-AU"/>
        </w:rPr>
        <w:t xml:space="preserve">confirm that the need for foodbanks is increasing. </w:t>
      </w:r>
    </w:p>
    <w:p w14:paraId="1E7DFA82" w14:textId="77777777" w:rsidR="00094E98" w:rsidRDefault="00094E98" w:rsidP="00FC17F1">
      <w:pPr>
        <w:pStyle w:val="ListParagraph"/>
        <w:spacing w:line="360" w:lineRule="auto"/>
        <w:ind w:left="780"/>
        <w:jc w:val="both"/>
        <w:rPr>
          <w:rFonts w:cs="Times New Roman"/>
          <w:sz w:val="28"/>
          <w:szCs w:val="28"/>
          <w:lang w:val="en-AU"/>
        </w:rPr>
      </w:pPr>
    </w:p>
    <w:p w14:paraId="47260644" w14:textId="3714CE74" w:rsidR="00094E98" w:rsidRPr="00FC17F1" w:rsidRDefault="00094E98" w:rsidP="00FC17F1">
      <w:pPr>
        <w:spacing w:line="360" w:lineRule="auto"/>
        <w:ind w:left="810"/>
        <w:jc w:val="both"/>
        <w:rPr>
          <w:rFonts w:cs="Times New Roman"/>
          <w:b/>
          <w:sz w:val="28"/>
          <w:szCs w:val="28"/>
          <w:lang w:val="en-AU"/>
        </w:rPr>
      </w:pPr>
      <w:r w:rsidRPr="00FC17F1">
        <w:rPr>
          <w:rFonts w:cs="Times New Roman"/>
          <w:b/>
          <w:color w:val="FF0000"/>
          <w:sz w:val="28"/>
          <w:szCs w:val="28"/>
          <w:lang w:val="en-AU"/>
        </w:rPr>
        <w:t xml:space="preserve"> </w:t>
      </w:r>
      <w:r w:rsidR="00C01269" w:rsidRPr="00FC17F1">
        <w:rPr>
          <w:rFonts w:cs="Times New Roman"/>
          <w:b/>
          <w:sz w:val="28"/>
          <w:szCs w:val="28"/>
          <w:lang w:val="en-AU"/>
        </w:rPr>
        <w:t>The HRF</w:t>
      </w:r>
      <w:r w:rsidR="00CD73A1" w:rsidRPr="00FC17F1">
        <w:rPr>
          <w:rFonts w:cs="Times New Roman"/>
          <w:b/>
          <w:sz w:val="28"/>
          <w:szCs w:val="28"/>
          <w:lang w:val="en-AU"/>
        </w:rPr>
        <w:t xml:space="preserve"> </w:t>
      </w:r>
      <w:r w:rsidR="00C01269" w:rsidRPr="00FC17F1">
        <w:rPr>
          <w:rFonts w:cs="Times New Roman"/>
          <w:b/>
          <w:sz w:val="28"/>
          <w:szCs w:val="28"/>
          <w:lang w:val="en-AU"/>
        </w:rPr>
        <w:t xml:space="preserve">endorses </w:t>
      </w:r>
      <w:r w:rsidR="003331B7">
        <w:rPr>
          <w:rFonts w:cs="Times New Roman"/>
          <w:b/>
          <w:sz w:val="28"/>
          <w:szCs w:val="28"/>
          <w:lang w:val="en-AU"/>
        </w:rPr>
        <w:t xml:space="preserve">the </w:t>
      </w:r>
      <w:r w:rsidR="00CD73A1" w:rsidRPr="00FC17F1">
        <w:rPr>
          <w:rFonts w:cs="Times New Roman"/>
          <w:b/>
          <w:sz w:val="28"/>
          <w:szCs w:val="28"/>
          <w:lang w:val="en-AU"/>
        </w:rPr>
        <w:t xml:space="preserve">recommendations </w:t>
      </w:r>
      <w:r w:rsidRPr="00FC17F1">
        <w:rPr>
          <w:rFonts w:cs="Times New Roman"/>
          <w:b/>
          <w:sz w:val="28"/>
          <w:szCs w:val="28"/>
          <w:lang w:val="en-AU"/>
        </w:rPr>
        <w:t>of CPAG/ACYA at p 10</w:t>
      </w:r>
    </w:p>
    <w:p w14:paraId="3ED4FE13" w14:textId="77777777" w:rsidR="002E0EC9" w:rsidRPr="00FC17F1" w:rsidRDefault="002E0EC9" w:rsidP="00FC17F1">
      <w:pPr>
        <w:pStyle w:val="BodyTextIndent"/>
        <w:spacing w:line="360" w:lineRule="auto"/>
        <w:ind w:left="0"/>
        <w:rPr>
          <w:i/>
          <w:color w:val="FF0000"/>
          <w:sz w:val="28"/>
          <w:szCs w:val="28"/>
        </w:rPr>
      </w:pPr>
    </w:p>
    <w:p w14:paraId="1F0C989B" w14:textId="77777777" w:rsidR="0037021F" w:rsidRPr="00FC17F1" w:rsidRDefault="0037021F" w:rsidP="00FC17F1">
      <w:pPr>
        <w:pStyle w:val="ListParagraph"/>
        <w:spacing w:line="360" w:lineRule="auto"/>
        <w:jc w:val="both"/>
        <w:rPr>
          <w:rFonts w:cs="Times New Roman"/>
          <w:sz w:val="28"/>
          <w:szCs w:val="28"/>
          <w:lang w:val="en-AU"/>
        </w:rPr>
      </w:pPr>
    </w:p>
    <w:p w14:paraId="396FA138" w14:textId="1A34DC4B" w:rsidR="00631511" w:rsidRDefault="00FE152C" w:rsidP="00FC17F1">
      <w:pPr>
        <w:pStyle w:val="BodyTextIndent"/>
        <w:spacing w:line="360" w:lineRule="auto"/>
        <w:ind w:left="0"/>
        <w:rPr>
          <w:i/>
          <w:sz w:val="28"/>
          <w:szCs w:val="28"/>
          <w:lang w:val="en-GB"/>
        </w:rPr>
      </w:pPr>
      <w:r>
        <w:rPr>
          <w:i/>
          <w:sz w:val="28"/>
          <w:szCs w:val="28"/>
          <w:lang w:val="en-GB"/>
        </w:rPr>
        <w:t xml:space="preserve">Question </w:t>
      </w:r>
      <w:r w:rsidR="00631511" w:rsidRPr="00C37B4D">
        <w:rPr>
          <w:i/>
          <w:sz w:val="28"/>
          <w:szCs w:val="28"/>
          <w:lang w:val="en-GB"/>
        </w:rPr>
        <w:t>21</w:t>
      </w:r>
      <w:r>
        <w:rPr>
          <w:i/>
          <w:sz w:val="28"/>
          <w:szCs w:val="28"/>
          <w:lang w:val="en-GB"/>
        </w:rPr>
        <w:t>:</w:t>
      </w:r>
      <w:r w:rsidR="00631511" w:rsidRPr="00C37B4D">
        <w:rPr>
          <w:i/>
          <w:sz w:val="28"/>
          <w:szCs w:val="28"/>
          <w:lang w:val="en-GB"/>
        </w:rPr>
        <w:t xml:space="preserve"> Please provide updated information and disaggregated statistical data on the gaps in the realization of the right to adequate housing in the State party in terms of affordability, habitability and security of tenure, and on the existing challenges to decrease those gaps, in particular with reference to the long waiting list for social housing.</w:t>
      </w:r>
    </w:p>
    <w:p w14:paraId="7259B5E2" w14:textId="77777777" w:rsidR="00812D70" w:rsidRPr="00C37B4D" w:rsidRDefault="00812D70" w:rsidP="00FC17F1">
      <w:pPr>
        <w:pStyle w:val="BodyTextIndent"/>
        <w:spacing w:line="360" w:lineRule="auto"/>
        <w:ind w:left="0"/>
        <w:rPr>
          <w:i/>
          <w:sz w:val="28"/>
          <w:szCs w:val="28"/>
          <w:lang w:val="en-GB"/>
        </w:rPr>
      </w:pPr>
    </w:p>
    <w:p w14:paraId="76C1E02E" w14:textId="49C9053F" w:rsidR="00A43993" w:rsidRDefault="00CD73A1" w:rsidP="00FC17F1">
      <w:pPr>
        <w:spacing w:line="360" w:lineRule="auto"/>
        <w:jc w:val="both"/>
        <w:rPr>
          <w:rFonts w:cs="Times New Roman"/>
          <w:b/>
          <w:sz w:val="28"/>
          <w:szCs w:val="28"/>
          <w:lang w:val="en-AU"/>
        </w:rPr>
      </w:pPr>
      <w:r w:rsidRPr="00FC17F1">
        <w:rPr>
          <w:b/>
          <w:sz w:val="28"/>
          <w:szCs w:val="28"/>
        </w:rPr>
        <w:t>Article 11: the Right to an Adequate Standard of Living:</w:t>
      </w:r>
      <w:r w:rsidRPr="00FC17F1">
        <w:rPr>
          <w:sz w:val="28"/>
          <w:szCs w:val="28"/>
        </w:rPr>
        <w:t xml:space="preserve"> </w:t>
      </w:r>
      <w:r w:rsidR="00A43993">
        <w:rPr>
          <w:b/>
          <w:sz w:val="28"/>
          <w:szCs w:val="28"/>
        </w:rPr>
        <w:t>T</w:t>
      </w:r>
      <w:r w:rsidR="0037021F" w:rsidRPr="00FC17F1">
        <w:rPr>
          <w:rFonts w:cs="Times New Roman"/>
          <w:b/>
          <w:sz w:val="28"/>
          <w:szCs w:val="28"/>
          <w:lang w:val="en-AU"/>
        </w:rPr>
        <w:t xml:space="preserve">he Right to Housing </w:t>
      </w:r>
      <w:r w:rsidR="00A43993">
        <w:rPr>
          <w:rFonts w:cs="Times New Roman"/>
          <w:b/>
          <w:sz w:val="28"/>
          <w:szCs w:val="28"/>
          <w:lang w:val="en-AU"/>
        </w:rPr>
        <w:tab/>
      </w:r>
    </w:p>
    <w:p w14:paraId="519EE71C" w14:textId="46815690" w:rsidR="00A43993" w:rsidRPr="00000C93" w:rsidRDefault="00A43993" w:rsidP="00DA2390">
      <w:pPr>
        <w:pStyle w:val="ListParagraph"/>
        <w:numPr>
          <w:ilvl w:val="0"/>
          <w:numId w:val="10"/>
        </w:numPr>
        <w:spacing w:line="360" w:lineRule="auto"/>
        <w:ind w:hanging="540"/>
        <w:jc w:val="both"/>
        <w:rPr>
          <w:rFonts w:cs="Times New Roman"/>
          <w:sz w:val="28"/>
          <w:szCs w:val="28"/>
          <w:lang w:val="en-AU"/>
        </w:rPr>
      </w:pPr>
      <w:r>
        <w:rPr>
          <w:rFonts w:cs="Times New Roman"/>
          <w:sz w:val="28"/>
          <w:szCs w:val="28"/>
          <w:lang w:val="en-AU"/>
        </w:rPr>
        <w:t xml:space="preserve"> </w:t>
      </w:r>
      <w:r w:rsidRPr="00000C93">
        <w:rPr>
          <w:rFonts w:cs="Times New Roman"/>
          <w:sz w:val="28"/>
          <w:szCs w:val="28"/>
          <w:lang w:val="en-AU"/>
        </w:rPr>
        <w:t>The</w:t>
      </w:r>
      <w:r w:rsidRPr="00000C93">
        <w:rPr>
          <w:rFonts w:cs="Times New Roman"/>
          <w:sz w:val="28"/>
          <w:szCs w:val="28"/>
          <w:lang w:val="en-US"/>
        </w:rPr>
        <w:t xml:space="preserve"> right to housing,</w:t>
      </w:r>
      <w:r w:rsidR="00A365CF">
        <w:rPr>
          <w:rFonts w:cs="Times New Roman"/>
          <w:sz w:val="28"/>
          <w:szCs w:val="28"/>
          <w:lang w:val="en-US"/>
        </w:rPr>
        <w:t xml:space="preserve"> </w:t>
      </w:r>
      <w:r w:rsidRPr="00000C93">
        <w:rPr>
          <w:rFonts w:cs="Times New Roman"/>
          <w:sz w:val="28"/>
          <w:szCs w:val="28"/>
          <w:lang w:val="en-US"/>
        </w:rPr>
        <w:t>that is to housing which is secure, affordable, habitable, accessible and culturally appropriate is not specifically provided for in any New Zealand legislation.  However, as the HRF noted in its LOIPR report, a range of central government policies, laws and regulations provide certain rights and protections related to housing.</w:t>
      </w:r>
      <w:r>
        <w:rPr>
          <w:rStyle w:val="FootnoteReference"/>
          <w:rFonts w:cs="Times New Roman"/>
          <w:sz w:val="28"/>
          <w:szCs w:val="28"/>
          <w:lang w:val="en-US"/>
        </w:rPr>
        <w:footnoteReference w:id="93"/>
      </w:r>
      <w:r w:rsidRPr="00000C93">
        <w:rPr>
          <w:rFonts w:cs="Times New Roman"/>
          <w:sz w:val="28"/>
          <w:szCs w:val="28"/>
          <w:lang w:val="en-US"/>
        </w:rPr>
        <w:t xml:space="preserve"> </w:t>
      </w:r>
    </w:p>
    <w:p w14:paraId="6DED124F" w14:textId="77777777" w:rsidR="00812D70" w:rsidRPr="00FC17F1" w:rsidRDefault="00812D70" w:rsidP="00FC17F1">
      <w:pPr>
        <w:pStyle w:val="ListParagraph"/>
        <w:jc w:val="both"/>
        <w:rPr>
          <w:lang w:val="en-US"/>
        </w:rPr>
      </w:pPr>
    </w:p>
    <w:p w14:paraId="2561A1CB" w14:textId="148044AA" w:rsidR="00A43993" w:rsidRPr="00FC17F1" w:rsidRDefault="00A43993" w:rsidP="00DA2390">
      <w:pPr>
        <w:pStyle w:val="ListParagraph"/>
        <w:numPr>
          <w:ilvl w:val="0"/>
          <w:numId w:val="10"/>
        </w:numPr>
        <w:spacing w:line="360" w:lineRule="auto"/>
        <w:ind w:hanging="540"/>
        <w:jc w:val="both"/>
        <w:rPr>
          <w:rFonts w:cs="Times New Roman"/>
          <w:i/>
          <w:sz w:val="28"/>
          <w:szCs w:val="28"/>
          <w:lang w:val="en-US"/>
        </w:rPr>
      </w:pPr>
      <w:r>
        <w:rPr>
          <w:rFonts w:cs="Times New Roman"/>
          <w:bCs/>
          <w:iCs/>
          <w:sz w:val="28"/>
          <w:szCs w:val="28"/>
          <w:lang w:val="en-US"/>
        </w:rPr>
        <w:lastRenderedPageBreak/>
        <w:t xml:space="preserve"> </w:t>
      </w:r>
      <w:r w:rsidR="0037021F" w:rsidRPr="00FC17F1">
        <w:rPr>
          <w:rFonts w:cs="Times New Roman"/>
          <w:sz w:val="28"/>
          <w:szCs w:val="28"/>
          <w:lang w:val="en-US"/>
        </w:rPr>
        <w:t>None of these statutes, however, afford protection or remedy in the case of a number of serious housing issues:</w:t>
      </w:r>
      <w:r>
        <w:rPr>
          <w:rFonts w:cs="Times New Roman"/>
          <w:sz w:val="28"/>
          <w:szCs w:val="28"/>
          <w:lang w:val="en-US"/>
        </w:rPr>
        <w:t xml:space="preserve"> </w:t>
      </w:r>
      <w:r>
        <w:rPr>
          <w:rFonts w:cs="Times New Roman"/>
          <w:sz w:val="28"/>
          <w:szCs w:val="28"/>
          <w:lang w:val="en-US"/>
        </w:rPr>
        <w:tab/>
      </w:r>
    </w:p>
    <w:p w14:paraId="1BF270D1" w14:textId="17D6E582" w:rsidR="00A43993" w:rsidRDefault="00A43993" w:rsidP="00DA2390">
      <w:pPr>
        <w:pStyle w:val="ListParagraph"/>
        <w:numPr>
          <w:ilvl w:val="0"/>
          <w:numId w:val="15"/>
        </w:numPr>
        <w:spacing w:line="360" w:lineRule="auto"/>
        <w:ind w:left="1890"/>
        <w:jc w:val="both"/>
        <w:rPr>
          <w:b/>
          <w:sz w:val="28"/>
          <w:szCs w:val="28"/>
          <w:lang w:val="en-US"/>
        </w:rPr>
      </w:pPr>
      <w:r w:rsidRPr="00F54C07">
        <w:rPr>
          <w:b/>
          <w:sz w:val="28"/>
          <w:szCs w:val="28"/>
          <w:lang w:val="en-US"/>
        </w:rPr>
        <w:t>Affordability:</w:t>
      </w:r>
      <w:r w:rsidRPr="00F54C07">
        <w:rPr>
          <w:sz w:val="28"/>
          <w:szCs w:val="28"/>
          <w:lang w:val="en-US"/>
        </w:rPr>
        <w:t xml:space="preserve"> The cost of housing in many parts of New Zealand, particularly in Auckland, has made the buying or, increasingly, the renting of a home unaffordable for a great many people.</w:t>
      </w:r>
    </w:p>
    <w:p w14:paraId="59645DBF" w14:textId="77777777" w:rsidR="00421BC9" w:rsidRPr="00FC17F1" w:rsidRDefault="00421BC9" w:rsidP="00FC17F1">
      <w:pPr>
        <w:pStyle w:val="ListParagraph"/>
        <w:ind w:left="1890"/>
        <w:jc w:val="both"/>
        <w:rPr>
          <w:lang w:val="en-US"/>
        </w:rPr>
      </w:pPr>
    </w:p>
    <w:p w14:paraId="45CA736D" w14:textId="724A1D07" w:rsidR="00421BC9" w:rsidRPr="00FC17F1" w:rsidRDefault="0037021F" w:rsidP="00DA2390">
      <w:pPr>
        <w:pStyle w:val="ListParagraph"/>
        <w:numPr>
          <w:ilvl w:val="1"/>
          <w:numId w:val="8"/>
        </w:numPr>
        <w:spacing w:line="360" w:lineRule="auto"/>
        <w:ind w:left="1890"/>
        <w:jc w:val="both"/>
        <w:rPr>
          <w:sz w:val="28"/>
          <w:szCs w:val="28"/>
          <w:lang w:val="en-US"/>
        </w:rPr>
      </w:pPr>
      <w:r w:rsidRPr="00FC17F1">
        <w:rPr>
          <w:b/>
          <w:sz w:val="28"/>
          <w:szCs w:val="28"/>
          <w:lang w:val="en-US"/>
        </w:rPr>
        <w:t>Lack of social housing:</w:t>
      </w:r>
      <w:r w:rsidRPr="00FC17F1">
        <w:rPr>
          <w:i/>
          <w:sz w:val="28"/>
          <w:szCs w:val="28"/>
          <w:lang w:val="en-US"/>
        </w:rPr>
        <w:t xml:space="preserve"> </w:t>
      </w:r>
      <w:r w:rsidRPr="00FC17F1">
        <w:rPr>
          <w:sz w:val="28"/>
          <w:szCs w:val="28"/>
          <w:lang w:val="en-US"/>
        </w:rPr>
        <w:t xml:space="preserve">There is a severe shortage of social and emergency housing in many areas of New Zealand, again especially in Auckland. </w:t>
      </w:r>
      <w:r w:rsidR="00E86961">
        <w:rPr>
          <w:sz w:val="28"/>
          <w:szCs w:val="28"/>
          <w:lang w:val="en-US"/>
        </w:rPr>
        <w:t>M</w:t>
      </w:r>
      <w:r w:rsidRPr="00FC17F1">
        <w:rPr>
          <w:sz w:val="28"/>
          <w:szCs w:val="28"/>
          <w:lang w:val="en-US"/>
        </w:rPr>
        <w:t xml:space="preserve">edia reports </w:t>
      </w:r>
      <w:r w:rsidR="00E86961">
        <w:rPr>
          <w:sz w:val="28"/>
          <w:szCs w:val="28"/>
          <w:lang w:val="en-US"/>
        </w:rPr>
        <w:t xml:space="preserve">have </w:t>
      </w:r>
      <w:r w:rsidRPr="00FC17F1">
        <w:rPr>
          <w:sz w:val="28"/>
          <w:szCs w:val="28"/>
          <w:lang w:val="en-US"/>
        </w:rPr>
        <w:t>describe</w:t>
      </w:r>
      <w:r w:rsidR="00E86961">
        <w:rPr>
          <w:sz w:val="28"/>
          <w:szCs w:val="28"/>
          <w:lang w:val="en-US"/>
        </w:rPr>
        <w:t>d</w:t>
      </w:r>
      <w:r w:rsidRPr="00FC17F1">
        <w:rPr>
          <w:sz w:val="28"/>
          <w:szCs w:val="28"/>
          <w:lang w:val="en-US"/>
        </w:rPr>
        <w:t xml:space="preserve"> people, including children, who are waiting for social housing allocation, reduced to living and sleeping in cars.</w:t>
      </w:r>
    </w:p>
    <w:p w14:paraId="5B85177A" w14:textId="20488929" w:rsidR="00421BC9" w:rsidRPr="00FC17F1" w:rsidRDefault="0037021F" w:rsidP="00DA2390">
      <w:pPr>
        <w:pStyle w:val="ListParagraph"/>
        <w:numPr>
          <w:ilvl w:val="1"/>
          <w:numId w:val="8"/>
        </w:numPr>
        <w:spacing w:line="360" w:lineRule="auto"/>
        <w:ind w:left="1890"/>
        <w:jc w:val="both"/>
        <w:rPr>
          <w:i/>
          <w:sz w:val="28"/>
          <w:szCs w:val="28"/>
          <w:lang w:val="en-US"/>
        </w:rPr>
      </w:pPr>
      <w:r w:rsidRPr="00FC17F1">
        <w:rPr>
          <w:b/>
          <w:sz w:val="28"/>
          <w:szCs w:val="28"/>
          <w:lang w:val="en-US"/>
        </w:rPr>
        <w:t>Tenancy:</w:t>
      </w:r>
      <w:r w:rsidRPr="00FC17F1">
        <w:rPr>
          <w:i/>
          <w:sz w:val="28"/>
          <w:szCs w:val="28"/>
          <w:lang w:val="en-US"/>
        </w:rPr>
        <w:t xml:space="preserve"> </w:t>
      </w:r>
      <w:r w:rsidRPr="00FC17F1">
        <w:rPr>
          <w:sz w:val="28"/>
          <w:szCs w:val="28"/>
          <w:lang w:val="en-US"/>
        </w:rPr>
        <w:t>Despite the existence of tenancy protection legislation and tenancy tribunals, the lack of affordable housing and the scarcity and increasing cost of rentals</w:t>
      </w:r>
      <w:r w:rsidRPr="00FC17F1">
        <w:rPr>
          <w:i/>
          <w:sz w:val="28"/>
          <w:szCs w:val="28"/>
          <w:lang w:val="en-US"/>
        </w:rPr>
        <w:t xml:space="preserve"> </w:t>
      </w:r>
      <w:r w:rsidRPr="00FC17F1">
        <w:rPr>
          <w:sz w:val="28"/>
          <w:szCs w:val="28"/>
          <w:lang w:val="en-US"/>
        </w:rPr>
        <w:t>can provide opportunities for exploitation and lead to housing which is not fit for purpose</w:t>
      </w:r>
      <w:r w:rsidRPr="00FC17F1">
        <w:rPr>
          <w:i/>
          <w:sz w:val="28"/>
          <w:szCs w:val="28"/>
          <w:lang w:val="en-US"/>
        </w:rPr>
        <w:t>.</w:t>
      </w:r>
    </w:p>
    <w:p w14:paraId="4A70A180" w14:textId="241C80AD" w:rsidR="0037021F" w:rsidRPr="00FC17F1" w:rsidRDefault="0037021F" w:rsidP="00DA2390">
      <w:pPr>
        <w:pStyle w:val="ListParagraph"/>
        <w:numPr>
          <w:ilvl w:val="1"/>
          <w:numId w:val="8"/>
        </w:numPr>
        <w:spacing w:line="360" w:lineRule="auto"/>
        <w:ind w:left="1890"/>
        <w:jc w:val="both"/>
        <w:rPr>
          <w:sz w:val="28"/>
          <w:szCs w:val="28"/>
          <w:lang w:val="en-US"/>
        </w:rPr>
      </w:pPr>
      <w:r w:rsidRPr="00FC17F1">
        <w:rPr>
          <w:b/>
          <w:sz w:val="28"/>
          <w:szCs w:val="28"/>
          <w:lang w:val="en-US"/>
        </w:rPr>
        <w:t>Homelessness:</w:t>
      </w:r>
      <w:r w:rsidRPr="00FC17F1">
        <w:rPr>
          <w:sz w:val="28"/>
          <w:szCs w:val="28"/>
          <w:lang w:val="en-US"/>
        </w:rPr>
        <w:t xml:space="preserve"> Homelessness, in its various forms, affects a significant number of New Zealanders and is reported, by for example the Auckland City Mission and the Salvation Army, to be increasing.</w:t>
      </w:r>
      <w:r w:rsidR="00421BC9">
        <w:rPr>
          <w:sz w:val="28"/>
          <w:szCs w:val="28"/>
          <w:lang w:val="en-US"/>
        </w:rPr>
        <w:t xml:space="preserve"> A recent report commissioned by the incoming government </w:t>
      </w:r>
      <w:r w:rsidR="00383687">
        <w:rPr>
          <w:sz w:val="28"/>
          <w:szCs w:val="28"/>
          <w:lang w:val="en-US"/>
        </w:rPr>
        <w:t>confirms these findings.</w:t>
      </w:r>
      <w:r w:rsidR="00383687">
        <w:rPr>
          <w:rStyle w:val="FootnoteReference"/>
          <w:sz w:val="28"/>
          <w:szCs w:val="28"/>
          <w:lang w:val="en-US"/>
        </w:rPr>
        <w:footnoteReference w:id="94"/>
      </w:r>
      <w:r w:rsidR="00383687">
        <w:rPr>
          <w:sz w:val="28"/>
          <w:szCs w:val="28"/>
          <w:lang w:val="en-US"/>
        </w:rPr>
        <w:t xml:space="preserve"> </w:t>
      </w:r>
      <w:r w:rsidR="00421BC9">
        <w:rPr>
          <w:sz w:val="28"/>
          <w:szCs w:val="28"/>
          <w:lang w:val="en-US"/>
        </w:rPr>
        <w:t xml:space="preserve"> </w:t>
      </w:r>
    </w:p>
    <w:p w14:paraId="5DF09A8B" w14:textId="77777777" w:rsidR="0037021F" w:rsidRPr="00FC17F1" w:rsidRDefault="0037021F" w:rsidP="00FC17F1">
      <w:pPr>
        <w:pStyle w:val="ListParagraph"/>
        <w:spacing w:line="360" w:lineRule="auto"/>
        <w:ind w:left="1440"/>
        <w:jc w:val="both"/>
        <w:rPr>
          <w:rFonts w:cs="Times New Roman"/>
          <w:sz w:val="28"/>
          <w:szCs w:val="28"/>
          <w:lang w:val="en-US"/>
        </w:rPr>
      </w:pPr>
    </w:p>
    <w:p w14:paraId="44A2C178" w14:textId="19C2A7DD" w:rsidR="00421BC9" w:rsidRDefault="00421BC9" w:rsidP="00DA2390">
      <w:pPr>
        <w:pStyle w:val="ListParagraph"/>
        <w:numPr>
          <w:ilvl w:val="0"/>
          <w:numId w:val="10"/>
        </w:numPr>
        <w:tabs>
          <w:tab w:val="left" w:pos="2520"/>
        </w:tabs>
        <w:spacing w:line="360" w:lineRule="auto"/>
        <w:ind w:left="900" w:hanging="630"/>
        <w:jc w:val="both"/>
        <w:rPr>
          <w:rFonts w:cs="Times New Roman"/>
          <w:sz w:val="28"/>
          <w:szCs w:val="28"/>
          <w:lang w:val="en-US"/>
        </w:rPr>
      </w:pPr>
      <w:r>
        <w:rPr>
          <w:rFonts w:cs="Times New Roman"/>
          <w:sz w:val="28"/>
          <w:szCs w:val="28"/>
          <w:lang w:val="en-US"/>
        </w:rPr>
        <w:t xml:space="preserve"> </w:t>
      </w:r>
      <w:r w:rsidR="0037021F" w:rsidRPr="00FC17F1">
        <w:rPr>
          <w:rFonts w:cs="Times New Roman"/>
          <w:sz w:val="28"/>
          <w:szCs w:val="28"/>
          <w:lang w:val="en-US"/>
        </w:rPr>
        <w:t xml:space="preserve">All of these issues are exacerbated by the </w:t>
      </w:r>
      <w:r w:rsidR="00FB4B8C" w:rsidRPr="00FC17F1">
        <w:rPr>
          <w:rFonts w:cs="Times New Roman"/>
          <w:sz w:val="28"/>
          <w:szCs w:val="28"/>
          <w:lang w:val="en-US"/>
        </w:rPr>
        <w:t xml:space="preserve">former </w:t>
      </w:r>
      <w:r w:rsidR="0037021F" w:rsidRPr="00FC17F1">
        <w:rPr>
          <w:rFonts w:cs="Times New Roman"/>
          <w:sz w:val="28"/>
          <w:szCs w:val="28"/>
          <w:lang w:val="en-US"/>
        </w:rPr>
        <w:t>Government’s failure to devise a national action plan which might address what is regarded by many as a housing crisis in a systematic and considered manner.</w:t>
      </w:r>
      <w:r>
        <w:rPr>
          <w:rFonts w:cs="Times New Roman"/>
          <w:sz w:val="28"/>
          <w:szCs w:val="28"/>
          <w:lang w:val="en-US"/>
        </w:rPr>
        <w:t xml:space="preserve"> </w:t>
      </w:r>
      <w:r>
        <w:rPr>
          <w:rFonts w:cs="Times New Roman"/>
          <w:sz w:val="28"/>
          <w:szCs w:val="28"/>
          <w:lang w:val="en-US"/>
        </w:rPr>
        <w:tab/>
      </w:r>
    </w:p>
    <w:p w14:paraId="3E981D5E" w14:textId="77777777" w:rsidR="00421BC9" w:rsidRPr="00FC17F1" w:rsidRDefault="00421BC9" w:rsidP="00FC17F1">
      <w:pPr>
        <w:pStyle w:val="ListParagraph"/>
        <w:spacing w:line="360" w:lineRule="auto"/>
        <w:ind w:left="780"/>
        <w:jc w:val="both"/>
        <w:rPr>
          <w:rFonts w:cs="Times New Roman"/>
          <w:sz w:val="28"/>
          <w:szCs w:val="28"/>
          <w:lang w:val="en-US"/>
        </w:rPr>
      </w:pPr>
    </w:p>
    <w:p w14:paraId="32B29FD3" w14:textId="51342828" w:rsidR="00421BC9" w:rsidRDefault="00826A40" w:rsidP="00DA2390">
      <w:pPr>
        <w:pStyle w:val="ListParagraph"/>
        <w:numPr>
          <w:ilvl w:val="0"/>
          <w:numId w:val="10"/>
        </w:numPr>
        <w:spacing w:line="360" w:lineRule="auto"/>
        <w:ind w:left="900" w:hanging="630"/>
        <w:jc w:val="both"/>
        <w:rPr>
          <w:sz w:val="28"/>
          <w:szCs w:val="28"/>
          <w:lang w:val="en-AU"/>
        </w:rPr>
      </w:pPr>
      <w:r>
        <w:rPr>
          <w:rFonts w:cs="Times New Roman"/>
          <w:sz w:val="28"/>
          <w:szCs w:val="28"/>
          <w:lang w:val="en-AU"/>
        </w:rPr>
        <w:lastRenderedPageBreak/>
        <w:t xml:space="preserve"> </w:t>
      </w:r>
      <w:r w:rsidR="0037021F" w:rsidRPr="00FC17F1">
        <w:rPr>
          <w:sz w:val="28"/>
          <w:szCs w:val="28"/>
          <w:lang w:val="en-AU"/>
        </w:rPr>
        <w:t xml:space="preserve">A lack of access to secure, affordable, accessible, culturally suitable housing affects a number of disadvantaged groups in particular: the poor, those with disabilities, Maori and Pacific people. </w:t>
      </w:r>
      <w:r w:rsidR="00421BC9">
        <w:rPr>
          <w:sz w:val="28"/>
          <w:szCs w:val="28"/>
          <w:lang w:val="en-AU"/>
        </w:rPr>
        <w:t xml:space="preserve"> </w:t>
      </w:r>
      <w:r w:rsidR="00421BC9">
        <w:rPr>
          <w:sz w:val="28"/>
          <w:szCs w:val="28"/>
          <w:lang w:val="en-AU"/>
        </w:rPr>
        <w:tab/>
      </w:r>
    </w:p>
    <w:p w14:paraId="09AA3B92" w14:textId="77777777" w:rsidR="00421BC9" w:rsidRPr="00FC17F1" w:rsidRDefault="00421BC9" w:rsidP="00FC17F1">
      <w:pPr>
        <w:spacing w:line="360" w:lineRule="auto"/>
        <w:ind w:left="360"/>
        <w:jc w:val="both"/>
        <w:rPr>
          <w:sz w:val="28"/>
          <w:szCs w:val="28"/>
          <w:lang w:val="en-AU"/>
        </w:rPr>
      </w:pPr>
    </w:p>
    <w:p w14:paraId="479D6846" w14:textId="325B57D0" w:rsidR="00421BC9" w:rsidRDefault="00421BC9" w:rsidP="00DA2390">
      <w:pPr>
        <w:pStyle w:val="ListParagraph"/>
        <w:numPr>
          <w:ilvl w:val="0"/>
          <w:numId w:val="10"/>
        </w:numPr>
        <w:tabs>
          <w:tab w:val="left" w:pos="540"/>
        </w:tabs>
        <w:spacing w:line="360" w:lineRule="auto"/>
        <w:ind w:hanging="540"/>
        <w:jc w:val="both"/>
        <w:rPr>
          <w:sz w:val="28"/>
          <w:szCs w:val="28"/>
          <w:lang w:val="en-AU"/>
        </w:rPr>
      </w:pPr>
      <w:r w:rsidRPr="00421BC9">
        <w:rPr>
          <w:sz w:val="28"/>
          <w:szCs w:val="28"/>
          <w:lang w:val="en-AU"/>
        </w:rPr>
        <w:t xml:space="preserve">The HRF would like to commend the previous Government on the implementation of </w:t>
      </w:r>
      <w:r w:rsidRPr="00421BC9">
        <w:rPr>
          <w:i/>
          <w:sz w:val="28"/>
          <w:szCs w:val="28"/>
          <w:lang w:val="en-AU"/>
        </w:rPr>
        <w:t>He Whare Āhuru He Oranga Tāngata (He Whare Āhuru)</w:t>
      </w:r>
      <w:r w:rsidRPr="00421BC9">
        <w:rPr>
          <w:sz w:val="28"/>
          <w:szCs w:val="28"/>
          <w:lang w:val="en-AU"/>
        </w:rPr>
        <w:t xml:space="preserve">, the Māori Housing Strategy which sets out six directions to improve Māori housing over the period of 2014 to 2025. This is a much larger commitment than has been seen in the past and we hope it will have continual positive effects. </w:t>
      </w:r>
      <w:r w:rsidRPr="00421BC9">
        <w:rPr>
          <w:sz w:val="28"/>
          <w:szCs w:val="28"/>
          <w:lang w:val="en-AU"/>
        </w:rPr>
        <w:tab/>
      </w:r>
    </w:p>
    <w:p w14:paraId="687163CE" w14:textId="77777777" w:rsidR="00421BC9" w:rsidRDefault="00421BC9" w:rsidP="00FC17F1">
      <w:pPr>
        <w:pStyle w:val="ListParagraph"/>
        <w:spacing w:line="360" w:lineRule="auto"/>
        <w:ind w:left="780"/>
        <w:jc w:val="both"/>
        <w:rPr>
          <w:sz w:val="28"/>
          <w:szCs w:val="28"/>
          <w:lang w:val="en-AU"/>
        </w:rPr>
      </w:pPr>
    </w:p>
    <w:p w14:paraId="2D43E077" w14:textId="7DA17200" w:rsidR="00421BC9"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421BC9" w:rsidRPr="00421BC9">
        <w:rPr>
          <w:rFonts w:cs="Times New Roman"/>
          <w:sz w:val="28"/>
          <w:szCs w:val="28"/>
          <w:lang w:val="en-AU"/>
        </w:rPr>
        <w:t>However, the same cannot be said of the Government’s strategy for Pacific people’s housing. The HRF suggests a similar approach be adopted for the Government’s Pacific Economic Strategy.</w:t>
      </w:r>
    </w:p>
    <w:p w14:paraId="5968D34E" w14:textId="77777777" w:rsidR="00C01269" w:rsidRPr="00FC17F1" w:rsidRDefault="00C01269" w:rsidP="00FC17F1">
      <w:pPr>
        <w:pStyle w:val="ListParagraph"/>
        <w:jc w:val="both"/>
        <w:rPr>
          <w:rFonts w:cs="Times New Roman"/>
          <w:sz w:val="28"/>
          <w:szCs w:val="28"/>
          <w:lang w:val="en-AU"/>
        </w:rPr>
      </w:pPr>
    </w:p>
    <w:p w14:paraId="690EFB97" w14:textId="58F562D7" w:rsidR="00A43993" w:rsidRDefault="00C01269" w:rsidP="00FC17F1">
      <w:pPr>
        <w:spacing w:line="360" w:lineRule="auto"/>
        <w:jc w:val="both"/>
        <w:rPr>
          <w:rFonts w:cs="Times New Roman"/>
          <w:b/>
          <w:sz w:val="28"/>
          <w:szCs w:val="28"/>
          <w:lang w:val="en-US"/>
        </w:rPr>
      </w:pPr>
      <w:r w:rsidRPr="00FC17F1">
        <w:rPr>
          <w:rFonts w:cs="Times New Roman"/>
          <w:b/>
          <w:sz w:val="28"/>
          <w:szCs w:val="28"/>
          <w:lang w:val="en-US"/>
        </w:rPr>
        <w:t xml:space="preserve">Recommendations </w:t>
      </w:r>
    </w:p>
    <w:p w14:paraId="4D7044E2" w14:textId="4FB0E0EA" w:rsidR="00C01269" w:rsidRDefault="00C01269" w:rsidP="00DA2390">
      <w:pPr>
        <w:pStyle w:val="ListParagraph"/>
        <w:numPr>
          <w:ilvl w:val="0"/>
          <w:numId w:val="10"/>
        </w:numPr>
        <w:spacing w:line="360" w:lineRule="auto"/>
        <w:ind w:left="720" w:hanging="540"/>
        <w:jc w:val="both"/>
        <w:rPr>
          <w:rFonts w:cs="Times New Roman"/>
          <w:b/>
          <w:sz w:val="28"/>
          <w:szCs w:val="28"/>
          <w:lang w:val="en-US"/>
        </w:rPr>
      </w:pPr>
      <w:r w:rsidRPr="00FC17F1">
        <w:rPr>
          <w:rFonts w:cs="Times New Roman"/>
          <w:b/>
          <w:sz w:val="28"/>
          <w:szCs w:val="28"/>
          <w:lang w:val="en-US"/>
        </w:rPr>
        <w:t>The HRF recommends that the Committee (1) recommend that the Government</w:t>
      </w:r>
      <w:r w:rsidRPr="00FC17F1">
        <w:rPr>
          <w:rFonts w:cs="Times New Roman"/>
          <w:sz w:val="28"/>
          <w:szCs w:val="28"/>
          <w:lang w:val="en-US"/>
        </w:rPr>
        <w:t xml:space="preserve"> </w:t>
      </w:r>
      <w:r w:rsidRPr="00FC17F1">
        <w:rPr>
          <w:rFonts w:cs="Times New Roman"/>
          <w:b/>
          <w:sz w:val="28"/>
          <w:szCs w:val="28"/>
          <w:lang w:val="en-US"/>
        </w:rPr>
        <w:t xml:space="preserve">draw up a national action plan to address what is regarded by many as a housing crisis in a systematic and considered manner; (2) request that the Government </w:t>
      </w:r>
      <w:r w:rsidR="00B705C0" w:rsidRPr="00FC17F1">
        <w:rPr>
          <w:rFonts w:cs="Times New Roman"/>
          <w:b/>
          <w:sz w:val="28"/>
          <w:szCs w:val="28"/>
          <w:lang w:val="en-US"/>
        </w:rPr>
        <w:t>present an interim report on its actions to address these housing crises.</w:t>
      </w:r>
      <w:r w:rsidRPr="00FC17F1">
        <w:rPr>
          <w:rFonts w:cs="Times New Roman"/>
          <w:b/>
          <w:sz w:val="28"/>
          <w:szCs w:val="28"/>
          <w:lang w:val="en-US"/>
        </w:rPr>
        <w:tab/>
      </w:r>
    </w:p>
    <w:p w14:paraId="630CC0AF" w14:textId="599CE717" w:rsidR="00342768" w:rsidRPr="00FC17F1" w:rsidRDefault="00342768" w:rsidP="00DA2390">
      <w:pPr>
        <w:pStyle w:val="ListParagraph"/>
        <w:numPr>
          <w:ilvl w:val="0"/>
          <w:numId w:val="10"/>
        </w:numPr>
        <w:spacing w:line="360" w:lineRule="auto"/>
        <w:ind w:left="720" w:hanging="540"/>
        <w:jc w:val="both"/>
        <w:rPr>
          <w:rFonts w:cs="Times New Roman"/>
          <w:b/>
          <w:sz w:val="28"/>
          <w:szCs w:val="28"/>
          <w:lang w:val="en-US"/>
        </w:rPr>
      </w:pPr>
      <w:r w:rsidRPr="00FC17F1">
        <w:rPr>
          <w:b/>
          <w:sz w:val="28"/>
          <w:szCs w:val="28"/>
          <w:lang w:val="en-AU"/>
        </w:rPr>
        <w:t>On the effect of these housing issues, particularly on children, see further the report and recommendations of CPAG/ACYA at pp.10 and 11, which the HRF endorses.</w:t>
      </w:r>
    </w:p>
    <w:p w14:paraId="45C11100" w14:textId="77777777" w:rsidR="0037021F" w:rsidRPr="00FC17F1" w:rsidRDefault="0037021F" w:rsidP="00FC17F1">
      <w:pPr>
        <w:jc w:val="both"/>
        <w:rPr>
          <w:b/>
          <w:lang w:val="en-AU"/>
        </w:rPr>
      </w:pPr>
    </w:p>
    <w:p w14:paraId="0845B158" w14:textId="77777777" w:rsidR="00FD22D1" w:rsidRPr="00FC17F1" w:rsidRDefault="00FD22D1" w:rsidP="00FC17F1">
      <w:pPr>
        <w:spacing w:line="360" w:lineRule="auto"/>
        <w:jc w:val="both"/>
        <w:rPr>
          <w:rFonts w:cs="Times New Roman"/>
          <w:b/>
          <w:smallCaps/>
          <w:sz w:val="28"/>
          <w:szCs w:val="28"/>
        </w:rPr>
      </w:pPr>
    </w:p>
    <w:p w14:paraId="5D399547" w14:textId="01F13103" w:rsidR="00FD22D1" w:rsidRPr="00FC17F1" w:rsidRDefault="00FD22D1" w:rsidP="00FC17F1">
      <w:pPr>
        <w:pStyle w:val="BodyTextIndent"/>
        <w:spacing w:line="360" w:lineRule="auto"/>
        <w:ind w:left="0"/>
        <w:rPr>
          <w:b/>
          <w:smallCaps/>
          <w:sz w:val="28"/>
          <w:szCs w:val="28"/>
        </w:rPr>
      </w:pPr>
      <w:r w:rsidRPr="00FC17F1">
        <w:rPr>
          <w:b/>
          <w:smallCaps/>
          <w:sz w:val="28"/>
          <w:szCs w:val="28"/>
        </w:rPr>
        <w:t>Article 12</w:t>
      </w:r>
      <w:r w:rsidRPr="00FC17F1">
        <w:rPr>
          <w:b/>
          <w:iCs/>
          <w:sz w:val="28"/>
          <w:szCs w:val="28"/>
        </w:rPr>
        <w:t xml:space="preserve">: </w:t>
      </w:r>
      <w:r w:rsidR="00B705C0">
        <w:rPr>
          <w:b/>
          <w:iCs/>
          <w:sz w:val="28"/>
          <w:szCs w:val="28"/>
        </w:rPr>
        <w:t xml:space="preserve">the </w:t>
      </w:r>
      <w:r w:rsidRPr="00FC17F1">
        <w:rPr>
          <w:b/>
          <w:smallCaps/>
          <w:sz w:val="28"/>
          <w:szCs w:val="28"/>
        </w:rPr>
        <w:t>Right to Physical and Mental Health</w:t>
      </w:r>
    </w:p>
    <w:p w14:paraId="077B1DF1" w14:textId="77777777" w:rsidR="002E0EC9" w:rsidRPr="00FC17F1" w:rsidRDefault="002E0EC9" w:rsidP="00FC17F1">
      <w:pPr>
        <w:pStyle w:val="BodyTextIndent"/>
        <w:spacing w:line="360" w:lineRule="auto"/>
        <w:ind w:left="0"/>
        <w:rPr>
          <w:b/>
          <w:smallCaps/>
          <w:sz w:val="28"/>
          <w:szCs w:val="28"/>
        </w:rPr>
      </w:pPr>
    </w:p>
    <w:p w14:paraId="06BDAB92" w14:textId="7779E32F" w:rsidR="00FD22D1" w:rsidRDefault="00FE152C" w:rsidP="00837ACE">
      <w:pPr>
        <w:pStyle w:val="BodyTextIndent"/>
        <w:spacing w:line="360" w:lineRule="auto"/>
        <w:ind w:left="0"/>
        <w:rPr>
          <w:i/>
          <w:sz w:val="28"/>
          <w:szCs w:val="28"/>
        </w:rPr>
      </w:pPr>
      <w:r>
        <w:rPr>
          <w:i/>
          <w:sz w:val="28"/>
          <w:szCs w:val="28"/>
        </w:rPr>
        <w:lastRenderedPageBreak/>
        <w:t xml:space="preserve">Question 22: </w:t>
      </w:r>
      <w:r w:rsidR="00FD22D1" w:rsidRPr="00FC17F1">
        <w:rPr>
          <w:i/>
          <w:sz w:val="28"/>
          <w:szCs w:val="28"/>
        </w:rPr>
        <w:t>Please provide information on the impact of measures taken to ensure the right to physical and mental health of, and improved health outcomes for, Māori and Pasifika people.</w:t>
      </w:r>
    </w:p>
    <w:p w14:paraId="5D084365" w14:textId="77777777" w:rsidR="00201B35" w:rsidRPr="00FC17F1" w:rsidRDefault="00201B35" w:rsidP="00FC17F1">
      <w:pPr>
        <w:pStyle w:val="BodyTextIndent"/>
        <w:spacing w:line="360" w:lineRule="auto"/>
        <w:ind w:left="1080"/>
        <w:rPr>
          <w:i/>
          <w:sz w:val="28"/>
          <w:szCs w:val="28"/>
        </w:rPr>
      </w:pPr>
    </w:p>
    <w:p w14:paraId="402DAB34" w14:textId="0FA06CB3" w:rsidR="00844284" w:rsidRPr="00FC17F1" w:rsidRDefault="00826A40" w:rsidP="00FC17F1">
      <w:pPr>
        <w:pStyle w:val="BodyTextIndent"/>
        <w:spacing w:line="360" w:lineRule="auto"/>
        <w:ind w:left="540"/>
        <w:rPr>
          <w:b/>
          <w:sz w:val="28"/>
          <w:szCs w:val="28"/>
        </w:rPr>
      </w:pPr>
      <w:r w:rsidRPr="00FC17F1">
        <w:rPr>
          <w:b/>
          <w:sz w:val="28"/>
          <w:szCs w:val="28"/>
        </w:rPr>
        <w:t>Se</w:t>
      </w:r>
      <w:r w:rsidR="00B705C0" w:rsidRPr="00FC17F1">
        <w:rPr>
          <w:b/>
          <w:sz w:val="28"/>
          <w:szCs w:val="28"/>
        </w:rPr>
        <w:t>e</w:t>
      </w:r>
      <w:r w:rsidR="00383687" w:rsidRPr="00FC17F1">
        <w:rPr>
          <w:b/>
          <w:sz w:val="28"/>
          <w:szCs w:val="28"/>
        </w:rPr>
        <w:t xml:space="preserve"> the report</w:t>
      </w:r>
      <w:r w:rsidR="00FA1645" w:rsidRPr="00FC17F1">
        <w:rPr>
          <w:b/>
          <w:sz w:val="28"/>
          <w:szCs w:val="28"/>
        </w:rPr>
        <w:t xml:space="preserve"> and recommendations</w:t>
      </w:r>
      <w:r w:rsidR="00383687" w:rsidRPr="00FC17F1">
        <w:rPr>
          <w:b/>
          <w:sz w:val="28"/>
          <w:szCs w:val="28"/>
        </w:rPr>
        <w:t xml:space="preserve"> </w:t>
      </w:r>
      <w:r w:rsidR="003F2110" w:rsidRPr="00FC17F1">
        <w:rPr>
          <w:b/>
          <w:sz w:val="28"/>
          <w:szCs w:val="28"/>
        </w:rPr>
        <w:t>of CPAG</w:t>
      </w:r>
      <w:r w:rsidR="00540276" w:rsidRPr="00FC17F1">
        <w:rPr>
          <w:b/>
          <w:sz w:val="28"/>
          <w:szCs w:val="28"/>
        </w:rPr>
        <w:t xml:space="preserve">/ACYA at pp 11 </w:t>
      </w:r>
      <w:r w:rsidR="00FA1645" w:rsidRPr="00FC17F1">
        <w:rPr>
          <w:b/>
          <w:sz w:val="28"/>
          <w:szCs w:val="28"/>
        </w:rPr>
        <w:t>and</w:t>
      </w:r>
      <w:r w:rsidR="00540276" w:rsidRPr="00FC17F1">
        <w:rPr>
          <w:b/>
          <w:sz w:val="28"/>
          <w:szCs w:val="28"/>
        </w:rPr>
        <w:t xml:space="preserve"> 12</w:t>
      </w:r>
      <w:r w:rsidR="00FA1645" w:rsidRPr="00FC17F1">
        <w:rPr>
          <w:b/>
          <w:sz w:val="28"/>
          <w:szCs w:val="28"/>
        </w:rPr>
        <w:t>, which the HRF endorses.</w:t>
      </w:r>
      <w:r w:rsidR="00540276" w:rsidRPr="00FC17F1">
        <w:rPr>
          <w:b/>
          <w:sz w:val="28"/>
          <w:szCs w:val="28"/>
        </w:rPr>
        <w:t xml:space="preserve">  </w:t>
      </w:r>
    </w:p>
    <w:p w14:paraId="025BA4D3" w14:textId="77777777" w:rsidR="002E0EC9" w:rsidRPr="00FC17F1" w:rsidRDefault="002E0EC9" w:rsidP="00FC17F1">
      <w:pPr>
        <w:pStyle w:val="BodyTextIndent"/>
        <w:spacing w:line="360" w:lineRule="auto"/>
        <w:ind w:left="0"/>
        <w:rPr>
          <w:i/>
          <w:color w:val="FF0000"/>
          <w:sz w:val="28"/>
          <w:szCs w:val="28"/>
        </w:rPr>
      </w:pPr>
    </w:p>
    <w:p w14:paraId="64DE1E7E" w14:textId="045064E0" w:rsidR="001C04FD" w:rsidRPr="00FC17F1" w:rsidRDefault="00844284" w:rsidP="00FC17F1">
      <w:pPr>
        <w:pStyle w:val="BodyTextIndent"/>
        <w:spacing w:line="360" w:lineRule="auto"/>
        <w:ind w:left="0"/>
        <w:rPr>
          <w:i/>
          <w:sz w:val="28"/>
          <w:szCs w:val="28"/>
        </w:rPr>
      </w:pPr>
      <w:r w:rsidRPr="00FC17F1">
        <w:rPr>
          <w:i/>
          <w:sz w:val="28"/>
          <w:szCs w:val="28"/>
        </w:rPr>
        <w:t xml:space="preserve"> </w:t>
      </w:r>
      <w:r w:rsidR="00FE152C">
        <w:rPr>
          <w:i/>
          <w:sz w:val="28"/>
          <w:szCs w:val="28"/>
        </w:rPr>
        <w:t xml:space="preserve">Question 23: </w:t>
      </w:r>
      <w:r w:rsidR="001C04FD" w:rsidRPr="00FC17F1">
        <w:rPr>
          <w:i/>
          <w:sz w:val="28"/>
          <w:szCs w:val="28"/>
        </w:rPr>
        <w:t xml:space="preserve">Please update the Committee on the impact of privatisation of </w:t>
      </w:r>
      <w:r w:rsidR="00C960AA" w:rsidRPr="00FC17F1">
        <w:rPr>
          <w:i/>
          <w:sz w:val="28"/>
          <w:szCs w:val="28"/>
        </w:rPr>
        <w:t>water distribution on the availability and affordability of water. Please inform the Committee of measures taken to address freshwater pollution from agriculture and the impact thereof</w:t>
      </w:r>
      <w:r w:rsidR="00B705C0">
        <w:rPr>
          <w:i/>
          <w:sz w:val="28"/>
          <w:szCs w:val="28"/>
        </w:rPr>
        <w:t>.</w:t>
      </w:r>
    </w:p>
    <w:p w14:paraId="664C2CA1" w14:textId="77777777" w:rsidR="00383687" w:rsidRPr="00CB2594" w:rsidRDefault="00383687" w:rsidP="00FC17F1">
      <w:pPr>
        <w:pStyle w:val="BodyTextIndent"/>
        <w:spacing w:line="360" w:lineRule="auto"/>
        <w:ind w:left="0"/>
        <w:rPr>
          <w:b/>
          <w:bCs/>
          <w:smallCaps/>
          <w:color w:val="000000" w:themeColor="text1"/>
          <w:sz w:val="28"/>
          <w:szCs w:val="28"/>
          <w:lang w:val="en-NZ"/>
        </w:rPr>
      </w:pPr>
    </w:p>
    <w:p w14:paraId="0DC9582C" w14:textId="38A1E339" w:rsidR="00CB2594" w:rsidRPr="00FC17F1" w:rsidRDefault="00FA1645" w:rsidP="00FC17F1">
      <w:pPr>
        <w:spacing w:line="360" w:lineRule="auto"/>
        <w:jc w:val="both"/>
        <w:rPr>
          <w:rFonts w:cs="Times New Roman"/>
          <w:b/>
          <w:sz w:val="28"/>
          <w:szCs w:val="28"/>
          <w:lang w:val="en-AU"/>
        </w:rPr>
      </w:pPr>
      <w:r>
        <w:rPr>
          <w:rFonts w:cs="Times New Roman"/>
          <w:b/>
          <w:sz w:val="28"/>
          <w:szCs w:val="28"/>
          <w:lang w:val="en-AU"/>
        </w:rPr>
        <w:t>Article 11: the Right to an Adequate Standard of Living: t</w:t>
      </w:r>
      <w:r w:rsidR="00CB2594" w:rsidRPr="00FC17F1">
        <w:rPr>
          <w:rFonts w:cs="Times New Roman"/>
          <w:b/>
          <w:sz w:val="28"/>
          <w:szCs w:val="28"/>
          <w:lang w:val="en-AU"/>
        </w:rPr>
        <w:t>he Right to Water</w:t>
      </w:r>
    </w:p>
    <w:p w14:paraId="00485AEB" w14:textId="77777777" w:rsidR="00CB2594" w:rsidRPr="00FC17F1" w:rsidRDefault="00CB2594" w:rsidP="00FC17F1">
      <w:pPr>
        <w:pStyle w:val="ListParagraph"/>
        <w:spacing w:line="360" w:lineRule="auto"/>
        <w:ind w:left="1440"/>
        <w:jc w:val="both"/>
        <w:rPr>
          <w:rFonts w:cs="Times New Roman"/>
          <w:b/>
          <w:sz w:val="28"/>
          <w:szCs w:val="28"/>
          <w:lang w:val="en-AU"/>
        </w:rPr>
      </w:pPr>
    </w:p>
    <w:p w14:paraId="72D48F0F" w14:textId="1D0D422B" w:rsidR="00CB2594" w:rsidRPr="00FC17F1"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 xml:space="preserve">As with the other ESC rights, the rights to water and sanitation are not directly protected by legislation in New Zealand. The crucial issues in relation to water rights in New Zealand parallel those emerging in case-law and policy decision-making in other parts of the world: namely the privatisation of water supply and sanitation facilities, with the consequent expanding involvement and influence of non-state actors (NSAs) and the introduction of user-pays systems. </w:t>
      </w:r>
    </w:p>
    <w:p w14:paraId="5F811A4D" w14:textId="77777777" w:rsidR="00CB2594" w:rsidRPr="00FC17F1" w:rsidRDefault="00CB2594" w:rsidP="00FC17F1">
      <w:pPr>
        <w:pStyle w:val="ListParagraph"/>
        <w:spacing w:line="360" w:lineRule="auto"/>
        <w:ind w:left="360"/>
        <w:jc w:val="both"/>
        <w:rPr>
          <w:rFonts w:cs="Times New Roman"/>
          <w:sz w:val="28"/>
          <w:szCs w:val="28"/>
          <w:lang w:val="en-AU"/>
        </w:rPr>
      </w:pPr>
    </w:p>
    <w:p w14:paraId="76DADAC1" w14:textId="530CA52B" w:rsidR="00CB2594" w:rsidRPr="00FC17F1"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 xml:space="preserve">In 2012, the New Zealand Human Rights Commission released a report entitled </w:t>
      </w:r>
      <w:r w:rsidR="00CB2594" w:rsidRPr="00FC17F1">
        <w:rPr>
          <w:rFonts w:cs="Times New Roman"/>
          <w:i/>
          <w:sz w:val="28"/>
          <w:szCs w:val="28"/>
          <w:lang w:val="en-AU"/>
        </w:rPr>
        <w:t>Human Rights and Water</w:t>
      </w:r>
      <w:r w:rsidR="00CB2594" w:rsidRPr="00FC17F1">
        <w:rPr>
          <w:rFonts w:cs="Times New Roman"/>
          <w:sz w:val="28"/>
          <w:szCs w:val="28"/>
          <w:lang w:val="en-AU"/>
        </w:rPr>
        <w:t xml:space="preserve">.  The report stated that rights to water were becoming an increasing concern both internationally and nationally, and identified the main issues in the New Zealand context as being the availability, accessibility, affordability, quality and safety of water; water </w:t>
      </w:r>
      <w:r w:rsidR="00CB2594" w:rsidRPr="00FC17F1">
        <w:rPr>
          <w:rFonts w:cs="Times New Roman"/>
          <w:sz w:val="28"/>
          <w:szCs w:val="28"/>
          <w:lang w:val="en-AU"/>
        </w:rPr>
        <w:lastRenderedPageBreak/>
        <w:t>services being socially and culturally acceptable; the accountability of the main actors, and the sustainable management of water resources.</w:t>
      </w:r>
      <w:r w:rsidR="00CB2594" w:rsidRPr="00FC17F1">
        <w:rPr>
          <w:rFonts w:cs="Times New Roman"/>
          <w:sz w:val="28"/>
          <w:szCs w:val="28"/>
          <w:vertAlign w:val="superscript"/>
          <w:lang w:val="en-AU"/>
        </w:rPr>
        <w:footnoteReference w:id="95"/>
      </w:r>
      <w:r w:rsidR="00CB2594" w:rsidRPr="00FC17F1">
        <w:rPr>
          <w:rFonts w:cs="Times New Roman"/>
          <w:sz w:val="28"/>
          <w:szCs w:val="28"/>
          <w:vertAlign w:val="superscript"/>
          <w:lang w:val="en-NZ"/>
        </w:rPr>
        <w:t xml:space="preserve"> </w:t>
      </w:r>
      <w:r w:rsidR="00CB2594" w:rsidRPr="00FC17F1">
        <w:rPr>
          <w:rFonts w:cs="Times New Roman"/>
          <w:sz w:val="28"/>
          <w:szCs w:val="28"/>
          <w:lang w:val="en-AU"/>
        </w:rPr>
        <w:t xml:space="preserve"> </w:t>
      </w:r>
    </w:p>
    <w:p w14:paraId="450715B3" w14:textId="77777777" w:rsidR="00CB2594" w:rsidRPr="00FC17F1" w:rsidRDefault="00CB2594" w:rsidP="00FC17F1">
      <w:pPr>
        <w:pStyle w:val="ListParagraph"/>
        <w:spacing w:line="360" w:lineRule="auto"/>
        <w:ind w:left="360"/>
        <w:jc w:val="both"/>
        <w:rPr>
          <w:rFonts w:cs="Times New Roman"/>
          <w:sz w:val="28"/>
          <w:szCs w:val="28"/>
          <w:lang w:val="en-AU"/>
        </w:rPr>
      </w:pPr>
    </w:p>
    <w:p w14:paraId="3BD849F8" w14:textId="76D59F67" w:rsidR="00CB2594" w:rsidRPr="00FC17F1" w:rsidRDefault="004A699E" w:rsidP="00DA2390">
      <w:pPr>
        <w:pStyle w:val="ListParagraph"/>
        <w:numPr>
          <w:ilvl w:val="0"/>
          <w:numId w:val="10"/>
        </w:numPr>
        <w:tabs>
          <w:tab w:val="left" w:pos="450"/>
        </w:tabs>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The stated position of the Government is that nobody owns water in New Zealand, rather that the Crown holds water in trust for the public. Water must be contained or captured in order to become property in law. At common law, water in its natural state is not capable of private ownership. Section 354(1) of the Water and Soil Conservation Act [1967]</w:t>
      </w:r>
      <w:r w:rsidR="00CB2594" w:rsidRPr="00FC17F1">
        <w:rPr>
          <w:rFonts w:cs="Times New Roman"/>
          <w:i/>
          <w:sz w:val="28"/>
          <w:szCs w:val="28"/>
          <w:lang w:val="en-AU"/>
        </w:rPr>
        <w:t xml:space="preserve"> </w:t>
      </w:r>
      <w:r w:rsidR="00CB2594" w:rsidRPr="00FC17F1">
        <w:rPr>
          <w:rFonts w:cs="Times New Roman"/>
          <w:sz w:val="28"/>
          <w:szCs w:val="28"/>
          <w:lang w:val="en-AU"/>
        </w:rPr>
        <w:t>preserves the vesting of water in the Crown.</w:t>
      </w:r>
      <w:r w:rsidR="00CB2594" w:rsidRPr="00FC17F1">
        <w:rPr>
          <w:rFonts w:cs="Times New Roman"/>
          <w:b/>
          <w:sz w:val="28"/>
          <w:szCs w:val="28"/>
          <w:lang w:val="en-AU"/>
        </w:rPr>
        <w:t xml:space="preserve"> </w:t>
      </w:r>
      <w:r w:rsidR="00CB2594" w:rsidRPr="00FC17F1">
        <w:rPr>
          <w:rFonts w:cs="Times New Roman"/>
          <w:sz w:val="28"/>
          <w:szCs w:val="28"/>
          <w:lang w:val="en-AU"/>
        </w:rPr>
        <w:t>Due to that ownership, control is delegated to local councils and authorities.</w:t>
      </w:r>
    </w:p>
    <w:p w14:paraId="739A960B" w14:textId="77777777" w:rsidR="00CB2594" w:rsidRPr="00FC17F1" w:rsidRDefault="00CB2594" w:rsidP="00FC17F1">
      <w:pPr>
        <w:pStyle w:val="ListParagraph"/>
        <w:spacing w:line="360" w:lineRule="auto"/>
        <w:jc w:val="both"/>
        <w:rPr>
          <w:rFonts w:cs="Times New Roman"/>
          <w:sz w:val="28"/>
          <w:szCs w:val="28"/>
          <w:lang w:val="en-AU"/>
        </w:rPr>
      </w:pPr>
    </w:p>
    <w:p w14:paraId="0C7B13DE" w14:textId="3596C239" w:rsidR="00CB2594" w:rsidRPr="00FC17F1" w:rsidRDefault="00B705C0" w:rsidP="00DA2390">
      <w:pPr>
        <w:pStyle w:val="ListParagraph"/>
        <w:numPr>
          <w:ilvl w:val="0"/>
          <w:numId w:val="10"/>
        </w:numPr>
        <w:tabs>
          <w:tab w:val="left" w:pos="540"/>
        </w:tabs>
        <w:spacing w:line="360" w:lineRule="auto"/>
        <w:ind w:hanging="540"/>
        <w:jc w:val="both"/>
        <w:rPr>
          <w:rFonts w:cs="Times New Roman"/>
          <w:sz w:val="28"/>
          <w:szCs w:val="28"/>
          <w:lang w:val="en-AU"/>
        </w:rPr>
      </w:pPr>
      <w:r>
        <w:rPr>
          <w:rFonts w:cs="Times New Roman"/>
          <w:b/>
          <w:sz w:val="28"/>
          <w:szCs w:val="28"/>
          <w:lang w:val="en-US"/>
        </w:rPr>
        <w:t xml:space="preserve"> </w:t>
      </w:r>
      <w:r w:rsidRPr="00FC17F1">
        <w:rPr>
          <w:rFonts w:cs="Times New Roman"/>
          <w:sz w:val="28"/>
          <w:szCs w:val="28"/>
          <w:lang w:val="en-US"/>
        </w:rPr>
        <w:t>The</w:t>
      </w:r>
      <w:r>
        <w:rPr>
          <w:rFonts w:cs="Times New Roman"/>
          <w:b/>
          <w:sz w:val="28"/>
          <w:szCs w:val="28"/>
          <w:lang w:val="en-US"/>
        </w:rPr>
        <w:t xml:space="preserve"> a</w:t>
      </w:r>
      <w:r w:rsidR="00CB2594" w:rsidRPr="00FC17F1">
        <w:rPr>
          <w:rFonts w:cs="Times New Roman"/>
          <w:b/>
          <w:sz w:val="28"/>
          <w:szCs w:val="28"/>
          <w:lang w:val="en-US"/>
        </w:rPr>
        <w:t>ffordability</w:t>
      </w:r>
      <w:r w:rsidR="00CB2594" w:rsidRPr="00FC17F1">
        <w:rPr>
          <w:rFonts w:cs="Times New Roman"/>
          <w:sz w:val="28"/>
          <w:szCs w:val="28"/>
          <w:lang w:val="en-US"/>
        </w:rPr>
        <w:t xml:space="preserve"> of water is clearly a human rights issue, in New Zealand as elsewhere, and is linked with the increasing privatization of the water supply and sanitation facilities, with the consequent expanding involvement and influence of NSAs and the introduction of user-pays systems. The Resource Management Act 1991 (RMA) does not require public resources taken for private use to be paid for, </w:t>
      </w:r>
      <w:r w:rsidR="00CB2594" w:rsidRPr="00FC17F1">
        <w:rPr>
          <w:rFonts w:cs="Times New Roman"/>
          <w:sz w:val="28"/>
          <w:szCs w:val="28"/>
          <w:lang w:val="en-NZ"/>
        </w:rPr>
        <w:t xml:space="preserve">but water suppliers, including councils managing a reticulated supply, can charge consumers for water supply and wastewater services. </w:t>
      </w:r>
      <w:r w:rsidR="00CB2594" w:rsidRPr="00FC17F1">
        <w:rPr>
          <w:rFonts w:cs="Times New Roman"/>
          <w:sz w:val="28"/>
          <w:szCs w:val="28"/>
          <w:lang w:val="en-US"/>
        </w:rPr>
        <w:t>Provisions in the Local Government Act</w:t>
      </w:r>
      <w:r w:rsidR="00CB2594" w:rsidRPr="00FC17F1">
        <w:rPr>
          <w:rFonts w:cs="Times New Roman"/>
          <w:sz w:val="28"/>
          <w:szCs w:val="28"/>
          <w:lang w:val="en-AU"/>
        </w:rPr>
        <w:t xml:space="preserve"> 2002 prevent the wholesale privatisation of council water-services, the rationale being that water services must remain the responsibility of democratically elected local bodies, answerable to their constituents. While councils may contract out aspects of water services, they will continue to be legally responsible for the provision of water services, the pricing of those services, and the development of water provision-policies regardless.</w:t>
      </w:r>
      <w:r w:rsidR="00CB2594" w:rsidRPr="00FC17F1">
        <w:rPr>
          <w:rFonts w:cs="Times New Roman"/>
          <w:sz w:val="28"/>
          <w:szCs w:val="28"/>
          <w:vertAlign w:val="superscript"/>
          <w:lang w:val="en-AU"/>
        </w:rPr>
        <w:footnoteReference w:id="96"/>
      </w:r>
      <w:r w:rsidR="00CB2594" w:rsidRPr="00FC17F1">
        <w:rPr>
          <w:rFonts w:cs="Times New Roman"/>
          <w:sz w:val="28"/>
          <w:szCs w:val="28"/>
          <w:lang w:val="en-AU"/>
        </w:rPr>
        <w:t xml:space="preserve"> Nevertheless, there is increasing criticism of the level of charging for water in parts </w:t>
      </w:r>
      <w:r w:rsidR="00CB2594" w:rsidRPr="00FC17F1">
        <w:rPr>
          <w:rFonts w:cs="Times New Roman"/>
          <w:sz w:val="28"/>
          <w:szCs w:val="28"/>
          <w:lang w:val="en-AU"/>
        </w:rPr>
        <w:lastRenderedPageBreak/>
        <w:t>of New Zealand and resistance to the introduction of user-pays systems and to the installation of water metering.</w:t>
      </w:r>
    </w:p>
    <w:p w14:paraId="68B5E677" w14:textId="77777777" w:rsidR="00CB2594" w:rsidRPr="00FC17F1" w:rsidRDefault="00CB2594" w:rsidP="00FC17F1">
      <w:pPr>
        <w:pStyle w:val="ListParagraph"/>
        <w:spacing w:line="360" w:lineRule="auto"/>
        <w:ind w:left="1440"/>
        <w:jc w:val="both"/>
        <w:rPr>
          <w:rFonts w:cs="Times New Roman"/>
          <w:sz w:val="28"/>
          <w:szCs w:val="28"/>
          <w:lang w:val="en-AU"/>
        </w:rPr>
      </w:pPr>
    </w:p>
    <w:p w14:paraId="255753A0" w14:textId="3B717817" w:rsidR="00CB2594" w:rsidRPr="00FC17F1" w:rsidRDefault="00CB2594" w:rsidP="00DA2390">
      <w:pPr>
        <w:pStyle w:val="ListParagraph"/>
        <w:numPr>
          <w:ilvl w:val="0"/>
          <w:numId w:val="10"/>
        </w:numPr>
        <w:spacing w:line="360" w:lineRule="auto"/>
        <w:ind w:left="720" w:hanging="540"/>
        <w:jc w:val="both"/>
        <w:rPr>
          <w:rFonts w:cs="Times New Roman"/>
          <w:sz w:val="28"/>
          <w:szCs w:val="28"/>
          <w:lang w:val="en-AU"/>
        </w:rPr>
      </w:pPr>
      <w:r w:rsidRPr="00FC17F1">
        <w:rPr>
          <w:rFonts w:cs="Times New Roman"/>
          <w:sz w:val="28"/>
          <w:szCs w:val="28"/>
          <w:lang w:val="en-AU"/>
        </w:rPr>
        <w:t xml:space="preserve">The </w:t>
      </w:r>
      <w:r w:rsidRPr="00FC17F1">
        <w:rPr>
          <w:rFonts w:cs="Times New Roman"/>
          <w:b/>
          <w:sz w:val="28"/>
          <w:szCs w:val="28"/>
          <w:lang w:val="en-AU"/>
        </w:rPr>
        <w:t>quality</w:t>
      </w:r>
      <w:r w:rsidRPr="00FC17F1">
        <w:rPr>
          <w:rFonts w:cs="Times New Roman"/>
          <w:sz w:val="28"/>
          <w:szCs w:val="28"/>
          <w:lang w:val="en-AU"/>
        </w:rPr>
        <w:t xml:space="preserve"> </w:t>
      </w:r>
      <w:r w:rsidRPr="00FC17F1">
        <w:rPr>
          <w:rFonts w:cs="Times New Roman"/>
          <w:b/>
          <w:sz w:val="28"/>
          <w:szCs w:val="28"/>
          <w:lang w:val="en-AU"/>
        </w:rPr>
        <w:t>and safety</w:t>
      </w:r>
      <w:r w:rsidRPr="00FC17F1">
        <w:rPr>
          <w:rFonts w:cs="Times New Roman"/>
          <w:sz w:val="28"/>
          <w:szCs w:val="28"/>
          <w:lang w:val="en-AU"/>
        </w:rPr>
        <w:t xml:space="preserve"> of water: in 2009-10 </w:t>
      </w:r>
      <w:r w:rsidRPr="00FC17F1">
        <w:rPr>
          <w:rFonts w:cs="Times New Roman"/>
          <w:sz w:val="28"/>
          <w:szCs w:val="28"/>
          <w:lang w:val="en-US"/>
        </w:rPr>
        <w:t>the Ministry of Health found that 6 per cent of New Zealanders were drinking water that was unsafe.</w:t>
      </w:r>
      <w:r w:rsidRPr="00FC17F1">
        <w:rPr>
          <w:rFonts w:cs="Times New Roman"/>
          <w:sz w:val="28"/>
          <w:szCs w:val="28"/>
          <w:vertAlign w:val="superscript"/>
          <w:lang w:val="en-AU"/>
        </w:rPr>
        <w:footnoteReference w:id="97"/>
      </w:r>
      <w:r w:rsidRPr="00FC17F1">
        <w:rPr>
          <w:rFonts w:cs="Times New Roman"/>
          <w:sz w:val="28"/>
          <w:szCs w:val="28"/>
          <w:lang w:val="en-US"/>
        </w:rPr>
        <w:t xml:space="preserve"> </w:t>
      </w:r>
      <w:r w:rsidRPr="00FC17F1">
        <w:rPr>
          <w:rFonts w:cs="Times New Roman"/>
          <w:sz w:val="28"/>
          <w:szCs w:val="28"/>
          <w:lang w:val="en-AU"/>
        </w:rPr>
        <w:t>While pollution is a relative term, the Human Rights Commission notes that there is an increasing consensus about the poor quality of New Zealand’s water bodies in general</w:t>
      </w:r>
      <w:r w:rsidRPr="00FC17F1">
        <w:rPr>
          <w:rFonts w:cs="Times New Roman"/>
          <w:sz w:val="28"/>
          <w:szCs w:val="28"/>
          <w:vertAlign w:val="superscript"/>
          <w:lang w:val="en-AU"/>
        </w:rPr>
        <w:footnoteReference w:id="98"/>
      </w:r>
      <w:r w:rsidRPr="00FC17F1">
        <w:rPr>
          <w:rFonts w:cs="Times New Roman"/>
          <w:sz w:val="28"/>
          <w:szCs w:val="28"/>
          <w:lang w:val="en-AU"/>
        </w:rPr>
        <w:t xml:space="preserve"> and the onus for resolving these problems falls primarily upon local authorities. </w:t>
      </w:r>
    </w:p>
    <w:p w14:paraId="222FE649" w14:textId="77777777" w:rsidR="00CB2594" w:rsidRPr="00FC17F1" w:rsidRDefault="00CB2594" w:rsidP="00FC17F1">
      <w:pPr>
        <w:pStyle w:val="ListParagraph"/>
        <w:spacing w:line="360" w:lineRule="auto"/>
        <w:jc w:val="both"/>
        <w:rPr>
          <w:rFonts w:cs="Times New Roman"/>
          <w:sz w:val="28"/>
          <w:szCs w:val="28"/>
          <w:lang w:val="en-AU"/>
        </w:rPr>
      </w:pPr>
    </w:p>
    <w:p w14:paraId="22A24B19" w14:textId="7D054F7C" w:rsidR="00CB2594" w:rsidRPr="00FC17F1"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 xml:space="preserve">There are various legal regimes in place as regards certain aspects of water rights, such as water management and the right to access water for domestic or agricultural use. The main actors in relation to water management are local government. </w:t>
      </w:r>
      <w:r w:rsidR="00CB2594" w:rsidRPr="00FC17F1">
        <w:rPr>
          <w:rFonts w:cs="Times New Roman"/>
          <w:sz w:val="28"/>
          <w:szCs w:val="28"/>
          <w:lang w:val="en-US"/>
        </w:rPr>
        <w:t>T</w:t>
      </w:r>
      <w:r w:rsidR="00CB2594" w:rsidRPr="00FC17F1">
        <w:rPr>
          <w:rFonts w:cs="Times New Roman"/>
          <w:sz w:val="28"/>
          <w:szCs w:val="28"/>
          <w:lang w:val="en-AU"/>
        </w:rPr>
        <w:t xml:space="preserve">he regulatory regimes governing the quantity allocated and quality of water are contained in the RMA, the Local Government Act 2002 and the Health Act 1956. </w:t>
      </w:r>
    </w:p>
    <w:p w14:paraId="4727C9FC" w14:textId="77777777" w:rsidR="00CB2594" w:rsidRPr="00FC17F1" w:rsidRDefault="00CB2594" w:rsidP="00FC17F1">
      <w:pPr>
        <w:pStyle w:val="ListParagraph"/>
        <w:spacing w:line="360" w:lineRule="auto"/>
        <w:ind w:left="1440"/>
        <w:jc w:val="both"/>
        <w:rPr>
          <w:rFonts w:cs="Times New Roman"/>
          <w:sz w:val="28"/>
          <w:szCs w:val="28"/>
          <w:lang w:val="en-AU"/>
        </w:rPr>
      </w:pPr>
    </w:p>
    <w:p w14:paraId="5C7CA276" w14:textId="67015220" w:rsidR="00CB2594" w:rsidRPr="00FC17F1"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The statutory provision that most closely resembles a ‘right to take water’ is found in the RMA: section s14(3) provides that individuals’ may take freshwater for their reasonable domestic needs (and the reasonable drinking-water needs of their animals),</w:t>
      </w:r>
      <w:r w:rsidR="00CB2594" w:rsidRPr="00FC17F1">
        <w:rPr>
          <w:rFonts w:cs="Times New Roman"/>
          <w:sz w:val="28"/>
          <w:szCs w:val="28"/>
          <w:vertAlign w:val="superscript"/>
          <w:lang w:val="en-AU"/>
        </w:rPr>
        <w:footnoteReference w:id="99"/>
      </w:r>
      <w:r w:rsidR="00CB2594" w:rsidRPr="00FC17F1">
        <w:rPr>
          <w:rFonts w:cs="Times New Roman"/>
          <w:sz w:val="28"/>
          <w:szCs w:val="28"/>
          <w:lang w:val="en-AU"/>
        </w:rPr>
        <w:t xml:space="preserve"> Māori may use geothermal resources for the communal benefit of the tangata whenua, </w:t>
      </w:r>
      <w:r w:rsidR="00CB2594" w:rsidRPr="00FC17F1">
        <w:rPr>
          <w:rFonts w:cs="Times New Roman"/>
          <w:sz w:val="28"/>
          <w:szCs w:val="28"/>
          <w:lang w:val="en-AU"/>
        </w:rPr>
        <w:lastRenderedPageBreak/>
        <w:t>and in accordance with tikanga Māori,</w:t>
      </w:r>
      <w:r w:rsidR="00CB2594" w:rsidRPr="00FC17F1">
        <w:rPr>
          <w:rFonts w:cs="Times New Roman"/>
          <w:sz w:val="28"/>
          <w:szCs w:val="28"/>
          <w:vertAlign w:val="superscript"/>
          <w:lang w:val="en-AU"/>
        </w:rPr>
        <w:footnoteReference w:id="100"/>
      </w:r>
      <w:r w:rsidR="00CB2594" w:rsidRPr="00FC17F1">
        <w:rPr>
          <w:rFonts w:cs="Times New Roman"/>
          <w:sz w:val="28"/>
          <w:szCs w:val="28"/>
          <w:lang w:val="en-AU"/>
        </w:rPr>
        <w:t xml:space="preserve"> and all persons may take the water, heat or energy from the general coastal water for their reasonable domestic or recreational needs.</w:t>
      </w:r>
      <w:r w:rsidR="00CB2594" w:rsidRPr="00FC17F1">
        <w:rPr>
          <w:rFonts w:cs="Times New Roman"/>
          <w:sz w:val="28"/>
          <w:szCs w:val="28"/>
          <w:vertAlign w:val="superscript"/>
          <w:lang w:val="en-AU"/>
        </w:rPr>
        <w:footnoteReference w:id="101"/>
      </w:r>
      <w:r w:rsidR="00CB2594" w:rsidRPr="00FC17F1">
        <w:rPr>
          <w:rFonts w:cs="Times New Roman"/>
          <w:sz w:val="28"/>
          <w:szCs w:val="28"/>
          <w:lang w:val="en-AU"/>
        </w:rPr>
        <w:t xml:space="preserve"> </w:t>
      </w:r>
    </w:p>
    <w:p w14:paraId="34716182" w14:textId="77777777" w:rsidR="00CB2594" w:rsidRPr="00FC17F1" w:rsidRDefault="00CB2594" w:rsidP="00FC17F1">
      <w:pPr>
        <w:pStyle w:val="ListParagraph"/>
        <w:spacing w:line="360" w:lineRule="auto"/>
        <w:ind w:left="1440"/>
        <w:jc w:val="both"/>
        <w:rPr>
          <w:rFonts w:cs="Times New Roman"/>
          <w:sz w:val="28"/>
          <w:szCs w:val="28"/>
          <w:lang w:val="en-AU"/>
        </w:rPr>
      </w:pPr>
    </w:p>
    <w:p w14:paraId="7CB68D7E" w14:textId="69F5082C" w:rsidR="00CB2594" w:rsidRPr="00FC17F1"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All of these takes and uses are permitted on the proviso that they do not create ‘an adverse effect on the environment’.</w:t>
      </w:r>
      <w:r w:rsidR="00CB2594" w:rsidRPr="00FC17F1">
        <w:rPr>
          <w:rFonts w:cs="Times New Roman"/>
          <w:sz w:val="28"/>
          <w:szCs w:val="28"/>
          <w:vertAlign w:val="superscript"/>
          <w:lang w:val="en-AU"/>
        </w:rPr>
        <w:footnoteReference w:id="102"/>
      </w:r>
      <w:r w:rsidR="00CB2594" w:rsidRPr="00FC17F1">
        <w:rPr>
          <w:rFonts w:cs="Times New Roman"/>
          <w:sz w:val="28"/>
          <w:szCs w:val="28"/>
          <w:lang w:val="en-AU"/>
        </w:rPr>
        <w:t xml:space="preserve">  </w:t>
      </w:r>
    </w:p>
    <w:p w14:paraId="025F0FBE" w14:textId="77777777" w:rsidR="00CB2594" w:rsidRPr="00FC17F1" w:rsidRDefault="00CB2594" w:rsidP="00FC17F1">
      <w:pPr>
        <w:pStyle w:val="ListParagraph"/>
        <w:spacing w:line="360" w:lineRule="auto"/>
        <w:jc w:val="both"/>
        <w:rPr>
          <w:rFonts w:cs="Times New Roman"/>
          <w:sz w:val="28"/>
          <w:szCs w:val="28"/>
          <w:lang w:val="en-AU"/>
        </w:rPr>
      </w:pPr>
    </w:p>
    <w:p w14:paraId="13EB8DF8" w14:textId="66EDAF6C" w:rsidR="00CB2594" w:rsidRPr="00FC17F1" w:rsidRDefault="007036EE" w:rsidP="00DA2390">
      <w:pPr>
        <w:pStyle w:val="ListParagraph"/>
        <w:numPr>
          <w:ilvl w:val="0"/>
          <w:numId w:val="10"/>
        </w:numPr>
        <w:spacing w:line="360" w:lineRule="auto"/>
        <w:ind w:left="72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In practice, there are many demands on available water resources and the Human Rights Commission has warned that the over-allocation of water is becoming a serious problem in parts of New Zealand.</w:t>
      </w:r>
      <w:r w:rsidR="00CB2594" w:rsidRPr="00FC17F1">
        <w:rPr>
          <w:rFonts w:cs="Times New Roman"/>
          <w:sz w:val="28"/>
          <w:szCs w:val="28"/>
          <w:vertAlign w:val="superscript"/>
          <w:lang w:val="en-AU"/>
        </w:rPr>
        <w:footnoteReference w:id="103"/>
      </w:r>
      <w:r w:rsidR="00CB2594" w:rsidRPr="00FC17F1">
        <w:rPr>
          <w:rFonts w:cs="Times New Roman"/>
          <w:sz w:val="28"/>
          <w:szCs w:val="28"/>
          <w:lang w:val="en-AU"/>
        </w:rPr>
        <w:t xml:space="preserve"> At present, legislative processes manage water-allocation poorly – both between competing </w:t>
      </w:r>
      <w:r w:rsidR="00CB2594" w:rsidRPr="00FC17F1">
        <w:rPr>
          <w:rFonts w:cs="Times New Roman"/>
          <w:i/>
          <w:sz w:val="28"/>
          <w:szCs w:val="28"/>
          <w:lang w:val="en-AU"/>
        </w:rPr>
        <w:t>uses</w:t>
      </w:r>
      <w:r w:rsidR="00CB2594" w:rsidRPr="00FC17F1">
        <w:rPr>
          <w:rFonts w:cs="Times New Roman"/>
          <w:sz w:val="28"/>
          <w:szCs w:val="28"/>
          <w:lang w:val="en-AU"/>
        </w:rPr>
        <w:t xml:space="preserve"> of water and in relation to competing </w:t>
      </w:r>
      <w:r w:rsidR="00CB2594" w:rsidRPr="00FC17F1">
        <w:rPr>
          <w:rFonts w:cs="Times New Roman"/>
          <w:i/>
          <w:sz w:val="28"/>
          <w:szCs w:val="28"/>
          <w:lang w:val="en-AU"/>
        </w:rPr>
        <w:t>users</w:t>
      </w:r>
      <w:r w:rsidR="00CB2594" w:rsidRPr="00FC17F1">
        <w:rPr>
          <w:rFonts w:cs="Times New Roman"/>
          <w:sz w:val="28"/>
          <w:szCs w:val="28"/>
          <w:lang w:val="en-AU"/>
        </w:rPr>
        <w:t xml:space="preserve"> – a point highlighted in numerous cases.</w:t>
      </w:r>
      <w:r w:rsidR="00CB2594" w:rsidRPr="00FC17F1">
        <w:rPr>
          <w:rFonts w:cs="Times New Roman"/>
          <w:sz w:val="28"/>
          <w:szCs w:val="28"/>
          <w:vertAlign w:val="superscript"/>
          <w:lang w:val="en-AU"/>
        </w:rPr>
        <w:footnoteReference w:id="104"/>
      </w:r>
      <w:r w:rsidR="00CB2594" w:rsidRPr="00FC17F1">
        <w:rPr>
          <w:rFonts w:cs="Times New Roman"/>
          <w:sz w:val="28"/>
          <w:szCs w:val="28"/>
          <w:lang w:val="en-AU"/>
        </w:rPr>
        <w:t xml:space="preserve"> </w:t>
      </w:r>
    </w:p>
    <w:p w14:paraId="4EB22170" w14:textId="77777777" w:rsidR="00CB2594" w:rsidRPr="00FC17F1" w:rsidRDefault="00CB2594" w:rsidP="00FC17F1">
      <w:pPr>
        <w:pStyle w:val="ListParagraph"/>
        <w:spacing w:line="360" w:lineRule="auto"/>
        <w:ind w:left="1440"/>
        <w:jc w:val="both"/>
        <w:rPr>
          <w:rFonts w:cs="Times New Roman"/>
          <w:sz w:val="28"/>
          <w:szCs w:val="28"/>
          <w:lang w:val="en-AU"/>
        </w:rPr>
      </w:pPr>
    </w:p>
    <w:p w14:paraId="22B994F7" w14:textId="1447B622" w:rsidR="00CB2594" w:rsidRPr="00FC17F1" w:rsidRDefault="007036EE" w:rsidP="00DA2390">
      <w:pPr>
        <w:pStyle w:val="ListParagraph"/>
        <w:numPr>
          <w:ilvl w:val="0"/>
          <w:numId w:val="10"/>
        </w:numPr>
        <w:spacing w:line="360" w:lineRule="auto"/>
        <w:ind w:hanging="63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Increasing pressure on water resources – particularly in a climate-changed world</w:t>
      </w:r>
      <w:r w:rsidR="00CB2594" w:rsidRPr="00FC17F1">
        <w:rPr>
          <w:rFonts w:cs="Times New Roman"/>
          <w:sz w:val="28"/>
          <w:szCs w:val="28"/>
          <w:vertAlign w:val="superscript"/>
          <w:lang w:val="en-NZ"/>
        </w:rPr>
        <w:footnoteReference w:id="105"/>
      </w:r>
      <w:r w:rsidR="00CB2594" w:rsidRPr="00FC17F1">
        <w:rPr>
          <w:rFonts w:cs="Times New Roman"/>
          <w:sz w:val="28"/>
          <w:szCs w:val="28"/>
          <w:lang w:val="en-AU"/>
        </w:rPr>
        <w:t xml:space="preserve"> – makes the issue of water availability increasingly pressing and the Government has made dealing with over-allocation a national objective. </w:t>
      </w:r>
      <w:r w:rsidR="00CB2594" w:rsidRPr="00FC17F1">
        <w:rPr>
          <w:rFonts w:cs="Times New Roman"/>
          <w:sz w:val="28"/>
          <w:szCs w:val="28"/>
          <w:lang w:val="en-US"/>
        </w:rPr>
        <w:t xml:space="preserve">The </w:t>
      </w:r>
      <w:r w:rsidR="00CB2594" w:rsidRPr="00FC17F1">
        <w:rPr>
          <w:rFonts w:cs="Times New Roman"/>
          <w:sz w:val="28"/>
          <w:szCs w:val="28"/>
          <w:lang w:val="en-AU"/>
        </w:rPr>
        <w:t xml:space="preserve">National Policy Statement for Freshwater 2011 (as amended in 2014 and 2017), promulgated by central Government, requires local councils to identify over-allocated water resources and resolve the problem. </w:t>
      </w:r>
    </w:p>
    <w:p w14:paraId="449481F3" w14:textId="77777777" w:rsidR="00CB2594" w:rsidRPr="00FC17F1" w:rsidRDefault="00CB2594" w:rsidP="00FC17F1">
      <w:pPr>
        <w:pStyle w:val="ListParagraph"/>
        <w:spacing w:line="360" w:lineRule="auto"/>
        <w:ind w:left="360"/>
        <w:jc w:val="both"/>
        <w:rPr>
          <w:rFonts w:cs="Times New Roman"/>
          <w:sz w:val="28"/>
          <w:szCs w:val="28"/>
          <w:lang w:val="en-AU"/>
        </w:rPr>
      </w:pPr>
    </w:p>
    <w:p w14:paraId="104A264A" w14:textId="0462EE30" w:rsidR="00CB2594" w:rsidRPr="00FC17F1" w:rsidRDefault="007036EE" w:rsidP="00DA2390">
      <w:pPr>
        <w:pStyle w:val="ListParagraph"/>
        <w:numPr>
          <w:ilvl w:val="0"/>
          <w:numId w:val="10"/>
        </w:numPr>
        <w:tabs>
          <w:tab w:val="left" w:pos="2250"/>
        </w:tabs>
        <w:spacing w:line="360" w:lineRule="auto"/>
        <w:ind w:left="720" w:hanging="540"/>
        <w:jc w:val="both"/>
        <w:rPr>
          <w:rFonts w:cs="Times New Roman"/>
          <w:sz w:val="28"/>
          <w:szCs w:val="28"/>
          <w:lang w:val="en-AU"/>
        </w:rPr>
      </w:pPr>
      <w:r>
        <w:rPr>
          <w:rFonts w:cs="Times New Roman"/>
          <w:sz w:val="28"/>
          <w:szCs w:val="28"/>
          <w:lang w:val="en-AU"/>
        </w:rPr>
        <w:lastRenderedPageBreak/>
        <w:t xml:space="preserve"> </w:t>
      </w:r>
      <w:r w:rsidR="00CB2594" w:rsidRPr="00FC17F1">
        <w:rPr>
          <w:rFonts w:cs="Times New Roman"/>
          <w:sz w:val="28"/>
          <w:szCs w:val="28"/>
          <w:lang w:val="en-AU"/>
        </w:rPr>
        <w:t>The tension is particularly acute when it is necessary to balance the interests of domestic consumers, environmental protection and industrial use.</w:t>
      </w:r>
    </w:p>
    <w:p w14:paraId="07ABA4A7" w14:textId="77777777" w:rsidR="00CB2594" w:rsidRPr="00FC17F1" w:rsidRDefault="00CB2594" w:rsidP="00FC17F1">
      <w:pPr>
        <w:pStyle w:val="ListParagraph"/>
        <w:spacing w:line="360" w:lineRule="auto"/>
        <w:jc w:val="both"/>
        <w:rPr>
          <w:rFonts w:cs="Times New Roman"/>
          <w:sz w:val="28"/>
          <w:szCs w:val="28"/>
          <w:lang w:val="en-AU"/>
        </w:rPr>
      </w:pPr>
    </w:p>
    <w:p w14:paraId="5ED83DE2" w14:textId="7F4A7E7D" w:rsidR="00CB2594" w:rsidRDefault="007036EE" w:rsidP="00DA2390">
      <w:pPr>
        <w:pStyle w:val="ListParagraph"/>
        <w:numPr>
          <w:ilvl w:val="0"/>
          <w:numId w:val="10"/>
        </w:numPr>
        <w:spacing w:line="360" w:lineRule="auto"/>
        <w:ind w:left="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Quality of freshwater remains a significant issue.  The National Policy Statement on Freshwater (‘NPS-FW’) sets the national direction for water quality standards and Regional Councils implement these standards by introducing regulatory methods that are deemed appropriate in the locality (that can include both voluntary and non-voluntary measures).  However, while some flexibility to tailor solutions is necessary this devolved system has led to inconsistencies between regions that are proving problematic. Reviewers express concerns about: slow implementation (full compliance is not required until 2025 and many councils are not addressing urban water quality as a priority, even though urban areas still have some of the poorest water quality); the lack of nationally consistent methodologies (with the result that councils are setting water quality limits using different methodologies); legal uncertainty with regards to the use of specific regulatory mechanism targeted at agricultural run-off (such as requiring the use of OVERSEER) and setting nitrogen load limits in plans; the use of Freshwater Management Units and offsetting (where some water bodies are allowed to deteriorate below acceptable standards if others are improved); keeping stock out of waterways; and requiring better farming practices by implementing Good Management Practices.</w:t>
      </w:r>
      <w:r w:rsidR="00CB2594" w:rsidRPr="00FC17F1">
        <w:rPr>
          <w:rStyle w:val="FootnoteReference"/>
          <w:rFonts w:cs="Times New Roman"/>
          <w:sz w:val="28"/>
          <w:szCs w:val="28"/>
          <w:lang w:val="en-AU"/>
        </w:rPr>
        <w:t xml:space="preserve"> </w:t>
      </w:r>
      <w:r w:rsidR="00CB2594" w:rsidRPr="00FC17F1">
        <w:rPr>
          <w:rStyle w:val="FootnoteReference"/>
          <w:rFonts w:cs="Times New Roman"/>
          <w:sz w:val="28"/>
          <w:szCs w:val="28"/>
          <w:lang w:val="en-AU"/>
        </w:rPr>
        <w:footnoteReference w:id="106"/>
      </w:r>
      <w:r w:rsidR="00CB2594" w:rsidRPr="00FC17F1">
        <w:rPr>
          <w:rFonts w:cs="Times New Roman"/>
          <w:sz w:val="28"/>
          <w:szCs w:val="28"/>
          <w:lang w:val="en-AU"/>
        </w:rPr>
        <w:t xml:space="preserve">  Further, constructing adequate water storage to ensure access to water in a climate-</w:t>
      </w:r>
      <w:r w:rsidR="00CB2594" w:rsidRPr="00FC17F1">
        <w:rPr>
          <w:rFonts w:cs="Times New Roman"/>
          <w:sz w:val="28"/>
          <w:szCs w:val="28"/>
          <w:lang w:val="en-AU"/>
        </w:rPr>
        <w:lastRenderedPageBreak/>
        <w:t>changed world remains a significant challenge.</w:t>
      </w:r>
      <w:r w:rsidR="00CB2594" w:rsidRPr="00FC17F1">
        <w:rPr>
          <w:rStyle w:val="FootnoteReference"/>
          <w:rFonts w:cs="Times New Roman"/>
          <w:sz w:val="28"/>
          <w:szCs w:val="28"/>
          <w:lang w:val="en-AU"/>
        </w:rPr>
        <w:footnoteReference w:id="107"/>
      </w:r>
      <w:r w:rsidR="00CB2594" w:rsidRPr="00FC17F1">
        <w:rPr>
          <w:rFonts w:cs="Times New Roman"/>
          <w:sz w:val="28"/>
          <w:szCs w:val="28"/>
          <w:lang w:val="en-AU"/>
        </w:rPr>
        <w:t xml:space="preserve"> The Land and Water Forum recommend that greater central government leadership and practical support is required to address all of these challenges, and a properly independent and systematic review of the efficacy of the NPS-FW is required.</w:t>
      </w:r>
      <w:r w:rsidR="00CB2594" w:rsidRPr="00FC17F1">
        <w:rPr>
          <w:rStyle w:val="FootnoteReference"/>
          <w:rFonts w:cs="Times New Roman"/>
          <w:sz w:val="28"/>
          <w:szCs w:val="28"/>
          <w:lang w:val="en-AU"/>
        </w:rPr>
        <w:t xml:space="preserve"> </w:t>
      </w:r>
      <w:r w:rsidR="00CB2594" w:rsidRPr="00FC17F1">
        <w:rPr>
          <w:rStyle w:val="FootnoteReference"/>
          <w:rFonts w:cs="Times New Roman"/>
          <w:sz w:val="28"/>
          <w:szCs w:val="28"/>
          <w:lang w:val="en-AU"/>
        </w:rPr>
        <w:footnoteReference w:id="108"/>
      </w:r>
      <w:r w:rsidR="00CB2594" w:rsidRPr="00FC17F1">
        <w:rPr>
          <w:rFonts w:cs="Times New Roman"/>
          <w:sz w:val="28"/>
          <w:szCs w:val="28"/>
          <w:lang w:val="en-AU"/>
        </w:rPr>
        <w:t xml:space="preserve">  The HRF is however encouraged by recent government commitments to addressing these challenges: the NPS-FW was revised in September 2017 to include (amongst other things) a target that 90% of rivers and lakes will be ‘swimmable by 2014’ and a requirement that Regional Councils specify nutrient levels (such as nitrogen and phosphorous) that will be permitted in waterways. The new Minister has also indicated a willingness to work with Land and Water Forum to address some of the significant issues that remain.  </w:t>
      </w:r>
    </w:p>
    <w:p w14:paraId="67E37459" w14:textId="212CDA06" w:rsidR="00FA1645" w:rsidRDefault="00FA1645" w:rsidP="00FC17F1">
      <w:pPr>
        <w:spacing w:line="360" w:lineRule="auto"/>
        <w:jc w:val="both"/>
        <w:rPr>
          <w:rFonts w:cs="Times New Roman"/>
          <w:sz w:val="28"/>
          <w:szCs w:val="28"/>
          <w:lang w:val="en-AU"/>
        </w:rPr>
      </w:pPr>
    </w:p>
    <w:p w14:paraId="0CA2B833" w14:textId="77777777" w:rsidR="00FA1645" w:rsidRPr="00B94DC0" w:rsidRDefault="00FA1645" w:rsidP="00FC17F1">
      <w:pPr>
        <w:jc w:val="both"/>
        <w:rPr>
          <w:b/>
          <w:bCs/>
          <w:smallCaps/>
          <w:sz w:val="28"/>
          <w:szCs w:val="28"/>
        </w:rPr>
      </w:pPr>
      <w:r w:rsidRPr="00B94DC0">
        <w:rPr>
          <w:b/>
          <w:smallCaps/>
          <w:sz w:val="28"/>
          <w:szCs w:val="28"/>
          <w:lang w:val="en-NZ"/>
        </w:rPr>
        <w:t xml:space="preserve">Privatisation of water: Implications For  Māori Rights </w:t>
      </w:r>
    </w:p>
    <w:p w14:paraId="50B4D28C" w14:textId="77777777" w:rsidR="00FA1645" w:rsidRDefault="00FA1645" w:rsidP="00FC17F1">
      <w:pPr>
        <w:spacing w:line="360" w:lineRule="auto"/>
        <w:jc w:val="both"/>
        <w:rPr>
          <w:rFonts w:cs="Times New Roman"/>
          <w:sz w:val="28"/>
          <w:szCs w:val="28"/>
          <w:lang w:val="en-AU"/>
        </w:rPr>
      </w:pPr>
    </w:p>
    <w:p w14:paraId="59660637" w14:textId="1876CF2B" w:rsidR="00342768" w:rsidRPr="00FC17F1" w:rsidRDefault="00342768" w:rsidP="00DA2390">
      <w:pPr>
        <w:pStyle w:val="ListParagraph"/>
        <w:numPr>
          <w:ilvl w:val="0"/>
          <w:numId w:val="10"/>
        </w:numPr>
        <w:spacing w:line="360" w:lineRule="auto"/>
        <w:ind w:left="720" w:hanging="540"/>
        <w:jc w:val="both"/>
        <w:rPr>
          <w:sz w:val="28"/>
          <w:szCs w:val="28"/>
          <w:lang w:val="en-AU"/>
        </w:rPr>
      </w:pPr>
      <w:r w:rsidRPr="00FC17F1">
        <w:rPr>
          <w:sz w:val="28"/>
          <w:szCs w:val="28"/>
          <w:lang w:val="en-AU"/>
        </w:rPr>
        <w:t xml:space="preserve">In New Zealand also, due to our history, there is another factor of growing importance: the making of customary claims by </w:t>
      </w:r>
      <w:r w:rsidR="003F2110" w:rsidRPr="00FC17F1">
        <w:rPr>
          <w:sz w:val="28"/>
          <w:szCs w:val="28"/>
          <w:lang w:val="en-AU"/>
        </w:rPr>
        <w:t>Maori, which</w:t>
      </w:r>
      <w:r w:rsidRPr="00FC17F1">
        <w:rPr>
          <w:sz w:val="28"/>
          <w:szCs w:val="28"/>
          <w:lang w:val="en-AU"/>
        </w:rPr>
        <w:t xml:space="preserve"> can then affect many aspects of water control, allocation and use. This is particularly the case as access to water becomes an issue of environmental and climate change concern and of potential profit. </w:t>
      </w:r>
      <w:r w:rsidRPr="00FC17F1">
        <w:rPr>
          <w:bCs/>
          <w:sz w:val="28"/>
          <w:szCs w:val="28"/>
          <w:lang w:val="en-NZ"/>
        </w:rPr>
        <w:t xml:space="preserve">The issue here is whether the New Zealand </w:t>
      </w:r>
      <w:r w:rsidRPr="00FC17F1">
        <w:rPr>
          <w:bCs/>
          <w:color w:val="000000" w:themeColor="text1"/>
          <w:sz w:val="28"/>
          <w:szCs w:val="28"/>
          <w:lang w:val="en-NZ"/>
        </w:rPr>
        <w:t xml:space="preserve">government has adequately recognised the right of Maori to govern, manage or own freshwater in New Zealand. </w:t>
      </w:r>
    </w:p>
    <w:p w14:paraId="64788863" w14:textId="77777777" w:rsidR="00FA1645" w:rsidRPr="00B94DC0" w:rsidRDefault="00FA1645" w:rsidP="00FC17F1">
      <w:pPr>
        <w:jc w:val="both"/>
        <w:rPr>
          <w:bCs/>
          <w:smallCaps/>
          <w:color w:val="000000" w:themeColor="text1"/>
        </w:rPr>
      </w:pPr>
    </w:p>
    <w:p w14:paraId="7F152789" w14:textId="77777777" w:rsidR="00FA1645" w:rsidRPr="00B94DC0" w:rsidRDefault="00FA1645" w:rsidP="00DA2390">
      <w:pPr>
        <w:pStyle w:val="ListParagraph"/>
        <w:numPr>
          <w:ilvl w:val="0"/>
          <w:numId w:val="10"/>
        </w:numPr>
        <w:tabs>
          <w:tab w:val="left" w:pos="720"/>
        </w:tabs>
        <w:spacing w:line="360" w:lineRule="auto"/>
        <w:ind w:left="720" w:hanging="540"/>
        <w:jc w:val="both"/>
        <w:rPr>
          <w:rFonts w:cs="Times New Roman"/>
          <w:bCs/>
          <w:smallCaps/>
          <w:color w:val="000000" w:themeColor="text1"/>
          <w:sz w:val="28"/>
          <w:szCs w:val="28"/>
        </w:rPr>
      </w:pPr>
      <w:r>
        <w:rPr>
          <w:rFonts w:cs="Times New Roman"/>
          <w:color w:val="000000" w:themeColor="text1"/>
          <w:sz w:val="28"/>
          <w:szCs w:val="28"/>
          <w:lang w:val="en-NZ"/>
        </w:rPr>
        <w:t xml:space="preserve"> </w:t>
      </w:r>
      <w:r w:rsidRPr="00B94DC0">
        <w:rPr>
          <w:rFonts w:cs="Times New Roman"/>
          <w:color w:val="000000" w:themeColor="text1"/>
          <w:sz w:val="28"/>
          <w:szCs w:val="28"/>
          <w:lang w:val="en-NZ"/>
        </w:rPr>
        <w:t xml:space="preserve">Access to safe drinking water by indigenous peoples is closely linked to control over their ancestral resources, including freshwater. Lack of legal recognition or protection of this resource can have far reaching </w:t>
      </w:r>
      <w:r w:rsidRPr="00B94DC0">
        <w:rPr>
          <w:rFonts w:cs="Times New Roman"/>
          <w:color w:val="000000" w:themeColor="text1"/>
          <w:sz w:val="28"/>
          <w:szCs w:val="28"/>
          <w:lang w:val="en-NZ"/>
        </w:rPr>
        <w:lastRenderedPageBreak/>
        <w:t>implications for their enjoyment of the right to water.</w:t>
      </w:r>
      <w:r w:rsidRPr="00B73789">
        <w:rPr>
          <w:rStyle w:val="FootnoteReference"/>
          <w:rFonts w:cs="Times New Roman"/>
          <w:color w:val="000000" w:themeColor="text1"/>
          <w:sz w:val="28"/>
          <w:szCs w:val="28"/>
          <w:lang w:val="en-NZ"/>
        </w:rPr>
        <w:footnoteReference w:id="109"/>
      </w:r>
      <w:r w:rsidRPr="00B94DC0">
        <w:rPr>
          <w:rFonts w:cs="Times New Roman"/>
          <w:color w:val="000000" w:themeColor="text1"/>
          <w:sz w:val="28"/>
          <w:szCs w:val="28"/>
          <w:lang w:val="en-NZ"/>
        </w:rPr>
        <w:t xml:space="preserve"> Traditionally, water is a </w:t>
      </w:r>
      <w:r w:rsidRPr="00B94DC0">
        <w:rPr>
          <w:rFonts w:cs="Times New Roman"/>
          <w:i/>
          <w:iCs/>
          <w:color w:val="000000" w:themeColor="text1"/>
          <w:sz w:val="28"/>
          <w:szCs w:val="28"/>
          <w:lang w:val="en-NZ"/>
        </w:rPr>
        <w:t>taonga</w:t>
      </w:r>
      <w:r w:rsidRPr="00B94DC0">
        <w:rPr>
          <w:rFonts w:cs="Times New Roman"/>
          <w:color w:val="000000" w:themeColor="text1"/>
          <w:sz w:val="28"/>
          <w:szCs w:val="28"/>
          <w:lang w:val="en-NZ"/>
        </w:rPr>
        <w:t xml:space="preserve"> (treasure) for Māori and even today it remains an integral political, economic and spiritual resource.</w:t>
      </w:r>
    </w:p>
    <w:p w14:paraId="699AB059" w14:textId="77777777" w:rsidR="00FA1645" w:rsidRPr="00B94DC0" w:rsidRDefault="00FA1645" w:rsidP="00FC17F1">
      <w:pPr>
        <w:pStyle w:val="ListParagraph"/>
        <w:jc w:val="both"/>
        <w:rPr>
          <w:rFonts w:cs="Times New Roman"/>
          <w:color w:val="000000" w:themeColor="text1"/>
          <w:sz w:val="28"/>
          <w:szCs w:val="28"/>
          <w:lang w:val="en-NZ"/>
        </w:rPr>
      </w:pPr>
    </w:p>
    <w:p w14:paraId="6E6C30A7" w14:textId="77777777" w:rsidR="00FA1645" w:rsidRPr="00B94DC0" w:rsidRDefault="00FA1645" w:rsidP="00DA2390">
      <w:pPr>
        <w:pStyle w:val="ListParagraph"/>
        <w:numPr>
          <w:ilvl w:val="0"/>
          <w:numId w:val="10"/>
        </w:numPr>
        <w:spacing w:line="360" w:lineRule="auto"/>
        <w:ind w:left="720" w:hanging="540"/>
        <w:jc w:val="both"/>
        <w:rPr>
          <w:rFonts w:cs="Times New Roman"/>
          <w:bCs/>
          <w:smallCaps/>
          <w:color w:val="000000" w:themeColor="text1"/>
          <w:sz w:val="28"/>
          <w:szCs w:val="28"/>
        </w:rPr>
      </w:pPr>
      <w:r>
        <w:rPr>
          <w:rFonts w:cs="Times New Roman"/>
          <w:color w:val="000000" w:themeColor="text1"/>
          <w:sz w:val="28"/>
          <w:szCs w:val="28"/>
          <w:lang w:val="en-NZ"/>
        </w:rPr>
        <w:t xml:space="preserve"> </w:t>
      </w:r>
      <w:r w:rsidRPr="00B94DC0">
        <w:rPr>
          <w:rFonts w:cs="Times New Roman"/>
          <w:color w:val="000000" w:themeColor="text1"/>
          <w:sz w:val="28"/>
          <w:szCs w:val="28"/>
          <w:lang w:val="en-NZ"/>
        </w:rPr>
        <w:t>In New Zealand, some recognition of Māori having legally binding rights and interests concerning freshwater resources can be seen in the government’s co-management approach to the Waikato river.</w:t>
      </w:r>
      <w:r w:rsidRPr="00B73789">
        <w:rPr>
          <w:rStyle w:val="FootnoteReference"/>
          <w:rFonts w:cs="Times New Roman"/>
          <w:color w:val="000000" w:themeColor="text1"/>
          <w:sz w:val="28"/>
          <w:szCs w:val="28"/>
          <w:lang w:val="en-NZ"/>
        </w:rPr>
        <w:footnoteReference w:id="110"/>
      </w:r>
      <w:r w:rsidRPr="00B94DC0">
        <w:rPr>
          <w:rFonts w:cs="Times New Roman"/>
          <w:color w:val="000000" w:themeColor="text1"/>
          <w:sz w:val="28"/>
          <w:szCs w:val="28"/>
          <w:lang w:val="en-NZ"/>
        </w:rPr>
        <w:t xml:space="preserve"> It has been noted that in order for Māori to be in partnership with the Crown in relation to water management, the government needs to implement co-management strategies. A Treaty claim was lodged by Māori concerning the issue of whether the Waikato-Tainui iwi (tribe) were partners with the Crown or stakeholders.</w:t>
      </w:r>
      <w:r w:rsidRPr="00B73789">
        <w:rPr>
          <w:rStyle w:val="FootnoteReference"/>
          <w:rFonts w:cs="Times New Roman"/>
          <w:color w:val="000000" w:themeColor="text1"/>
          <w:sz w:val="28"/>
          <w:szCs w:val="28"/>
          <w:lang w:val="en-NZ"/>
        </w:rPr>
        <w:footnoteReference w:id="111"/>
      </w:r>
      <w:r w:rsidRPr="00B94DC0">
        <w:rPr>
          <w:rFonts w:cs="Times New Roman"/>
          <w:color w:val="000000" w:themeColor="text1"/>
          <w:sz w:val="28"/>
          <w:szCs w:val="28"/>
          <w:lang w:val="en-NZ"/>
        </w:rPr>
        <w:t xml:space="preserve"> The deed of settlement in 2009 resulted in the establishment of the Waikato River Authority which was made up of equal members appointed by the Crown and iwi. The Authority was made responsible for the joint management of the river and for issuing resource consents. The settlement also provides for recognition of the Waikato-Tainui environmental plan, revisions for regulations relating to fisheries and other matters concerning conservation.  </w:t>
      </w:r>
    </w:p>
    <w:p w14:paraId="47936D34" w14:textId="77777777" w:rsidR="00FA1645" w:rsidRPr="00B94DC0" w:rsidRDefault="00FA1645" w:rsidP="00FC17F1">
      <w:pPr>
        <w:pStyle w:val="ListParagraph"/>
        <w:jc w:val="both"/>
        <w:rPr>
          <w:rFonts w:cs="Times New Roman"/>
          <w:color w:val="000000" w:themeColor="text1"/>
          <w:sz w:val="28"/>
          <w:szCs w:val="28"/>
          <w:lang w:val="en-NZ"/>
        </w:rPr>
      </w:pPr>
    </w:p>
    <w:p w14:paraId="7DD14B83" w14:textId="77777777" w:rsidR="00FA1645" w:rsidRDefault="00FA1645" w:rsidP="00DA2390">
      <w:pPr>
        <w:pStyle w:val="ListParagraph"/>
        <w:numPr>
          <w:ilvl w:val="0"/>
          <w:numId w:val="10"/>
        </w:numPr>
        <w:spacing w:line="360" w:lineRule="auto"/>
        <w:ind w:left="630" w:hanging="540"/>
        <w:jc w:val="both"/>
        <w:rPr>
          <w:rFonts w:cs="Times New Roman"/>
          <w:bCs/>
          <w:smallCaps/>
          <w:color w:val="000000" w:themeColor="text1"/>
          <w:sz w:val="28"/>
          <w:szCs w:val="28"/>
        </w:rPr>
      </w:pPr>
      <w:r>
        <w:rPr>
          <w:rFonts w:cs="Times New Roman"/>
          <w:color w:val="000000" w:themeColor="text1"/>
          <w:sz w:val="28"/>
          <w:szCs w:val="28"/>
          <w:lang w:val="en-NZ"/>
        </w:rPr>
        <w:t xml:space="preserve"> </w:t>
      </w:r>
      <w:r w:rsidRPr="00B94DC0">
        <w:rPr>
          <w:rFonts w:cs="Times New Roman"/>
          <w:color w:val="000000" w:themeColor="text1"/>
          <w:sz w:val="28"/>
          <w:szCs w:val="28"/>
          <w:lang w:val="en-NZ"/>
        </w:rPr>
        <w:t>However, New Zealand legislation as a whole does not clearly state whether Māori have rights and interests concerning freshwater resources. A Cabinet Paper in June 2009 noted that “the rights and interests of Māori in New Zealand’s freshwater resources remain undefined and unresolved”.</w:t>
      </w:r>
      <w:r w:rsidRPr="00B73789">
        <w:rPr>
          <w:rStyle w:val="FootnoteReference"/>
          <w:rFonts w:cs="Times New Roman"/>
          <w:color w:val="000000" w:themeColor="text1"/>
          <w:sz w:val="28"/>
          <w:szCs w:val="28"/>
          <w:lang w:val="en-NZ"/>
        </w:rPr>
        <w:footnoteReference w:id="112"/>
      </w:r>
      <w:r w:rsidRPr="00B94DC0">
        <w:rPr>
          <w:rFonts w:cs="Times New Roman"/>
          <w:color w:val="000000" w:themeColor="text1"/>
          <w:sz w:val="28"/>
          <w:szCs w:val="28"/>
          <w:lang w:val="en-NZ"/>
        </w:rPr>
        <w:t xml:space="preserve"> Jacinta Ruru, a senior lecturer at the University of Otago, states that “the uncertainty [of water ownership] arises because the common law in relation to flowing water does not recognise ownership </w:t>
      </w:r>
      <w:r w:rsidRPr="00B94DC0">
        <w:rPr>
          <w:rFonts w:cs="Times New Roman"/>
          <w:color w:val="000000" w:themeColor="text1"/>
          <w:sz w:val="28"/>
          <w:szCs w:val="28"/>
          <w:lang w:val="en-NZ"/>
        </w:rPr>
        <w:lastRenderedPageBreak/>
        <w:t>possibilities but the doctrine of native title does along with guarantees made to Māori in the Treaty of Waitangi. Further, New Zealand legislation is silent on ownership of water”.</w:t>
      </w:r>
      <w:r w:rsidRPr="00B73789">
        <w:rPr>
          <w:rStyle w:val="FootnoteReference"/>
          <w:rFonts w:cs="Times New Roman"/>
          <w:color w:val="000000" w:themeColor="text1"/>
          <w:sz w:val="28"/>
          <w:szCs w:val="28"/>
          <w:lang w:val="en-NZ"/>
        </w:rPr>
        <w:footnoteReference w:id="113"/>
      </w:r>
      <w:r w:rsidRPr="00B94DC0">
        <w:rPr>
          <w:rFonts w:cs="Times New Roman"/>
          <w:color w:val="000000" w:themeColor="text1"/>
          <w:sz w:val="28"/>
          <w:szCs w:val="28"/>
          <w:lang w:val="en-NZ"/>
        </w:rPr>
        <w:t xml:space="preserve"> The New Zealand Human Rights Commission contends that the Crown has reserved the right to grant access to water under the Resource Management Act</w:t>
      </w:r>
      <w:r w:rsidRPr="00B73789">
        <w:rPr>
          <w:rStyle w:val="FootnoteReference"/>
          <w:rFonts w:cs="Times New Roman"/>
          <w:color w:val="000000" w:themeColor="text1"/>
          <w:sz w:val="28"/>
          <w:szCs w:val="28"/>
          <w:lang w:val="en-NZ"/>
        </w:rPr>
        <w:footnoteReference w:id="114"/>
      </w:r>
      <w:r w:rsidRPr="00B94DC0">
        <w:rPr>
          <w:rFonts w:cs="Times New Roman"/>
          <w:color w:val="000000" w:themeColor="text1"/>
          <w:sz w:val="28"/>
          <w:szCs w:val="28"/>
          <w:lang w:val="en-NZ"/>
        </w:rPr>
        <w:t xml:space="preserve"> and that this reflects the government position on water ownership in New Zealand.</w:t>
      </w:r>
      <w:r w:rsidRPr="00B73789">
        <w:rPr>
          <w:rStyle w:val="FootnoteReference"/>
          <w:rFonts w:cs="Times New Roman"/>
          <w:color w:val="000000" w:themeColor="text1"/>
          <w:sz w:val="28"/>
          <w:szCs w:val="28"/>
          <w:lang w:val="en-NZ"/>
        </w:rPr>
        <w:footnoteReference w:id="115"/>
      </w:r>
      <w:r w:rsidRPr="00B94DC0">
        <w:rPr>
          <w:rFonts w:cs="Times New Roman"/>
          <w:color w:val="000000" w:themeColor="text1"/>
          <w:sz w:val="28"/>
          <w:szCs w:val="28"/>
          <w:lang w:val="en-NZ"/>
        </w:rPr>
        <w:t xml:space="preserve"> It has also been argued that if ownership of water is unclear under New Zealand legislation then the government must negotiate with Māori. It has been argued that if customary title rights still exist then the government must not continue to privatise something that they do not own.</w:t>
      </w:r>
      <w:r w:rsidRPr="00B73789">
        <w:rPr>
          <w:rStyle w:val="FootnoteReference"/>
          <w:rFonts w:cs="Times New Roman"/>
          <w:color w:val="000000" w:themeColor="text1"/>
          <w:sz w:val="28"/>
          <w:szCs w:val="28"/>
          <w:lang w:val="en-NZ"/>
        </w:rPr>
        <w:footnoteReference w:id="116"/>
      </w:r>
    </w:p>
    <w:p w14:paraId="614AE8CF" w14:textId="77777777" w:rsidR="00FA1645" w:rsidRDefault="00FA1645" w:rsidP="00FC17F1">
      <w:pPr>
        <w:spacing w:line="276" w:lineRule="auto"/>
        <w:jc w:val="both"/>
        <w:rPr>
          <w:rFonts w:cs="Times New Roman"/>
          <w:b/>
          <w:color w:val="000000" w:themeColor="text1"/>
          <w:sz w:val="28"/>
          <w:szCs w:val="28"/>
          <w:lang w:val="en-NZ"/>
        </w:rPr>
      </w:pPr>
    </w:p>
    <w:p w14:paraId="11D22FBC" w14:textId="77777777" w:rsidR="00FA1645" w:rsidRPr="00B94DC0" w:rsidRDefault="00FA1645" w:rsidP="00FC17F1">
      <w:pPr>
        <w:spacing w:line="276" w:lineRule="auto"/>
        <w:ind w:left="-180" w:firstLine="90"/>
        <w:jc w:val="both"/>
        <w:rPr>
          <w:rFonts w:cs="Times New Roman"/>
          <w:bCs/>
          <w:smallCaps/>
          <w:color w:val="000000" w:themeColor="text1"/>
          <w:sz w:val="28"/>
          <w:szCs w:val="28"/>
        </w:rPr>
      </w:pPr>
      <w:r w:rsidRPr="00B94DC0">
        <w:rPr>
          <w:rFonts w:cs="Times New Roman"/>
          <w:b/>
          <w:color w:val="000000" w:themeColor="text1"/>
          <w:sz w:val="28"/>
          <w:szCs w:val="28"/>
          <w:lang w:val="en-NZ"/>
        </w:rPr>
        <w:t>Conclusion</w:t>
      </w:r>
    </w:p>
    <w:p w14:paraId="477DED4D" w14:textId="77777777" w:rsidR="00FA1645" w:rsidRPr="00B94DC0" w:rsidRDefault="00FA1645" w:rsidP="00DA2390">
      <w:pPr>
        <w:pStyle w:val="ListParagraph"/>
        <w:numPr>
          <w:ilvl w:val="0"/>
          <w:numId w:val="10"/>
        </w:numPr>
        <w:spacing w:line="360" w:lineRule="auto"/>
        <w:ind w:left="630" w:hanging="540"/>
        <w:jc w:val="both"/>
        <w:rPr>
          <w:rFonts w:cs="Times New Roman"/>
          <w:color w:val="000000" w:themeColor="text1"/>
          <w:sz w:val="28"/>
          <w:szCs w:val="28"/>
          <w:lang w:val="en-NZ"/>
        </w:rPr>
      </w:pPr>
      <w:r>
        <w:rPr>
          <w:rFonts w:cs="Times New Roman"/>
          <w:color w:val="000000" w:themeColor="text1"/>
          <w:sz w:val="28"/>
          <w:szCs w:val="28"/>
          <w:lang w:val="en-NZ"/>
        </w:rPr>
        <w:t xml:space="preserve"> </w:t>
      </w:r>
      <w:r w:rsidRPr="00B94DC0">
        <w:rPr>
          <w:rFonts w:cs="Times New Roman"/>
          <w:color w:val="000000" w:themeColor="text1"/>
          <w:sz w:val="28"/>
          <w:szCs w:val="28"/>
          <w:lang w:val="en-NZ"/>
        </w:rPr>
        <w:t>There are clearly complex issues of ownership that arise in relation to Māori customary claims to water resources. In fact, the issue of water ownership remains highly contested and controversial in New Zealand, particularly in light of recent developments in relation to State Owned assets.</w:t>
      </w:r>
    </w:p>
    <w:p w14:paraId="4505910B" w14:textId="77777777" w:rsidR="00FA1645" w:rsidRPr="00B73789" w:rsidRDefault="00FA1645" w:rsidP="00DA2390">
      <w:pPr>
        <w:spacing w:line="360" w:lineRule="auto"/>
        <w:ind w:left="1134"/>
        <w:jc w:val="both"/>
        <w:rPr>
          <w:rFonts w:cs="Times New Roman"/>
          <w:color w:val="000000" w:themeColor="text1"/>
          <w:sz w:val="28"/>
          <w:szCs w:val="28"/>
          <w:lang w:val="en-NZ"/>
        </w:rPr>
      </w:pPr>
    </w:p>
    <w:p w14:paraId="019A2652" w14:textId="5FE7A691" w:rsidR="00FA1645" w:rsidRDefault="00FA1645" w:rsidP="00FC17F1">
      <w:pPr>
        <w:spacing w:line="276" w:lineRule="auto"/>
        <w:jc w:val="both"/>
        <w:rPr>
          <w:rFonts w:cs="Times New Roman"/>
          <w:b/>
          <w:color w:val="000000" w:themeColor="text1"/>
          <w:sz w:val="28"/>
          <w:szCs w:val="28"/>
          <w:lang w:val="en-NZ"/>
        </w:rPr>
      </w:pPr>
      <w:r w:rsidRPr="00B02A33">
        <w:rPr>
          <w:rFonts w:cs="Times New Roman"/>
          <w:b/>
          <w:color w:val="000000" w:themeColor="text1"/>
          <w:sz w:val="28"/>
          <w:szCs w:val="28"/>
          <w:lang w:val="en-NZ"/>
        </w:rPr>
        <w:t>Recommendation</w:t>
      </w:r>
    </w:p>
    <w:p w14:paraId="54EDEC2E" w14:textId="77777777" w:rsidR="00FA1645" w:rsidRPr="00B94DC0" w:rsidRDefault="00FA1645" w:rsidP="00FC17F1">
      <w:pPr>
        <w:spacing w:line="276" w:lineRule="auto"/>
        <w:jc w:val="both"/>
        <w:rPr>
          <w:rFonts w:cs="Times New Roman"/>
          <w:color w:val="000000" w:themeColor="text1"/>
          <w:sz w:val="28"/>
          <w:szCs w:val="28"/>
          <w:lang w:val="en-NZ"/>
        </w:rPr>
      </w:pPr>
    </w:p>
    <w:p w14:paraId="3499EF4F" w14:textId="5FAA1920" w:rsidR="00B705C0" w:rsidRDefault="00B705C0" w:rsidP="00DA2390">
      <w:pPr>
        <w:pStyle w:val="ListParagraph"/>
        <w:numPr>
          <w:ilvl w:val="0"/>
          <w:numId w:val="10"/>
        </w:numPr>
        <w:spacing w:line="276" w:lineRule="auto"/>
        <w:ind w:left="630" w:hanging="540"/>
        <w:jc w:val="both"/>
        <w:rPr>
          <w:rFonts w:cs="Times New Roman"/>
          <w:b/>
          <w:color w:val="000000" w:themeColor="text1"/>
          <w:sz w:val="28"/>
          <w:szCs w:val="28"/>
          <w:lang w:val="en-NZ"/>
        </w:rPr>
      </w:pPr>
      <w:r>
        <w:rPr>
          <w:rFonts w:cs="Times New Roman"/>
          <w:b/>
          <w:color w:val="000000" w:themeColor="text1"/>
          <w:sz w:val="28"/>
          <w:szCs w:val="28"/>
          <w:lang w:val="en-NZ"/>
        </w:rPr>
        <w:t>T</w:t>
      </w:r>
      <w:r w:rsidR="00FA1645" w:rsidRPr="00FC17F1">
        <w:rPr>
          <w:rFonts w:cs="Times New Roman"/>
          <w:b/>
          <w:color w:val="000000" w:themeColor="text1"/>
          <w:sz w:val="28"/>
          <w:szCs w:val="28"/>
          <w:lang w:val="en-NZ"/>
        </w:rPr>
        <w:t xml:space="preserve">he HRF recommends that the Committee ask to be kept informed </w:t>
      </w:r>
      <w:r w:rsidR="00C96ED7">
        <w:rPr>
          <w:rFonts w:cs="Times New Roman"/>
          <w:b/>
          <w:color w:val="000000" w:themeColor="text1"/>
          <w:sz w:val="28"/>
          <w:szCs w:val="28"/>
          <w:lang w:val="en-NZ"/>
        </w:rPr>
        <w:t xml:space="preserve">on a regular basis </w:t>
      </w:r>
      <w:r w:rsidR="00FA1645" w:rsidRPr="00FC17F1">
        <w:rPr>
          <w:rFonts w:cs="Times New Roman"/>
          <w:b/>
          <w:color w:val="000000" w:themeColor="text1"/>
          <w:sz w:val="28"/>
          <w:szCs w:val="28"/>
          <w:lang w:val="en-NZ"/>
        </w:rPr>
        <w:t>as to how the New Zealand government is addressing</w:t>
      </w:r>
      <w:r>
        <w:rPr>
          <w:rFonts w:cs="Times New Roman"/>
          <w:b/>
          <w:color w:val="000000" w:themeColor="text1"/>
          <w:sz w:val="28"/>
          <w:szCs w:val="28"/>
          <w:lang w:val="en-NZ"/>
        </w:rPr>
        <w:t>:</w:t>
      </w:r>
    </w:p>
    <w:p w14:paraId="54C190BD" w14:textId="6154F808" w:rsidR="001F3507" w:rsidRDefault="001F3507">
      <w:pPr>
        <w:pStyle w:val="ListParagraph"/>
        <w:numPr>
          <w:ilvl w:val="1"/>
          <w:numId w:val="10"/>
        </w:numPr>
        <w:ind w:left="3060"/>
        <w:jc w:val="both"/>
        <w:rPr>
          <w:rFonts w:cs="Times New Roman"/>
          <w:b/>
          <w:color w:val="000000" w:themeColor="text1"/>
          <w:sz w:val="28"/>
          <w:szCs w:val="28"/>
          <w:lang w:val="en-NZ"/>
        </w:rPr>
      </w:pPr>
      <w:r w:rsidRPr="001F3507">
        <w:rPr>
          <w:rFonts w:cs="Times New Roman"/>
          <w:b/>
          <w:color w:val="000000" w:themeColor="text1"/>
          <w:sz w:val="28"/>
          <w:szCs w:val="28"/>
          <w:lang w:val="en-NZ"/>
        </w:rPr>
        <w:t>pressing issues concerning the availability, affordability, quality and safety of water in New Zealand;</w:t>
      </w:r>
    </w:p>
    <w:p w14:paraId="13BC2400" w14:textId="77777777" w:rsidR="00A365CF" w:rsidRPr="001F3507" w:rsidRDefault="00A365CF" w:rsidP="00DA2390">
      <w:pPr>
        <w:pStyle w:val="ListParagraph"/>
        <w:ind w:left="3060"/>
        <w:jc w:val="both"/>
        <w:rPr>
          <w:rFonts w:cs="Times New Roman"/>
          <w:b/>
          <w:color w:val="000000" w:themeColor="text1"/>
          <w:sz w:val="28"/>
          <w:szCs w:val="28"/>
          <w:lang w:val="en-NZ"/>
        </w:rPr>
      </w:pPr>
    </w:p>
    <w:p w14:paraId="69BC3A63" w14:textId="77777777" w:rsidR="001F3507" w:rsidRPr="00FA1645" w:rsidRDefault="001F3507" w:rsidP="00DA2390">
      <w:pPr>
        <w:pStyle w:val="ListParagraph"/>
        <w:numPr>
          <w:ilvl w:val="1"/>
          <w:numId w:val="10"/>
        </w:numPr>
        <w:tabs>
          <w:tab w:val="left" w:pos="2970"/>
        </w:tabs>
        <w:spacing w:line="276" w:lineRule="auto"/>
        <w:ind w:left="3060"/>
        <w:jc w:val="both"/>
        <w:rPr>
          <w:rFonts w:cs="Times New Roman"/>
          <w:b/>
          <w:color w:val="000000" w:themeColor="text1"/>
          <w:sz w:val="28"/>
          <w:szCs w:val="28"/>
          <w:lang w:val="en-NZ"/>
        </w:rPr>
      </w:pPr>
      <w:r w:rsidRPr="00000C93">
        <w:rPr>
          <w:rFonts w:cs="Times New Roman"/>
          <w:b/>
          <w:color w:val="000000" w:themeColor="text1"/>
          <w:sz w:val="28"/>
          <w:szCs w:val="28"/>
          <w:lang w:val="en-NZ"/>
        </w:rPr>
        <w:t>the recognition of Māori water rights.</w:t>
      </w:r>
    </w:p>
    <w:p w14:paraId="6B2E202C" w14:textId="77777777" w:rsidR="001F3507" w:rsidRDefault="001F3507" w:rsidP="00FC17F1">
      <w:pPr>
        <w:pStyle w:val="ListParagraph"/>
        <w:spacing w:line="276" w:lineRule="auto"/>
        <w:ind w:left="3240"/>
        <w:jc w:val="both"/>
        <w:rPr>
          <w:rFonts w:cs="Times New Roman"/>
          <w:b/>
          <w:color w:val="000000" w:themeColor="text1"/>
          <w:sz w:val="28"/>
          <w:szCs w:val="28"/>
          <w:lang w:val="en-NZ"/>
        </w:rPr>
      </w:pPr>
    </w:p>
    <w:p w14:paraId="12B7C26A" w14:textId="77777777" w:rsidR="00FA1645" w:rsidRPr="00FC17F1" w:rsidRDefault="00FA1645" w:rsidP="00FC17F1">
      <w:pPr>
        <w:spacing w:line="360" w:lineRule="auto"/>
        <w:jc w:val="both"/>
        <w:rPr>
          <w:rFonts w:asciiTheme="minorHAnsi" w:hAnsiTheme="minorHAnsi" w:cstheme="minorHAnsi"/>
          <w:b/>
          <w:lang w:val="en-AU"/>
        </w:rPr>
      </w:pPr>
    </w:p>
    <w:p w14:paraId="2876C290" w14:textId="4A930EED" w:rsidR="00CB2594" w:rsidRPr="00FC17F1" w:rsidRDefault="001F3507" w:rsidP="00FC17F1">
      <w:pPr>
        <w:spacing w:line="360" w:lineRule="auto"/>
        <w:ind w:left="720"/>
        <w:jc w:val="both"/>
        <w:rPr>
          <w:rFonts w:cs="Times New Roman"/>
          <w:sz w:val="28"/>
          <w:szCs w:val="28"/>
          <w:lang w:val="en-AU"/>
        </w:rPr>
      </w:pPr>
      <w:r>
        <w:rPr>
          <w:rFonts w:cs="Times New Roman"/>
          <w:sz w:val="28"/>
          <w:szCs w:val="28"/>
          <w:lang w:val="en-AU"/>
        </w:rPr>
        <w:lastRenderedPageBreak/>
        <w:t xml:space="preserve">Note: </w:t>
      </w:r>
      <w:r w:rsidR="00CB2594" w:rsidRPr="00FC17F1">
        <w:rPr>
          <w:rFonts w:cs="Times New Roman"/>
          <w:sz w:val="28"/>
          <w:szCs w:val="28"/>
          <w:lang w:val="en-AU"/>
        </w:rPr>
        <w:t>For additional background to these issues see the HRF’s 2012 Report to the Committee.</w:t>
      </w:r>
    </w:p>
    <w:p w14:paraId="6F12D857" w14:textId="77777777" w:rsidR="00CB2594" w:rsidRPr="00FC17F1" w:rsidRDefault="00CB2594" w:rsidP="00FC17F1">
      <w:pPr>
        <w:pStyle w:val="ListParagraph"/>
        <w:spacing w:line="360" w:lineRule="auto"/>
        <w:ind w:left="1440"/>
        <w:jc w:val="both"/>
        <w:rPr>
          <w:rFonts w:cs="Times New Roman"/>
          <w:sz w:val="28"/>
          <w:szCs w:val="28"/>
          <w:lang w:val="en-AU"/>
        </w:rPr>
      </w:pPr>
    </w:p>
    <w:p w14:paraId="41026D21" w14:textId="77777777" w:rsidR="00CB2594" w:rsidRPr="00FC17F1" w:rsidRDefault="00CB2594" w:rsidP="00FC17F1">
      <w:pPr>
        <w:pStyle w:val="ListParagraph"/>
        <w:spacing w:line="360" w:lineRule="auto"/>
        <w:jc w:val="both"/>
        <w:rPr>
          <w:rFonts w:cs="Times New Roman"/>
          <w:sz w:val="28"/>
          <w:szCs w:val="28"/>
        </w:rPr>
      </w:pPr>
    </w:p>
    <w:p w14:paraId="22406E93" w14:textId="125CC1BE" w:rsidR="00CB2594" w:rsidRPr="00FC17F1" w:rsidRDefault="00CB2594" w:rsidP="00FC17F1">
      <w:pPr>
        <w:spacing w:line="360" w:lineRule="auto"/>
        <w:ind w:left="-180"/>
        <w:jc w:val="both"/>
        <w:rPr>
          <w:rFonts w:cs="Times New Roman"/>
          <w:b/>
          <w:sz w:val="28"/>
          <w:szCs w:val="28"/>
        </w:rPr>
      </w:pPr>
      <w:r w:rsidRPr="00FC17F1">
        <w:rPr>
          <w:rFonts w:cs="Times New Roman"/>
          <w:b/>
          <w:sz w:val="28"/>
          <w:szCs w:val="28"/>
        </w:rPr>
        <w:t>Article 12 The Right to Health</w:t>
      </w:r>
    </w:p>
    <w:p w14:paraId="1CDEB00E" w14:textId="77777777" w:rsidR="00CB2594" w:rsidRPr="00FC17F1" w:rsidRDefault="00CB2594" w:rsidP="00FC17F1">
      <w:pPr>
        <w:pStyle w:val="ListParagraph"/>
        <w:spacing w:line="360" w:lineRule="auto"/>
        <w:ind w:left="1440"/>
        <w:jc w:val="both"/>
        <w:rPr>
          <w:rFonts w:cs="Times New Roman"/>
          <w:sz w:val="28"/>
          <w:szCs w:val="28"/>
        </w:rPr>
      </w:pPr>
    </w:p>
    <w:p w14:paraId="36CDBEF6" w14:textId="1B75FE87" w:rsidR="00CB2594" w:rsidRPr="00FC17F1" w:rsidRDefault="007036EE" w:rsidP="00DA2390">
      <w:pPr>
        <w:pStyle w:val="ListParagraph"/>
        <w:numPr>
          <w:ilvl w:val="0"/>
          <w:numId w:val="10"/>
        </w:numPr>
        <w:tabs>
          <w:tab w:val="left" w:pos="630"/>
        </w:tabs>
        <w:spacing w:line="360" w:lineRule="auto"/>
        <w:ind w:left="720" w:hanging="63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 xml:space="preserve">The Government has itself recognised that in New Zealand, Māori, Pacific peoples and socio-economically disadvantaged groups generally experience worse health outcomes than other New Zealanders. The causes of these differential outcomes are complex, but include differences in access, use and experience of health services, as well as differences in exposure to risk factors.  </w:t>
      </w:r>
    </w:p>
    <w:p w14:paraId="0C100C93" w14:textId="77777777" w:rsidR="00CB2594" w:rsidRPr="00FC17F1" w:rsidRDefault="00CB2594" w:rsidP="00FC17F1">
      <w:pPr>
        <w:pStyle w:val="ListParagraph"/>
        <w:spacing w:line="360" w:lineRule="auto"/>
        <w:ind w:left="780"/>
        <w:jc w:val="both"/>
        <w:rPr>
          <w:rFonts w:cs="Times New Roman"/>
          <w:sz w:val="28"/>
          <w:szCs w:val="28"/>
          <w:lang w:val="en-AU"/>
        </w:rPr>
      </w:pPr>
    </w:p>
    <w:p w14:paraId="11A17738" w14:textId="15481805" w:rsidR="00CB2594" w:rsidRPr="00FC17F1" w:rsidRDefault="007036EE" w:rsidP="00DA2390">
      <w:pPr>
        <w:pStyle w:val="ListParagraph"/>
        <w:numPr>
          <w:ilvl w:val="0"/>
          <w:numId w:val="10"/>
        </w:numPr>
        <w:spacing w:line="360" w:lineRule="auto"/>
        <w:ind w:left="63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These health issues are often linked to the problems of inadequate housing and are another factor stemming from and associated with poverty. Again children can be particularly affected. For example, the current levels of rheumatic fever in New Zealand are considered to be generally unacceptable in an affluent developed nation.</w:t>
      </w:r>
    </w:p>
    <w:p w14:paraId="69B2EA85" w14:textId="77777777" w:rsidR="00CB2594" w:rsidRPr="00FC17F1" w:rsidRDefault="00CB2594" w:rsidP="00FC17F1">
      <w:pPr>
        <w:pStyle w:val="ListParagraph"/>
        <w:spacing w:line="360" w:lineRule="auto"/>
        <w:jc w:val="both"/>
        <w:rPr>
          <w:rFonts w:cs="Times New Roman"/>
          <w:sz w:val="28"/>
          <w:szCs w:val="28"/>
          <w:lang w:val="en-AU"/>
        </w:rPr>
      </w:pPr>
    </w:p>
    <w:p w14:paraId="5EF41155" w14:textId="14D2DB16" w:rsidR="00CB2594" w:rsidRPr="00FC17F1" w:rsidRDefault="007036EE" w:rsidP="00DA2390">
      <w:pPr>
        <w:pStyle w:val="ListParagraph"/>
        <w:numPr>
          <w:ilvl w:val="0"/>
          <w:numId w:val="10"/>
        </w:numPr>
        <w:spacing w:line="360" w:lineRule="auto"/>
        <w:ind w:left="630" w:hanging="540"/>
        <w:jc w:val="both"/>
        <w:rPr>
          <w:rFonts w:cs="Times New Roman"/>
          <w:sz w:val="28"/>
          <w:szCs w:val="28"/>
          <w:lang w:val="en-AU"/>
        </w:rPr>
      </w:pPr>
      <w:r>
        <w:rPr>
          <w:rFonts w:cs="Times New Roman"/>
          <w:sz w:val="28"/>
          <w:szCs w:val="28"/>
          <w:lang w:val="en-AU"/>
        </w:rPr>
        <w:t xml:space="preserve"> </w:t>
      </w:r>
      <w:r w:rsidR="00CB2594" w:rsidRPr="00FC17F1">
        <w:rPr>
          <w:rFonts w:cs="Times New Roman"/>
          <w:sz w:val="28"/>
          <w:szCs w:val="28"/>
          <w:lang w:val="en-AU"/>
        </w:rPr>
        <w:t>Since 2000 there has been little change in the rate of death for children aged 0–14 years as a result of assault, abuse or neglect, and a small but significant fall in the hospitalisation rate for such injuries. The highest rates of assault, neglect or maltreatment are seen in the first year of life.</w:t>
      </w:r>
    </w:p>
    <w:p w14:paraId="5449DC85" w14:textId="77777777" w:rsidR="00CB2594" w:rsidRPr="00FC17F1" w:rsidRDefault="00CB2594" w:rsidP="00FC17F1">
      <w:pPr>
        <w:pStyle w:val="ListParagraph"/>
        <w:spacing w:line="360" w:lineRule="auto"/>
        <w:ind w:left="360"/>
        <w:jc w:val="both"/>
        <w:rPr>
          <w:rFonts w:cs="Times New Roman"/>
          <w:sz w:val="28"/>
          <w:szCs w:val="28"/>
        </w:rPr>
      </w:pPr>
    </w:p>
    <w:p w14:paraId="21B4ADFD" w14:textId="45867958" w:rsidR="00CB2594" w:rsidRDefault="00CB2594" w:rsidP="00FC17F1">
      <w:pPr>
        <w:spacing w:line="360" w:lineRule="auto"/>
        <w:ind w:hanging="180"/>
        <w:jc w:val="both"/>
        <w:rPr>
          <w:rFonts w:cs="Times New Roman"/>
          <w:b/>
          <w:sz w:val="28"/>
          <w:szCs w:val="28"/>
        </w:rPr>
      </w:pPr>
      <w:r w:rsidRPr="00FC17F1">
        <w:rPr>
          <w:rFonts w:cs="Times New Roman"/>
          <w:b/>
          <w:sz w:val="28"/>
          <w:szCs w:val="28"/>
        </w:rPr>
        <w:t xml:space="preserve">Article 12 - </w:t>
      </w:r>
      <w:r w:rsidR="00FA1645">
        <w:rPr>
          <w:rFonts w:cs="Times New Roman"/>
          <w:b/>
          <w:sz w:val="28"/>
          <w:szCs w:val="28"/>
        </w:rPr>
        <w:t>The</w:t>
      </w:r>
      <w:r w:rsidRPr="00FC17F1">
        <w:rPr>
          <w:rFonts w:cs="Times New Roman"/>
          <w:b/>
          <w:sz w:val="28"/>
          <w:szCs w:val="28"/>
        </w:rPr>
        <w:t xml:space="preserve"> Right to a </w:t>
      </w:r>
      <w:r w:rsidR="00FA1645">
        <w:rPr>
          <w:rFonts w:cs="Times New Roman"/>
          <w:b/>
          <w:sz w:val="28"/>
          <w:szCs w:val="28"/>
        </w:rPr>
        <w:t>S</w:t>
      </w:r>
      <w:r w:rsidRPr="00FC17F1">
        <w:rPr>
          <w:rFonts w:cs="Times New Roman"/>
          <w:b/>
          <w:sz w:val="28"/>
          <w:szCs w:val="28"/>
        </w:rPr>
        <w:t xml:space="preserve">ustainable </w:t>
      </w:r>
      <w:r w:rsidR="00FA1645">
        <w:rPr>
          <w:rFonts w:cs="Times New Roman"/>
          <w:b/>
          <w:sz w:val="28"/>
          <w:szCs w:val="28"/>
        </w:rPr>
        <w:t>H</w:t>
      </w:r>
      <w:r w:rsidRPr="00FC17F1">
        <w:rPr>
          <w:rFonts w:cs="Times New Roman"/>
          <w:b/>
          <w:sz w:val="28"/>
          <w:szCs w:val="28"/>
        </w:rPr>
        <w:t xml:space="preserve">ealthy </w:t>
      </w:r>
      <w:r w:rsidR="00FA1645">
        <w:rPr>
          <w:rFonts w:cs="Times New Roman"/>
          <w:b/>
          <w:sz w:val="28"/>
          <w:szCs w:val="28"/>
        </w:rPr>
        <w:t>E</w:t>
      </w:r>
      <w:r w:rsidRPr="00FC17F1">
        <w:rPr>
          <w:rFonts w:cs="Times New Roman"/>
          <w:b/>
          <w:sz w:val="28"/>
          <w:szCs w:val="28"/>
        </w:rPr>
        <w:t>nvironment</w:t>
      </w:r>
    </w:p>
    <w:p w14:paraId="37A37E79" w14:textId="77777777" w:rsidR="00FA1645" w:rsidRPr="00FC17F1" w:rsidRDefault="00FA1645" w:rsidP="00FC17F1">
      <w:pPr>
        <w:spacing w:line="360" w:lineRule="auto"/>
        <w:jc w:val="both"/>
        <w:rPr>
          <w:rFonts w:cs="Times New Roman"/>
          <w:b/>
          <w:sz w:val="28"/>
          <w:szCs w:val="28"/>
        </w:rPr>
      </w:pPr>
    </w:p>
    <w:p w14:paraId="16636FA3" w14:textId="3C3BCF17" w:rsidR="001F3507" w:rsidRPr="00FC17F1" w:rsidRDefault="007036EE" w:rsidP="00DA2390">
      <w:pPr>
        <w:pStyle w:val="ListParagraph"/>
        <w:numPr>
          <w:ilvl w:val="0"/>
          <w:numId w:val="10"/>
        </w:numPr>
        <w:spacing w:line="360" w:lineRule="auto"/>
        <w:ind w:left="720" w:hanging="630"/>
        <w:jc w:val="both"/>
        <w:rPr>
          <w:rFonts w:cs="Times New Roman"/>
          <w:sz w:val="28"/>
          <w:szCs w:val="28"/>
        </w:rPr>
      </w:pPr>
      <w:r>
        <w:rPr>
          <w:rFonts w:cs="Times New Roman"/>
          <w:sz w:val="28"/>
          <w:szCs w:val="28"/>
        </w:rPr>
        <w:t xml:space="preserve"> </w:t>
      </w:r>
      <w:r w:rsidR="00CB2594" w:rsidRPr="00FC17F1">
        <w:rPr>
          <w:rFonts w:cs="Times New Roman"/>
          <w:sz w:val="28"/>
          <w:szCs w:val="28"/>
        </w:rPr>
        <w:t>One recognised social determinant of the right to health is a sustainable healthy environment. New Zealand’s constitutional framework makes no reference to environmental issues</w:t>
      </w:r>
      <w:r w:rsidR="00CB2061">
        <w:rPr>
          <w:rFonts w:cs="Times New Roman"/>
          <w:sz w:val="28"/>
          <w:szCs w:val="28"/>
        </w:rPr>
        <w:t>;</w:t>
      </w:r>
      <w:r w:rsidR="00CB2594" w:rsidRPr="00FC17F1">
        <w:rPr>
          <w:rFonts w:cs="Times New Roman"/>
          <w:sz w:val="28"/>
          <w:szCs w:val="28"/>
        </w:rPr>
        <w:t xml:space="preserve"> however a comprehensive suite of </w:t>
      </w:r>
      <w:r w:rsidR="00CB2594" w:rsidRPr="00FC17F1">
        <w:rPr>
          <w:rFonts w:cs="Times New Roman"/>
          <w:sz w:val="28"/>
          <w:szCs w:val="28"/>
        </w:rPr>
        <w:lastRenderedPageBreak/>
        <w:t>environmental legislation and regulations address environmental quality. Nevertheless,</w:t>
      </w:r>
      <w:r w:rsidR="00CB2594" w:rsidRPr="00FC17F1">
        <w:rPr>
          <w:rFonts w:cs="Times New Roman"/>
          <w:sz w:val="28"/>
          <w:szCs w:val="28"/>
          <w:lang w:val="en-AU"/>
        </w:rPr>
        <w:t xml:space="preserve"> public participation in environmental decision-making has become a concern for the HRF.</w:t>
      </w:r>
      <w:r w:rsidR="001F3507">
        <w:rPr>
          <w:rFonts w:cs="Times New Roman"/>
          <w:sz w:val="28"/>
          <w:szCs w:val="28"/>
          <w:lang w:val="en-AU"/>
        </w:rPr>
        <w:t xml:space="preserve"> </w:t>
      </w:r>
      <w:r w:rsidR="001F3507">
        <w:rPr>
          <w:rFonts w:cs="Times New Roman"/>
          <w:sz w:val="28"/>
          <w:szCs w:val="28"/>
          <w:lang w:val="en-AU"/>
        </w:rPr>
        <w:tab/>
      </w:r>
      <w:r w:rsidR="001F3507">
        <w:rPr>
          <w:rFonts w:cs="Times New Roman"/>
          <w:sz w:val="28"/>
          <w:szCs w:val="28"/>
          <w:lang w:val="en-AU"/>
        </w:rPr>
        <w:br/>
      </w:r>
    </w:p>
    <w:p w14:paraId="4730F535" w14:textId="388CA777" w:rsidR="001F3507" w:rsidRPr="00FC17F1" w:rsidRDefault="001F3507" w:rsidP="00DA2390">
      <w:pPr>
        <w:pStyle w:val="ListParagraph"/>
        <w:numPr>
          <w:ilvl w:val="0"/>
          <w:numId w:val="10"/>
        </w:numPr>
        <w:spacing w:line="360" w:lineRule="auto"/>
        <w:ind w:left="720" w:hanging="630"/>
        <w:jc w:val="both"/>
        <w:rPr>
          <w:rFonts w:cs="Times New Roman"/>
          <w:sz w:val="28"/>
          <w:szCs w:val="28"/>
        </w:rPr>
      </w:pPr>
      <w:r w:rsidRPr="005E5EDF">
        <w:rPr>
          <w:rFonts w:cs="Times New Roman"/>
          <w:sz w:val="28"/>
          <w:szCs w:val="28"/>
          <w:lang w:val="en-AU"/>
        </w:rPr>
        <w:t xml:space="preserve">Over the course of the last government a strong trend excluding the public from environmental decision-making emerged. For example, the Resource Management Act 1991 was amended to introduce limited-notification on some plan-making, and the long-standing statutory presumption in favour of public notification of resource consent applications was removed; the </w:t>
      </w:r>
      <w:r w:rsidRPr="005E5EDF">
        <w:rPr>
          <w:rFonts w:cs="Times New Roman"/>
          <w:color w:val="000000"/>
          <w:sz w:val="28"/>
          <w:szCs w:val="28"/>
        </w:rPr>
        <w:t>Exclusive Economic Zone and Continental Shelf (Environmental Effects—Non-notified Activities) Regulations 2014 were enacted to lock</w:t>
      </w:r>
      <w:r w:rsidRPr="005E5EDF">
        <w:rPr>
          <w:rFonts w:cs="Times New Roman"/>
          <w:sz w:val="28"/>
          <w:szCs w:val="28"/>
        </w:rPr>
        <w:t xml:space="preserve"> the public out of all decision-making concerning exploratory offshore oil and gas drilling; </w:t>
      </w:r>
      <w:r w:rsidRPr="005E5EDF">
        <w:rPr>
          <w:rFonts w:cs="Times New Roman"/>
          <w:sz w:val="28"/>
          <w:szCs w:val="28"/>
          <w:lang w:val="en-AU"/>
        </w:rPr>
        <w:t>a</w:t>
      </w:r>
      <w:r w:rsidRPr="005E5EDF">
        <w:rPr>
          <w:rFonts w:cs="Times New Roman"/>
          <w:sz w:val="28"/>
          <w:szCs w:val="28"/>
        </w:rPr>
        <w:t>nd the Crown Minerals Act 1991 was amended to made protesting against minerals exploitation at sea a criminal offence.</w:t>
      </w:r>
      <w:r w:rsidRPr="005E5EDF">
        <w:rPr>
          <w:rStyle w:val="FootnoteReference"/>
          <w:rFonts w:cs="Times New Roman"/>
          <w:sz w:val="28"/>
          <w:szCs w:val="28"/>
        </w:rPr>
        <w:footnoteReference w:id="117"/>
      </w:r>
      <w:r w:rsidRPr="005E5EDF">
        <w:rPr>
          <w:rFonts w:cs="Times New Roman"/>
          <w:sz w:val="28"/>
          <w:szCs w:val="28"/>
        </w:rPr>
        <w:t xml:space="preserve">  The manner in which this later change was effected draw condemnation from many sectors. It was introduced via a supplementary order paper (a process reserved usually for minor technical amendments to Bills) thus avoiding any opportunity for public input and parliamentary scrutiny.</w:t>
      </w:r>
      <w:r w:rsidRPr="005E5EDF">
        <w:rPr>
          <w:rFonts w:cs="Times New Roman"/>
          <w:sz w:val="28"/>
          <w:szCs w:val="28"/>
          <w:lang w:val="en-AU"/>
        </w:rPr>
        <w:t xml:space="preserve">  All of these measures suggest moves away from core environmental law principles and the 1992 Rio Declaration. </w:t>
      </w:r>
      <w:r w:rsidRPr="005E5EDF">
        <w:rPr>
          <w:rFonts w:cs="Times New Roman"/>
          <w:sz w:val="28"/>
          <w:szCs w:val="28"/>
        </w:rPr>
        <w:t>New Zealand is regarded as a liberal country with meaningful participatory democracy, and New Zealanders have a proud tradition of protesting against perceived social wrongs. It is the combination of these factors that make recent changes to public participation in environmental decision-making so incongruent and of concern to the HRF.</w:t>
      </w:r>
    </w:p>
    <w:p w14:paraId="0052120B" w14:textId="77777777" w:rsidR="00C96ED7" w:rsidRPr="00FC17F1" w:rsidRDefault="00C96ED7" w:rsidP="00FC17F1">
      <w:pPr>
        <w:spacing w:line="360" w:lineRule="auto"/>
        <w:jc w:val="both"/>
        <w:rPr>
          <w:rFonts w:cs="Times New Roman"/>
          <w:b/>
          <w:sz w:val="28"/>
          <w:szCs w:val="28"/>
        </w:rPr>
      </w:pPr>
    </w:p>
    <w:p w14:paraId="0DBEBC57" w14:textId="77777777" w:rsidR="00C96ED7" w:rsidRPr="00FC17F1" w:rsidRDefault="00C96ED7" w:rsidP="00FC17F1">
      <w:pPr>
        <w:spacing w:line="360" w:lineRule="auto"/>
        <w:jc w:val="both"/>
        <w:rPr>
          <w:rFonts w:cs="Times New Roman"/>
          <w:b/>
          <w:sz w:val="28"/>
          <w:szCs w:val="28"/>
        </w:rPr>
      </w:pPr>
    </w:p>
    <w:p w14:paraId="30E7C3D4" w14:textId="52E9FDE8" w:rsidR="00C96ED7" w:rsidRDefault="00C96ED7" w:rsidP="00FC17F1">
      <w:pPr>
        <w:pStyle w:val="ListParagraph"/>
        <w:spacing w:line="360" w:lineRule="auto"/>
        <w:ind w:left="-180"/>
        <w:jc w:val="both"/>
        <w:rPr>
          <w:rFonts w:cs="Times New Roman"/>
          <w:b/>
          <w:bCs/>
          <w:smallCaps/>
          <w:color w:val="000000" w:themeColor="text1"/>
          <w:sz w:val="28"/>
          <w:szCs w:val="28"/>
        </w:rPr>
      </w:pPr>
      <w:r>
        <w:rPr>
          <w:rFonts w:cs="Times New Roman"/>
          <w:b/>
          <w:bCs/>
          <w:smallCaps/>
          <w:color w:val="000000" w:themeColor="text1"/>
          <w:sz w:val="28"/>
          <w:szCs w:val="28"/>
        </w:rPr>
        <w:lastRenderedPageBreak/>
        <w:t xml:space="preserve">Recommendation </w:t>
      </w:r>
    </w:p>
    <w:p w14:paraId="7240181C" w14:textId="56657EB0" w:rsidR="00C96ED7" w:rsidRPr="00FC17F1" w:rsidRDefault="001F3507" w:rsidP="00DA2390">
      <w:pPr>
        <w:pStyle w:val="ListParagraph"/>
        <w:numPr>
          <w:ilvl w:val="0"/>
          <w:numId w:val="10"/>
        </w:numPr>
        <w:spacing w:line="360" w:lineRule="auto"/>
        <w:ind w:left="540"/>
        <w:jc w:val="both"/>
        <w:rPr>
          <w:b/>
          <w:sz w:val="28"/>
          <w:szCs w:val="28"/>
        </w:rPr>
      </w:pPr>
      <w:r w:rsidRPr="00FC17F1">
        <w:rPr>
          <w:rFonts w:cs="Times New Roman"/>
          <w:b/>
          <w:bCs/>
          <w:smallCaps/>
          <w:color w:val="000000" w:themeColor="text1"/>
          <w:sz w:val="28"/>
          <w:szCs w:val="28"/>
        </w:rPr>
        <w:t xml:space="preserve"> </w:t>
      </w:r>
      <w:r w:rsidR="00C96ED7" w:rsidRPr="00FC17F1">
        <w:rPr>
          <w:rFonts w:cs="Times New Roman"/>
          <w:b/>
          <w:bCs/>
          <w:smallCaps/>
          <w:color w:val="000000" w:themeColor="text1"/>
          <w:sz w:val="28"/>
          <w:szCs w:val="28"/>
        </w:rPr>
        <w:t>The hrf</w:t>
      </w:r>
      <w:r w:rsidR="00C96ED7" w:rsidRPr="00FC17F1">
        <w:rPr>
          <w:rFonts w:cs="Times New Roman"/>
          <w:sz w:val="28"/>
          <w:szCs w:val="28"/>
        </w:rPr>
        <w:t xml:space="preserve"> </w:t>
      </w:r>
      <w:r w:rsidR="00C96ED7" w:rsidRPr="00FC17F1">
        <w:rPr>
          <w:rFonts w:cs="Times New Roman"/>
          <w:b/>
          <w:sz w:val="28"/>
          <w:szCs w:val="28"/>
        </w:rPr>
        <w:t xml:space="preserve">recommends the Committee raise with the Government the issue of public participation in environmental decision-making. </w:t>
      </w:r>
    </w:p>
    <w:p w14:paraId="1FE9D327" w14:textId="77777777" w:rsidR="00C96ED7" w:rsidRPr="00C96ED7" w:rsidRDefault="00C96ED7" w:rsidP="00FC17F1">
      <w:pPr>
        <w:pStyle w:val="ListParagraph"/>
        <w:spacing w:line="276" w:lineRule="auto"/>
        <w:ind w:left="426"/>
        <w:jc w:val="both"/>
        <w:rPr>
          <w:rFonts w:cs="Times New Roman"/>
          <w:b/>
          <w:bCs/>
          <w:smallCaps/>
          <w:color w:val="000000" w:themeColor="text1"/>
          <w:sz w:val="28"/>
          <w:szCs w:val="28"/>
        </w:rPr>
      </w:pPr>
    </w:p>
    <w:p w14:paraId="571DA74C" w14:textId="75BE9E6C" w:rsidR="00B02A33" w:rsidRPr="00B02A33" w:rsidRDefault="00B02A33" w:rsidP="00FC17F1">
      <w:pPr>
        <w:pStyle w:val="ListParagraph"/>
        <w:spacing w:line="360" w:lineRule="auto"/>
        <w:ind w:left="420"/>
        <w:jc w:val="both"/>
      </w:pPr>
    </w:p>
    <w:p w14:paraId="27A7F650" w14:textId="77777777" w:rsidR="00B02A33" w:rsidRPr="00B73789" w:rsidRDefault="00B02A33" w:rsidP="00FC17F1">
      <w:pPr>
        <w:pStyle w:val="ListParagraph"/>
        <w:spacing w:line="276" w:lineRule="auto"/>
        <w:ind w:left="426"/>
        <w:jc w:val="both"/>
        <w:rPr>
          <w:rFonts w:cs="Times New Roman"/>
          <w:b/>
          <w:bCs/>
          <w:smallCaps/>
          <w:color w:val="000000" w:themeColor="text1"/>
          <w:sz w:val="28"/>
          <w:szCs w:val="28"/>
        </w:rPr>
      </w:pPr>
    </w:p>
    <w:p w14:paraId="4E5776EE" w14:textId="04CF9629" w:rsidR="00FD22D1" w:rsidRPr="00FC17F1" w:rsidRDefault="00FD22D1" w:rsidP="00FC17F1">
      <w:pPr>
        <w:jc w:val="both"/>
        <w:rPr>
          <w:b/>
          <w:smallCaps/>
          <w:sz w:val="28"/>
          <w:szCs w:val="28"/>
        </w:rPr>
      </w:pPr>
      <w:r w:rsidRPr="00FC17F1">
        <w:rPr>
          <w:b/>
          <w:smallCaps/>
          <w:sz w:val="28"/>
          <w:szCs w:val="28"/>
        </w:rPr>
        <w:t>Articles 13 and 14</w:t>
      </w:r>
      <w:r w:rsidRPr="00FC17F1">
        <w:rPr>
          <w:b/>
          <w:iCs/>
          <w:sz w:val="28"/>
          <w:szCs w:val="28"/>
        </w:rPr>
        <w:t xml:space="preserve">: </w:t>
      </w:r>
      <w:r w:rsidRPr="00FC17F1">
        <w:rPr>
          <w:b/>
          <w:smallCaps/>
          <w:sz w:val="28"/>
          <w:szCs w:val="28"/>
        </w:rPr>
        <w:t>Right to Education</w:t>
      </w:r>
    </w:p>
    <w:p w14:paraId="2AC05207" w14:textId="77777777" w:rsidR="002E0EC9" w:rsidRPr="00FC17F1" w:rsidRDefault="002E0EC9" w:rsidP="00FC17F1">
      <w:pPr>
        <w:pStyle w:val="BodyTextIndent"/>
        <w:spacing w:line="360" w:lineRule="auto"/>
        <w:ind w:left="0"/>
        <w:rPr>
          <w:b/>
          <w:smallCaps/>
          <w:sz w:val="28"/>
          <w:szCs w:val="28"/>
        </w:rPr>
      </w:pPr>
    </w:p>
    <w:p w14:paraId="178CDA25" w14:textId="1B3AA597" w:rsidR="00C960AA" w:rsidRPr="00FC17F1" w:rsidRDefault="00844284" w:rsidP="00FC17F1">
      <w:pPr>
        <w:pStyle w:val="BodyTextIndent"/>
        <w:spacing w:line="360" w:lineRule="auto"/>
        <w:ind w:left="-90"/>
        <w:rPr>
          <w:i/>
          <w:sz w:val="28"/>
          <w:szCs w:val="28"/>
        </w:rPr>
      </w:pPr>
      <w:r w:rsidRPr="00FC17F1">
        <w:rPr>
          <w:i/>
          <w:sz w:val="28"/>
          <w:szCs w:val="28"/>
        </w:rPr>
        <w:t xml:space="preserve"> </w:t>
      </w:r>
      <w:r w:rsidR="00CF52C5">
        <w:rPr>
          <w:i/>
          <w:sz w:val="28"/>
          <w:szCs w:val="28"/>
        </w:rPr>
        <w:t xml:space="preserve">Question </w:t>
      </w:r>
      <w:r w:rsidRPr="00FC17F1">
        <w:rPr>
          <w:i/>
          <w:sz w:val="28"/>
          <w:szCs w:val="28"/>
        </w:rPr>
        <w:t>24</w:t>
      </w:r>
      <w:r w:rsidR="00CF52C5">
        <w:rPr>
          <w:i/>
          <w:sz w:val="28"/>
          <w:szCs w:val="28"/>
        </w:rPr>
        <w:t>:</w:t>
      </w:r>
      <w:r w:rsidRPr="00FC17F1">
        <w:rPr>
          <w:i/>
          <w:sz w:val="28"/>
          <w:szCs w:val="28"/>
        </w:rPr>
        <w:t xml:space="preserve"> </w:t>
      </w:r>
      <w:r w:rsidR="00C960AA" w:rsidRPr="00FC17F1">
        <w:rPr>
          <w:i/>
          <w:sz w:val="28"/>
          <w:szCs w:val="28"/>
        </w:rPr>
        <w:t>Please provide statistical data on the educational outcomes from children from disadvantaged and marginalised households, disaggregated by gender, ethnicity and family status. Please provide information on support to households that may not be able to afford the indirect costs of schooling so as to ensure that access to education, including to secondary education, is not impaired due to such costs.</w:t>
      </w:r>
    </w:p>
    <w:p w14:paraId="33EB4BDC" w14:textId="77777777" w:rsidR="008423D7" w:rsidRPr="00FC17F1" w:rsidRDefault="008423D7" w:rsidP="00FC17F1">
      <w:pPr>
        <w:pStyle w:val="BodyTextIndent"/>
        <w:spacing w:line="360" w:lineRule="auto"/>
        <w:ind w:left="0"/>
        <w:rPr>
          <w:i/>
          <w:sz w:val="28"/>
          <w:szCs w:val="28"/>
        </w:rPr>
      </w:pPr>
    </w:p>
    <w:p w14:paraId="116A14B6" w14:textId="08879F91" w:rsidR="00AD76AA" w:rsidRPr="00C37B4D" w:rsidRDefault="00AD76AA" w:rsidP="00FC17F1">
      <w:pPr>
        <w:pStyle w:val="BodyTextIndent"/>
        <w:spacing w:line="360" w:lineRule="auto"/>
        <w:ind w:left="0"/>
        <w:rPr>
          <w:b/>
          <w:i/>
          <w:color w:val="FF0000"/>
          <w:sz w:val="28"/>
          <w:szCs w:val="28"/>
          <w:lang w:val="en-GB"/>
        </w:rPr>
      </w:pPr>
    </w:p>
    <w:p w14:paraId="61275F3D" w14:textId="7E8E70E4" w:rsidR="000F0CF2" w:rsidRPr="00FC17F1" w:rsidRDefault="00D3494A" w:rsidP="00DA2390">
      <w:pPr>
        <w:pStyle w:val="ListParagraph"/>
        <w:numPr>
          <w:ilvl w:val="0"/>
          <w:numId w:val="10"/>
        </w:numPr>
        <w:tabs>
          <w:tab w:val="left" w:pos="270"/>
        </w:tabs>
        <w:spacing w:after="160" w:line="360" w:lineRule="auto"/>
        <w:ind w:left="540"/>
        <w:jc w:val="both"/>
        <w:rPr>
          <w:rFonts w:cs="Times New Roman"/>
          <w:color w:val="000000" w:themeColor="text1"/>
          <w:sz w:val="28"/>
          <w:szCs w:val="28"/>
        </w:rPr>
      </w:pPr>
      <w:r>
        <w:rPr>
          <w:rFonts w:cs="Times New Roman"/>
          <w:sz w:val="28"/>
          <w:szCs w:val="28"/>
        </w:rPr>
        <w:t xml:space="preserve"> </w:t>
      </w:r>
      <w:r w:rsidR="005B6CC2" w:rsidRPr="00FC17F1">
        <w:rPr>
          <w:rFonts w:cs="Times New Roman"/>
          <w:sz w:val="28"/>
          <w:szCs w:val="28"/>
        </w:rPr>
        <w:t>Concerns expressed by education stakeholders in recent years include:</w:t>
      </w:r>
    </w:p>
    <w:p w14:paraId="48121AEE" w14:textId="77777777" w:rsidR="000F0CF2" w:rsidRPr="00C37B4D" w:rsidRDefault="005B6CC2" w:rsidP="00DA2390">
      <w:pPr>
        <w:pStyle w:val="ListParagraph"/>
        <w:numPr>
          <w:ilvl w:val="0"/>
          <w:numId w:val="16"/>
        </w:numPr>
        <w:tabs>
          <w:tab w:val="left" w:pos="1350"/>
        </w:tabs>
        <w:spacing w:after="160" w:line="360" w:lineRule="auto"/>
        <w:ind w:left="2070"/>
        <w:jc w:val="both"/>
        <w:rPr>
          <w:rFonts w:cs="Times New Roman"/>
          <w:color w:val="000000" w:themeColor="text1"/>
          <w:sz w:val="28"/>
          <w:szCs w:val="28"/>
        </w:rPr>
      </w:pPr>
      <w:r w:rsidRPr="00FC17F1">
        <w:rPr>
          <w:rFonts w:cs="Times New Roman"/>
          <w:color w:val="000000" w:themeColor="text1"/>
          <w:sz w:val="28"/>
          <w:szCs w:val="28"/>
        </w:rPr>
        <w:t>Slow access to “inclusive education” for children with disabilities, because of restricted professional development and financial support to schools</w:t>
      </w:r>
    </w:p>
    <w:p w14:paraId="4B1DB33E" w14:textId="415E7074" w:rsidR="000F0CF2" w:rsidRPr="00C37B4D" w:rsidRDefault="005B6CC2" w:rsidP="00DA2390">
      <w:pPr>
        <w:pStyle w:val="ListParagraph"/>
        <w:numPr>
          <w:ilvl w:val="0"/>
          <w:numId w:val="16"/>
        </w:numPr>
        <w:tabs>
          <w:tab w:val="left" w:pos="1350"/>
        </w:tabs>
        <w:spacing w:after="160" w:line="360" w:lineRule="auto"/>
        <w:ind w:left="2070"/>
        <w:jc w:val="both"/>
        <w:rPr>
          <w:rFonts w:cs="Times New Roman"/>
          <w:color w:val="000000" w:themeColor="text1"/>
          <w:sz w:val="28"/>
          <w:szCs w:val="28"/>
        </w:rPr>
      </w:pPr>
      <w:r w:rsidRPr="00FC17F1">
        <w:rPr>
          <w:rFonts w:cs="Times New Roman"/>
          <w:color w:val="000000" w:themeColor="text1"/>
          <w:sz w:val="28"/>
          <w:szCs w:val="28"/>
        </w:rPr>
        <w:t>A narrowing of the enacted curriculum in schools prompted by introduction of “National Standards” in literacy and numeracy, threatening the commitment to a broad curriculum aimed at “</w:t>
      </w:r>
      <w:r w:rsidRPr="00FC17F1">
        <w:rPr>
          <w:rFonts w:cs="Times New Roman"/>
          <w:color w:val="000000" w:themeColor="text1"/>
          <w:sz w:val="28"/>
          <w:szCs w:val="28"/>
          <w:lang w:eastAsia="en-NZ"/>
        </w:rPr>
        <w:t>the full development of the human personality and the sense of its dignity”</w:t>
      </w:r>
    </w:p>
    <w:p w14:paraId="3D5A1590" w14:textId="0BF79775" w:rsidR="001F3507" w:rsidRDefault="005B6CC2" w:rsidP="00DA2390">
      <w:pPr>
        <w:pStyle w:val="ListParagraph"/>
        <w:numPr>
          <w:ilvl w:val="0"/>
          <w:numId w:val="16"/>
        </w:numPr>
        <w:tabs>
          <w:tab w:val="left" w:pos="1350"/>
        </w:tabs>
        <w:spacing w:after="160" w:line="360" w:lineRule="auto"/>
        <w:ind w:left="2070"/>
        <w:jc w:val="both"/>
        <w:rPr>
          <w:rFonts w:cs="Times New Roman"/>
          <w:color w:val="000000" w:themeColor="text1"/>
          <w:sz w:val="28"/>
          <w:szCs w:val="28"/>
        </w:rPr>
      </w:pPr>
      <w:r w:rsidRPr="00FC17F1">
        <w:rPr>
          <w:rFonts w:cs="Times New Roman"/>
          <w:color w:val="000000" w:themeColor="text1"/>
          <w:sz w:val="28"/>
          <w:szCs w:val="28"/>
          <w:lang w:eastAsia="en-NZ"/>
        </w:rPr>
        <w:t>Threats to “free education” made by (illegal) fees and invoiced requests to parents for standard “donations”.</w:t>
      </w:r>
    </w:p>
    <w:p w14:paraId="347A0E24" w14:textId="77777777" w:rsidR="001F3507" w:rsidRPr="00FC17F1" w:rsidRDefault="001F3507" w:rsidP="00FC17F1">
      <w:pPr>
        <w:pStyle w:val="ListParagraph"/>
        <w:tabs>
          <w:tab w:val="left" w:pos="1350"/>
        </w:tabs>
        <w:spacing w:after="160" w:line="360" w:lineRule="auto"/>
        <w:ind w:left="2070"/>
        <w:jc w:val="both"/>
        <w:rPr>
          <w:rFonts w:cs="Times New Roman"/>
          <w:color w:val="000000" w:themeColor="text1"/>
          <w:sz w:val="28"/>
          <w:szCs w:val="28"/>
        </w:rPr>
      </w:pPr>
    </w:p>
    <w:p w14:paraId="7088289F" w14:textId="56012995" w:rsidR="00790AC3" w:rsidRPr="00C37B4D" w:rsidRDefault="005B6CC2" w:rsidP="00DA2390">
      <w:pPr>
        <w:pStyle w:val="ListParagraph"/>
        <w:numPr>
          <w:ilvl w:val="0"/>
          <w:numId w:val="10"/>
        </w:numPr>
        <w:spacing w:after="160" w:line="360" w:lineRule="auto"/>
        <w:ind w:left="720" w:hanging="540"/>
        <w:jc w:val="both"/>
        <w:rPr>
          <w:rFonts w:cs="Times New Roman"/>
          <w:color w:val="4BACC6" w:themeColor="accent5"/>
          <w:sz w:val="28"/>
          <w:szCs w:val="28"/>
          <w:lang w:eastAsia="en-NZ"/>
        </w:rPr>
      </w:pPr>
      <w:r w:rsidRPr="00FC17F1">
        <w:rPr>
          <w:rFonts w:cs="Times New Roman"/>
          <w:sz w:val="28"/>
          <w:szCs w:val="28"/>
        </w:rPr>
        <w:t xml:space="preserve">The Labour-led government </w:t>
      </w:r>
      <w:r w:rsidR="004478B9">
        <w:rPr>
          <w:rFonts w:cs="Times New Roman"/>
          <w:sz w:val="28"/>
          <w:szCs w:val="28"/>
        </w:rPr>
        <w:t xml:space="preserve">has </w:t>
      </w:r>
      <w:r w:rsidRPr="00FC17F1">
        <w:rPr>
          <w:rFonts w:cs="Times New Roman"/>
          <w:sz w:val="28"/>
          <w:szCs w:val="28"/>
        </w:rPr>
        <w:t>made a range of commitments r</w:t>
      </w:r>
      <w:r w:rsidR="000E376E" w:rsidRPr="00C37B4D">
        <w:rPr>
          <w:rFonts w:cs="Times New Roman"/>
          <w:sz w:val="28"/>
          <w:szCs w:val="28"/>
        </w:rPr>
        <w:t>egarding the right to education</w:t>
      </w:r>
      <w:r w:rsidRPr="00FC17F1">
        <w:rPr>
          <w:rFonts w:cs="Times New Roman"/>
          <w:color w:val="4BACC6" w:themeColor="accent5"/>
          <w:sz w:val="28"/>
          <w:szCs w:val="28"/>
          <w:lang w:eastAsia="en-NZ"/>
        </w:rPr>
        <w:t>.</w:t>
      </w:r>
    </w:p>
    <w:p w14:paraId="7204296E" w14:textId="77777777" w:rsidR="00790AC3" w:rsidRPr="00C37B4D" w:rsidRDefault="00790AC3" w:rsidP="00FC17F1">
      <w:pPr>
        <w:spacing w:after="160" w:line="360" w:lineRule="auto"/>
        <w:jc w:val="both"/>
        <w:rPr>
          <w:rFonts w:cs="Times New Roman"/>
          <w:b/>
          <w:sz w:val="28"/>
          <w:szCs w:val="28"/>
          <w:lang w:eastAsia="en-NZ"/>
        </w:rPr>
      </w:pPr>
    </w:p>
    <w:p w14:paraId="222A26AA" w14:textId="05A523E8" w:rsidR="005B6CC2" w:rsidRPr="00FC17F1" w:rsidRDefault="005B6CC2" w:rsidP="00FC17F1">
      <w:pPr>
        <w:spacing w:after="160" w:line="360" w:lineRule="auto"/>
        <w:ind w:left="-180"/>
        <w:jc w:val="both"/>
        <w:rPr>
          <w:rFonts w:cs="Times New Roman"/>
          <w:color w:val="4BACC6" w:themeColor="accent5"/>
          <w:sz w:val="28"/>
          <w:szCs w:val="28"/>
          <w:lang w:eastAsia="en-NZ"/>
        </w:rPr>
      </w:pPr>
      <w:r w:rsidRPr="00FC17F1">
        <w:rPr>
          <w:rFonts w:cs="Times New Roman"/>
          <w:b/>
          <w:sz w:val="28"/>
          <w:szCs w:val="28"/>
          <w:lang w:eastAsia="en-NZ"/>
        </w:rPr>
        <w:t>“</w:t>
      </w:r>
      <w:r w:rsidR="004478B9">
        <w:rPr>
          <w:rFonts w:cs="Times New Roman"/>
          <w:b/>
          <w:sz w:val="28"/>
          <w:szCs w:val="28"/>
          <w:lang w:eastAsia="en-NZ"/>
        </w:rPr>
        <w:t>T</w:t>
      </w:r>
      <w:r w:rsidRPr="00FC17F1">
        <w:rPr>
          <w:rFonts w:cs="Times New Roman"/>
          <w:b/>
          <w:sz w:val="28"/>
          <w:szCs w:val="28"/>
          <w:lang w:eastAsia="en-NZ"/>
        </w:rPr>
        <w:t>he right of everyone to education” (article 13.1)</w:t>
      </w:r>
    </w:p>
    <w:p w14:paraId="461A0E91" w14:textId="40CF6588" w:rsidR="005B6CC2" w:rsidRPr="00C37B4D" w:rsidRDefault="005B6CC2" w:rsidP="00DA2390">
      <w:pPr>
        <w:pStyle w:val="ListParagraph"/>
        <w:numPr>
          <w:ilvl w:val="0"/>
          <w:numId w:val="10"/>
        </w:numPr>
        <w:tabs>
          <w:tab w:val="left" w:pos="720"/>
        </w:tabs>
        <w:spacing w:after="180" w:line="360" w:lineRule="auto"/>
        <w:ind w:left="720" w:hanging="540"/>
        <w:jc w:val="both"/>
        <w:rPr>
          <w:rFonts w:cs="Times New Roman"/>
          <w:color w:val="333333"/>
          <w:sz w:val="28"/>
          <w:szCs w:val="28"/>
          <w:lang w:val="en-US"/>
        </w:rPr>
      </w:pPr>
      <w:r w:rsidRPr="00FC17F1">
        <w:rPr>
          <w:rFonts w:cs="Times New Roman"/>
          <w:color w:val="333333"/>
          <w:sz w:val="28"/>
          <w:szCs w:val="28"/>
          <w:lang w:val="en-US"/>
        </w:rPr>
        <w:t>The government has committed to strengthening provision for three groups ill-served by NZ education – Maori, Pasifika, and children with disabilities – though specific details are not yet available.</w:t>
      </w:r>
      <w:r w:rsidR="000E376E" w:rsidRPr="00C37B4D">
        <w:rPr>
          <w:rFonts w:cs="Times New Roman"/>
          <w:color w:val="333333"/>
          <w:sz w:val="28"/>
          <w:szCs w:val="28"/>
          <w:lang w:val="en-US"/>
        </w:rPr>
        <w:tab/>
      </w:r>
    </w:p>
    <w:p w14:paraId="6F76E354" w14:textId="77777777" w:rsidR="000E376E" w:rsidRPr="00FC17F1" w:rsidRDefault="000E376E" w:rsidP="00FC17F1">
      <w:pPr>
        <w:pStyle w:val="ListParagraph"/>
        <w:spacing w:after="180" w:line="360" w:lineRule="auto"/>
        <w:ind w:left="360"/>
        <w:jc w:val="both"/>
        <w:rPr>
          <w:rFonts w:cs="Times New Roman"/>
          <w:color w:val="333333"/>
          <w:sz w:val="28"/>
          <w:szCs w:val="28"/>
          <w:lang w:val="en-US"/>
        </w:rPr>
      </w:pPr>
    </w:p>
    <w:p w14:paraId="4F70D2C6" w14:textId="23D3590E" w:rsidR="005B6CC2" w:rsidRPr="00FC17F1" w:rsidRDefault="007036EE" w:rsidP="00DA2390">
      <w:pPr>
        <w:pStyle w:val="ListParagraph"/>
        <w:numPr>
          <w:ilvl w:val="0"/>
          <w:numId w:val="10"/>
        </w:numPr>
        <w:spacing w:line="360" w:lineRule="auto"/>
        <w:ind w:left="720" w:hanging="540"/>
        <w:jc w:val="both"/>
        <w:rPr>
          <w:rFonts w:cs="Times New Roman"/>
          <w:color w:val="333333"/>
          <w:sz w:val="28"/>
          <w:szCs w:val="28"/>
          <w:lang w:val="en-NZ"/>
        </w:rPr>
      </w:pPr>
      <w:r>
        <w:rPr>
          <w:rFonts w:cs="Times New Roman"/>
          <w:sz w:val="28"/>
          <w:szCs w:val="28"/>
          <w:lang w:val="en-US"/>
        </w:rPr>
        <w:t xml:space="preserve"> </w:t>
      </w:r>
      <w:r w:rsidR="005B6CC2" w:rsidRPr="00FC17F1">
        <w:rPr>
          <w:rFonts w:cs="Times New Roman"/>
          <w:sz w:val="28"/>
          <w:szCs w:val="28"/>
          <w:lang w:val="en-US"/>
        </w:rPr>
        <w:t xml:space="preserve">The government has pledged to </w:t>
      </w:r>
      <w:r w:rsidR="005B6CC2" w:rsidRPr="00FC17F1">
        <w:rPr>
          <w:rFonts w:cs="Times New Roman"/>
          <w:color w:val="333333"/>
          <w:sz w:val="28"/>
          <w:szCs w:val="28"/>
        </w:rPr>
        <w:t>“comprehensively review the entire system of learning support so that resources are allocated based on individual needs assessment for each child”, “progressively increase the level of financial support available to those with additional learning needs”, and “ensure that all teachers and support staff receive training and professional development and information on inclusive education and disability awareness”</w:t>
      </w:r>
      <w:r w:rsidR="005B6CC2" w:rsidRPr="00FC17F1">
        <w:rPr>
          <w:rStyle w:val="FootnoteReference"/>
          <w:rFonts w:cs="Times New Roman"/>
          <w:color w:val="333333"/>
          <w:sz w:val="28"/>
          <w:szCs w:val="28"/>
        </w:rPr>
        <w:footnoteReference w:id="118"/>
      </w:r>
    </w:p>
    <w:p w14:paraId="1774100F" w14:textId="77777777" w:rsidR="000E376E" w:rsidRPr="00FC17F1" w:rsidRDefault="000E376E" w:rsidP="00FC17F1">
      <w:pPr>
        <w:spacing w:line="360" w:lineRule="auto"/>
        <w:jc w:val="both"/>
        <w:rPr>
          <w:rFonts w:cs="Times New Roman"/>
          <w:color w:val="333333"/>
          <w:sz w:val="28"/>
          <w:szCs w:val="28"/>
          <w:lang w:val="en-NZ"/>
        </w:rPr>
      </w:pPr>
    </w:p>
    <w:p w14:paraId="3652D829" w14:textId="4C14B494" w:rsidR="005B6CC2" w:rsidRPr="00FC17F1" w:rsidRDefault="007036EE" w:rsidP="00DA2390">
      <w:pPr>
        <w:pStyle w:val="ListParagraph"/>
        <w:numPr>
          <w:ilvl w:val="0"/>
          <w:numId w:val="10"/>
        </w:numPr>
        <w:spacing w:after="180" w:line="360" w:lineRule="auto"/>
        <w:ind w:hanging="630"/>
        <w:jc w:val="both"/>
        <w:rPr>
          <w:rFonts w:cs="Times New Roman"/>
          <w:sz w:val="28"/>
          <w:szCs w:val="28"/>
          <w:lang w:val="en-US"/>
        </w:rPr>
      </w:pPr>
      <w:r>
        <w:rPr>
          <w:rFonts w:cs="Times New Roman"/>
          <w:sz w:val="28"/>
          <w:szCs w:val="28"/>
          <w:lang w:val="en-US"/>
        </w:rPr>
        <w:t xml:space="preserve"> </w:t>
      </w:r>
      <w:r w:rsidR="005B6CC2" w:rsidRPr="00FC17F1">
        <w:rPr>
          <w:rFonts w:cs="Times New Roman"/>
          <w:sz w:val="28"/>
          <w:szCs w:val="28"/>
          <w:lang w:val="en-US"/>
        </w:rPr>
        <w:t xml:space="preserve">Despite government policy on “inclusive education” in local schools, parents of children with disabilities continue to experience difficulties relating to enrolment, access to the curriculum and participation in school life.  In 2008 IHC, an NGO advocating for the rights, inclusion and welfare of people with intellectual disabilities, lodged a complaint with the Human Rights Commission concerning discrimination. Two and a half years later after a preliminary hearing by the Human Rights Review Tribunal, IHC is still awaiting a decision.  </w:t>
      </w:r>
    </w:p>
    <w:p w14:paraId="233B7BC1" w14:textId="2B5F288A" w:rsidR="005B6CC2" w:rsidRPr="00FC17F1" w:rsidRDefault="005B6CC2" w:rsidP="00FC17F1">
      <w:pPr>
        <w:spacing w:line="360" w:lineRule="auto"/>
        <w:jc w:val="both"/>
        <w:rPr>
          <w:rFonts w:cs="Times New Roman"/>
          <w:b/>
          <w:sz w:val="28"/>
          <w:szCs w:val="28"/>
          <w:lang w:val="en-NZ" w:eastAsia="en-NZ"/>
        </w:rPr>
      </w:pPr>
      <w:r w:rsidRPr="00FC17F1">
        <w:rPr>
          <w:rFonts w:cs="Times New Roman"/>
          <w:b/>
          <w:sz w:val="28"/>
          <w:szCs w:val="28"/>
          <w:lang w:eastAsia="en-NZ"/>
        </w:rPr>
        <w:t>“</w:t>
      </w:r>
      <w:r w:rsidR="004478B9">
        <w:rPr>
          <w:rFonts w:cs="Times New Roman"/>
          <w:b/>
          <w:sz w:val="28"/>
          <w:szCs w:val="28"/>
          <w:lang w:eastAsia="en-NZ"/>
        </w:rPr>
        <w:t>E</w:t>
      </w:r>
      <w:r w:rsidRPr="00FC17F1">
        <w:rPr>
          <w:rFonts w:cs="Times New Roman"/>
          <w:b/>
          <w:sz w:val="28"/>
          <w:szCs w:val="28"/>
          <w:lang w:eastAsia="en-NZ"/>
        </w:rPr>
        <w:t>ducation shall be directed to the full development of the human personality and the sense of its dignity, and shall strengthen the respect for human rights and fundamental freedoms” (article13.1)</w:t>
      </w:r>
    </w:p>
    <w:p w14:paraId="3C07734E" w14:textId="77777777" w:rsidR="005B6CC2" w:rsidRPr="00FC17F1" w:rsidRDefault="005B6CC2" w:rsidP="00FC17F1">
      <w:pPr>
        <w:spacing w:line="360" w:lineRule="auto"/>
        <w:jc w:val="both"/>
        <w:rPr>
          <w:rFonts w:cs="Times New Roman"/>
          <w:sz w:val="28"/>
          <w:szCs w:val="28"/>
          <w:lang w:eastAsia="en-NZ"/>
        </w:rPr>
      </w:pPr>
    </w:p>
    <w:p w14:paraId="04DF4929" w14:textId="6B72BFAD" w:rsidR="005B6CC2" w:rsidRPr="00FC17F1" w:rsidRDefault="007036EE" w:rsidP="00DA2390">
      <w:pPr>
        <w:pStyle w:val="ListParagraph"/>
        <w:numPr>
          <w:ilvl w:val="0"/>
          <w:numId w:val="10"/>
        </w:numPr>
        <w:spacing w:line="360" w:lineRule="auto"/>
        <w:ind w:hanging="630"/>
        <w:jc w:val="both"/>
        <w:rPr>
          <w:rFonts w:cs="Times New Roman"/>
          <w:color w:val="333333"/>
          <w:sz w:val="28"/>
          <w:szCs w:val="28"/>
        </w:rPr>
      </w:pPr>
      <w:r>
        <w:rPr>
          <w:rFonts w:cs="Times New Roman"/>
          <w:sz w:val="28"/>
          <w:szCs w:val="28"/>
        </w:rPr>
        <w:lastRenderedPageBreak/>
        <w:t xml:space="preserve"> </w:t>
      </w:r>
      <w:r w:rsidR="005B6CC2" w:rsidRPr="00FC17F1">
        <w:rPr>
          <w:rFonts w:cs="Times New Roman"/>
          <w:sz w:val="28"/>
          <w:szCs w:val="28"/>
        </w:rPr>
        <w:t>In December 2017 the Minister of Education announced the Government had stopped National Standards, and the equivalent in Maori-medium schools, to focus on “the progress and achievement of all children” across the national curriculum.</w:t>
      </w:r>
      <w:r w:rsidR="005B6CC2" w:rsidRPr="00FC17F1">
        <w:rPr>
          <w:rStyle w:val="FootnoteReference"/>
          <w:rFonts w:cs="Times New Roman"/>
          <w:sz w:val="28"/>
          <w:szCs w:val="28"/>
        </w:rPr>
        <w:footnoteReference w:id="119"/>
      </w:r>
    </w:p>
    <w:p w14:paraId="05066ADC" w14:textId="77777777" w:rsidR="005B6CC2" w:rsidRPr="00FC17F1" w:rsidRDefault="005B6CC2" w:rsidP="00FC17F1">
      <w:pPr>
        <w:pStyle w:val="NormalWeb"/>
        <w:spacing w:before="0" w:beforeAutospacing="0" w:after="180" w:afterAutospacing="0" w:line="360" w:lineRule="auto"/>
        <w:jc w:val="both"/>
        <w:textAlignment w:val="baseline"/>
        <w:rPr>
          <w:color w:val="333333"/>
          <w:sz w:val="28"/>
          <w:szCs w:val="28"/>
        </w:rPr>
      </w:pPr>
    </w:p>
    <w:p w14:paraId="623E3FE7" w14:textId="77777777" w:rsidR="005B6CC2" w:rsidRPr="00FC17F1" w:rsidRDefault="005B6CC2" w:rsidP="00FC17F1">
      <w:pPr>
        <w:spacing w:line="360" w:lineRule="auto"/>
        <w:jc w:val="both"/>
        <w:rPr>
          <w:rFonts w:cs="Times New Roman"/>
          <w:b/>
          <w:sz w:val="28"/>
          <w:szCs w:val="28"/>
          <w:lang w:eastAsia="en-NZ"/>
        </w:rPr>
      </w:pPr>
      <w:r w:rsidRPr="00FC17F1">
        <w:rPr>
          <w:rFonts w:cs="Times New Roman"/>
          <w:b/>
          <w:sz w:val="28"/>
          <w:szCs w:val="28"/>
          <w:lang w:eastAsia="en-NZ"/>
        </w:rPr>
        <w:t>“Primary education shall be compulsory and available free to all” (article 13.2 (a))</w:t>
      </w:r>
    </w:p>
    <w:p w14:paraId="092673C9" w14:textId="77777777" w:rsidR="005B6CC2" w:rsidRPr="00FC17F1" w:rsidRDefault="005B6CC2" w:rsidP="00FC17F1">
      <w:pPr>
        <w:spacing w:line="360" w:lineRule="auto"/>
        <w:jc w:val="both"/>
        <w:rPr>
          <w:rFonts w:cs="Times New Roman"/>
          <w:color w:val="4BACC6" w:themeColor="accent5"/>
          <w:sz w:val="28"/>
          <w:szCs w:val="28"/>
          <w:lang w:eastAsia="en-NZ"/>
        </w:rPr>
      </w:pPr>
    </w:p>
    <w:p w14:paraId="2334AAF5" w14:textId="7CA304E1" w:rsidR="005B6CC2" w:rsidRPr="00FC17F1" w:rsidRDefault="005B6CC2" w:rsidP="00DA2390">
      <w:pPr>
        <w:pStyle w:val="ListParagraph"/>
        <w:numPr>
          <w:ilvl w:val="0"/>
          <w:numId w:val="10"/>
        </w:numPr>
        <w:spacing w:line="360" w:lineRule="auto"/>
        <w:ind w:left="900" w:hanging="720"/>
        <w:jc w:val="both"/>
        <w:rPr>
          <w:rFonts w:cs="Times New Roman"/>
          <w:color w:val="000000" w:themeColor="text1"/>
          <w:sz w:val="28"/>
          <w:szCs w:val="28"/>
          <w:lang w:eastAsia="en-NZ"/>
        </w:rPr>
      </w:pPr>
      <w:r w:rsidRPr="00FC17F1">
        <w:rPr>
          <w:rFonts w:cs="Times New Roman"/>
          <w:color w:val="000000" w:themeColor="text1"/>
          <w:sz w:val="28"/>
          <w:szCs w:val="28"/>
          <w:lang w:eastAsia="en-NZ"/>
        </w:rPr>
        <w:t>The government has indicated it will offer schools financial incentives if they stop requesting standardised “donations” from families. Details are expected in the 2018 Budget.</w:t>
      </w:r>
      <w:r w:rsidRPr="00FC17F1">
        <w:rPr>
          <w:rStyle w:val="FootnoteReference"/>
          <w:rFonts w:cs="Times New Roman"/>
          <w:color w:val="000000" w:themeColor="text1"/>
          <w:sz w:val="28"/>
          <w:szCs w:val="28"/>
          <w:lang w:eastAsia="en-NZ"/>
        </w:rPr>
        <w:footnoteReference w:id="120"/>
      </w:r>
    </w:p>
    <w:p w14:paraId="368F30AD" w14:textId="77777777" w:rsidR="005B6CC2" w:rsidRPr="00FC17F1" w:rsidRDefault="005B6CC2" w:rsidP="00FC17F1">
      <w:pPr>
        <w:spacing w:line="360" w:lineRule="auto"/>
        <w:jc w:val="both"/>
        <w:rPr>
          <w:rFonts w:cs="Times New Roman"/>
          <w:color w:val="4BACC6" w:themeColor="accent5"/>
          <w:sz w:val="28"/>
          <w:szCs w:val="28"/>
          <w:lang w:eastAsia="en-NZ"/>
        </w:rPr>
      </w:pPr>
    </w:p>
    <w:p w14:paraId="2E4B351D" w14:textId="77777777" w:rsidR="005B6CC2" w:rsidRPr="00FC17F1" w:rsidRDefault="005B6CC2" w:rsidP="00FC17F1">
      <w:pPr>
        <w:spacing w:line="360" w:lineRule="auto"/>
        <w:jc w:val="both"/>
        <w:rPr>
          <w:rFonts w:cs="Times New Roman"/>
          <w:b/>
          <w:sz w:val="28"/>
          <w:szCs w:val="28"/>
          <w:lang w:eastAsia="en-NZ"/>
        </w:rPr>
      </w:pPr>
      <w:r w:rsidRPr="00FC17F1">
        <w:rPr>
          <w:rFonts w:cs="Times New Roman"/>
          <w:b/>
          <w:sz w:val="28"/>
          <w:szCs w:val="28"/>
          <w:lang w:eastAsia="en-NZ"/>
        </w:rPr>
        <w:t>“Secondary education in its different forms, including technical and vocational secondary education, shall be made generally available and accessible to all” (article 13.2 (b))</w:t>
      </w:r>
    </w:p>
    <w:p w14:paraId="16417254" w14:textId="77777777" w:rsidR="005B6CC2" w:rsidRPr="00FC17F1" w:rsidRDefault="005B6CC2" w:rsidP="00FC17F1">
      <w:pPr>
        <w:spacing w:line="360" w:lineRule="auto"/>
        <w:jc w:val="both"/>
        <w:rPr>
          <w:rFonts w:cs="Times New Roman"/>
          <w:color w:val="4BACC6" w:themeColor="accent5"/>
          <w:sz w:val="28"/>
          <w:szCs w:val="28"/>
          <w:lang w:eastAsia="en-NZ"/>
        </w:rPr>
      </w:pPr>
    </w:p>
    <w:p w14:paraId="76EEB5CF" w14:textId="51F4E968" w:rsidR="000E376E" w:rsidRPr="00FC17F1" w:rsidRDefault="007036EE" w:rsidP="00DA2390">
      <w:pPr>
        <w:pStyle w:val="ListParagraph"/>
        <w:numPr>
          <w:ilvl w:val="0"/>
          <w:numId w:val="10"/>
        </w:numPr>
        <w:spacing w:line="360" w:lineRule="auto"/>
        <w:ind w:left="540"/>
        <w:jc w:val="both"/>
        <w:rPr>
          <w:color w:val="4BACC6" w:themeColor="accent5"/>
          <w:sz w:val="28"/>
          <w:szCs w:val="28"/>
          <w:lang w:eastAsia="en-NZ"/>
        </w:rPr>
      </w:pPr>
      <w:r>
        <w:rPr>
          <w:rFonts w:cs="Times New Roman"/>
          <w:color w:val="000000" w:themeColor="text1"/>
          <w:sz w:val="28"/>
          <w:szCs w:val="28"/>
          <w:lang w:eastAsia="en-NZ"/>
        </w:rPr>
        <w:t xml:space="preserve"> </w:t>
      </w:r>
      <w:r w:rsidR="005B6CC2" w:rsidRPr="00FC17F1">
        <w:rPr>
          <w:rFonts w:cs="Times New Roman"/>
          <w:color w:val="000000" w:themeColor="text1"/>
          <w:sz w:val="28"/>
          <w:szCs w:val="28"/>
          <w:lang w:eastAsia="en-NZ"/>
        </w:rPr>
        <w:t>Labour Party policy includes commitments to ensure</w:t>
      </w:r>
      <w:r w:rsidR="000E376E" w:rsidRPr="00425A4A">
        <w:rPr>
          <w:rFonts w:cs="Times New Roman"/>
          <w:color w:val="000000" w:themeColor="text1"/>
          <w:sz w:val="28"/>
          <w:szCs w:val="28"/>
          <w:lang w:eastAsia="en-NZ"/>
        </w:rPr>
        <w:t>;</w:t>
      </w:r>
    </w:p>
    <w:p w14:paraId="2A1B39B4" w14:textId="77777777" w:rsidR="000E376E" w:rsidRPr="00FC17F1" w:rsidRDefault="005B6CC2" w:rsidP="00DA2390">
      <w:pPr>
        <w:pStyle w:val="ListParagraph"/>
        <w:numPr>
          <w:ilvl w:val="0"/>
          <w:numId w:val="17"/>
        </w:numPr>
        <w:tabs>
          <w:tab w:val="left" w:pos="2340"/>
        </w:tabs>
        <w:spacing w:line="360" w:lineRule="auto"/>
        <w:ind w:left="2340" w:hanging="540"/>
        <w:jc w:val="both"/>
        <w:rPr>
          <w:color w:val="4BACC6" w:themeColor="accent5"/>
          <w:sz w:val="28"/>
          <w:szCs w:val="28"/>
          <w:lang w:eastAsia="en-NZ"/>
        </w:rPr>
      </w:pPr>
      <w:r w:rsidRPr="00FC17F1">
        <w:rPr>
          <w:rFonts w:cs="Times New Roman"/>
          <w:sz w:val="28"/>
          <w:szCs w:val="28"/>
        </w:rPr>
        <w:t xml:space="preserve">every student has a personalised career and learning development </w:t>
      </w:r>
      <w:r w:rsidRPr="00FC17F1">
        <w:rPr>
          <w:rFonts w:cs="Times New Roman"/>
          <w:color w:val="333333"/>
          <w:sz w:val="28"/>
          <w:szCs w:val="28"/>
        </w:rPr>
        <w:t>plan from their first year at secondary school, professionalising careers advice and integrating it into learning</w:t>
      </w:r>
    </w:p>
    <w:p w14:paraId="606358E8" w14:textId="718172DF" w:rsidR="005B6CC2" w:rsidRPr="00FC17F1" w:rsidRDefault="005B6CC2" w:rsidP="00DA2390">
      <w:pPr>
        <w:pStyle w:val="ListParagraph"/>
        <w:numPr>
          <w:ilvl w:val="0"/>
          <w:numId w:val="17"/>
        </w:numPr>
        <w:spacing w:line="360" w:lineRule="auto"/>
        <w:ind w:left="2160"/>
        <w:jc w:val="both"/>
        <w:rPr>
          <w:rFonts w:cs="Times New Roman"/>
          <w:color w:val="4BACC6" w:themeColor="accent5"/>
          <w:sz w:val="28"/>
          <w:szCs w:val="28"/>
          <w:lang w:eastAsia="en-NZ"/>
        </w:rPr>
      </w:pPr>
      <w:r w:rsidRPr="00FC17F1">
        <w:rPr>
          <w:rFonts w:cs="Times New Roman"/>
          <w:color w:val="333333"/>
          <w:sz w:val="28"/>
          <w:szCs w:val="28"/>
        </w:rPr>
        <w:t>that every high school has highly trained, skilled, careers advice teachers who are properly funded through ring-fenced funding to do their jobs</w:t>
      </w:r>
    </w:p>
    <w:p w14:paraId="5E569C30" w14:textId="77777777" w:rsidR="005B6CC2" w:rsidRPr="00FC17F1" w:rsidRDefault="005B6CC2" w:rsidP="00FC17F1">
      <w:pPr>
        <w:spacing w:line="360" w:lineRule="auto"/>
        <w:jc w:val="both"/>
        <w:rPr>
          <w:rFonts w:cs="Times New Roman"/>
          <w:color w:val="4BACC6" w:themeColor="accent5"/>
          <w:sz w:val="28"/>
          <w:szCs w:val="28"/>
          <w:lang w:eastAsia="en-NZ"/>
        </w:rPr>
      </w:pPr>
    </w:p>
    <w:p w14:paraId="3BB2CA75" w14:textId="3F82F257" w:rsidR="005B6CC2" w:rsidRPr="00FC17F1" w:rsidRDefault="005B6CC2" w:rsidP="00FC17F1">
      <w:pPr>
        <w:spacing w:line="360" w:lineRule="auto"/>
        <w:jc w:val="both"/>
        <w:rPr>
          <w:rFonts w:cs="Times New Roman"/>
          <w:b/>
          <w:sz w:val="28"/>
          <w:szCs w:val="28"/>
          <w:lang w:eastAsia="en-NZ"/>
        </w:rPr>
      </w:pPr>
      <w:r w:rsidRPr="00FC17F1">
        <w:rPr>
          <w:rFonts w:cs="Times New Roman"/>
          <w:b/>
          <w:sz w:val="28"/>
          <w:szCs w:val="28"/>
          <w:lang w:eastAsia="en-NZ"/>
        </w:rPr>
        <w:t>“Higher education shall be made equally accessible to all” (article 13.2 (c))</w:t>
      </w:r>
    </w:p>
    <w:p w14:paraId="550DCF5B" w14:textId="77777777" w:rsidR="005B6CC2" w:rsidRPr="00FC17F1" w:rsidRDefault="005B6CC2" w:rsidP="00FC17F1">
      <w:pPr>
        <w:spacing w:line="360" w:lineRule="auto"/>
        <w:jc w:val="both"/>
        <w:rPr>
          <w:rFonts w:cs="Times New Roman"/>
          <w:color w:val="4BACC6" w:themeColor="accent5"/>
          <w:sz w:val="28"/>
          <w:szCs w:val="28"/>
          <w:lang w:eastAsia="en-NZ"/>
        </w:rPr>
      </w:pPr>
    </w:p>
    <w:p w14:paraId="0DD8C2A2" w14:textId="12DF693C" w:rsidR="005B6CC2" w:rsidRPr="00FC17F1" w:rsidRDefault="007036EE" w:rsidP="00DA2390">
      <w:pPr>
        <w:pStyle w:val="NormalWeb"/>
        <w:numPr>
          <w:ilvl w:val="0"/>
          <w:numId w:val="10"/>
        </w:numPr>
        <w:spacing w:before="0" w:beforeAutospacing="0" w:after="180" w:afterAutospacing="0" w:line="360" w:lineRule="auto"/>
        <w:ind w:left="720" w:hanging="540"/>
        <w:jc w:val="both"/>
        <w:textAlignment w:val="baseline"/>
        <w:rPr>
          <w:color w:val="000000" w:themeColor="text1"/>
          <w:sz w:val="28"/>
          <w:szCs w:val="28"/>
        </w:rPr>
      </w:pPr>
      <w:r>
        <w:rPr>
          <w:color w:val="000000" w:themeColor="text1"/>
          <w:sz w:val="28"/>
          <w:szCs w:val="28"/>
          <w:lang w:eastAsia="en-NZ"/>
        </w:rPr>
        <w:t xml:space="preserve"> </w:t>
      </w:r>
      <w:r w:rsidR="005B6CC2" w:rsidRPr="00FC17F1">
        <w:rPr>
          <w:color w:val="000000" w:themeColor="text1"/>
          <w:sz w:val="28"/>
          <w:szCs w:val="28"/>
          <w:lang w:eastAsia="en-NZ"/>
        </w:rPr>
        <w:t>Labour Party policy includes a commitment to “</w:t>
      </w:r>
      <w:r w:rsidR="005B6CC2" w:rsidRPr="00FC17F1">
        <w:rPr>
          <w:color w:val="000000" w:themeColor="text1"/>
          <w:sz w:val="28"/>
          <w:szCs w:val="28"/>
        </w:rPr>
        <w:t>progressively introduce 3 years of free post-school education, allowing access to university, polytechnic or on-job training for young New Zealanders and those who have not studied before”.</w:t>
      </w:r>
    </w:p>
    <w:p w14:paraId="4FAF7BE5" w14:textId="77777777" w:rsidR="005B6CC2" w:rsidRPr="00FC17F1" w:rsidRDefault="005B6CC2" w:rsidP="00FC17F1">
      <w:pPr>
        <w:spacing w:line="360" w:lineRule="auto"/>
        <w:jc w:val="both"/>
        <w:rPr>
          <w:rFonts w:cs="Times New Roman"/>
          <w:color w:val="333333"/>
          <w:sz w:val="28"/>
          <w:szCs w:val="28"/>
        </w:rPr>
      </w:pPr>
    </w:p>
    <w:p w14:paraId="5FECADC8" w14:textId="0494CC34" w:rsidR="005B6CC2" w:rsidRPr="00FC17F1" w:rsidRDefault="005B6CC2" w:rsidP="00FC17F1">
      <w:pPr>
        <w:spacing w:line="360" w:lineRule="auto"/>
        <w:jc w:val="both"/>
        <w:rPr>
          <w:rFonts w:cs="Times New Roman"/>
          <w:b/>
          <w:sz w:val="28"/>
          <w:szCs w:val="28"/>
        </w:rPr>
      </w:pPr>
      <w:r w:rsidRPr="00FC17F1">
        <w:rPr>
          <w:rFonts w:cs="Times New Roman"/>
          <w:b/>
          <w:sz w:val="28"/>
          <w:szCs w:val="28"/>
        </w:rPr>
        <w:t>Early childhood education initi</w:t>
      </w:r>
      <w:r w:rsidR="00D3494A">
        <w:rPr>
          <w:rFonts w:cs="Times New Roman"/>
          <w:b/>
          <w:sz w:val="28"/>
          <w:szCs w:val="28"/>
        </w:rPr>
        <w:t>atives</w:t>
      </w:r>
    </w:p>
    <w:p w14:paraId="15D3C5B9" w14:textId="1BB8B4B6" w:rsidR="005B6CC2" w:rsidRPr="00FC17F1" w:rsidRDefault="000E376E" w:rsidP="00DA2390">
      <w:pPr>
        <w:pStyle w:val="ListParagraph"/>
        <w:numPr>
          <w:ilvl w:val="0"/>
          <w:numId w:val="10"/>
        </w:numPr>
        <w:tabs>
          <w:tab w:val="left" w:pos="720"/>
        </w:tabs>
        <w:spacing w:line="360" w:lineRule="auto"/>
        <w:ind w:left="720" w:hanging="540"/>
        <w:jc w:val="both"/>
        <w:rPr>
          <w:rFonts w:cs="Times New Roman"/>
          <w:sz w:val="28"/>
          <w:szCs w:val="28"/>
        </w:rPr>
      </w:pPr>
      <w:r w:rsidRPr="00FC17F1">
        <w:rPr>
          <w:rFonts w:cs="Times New Roman"/>
          <w:sz w:val="28"/>
          <w:szCs w:val="28"/>
        </w:rPr>
        <w:t xml:space="preserve"> </w:t>
      </w:r>
      <w:r w:rsidR="005B6CC2" w:rsidRPr="00FC17F1">
        <w:rPr>
          <w:rFonts w:cs="Times New Roman"/>
          <w:sz w:val="28"/>
          <w:szCs w:val="28"/>
        </w:rPr>
        <w:t>Th</w:t>
      </w:r>
      <w:r w:rsidR="004478B9">
        <w:rPr>
          <w:rFonts w:cs="Times New Roman"/>
          <w:sz w:val="28"/>
          <w:szCs w:val="28"/>
        </w:rPr>
        <w:t>e</w:t>
      </w:r>
      <w:r w:rsidR="005B6CC2" w:rsidRPr="00FC17F1">
        <w:rPr>
          <w:rFonts w:cs="Times New Roman"/>
          <w:sz w:val="28"/>
          <w:szCs w:val="28"/>
        </w:rPr>
        <w:t xml:space="preserve"> </w:t>
      </w:r>
      <w:r w:rsidR="004478B9">
        <w:rPr>
          <w:rFonts w:cs="Times New Roman"/>
          <w:sz w:val="28"/>
          <w:szCs w:val="28"/>
        </w:rPr>
        <w:t>G</w:t>
      </w:r>
      <w:r w:rsidR="005B6CC2" w:rsidRPr="00FC17F1">
        <w:rPr>
          <w:rFonts w:cs="Times New Roman"/>
          <w:sz w:val="28"/>
          <w:szCs w:val="28"/>
        </w:rPr>
        <w:t>overnment has undertaken to progressively restore previous requirements for 100% qualified and registered teachers in early childhood education, “actively support the establishment of new public early childhood centres in areas of low-provision through targeted establishment grants”, and develop a 10 year strategic plan for early childhood education.</w:t>
      </w:r>
      <w:r w:rsidR="005B6CC2" w:rsidRPr="00FC17F1">
        <w:rPr>
          <w:rStyle w:val="FootnoteReference"/>
          <w:rFonts w:cs="Times New Roman"/>
          <w:sz w:val="28"/>
          <w:szCs w:val="28"/>
        </w:rPr>
        <w:footnoteReference w:id="121"/>
      </w:r>
    </w:p>
    <w:p w14:paraId="78550B8B" w14:textId="77777777" w:rsidR="005B6CC2" w:rsidRPr="00FC17F1" w:rsidRDefault="005B6CC2" w:rsidP="00FC17F1">
      <w:pPr>
        <w:pStyle w:val="NormalWeb"/>
        <w:spacing w:before="0" w:beforeAutospacing="0" w:after="0" w:afterAutospacing="0" w:line="360" w:lineRule="auto"/>
        <w:jc w:val="both"/>
        <w:textAlignment w:val="baseline"/>
        <w:rPr>
          <w:sz w:val="28"/>
          <w:szCs w:val="28"/>
        </w:rPr>
      </w:pPr>
    </w:p>
    <w:p w14:paraId="714D741F" w14:textId="33EF5EE2" w:rsidR="005B6CC2" w:rsidRPr="00FC17F1" w:rsidRDefault="005B6CC2" w:rsidP="00FC17F1">
      <w:pPr>
        <w:pStyle w:val="NormalWeb"/>
        <w:spacing w:before="0" w:beforeAutospacing="0" w:after="0" w:afterAutospacing="0" w:line="360" w:lineRule="auto"/>
        <w:jc w:val="both"/>
        <w:textAlignment w:val="baseline"/>
        <w:rPr>
          <w:sz w:val="28"/>
          <w:szCs w:val="28"/>
        </w:rPr>
      </w:pPr>
      <w:r w:rsidRPr="00FC17F1">
        <w:rPr>
          <w:b/>
          <w:sz w:val="28"/>
          <w:szCs w:val="28"/>
        </w:rPr>
        <w:t>Children’s say in matters affecting them (article 12)</w:t>
      </w:r>
    </w:p>
    <w:p w14:paraId="436CBD7A" w14:textId="30801803" w:rsidR="005B6CC2" w:rsidRPr="00FC17F1" w:rsidRDefault="005B6CC2" w:rsidP="00DA2390">
      <w:pPr>
        <w:pStyle w:val="NormalWeb"/>
        <w:numPr>
          <w:ilvl w:val="0"/>
          <w:numId w:val="10"/>
        </w:numPr>
        <w:spacing w:before="0" w:beforeAutospacing="0" w:after="0" w:afterAutospacing="0" w:line="360" w:lineRule="auto"/>
        <w:ind w:left="720" w:hanging="540"/>
        <w:jc w:val="both"/>
        <w:textAlignment w:val="baseline"/>
        <w:rPr>
          <w:sz w:val="28"/>
          <w:szCs w:val="28"/>
        </w:rPr>
      </w:pPr>
      <w:r w:rsidRPr="00FC17F1">
        <w:rPr>
          <w:sz w:val="28"/>
          <w:szCs w:val="28"/>
        </w:rPr>
        <w:t xml:space="preserve">Although there is growing awareness in public agencies of the value in hearing children’s views, there is rarely acknowledgement of their </w:t>
      </w:r>
      <w:r w:rsidRPr="00FC17F1">
        <w:rPr>
          <w:i/>
          <w:sz w:val="28"/>
          <w:szCs w:val="28"/>
        </w:rPr>
        <w:t>right</w:t>
      </w:r>
      <w:r w:rsidRPr="00FC17F1">
        <w:rPr>
          <w:sz w:val="28"/>
          <w:szCs w:val="28"/>
        </w:rPr>
        <w:t xml:space="preserve"> to have a say in matters affecting them in the education system. Although secondary schools have a compulsory provision for a student-elected member of the school’s governing body, school practices providing for student input into decision</w:t>
      </w:r>
      <w:r w:rsidR="00790AC3" w:rsidRPr="00C37B4D">
        <w:rPr>
          <w:sz w:val="28"/>
          <w:szCs w:val="28"/>
        </w:rPr>
        <w:t xml:space="preserve"> </w:t>
      </w:r>
      <w:r w:rsidRPr="00FC17F1">
        <w:rPr>
          <w:sz w:val="28"/>
          <w:szCs w:val="28"/>
        </w:rPr>
        <w:t>making vary greatly, with many schools apparently not having student councils or other forms of consultation with students.</w:t>
      </w:r>
    </w:p>
    <w:p w14:paraId="3DADC0AB" w14:textId="77777777" w:rsidR="005B6CC2" w:rsidRPr="00FC17F1" w:rsidRDefault="005B6CC2" w:rsidP="00FC17F1">
      <w:pPr>
        <w:pStyle w:val="NormalWeb"/>
        <w:spacing w:before="0" w:beforeAutospacing="0" w:after="0" w:afterAutospacing="0" w:line="360" w:lineRule="auto"/>
        <w:jc w:val="both"/>
        <w:textAlignment w:val="baseline"/>
        <w:rPr>
          <w:sz w:val="28"/>
          <w:szCs w:val="28"/>
        </w:rPr>
      </w:pPr>
    </w:p>
    <w:p w14:paraId="4DC547AC" w14:textId="721B9937" w:rsidR="005B6CC2" w:rsidRDefault="007036EE" w:rsidP="00DA2390">
      <w:pPr>
        <w:pStyle w:val="NormalWeb"/>
        <w:numPr>
          <w:ilvl w:val="0"/>
          <w:numId w:val="10"/>
        </w:numPr>
        <w:spacing w:before="0" w:beforeAutospacing="0" w:after="0" w:afterAutospacing="0" w:line="360" w:lineRule="auto"/>
        <w:ind w:hanging="630"/>
        <w:jc w:val="both"/>
        <w:textAlignment w:val="baseline"/>
        <w:rPr>
          <w:sz w:val="28"/>
          <w:szCs w:val="28"/>
        </w:rPr>
      </w:pPr>
      <w:r>
        <w:rPr>
          <w:sz w:val="28"/>
          <w:szCs w:val="28"/>
        </w:rPr>
        <w:t xml:space="preserve"> </w:t>
      </w:r>
      <w:r w:rsidR="005B6CC2" w:rsidRPr="00FC17F1">
        <w:rPr>
          <w:sz w:val="28"/>
          <w:szCs w:val="28"/>
        </w:rPr>
        <w:t>Following work by the Children’s Commissioner, the Minister of Education appointed a Youth Advisory Group in November 2017 and established an open Online Youth Forum.</w:t>
      </w:r>
      <w:r w:rsidR="005B6CC2" w:rsidRPr="00FC17F1">
        <w:rPr>
          <w:rStyle w:val="FootnoteReference"/>
          <w:sz w:val="28"/>
          <w:szCs w:val="28"/>
        </w:rPr>
        <w:footnoteReference w:id="122"/>
      </w:r>
      <w:r w:rsidR="005B6CC2" w:rsidRPr="00FC17F1">
        <w:rPr>
          <w:sz w:val="28"/>
          <w:szCs w:val="28"/>
        </w:rPr>
        <w:t xml:space="preserve"> </w:t>
      </w:r>
    </w:p>
    <w:p w14:paraId="35C62F97" w14:textId="2F9F8A12" w:rsidR="004478B9" w:rsidRPr="00FC17F1" w:rsidRDefault="004478B9" w:rsidP="00FC17F1">
      <w:pPr>
        <w:tabs>
          <w:tab w:val="left" w:pos="5400"/>
        </w:tabs>
        <w:jc w:val="both"/>
        <w:rPr>
          <w:sz w:val="28"/>
          <w:szCs w:val="28"/>
        </w:rPr>
      </w:pPr>
    </w:p>
    <w:p w14:paraId="245B6C60" w14:textId="77777777" w:rsidR="005B6CC2" w:rsidRPr="00FC17F1" w:rsidRDefault="005B6CC2" w:rsidP="00FC17F1">
      <w:pPr>
        <w:spacing w:line="360" w:lineRule="auto"/>
        <w:jc w:val="both"/>
        <w:rPr>
          <w:rFonts w:cs="Times New Roman"/>
          <w:color w:val="000000" w:themeColor="text1"/>
          <w:sz w:val="28"/>
          <w:szCs w:val="28"/>
        </w:rPr>
      </w:pPr>
    </w:p>
    <w:p w14:paraId="199EE284" w14:textId="7F1B9681" w:rsidR="005B6CC2" w:rsidRPr="00FC17F1" w:rsidRDefault="00D3494A" w:rsidP="00FC17F1">
      <w:pPr>
        <w:spacing w:line="360" w:lineRule="auto"/>
        <w:jc w:val="both"/>
        <w:rPr>
          <w:rFonts w:cs="Times New Roman"/>
          <w:b/>
          <w:sz w:val="28"/>
          <w:szCs w:val="28"/>
        </w:rPr>
      </w:pPr>
      <w:r>
        <w:rPr>
          <w:rFonts w:cs="Times New Roman"/>
          <w:b/>
          <w:sz w:val="28"/>
          <w:szCs w:val="28"/>
        </w:rPr>
        <w:t>Human rights education</w:t>
      </w:r>
    </w:p>
    <w:p w14:paraId="7F648F0E" w14:textId="17F97533" w:rsidR="005B6CC2" w:rsidRPr="00C37B4D" w:rsidRDefault="005B6CC2" w:rsidP="00DA2390">
      <w:pPr>
        <w:pStyle w:val="ListParagraph"/>
        <w:numPr>
          <w:ilvl w:val="0"/>
          <w:numId w:val="10"/>
        </w:numPr>
        <w:spacing w:line="360" w:lineRule="auto"/>
        <w:ind w:left="900" w:hanging="810"/>
        <w:jc w:val="both"/>
        <w:rPr>
          <w:rFonts w:cs="Times New Roman"/>
          <w:sz w:val="28"/>
          <w:szCs w:val="28"/>
        </w:rPr>
      </w:pPr>
      <w:r w:rsidRPr="00FC17F1">
        <w:rPr>
          <w:rFonts w:cs="Times New Roman"/>
          <w:sz w:val="28"/>
          <w:szCs w:val="28"/>
        </w:rPr>
        <w:t>Although there is some explicit reference in the English-medium curriculum to human rights, and many social studies teachers in particular teach about human rights, there is no human rights education strategy as urged in the World Programme for Human Rights Education, no shared understanding of its place as part of the right to education, and no real policy support.</w:t>
      </w:r>
    </w:p>
    <w:p w14:paraId="36D60BA9" w14:textId="77777777" w:rsidR="00631DC4" w:rsidRPr="00C37B4D" w:rsidRDefault="00631DC4" w:rsidP="00FC17F1">
      <w:pPr>
        <w:pStyle w:val="ListParagraph"/>
        <w:spacing w:line="360" w:lineRule="auto"/>
        <w:ind w:left="360"/>
        <w:jc w:val="both"/>
        <w:rPr>
          <w:rFonts w:cs="Times New Roman"/>
          <w:sz w:val="28"/>
          <w:szCs w:val="28"/>
        </w:rPr>
      </w:pPr>
    </w:p>
    <w:p w14:paraId="5BB0DFAD" w14:textId="20F66AAE" w:rsidR="00631DC4" w:rsidRPr="00FC17F1" w:rsidRDefault="00A365CF" w:rsidP="00FC17F1">
      <w:pPr>
        <w:spacing w:line="360" w:lineRule="auto"/>
        <w:jc w:val="both"/>
        <w:rPr>
          <w:rFonts w:cs="Times New Roman"/>
          <w:sz w:val="28"/>
          <w:szCs w:val="28"/>
        </w:rPr>
      </w:pPr>
      <w:r>
        <w:rPr>
          <w:rFonts w:cs="Times New Roman"/>
          <w:b/>
          <w:sz w:val="28"/>
          <w:szCs w:val="28"/>
        </w:rPr>
        <w:t>Recommendations</w:t>
      </w:r>
    </w:p>
    <w:p w14:paraId="6E9FE7CD" w14:textId="286768AF" w:rsidR="00B54E87" w:rsidRDefault="00B54E87" w:rsidP="00DA2390">
      <w:pPr>
        <w:pStyle w:val="ListParagraph"/>
        <w:numPr>
          <w:ilvl w:val="0"/>
          <w:numId w:val="10"/>
        </w:numPr>
        <w:spacing w:line="360" w:lineRule="auto"/>
        <w:ind w:hanging="900"/>
        <w:jc w:val="both"/>
        <w:rPr>
          <w:rFonts w:cs="Times New Roman"/>
          <w:b/>
          <w:sz w:val="28"/>
          <w:szCs w:val="28"/>
        </w:rPr>
      </w:pPr>
      <w:r w:rsidRPr="00FC17F1">
        <w:rPr>
          <w:rFonts w:cs="Times New Roman"/>
          <w:b/>
          <w:sz w:val="28"/>
          <w:szCs w:val="28"/>
        </w:rPr>
        <w:t xml:space="preserve">As with other sections of this report emphasis has been concentrated on proposed </w:t>
      </w:r>
      <w:r w:rsidR="00C0275C">
        <w:rPr>
          <w:rFonts w:cs="Times New Roman"/>
          <w:b/>
          <w:sz w:val="28"/>
          <w:szCs w:val="28"/>
        </w:rPr>
        <w:t>policies</w:t>
      </w:r>
      <w:r w:rsidRPr="00FC17F1">
        <w:rPr>
          <w:rFonts w:cs="Times New Roman"/>
          <w:b/>
          <w:sz w:val="28"/>
          <w:szCs w:val="28"/>
        </w:rPr>
        <w:t xml:space="preserve">. The HRF again recommends </w:t>
      </w:r>
      <w:r w:rsidR="00631DC4" w:rsidRPr="00FC17F1">
        <w:rPr>
          <w:rFonts w:cs="Times New Roman"/>
          <w:b/>
          <w:sz w:val="28"/>
          <w:szCs w:val="28"/>
        </w:rPr>
        <w:t xml:space="preserve">that the Committee establish </w:t>
      </w:r>
      <w:r w:rsidRPr="00FC17F1">
        <w:rPr>
          <w:rFonts w:cs="Times New Roman"/>
          <w:b/>
          <w:sz w:val="28"/>
          <w:szCs w:val="28"/>
        </w:rPr>
        <w:t>a timetable for reportin</w:t>
      </w:r>
      <w:r w:rsidR="00631DC4" w:rsidRPr="00FC17F1">
        <w:rPr>
          <w:rFonts w:cs="Times New Roman"/>
          <w:b/>
          <w:sz w:val="28"/>
          <w:szCs w:val="28"/>
        </w:rPr>
        <w:t>g on progress</w:t>
      </w:r>
      <w:r w:rsidR="00C0275C">
        <w:rPr>
          <w:rFonts w:cs="Times New Roman"/>
          <w:b/>
          <w:sz w:val="28"/>
          <w:szCs w:val="28"/>
        </w:rPr>
        <w:t xml:space="preserve"> </w:t>
      </w:r>
      <w:r w:rsidR="003F2110">
        <w:rPr>
          <w:rFonts w:cs="Times New Roman"/>
          <w:b/>
          <w:sz w:val="28"/>
          <w:szCs w:val="28"/>
        </w:rPr>
        <w:t>on these</w:t>
      </w:r>
      <w:r w:rsidR="00C0275C">
        <w:rPr>
          <w:rFonts w:cs="Times New Roman"/>
          <w:b/>
          <w:sz w:val="28"/>
          <w:szCs w:val="28"/>
        </w:rPr>
        <w:t xml:space="preserve"> proposed</w:t>
      </w:r>
      <w:r w:rsidR="00C96ED7">
        <w:rPr>
          <w:rFonts w:cs="Times New Roman"/>
          <w:b/>
          <w:sz w:val="28"/>
          <w:szCs w:val="28"/>
        </w:rPr>
        <w:t xml:space="preserve"> wide-ranging reforms in realising the right to education at all levels. </w:t>
      </w:r>
      <w:r w:rsidR="00C0275C">
        <w:rPr>
          <w:rFonts w:cs="Times New Roman"/>
          <w:b/>
          <w:sz w:val="28"/>
          <w:szCs w:val="28"/>
        </w:rPr>
        <w:t xml:space="preserve"> </w:t>
      </w:r>
    </w:p>
    <w:p w14:paraId="70CA4EEE" w14:textId="77777777" w:rsidR="00667921" w:rsidRDefault="00667921" w:rsidP="00FC17F1">
      <w:pPr>
        <w:pStyle w:val="ListParagraph"/>
        <w:spacing w:line="360" w:lineRule="auto"/>
        <w:ind w:left="420"/>
        <w:jc w:val="both"/>
        <w:rPr>
          <w:rFonts w:cs="Times New Roman"/>
          <w:b/>
          <w:sz w:val="28"/>
          <w:szCs w:val="28"/>
        </w:rPr>
      </w:pPr>
    </w:p>
    <w:p w14:paraId="2CCC12DF" w14:textId="6BE8C984" w:rsidR="00667921" w:rsidRPr="00B94DC0" w:rsidRDefault="00667921" w:rsidP="00DA2390">
      <w:pPr>
        <w:pStyle w:val="NormalWeb"/>
        <w:numPr>
          <w:ilvl w:val="0"/>
          <w:numId w:val="10"/>
        </w:numPr>
        <w:spacing w:before="0" w:beforeAutospacing="0" w:after="0" w:afterAutospacing="0" w:line="360" w:lineRule="auto"/>
        <w:ind w:hanging="810"/>
        <w:jc w:val="both"/>
        <w:textAlignment w:val="baseline"/>
        <w:rPr>
          <w:b/>
          <w:sz w:val="28"/>
          <w:szCs w:val="28"/>
        </w:rPr>
      </w:pPr>
      <w:r>
        <w:rPr>
          <w:b/>
          <w:sz w:val="28"/>
          <w:szCs w:val="28"/>
        </w:rPr>
        <w:t xml:space="preserve"> </w:t>
      </w:r>
      <w:r w:rsidRPr="00B94DC0">
        <w:rPr>
          <w:b/>
          <w:sz w:val="28"/>
          <w:szCs w:val="28"/>
        </w:rPr>
        <w:t>On all these issues, including the rights of children with disabilities, the HRF also endorses the report and recommendations of  CPAG/ACYA pp.12 to15.</w:t>
      </w:r>
    </w:p>
    <w:p w14:paraId="3887F987" w14:textId="77777777" w:rsidR="00667921" w:rsidRPr="00FC17F1" w:rsidRDefault="00667921" w:rsidP="00FC17F1">
      <w:pPr>
        <w:pStyle w:val="ListParagraph"/>
        <w:spacing w:line="360" w:lineRule="auto"/>
        <w:ind w:left="420"/>
        <w:jc w:val="both"/>
        <w:rPr>
          <w:rFonts w:cs="Times New Roman"/>
          <w:b/>
          <w:sz w:val="28"/>
          <w:szCs w:val="28"/>
        </w:rPr>
      </w:pPr>
    </w:p>
    <w:p w14:paraId="73332F86" w14:textId="77777777" w:rsidR="008423D7" w:rsidRPr="00FC17F1" w:rsidRDefault="008423D7" w:rsidP="00FC17F1">
      <w:pPr>
        <w:pStyle w:val="BodyTextIndent"/>
        <w:spacing w:line="360" w:lineRule="auto"/>
        <w:ind w:left="0"/>
        <w:rPr>
          <w:i/>
          <w:sz w:val="28"/>
          <w:szCs w:val="28"/>
        </w:rPr>
      </w:pPr>
    </w:p>
    <w:p w14:paraId="0F5943C1" w14:textId="556823A6" w:rsidR="008423D7" w:rsidRPr="00FC17F1" w:rsidRDefault="008423D7" w:rsidP="00FC17F1">
      <w:pPr>
        <w:pStyle w:val="BodyTextIndent"/>
        <w:spacing w:line="360" w:lineRule="auto"/>
        <w:ind w:left="0"/>
        <w:rPr>
          <w:b/>
          <w:smallCaps/>
          <w:color w:val="000000" w:themeColor="text1"/>
          <w:sz w:val="28"/>
          <w:szCs w:val="28"/>
        </w:rPr>
      </w:pPr>
      <w:r w:rsidRPr="00FC17F1">
        <w:rPr>
          <w:b/>
          <w:smallCaps/>
          <w:color w:val="000000" w:themeColor="text1"/>
          <w:sz w:val="28"/>
          <w:szCs w:val="28"/>
        </w:rPr>
        <w:t>Part C Good Practices</w:t>
      </w:r>
    </w:p>
    <w:p w14:paraId="32D49705" w14:textId="77777777" w:rsidR="008423D7" w:rsidRPr="00FC17F1" w:rsidRDefault="008423D7" w:rsidP="00FC17F1">
      <w:pPr>
        <w:pStyle w:val="BodyTextIndent"/>
        <w:spacing w:line="360" w:lineRule="auto"/>
        <w:ind w:left="0"/>
        <w:rPr>
          <w:smallCaps/>
          <w:color w:val="000000" w:themeColor="text1"/>
          <w:sz w:val="28"/>
          <w:szCs w:val="28"/>
        </w:rPr>
      </w:pPr>
    </w:p>
    <w:p w14:paraId="7B69C9E7" w14:textId="56C3E1C4" w:rsidR="00862211" w:rsidRPr="00FC17F1" w:rsidRDefault="00862211" w:rsidP="00FC17F1">
      <w:pPr>
        <w:pStyle w:val="BodyTextIndent"/>
        <w:spacing w:line="360" w:lineRule="auto"/>
        <w:ind w:left="0"/>
        <w:rPr>
          <w:i/>
          <w:sz w:val="28"/>
          <w:szCs w:val="28"/>
        </w:rPr>
      </w:pPr>
      <w:r w:rsidRPr="00FC17F1">
        <w:rPr>
          <w:i/>
          <w:sz w:val="28"/>
          <w:szCs w:val="28"/>
        </w:rPr>
        <w:t xml:space="preserve"> </w:t>
      </w:r>
      <w:r w:rsidR="00CF52C5">
        <w:rPr>
          <w:i/>
          <w:sz w:val="28"/>
          <w:szCs w:val="28"/>
        </w:rPr>
        <w:t xml:space="preserve">Question 25: </w:t>
      </w:r>
      <w:r w:rsidR="00DA2390">
        <w:rPr>
          <w:i/>
          <w:sz w:val="28"/>
          <w:szCs w:val="28"/>
        </w:rPr>
        <w:t xml:space="preserve">Please provide information on good practices and policy formulation </w:t>
      </w:r>
      <w:r w:rsidR="008423D7" w:rsidRPr="00FC17F1">
        <w:rPr>
          <w:i/>
          <w:sz w:val="28"/>
          <w:szCs w:val="28"/>
        </w:rPr>
        <w:t>and implementation developed by the State party during the reporting period that have effectively contributed to the reali</w:t>
      </w:r>
      <w:r w:rsidR="009301DC" w:rsidRPr="00FC17F1">
        <w:rPr>
          <w:i/>
          <w:sz w:val="28"/>
          <w:szCs w:val="28"/>
        </w:rPr>
        <w:t>s</w:t>
      </w:r>
      <w:r w:rsidR="008423D7" w:rsidRPr="00FC17F1">
        <w:rPr>
          <w:i/>
          <w:sz w:val="28"/>
          <w:szCs w:val="28"/>
        </w:rPr>
        <w:t>ation of economic, social and cultural rights of</w:t>
      </w:r>
      <w:r w:rsidR="009301DC" w:rsidRPr="00FC17F1">
        <w:rPr>
          <w:i/>
          <w:sz w:val="28"/>
          <w:szCs w:val="28"/>
        </w:rPr>
        <w:t xml:space="preserve"> marginalised</w:t>
      </w:r>
      <w:r w:rsidRPr="00FC17F1">
        <w:rPr>
          <w:i/>
          <w:sz w:val="28"/>
          <w:szCs w:val="28"/>
        </w:rPr>
        <w:t xml:space="preserve"> and disadvantaged individuals and </w:t>
      </w:r>
      <w:r w:rsidRPr="00FC17F1">
        <w:rPr>
          <w:i/>
          <w:sz w:val="28"/>
          <w:szCs w:val="28"/>
        </w:rPr>
        <w:lastRenderedPageBreak/>
        <w:t>groups. Please indicate how the Committee’s previous concluding observations (E/C.12/NZL/CO/3) have been taken into account in developing such practices.</w:t>
      </w:r>
    </w:p>
    <w:p w14:paraId="492267F6" w14:textId="77777777" w:rsidR="00463E2B" w:rsidRPr="00FC17F1" w:rsidRDefault="00463E2B" w:rsidP="00FC17F1">
      <w:pPr>
        <w:pStyle w:val="BodyTextIndent"/>
        <w:spacing w:line="360" w:lineRule="auto"/>
        <w:ind w:left="0"/>
        <w:rPr>
          <w:i/>
          <w:sz w:val="28"/>
          <w:szCs w:val="28"/>
        </w:rPr>
      </w:pPr>
    </w:p>
    <w:p w14:paraId="3DA53830" w14:textId="51BEDC8F" w:rsidR="00D3494A" w:rsidRDefault="00496004" w:rsidP="00FC17F1">
      <w:pPr>
        <w:jc w:val="both"/>
        <w:rPr>
          <w:rFonts w:cs="Times New Roman"/>
          <w:b/>
          <w:color w:val="000000" w:themeColor="text1"/>
          <w:sz w:val="28"/>
          <w:szCs w:val="28"/>
        </w:rPr>
      </w:pPr>
      <w:r w:rsidRPr="00FC17F1">
        <w:rPr>
          <w:rFonts w:cs="Times New Roman"/>
          <w:b/>
          <w:color w:val="000000" w:themeColor="text1"/>
          <w:sz w:val="28"/>
          <w:szCs w:val="28"/>
        </w:rPr>
        <w:t xml:space="preserve">National Action Plan (NAP) </w:t>
      </w:r>
      <w:r w:rsidR="00D3494A">
        <w:rPr>
          <w:rFonts w:cs="Times New Roman"/>
          <w:b/>
          <w:color w:val="000000" w:themeColor="text1"/>
          <w:sz w:val="28"/>
          <w:szCs w:val="28"/>
        </w:rPr>
        <w:t xml:space="preserve"> </w:t>
      </w:r>
      <w:r w:rsidR="00D3494A">
        <w:rPr>
          <w:rFonts w:cs="Times New Roman"/>
          <w:b/>
          <w:color w:val="000000" w:themeColor="text1"/>
          <w:sz w:val="28"/>
          <w:szCs w:val="28"/>
        </w:rPr>
        <w:tab/>
      </w:r>
    </w:p>
    <w:p w14:paraId="066953EC" w14:textId="77777777" w:rsidR="00D3494A" w:rsidRDefault="00D3494A" w:rsidP="00FC17F1">
      <w:pPr>
        <w:jc w:val="both"/>
        <w:rPr>
          <w:rFonts w:cs="Times New Roman"/>
          <w:b/>
          <w:color w:val="000000" w:themeColor="text1"/>
          <w:sz w:val="28"/>
          <w:szCs w:val="28"/>
        </w:rPr>
      </w:pPr>
    </w:p>
    <w:p w14:paraId="562321C6" w14:textId="77777777" w:rsidR="00D3494A" w:rsidRPr="00FC17F1" w:rsidRDefault="00D3494A" w:rsidP="00FC17F1">
      <w:pPr>
        <w:jc w:val="both"/>
        <w:rPr>
          <w:color w:val="000000" w:themeColor="text1"/>
        </w:rPr>
      </w:pPr>
    </w:p>
    <w:p w14:paraId="0C5187EF" w14:textId="51326C3B" w:rsidR="00D3494A" w:rsidRPr="00FC17F1" w:rsidRDefault="007036EE" w:rsidP="00DA2390">
      <w:pPr>
        <w:pStyle w:val="ListParagraph"/>
        <w:numPr>
          <w:ilvl w:val="0"/>
          <w:numId w:val="10"/>
        </w:numPr>
        <w:spacing w:line="360" w:lineRule="auto"/>
        <w:ind w:left="630" w:hanging="450"/>
        <w:jc w:val="both"/>
        <w:rPr>
          <w:rFonts w:cs="Times New Roman"/>
          <w:color w:val="000000" w:themeColor="text1"/>
          <w:sz w:val="28"/>
          <w:szCs w:val="28"/>
        </w:rPr>
      </w:pPr>
      <w:r>
        <w:rPr>
          <w:rFonts w:cs="Times New Roman"/>
          <w:color w:val="000000" w:themeColor="text1"/>
          <w:sz w:val="28"/>
          <w:szCs w:val="28"/>
        </w:rPr>
        <w:t xml:space="preserve"> </w:t>
      </w:r>
      <w:r w:rsidR="00D3494A" w:rsidRPr="00FC17F1">
        <w:rPr>
          <w:rFonts w:cs="Times New Roman"/>
          <w:color w:val="000000" w:themeColor="text1"/>
          <w:sz w:val="28"/>
          <w:szCs w:val="28"/>
        </w:rPr>
        <w:t>Responsibility for the development of a NHRAP currently rests with the Human Rights Commission (HRC), by a 2001 amendment to the Human Rights Act 1993. The HRC developed an earlier plan but this was not adopted by the Government. The result was that the plan had no budget attached to meet the cost of implementation and much of it was not implemented.</w:t>
      </w:r>
    </w:p>
    <w:p w14:paraId="4870C6F1" w14:textId="77777777" w:rsidR="00D3494A" w:rsidRDefault="00D3494A" w:rsidP="00FC17F1">
      <w:pPr>
        <w:pStyle w:val="ListParagraph"/>
        <w:spacing w:line="360" w:lineRule="auto"/>
        <w:ind w:left="780"/>
        <w:jc w:val="both"/>
        <w:rPr>
          <w:rFonts w:cs="Times New Roman"/>
          <w:color w:val="000000" w:themeColor="text1"/>
          <w:sz w:val="28"/>
          <w:szCs w:val="28"/>
        </w:rPr>
      </w:pPr>
    </w:p>
    <w:p w14:paraId="52B04DAB" w14:textId="305B0DED" w:rsidR="00D3494A" w:rsidRPr="00FC17F1" w:rsidRDefault="00463E2B" w:rsidP="00DA2390">
      <w:pPr>
        <w:pStyle w:val="ListParagraph"/>
        <w:numPr>
          <w:ilvl w:val="0"/>
          <w:numId w:val="10"/>
        </w:numPr>
        <w:spacing w:line="360" w:lineRule="auto"/>
        <w:ind w:hanging="630"/>
        <w:jc w:val="both"/>
        <w:rPr>
          <w:rFonts w:cs="Times New Roman"/>
          <w:color w:val="000000" w:themeColor="text1"/>
          <w:sz w:val="28"/>
          <w:szCs w:val="28"/>
        </w:rPr>
      </w:pPr>
      <w:r w:rsidRPr="00FC17F1">
        <w:rPr>
          <w:rFonts w:cs="Times New Roman"/>
          <w:sz w:val="28"/>
          <w:szCs w:val="28"/>
        </w:rPr>
        <w:t>The HRC has now prepared an on-line resource, an interactive National Action Plan for Human Rights (NAP).</w:t>
      </w:r>
      <w:r w:rsidRPr="00C37B4D">
        <w:footnoteReference w:id="123"/>
      </w:r>
      <w:r w:rsidRPr="00FC17F1">
        <w:rPr>
          <w:rFonts w:cs="Times New Roman"/>
          <w:sz w:val="28"/>
          <w:szCs w:val="28"/>
        </w:rPr>
        <w:t xml:space="preserve"> However, while this may prove to be a useful tool for the Government’s human rights transparency, it has neither a robust reporting system nor a budget, because the Commission is not the implementing body and has no budget for this purpose.</w:t>
      </w:r>
    </w:p>
    <w:p w14:paraId="36363B3D" w14:textId="77777777" w:rsidR="00D3494A" w:rsidRPr="00FC17F1" w:rsidRDefault="00D3494A" w:rsidP="00FC17F1">
      <w:pPr>
        <w:pStyle w:val="ListParagraph"/>
        <w:jc w:val="both"/>
        <w:rPr>
          <w:rFonts w:cs="Times New Roman"/>
          <w:color w:val="000000" w:themeColor="text1"/>
          <w:sz w:val="28"/>
          <w:szCs w:val="28"/>
        </w:rPr>
      </w:pPr>
    </w:p>
    <w:p w14:paraId="4FFA2A9C" w14:textId="1073B8F4" w:rsidR="00463E2B" w:rsidRDefault="007036EE" w:rsidP="00DA2390">
      <w:pPr>
        <w:pStyle w:val="ListParagraph"/>
        <w:numPr>
          <w:ilvl w:val="0"/>
          <w:numId w:val="10"/>
        </w:numPr>
        <w:tabs>
          <w:tab w:val="left" w:pos="630"/>
        </w:tabs>
        <w:spacing w:line="360" w:lineRule="auto"/>
        <w:ind w:left="720" w:hanging="540"/>
        <w:jc w:val="both"/>
        <w:rPr>
          <w:rFonts w:cs="Times New Roman"/>
          <w:color w:val="000000" w:themeColor="text1"/>
          <w:sz w:val="28"/>
          <w:szCs w:val="28"/>
        </w:rPr>
      </w:pPr>
      <w:r>
        <w:rPr>
          <w:rFonts w:cs="Times New Roman"/>
          <w:color w:val="000000" w:themeColor="text1"/>
          <w:sz w:val="28"/>
          <w:szCs w:val="28"/>
        </w:rPr>
        <w:t xml:space="preserve"> </w:t>
      </w:r>
      <w:r w:rsidR="00463E2B" w:rsidRPr="00D3494A">
        <w:rPr>
          <w:rFonts w:cs="Times New Roman"/>
          <w:color w:val="000000" w:themeColor="text1"/>
          <w:sz w:val="28"/>
          <w:szCs w:val="28"/>
        </w:rPr>
        <w:t>The development of the NAP by the Commission, while in accordance with the amendment to its mandate in 2001, has confused its role, which is to monitor the implementation of human rights, not to actually implement them. Any implementation plan should be the Government’s. The Human Rights Act 1993 needs amending accordingly.   The result of all this is that the Government has no plan to implement the Concluding Observations of Treaty Bodies, including those relevant to ICESCR.</w:t>
      </w:r>
    </w:p>
    <w:p w14:paraId="4A4B236F" w14:textId="77777777" w:rsidR="00C0275C" w:rsidRPr="00FC17F1" w:rsidRDefault="00C0275C" w:rsidP="00FC17F1">
      <w:pPr>
        <w:pStyle w:val="ListParagraph"/>
        <w:jc w:val="both"/>
        <w:rPr>
          <w:rFonts w:cs="Times New Roman"/>
          <w:color w:val="000000" w:themeColor="text1"/>
          <w:sz w:val="28"/>
          <w:szCs w:val="28"/>
        </w:rPr>
      </w:pPr>
    </w:p>
    <w:p w14:paraId="428B20C3" w14:textId="7B37D772" w:rsidR="00C0275C" w:rsidRDefault="00C0275C" w:rsidP="00FC17F1">
      <w:pPr>
        <w:spacing w:line="360" w:lineRule="auto"/>
        <w:jc w:val="both"/>
        <w:rPr>
          <w:rFonts w:cs="Times New Roman"/>
          <w:b/>
          <w:color w:val="000000" w:themeColor="text1"/>
          <w:sz w:val="28"/>
          <w:szCs w:val="28"/>
        </w:rPr>
      </w:pPr>
      <w:r>
        <w:rPr>
          <w:rFonts w:cs="Times New Roman"/>
          <w:b/>
          <w:color w:val="000000" w:themeColor="text1"/>
          <w:sz w:val="28"/>
          <w:szCs w:val="28"/>
        </w:rPr>
        <w:t xml:space="preserve"> </w:t>
      </w:r>
      <w:r w:rsidRPr="00FC17F1">
        <w:rPr>
          <w:rFonts w:cs="Times New Roman"/>
          <w:b/>
          <w:color w:val="000000" w:themeColor="text1"/>
          <w:sz w:val="28"/>
          <w:szCs w:val="28"/>
        </w:rPr>
        <w:t>Recommendations</w:t>
      </w:r>
    </w:p>
    <w:p w14:paraId="28512B4C" w14:textId="7A54ED9E" w:rsidR="00C0275C" w:rsidRPr="00DA2390" w:rsidRDefault="00C0275C" w:rsidP="00DA2390">
      <w:pPr>
        <w:pStyle w:val="ListParagraph"/>
        <w:numPr>
          <w:ilvl w:val="0"/>
          <w:numId w:val="10"/>
        </w:numPr>
        <w:spacing w:line="360" w:lineRule="auto"/>
        <w:ind w:left="900" w:hanging="540"/>
        <w:jc w:val="both"/>
        <w:rPr>
          <w:rFonts w:cs="Times New Roman"/>
          <w:b/>
          <w:color w:val="000000" w:themeColor="text1"/>
          <w:sz w:val="28"/>
          <w:szCs w:val="28"/>
        </w:rPr>
      </w:pPr>
      <w:r w:rsidRPr="00DA2390">
        <w:rPr>
          <w:rFonts w:cs="Times New Roman"/>
          <w:b/>
          <w:color w:val="000000" w:themeColor="text1"/>
          <w:sz w:val="28"/>
          <w:szCs w:val="28"/>
        </w:rPr>
        <w:lastRenderedPageBreak/>
        <w:t>The HRF recommends that the Committee encourage the Government</w:t>
      </w:r>
      <w:r w:rsidR="00667921" w:rsidRPr="00DA2390">
        <w:rPr>
          <w:rFonts w:cs="Times New Roman"/>
          <w:b/>
          <w:color w:val="000000" w:themeColor="text1"/>
          <w:sz w:val="28"/>
          <w:szCs w:val="28"/>
        </w:rPr>
        <w:t xml:space="preserve"> </w:t>
      </w:r>
      <w:r w:rsidR="003F2110" w:rsidRPr="003F2110">
        <w:rPr>
          <w:rFonts w:cs="Times New Roman"/>
          <w:b/>
          <w:color w:val="000000" w:themeColor="text1"/>
          <w:sz w:val="28"/>
          <w:szCs w:val="28"/>
        </w:rPr>
        <w:t>to take</w:t>
      </w:r>
      <w:r w:rsidRPr="00DA2390">
        <w:rPr>
          <w:rFonts w:cs="Times New Roman"/>
          <w:b/>
          <w:color w:val="000000" w:themeColor="text1"/>
          <w:sz w:val="28"/>
          <w:szCs w:val="28"/>
        </w:rPr>
        <w:t xml:space="preserve"> responsibility for the NAP and </w:t>
      </w:r>
      <w:r w:rsidR="00667921" w:rsidRPr="00DA2390">
        <w:rPr>
          <w:rFonts w:cs="Times New Roman"/>
          <w:b/>
          <w:color w:val="000000" w:themeColor="text1"/>
          <w:sz w:val="28"/>
          <w:szCs w:val="28"/>
        </w:rPr>
        <w:t xml:space="preserve">that </w:t>
      </w:r>
      <w:r w:rsidRPr="00DA2390">
        <w:rPr>
          <w:rFonts w:cs="Times New Roman"/>
          <w:b/>
          <w:color w:val="000000" w:themeColor="text1"/>
          <w:sz w:val="28"/>
          <w:szCs w:val="28"/>
        </w:rPr>
        <w:t>the HRA 1993 be amended accordingly</w:t>
      </w:r>
    </w:p>
    <w:p w14:paraId="26886D9F" w14:textId="77777777" w:rsidR="00496004" w:rsidRPr="00FC17F1" w:rsidRDefault="00496004" w:rsidP="00FC17F1">
      <w:pPr>
        <w:pStyle w:val="ListParagraph"/>
        <w:spacing w:line="360" w:lineRule="auto"/>
        <w:ind w:left="1080"/>
        <w:jc w:val="both"/>
        <w:rPr>
          <w:rFonts w:cs="Times New Roman"/>
          <w:color w:val="000000" w:themeColor="text1"/>
          <w:sz w:val="28"/>
          <w:szCs w:val="28"/>
        </w:rPr>
      </w:pPr>
    </w:p>
    <w:p w14:paraId="2072CD9C" w14:textId="1A0C12D6" w:rsidR="00D3494A" w:rsidRPr="00FC17F1" w:rsidRDefault="00AE6D16" w:rsidP="00FC17F1">
      <w:pPr>
        <w:spacing w:line="360" w:lineRule="auto"/>
        <w:jc w:val="both"/>
        <w:rPr>
          <w:rFonts w:cs="Times New Roman"/>
          <w:color w:val="000000" w:themeColor="text1"/>
          <w:sz w:val="28"/>
          <w:szCs w:val="28"/>
        </w:rPr>
      </w:pPr>
      <w:r w:rsidRPr="00FC17F1">
        <w:rPr>
          <w:rFonts w:cs="Times New Roman"/>
          <w:b/>
          <w:color w:val="000000" w:themeColor="text1"/>
          <w:sz w:val="28"/>
          <w:szCs w:val="28"/>
        </w:rPr>
        <w:t>Appointment of Human Rights Commissioners</w:t>
      </w:r>
    </w:p>
    <w:p w14:paraId="50B64F79" w14:textId="58205006" w:rsidR="00AE6D16" w:rsidRPr="00FC17F1" w:rsidRDefault="00D3494A" w:rsidP="00DA2390">
      <w:pPr>
        <w:pStyle w:val="ListParagraph"/>
        <w:numPr>
          <w:ilvl w:val="0"/>
          <w:numId w:val="10"/>
        </w:numPr>
        <w:tabs>
          <w:tab w:val="left" w:pos="720"/>
        </w:tabs>
        <w:spacing w:line="360" w:lineRule="auto"/>
        <w:ind w:hanging="630"/>
        <w:jc w:val="both"/>
        <w:rPr>
          <w:rFonts w:cs="Times New Roman"/>
          <w:color w:val="000000" w:themeColor="text1"/>
          <w:sz w:val="28"/>
          <w:szCs w:val="28"/>
        </w:rPr>
      </w:pPr>
      <w:r>
        <w:rPr>
          <w:rFonts w:cs="Times New Roman"/>
          <w:color w:val="000000" w:themeColor="text1"/>
          <w:sz w:val="28"/>
          <w:szCs w:val="28"/>
        </w:rPr>
        <w:t xml:space="preserve"> </w:t>
      </w:r>
      <w:r w:rsidR="00AE6D16" w:rsidRPr="00FC17F1">
        <w:rPr>
          <w:rFonts w:cs="Times New Roman"/>
          <w:color w:val="000000" w:themeColor="text1"/>
          <w:sz w:val="28"/>
          <w:szCs w:val="28"/>
        </w:rPr>
        <w:t>Human Rights Commissioners are currently appointed by the Governor-General (Head of State) on the recommendation of the Minister of Justice. The appointments of some current Commissioners have been controversial, undermining both the ability of these Commissioners to fulfil their responsibilities and the credibility of the Commission itself. The appointment process for National Human Rights Institutions (NHRIs) like the Human Rights Commission should aim to appoint independent-minded Commissioners as the relevant international standards (the Paris Principles) makes clear. There are some commendable features of the current process, including wide notification of vacancies and interviews by a panel of senior public servants who make a recommendation to the Minister for appointment – although the practice of having a representative of civil society on the three-person panel should be reinstated.</w:t>
      </w:r>
    </w:p>
    <w:p w14:paraId="7D13C7AB" w14:textId="77777777" w:rsidR="00AE6D16" w:rsidRPr="00FC17F1" w:rsidRDefault="00AE6D16" w:rsidP="00FC17F1">
      <w:pPr>
        <w:spacing w:line="360" w:lineRule="auto"/>
        <w:ind w:left="720"/>
        <w:jc w:val="both"/>
        <w:rPr>
          <w:rFonts w:cs="Times New Roman"/>
          <w:color w:val="000000" w:themeColor="text1"/>
          <w:sz w:val="28"/>
          <w:szCs w:val="28"/>
        </w:rPr>
      </w:pPr>
    </w:p>
    <w:p w14:paraId="7ADFEED7" w14:textId="65FD0E8F" w:rsidR="00AE6D16" w:rsidRPr="00FC17F1" w:rsidRDefault="007036EE" w:rsidP="00DA2390">
      <w:pPr>
        <w:pStyle w:val="ListParagraph"/>
        <w:numPr>
          <w:ilvl w:val="0"/>
          <w:numId w:val="10"/>
        </w:numPr>
        <w:tabs>
          <w:tab w:val="left" w:pos="2430"/>
        </w:tabs>
        <w:spacing w:line="360" w:lineRule="auto"/>
        <w:ind w:left="900" w:hanging="630"/>
        <w:jc w:val="both"/>
        <w:rPr>
          <w:rFonts w:cs="Times New Roman"/>
          <w:color w:val="000000" w:themeColor="text1"/>
          <w:sz w:val="28"/>
          <w:szCs w:val="28"/>
        </w:rPr>
      </w:pPr>
      <w:r>
        <w:rPr>
          <w:rFonts w:cs="Times New Roman"/>
          <w:color w:val="000000" w:themeColor="text1"/>
          <w:sz w:val="28"/>
          <w:szCs w:val="28"/>
        </w:rPr>
        <w:t xml:space="preserve"> </w:t>
      </w:r>
      <w:r w:rsidR="00AE6D16" w:rsidRPr="00FC17F1">
        <w:rPr>
          <w:rFonts w:cs="Times New Roman"/>
          <w:color w:val="000000" w:themeColor="text1"/>
          <w:sz w:val="28"/>
          <w:szCs w:val="28"/>
        </w:rPr>
        <w:t xml:space="preserve">Appointments to the majority of NHRIs around the world and in the Asia Pacific region in particular involve not just the Executive but also Parliament, via a range of mechanisms. In the Maldives, for example, a Parliamentary Committee scrutinises proposals by the President and recommends appointments. In India and Bangladesh, an Appointments’ Committee includes the Speaker and the Opposition. Indonesian Commissioners are appointed by Parliament itself, with no involvement of the Executive. In Fiji, the President is required by law to consult with the Leader of the Opposition before making an appointment. All these </w:t>
      </w:r>
      <w:r w:rsidR="00AE6D16" w:rsidRPr="00FC17F1">
        <w:rPr>
          <w:rFonts w:cs="Times New Roman"/>
          <w:color w:val="000000" w:themeColor="text1"/>
          <w:sz w:val="28"/>
          <w:szCs w:val="28"/>
        </w:rPr>
        <w:lastRenderedPageBreak/>
        <w:t>processes contribute to more transparency and a broader scrutiny of the skills, qualifications and experience of the candidates. One option would be to involve a Parliamentary Human Rights Select Committee, as also recommended.</w:t>
      </w:r>
    </w:p>
    <w:p w14:paraId="7BDABAE4" w14:textId="77777777" w:rsidR="00AE6D16" w:rsidRPr="00FC17F1" w:rsidRDefault="00AE6D16" w:rsidP="00FC17F1">
      <w:pPr>
        <w:pStyle w:val="ListParagraph"/>
        <w:spacing w:line="360" w:lineRule="auto"/>
        <w:ind w:left="1080"/>
        <w:jc w:val="both"/>
        <w:rPr>
          <w:rFonts w:cs="Times New Roman"/>
          <w:color w:val="000000" w:themeColor="text1"/>
          <w:sz w:val="28"/>
          <w:szCs w:val="28"/>
        </w:rPr>
      </w:pPr>
    </w:p>
    <w:p w14:paraId="7D61197A" w14:textId="77777777" w:rsidR="00AE6D16" w:rsidRPr="00FC17F1" w:rsidRDefault="00AE6D16" w:rsidP="00FC17F1">
      <w:pPr>
        <w:pStyle w:val="ListParagraph"/>
        <w:spacing w:line="360" w:lineRule="auto"/>
        <w:ind w:left="420"/>
        <w:jc w:val="both"/>
        <w:rPr>
          <w:rFonts w:cs="Times New Roman"/>
          <w:color w:val="000000" w:themeColor="text1"/>
          <w:sz w:val="28"/>
          <w:szCs w:val="28"/>
        </w:rPr>
      </w:pPr>
      <w:r w:rsidRPr="00FC17F1">
        <w:rPr>
          <w:rFonts w:cs="Times New Roman"/>
          <w:color w:val="000000" w:themeColor="text1"/>
          <w:sz w:val="28"/>
          <w:szCs w:val="28"/>
        </w:rPr>
        <w:t> </w:t>
      </w:r>
    </w:p>
    <w:p w14:paraId="111B46F9" w14:textId="272CB0F3" w:rsidR="00AE6D16" w:rsidRPr="00FC17F1" w:rsidRDefault="00C0275C" w:rsidP="00DA2390">
      <w:pPr>
        <w:pStyle w:val="ListParagraph"/>
        <w:numPr>
          <w:ilvl w:val="0"/>
          <w:numId w:val="10"/>
        </w:numPr>
        <w:spacing w:line="360" w:lineRule="auto"/>
        <w:ind w:hanging="630"/>
        <w:jc w:val="both"/>
        <w:rPr>
          <w:rFonts w:cs="Times New Roman"/>
          <w:color w:val="000000" w:themeColor="text1"/>
          <w:sz w:val="28"/>
          <w:szCs w:val="28"/>
        </w:rPr>
      </w:pPr>
      <w:r>
        <w:rPr>
          <w:rFonts w:cs="Times New Roman"/>
          <w:color w:val="000000" w:themeColor="text1"/>
          <w:sz w:val="28"/>
          <w:szCs w:val="28"/>
        </w:rPr>
        <w:t>D</w:t>
      </w:r>
      <w:r w:rsidR="00AE6D16" w:rsidRPr="00FC17F1">
        <w:rPr>
          <w:rFonts w:cs="Times New Roman"/>
          <w:color w:val="000000" w:themeColor="text1"/>
          <w:sz w:val="28"/>
          <w:szCs w:val="28"/>
        </w:rPr>
        <w:t>uring New Zealand’s Universal Periodic Review in January 2014</w:t>
      </w:r>
      <w:r>
        <w:rPr>
          <w:rFonts w:cs="Times New Roman"/>
          <w:color w:val="000000" w:themeColor="text1"/>
          <w:sz w:val="28"/>
          <w:szCs w:val="28"/>
        </w:rPr>
        <w:t xml:space="preserve"> the Government </w:t>
      </w:r>
      <w:r w:rsidR="003F2110">
        <w:rPr>
          <w:rFonts w:cs="Times New Roman"/>
          <w:color w:val="000000" w:themeColor="text1"/>
          <w:sz w:val="28"/>
          <w:szCs w:val="28"/>
        </w:rPr>
        <w:t>of Ukraine</w:t>
      </w:r>
      <w:r>
        <w:rPr>
          <w:rFonts w:cs="Times New Roman"/>
          <w:color w:val="000000" w:themeColor="text1"/>
          <w:sz w:val="28"/>
          <w:szCs w:val="28"/>
        </w:rPr>
        <w:t xml:space="preserve"> recommended that New Zealand</w:t>
      </w:r>
      <w:r w:rsidR="00AE6D16" w:rsidRPr="00FC17F1">
        <w:rPr>
          <w:rFonts w:cs="Times New Roman"/>
          <w:color w:val="000000" w:themeColor="text1"/>
          <w:sz w:val="28"/>
          <w:szCs w:val="28"/>
        </w:rPr>
        <w:t>:</w:t>
      </w:r>
    </w:p>
    <w:p w14:paraId="21830EE0" w14:textId="77777777" w:rsidR="00F63E6A" w:rsidRPr="00FC17F1" w:rsidRDefault="00F63E6A" w:rsidP="00FC17F1">
      <w:pPr>
        <w:pStyle w:val="ListParagraph"/>
        <w:spacing w:line="360" w:lineRule="auto"/>
        <w:ind w:left="1080"/>
        <w:jc w:val="both"/>
        <w:rPr>
          <w:rFonts w:cs="Times New Roman"/>
          <w:color w:val="000000" w:themeColor="text1"/>
          <w:sz w:val="28"/>
          <w:szCs w:val="28"/>
        </w:rPr>
      </w:pPr>
    </w:p>
    <w:p w14:paraId="660B45F7" w14:textId="7750C2ED" w:rsidR="00AE6D16" w:rsidRPr="00FC17F1" w:rsidRDefault="00AE6D16" w:rsidP="00DA2390">
      <w:pPr>
        <w:pStyle w:val="ListParagraph"/>
        <w:numPr>
          <w:ilvl w:val="2"/>
          <w:numId w:val="8"/>
        </w:numPr>
        <w:tabs>
          <w:tab w:val="left" w:pos="2970"/>
        </w:tabs>
        <w:spacing w:line="360" w:lineRule="auto"/>
        <w:ind w:left="2970" w:hanging="360"/>
        <w:jc w:val="both"/>
        <w:rPr>
          <w:rFonts w:cs="Times New Roman"/>
          <w:sz w:val="28"/>
          <w:szCs w:val="28"/>
        </w:rPr>
      </w:pPr>
      <w:r w:rsidRPr="00FC17F1">
        <w:rPr>
          <w:rFonts w:cs="Times New Roman"/>
          <w:sz w:val="28"/>
          <w:szCs w:val="28"/>
          <w:shd w:val="clear" w:color="auto" w:fill="FFFFFF"/>
        </w:rPr>
        <w:t>"Consider participation of the Parliament in a human rights commissioner's appointment process</w:t>
      </w:r>
      <w:r w:rsidRPr="00FC17F1">
        <w:rPr>
          <w:rFonts w:cs="Times New Roman"/>
          <w:sz w:val="28"/>
          <w:szCs w:val="28"/>
        </w:rPr>
        <w:t>” (Ukraine)</w:t>
      </w:r>
    </w:p>
    <w:p w14:paraId="5987F96F" w14:textId="77777777" w:rsidR="00AE6D16" w:rsidRPr="00FC17F1" w:rsidRDefault="00AE6D16" w:rsidP="00DA2390">
      <w:pPr>
        <w:pStyle w:val="ListParagraph"/>
        <w:numPr>
          <w:ilvl w:val="2"/>
          <w:numId w:val="8"/>
        </w:numPr>
        <w:tabs>
          <w:tab w:val="left" w:pos="2970"/>
        </w:tabs>
        <w:spacing w:line="360" w:lineRule="auto"/>
        <w:ind w:left="2970" w:hanging="360"/>
        <w:jc w:val="both"/>
        <w:rPr>
          <w:rFonts w:cs="Times New Roman"/>
          <w:color w:val="000000" w:themeColor="text1"/>
          <w:sz w:val="28"/>
          <w:szCs w:val="28"/>
        </w:rPr>
      </w:pPr>
      <w:r w:rsidRPr="00FC17F1">
        <w:rPr>
          <w:rFonts w:cs="Times New Roman"/>
          <w:color w:val="000000" w:themeColor="text1"/>
          <w:sz w:val="28"/>
          <w:szCs w:val="28"/>
        </w:rPr>
        <w:t>However, this recommendation was not accepted by New Zealand. New Zealand’s response was:</w:t>
      </w:r>
    </w:p>
    <w:p w14:paraId="5078F5F5" w14:textId="77777777" w:rsidR="00AE6D16" w:rsidRPr="00FC17F1" w:rsidRDefault="00AE6D16" w:rsidP="00DA2390">
      <w:pPr>
        <w:pStyle w:val="ListParagraph"/>
        <w:numPr>
          <w:ilvl w:val="2"/>
          <w:numId w:val="8"/>
        </w:numPr>
        <w:tabs>
          <w:tab w:val="left" w:pos="2970"/>
        </w:tabs>
        <w:spacing w:line="360" w:lineRule="auto"/>
        <w:ind w:left="2970" w:hanging="360"/>
        <w:jc w:val="both"/>
        <w:rPr>
          <w:rFonts w:cs="Times New Roman"/>
          <w:color w:val="000000" w:themeColor="text1"/>
          <w:sz w:val="28"/>
          <w:szCs w:val="28"/>
        </w:rPr>
      </w:pPr>
      <w:r w:rsidRPr="00FC17F1">
        <w:rPr>
          <w:rFonts w:cs="Times New Roman"/>
          <w:color w:val="000000" w:themeColor="text1"/>
          <w:sz w:val="28"/>
          <w:szCs w:val="28"/>
        </w:rPr>
        <w:t>“45: The Human Rights Commission is an independent Crown entity. The Crown Entities Act 2004 specifies appointment by the Governor-General.”</w:t>
      </w:r>
    </w:p>
    <w:p w14:paraId="4B80A1A7" w14:textId="77777777" w:rsidR="00AE6D16" w:rsidRPr="00FC17F1" w:rsidRDefault="00AE6D16" w:rsidP="00FC17F1">
      <w:pPr>
        <w:spacing w:line="360" w:lineRule="auto"/>
        <w:jc w:val="both"/>
        <w:rPr>
          <w:rFonts w:cs="Times New Roman"/>
          <w:color w:val="000000" w:themeColor="text1"/>
          <w:sz w:val="28"/>
          <w:szCs w:val="28"/>
        </w:rPr>
      </w:pPr>
    </w:p>
    <w:p w14:paraId="20C661DB" w14:textId="788D1924" w:rsidR="00AE6D16" w:rsidRPr="00FC17F1" w:rsidRDefault="00AE6D16" w:rsidP="00DA2390">
      <w:pPr>
        <w:pStyle w:val="ListParagraph"/>
        <w:numPr>
          <w:ilvl w:val="0"/>
          <w:numId w:val="10"/>
        </w:numPr>
        <w:spacing w:line="360" w:lineRule="auto"/>
        <w:ind w:hanging="630"/>
        <w:jc w:val="both"/>
        <w:rPr>
          <w:rFonts w:cs="Times New Roman"/>
          <w:color w:val="000000" w:themeColor="text1"/>
          <w:sz w:val="28"/>
          <w:szCs w:val="28"/>
        </w:rPr>
      </w:pPr>
      <w:r w:rsidRPr="00FC17F1">
        <w:rPr>
          <w:rFonts w:cs="Times New Roman"/>
          <w:color w:val="000000" w:themeColor="text1"/>
          <w:sz w:val="28"/>
          <w:szCs w:val="28"/>
        </w:rPr>
        <w:t xml:space="preserve">The response does not address the issue of independence of the appointment process, since the Governor </w:t>
      </w:r>
      <w:r w:rsidR="003F2110" w:rsidRPr="00FC17F1">
        <w:rPr>
          <w:rFonts w:cs="Times New Roman"/>
          <w:color w:val="000000" w:themeColor="text1"/>
          <w:sz w:val="28"/>
          <w:szCs w:val="28"/>
        </w:rPr>
        <w:t>General acts</w:t>
      </w:r>
      <w:r w:rsidRPr="00FC17F1">
        <w:rPr>
          <w:rFonts w:cs="Times New Roman"/>
          <w:color w:val="000000" w:themeColor="text1"/>
          <w:sz w:val="28"/>
          <w:szCs w:val="28"/>
        </w:rPr>
        <w:t xml:space="preserve"> only on Cabinet directives - i.e. at the behest of the Executive. The point of Ukraine’s recommendation was to involve not just the Executive, but also Parliament, in the appointment process.</w:t>
      </w:r>
    </w:p>
    <w:p w14:paraId="7573FA79" w14:textId="17EE8C4F" w:rsidR="00C0275C" w:rsidRDefault="00C0275C" w:rsidP="00FC17F1">
      <w:pPr>
        <w:spacing w:line="360" w:lineRule="auto"/>
        <w:ind w:left="360"/>
        <w:jc w:val="both"/>
        <w:rPr>
          <w:rFonts w:cs="Times New Roman"/>
          <w:color w:val="000000" w:themeColor="text1"/>
          <w:sz w:val="28"/>
          <w:szCs w:val="28"/>
        </w:rPr>
      </w:pPr>
    </w:p>
    <w:p w14:paraId="358979A8" w14:textId="7B8FC7EA" w:rsidR="00C0275C" w:rsidRPr="00FC17F1" w:rsidRDefault="00C0275C" w:rsidP="00FC17F1">
      <w:pPr>
        <w:tabs>
          <w:tab w:val="left" w:pos="0"/>
          <w:tab w:val="left" w:pos="270"/>
        </w:tabs>
        <w:spacing w:line="360" w:lineRule="auto"/>
        <w:ind w:left="90"/>
        <w:jc w:val="both"/>
        <w:rPr>
          <w:rFonts w:cs="Times New Roman"/>
          <w:b/>
          <w:color w:val="000000" w:themeColor="text1"/>
          <w:sz w:val="28"/>
          <w:szCs w:val="28"/>
        </w:rPr>
      </w:pPr>
      <w:r w:rsidRPr="00FC17F1">
        <w:rPr>
          <w:rFonts w:cs="Times New Roman"/>
          <w:b/>
          <w:color w:val="000000" w:themeColor="text1"/>
          <w:sz w:val="28"/>
          <w:szCs w:val="28"/>
        </w:rPr>
        <w:t>Recommendation</w:t>
      </w:r>
    </w:p>
    <w:p w14:paraId="4FDF39F6" w14:textId="76D58EAD" w:rsidR="00C0275C" w:rsidRDefault="00C0275C" w:rsidP="00FC17F1">
      <w:pPr>
        <w:spacing w:line="360" w:lineRule="auto"/>
        <w:ind w:left="360"/>
        <w:jc w:val="both"/>
        <w:rPr>
          <w:rFonts w:cs="Times New Roman"/>
          <w:color w:val="000000" w:themeColor="text1"/>
          <w:sz w:val="28"/>
          <w:szCs w:val="28"/>
        </w:rPr>
      </w:pPr>
    </w:p>
    <w:p w14:paraId="6CEB4EFE" w14:textId="77777777" w:rsidR="00C0275C" w:rsidRPr="00FC17F1" w:rsidRDefault="00C0275C" w:rsidP="00DA2390">
      <w:pPr>
        <w:pStyle w:val="ListParagraph"/>
        <w:numPr>
          <w:ilvl w:val="0"/>
          <w:numId w:val="10"/>
        </w:numPr>
        <w:spacing w:line="360" w:lineRule="auto"/>
        <w:ind w:hanging="630"/>
        <w:jc w:val="both"/>
        <w:rPr>
          <w:rFonts w:cs="Times New Roman"/>
          <w:b/>
          <w:color w:val="000000" w:themeColor="text1"/>
          <w:sz w:val="28"/>
          <w:szCs w:val="28"/>
        </w:rPr>
      </w:pPr>
      <w:r w:rsidRPr="00FC17F1">
        <w:rPr>
          <w:rFonts w:cs="Times New Roman"/>
          <w:b/>
          <w:color w:val="000000" w:themeColor="text1"/>
          <w:sz w:val="28"/>
          <w:szCs w:val="28"/>
        </w:rPr>
        <w:t xml:space="preserve">The HRF recommends the establishment of a Human Rights Commissioner appointment process that provides for the </w:t>
      </w:r>
      <w:r w:rsidRPr="00FC17F1">
        <w:rPr>
          <w:rFonts w:cs="Times New Roman"/>
          <w:b/>
          <w:color w:val="000000" w:themeColor="text1"/>
          <w:sz w:val="28"/>
          <w:szCs w:val="28"/>
        </w:rPr>
        <w:lastRenderedPageBreak/>
        <w:t>involvement of Parliament, possibly as one responsibility of a Parliamentary Select Committee on Human Rights.</w:t>
      </w:r>
    </w:p>
    <w:p w14:paraId="1FAFA3BD" w14:textId="06FAF06A" w:rsidR="00291DF1" w:rsidRPr="00FC17F1" w:rsidRDefault="00291DF1" w:rsidP="00FC17F1">
      <w:pPr>
        <w:pStyle w:val="BodyTextIndent"/>
        <w:spacing w:line="360" w:lineRule="auto"/>
        <w:ind w:left="0"/>
        <w:rPr>
          <w:i/>
          <w:sz w:val="28"/>
          <w:szCs w:val="28"/>
        </w:rPr>
      </w:pPr>
    </w:p>
    <w:p w14:paraId="79244160" w14:textId="280C44F8" w:rsidR="00197CE6" w:rsidRDefault="00197CE6" w:rsidP="00FC17F1">
      <w:pPr>
        <w:spacing w:line="360" w:lineRule="auto"/>
        <w:jc w:val="both"/>
        <w:rPr>
          <w:rFonts w:cs="Times New Roman"/>
          <w:b/>
          <w:color w:val="000000" w:themeColor="text1"/>
          <w:sz w:val="28"/>
          <w:szCs w:val="28"/>
        </w:rPr>
      </w:pPr>
      <w:r w:rsidRPr="00FC17F1">
        <w:rPr>
          <w:rFonts w:cs="Times New Roman"/>
          <w:b/>
          <w:color w:val="000000" w:themeColor="text1"/>
          <w:sz w:val="28"/>
          <w:szCs w:val="28"/>
        </w:rPr>
        <w:t xml:space="preserve">Ratification of other international human rights instruments </w:t>
      </w:r>
    </w:p>
    <w:p w14:paraId="79BEA798" w14:textId="77777777" w:rsidR="00C0275C" w:rsidRPr="00FC17F1" w:rsidRDefault="00C0275C" w:rsidP="00FC17F1">
      <w:pPr>
        <w:spacing w:line="360" w:lineRule="auto"/>
        <w:jc w:val="both"/>
        <w:rPr>
          <w:rFonts w:cs="Times New Roman"/>
          <w:b/>
          <w:color w:val="000000" w:themeColor="text1"/>
          <w:sz w:val="28"/>
          <w:szCs w:val="28"/>
        </w:rPr>
      </w:pPr>
    </w:p>
    <w:p w14:paraId="41798226" w14:textId="3666CB07" w:rsidR="00D3494A" w:rsidRPr="00FC17F1" w:rsidRDefault="00201B35" w:rsidP="00DA2390">
      <w:pPr>
        <w:pStyle w:val="ListParagraph"/>
        <w:numPr>
          <w:ilvl w:val="0"/>
          <w:numId w:val="10"/>
        </w:numPr>
        <w:tabs>
          <w:tab w:val="left" w:pos="1800"/>
        </w:tabs>
        <w:spacing w:line="360" w:lineRule="auto"/>
        <w:ind w:left="1080" w:hanging="720"/>
        <w:jc w:val="both"/>
        <w:rPr>
          <w:sz w:val="28"/>
          <w:szCs w:val="28"/>
        </w:rPr>
      </w:pPr>
      <w:r w:rsidRPr="00FC17F1">
        <w:rPr>
          <w:rFonts w:cs="Times New Roman"/>
          <w:color w:val="000000" w:themeColor="text1"/>
          <w:sz w:val="28"/>
          <w:szCs w:val="28"/>
        </w:rPr>
        <w:t xml:space="preserve"> </w:t>
      </w:r>
      <w:r w:rsidR="00197CE6" w:rsidRPr="00FC17F1">
        <w:rPr>
          <w:sz w:val="28"/>
          <w:szCs w:val="28"/>
        </w:rPr>
        <w:t>It is essential that New Zealand incorporate all rights enshrined in international human rights instruments to which New Zealand is a party into domestic law, as this will ensure these rights are enforceable in New Zealand courts.</w:t>
      </w:r>
    </w:p>
    <w:p w14:paraId="4C32E4A2" w14:textId="77777777" w:rsidR="00D3494A" w:rsidRPr="00FC17F1" w:rsidRDefault="00D3494A" w:rsidP="00FC17F1">
      <w:pPr>
        <w:pStyle w:val="ListParagraph"/>
        <w:spacing w:line="360" w:lineRule="auto"/>
        <w:ind w:left="780"/>
        <w:jc w:val="both"/>
        <w:rPr>
          <w:sz w:val="28"/>
          <w:szCs w:val="28"/>
        </w:rPr>
      </w:pPr>
    </w:p>
    <w:p w14:paraId="6F276D8D" w14:textId="2C222E60" w:rsidR="00D3494A" w:rsidRPr="00D3494A" w:rsidRDefault="00BE5F10" w:rsidP="00DA2390">
      <w:pPr>
        <w:pStyle w:val="ListParagraph"/>
        <w:numPr>
          <w:ilvl w:val="0"/>
          <w:numId w:val="10"/>
        </w:numPr>
        <w:tabs>
          <w:tab w:val="left" w:pos="900"/>
        </w:tabs>
        <w:spacing w:line="360" w:lineRule="auto"/>
        <w:ind w:left="1080" w:hanging="630"/>
        <w:jc w:val="both"/>
      </w:pPr>
      <w:r>
        <w:rPr>
          <w:rFonts w:cs="Times New Roman"/>
          <w:color w:val="000000" w:themeColor="text1"/>
          <w:sz w:val="28"/>
          <w:szCs w:val="28"/>
        </w:rPr>
        <w:t xml:space="preserve">  </w:t>
      </w:r>
      <w:r w:rsidR="00F63E6A" w:rsidRPr="00FC17F1">
        <w:rPr>
          <w:rFonts w:cs="Times New Roman"/>
          <w:color w:val="000000" w:themeColor="text1"/>
          <w:sz w:val="28"/>
          <w:szCs w:val="28"/>
        </w:rPr>
        <w:t xml:space="preserve">New Zealand has not ratified the following International Conventions: the International Convention on the Protection of the Rights of all Migrant Workers and Members of their Families (CRMWF) and the Convention against Enforced Disappearances (CED). Nor has the International Labour Organisation (ILO) Convention 87 (one of the 8 'fundamental' ILO conventions) been </w:t>
      </w:r>
      <w:r w:rsidR="00936C81" w:rsidRPr="00FC17F1">
        <w:rPr>
          <w:rFonts w:cs="Times New Roman"/>
          <w:color w:val="000000" w:themeColor="text1"/>
          <w:sz w:val="28"/>
          <w:szCs w:val="28"/>
        </w:rPr>
        <w:t>ratified:</w:t>
      </w:r>
      <w:r w:rsidR="00F63E6A" w:rsidRPr="00FC17F1">
        <w:rPr>
          <w:rFonts w:cs="Times New Roman"/>
          <w:color w:val="000000" w:themeColor="text1"/>
          <w:sz w:val="28"/>
          <w:szCs w:val="28"/>
        </w:rPr>
        <w:t xml:space="preserve"> proposed amendments to labour legislation </w:t>
      </w:r>
      <w:r w:rsidR="00936C81" w:rsidRPr="00FC17F1">
        <w:rPr>
          <w:rFonts w:cs="Times New Roman"/>
          <w:color w:val="000000" w:themeColor="text1"/>
          <w:sz w:val="28"/>
          <w:szCs w:val="28"/>
        </w:rPr>
        <w:t>by the new Government do not extend to support for sympathy or political strikes.</w:t>
      </w:r>
      <w:r w:rsidR="00D3494A" w:rsidRPr="00D3494A">
        <w:t xml:space="preserve"> </w:t>
      </w:r>
      <w:r w:rsidR="00D3494A" w:rsidRPr="00D3494A">
        <w:tab/>
      </w:r>
    </w:p>
    <w:p w14:paraId="24EAC650" w14:textId="77777777" w:rsidR="00D3494A" w:rsidRPr="00FC17F1" w:rsidRDefault="00D3494A" w:rsidP="00FC17F1">
      <w:pPr>
        <w:pStyle w:val="ListParagraph"/>
        <w:spacing w:line="360" w:lineRule="auto"/>
        <w:ind w:left="780"/>
        <w:jc w:val="both"/>
        <w:rPr>
          <w:sz w:val="28"/>
          <w:szCs w:val="28"/>
        </w:rPr>
      </w:pPr>
    </w:p>
    <w:p w14:paraId="33BA1889" w14:textId="553EABDC" w:rsidR="00F63E6A" w:rsidRDefault="00F63E6A" w:rsidP="00DA2390">
      <w:pPr>
        <w:pStyle w:val="ListParagraph"/>
        <w:numPr>
          <w:ilvl w:val="0"/>
          <w:numId w:val="10"/>
        </w:numPr>
        <w:spacing w:line="360" w:lineRule="auto"/>
        <w:ind w:left="1170" w:hanging="720"/>
        <w:jc w:val="both"/>
        <w:rPr>
          <w:sz w:val="28"/>
          <w:szCs w:val="28"/>
        </w:rPr>
      </w:pPr>
      <w:r w:rsidRPr="00FC17F1">
        <w:rPr>
          <w:sz w:val="28"/>
          <w:szCs w:val="28"/>
        </w:rPr>
        <w:t>The Government has still not indicated its intention to make the optional declaration in Article 14 (individual complaint procedure) of the International Convention on the Elimination of Racial Discrimination (ICERD), despite the recommendation to do so by the Committee on the Elimination of all Forms of Racial Discrimination (CERD) in August 2007 and in both UPR reviews in 2009 and 2014.</w:t>
      </w:r>
    </w:p>
    <w:p w14:paraId="605408A9" w14:textId="77777777" w:rsidR="00C0275C" w:rsidRDefault="00C0275C" w:rsidP="00FC17F1">
      <w:pPr>
        <w:pStyle w:val="ListParagraph"/>
        <w:spacing w:line="360" w:lineRule="auto"/>
        <w:ind w:left="780"/>
        <w:jc w:val="both"/>
        <w:rPr>
          <w:sz w:val="28"/>
          <w:szCs w:val="28"/>
        </w:rPr>
      </w:pPr>
    </w:p>
    <w:p w14:paraId="62A63D4F" w14:textId="560C4E45" w:rsidR="00C0275C" w:rsidRDefault="00C0275C" w:rsidP="00FC17F1">
      <w:pPr>
        <w:spacing w:line="360" w:lineRule="auto"/>
        <w:jc w:val="both"/>
        <w:rPr>
          <w:b/>
          <w:sz w:val="28"/>
          <w:szCs w:val="28"/>
        </w:rPr>
      </w:pPr>
      <w:r w:rsidRPr="00FC17F1">
        <w:rPr>
          <w:b/>
          <w:sz w:val="28"/>
          <w:szCs w:val="28"/>
        </w:rPr>
        <w:t>Recommendation</w:t>
      </w:r>
    </w:p>
    <w:p w14:paraId="31238003" w14:textId="6340A994" w:rsidR="00C0275C" w:rsidRPr="00FC17F1" w:rsidRDefault="00C0275C" w:rsidP="00DA2390">
      <w:pPr>
        <w:pStyle w:val="ListParagraph"/>
        <w:numPr>
          <w:ilvl w:val="0"/>
          <w:numId w:val="10"/>
        </w:numPr>
        <w:spacing w:line="360" w:lineRule="auto"/>
        <w:ind w:left="1170" w:hanging="720"/>
        <w:jc w:val="both"/>
        <w:rPr>
          <w:b/>
          <w:sz w:val="28"/>
          <w:szCs w:val="28"/>
        </w:rPr>
      </w:pPr>
      <w:r w:rsidRPr="00FC17F1">
        <w:rPr>
          <w:b/>
          <w:sz w:val="28"/>
          <w:szCs w:val="28"/>
        </w:rPr>
        <w:t>The HRF recommends that the New Zealand Government work towards</w:t>
      </w:r>
      <w:r w:rsidR="009176FE" w:rsidRPr="00FC17F1">
        <w:rPr>
          <w:b/>
          <w:sz w:val="28"/>
          <w:szCs w:val="28"/>
        </w:rPr>
        <w:t xml:space="preserve"> the ratification of the CRMWF and the CED and the </w:t>
      </w:r>
      <w:r w:rsidR="009176FE" w:rsidRPr="00FC17F1">
        <w:rPr>
          <w:b/>
          <w:sz w:val="28"/>
          <w:szCs w:val="28"/>
        </w:rPr>
        <w:lastRenderedPageBreak/>
        <w:t>making of the Optional Declaration under ICERD Article 14; and endorses the recommendation of the report of the CTU as to the ratification of</w:t>
      </w:r>
      <w:r w:rsidR="003331B7">
        <w:rPr>
          <w:b/>
          <w:sz w:val="28"/>
          <w:szCs w:val="28"/>
        </w:rPr>
        <w:t xml:space="preserve"> the CRMWF</w:t>
      </w:r>
      <w:r w:rsidR="009176FE" w:rsidRPr="00FC17F1">
        <w:rPr>
          <w:b/>
          <w:sz w:val="28"/>
          <w:szCs w:val="28"/>
        </w:rPr>
        <w:t xml:space="preserve"> </w:t>
      </w:r>
      <w:r w:rsidR="003331B7">
        <w:rPr>
          <w:b/>
          <w:sz w:val="28"/>
          <w:szCs w:val="28"/>
        </w:rPr>
        <w:t xml:space="preserve">(see paragraphs 6.10-6.13) </w:t>
      </w:r>
      <w:r w:rsidR="009176FE" w:rsidRPr="00FC17F1">
        <w:rPr>
          <w:b/>
          <w:sz w:val="28"/>
          <w:szCs w:val="28"/>
        </w:rPr>
        <w:t>ILO Convention 87.</w:t>
      </w:r>
    </w:p>
    <w:p w14:paraId="69FB8075" w14:textId="77777777" w:rsidR="00197CE6" w:rsidRPr="00FC17F1" w:rsidRDefault="00197CE6" w:rsidP="00837ACE"/>
    <w:p w14:paraId="6B555E02" w14:textId="580A6320" w:rsidR="00CF52C5" w:rsidRPr="00FC17F1" w:rsidRDefault="00CF52C5" w:rsidP="00CF52C5">
      <w:pPr>
        <w:shd w:val="clear" w:color="auto" w:fill="FFFFFF"/>
        <w:spacing w:line="360" w:lineRule="auto"/>
        <w:jc w:val="both"/>
        <w:rPr>
          <w:rFonts w:eastAsia="Times New Roman" w:cs="Times New Roman"/>
          <w:b/>
          <w:bCs/>
          <w:color w:val="222222"/>
          <w:sz w:val="28"/>
          <w:szCs w:val="28"/>
          <w:lang w:val="en-AU" w:eastAsia="en-NZ"/>
        </w:rPr>
      </w:pPr>
    </w:p>
    <w:p w14:paraId="5906C893" w14:textId="77777777" w:rsidR="00DB40C0" w:rsidRPr="00DB40C0" w:rsidRDefault="00DB40C0" w:rsidP="00DB40C0">
      <w:pPr>
        <w:shd w:val="clear" w:color="auto" w:fill="FFFFFF"/>
        <w:rPr>
          <w:rFonts w:eastAsia="Times New Roman" w:cs="Times New Roman"/>
          <w:color w:val="222222"/>
          <w:sz w:val="28"/>
          <w:szCs w:val="28"/>
          <w:lang w:val="en-NZ" w:eastAsia="en-NZ"/>
        </w:rPr>
      </w:pPr>
      <w:r w:rsidRPr="00DB40C0">
        <w:rPr>
          <w:rFonts w:eastAsia="Times New Roman" w:cs="Times New Roman"/>
          <w:b/>
          <w:bCs/>
          <w:color w:val="222222"/>
          <w:sz w:val="28"/>
          <w:szCs w:val="28"/>
          <w:lang w:val="en-AU" w:eastAsia="en-NZ"/>
        </w:rPr>
        <w:t>A rights-based approach to climate change</w:t>
      </w:r>
    </w:p>
    <w:p w14:paraId="7449892A" w14:textId="77777777" w:rsidR="00DB40C0" w:rsidRPr="00DB40C0" w:rsidRDefault="00DB40C0" w:rsidP="00DB40C0">
      <w:pPr>
        <w:shd w:val="clear" w:color="auto" w:fill="FFFFFF"/>
        <w:rPr>
          <w:rFonts w:eastAsia="Times New Roman" w:cs="Times New Roman"/>
          <w:color w:val="222222"/>
          <w:sz w:val="28"/>
          <w:szCs w:val="28"/>
          <w:lang w:val="en-AU" w:eastAsia="en-NZ"/>
        </w:rPr>
      </w:pPr>
      <w:r w:rsidRPr="00DB40C0">
        <w:rPr>
          <w:rFonts w:eastAsia="Times New Roman" w:cs="Times New Roman"/>
          <w:color w:val="222222"/>
          <w:sz w:val="28"/>
          <w:szCs w:val="28"/>
          <w:lang w:val="en-AU" w:eastAsia="en-NZ"/>
        </w:rPr>
        <w:t> </w:t>
      </w:r>
    </w:p>
    <w:p w14:paraId="44200153" w14:textId="77777777" w:rsidR="00DB40C0" w:rsidRPr="00DB40C0" w:rsidRDefault="00DB40C0" w:rsidP="00DB40C0">
      <w:pPr>
        <w:shd w:val="clear" w:color="auto" w:fill="FFFFFF"/>
        <w:rPr>
          <w:rFonts w:eastAsia="Times New Roman" w:cs="Times New Roman"/>
          <w:b/>
          <w:color w:val="222222"/>
          <w:sz w:val="28"/>
          <w:szCs w:val="28"/>
          <w:lang w:val="en-NZ" w:eastAsia="en-NZ"/>
        </w:rPr>
      </w:pPr>
      <w:r w:rsidRPr="00DB40C0">
        <w:rPr>
          <w:rFonts w:eastAsia="Times New Roman" w:cs="Times New Roman"/>
          <w:b/>
          <w:color w:val="222222"/>
          <w:sz w:val="28"/>
          <w:szCs w:val="28"/>
          <w:lang w:val="en-AU" w:eastAsia="en-NZ"/>
        </w:rPr>
        <w:t>Overview</w:t>
      </w:r>
    </w:p>
    <w:p w14:paraId="458131DB" w14:textId="77777777" w:rsidR="00DB40C0" w:rsidRDefault="00DB40C0" w:rsidP="00DB40C0">
      <w:pPr>
        <w:shd w:val="clear" w:color="auto" w:fill="FFFFFF"/>
        <w:spacing w:after="160" w:line="259" w:lineRule="auto"/>
        <w:contextualSpacing/>
        <w:rPr>
          <w:rFonts w:eastAsia="Times New Roman" w:cs="Times New Roman"/>
          <w:color w:val="222222"/>
          <w:sz w:val="28"/>
          <w:szCs w:val="28"/>
          <w:lang w:val="en-AU" w:eastAsia="en-NZ"/>
        </w:rPr>
      </w:pPr>
    </w:p>
    <w:p w14:paraId="11A5E97B" w14:textId="1B9D6011" w:rsidR="00DB40C0" w:rsidRPr="00DB40C0" w:rsidRDefault="00DB40C0" w:rsidP="00DB40C0">
      <w:pPr>
        <w:pStyle w:val="ListParagraph"/>
        <w:numPr>
          <w:ilvl w:val="0"/>
          <w:numId w:val="10"/>
        </w:numPr>
        <w:shd w:val="clear" w:color="auto" w:fill="FFFFFF"/>
        <w:spacing w:after="160" w:line="360" w:lineRule="auto"/>
        <w:ind w:left="1170" w:hanging="720"/>
        <w:rPr>
          <w:rFonts w:eastAsia="Times New Roman" w:cs="Times New Roman"/>
          <w:color w:val="222222"/>
          <w:sz w:val="28"/>
          <w:szCs w:val="28"/>
          <w:lang w:val="en-AU" w:eastAsia="en-NZ"/>
        </w:rPr>
      </w:pPr>
      <w:r w:rsidRPr="00DB40C0">
        <w:rPr>
          <w:rFonts w:eastAsia="Times New Roman" w:cs="Times New Roman"/>
          <w:color w:val="222222"/>
          <w:sz w:val="28"/>
          <w:szCs w:val="28"/>
          <w:lang w:val="en-AU" w:eastAsia="en-NZ"/>
        </w:rPr>
        <w:t>The Committee has highlighted the importance of taking a rights-based approach to climate change issues.</w:t>
      </w:r>
      <w:r w:rsidRPr="00DB40C0">
        <w:rPr>
          <w:vertAlign w:val="superscript"/>
          <w:lang w:val="en-AU" w:eastAsia="en-NZ"/>
        </w:rPr>
        <w:footnoteReference w:id="124"/>
      </w:r>
      <w:r w:rsidRPr="00DB40C0">
        <w:rPr>
          <w:rFonts w:eastAsia="Times New Roman" w:cs="Times New Roman"/>
          <w:color w:val="222222"/>
          <w:sz w:val="28"/>
          <w:szCs w:val="28"/>
          <w:lang w:val="en-AU" w:eastAsia="en-NZ"/>
        </w:rPr>
        <w:t xml:space="preserve"> As the Committee has noted in several Concluding Observations, climate change threatens several substantive rights under the Covenant, including the right not to be deprived of one’s own means of subsistence (art 1), to an adequate standard of living including food and adequate housing (art 11), to water (arts 11-12), and to the enjoyment of the highest attainable standard of physical and mental health (art 12).</w:t>
      </w:r>
      <w:r>
        <w:rPr>
          <w:rFonts w:eastAsia="Times New Roman" w:cs="Times New Roman"/>
          <w:color w:val="222222"/>
          <w:sz w:val="28"/>
          <w:szCs w:val="28"/>
          <w:lang w:val="en-AU" w:eastAsia="en-NZ"/>
        </w:rPr>
        <w:br/>
      </w:r>
    </w:p>
    <w:p w14:paraId="474398B3" w14:textId="3BF0B17A" w:rsidR="00DB40C0" w:rsidRPr="00DB40C0" w:rsidRDefault="00DB40C0" w:rsidP="00DB40C0">
      <w:pPr>
        <w:pStyle w:val="ListParagraph"/>
        <w:numPr>
          <w:ilvl w:val="0"/>
          <w:numId w:val="10"/>
        </w:numPr>
        <w:shd w:val="clear" w:color="auto" w:fill="FFFFFF"/>
        <w:spacing w:after="160" w:line="360" w:lineRule="auto"/>
        <w:ind w:left="1170" w:hanging="720"/>
        <w:rPr>
          <w:rFonts w:eastAsia="Times New Roman" w:cs="Times New Roman"/>
          <w:color w:val="222222"/>
          <w:sz w:val="28"/>
          <w:szCs w:val="28"/>
          <w:lang w:val="en-AU" w:eastAsia="en-NZ"/>
        </w:rPr>
      </w:pPr>
      <w:r w:rsidRPr="00DB40C0">
        <w:rPr>
          <w:rFonts w:eastAsia="Times New Roman" w:cs="Times New Roman"/>
          <w:color w:val="222222"/>
          <w:sz w:val="28"/>
          <w:szCs w:val="28"/>
          <w:lang w:val="en-NZ" w:eastAsia="en-NZ"/>
        </w:rPr>
        <w:t>The Committee has highlighted the need for parties to take adequate action to reduce their emissions and consider the adverse human rights impacts of fossil fuel extraction.</w:t>
      </w:r>
      <w:r w:rsidRPr="00DB40C0">
        <w:rPr>
          <w:vertAlign w:val="superscript"/>
          <w:lang w:val="en-NZ" w:eastAsia="en-NZ"/>
        </w:rPr>
        <w:footnoteReference w:id="125"/>
      </w:r>
    </w:p>
    <w:p w14:paraId="0173FF79" w14:textId="0B24820B" w:rsidR="00DB40C0" w:rsidRDefault="00DB40C0" w:rsidP="00DB40C0">
      <w:pPr>
        <w:pStyle w:val="ListParagraph"/>
        <w:numPr>
          <w:ilvl w:val="0"/>
          <w:numId w:val="10"/>
        </w:numPr>
        <w:shd w:val="clear" w:color="auto" w:fill="FFFFFF"/>
        <w:spacing w:after="160" w:line="360" w:lineRule="auto"/>
        <w:ind w:left="1170" w:hanging="720"/>
        <w:rPr>
          <w:rFonts w:eastAsia="Times New Roman" w:cs="Times New Roman"/>
          <w:color w:val="222222"/>
          <w:sz w:val="28"/>
          <w:szCs w:val="28"/>
          <w:lang w:val="en-AU" w:eastAsia="en-NZ"/>
        </w:rPr>
      </w:pPr>
      <w:r w:rsidRPr="00DB40C0">
        <w:rPr>
          <w:rFonts w:eastAsia="Times New Roman" w:cs="Times New Roman"/>
          <w:color w:val="222222"/>
          <w:sz w:val="28"/>
          <w:szCs w:val="28"/>
          <w:lang w:val="en-AU" w:eastAsia="en-NZ"/>
        </w:rPr>
        <w:t xml:space="preserve">In addition, the Committee has particularly highlighted the further disproportionate negative impacts of climate change on indigenous peoples’ rights, and recommended that parties should “put in place effective mechanises to guarantee consultation” of affected indigenous peoples “to enable them to exercise their rights to an informed decision” and to “harness the potential of their traditional </w:t>
      </w:r>
      <w:r w:rsidRPr="00DB40C0">
        <w:rPr>
          <w:rFonts w:eastAsia="Times New Roman" w:cs="Times New Roman"/>
          <w:color w:val="222222"/>
          <w:sz w:val="28"/>
          <w:szCs w:val="28"/>
          <w:lang w:val="en-AU" w:eastAsia="en-NZ"/>
        </w:rPr>
        <w:lastRenderedPageBreak/>
        <w:t>knowledge and culture”.</w:t>
      </w:r>
      <w:r w:rsidRPr="00DB40C0">
        <w:rPr>
          <w:vertAlign w:val="superscript"/>
          <w:lang w:val="en-AU" w:eastAsia="en-NZ"/>
        </w:rPr>
        <w:footnoteReference w:id="126"/>
      </w:r>
      <w:r w:rsidRPr="00DB40C0">
        <w:rPr>
          <w:rFonts w:eastAsia="Times New Roman" w:cs="Times New Roman"/>
          <w:color w:val="222222"/>
          <w:sz w:val="28"/>
          <w:szCs w:val="28"/>
          <w:lang w:val="en-AU" w:eastAsia="en-NZ"/>
        </w:rPr>
        <w:t xml:space="preserve"> Parties should “address the impacts of climate change on indigenous peoples more effectively while fully engaging indigenous peoples in related policy and programme design and implementation”.</w:t>
      </w:r>
      <w:r w:rsidRPr="00DB40C0">
        <w:rPr>
          <w:vertAlign w:val="superscript"/>
          <w:lang w:val="en-AU" w:eastAsia="en-NZ"/>
        </w:rPr>
        <w:footnoteReference w:id="127"/>
      </w:r>
      <w:r>
        <w:rPr>
          <w:rFonts w:eastAsia="Times New Roman" w:cs="Times New Roman"/>
          <w:color w:val="222222"/>
          <w:sz w:val="28"/>
          <w:szCs w:val="28"/>
          <w:lang w:val="en-AU" w:eastAsia="en-NZ"/>
        </w:rPr>
        <w:t xml:space="preserve"> </w:t>
      </w:r>
      <w:r>
        <w:rPr>
          <w:rFonts w:eastAsia="Times New Roman" w:cs="Times New Roman"/>
          <w:color w:val="222222"/>
          <w:sz w:val="28"/>
          <w:szCs w:val="28"/>
          <w:lang w:val="en-AU" w:eastAsia="en-NZ"/>
        </w:rPr>
        <w:tab/>
      </w:r>
    </w:p>
    <w:p w14:paraId="11EEA45F" w14:textId="77777777" w:rsidR="00DB40C0" w:rsidRDefault="00DB40C0" w:rsidP="00DB40C0">
      <w:pPr>
        <w:pStyle w:val="ListParagraph"/>
        <w:shd w:val="clear" w:color="auto" w:fill="FFFFFF"/>
        <w:spacing w:after="160" w:line="360" w:lineRule="auto"/>
        <w:ind w:left="1170"/>
        <w:rPr>
          <w:rFonts w:eastAsia="Times New Roman" w:cs="Times New Roman"/>
          <w:color w:val="222222"/>
          <w:sz w:val="28"/>
          <w:szCs w:val="28"/>
          <w:lang w:val="en-AU" w:eastAsia="en-NZ"/>
        </w:rPr>
      </w:pPr>
    </w:p>
    <w:p w14:paraId="375C3EC6" w14:textId="5A1C7CDA" w:rsidR="00DB40C0" w:rsidRPr="00DB40C0" w:rsidRDefault="00DB40C0" w:rsidP="00DB40C0">
      <w:pPr>
        <w:pStyle w:val="ListParagraph"/>
        <w:numPr>
          <w:ilvl w:val="0"/>
          <w:numId w:val="10"/>
        </w:numPr>
        <w:shd w:val="clear" w:color="auto" w:fill="FFFFFF"/>
        <w:spacing w:after="160" w:line="360" w:lineRule="auto"/>
        <w:ind w:left="1170" w:hanging="720"/>
        <w:rPr>
          <w:rFonts w:eastAsia="Times New Roman" w:cs="Times New Roman"/>
          <w:color w:val="222222"/>
          <w:sz w:val="28"/>
          <w:szCs w:val="28"/>
          <w:lang w:val="en-AU" w:eastAsia="en-NZ"/>
        </w:rPr>
      </w:pPr>
      <w:r w:rsidRPr="00DB40C0">
        <w:rPr>
          <w:rFonts w:eastAsia="Times New Roman" w:cs="Times New Roman"/>
          <w:color w:val="222222"/>
          <w:sz w:val="28"/>
          <w:szCs w:val="28"/>
          <w:lang w:val="en-AU" w:eastAsia="en-NZ"/>
        </w:rPr>
        <w:t>Climate finance plays an important role in securing international cooperation to fully realise the rights outlined in the Convention, and particularly the right to self-determination. While the Committee has not yet gone so far as to recommend that a state party take a rights-based approach to climate finance, the Committee in 2016 asked Germany to detail its proposed contributions to the Green Climate Fund and progress towards compliance with its Paris Agreement obligations.</w:t>
      </w:r>
    </w:p>
    <w:p w14:paraId="4BE4E7CB" w14:textId="77777777" w:rsidR="00DB40C0" w:rsidRDefault="00DB40C0" w:rsidP="00DB40C0">
      <w:pPr>
        <w:pStyle w:val="ListParagraph"/>
        <w:shd w:val="clear" w:color="auto" w:fill="FFFFFF"/>
        <w:spacing w:after="160" w:line="360" w:lineRule="auto"/>
        <w:ind w:left="1080"/>
        <w:rPr>
          <w:rFonts w:eastAsia="Times New Roman" w:cs="Times New Roman"/>
          <w:color w:val="222222"/>
          <w:sz w:val="28"/>
          <w:szCs w:val="28"/>
          <w:lang w:val="en-AU" w:eastAsia="en-NZ"/>
        </w:rPr>
      </w:pPr>
    </w:p>
    <w:p w14:paraId="1C0BFC0F" w14:textId="78A4E9AC" w:rsidR="00DB40C0" w:rsidRPr="00DB40C0" w:rsidRDefault="00DB40C0" w:rsidP="00DB40C0">
      <w:pPr>
        <w:pStyle w:val="ListParagraph"/>
        <w:numPr>
          <w:ilvl w:val="0"/>
          <w:numId w:val="10"/>
        </w:numPr>
        <w:shd w:val="clear" w:color="auto" w:fill="FFFFFF"/>
        <w:spacing w:after="160" w:line="360" w:lineRule="auto"/>
        <w:ind w:left="1080" w:hanging="630"/>
        <w:rPr>
          <w:rFonts w:eastAsia="Times New Roman" w:cs="Times New Roman"/>
          <w:color w:val="222222"/>
          <w:sz w:val="28"/>
          <w:szCs w:val="28"/>
          <w:lang w:val="en-AU" w:eastAsia="en-NZ"/>
        </w:rPr>
      </w:pPr>
      <w:r w:rsidRPr="00DB40C0">
        <w:rPr>
          <w:rFonts w:eastAsia="Times New Roman" w:cs="Times New Roman"/>
          <w:color w:val="222222"/>
          <w:sz w:val="28"/>
          <w:szCs w:val="28"/>
          <w:lang w:val="en-AU" w:eastAsia="en-NZ"/>
        </w:rPr>
        <w:t>The Committee on the Rights of the Child and</w:t>
      </w:r>
      <w:r w:rsidRPr="00DB40C0">
        <w:rPr>
          <w:rFonts w:eastAsia="Calibri" w:cs="Times New Roman"/>
          <w:sz w:val="28"/>
          <w:szCs w:val="28"/>
          <w:lang w:val="en-NZ"/>
        </w:rPr>
        <w:t xml:space="preserve"> Committee on the Elimination of Discrimination Against Women</w:t>
      </w:r>
      <w:r w:rsidRPr="00DB40C0">
        <w:rPr>
          <w:rFonts w:eastAsia="Times New Roman" w:cs="Times New Roman"/>
          <w:color w:val="222222"/>
          <w:sz w:val="28"/>
          <w:szCs w:val="28"/>
          <w:lang w:val="en-AU" w:eastAsia="en-NZ"/>
        </w:rPr>
        <w:t xml:space="preserve"> have each expressed concern about the threats posed by climate impacts on Pacific states and the resultant displacement (internally or internationally) of Pasifika people.</w:t>
      </w:r>
      <w:r w:rsidRPr="00DB40C0">
        <w:rPr>
          <w:vertAlign w:val="superscript"/>
          <w:lang w:val="en-AU" w:eastAsia="en-NZ"/>
        </w:rPr>
        <w:footnoteReference w:id="128"/>
      </w:r>
      <w:r w:rsidRPr="00DB40C0">
        <w:rPr>
          <w:rFonts w:eastAsia="Times New Roman" w:cs="Times New Roman"/>
          <w:color w:val="222222"/>
          <w:sz w:val="28"/>
          <w:szCs w:val="28"/>
          <w:lang w:val="en-AU" w:eastAsia="en-NZ"/>
        </w:rPr>
        <w:t xml:space="preserve"> It is important that states protect the rights of persons displaced by climate change.</w:t>
      </w:r>
    </w:p>
    <w:p w14:paraId="12D19E79" w14:textId="77777777" w:rsidR="00DB40C0" w:rsidRPr="00DB40C0" w:rsidRDefault="00DB40C0" w:rsidP="00DB40C0">
      <w:pPr>
        <w:shd w:val="clear" w:color="auto" w:fill="FFFFFF"/>
        <w:spacing w:line="360" w:lineRule="auto"/>
        <w:ind w:left="709"/>
        <w:contextualSpacing/>
        <w:rPr>
          <w:rFonts w:eastAsia="Times New Roman" w:cs="Times New Roman"/>
          <w:color w:val="222222"/>
          <w:sz w:val="28"/>
          <w:szCs w:val="28"/>
          <w:lang w:val="en-AU" w:eastAsia="en-NZ"/>
        </w:rPr>
      </w:pPr>
      <w:r w:rsidRPr="00DB40C0">
        <w:rPr>
          <w:rFonts w:eastAsia="Times New Roman" w:cs="Times New Roman"/>
          <w:color w:val="222222"/>
          <w:sz w:val="28"/>
          <w:szCs w:val="28"/>
          <w:lang w:val="en-AU" w:eastAsia="en-NZ"/>
        </w:rPr>
        <w:t xml:space="preserve"> </w:t>
      </w:r>
    </w:p>
    <w:p w14:paraId="0EB94554" w14:textId="77777777" w:rsidR="00DB40C0" w:rsidRPr="00DB40C0" w:rsidRDefault="00DB40C0" w:rsidP="00DB40C0">
      <w:pPr>
        <w:shd w:val="clear" w:color="auto" w:fill="FFFFFF"/>
        <w:spacing w:line="360" w:lineRule="auto"/>
        <w:rPr>
          <w:rFonts w:eastAsia="Times New Roman" w:cs="Times New Roman"/>
          <w:b/>
          <w:color w:val="222222"/>
          <w:sz w:val="28"/>
          <w:szCs w:val="28"/>
          <w:lang w:val="en-NZ" w:eastAsia="en-NZ"/>
        </w:rPr>
      </w:pPr>
      <w:r w:rsidRPr="00DB40C0">
        <w:rPr>
          <w:rFonts w:eastAsia="Times New Roman" w:cs="Times New Roman"/>
          <w:b/>
          <w:color w:val="222222"/>
          <w:sz w:val="28"/>
          <w:szCs w:val="28"/>
          <w:lang w:val="en-NZ" w:eastAsia="en-NZ"/>
        </w:rPr>
        <w:t>The New Zealand experience</w:t>
      </w:r>
    </w:p>
    <w:p w14:paraId="0544C399" w14:textId="1CA428F7" w:rsidR="00DB40C0" w:rsidRPr="00DB40C0" w:rsidRDefault="00DB40C0" w:rsidP="00DB40C0">
      <w:pPr>
        <w:pStyle w:val="ListParagraph"/>
        <w:numPr>
          <w:ilvl w:val="0"/>
          <w:numId w:val="10"/>
        </w:numPr>
        <w:shd w:val="clear" w:color="auto" w:fill="FFFFFF"/>
        <w:spacing w:after="160" w:line="360" w:lineRule="auto"/>
        <w:ind w:hanging="540"/>
        <w:rPr>
          <w:rFonts w:eastAsia="Times New Roman" w:cs="Times New Roman"/>
          <w:color w:val="222222"/>
          <w:sz w:val="28"/>
          <w:szCs w:val="28"/>
          <w:lang w:val="en-NZ" w:eastAsia="en-NZ"/>
        </w:rPr>
      </w:pPr>
      <w:r w:rsidRPr="00DB40C0">
        <w:rPr>
          <w:rFonts w:eastAsia="Times New Roman" w:cs="Times New Roman"/>
          <w:color w:val="222222"/>
          <w:sz w:val="28"/>
          <w:szCs w:val="28"/>
          <w:lang w:val="en-AU" w:eastAsia="en-NZ"/>
        </w:rPr>
        <w:t xml:space="preserve">Previous New Zealand governments have neither fully recognised nor acted to address the serious human rights concerns posed by climate </w:t>
      </w:r>
      <w:r w:rsidRPr="00DB40C0">
        <w:rPr>
          <w:rFonts w:eastAsia="Times New Roman" w:cs="Times New Roman"/>
          <w:color w:val="222222"/>
          <w:sz w:val="28"/>
          <w:szCs w:val="28"/>
          <w:lang w:val="en-AU" w:eastAsia="en-NZ"/>
        </w:rPr>
        <w:lastRenderedPageBreak/>
        <w:t>change, particularly with respect to tangata whenua (that is, indigenous peoples) and Pasifika communities.</w:t>
      </w:r>
      <w:r w:rsidRPr="00DB40C0">
        <w:rPr>
          <w:vertAlign w:val="superscript"/>
          <w:lang w:val="en-AU" w:eastAsia="en-NZ"/>
        </w:rPr>
        <w:footnoteReference w:id="129"/>
      </w:r>
    </w:p>
    <w:p w14:paraId="60C43C35" w14:textId="77777777" w:rsidR="00DB40C0" w:rsidRPr="00DB40C0" w:rsidRDefault="00DB40C0" w:rsidP="00DB40C0">
      <w:pPr>
        <w:pStyle w:val="ListParagraph"/>
        <w:shd w:val="clear" w:color="auto" w:fill="FFFFFF"/>
        <w:spacing w:after="160" w:line="360" w:lineRule="auto"/>
        <w:ind w:left="990"/>
        <w:rPr>
          <w:rFonts w:eastAsia="Times New Roman" w:cs="Times New Roman"/>
          <w:color w:val="222222"/>
          <w:sz w:val="28"/>
          <w:szCs w:val="28"/>
          <w:lang w:val="en-NZ" w:eastAsia="en-NZ"/>
        </w:rPr>
      </w:pPr>
    </w:p>
    <w:p w14:paraId="778BD0B2" w14:textId="77777777" w:rsidR="00DB40C0" w:rsidRDefault="00DB40C0" w:rsidP="00DB40C0">
      <w:pPr>
        <w:pStyle w:val="ListParagraph"/>
        <w:numPr>
          <w:ilvl w:val="0"/>
          <w:numId w:val="10"/>
        </w:numPr>
        <w:shd w:val="clear" w:color="auto" w:fill="FFFFFF"/>
        <w:spacing w:after="160" w:line="360" w:lineRule="auto"/>
        <w:ind w:hanging="540"/>
        <w:rPr>
          <w:rFonts w:eastAsia="Times New Roman" w:cs="Times New Roman"/>
          <w:color w:val="222222"/>
          <w:sz w:val="28"/>
          <w:szCs w:val="28"/>
          <w:lang w:val="en-NZ" w:eastAsia="en-NZ"/>
        </w:rPr>
      </w:pPr>
      <w:r w:rsidRPr="00DB40C0">
        <w:rPr>
          <w:rFonts w:eastAsia="Times New Roman" w:cs="Times New Roman"/>
          <w:color w:val="222222"/>
          <w:sz w:val="28"/>
          <w:szCs w:val="28"/>
          <w:lang w:val="en-NZ" w:eastAsia="en-NZ"/>
        </w:rPr>
        <w:t>New Zealand’s emissions continue to rise, and are projected to reach 27% above 1990 levels by 2020.</w:t>
      </w:r>
      <w:r w:rsidRPr="00DB40C0">
        <w:rPr>
          <w:vertAlign w:val="superscript"/>
          <w:lang w:val="en-NZ" w:eastAsia="en-NZ"/>
        </w:rPr>
        <w:footnoteReference w:id="130"/>
      </w:r>
      <w:r w:rsidRPr="00DB40C0">
        <w:rPr>
          <w:rFonts w:eastAsia="Times New Roman" w:cs="Times New Roman"/>
          <w:color w:val="222222"/>
          <w:sz w:val="28"/>
          <w:szCs w:val="28"/>
          <w:lang w:val="en-NZ" w:eastAsia="en-NZ"/>
        </w:rPr>
        <w:t xml:space="preserve"> However, the recently-elected government has pledged to set a target of net zero emissions by 2050 and pass a ‘Zero Carbon Act’ to establish a non-partisan Climate Commission. It is too early to tell whether the new government and these ambitious policies will achieve sufficient reductions to meet New Zealand’s Paris Agreement obligations.</w:t>
      </w:r>
    </w:p>
    <w:p w14:paraId="1E1A68FE" w14:textId="77777777" w:rsidR="00DB40C0" w:rsidRPr="00DB40C0" w:rsidRDefault="00DB40C0" w:rsidP="00DB40C0">
      <w:pPr>
        <w:pStyle w:val="ListParagraph"/>
        <w:rPr>
          <w:rFonts w:eastAsia="Times New Roman" w:cs="Times New Roman"/>
          <w:color w:val="222222"/>
          <w:sz w:val="28"/>
          <w:szCs w:val="28"/>
          <w:lang w:val="en-NZ" w:eastAsia="en-NZ"/>
        </w:rPr>
      </w:pPr>
    </w:p>
    <w:p w14:paraId="6ADE6AAD" w14:textId="2BB2E1B9" w:rsidR="00DB40C0" w:rsidRDefault="00DB40C0" w:rsidP="00DB40C0">
      <w:pPr>
        <w:pStyle w:val="ListParagraph"/>
        <w:numPr>
          <w:ilvl w:val="0"/>
          <w:numId w:val="10"/>
        </w:numPr>
        <w:shd w:val="clear" w:color="auto" w:fill="FFFFFF"/>
        <w:spacing w:after="160" w:line="360" w:lineRule="auto"/>
        <w:ind w:hanging="540"/>
        <w:rPr>
          <w:rFonts w:eastAsia="Times New Roman" w:cs="Times New Roman"/>
          <w:color w:val="222222"/>
          <w:sz w:val="28"/>
          <w:szCs w:val="28"/>
          <w:lang w:val="en-NZ" w:eastAsia="en-NZ"/>
        </w:rPr>
      </w:pPr>
      <w:r w:rsidRPr="00DB40C0">
        <w:rPr>
          <w:rFonts w:eastAsia="Times New Roman" w:cs="Times New Roman"/>
          <w:color w:val="222222"/>
          <w:sz w:val="28"/>
          <w:szCs w:val="28"/>
          <w:lang w:val="en-NZ" w:eastAsia="en-NZ"/>
        </w:rPr>
        <w:t xml:space="preserve">That said, it is crucial that this legislation implements a rights-based framework. The New Zealand government is currently recruiting commissioners for an interim climate commission, and intends to establish a permanent Climate Commission in early 2019. </w:t>
      </w:r>
    </w:p>
    <w:p w14:paraId="088A4B08" w14:textId="77777777" w:rsidR="00DB40C0" w:rsidRPr="00DB40C0" w:rsidRDefault="00DB40C0" w:rsidP="00DB40C0">
      <w:pPr>
        <w:pStyle w:val="ListParagraph"/>
        <w:shd w:val="clear" w:color="auto" w:fill="FFFFFF"/>
        <w:spacing w:after="160" w:line="360" w:lineRule="auto"/>
        <w:ind w:left="990"/>
        <w:rPr>
          <w:rFonts w:eastAsia="Times New Roman" w:cs="Times New Roman"/>
          <w:color w:val="222222"/>
          <w:sz w:val="28"/>
          <w:szCs w:val="28"/>
          <w:lang w:val="en-NZ" w:eastAsia="en-NZ"/>
        </w:rPr>
      </w:pPr>
    </w:p>
    <w:p w14:paraId="0AC8A19F" w14:textId="0E288B20" w:rsidR="00DB40C0" w:rsidRPr="00DB40C0" w:rsidRDefault="00DB40C0" w:rsidP="00DB40C0">
      <w:pPr>
        <w:pStyle w:val="ListParagraph"/>
        <w:numPr>
          <w:ilvl w:val="0"/>
          <w:numId w:val="10"/>
        </w:numPr>
        <w:shd w:val="clear" w:color="auto" w:fill="FFFFFF"/>
        <w:spacing w:after="160" w:line="360" w:lineRule="auto"/>
        <w:ind w:left="900" w:hanging="450"/>
        <w:rPr>
          <w:rFonts w:eastAsia="Times New Roman" w:cs="Times New Roman"/>
          <w:color w:val="222222"/>
          <w:sz w:val="28"/>
          <w:szCs w:val="28"/>
          <w:lang w:val="en-NZ" w:eastAsia="en-NZ"/>
        </w:rPr>
      </w:pPr>
      <w:r>
        <w:rPr>
          <w:rFonts w:eastAsia="Times New Roman" w:cs="Times New Roman"/>
          <w:color w:val="222222"/>
          <w:sz w:val="28"/>
          <w:szCs w:val="28"/>
          <w:lang w:val="en-AU" w:eastAsia="en-NZ"/>
        </w:rPr>
        <w:t xml:space="preserve"> </w:t>
      </w:r>
      <w:r w:rsidRPr="00DB40C0">
        <w:rPr>
          <w:rFonts w:eastAsia="Times New Roman" w:cs="Times New Roman"/>
          <w:color w:val="222222"/>
          <w:sz w:val="28"/>
          <w:szCs w:val="28"/>
          <w:lang w:val="en-AU" w:eastAsia="en-NZ"/>
        </w:rPr>
        <w:t>Human rights issues relating to climate change mitigation, adaptation, and impacts have not been recognised in law or considered by the New Zealand Human Rights Commission. The interplay between the Climate Commission and Human Rights Commission will therefore be important.</w:t>
      </w:r>
    </w:p>
    <w:p w14:paraId="177DD8B5" w14:textId="77777777" w:rsidR="00DB40C0" w:rsidRPr="00DB40C0" w:rsidRDefault="00DB40C0" w:rsidP="00DB40C0">
      <w:pPr>
        <w:pStyle w:val="ListParagraph"/>
        <w:rPr>
          <w:rFonts w:eastAsia="Times New Roman" w:cs="Times New Roman"/>
          <w:color w:val="222222"/>
          <w:sz w:val="28"/>
          <w:szCs w:val="28"/>
          <w:lang w:val="en-NZ" w:eastAsia="en-NZ"/>
        </w:rPr>
      </w:pPr>
    </w:p>
    <w:p w14:paraId="4CC1E3EF" w14:textId="584EA9E7" w:rsidR="00DB40C0" w:rsidRDefault="00DB40C0" w:rsidP="00DB40C0">
      <w:pPr>
        <w:pStyle w:val="ListParagraph"/>
        <w:numPr>
          <w:ilvl w:val="0"/>
          <w:numId w:val="10"/>
        </w:numPr>
        <w:shd w:val="clear" w:color="auto" w:fill="FFFFFF"/>
        <w:spacing w:after="160" w:line="360" w:lineRule="auto"/>
        <w:ind w:left="900" w:hanging="450"/>
        <w:rPr>
          <w:rFonts w:eastAsia="Times New Roman" w:cs="Times New Roman"/>
          <w:color w:val="222222"/>
          <w:sz w:val="28"/>
          <w:szCs w:val="28"/>
          <w:lang w:val="en-NZ" w:eastAsia="en-NZ"/>
        </w:rPr>
      </w:pPr>
      <w:r>
        <w:rPr>
          <w:rFonts w:eastAsia="Times New Roman" w:cs="Times New Roman"/>
          <w:color w:val="222222"/>
          <w:sz w:val="28"/>
          <w:szCs w:val="28"/>
          <w:lang w:val="en-NZ" w:eastAsia="en-NZ"/>
        </w:rPr>
        <w:t xml:space="preserve"> </w:t>
      </w:r>
      <w:r w:rsidRPr="00DB40C0">
        <w:rPr>
          <w:rFonts w:eastAsia="Times New Roman" w:cs="Times New Roman"/>
          <w:color w:val="222222"/>
          <w:sz w:val="28"/>
          <w:szCs w:val="28"/>
          <w:lang w:val="en-NZ" w:eastAsia="en-NZ"/>
        </w:rPr>
        <w:t xml:space="preserve">Given New Zealand’s relative wealth, geographic location and high Pasifika population, climate finance plays an important role in New Zealand’s international cooperation to fully realise the rights under the Covenant. New Zealand has not to date taken a rights-based approach to climate finance. It has preferred bilateral over multilateral vectors for </w:t>
      </w:r>
      <w:r w:rsidRPr="00DB40C0">
        <w:rPr>
          <w:rFonts w:eastAsia="Times New Roman" w:cs="Times New Roman"/>
          <w:color w:val="222222"/>
          <w:sz w:val="28"/>
          <w:szCs w:val="28"/>
          <w:lang w:val="en-NZ" w:eastAsia="en-NZ"/>
        </w:rPr>
        <w:lastRenderedPageBreak/>
        <w:t>the delivery of climate finance, and repeated changes in the reporting of climate finance flows have made it difficult to determine to what extent this climate finance is new and additional. There have been suggestions that this climate finance has been tied to political or diplomatic ends.</w:t>
      </w:r>
    </w:p>
    <w:p w14:paraId="5CD8D916" w14:textId="77777777" w:rsidR="00DB40C0" w:rsidRPr="00DB40C0" w:rsidRDefault="00DB40C0" w:rsidP="00DB40C0">
      <w:pPr>
        <w:pStyle w:val="ListParagraph"/>
        <w:shd w:val="clear" w:color="auto" w:fill="FFFFFF"/>
        <w:spacing w:after="160" w:line="360" w:lineRule="auto"/>
        <w:ind w:left="900"/>
        <w:rPr>
          <w:rFonts w:eastAsia="Times New Roman" w:cs="Times New Roman"/>
          <w:color w:val="222222"/>
          <w:sz w:val="28"/>
          <w:szCs w:val="28"/>
          <w:lang w:val="en-NZ" w:eastAsia="en-NZ"/>
        </w:rPr>
      </w:pPr>
    </w:p>
    <w:p w14:paraId="700DB126" w14:textId="4E7E1586" w:rsidR="00DB40C0" w:rsidRPr="00DB40C0" w:rsidRDefault="00DB40C0" w:rsidP="00DB40C0">
      <w:pPr>
        <w:pStyle w:val="ListParagraph"/>
        <w:numPr>
          <w:ilvl w:val="0"/>
          <w:numId w:val="10"/>
        </w:numPr>
        <w:shd w:val="clear" w:color="auto" w:fill="FFFFFF"/>
        <w:spacing w:after="160" w:line="360" w:lineRule="auto"/>
        <w:ind w:hanging="540"/>
        <w:rPr>
          <w:rFonts w:eastAsia="Times New Roman" w:cs="Times New Roman"/>
          <w:color w:val="222222"/>
          <w:sz w:val="28"/>
          <w:szCs w:val="28"/>
          <w:lang w:val="en-NZ" w:eastAsia="en-NZ"/>
        </w:rPr>
      </w:pPr>
      <w:r w:rsidRPr="00DB40C0">
        <w:rPr>
          <w:rFonts w:eastAsia="Times New Roman" w:cs="Times New Roman"/>
          <w:color w:val="222222"/>
          <w:sz w:val="28"/>
          <w:szCs w:val="28"/>
          <w:lang w:val="en-NZ" w:eastAsia="en-NZ"/>
        </w:rPr>
        <w:t>Further concerns arise as a result of Tokelau’s status as a dependent territory of New Zealand. Tokelau is highly climate vulnerable, and its rights to self-determination are at risk given their lack of independent representation at the UNFCCC. The 1,500 citizens of Tokelau are New Zealand citizens, as well as being sometime-recipients of New Zealand climate finance. New Zealand may need to take further steps to ensure the people of Tokelau are able to realise their rights under the Covenant.</w:t>
      </w:r>
      <w:r>
        <w:rPr>
          <w:rFonts w:eastAsia="Times New Roman" w:cs="Times New Roman"/>
          <w:color w:val="222222"/>
          <w:sz w:val="28"/>
          <w:szCs w:val="28"/>
          <w:lang w:val="en-NZ" w:eastAsia="en-NZ"/>
        </w:rPr>
        <w:br/>
      </w:r>
      <w:r w:rsidR="00636883">
        <w:rPr>
          <w:rFonts w:eastAsia="Times New Roman" w:cs="Times New Roman"/>
          <w:color w:val="222222"/>
          <w:sz w:val="28"/>
          <w:szCs w:val="28"/>
          <w:lang w:val="en-NZ" w:eastAsia="en-NZ"/>
        </w:rPr>
        <w:t>CTU</w:t>
      </w:r>
    </w:p>
    <w:p w14:paraId="38621A6E" w14:textId="36D674AC" w:rsidR="00DB40C0" w:rsidRPr="00DB40C0" w:rsidRDefault="00DB40C0" w:rsidP="00DB40C0">
      <w:pPr>
        <w:pStyle w:val="ListParagraph"/>
        <w:numPr>
          <w:ilvl w:val="0"/>
          <w:numId w:val="10"/>
        </w:numPr>
        <w:shd w:val="clear" w:color="auto" w:fill="FFFFFF"/>
        <w:spacing w:after="160" w:line="360" w:lineRule="auto"/>
        <w:ind w:hanging="540"/>
        <w:rPr>
          <w:rFonts w:eastAsia="Times New Roman" w:cs="Times New Roman"/>
          <w:color w:val="222222"/>
          <w:sz w:val="28"/>
          <w:szCs w:val="28"/>
          <w:lang w:val="en-NZ" w:eastAsia="en-NZ"/>
        </w:rPr>
      </w:pPr>
      <w:r w:rsidRPr="00DB40C0">
        <w:rPr>
          <w:rFonts w:eastAsia="Times New Roman" w:cs="Times New Roman"/>
          <w:color w:val="222222"/>
          <w:sz w:val="28"/>
          <w:szCs w:val="28"/>
          <w:lang w:val="en-NZ" w:eastAsia="en-NZ"/>
        </w:rPr>
        <w:t>It is welcome that the new New Zealand government has pledged to create a new category of immigration visa for persons displaced by climate change (otherwise called climate migrants).</w:t>
      </w:r>
    </w:p>
    <w:p w14:paraId="269CCD32" w14:textId="77777777" w:rsidR="00DB40C0" w:rsidRPr="00DB40C0" w:rsidRDefault="00DB40C0" w:rsidP="00DB40C0">
      <w:pPr>
        <w:shd w:val="clear" w:color="auto" w:fill="FFFFFF"/>
        <w:spacing w:line="360" w:lineRule="auto"/>
        <w:ind w:left="709"/>
        <w:contextualSpacing/>
        <w:rPr>
          <w:rFonts w:eastAsia="Times New Roman" w:cs="Times New Roman"/>
          <w:color w:val="222222"/>
          <w:sz w:val="28"/>
          <w:szCs w:val="28"/>
          <w:lang w:val="en-NZ" w:eastAsia="en-NZ"/>
        </w:rPr>
      </w:pPr>
    </w:p>
    <w:p w14:paraId="6878CBD5" w14:textId="77777777" w:rsidR="00DB40C0" w:rsidRPr="00DB40C0" w:rsidRDefault="00DB40C0" w:rsidP="00DB40C0">
      <w:pPr>
        <w:shd w:val="clear" w:color="auto" w:fill="FFFFFF"/>
        <w:spacing w:line="360" w:lineRule="auto"/>
        <w:ind w:left="709"/>
        <w:contextualSpacing/>
        <w:rPr>
          <w:rFonts w:eastAsia="Times New Roman" w:cs="Times New Roman"/>
          <w:b/>
          <w:color w:val="222222"/>
          <w:sz w:val="28"/>
          <w:szCs w:val="28"/>
          <w:lang w:val="en-NZ" w:eastAsia="en-NZ"/>
        </w:rPr>
      </w:pPr>
      <w:r w:rsidRPr="00DB40C0">
        <w:rPr>
          <w:rFonts w:eastAsia="Times New Roman" w:cs="Times New Roman"/>
          <w:b/>
          <w:color w:val="222222"/>
          <w:sz w:val="28"/>
          <w:szCs w:val="28"/>
          <w:lang w:val="en-NZ" w:eastAsia="en-NZ"/>
        </w:rPr>
        <w:t>Recommendations</w:t>
      </w:r>
    </w:p>
    <w:p w14:paraId="52C8D1D4" w14:textId="77777777" w:rsidR="00DB40C0" w:rsidRPr="00DB40C0" w:rsidRDefault="00DB40C0" w:rsidP="00DB40C0">
      <w:pPr>
        <w:pStyle w:val="ListParagraph"/>
        <w:numPr>
          <w:ilvl w:val="0"/>
          <w:numId w:val="10"/>
        </w:numPr>
        <w:shd w:val="clear" w:color="auto" w:fill="FFFFFF"/>
        <w:spacing w:after="160" w:line="360" w:lineRule="auto"/>
        <w:ind w:hanging="540"/>
        <w:rPr>
          <w:rFonts w:eastAsia="Times New Roman" w:cs="Times New Roman"/>
          <w:b/>
          <w:color w:val="222222"/>
          <w:sz w:val="28"/>
          <w:szCs w:val="28"/>
          <w:lang w:val="en-NZ" w:eastAsia="en-NZ"/>
        </w:rPr>
      </w:pPr>
      <w:r w:rsidRPr="00DB40C0">
        <w:rPr>
          <w:rFonts w:eastAsia="Times New Roman" w:cs="Times New Roman"/>
          <w:b/>
          <w:color w:val="222222"/>
          <w:sz w:val="28"/>
          <w:szCs w:val="28"/>
          <w:lang w:val="en-NZ" w:eastAsia="en-NZ"/>
        </w:rPr>
        <w:t>In light of the issues outlined above, we recommend that the Committee:</w:t>
      </w:r>
    </w:p>
    <w:p w14:paraId="1B10962A" w14:textId="77777777" w:rsidR="00DB40C0" w:rsidRPr="00DB40C0" w:rsidRDefault="00DB40C0" w:rsidP="00DB40C0">
      <w:pPr>
        <w:pStyle w:val="ListParagraph"/>
        <w:numPr>
          <w:ilvl w:val="1"/>
          <w:numId w:val="10"/>
        </w:numPr>
        <w:shd w:val="clear" w:color="auto" w:fill="FFFFFF"/>
        <w:spacing w:after="160" w:line="360" w:lineRule="auto"/>
        <w:ind w:left="2520"/>
        <w:rPr>
          <w:rFonts w:eastAsia="Times New Roman" w:cs="Times New Roman"/>
          <w:b/>
          <w:color w:val="222222"/>
          <w:sz w:val="28"/>
          <w:szCs w:val="28"/>
          <w:lang w:val="en-NZ" w:eastAsia="en-NZ"/>
        </w:rPr>
      </w:pPr>
      <w:r w:rsidRPr="00DB40C0">
        <w:rPr>
          <w:rFonts w:eastAsia="Times New Roman" w:cs="Times New Roman"/>
          <w:b/>
          <w:color w:val="222222"/>
          <w:sz w:val="28"/>
          <w:szCs w:val="28"/>
          <w:lang w:val="en-NZ" w:eastAsia="en-NZ"/>
        </w:rPr>
        <w:t>recommend that New Zealand specifically provide for indigenous people’s participation in the Climate Commission and in any other decision-making under the Zero Carbon Act;</w:t>
      </w:r>
    </w:p>
    <w:p w14:paraId="2A1E334B" w14:textId="77777777" w:rsidR="00DB40C0" w:rsidRPr="00DB40C0" w:rsidRDefault="00DB40C0" w:rsidP="00DB40C0">
      <w:pPr>
        <w:pStyle w:val="ListParagraph"/>
        <w:numPr>
          <w:ilvl w:val="1"/>
          <w:numId w:val="10"/>
        </w:numPr>
        <w:shd w:val="clear" w:color="auto" w:fill="FFFFFF"/>
        <w:spacing w:after="160" w:line="360" w:lineRule="auto"/>
        <w:ind w:left="2520"/>
        <w:rPr>
          <w:rFonts w:eastAsia="Times New Roman" w:cs="Times New Roman"/>
          <w:b/>
          <w:color w:val="222222"/>
          <w:sz w:val="28"/>
          <w:szCs w:val="28"/>
          <w:lang w:val="en-NZ" w:eastAsia="en-NZ"/>
        </w:rPr>
      </w:pPr>
      <w:r w:rsidRPr="00DB40C0">
        <w:rPr>
          <w:rFonts w:eastAsia="Times New Roman" w:cs="Times New Roman"/>
          <w:b/>
          <w:color w:val="222222"/>
          <w:sz w:val="28"/>
          <w:szCs w:val="28"/>
          <w:lang w:val="en-NZ" w:eastAsia="en-NZ"/>
        </w:rPr>
        <w:t xml:space="preserve">question New Zealand on its performance of its climate finance obligations, and, if the answers are not </w:t>
      </w:r>
      <w:r w:rsidRPr="00DB40C0">
        <w:rPr>
          <w:rFonts w:eastAsia="Times New Roman" w:cs="Times New Roman"/>
          <w:b/>
          <w:color w:val="222222"/>
          <w:sz w:val="28"/>
          <w:szCs w:val="28"/>
          <w:lang w:val="en-NZ" w:eastAsia="en-NZ"/>
        </w:rPr>
        <w:lastRenderedPageBreak/>
        <w:t>satisfactory, recommend that it adopt a rights-based approach to climate finance; and</w:t>
      </w:r>
    </w:p>
    <w:p w14:paraId="1AD02663" w14:textId="63A2983D" w:rsidR="00DB40C0" w:rsidRPr="00DB40C0" w:rsidRDefault="00DB40C0" w:rsidP="00DB40C0">
      <w:pPr>
        <w:pStyle w:val="ListParagraph"/>
        <w:numPr>
          <w:ilvl w:val="1"/>
          <w:numId w:val="10"/>
        </w:numPr>
        <w:shd w:val="clear" w:color="auto" w:fill="FFFFFF"/>
        <w:spacing w:after="160" w:line="360" w:lineRule="auto"/>
        <w:ind w:left="2520"/>
        <w:rPr>
          <w:rFonts w:eastAsia="Times New Roman" w:cs="Times New Roman"/>
          <w:b/>
          <w:color w:val="222222"/>
          <w:sz w:val="28"/>
          <w:szCs w:val="28"/>
          <w:lang w:val="en-NZ" w:eastAsia="en-NZ"/>
        </w:rPr>
      </w:pPr>
      <w:r w:rsidRPr="00DB40C0">
        <w:rPr>
          <w:rFonts w:eastAsia="Times New Roman" w:cs="Times New Roman"/>
          <w:b/>
          <w:color w:val="222222"/>
          <w:sz w:val="28"/>
          <w:szCs w:val="28"/>
          <w:lang w:val="en-NZ" w:eastAsia="en-NZ"/>
        </w:rPr>
        <w:t>commend New Zealand on its commitment to create a new category of immigration visa and recommend that it ensure that affected Pasifika communities (in New Zealand and overseas) are able to fully participate in the design of this new visa scheme.</w:t>
      </w:r>
    </w:p>
    <w:p w14:paraId="3E5D76C3" w14:textId="77777777" w:rsidR="00DB40C0" w:rsidRPr="00DB40C0" w:rsidRDefault="00DB40C0" w:rsidP="00DB40C0">
      <w:pPr>
        <w:spacing w:after="160" w:line="360" w:lineRule="auto"/>
        <w:rPr>
          <w:rFonts w:eastAsia="Calibri" w:cs="Times New Roman"/>
          <w:sz w:val="28"/>
          <w:szCs w:val="28"/>
          <w:lang w:val="en-NZ"/>
        </w:rPr>
      </w:pPr>
    </w:p>
    <w:p w14:paraId="46F82B8D" w14:textId="77777777" w:rsidR="00AD38D2" w:rsidRPr="00DA2390" w:rsidRDefault="00AD38D2" w:rsidP="00DA2390">
      <w:pPr>
        <w:pStyle w:val="ListParagraph"/>
        <w:spacing w:line="360" w:lineRule="auto"/>
        <w:ind w:left="990"/>
        <w:jc w:val="both"/>
        <w:rPr>
          <w:rFonts w:cs="Times New Roman"/>
          <w:b/>
          <w:smallCaps/>
          <w:color w:val="000000" w:themeColor="text1"/>
          <w:sz w:val="28"/>
          <w:szCs w:val="28"/>
        </w:rPr>
      </w:pPr>
    </w:p>
    <w:p w14:paraId="12BE9FE6" w14:textId="12C9135A" w:rsidR="00A44542" w:rsidRPr="003334FF" w:rsidRDefault="007E3A89" w:rsidP="00DB40C0">
      <w:pPr>
        <w:pStyle w:val="ListParagraph"/>
        <w:numPr>
          <w:ilvl w:val="0"/>
          <w:numId w:val="10"/>
        </w:numPr>
        <w:spacing w:line="360" w:lineRule="auto"/>
        <w:ind w:hanging="450"/>
        <w:jc w:val="both"/>
        <w:rPr>
          <w:rFonts w:cs="Times New Roman"/>
          <w:b/>
          <w:smallCaps/>
          <w:color w:val="000000" w:themeColor="text1"/>
          <w:sz w:val="28"/>
          <w:szCs w:val="28"/>
        </w:rPr>
      </w:pPr>
      <w:r w:rsidRPr="00FC17F1">
        <w:rPr>
          <w:rFonts w:cs="Times New Roman"/>
          <w:b/>
          <w:smallCaps/>
          <w:color w:val="000000" w:themeColor="text1"/>
          <w:sz w:val="28"/>
          <w:szCs w:val="28"/>
        </w:rPr>
        <w:t xml:space="preserve"> </w:t>
      </w:r>
      <w:r w:rsidR="00A44542" w:rsidRPr="003334FF">
        <w:rPr>
          <w:rFonts w:cs="Times New Roman"/>
          <w:b/>
          <w:smallCaps/>
          <w:color w:val="000000" w:themeColor="text1"/>
          <w:sz w:val="28"/>
          <w:szCs w:val="28"/>
        </w:rPr>
        <w:t>Summary of Recommendations</w:t>
      </w:r>
    </w:p>
    <w:p w14:paraId="3608F633" w14:textId="77777777" w:rsidR="00A44542" w:rsidRPr="00FC17F1" w:rsidRDefault="00A44542" w:rsidP="00FC17F1">
      <w:pPr>
        <w:spacing w:line="360" w:lineRule="auto"/>
        <w:jc w:val="both"/>
        <w:rPr>
          <w:rFonts w:cs="Times New Roman"/>
          <w:b/>
          <w:smallCaps/>
          <w:color w:val="000000" w:themeColor="text1"/>
          <w:sz w:val="28"/>
          <w:szCs w:val="28"/>
        </w:rPr>
      </w:pPr>
    </w:p>
    <w:p w14:paraId="10D9CC7C" w14:textId="77777777" w:rsidR="00A44542" w:rsidRPr="00FC17F1" w:rsidRDefault="00A44542"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In relation to the following questions we recommend that:</w:t>
      </w:r>
    </w:p>
    <w:p w14:paraId="0E866F3E" w14:textId="77777777" w:rsidR="00A44542" w:rsidRPr="00FC17F1" w:rsidRDefault="00A44542" w:rsidP="00FC17F1">
      <w:pPr>
        <w:spacing w:line="360" w:lineRule="auto"/>
        <w:jc w:val="both"/>
        <w:rPr>
          <w:rFonts w:cs="Times New Roman"/>
          <w:b/>
          <w:smallCaps/>
          <w:color w:val="000000" w:themeColor="text1"/>
          <w:sz w:val="28"/>
          <w:szCs w:val="28"/>
        </w:rPr>
      </w:pPr>
    </w:p>
    <w:p w14:paraId="2B2846EE" w14:textId="77777777" w:rsidR="003F030D"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w:t>
      </w:r>
      <w:r w:rsidR="003F030D">
        <w:rPr>
          <w:rFonts w:cs="Times New Roman"/>
          <w:b/>
          <w:smallCaps/>
          <w:color w:val="000000" w:themeColor="text1"/>
          <w:sz w:val="28"/>
          <w:szCs w:val="28"/>
        </w:rPr>
        <w:t xml:space="preserve"> </w:t>
      </w:r>
    </w:p>
    <w:p w14:paraId="5689B060" w14:textId="5C3EADFE" w:rsidR="003F030D" w:rsidRPr="00DA2390" w:rsidRDefault="003F030D" w:rsidP="00DA2390">
      <w:pPr>
        <w:tabs>
          <w:tab w:val="left" w:pos="5245"/>
        </w:tabs>
        <w:spacing w:line="360" w:lineRule="auto"/>
        <w:jc w:val="both"/>
        <w:rPr>
          <w:rFonts w:cs="Times New Roman"/>
          <w:b/>
          <w:color w:val="000000" w:themeColor="text1"/>
          <w:sz w:val="28"/>
          <w:szCs w:val="28"/>
        </w:rPr>
      </w:pPr>
      <w:r>
        <w:rPr>
          <w:rFonts w:cs="Times New Roman"/>
          <w:b/>
          <w:color w:val="000000" w:themeColor="text1"/>
          <w:sz w:val="28"/>
          <w:szCs w:val="28"/>
        </w:rPr>
        <w:t>The Justiciability of Economic, Social and Cultural Rights</w:t>
      </w:r>
    </w:p>
    <w:p w14:paraId="75FBE7CC" w14:textId="77777777" w:rsidR="003F030D" w:rsidRPr="00FC17F1" w:rsidRDefault="003F030D" w:rsidP="00DA2390">
      <w:pPr>
        <w:pStyle w:val="ListParagraph"/>
        <w:numPr>
          <w:ilvl w:val="0"/>
          <w:numId w:val="52"/>
        </w:numPr>
        <w:tabs>
          <w:tab w:val="left" w:pos="5245"/>
        </w:tabs>
        <w:spacing w:line="360" w:lineRule="auto"/>
        <w:ind w:left="1080" w:hanging="630"/>
        <w:jc w:val="both"/>
        <w:rPr>
          <w:rFonts w:cs="Times New Roman"/>
          <w:b/>
          <w:color w:val="000000" w:themeColor="text1"/>
          <w:sz w:val="28"/>
          <w:szCs w:val="28"/>
        </w:rPr>
      </w:pPr>
      <w:r>
        <w:rPr>
          <w:rFonts w:cs="Times New Roman"/>
          <w:b/>
          <w:color w:val="000000" w:themeColor="text1"/>
          <w:sz w:val="28"/>
          <w:szCs w:val="28"/>
        </w:rPr>
        <w:t>The HRF</w:t>
      </w:r>
      <w:r w:rsidRPr="00FC17F1">
        <w:rPr>
          <w:rFonts w:cs="Times New Roman"/>
          <w:b/>
          <w:color w:val="000000" w:themeColor="text1"/>
          <w:sz w:val="28"/>
          <w:szCs w:val="28"/>
        </w:rPr>
        <w:t xml:space="preserve"> recommend</w:t>
      </w:r>
      <w:r>
        <w:rPr>
          <w:rFonts w:cs="Times New Roman"/>
          <w:b/>
          <w:color w:val="000000" w:themeColor="text1"/>
          <w:sz w:val="28"/>
          <w:szCs w:val="28"/>
        </w:rPr>
        <w:t>s</w:t>
      </w:r>
      <w:r w:rsidRPr="00FC17F1">
        <w:rPr>
          <w:rFonts w:cs="Times New Roman"/>
          <w:b/>
          <w:color w:val="000000" w:themeColor="text1"/>
          <w:sz w:val="28"/>
          <w:szCs w:val="28"/>
        </w:rPr>
        <w:t xml:space="preserve"> that the Committee: </w:t>
      </w:r>
    </w:p>
    <w:p w14:paraId="5BF8663B" w14:textId="77777777" w:rsidR="003F030D" w:rsidRPr="00FC17F1" w:rsidRDefault="003F030D" w:rsidP="003F030D">
      <w:pPr>
        <w:pStyle w:val="ListParagraph"/>
        <w:numPr>
          <w:ilvl w:val="1"/>
          <w:numId w:val="51"/>
        </w:numPr>
        <w:spacing w:line="360" w:lineRule="auto"/>
        <w:ind w:left="2520"/>
        <w:jc w:val="both"/>
        <w:rPr>
          <w:rFonts w:cs="Times New Roman"/>
          <w:b/>
          <w:bCs/>
          <w:smallCaps/>
          <w:color w:val="000000" w:themeColor="text1"/>
          <w:sz w:val="28"/>
          <w:szCs w:val="28"/>
        </w:rPr>
      </w:pPr>
      <w:r w:rsidRPr="00FC17F1">
        <w:rPr>
          <w:rFonts w:cs="Times New Roman"/>
          <w:b/>
          <w:color w:val="000000" w:themeColor="text1"/>
          <w:sz w:val="28"/>
          <w:szCs w:val="28"/>
        </w:rPr>
        <w:t xml:space="preserve">reiterate its recommendation to New Zealand to incorporate the ICESCR directly into domestic law; </w:t>
      </w:r>
    </w:p>
    <w:p w14:paraId="6376DFA4" w14:textId="77777777" w:rsidR="003F030D" w:rsidRPr="00FC17F1" w:rsidRDefault="003F030D" w:rsidP="003F030D">
      <w:pPr>
        <w:pStyle w:val="ListParagraph"/>
        <w:numPr>
          <w:ilvl w:val="1"/>
          <w:numId w:val="51"/>
        </w:numPr>
        <w:spacing w:line="360" w:lineRule="auto"/>
        <w:ind w:left="2520" w:hanging="425"/>
        <w:jc w:val="both"/>
        <w:rPr>
          <w:bCs/>
          <w:smallCaps/>
          <w:color w:val="000000" w:themeColor="text1"/>
        </w:rPr>
      </w:pPr>
      <w:r w:rsidRPr="00FC17F1">
        <w:rPr>
          <w:rFonts w:cs="Times New Roman"/>
          <w:b/>
          <w:color w:val="000000" w:themeColor="text1"/>
          <w:sz w:val="28"/>
          <w:szCs w:val="28"/>
        </w:rPr>
        <w:t xml:space="preserve">recommend that a range of ESC rights be included in the NZBORA, </w:t>
      </w:r>
      <w:r w:rsidRPr="00FC17F1">
        <w:rPr>
          <w:rFonts w:cs="Times New Roman"/>
          <w:b/>
          <w:sz w:val="28"/>
          <w:szCs w:val="28"/>
        </w:rPr>
        <w:t>including rights to work, social security, health, housing, water, food, education, environment and cultural life.</w:t>
      </w:r>
    </w:p>
    <w:p w14:paraId="626E7A3B" w14:textId="133121DB" w:rsidR="003F030D" w:rsidRPr="00DA2390" w:rsidRDefault="003F030D" w:rsidP="003F030D">
      <w:pPr>
        <w:pStyle w:val="ListParagraph"/>
        <w:numPr>
          <w:ilvl w:val="1"/>
          <w:numId w:val="51"/>
        </w:numPr>
        <w:spacing w:line="360" w:lineRule="auto"/>
        <w:ind w:left="2520" w:hanging="425"/>
        <w:jc w:val="both"/>
        <w:rPr>
          <w:rFonts w:cs="Times New Roman"/>
          <w:b/>
          <w:bCs/>
          <w:smallCaps/>
          <w:color w:val="000000" w:themeColor="text1"/>
          <w:sz w:val="28"/>
          <w:szCs w:val="28"/>
        </w:rPr>
      </w:pPr>
      <w:r w:rsidRPr="00FC17F1">
        <w:rPr>
          <w:rFonts w:cs="Times New Roman"/>
          <w:b/>
          <w:color w:val="000000" w:themeColor="text1"/>
          <w:sz w:val="28"/>
          <w:szCs w:val="28"/>
        </w:rPr>
        <w:t>recommend that New Zealand ratify the OP-ICESCR.</w:t>
      </w:r>
    </w:p>
    <w:p w14:paraId="5EEC95F7" w14:textId="77777777" w:rsidR="0018709B" w:rsidRPr="00DA2390" w:rsidRDefault="0018709B" w:rsidP="00DA2390">
      <w:pPr>
        <w:pStyle w:val="ListParagraph"/>
        <w:spacing w:line="360" w:lineRule="auto"/>
        <w:ind w:left="2520"/>
        <w:jc w:val="both"/>
        <w:rPr>
          <w:rFonts w:cs="Times New Roman"/>
          <w:b/>
          <w:bCs/>
          <w:smallCaps/>
          <w:color w:val="000000" w:themeColor="text1"/>
          <w:sz w:val="28"/>
          <w:szCs w:val="28"/>
        </w:rPr>
      </w:pPr>
    </w:p>
    <w:p w14:paraId="4A2EAC74" w14:textId="77777777" w:rsidR="003F030D" w:rsidRPr="00FC17F1" w:rsidRDefault="003F030D" w:rsidP="00DA2390">
      <w:pPr>
        <w:pStyle w:val="ListParagraph"/>
        <w:numPr>
          <w:ilvl w:val="0"/>
          <w:numId w:val="10"/>
        </w:numPr>
        <w:tabs>
          <w:tab w:val="left" w:pos="360"/>
          <w:tab w:val="left" w:pos="1080"/>
        </w:tabs>
        <w:spacing w:line="360" w:lineRule="auto"/>
        <w:ind w:left="1170" w:hanging="720"/>
        <w:jc w:val="both"/>
        <w:rPr>
          <w:rFonts w:cs="Times New Roman"/>
          <w:b/>
          <w:color w:val="000000" w:themeColor="text1"/>
          <w:sz w:val="28"/>
          <w:szCs w:val="28"/>
        </w:rPr>
      </w:pPr>
      <w:r w:rsidRPr="00FC17F1">
        <w:rPr>
          <w:rFonts w:cs="Times New Roman"/>
          <w:b/>
          <w:color w:val="000000" w:themeColor="text1"/>
          <w:sz w:val="28"/>
          <w:szCs w:val="28"/>
        </w:rPr>
        <w:t xml:space="preserve">The HRF reiterates its recommendations to the Constitutional Review Panel that the NZBORA be granted supreme status to override rights-infringing legislation, and that it be procedurally entrenched (requiring passage of any amendment by a 2/3 </w:t>
      </w:r>
      <w:r w:rsidRPr="00FC17F1">
        <w:rPr>
          <w:rFonts w:cs="Times New Roman"/>
          <w:b/>
          <w:color w:val="000000" w:themeColor="text1"/>
          <w:sz w:val="28"/>
          <w:szCs w:val="28"/>
        </w:rPr>
        <w:lastRenderedPageBreak/>
        <w:t>majority). Further we strongly suggest that mechanisms for monitoring compliance with the NZBORA be further improved – for example by extending the section 7 review of Bills by the Attorney General to Supplementary Order Papers.</w:t>
      </w:r>
    </w:p>
    <w:p w14:paraId="7B9AC5EA" w14:textId="77777777" w:rsidR="003F030D" w:rsidRPr="00FC17F1" w:rsidRDefault="003F030D" w:rsidP="003F030D">
      <w:pPr>
        <w:pStyle w:val="ListParagraph"/>
        <w:spacing w:line="360" w:lineRule="auto"/>
        <w:ind w:left="1440"/>
        <w:jc w:val="both"/>
        <w:rPr>
          <w:rFonts w:cs="Times New Roman"/>
          <w:b/>
          <w:color w:val="000000" w:themeColor="text1"/>
          <w:sz w:val="28"/>
          <w:szCs w:val="28"/>
        </w:rPr>
      </w:pPr>
    </w:p>
    <w:p w14:paraId="55B30DBC" w14:textId="305C0F70" w:rsidR="003F030D" w:rsidRPr="003F030D" w:rsidRDefault="003F030D" w:rsidP="00DA2390">
      <w:pPr>
        <w:pStyle w:val="ListParagraph"/>
        <w:numPr>
          <w:ilvl w:val="0"/>
          <w:numId w:val="10"/>
        </w:numPr>
        <w:tabs>
          <w:tab w:val="left" w:pos="0"/>
          <w:tab w:val="left" w:pos="1260"/>
        </w:tabs>
        <w:spacing w:line="360" w:lineRule="auto"/>
        <w:ind w:left="1080" w:hanging="630"/>
        <w:jc w:val="both"/>
        <w:rPr>
          <w:rFonts w:cs="Times New Roman"/>
          <w:b/>
          <w:color w:val="000000" w:themeColor="text1"/>
          <w:sz w:val="28"/>
          <w:szCs w:val="28"/>
        </w:rPr>
      </w:pPr>
      <w:r w:rsidRPr="00FC17F1">
        <w:rPr>
          <w:rFonts w:cs="Times New Roman"/>
          <w:b/>
          <w:color w:val="000000" w:themeColor="text1"/>
          <w:sz w:val="28"/>
          <w:szCs w:val="28"/>
        </w:rPr>
        <w:t xml:space="preserve">The HRF recommends </w:t>
      </w:r>
      <w:r w:rsidR="003F2110" w:rsidRPr="00FC17F1">
        <w:rPr>
          <w:rFonts w:cs="Times New Roman"/>
          <w:b/>
          <w:color w:val="000000" w:themeColor="text1"/>
          <w:sz w:val="28"/>
          <w:szCs w:val="28"/>
        </w:rPr>
        <w:t>that the</w:t>
      </w:r>
      <w:r w:rsidRPr="00FC17F1">
        <w:rPr>
          <w:rFonts w:cs="Times New Roman"/>
          <w:b/>
          <w:color w:val="000000" w:themeColor="text1"/>
          <w:sz w:val="28"/>
          <w:szCs w:val="28"/>
        </w:rPr>
        <w:t xml:space="preserve"> NZBORA be amended to provide an explicit right to an effective remedy for breach of the NZBORA including by the judiciary.</w:t>
      </w:r>
    </w:p>
    <w:p w14:paraId="6BA5E0EE" w14:textId="77777777" w:rsidR="003F030D" w:rsidRPr="00131A11" w:rsidRDefault="003F030D" w:rsidP="00DA2390">
      <w:pPr>
        <w:pStyle w:val="ListParagraph"/>
        <w:numPr>
          <w:ilvl w:val="0"/>
          <w:numId w:val="52"/>
        </w:numPr>
        <w:spacing w:line="360" w:lineRule="auto"/>
        <w:jc w:val="both"/>
        <w:rPr>
          <w:rFonts w:cs="Times New Roman"/>
          <w:b/>
          <w:bCs/>
          <w:smallCaps/>
          <w:color w:val="000000" w:themeColor="text1"/>
          <w:sz w:val="28"/>
          <w:szCs w:val="28"/>
        </w:rPr>
      </w:pPr>
    </w:p>
    <w:p w14:paraId="6DD2BB6B" w14:textId="486CE3EB" w:rsidR="003F030D"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w:t>
      </w:r>
    </w:p>
    <w:p w14:paraId="7C90CD5A" w14:textId="317AA8CB" w:rsidR="003F030D" w:rsidRDefault="003F030D" w:rsidP="00FC17F1">
      <w:pPr>
        <w:spacing w:line="360" w:lineRule="auto"/>
        <w:jc w:val="both"/>
        <w:rPr>
          <w:rFonts w:cs="Times New Roman"/>
          <w:b/>
          <w:sz w:val="28"/>
          <w:szCs w:val="28"/>
          <w:lang w:val="en-AU"/>
        </w:rPr>
      </w:pPr>
      <w:r w:rsidRPr="00FC17F1">
        <w:rPr>
          <w:rFonts w:cs="Times New Roman"/>
          <w:b/>
          <w:sz w:val="28"/>
          <w:szCs w:val="28"/>
          <w:lang w:val="en-AU"/>
        </w:rPr>
        <w:t>The</w:t>
      </w:r>
      <w:r>
        <w:rPr>
          <w:rFonts w:cs="Times New Roman"/>
          <w:b/>
          <w:sz w:val="28"/>
          <w:szCs w:val="28"/>
          <w:lang w:val="en-AU"/>
        </w:rPr>
        <w:t xml:space="preserve"> </w:t>
      </w:r>
      <w:r w:rsidR="0018709B">
        <w:rPr>
          <w:rFonts w:cs="Times New Roman"/>
          <w:b/>
          <w:sz w:val="28"/>
          <w:szCs w:val="28"/>
          <w:lang w:val="en-AU"/>
        </w:rPr>
        <w:t xml:space="preserve">Comprehensive and Progressive Agreement on </w:t>
      </w:r>
      <w:r>
        <w:rPr>
          <w:rFonts w:cs="Times New Roman"/>
          <w:b/>
          <w:sz w:val="28"/>
          <w:szCs w:val="28"/>
          <w:lang w:val="en-AU"/>
        </w:rPr>
        <w:t>Trans Pacific Partnership (</w:t>
      </w:r>
      <w:r w:rsidR="00551191">
        <w:rPr>
          <w:rFonts w:cs="Times New Roman"/>
          <w:b/>
          <w:sz w:val="28"/>
          <w:szCs w:val="28"/>
          <w:lang w:val="en-AU"/>
        </w:rPr>
        <w:t>CP-</w:t>
      </w:r>
      <w:r>
        <w:rPr>
          <w:rFonts w:cs="Times New Roman"/>
          <w:b/>
          <w:sz w:val="28"/>
          <w:szCs w:val="28"/>
          <w:lang w:val="en-AU"/>
        </w:rPr>
        <w:t>TPP)</w:t>
      </w:r>
    </w:p>
    <w:p w14:paraId="14708584" w14:textId="62461C7E" w:rsidR="003F030D" w:rsidRPr="00DA2390" w:rsidRDefault="003F030D" w:rsidP="00DA2390">
      <w:pPr>
        <w:pStyle w:val="ListParagraph"/>
        <w:numPr>
          <w:ilvl w:val="0"/>
          <w:numId w:val="52"/>
        </w:numPr>
        <w:spacing w:line="360" w:lineRule="auto"/>
        <w:ind w:left="1080" w:hanging="540"/>
        <w:jc w:val="both"/>
        <w:rPr>
          <w:rFonts w:cs="Times New Roman"/>
          <w:b/>
          <w:smallCaps/>
          <w:color w:val="000000" w:themeColor="text1"/>
          <w:sz w:val="28"/>
          <w:szCs w:val="28"/>
        </w:rPr>
      </w:pPr>
      <w:r w:rsidRPr="00DA2390">
        <w:rPr>
          <w:rFonts w:cs="Times New Roman"/>
          <w:b/>
          <w:sz w:val="28"/>
          <w:szCs w:val="28"/>
          <w:lang w:val="en-AU"/>
        </w:rPr>
        <w:t>HRF endorses recommendations that negotiations take place under conditions of openness, including the regular release of draft negotiation texts to the public; furthermore, that negotiation mandates be voted on by Parliament – including the consideration of public submissions – before the start of future trade and investment negotiations. That also allows for independent economic, health, human rights and environmental impact assessments to be taken into account.</w:t>
      </w:r>
    </w:p>
    <w:p w14:paraId="098CC2B7" w14:textId="77777777" w:rsidR="00023302" w:rsidRPr="00DA2390" w:rsidRDefault="00023302" w:rsidP="00DA2390">
      <w:pPr>
        <w:pStyle w:val="ListParagraph"/>
        <w:spacing w:line="360" w:lineRule="auto"/>
        <w:ind w:left="1080"/>
        <w:jc w:val="both"/>
        <w:rPr>
          <w:rFonts w:cs="Times New Roman"/>
          <w:b/>
          <w:smallCaps/>
          <w:color w:val="000000" w:themeColor="text1"/>
          <w:sz w:val="28"/>
          <w:szCs w:val="28"/>
        </w:rPr>
      </w:pPr>
    </w:p>
    <w:p w14:paraId="26A6FB80" w14:textId="103EC084"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3</w:t>
      </w:r>
    </w:p>
    <w:p w14:paraId="7DD3C8C8" w14:textId="459BFFC3" w:rsidR="00023302" w:rsidRDefault="00023302" w:rsidP="00FC17F1">
      <w:pPr>
        <w:spacing w:line="360" w:lineRule="auto"/>
        <w:jc w:val="both"/>
        <w:rPr>
          <w:rFonts w:cs="Times New Roman"/>
          <w:b/>
          <w:sz w:val="28"/>
          <w:szCs w:val="28"/>
          <w:lang w:val="en-AU"/>
        </w:rPr>
      </w:pPr>
      <w:r>
        <w:rPr>
          <w:rFonts w:cs="Times New Roman"/>
          <w:b/>
          <w:sz w:val="28"/>
          <w:szCs w:val="28"/>
          <w:lang w:val="en-AU"/>
        </w:rPr>
        <w:t>T</w:t>
      </w:r>
      <w:r w:rsidRPr="00DA2390">
        <w:rPr>
          <w:rFonts w:cs="Times New Roman"/>
          <w:b/>
          <w:sz w:val="28"/>
          <w:szCs w:val="28"/>
          <w:lang w:val="en-AU"/>
        </w:rPr>
        <w:t xml:space="preserve">he </w:t>
      </w:r>
      <w:r w:rsidRPr="00023302">
        <w:rPr>
          <w:rFonts w:cs="Times New Roman"/>
          <w:b/>
          <w:sz w:val="28"/>
          <w:szCs w:val="28"/>
          <w:lang w:val="en-AU"/>
        </w:rPr>
        <w:t>Enjoyment Of Economic, Social And Cultural Rights By Disadvantages And Marginalised Groups</w:t>
      </w:r>
    </w:p>
    <w:p w14:paraId="0CAFB8AE" w14:textId="77777777" w:rsidR="00551191" w:rsidRPr="00DA2390" w:rsidRDefault="00551191" w:rsidP="00FC17F1">
      <w:pPr>
        <w:spacing w:line="360" w:lineRule="auto"/>
        <w:jc w:val="both"/>
        <w:rPr>
          <w:rFonts w:cs="Times New Roman"/>
          <w:b/>
          <w:sz w:val="28"/>
          <w:szCs w:val="28"/>
          <w:lang w:val="en-AU"/>
        </w:rPr>
      </w:pPr>
    </w:p>
    <w:p w14:paraId="02A5C0F8" w14:textId="4EA716BA" w:rsidR="00023302" w:rsidRDefault="00551191" w:rsidP="00DA2390">
      <w:pPr>
        <w:pStyle w:val="ListParagraph"/>
        <w:numPr>
          <w:ilvl w:val="0"/>
          <w:numId w:val="52"/>
        </w:numPr>
        <w:spacing w:line="360" w:lineRule="auto"/>
        <w:ind w:left="1080" w:hanging="540"/>
        <w:jc w:val="both"/>
        <w:rPr>
          <w:rFonts w:cs="Times New Roman"/>
          <w:b/>
          <w:sz w:val="28"/>
          <w:szCs w:val="28"/>
          <w:lang w:val="en-AU"/>
        </w:rPr>
      </w:pPr>
      <w:r>
        <w:rPr>
          <w:rFonts w:cs="Times New Roman"/>
          <w:b/>
          <w:sz w:val="28"/>
          <w:szCs w:val="28"/>
          <w:lang w:val="en-AU"/>
        </w:rPr>
        <w:t>The HRF</w:t>
      </w:r>
      <w:r w:rsidR="00023302" w:rsidRPr="00DA2390">
        <w:rPr>
          <w:rFonts w:cs="Times New Roman"/>
          <w:b/>
          <w:sz w:val="28"/>
          <w:szCs w:val="28"/>
          <w:lang w:val="en-AU"/>
        </w:rPr>
        <w:t xml:space="preserve"> endorse</w:t>
      </w:r>
      <w:r>
        <w:rPr>
          <w:rFonts w:cs="Times New Roman"/>
          <w:b/>
          <w:sz w:val="28"/>
          <w:szCs w:val="28"/>
          <w:lang w:val="en-AU"/>
        </w:rPr>
        <w:t>s</w:t>
      </w:r>
      <w:r w:rsidR="00023302" w:rsidRPr="00DA2390">
        <w:rPr>
          <w:rFonts w:cs="Times New Roman"/>
          <w:b/>
          <w:sz w:val="28"/>
          <w:szCs w:val="28"/>
          <w:lang w:val="en-AU"/>
        </w:rPr>
        <w:t xml:space="preserve"> the </w:t>
      </w:r>
      <w:r w:rsidR="003334FF">
        <w:rPr>
          <w:rFonts w:cs="Times New Roman"/>
          <w:b/>
          <w:sz w:val="28"/>
          <w:szCs w:val="28"/>
          <w:lang w:val="en-AU"/>
        </w:rPr>
        <w:t>reports and r</w:t>
      </w:r>
      <w:r w:rsidR="00023302" w:rsidRPr="00DA2390">
        <w:rPr>
          <w:rFonts w:cs="Times New Roman"/>
          <w:b/>
          <w:sz w:val="28"/>
          <w:szCs w:val="28"/>
          <w:lang w:val="en-AU"/>
        </w:rPr>
        <w:t xml:space="preserve">ecommendations of PMA, </w:t>
      </w:r>
      <w:r>
        <w:rPr>
          <w:rFonts w:cs="Times New Roman"/>
          <w:b/>
          <w:sz w:val="28"/>
          <w:szCs w:val="28"/>
          <w:lang w:val="en-AU"/>
        </w:rPr>
        <w:t>and CPAG/</w:t>
      </w:r>
      <w:r w:rsidR="00023302" w:rsidRPr="00DA2390">
        <w:rPr>
          <w:rFonts w:cs="Times New Roman"/>
          <w:b/>
          <w:sz w:val="28"/>
          <w:szCs w:val="28"/>
          <w:lang w:val="en-AU"/>
        </w:rPr>
        <w:t xml:space="preserve">ACYA </w:t>
      </w:r>
    </w:p>
    <w:p w14:paraId="6D2041E4" w14:textId="77777777" w:rsidR="00023302" w:rsidRPr="00DA2390" w:rsidRDefault="00023302" w:rsidP="00DA2390">
      <w:pPr>
        <w:pStyle w:val="ListParagraph"/>
        <w:spacing w:line="360" w:lineRule="auto"/>
        <w:ind w:left="1080"/>
        <w:jc w:val="both"/>
        <w:rPr>
          <w:rFonts w:cs="Times New Roman"/>
          <w:b/>
          <w:sz w:val="28"/>
          <w:szCs w:val="28"/>
          <w:lang w:val="en-AU"/>
        </w:rPr>
      </w:pPr>
    </w:p>
    <w:p w14:paraId="432D2F35" w14:textId="67A43AEF"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4</w:t>
      </w:r>
    </w:p>
    <w:p w14:paraId="562B63B1" w14:textId="249416EA" w:rsidR="00023302" w:rsidRDefault="00023302" w:rsidP="00FC17F1">
      <w:pPr>
        <w:spacing w:line="360" w:lineRule="auto"/>
        <w:jc w:val="both"/>
        <w:rPr>
          <w:rFonts w:cs="Times New Roman"/>
          <w:b/>
          <w:sz w:val="28"/>
          <w:szCs w:val="28"/>
          <w:lang w:val="en-AU"/>
        </w:rPr>
      </w:pPr>
      <w:r w:rsidRPr="00023302">
        <w:rPr>
          <w:rFonts w:cs="Times New Roman"/>
          <w:b/>
          <w:sz w:val="28"/>
          <w:szCs w:val="28"/>
          <w:lang w:val="en-AU"/>
        </w:rPr>
        <w:lastRenderedPageBreak/>
        <w:t>Combat</w:t>
      </w:r>
      <w:r>
        <w:rPr>
          <w:rFonts w:cs="Times New Roman"/>
          <w:b/>
          <w:sz w:val="28"/>
          <w:szCs w:val="28"/>
          <w:lang w:val="en-AU"/>
        </w:rPr>
        <w:t>ting</w:t>
      </w:r>
      <w:r w:rsidRPr="00DA2390">
        <w:rPr>
          <w:rFonts w:cs="Times New Roman"/>
          <w:b/>
          <w:sz w:val="28"/>
          <w:szCs w:val="28"/>
          <w:lang w:val="en-AU"/>
        </w:rPr>
        <w:t xml:space="preserve"> different types of violence for groups such as women and girls</w:t>
      </w:r>
    </w:p>
    <w:p w14:paraId="603FD3F1" w14:textId="77777777" w:rsidR="00551191" w:rsidRPr="00DA2390" w:rsidRDefault="00551191" w:rsidP="00FC17F1">
      <w:pPr>
        <w:spacing w:line="360" w:lineRule="auto"/>
        <w:jc w:val="both"/>
        <w:rPr>
          <w:rFonts w:cs="Times New Roman"/>
          <w:b/>
          <w:sz w:val="28"/>
          <w:szCs w:val="28"/>
          <w:lang w:val="en-AU"/>
        </w:rPr>
      </w:pPr>
    </w:p>
    <w:p w14:paraId="366E4891" w14:textId="77777777" w:rsidR="00023302" w:rsidRPr="00FC17F1" w:rsidRDefault="00023302" w:rsidP="00DA2390">
      <w:pPr>
        <w:pStyle w:val="SingleTxtG"/>
        <w:numPr>
          <w:ilvl w:val="0"/>
          <w:numId w:val="53"/>
        </w:numPr>
        <w:tabs>
          <w:tab w:val="left" w:pos="90"/>
        </w:tabs>
        <w:spacing w:line="360" w:lineRule="auto"/>
        <w:ind w:left="1080" w:right="78" w:hanging="540"/>
        <w:rPr>
          <w:rFonts w:eastAsia="SimSun"/>
          <w:b/>
          <w:color w:val="000000" w:themeColor="text1"/>
          <w:sz w:val="28"/>
          <w:szCs w:val="28"/>
        </w:rPr>
      </w:pPr>
      <w:r w:rsidRPr="00FC17F1">
        <w:rPr>
          <w:rFonts w:eastAsia="SimSun"/>
          <w:b/>
          <w:color w:val="000000" w:themeColor="text1"/>
          <w:sz w:val="28"/>
          <w:szCs w:val="28"/>
        </w:rPr>
        <w:t xml:space="preserve">The HRF recommends that the Committee urge the New Zealand government to: </w:t>
      </w:r>
    </w:p>
    <w:p w14:paraId="3FE2AB0F" w14:textId="77777777" w:rsidR="00023302" w:rsidRDefault="00023302" w:rsidP="00DA2390">
      <w:pPr>
        <w:pStyle w:val="SingleTxtG"/>
        <w:numPr>
          <w:ilvl w:val="0"/>
          <w:numId w:val="54"/>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rPr>
        <w:t xml:space="preserve">implement a sustained programme of public education similar to road safety campaigns to reduce the culture of violence in New Zealand against women and children.       </w:t>
      </w:r>
    </w:p>
    <w:p w14:paraId="75C923C1" w14:textId="77777777" w:rsidR="00023302" w:rsidRDefault="00023302" w:rsidP="00DA2390">
      <w:pPr>
        <w:pStyle w:val="SingleTxtG"/>
        <w:numPr>
          <w:ilvl w:val="0"/>
          <w:numId w:val="54"/>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rPr>
        <w:t xml:space="preserve">formulate a comprehensive multi-faceted plan for responding to and preventing violence against women and children.  This must include an integrated system where all agencies and individuals who are either directly or indirectly involved operate as one system with shared understandings of the dynamics of gender-based violence. </w:t>
      </w:r>
    </w:p>
    <w:p w14:paraId="406DA3FE" w14:textId="77777777" w:rsidR="00023302" w:rsidRDefault="00023302" w:rsidP="00DA2390">
      <w:pPr>
        <w:pStyle w:val="SingleTxtG"/>
        <w:numPr>
          <w:ilvl w:val="0"/>
          <w:numId w:val="54"/>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rPr>
        <w:t xml:space="preserve">pilot such an integrated system in a smaller geographical area so it can be adequately funded, carefully monitored, reviewed and key lessons shared in other areas. </w:t>
      </w:r>
    </w:p>
    <w:p w14:paraId="49390AEF" w14:textId="77777777" w:rsidR="00023302" w:rsidRPr="00FC17F1" w:rsidRDefault="00023302" w:rsidP="00DA2390">
      <w:pPr>
        <w:pStyle w:val="SingleTxtG"/>
        <w:numPr>
          <w:ilvl w:val="0"/>
          <w:numId w:val="54"/>
        </w:numPr>
        <w:tabs>
          <w:tab w:val="left" w:pos="90"/>
        </w:tabs>
        <w:spacing w:line="360" w:lineRule="auto"/>
        <w:ind w:right="78"/>
        <w:rPr>
          <w:rFonts w:eastAsia="SimSun"/>
          <w:b/>
          <w:color w:val="000000" w:themeColor="text1"/>
          <w:sz w:val="28"/>
          <w:szCs w:val="28"/>
        </w:rPr>
      </w:pPr>
      <w:r w:rsidRPr="00FC17F1">
        <w:rPr>
          <w:rFonts w:eastAsia="SimSun"/>
          <w:b/>
          <w:color w:val="000000" w:themeColor="text1"/>
          <w:sz w:val="28"/>
          <w:szCs w:val="28"/>
          <w:lang w:val="en-NZ"/>
        </w:rPr>
        <w:t xml:space="preserve"> ensure that the equally complex subject of sexual violence, which receives far less attention, is given equal priority. This will require formulating an integrated system which should include the following</w:t>
      </w:r>
      <w:r w:rsidRPr="00FC17F1">
        <w:rPr>
          <w:rFonts w:eastAsia="SimSun"/>
          <w:b/>
          <w:color w:val="000000" w:themeColor="text1"/>
          <w:sz w:val="28"/>
          <w:szCs w:val="28"/>
        </w:rPr>
        <w:t>;</w:t>
      </w:r>
    </w:p>
    <w:p w14:paraId="2C654D7D" w14:textId="77777777" w:rsidR="00023302" w:rsidRPr="00FC17F1" w:rsidRDefault="00023302" w:rsidP="00DA2390">
      <w:pPr>
        <w:pStyle w:val="SingleTxtG"/>
        <w:numPr>
          <w:ilvl w:val="0"/>
          <w:numId w:val="55"/>
        </w:numPr>
        <w:tabs>
          <w:tab w:val="left" w:pos="90"/>
        </w:tabs>
        <w:spacing w:line="360" w:lineRule="auto"/>
        <w:ind w:left="2880" w:right="78"/>
        <w:rPr>
          <w:rFonts w:eastAsia="SimSun"/>
          <w:b/>
          <w:color w:val="000000" w:themeColor="text1"/>
          <w:sz w:val="28"/>
          <w:szCs w:val="28"/>
        </w:rPr>
      </w:pPr>
      <w:r w:rsidRPr="00FC17F1">
        <w:rPr>
          <w:rFonts w:eastAsia="SimSun"/>
          <w:b/>
          <w:color w:val="000000" w:themeColor="text1"/>
          <w:sz w:val="28"/>
          <w:szCs w:val="28"/>
        </w:rPr>
        <w:t>reviewing the effectiveness of relationship and sex education in all schools and making appropriate changes if required;</w:t>
      </w:r>
    </w:p>
    <w:p w14:paraId="455A8602" w14:textId="77777777" w:rsidR="00023302" w:rsidRPr="00FC17F1" w:rsidRDefault="00023302" w:rsidP="00DA2390">
      <w:pPr>
        <w:pStyle w:val="SingleTxtG"/>
        <w:numPr>
          <w:ilvl w:val="0"/>
          <w:numId w:val="55"/>
        </w:numPr>
        <w:tabs>
          <w:tab w:val="left" w:pos="90"/>
        </w:tabs>
        <w:spacing w:line="360" w:lineRule="auto"/>
        <w:ind w:left="2880" w:right="78"/>
        <w:rPr>
          <w:rFonts w:eastAsia="SimSun"/>
          <w:b/>
          <w:color w:val="000000" w:themeColor="text1"/>
          <w:sz w:val="28"/>
          <w:szCs w:val="28"/>
        </w:rPr>
      </w:pPr>
      <w:r w:rsidRPr="00FC17F1">
        <w:rPr>
          <w:rFonts w:eastAsia="SimSun"/>
          <w:b/>
          <w:color w:val="000000" w:themeColor="text1"/>
          <w:sz w:val="28"/>
          <w:szCs w:val="28"/>
        </w:rPr>
        <w:t xml:space="preserve">implementing a social media-based public education programme for young people promoting </w:t>
      </w:r>
      <w:r w:rsidRPr="00FC17F1">
        <w:rPr>
          <w:rFonts w:eastAsia="SimSun"/>
          <w:b/>
          <w:color w:val="000000" w:themeColor="text1"/>
          <w:sz w:val="28"/>
          <w:szCs w:val="28"/>
        </w:rPr>
        <w:lastRenderedPageBreak/>
        <w:t>a culture of consent and respect in personal relationships;</w:t>
      </w:r>
    </w:p>
    <w:p w14:paraId="3CD3CD26" w14:textId="77777777" w:rsidR="00023302" w:rsidRPr="00FC17F1" w:rsidRDefault="00023302" w:rsidP="00DA2390">
      <w:pPr>
        <w:pStyle w:val="SingleTxtG"/>
        <w:numPr>
          <w:ilvl w:val="0"/>
          <w:numId w:val="55"/>
        </w:numPr>
        <w:tabs>
          <w:tab w:val="left" w:pos="90"/>
        </w:tabs>
        <w:spacing w:line="360" w:lineRule="auto"/>
        <w:ind w:left="2880" w:right="78"/>
        <w:rPr>
          <w:rFonts w:eastAsia="SimSun"/>
          <w:b/>
          <w:color w:val="000000" w:themeColor="text1"/>
          <w:sz w:val="28"/>
          <w:szCs w:val="28"/>
        </w:rPr>
      </w:pPr>
      <w:r w:rsidRPr="00FC17F1">
        <w:rPr>
          <w:rFonts w:eastAsia="SimSun"/>
          <w:b/>
          <w:color w:val="000000" w:themeColor="text1"/>
          <w:sz w:val="28"/>
          <w:szCs w:val="28"/>
        </w:rPr>
        <w:t>ensuring that all agencies that respond to victims of sexual violence are properly funded so that they can recruit and retain fully qualified and expert staff, provide timely crisis and therapeutic responses to all victims, manage the administrative demands of government funding contracts and participate in advocacy and public education programmes;</w:t>
      </w:r>
    </w:p>
    <w:p w14:paraId="2471FD27" w14:textId="77777777" w:rsidR="00023302" w:rsidRPr="00FC17F1" w:rsidRDefault="00023302" w:rsidP="00DA2390">
      <w:pPr>
        <w:pStyle w:val="SingleTxtG"/>
        <w:numPr>
          <w:ilvl w:val="0"/>
          <w:numId w:val="55"/>
        </w:numPr>
        <w:tabs>
          <w:tab w:val="left" w:pos="90"/>
        </w:tabs>
        <w:spacing w:line="360" w:lineRule="auto"/>
        <w:ind w:left="2880" w:right="78"/>
        <w:rPr>
          <w:rFonts w:eastAsia="SimSun"/>
          <w:b/>
          <w:color w:val="000000" w:themeColor="text1"/>
          <w:sz w:val="28"/>
          <w:szCs w:val="28"/>
        </w:rPr>
      </w:pPr>
      <w:r w:rsidRPr="00FC17F1">
        <w:rPr>
          <w:rFonts w:eastAsia="SimSun"/>
          <w:b/>
          <w:color w:val="000000" w:themeColor="text1"/>
          <w:sz w:val="28"/>
          <w:szCs w:val="28"/>
        </w:rPr>
        <w:t xml:space="preserve">researching and implementing initiatives to ensure that the Police and justice system are responding fairly and sensitively to crimes of sexual violence. </w:t>
      </w:r>
    </w:p>
    <w:p w14:paraId="44098C8C" w14:textId="77777777" w:rsidR="00023302" w:rsidRPr="00FC17F1" w:rsidRDefault="00023302" w:rsidP="00023302">
      <w:pPr>
        <w:pStyle w:val="SingleTxtG"/>
        <w:tabs>
          <w:tab w:val="left" w:pos="90"/>
        </w:tabs>
        <w:spacing w:line="360" w:lineRule="auto"/>
        <w:ind w:left="540" w:right="78"/>
        <w:rPr>
          <w:rFonts w:eastAsia="SimSun"/>
          <w:b/>
          <w:sz w:val="28"/>
          <w:szCs w:val="28"/>
        </w:rPr>
      </w:pPr>
      <w:r w:rsidRPr="00FC17F1">
        <w:rPr>
          <w:rFonts w:eastAsia="SimSun"/>
          <w:b/>
          <w:sz w:val="28"/>
          <w:szCs w:val="28"/>
        </w:rPr>
        <w:t xml:space="preserve">The HRF also endorses the recommendations of the report of CPAG/ACYA, p 5  </w:t>
      </w:r>
    </w:p>
    <w:p w14:paraId="56A12582" w14:textId="77777777" w:rsidR="00023302" w:rsidRPr="00DA2390" w:rsidRDefault="00023302" w:rsidP="00FC17F1">
      <w:pPr>
        <w:spacing w:line="360" w:lineRule="auto"/>
        <w:jc w:val="both"/>
        <w:rPr>
          <w:rFonts w:cs="Times New Roman"/>
          <w:smallCaps/>
          <w:color w:val="000000" w:themeColor="text1"/>
          <w:sz w:val="28"/>
          <w:szCs w:val="28"/>
        </w:rPr>
      </w:pPr>
    </w:p>
    <w:p w14:paraId="4C318917" w14:textId="77777777" w:rsidR="00551191" w:rsidRDefault="0055119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 xml:space="preserve">Article 1(2) </w:t>
      </w:r>
    </w:p>
    <w:p w14:paraId="6A038FDE" w14:textId="0862AA72"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5</w:t>
      </w:r>
    </w:p>
    <w:p w14:paraId="7ABD9FCB" w14:textId="2D2483C7" w:rsidR="00023302" w:rsidRDefault="00023302" w:rsidP="00DA2390">
      <w:pPr>
        <w:pStyle w:val="SingleTxtG"/>
        <w:tabs>
          <w:tab w:val="left" w:pos="0"/>
        </w:tabs>
        <w:spacing w:line="360" w:lineRule="auto"/>
        <w:ind w:left="0" w:right="78"/>
        <w:rPr>
          <w:rFonts w:eastAsia="SimSun"/>
          <w:b/>
          <w:sz w:val="28"/>
          <w:szCs w:val="28"/>
        </w:rPr>
      </w:pPr>
      <w:r>
        <w:rPr>
          <w:rFonts w:eastAsia="SimSun"/>
          <w:b/>
          <w:sz w:val="28"/>
          <w:szCs w:val="28"/>
        </w:rPr>
        <w:t>I</w:t>
      </w:r>
      <w:r w:rsidRPr="00DA2390">
        <w:rPr>
          <w:rFonts w:eastAsia="SimSun"/>
          <w:b/>
          <w:sz w:val="28"/>
          <w:szCs w:val="28"/>
        </w:rPr>
        <w:t>mplementation of the recommendations of the Waitangi Tribunal</w:t>
      </w:r>
    </w:p>
    <w:p w14:paraId="6CE0362B" w14:textId="708AF765" w:rsidR="00023302" w:rsidRPr="00DA2390" w:rsidRDefault="00023302" w:rsidP="00DA2390">
      <w:pPr>
        <w:pStyle w:val="SingleTxtG"/>
        <w:numPr>
          <w:ilvl w:val="0"/>
          <w:numId w:val="57"/>
        </w:numPr>
        <w:tabs>
          <w:tab w:val="left" w:pos="90"/>
        </w:tabs>
        <w:spacing w:line="360" w:lineRule="auto"/>
        <w:ind w:left="1080" w:right="78" w:hanging="630"/>
        <w:rPr>
          <w:rFonts w:eastAsia="SimSun"/>
          <w:b/>
          <w:sz w:val="28"/>
          <w:szCs w:val="28"/>
        </w:rPr>
      </w:pPr>
      <w:r w:rsidRPr="00DA2390">
        <w:rPr>
          <w:rFonts w:eastAsia="SimSun"/>
          <w:b/>
          <w:sz w:val="28"/>
          <w:szCs w:val="28"/>
        </w:rPr>
        <w:t>The HRF endorses the recommendation of the report of Peace Movement Aotearoa</w:t>
      </w:r>
    </w:p>
    <w:p w14:paraId="71734931" w14:textId="77777777" w:rsidR="00023302" w:rsidRPr="00FC17F1" w:rsidRDefault="00023302" w:rsidP="00FC17F1">
      <w:pPr>
        <w:spacing w:line="360" w:lineRule="auto"/>
        <w:jc w:val="both"/>
        <w:rPr>
          <w:rFonts w:cs="Times New Roman"/>
          <w:b/>
          <w:smallCaps/>
          <w:color w:val="000000" w:themeColor="text1"/>
          <w:sz w:val="28"/>
          <w:szCs w:val="28"/>
        </w:rPr>
      </w:pPr>
    </w:p>
    <w:p w14:paraId="4E69676E" w14:textId="77777777" w:rsidR="00551191" w:rsidRDefault="0055119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 xml:space="preserve">Article 2(1) </w:t>
      </w:r>
    </w:p>
    <w:p w14:paraId="4D8D577F" w14:textId="5CA8AFB4"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6</w:t>
      </w:r>
    </w:p>
    <w:p w14:paraId="009E892D" w14:textId="0C73D3F7" w:rsidR="00023302" w:rsidRDefault="00023302" w:rsidP="00DA2390">
      <w:pPr>
        <w:pStyle w:val="SingleTxtG"/>
        <w:tabs>
          <w:tab w:val="left" w:pos="0"/>
        </w:tabs>
        <w:spacing w:line="360" w:lineRule="auto"/>
        <w:ind w:left="0" w:right="78"/>
        <w:rPr>
          <w:rFonts w:eastAsia="SimSun"/>
          <w:b/>
          <w:sz w:val="28"/>
          <w:szCs w:val="28"/>
        </w:rPr>
      </w:pPr>
      <w:r w:rsidRPr="003F2110">
        <w:rPr>
          <w:rFonts w:eastAsia="SimSun"/>
          <w:b/>
          <w:sz w:val="28"/>
          <w:szCs w:val="28"/>
        </w:rPr>
        <w:t xml:space="preserve">Information </w:t>
      </w:r>
      <w:r w:rsidRPr="00DA2390">
        <w:rPr>
          <w:rFonts w:eastAsia="SimSun"/>
          <w:b/>
          <w:sz w:val="28"/>
          <w:szCs w:val="28"/>
        </w:rPr>
        <w:t>on the public consolidation budget for sectors relevant to the Covenant rights, particularly with regard to employment, social security, health and education</w:t>
      </w:r>
      <w:r>
        <w:rPr>
          <w:rFonts w:eastAsia="SimSun"/>
          <w:b/>
          <w:sz w:val="28"/>
          <w:szCs w:val="28"/>
        </w:rPr>
        <w:t>.</w:t>
      </w:r>
    </w:p>
    <w:p w14:paraId="4A4E70FA" w14:textId="77777777" w:rsidR="00023302" w:rsidRPr="00000C93" w:rsidRDefault="00023302" w:rsidP="00DA2390">
      <w:pPr>
        <w:pStyle w:val="SingleTxtG"/>
        <w:numPr>
          <w:ilvl w:val="0"/>
          <w:numId w:val="57"/>
        </w:numPr>
        <w:tabs>
          <w:tab w:val="left" w:pos="90"/>
        </w:tabs>
        <w:spacing w:line="360" w:lineRule="auto"/>
        <w:ind w:left="1080" w:right="78" w:hanging="630"/>
        <w:rPr>
          <w:rFonts w:eastAsia="SimSun"/>
          <w:b/>
          <w:sz w:val="28"/>
          <w:szCs w:val="28"/>
        </w:rPr>
      </w:pPr>
      <w:r w:rsidRPr="00000C93">
        <w:rPr>
          <w:rFonts w:eastAsia="SimSun"/>
          <w:b/>
          <w:sz w:val="28"/>
          <w:szCs w:val="28"/>
        </w:rPr>
        <w:lastRenderedPageBreak/>
        <w:t>The HRF endorses the recommendation of the report of Peace Movement Aotearoa</w:t>
      </w:r>
    </w:p>
    <w:p w14:paraId="5EF6DC34" w14:textId="1623C1C1"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7</w:t>
      </w:r>
    </w:p>
    <w:p w14:paraId="35B37DB5" w14:textId="41EA63DD" w:rsidR="000475EE" w:rsidRDefault="000475EE" w:rsidP="00FC17F1">
      <w:pPr>
        <w:spacing w:line="360" w:lineRule="auto"/>
        <w:jc w:val="both"/>
        <w:rPr>
          <w:rFonts w:eastAsia="SimSun" w:cs="Times New Roman"/>
          <w:b/>
          <w:sz w:val="28"/>
          <w:szCs w:val="28"/>
        </w:rPr>
      </w:pPr>
      <w:r w:rsidRPr="00DA2390">
        <w:rPr>
          <w:rFonts w:eastAsia="SimSun" w:cs="Times New Roman"/>
          <w:b/>
          <w:sz w:val="28"/>
          <w:szCs w:val="28"/>
        </w:rPr>
        <w:t>Please provide information on the measures taken to ensure that private companies respect ESC rights throughout their operations, including when operating abroad.</w:t>
      </w:r>
    </w:p>
    <w:p w14:paraId="4547D474" w14:textId="77777777" w:rsidR="000475EE" w:rsidRDefault="000475EE" w:rsidP="00B85A64">
      <w:pPr>
        <w:pStyle w:val="ListParagraph"/>
        <w:numPr>
          <w:ilvl w:val="0"/>
          <w:numId w:val="10"/>
        </w:numPr>
        <w:tabs>
          <w:tab w:val="center" w:pos="4150"/>
        </w:tabs>
        <w:spacing w:line="360" w:lineRule="auto"/>
        <w:jc w:val="both"/>
        <w:rPr>
          <w:b/>
          <w:sz w:val="28"/>
          <w:szCs w:val="28"/>
        </w:rPr>
      </w:pPr>
      <w:r w:rsidRPr="00FC17F1">
        <w:rPr>
          <w:b/>
          <w:sz w:val="28"/>
          <w:szCs w:val="28"/>
        </w:rPr>
        <w:t xml:space="preserve">Accordingly, the HRF recommends that the Committee raise the issue of the Government’s position as regards such ETOs, including its data collection of the acceptance by locally-based MNEs of any voluntary standards and its processes for addressing any violations of ESC rights by such MNEs abroad. </w:t>
      </w:r>
    </w:p>
    <w:p w14:paraId="6FAE4B5E" w14:textId="77777777" w:rsidR="000475EE" w:rsidRPr="00FC17F1" w:rsidRDefault="000475EE" w:rsidP="00B85A64">
      <w:pPr>
        <w:pStyle w:val="ListParagraph"/>
        <w:numPr>
          <w:ilvl w:val="0"/>
          <w:numId w:val="10"/>
        </w:numPr>
        <w:tabs>
          <w:tab w:val="center" w:pos="4150"/>
        </w:tabs>
        <w:spacing w:line="360" w:lineRule="auto"/>
        <w:jc w:val="both"/>
        <w:rPr>
          <w:b/>
          <w:sz w:val="28"/>
          <w:szCs w:val="28"/>
        </w:rPr>
      </w:pPr>
      <w:r w:rsidRPr="009A65A7">
        <w:rPr>
          <w:b/>
          <w:sz w:val="28"/>
          <w:szCs w:val="28"/>
        </w:rPr>
        <w:t>The HRF also recommends that the Committee enquire as to the New Zealand Government’s position on proposals in General Assembly resolutions to make MNEs directly responsible under international law for such violations.</w:t>
      </w:r>
      <w:r w:rsidRPr="009A65A7">
        <w:rPr>
          <w:rStyle w:val="FootnoteReference"/>
          <w:b/>
          <w:sz w:val="28"/>
          <w:szCs w:val="28"/>
        </w:rPr>
        <w:footnoteReference w:id="131"/>
      </w:r>
    </w:p>
    <w:p w14:paraId="519DB1B9" w14:textId="77777777" w:rsidR="000475EE" w:rsidRPr="00DA2390" w:rsidRDefault="000475EE" w:rsidP="00FC17F1">
      <w:pPr>
        <w:spacing w:line="360" w:lineRule="auto"/>
        <w:jc w:val="both"/>
        <w:rPr>
          <w:rFonts w:eastAsia="SimSun" w:cs="Times New Roman"/>
          <w:b/>
          <w:sz w:val="28"/>
          <w:szCs w:val="28"/>
        </w:rPr>
      </w:pPr>
    </w:p>
    <w:p w14:paraId="713A73CF" w14:textId="77777777" w:rsidR="00551191" w:rsidRDefault="0055119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Article 2(2)</w:t>
      </w:r>
    </w:p>
    <w:p w14:paraId="5CEF948D" w14:textId="0F169AB9"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8</w:t>
      </w:r>
    </w:p>
    <w:p w14:paraId="4390114C" w14:textId="4975E1A6" w:rsidR="000475EE" w:rsidRDefault="000475EE" w:rsidP="00FC17F1">
      <w:pPr>
        <w:spacing w:line="360" w:lineRule="auto"/>
        <w:jc w:val="both"/>
        <w:rPr>
          <w:rFonts w:eastAsia="SimSun" w:cs="Times New Roman"/>
          <w:b/>
          <w:sz w:val="28"/>
          <w:szCs w:val="28"/>
        </w:rPr>
      </w:pPr>
      <w:r w:rsidRPr="000475EE">
        <w:rPr>
          <w:rFonts w:eastAsia="SimSun" w:cs="Times New Roman"/>
          <w:b/>
          <w:sz w:val="28"/>
          <w:szCs w:val="28"/>
        </w:rPr>
        <w:t>Provide</w:t>
      </w:r>
      <w:r w:rsidRPr="00DA2390">
        <w:rPr>
          <w:rFonts w:eastAsia="SimSun" w:cs="Times New Roman"/>
          <w:b/>
          <w:sz w:val="28"/>
          <w:szCs w:val="28"/>
        </w:rPr>
        <w:t xml:space="preserve"> information and statistical data on the enjoyment of economic, social and cultural rights by persons with disabilities.</w:t>
      </w:r>
    </w:p>
    <w:p w14:paraId="4A5E71F9" w14:textId="77777777" w:rsidR="00551191" w:rsidRDefault="00551191" w:rsidP="00FC17F1">
      <w:pPr>
        <w:spacing w:line="360" w:lineRule="auto"/>
        <w:jc w:val="both"/>
        <w:rPr>
          <w:rFonts w:eastAsia="SimSun" w:cs="Times New Roman"/>
          <w:b/>
          <w:sz w:val="28"/>
          <w:szCs w:val="28"/>
        </w:rPr>
      </w:pPr>
    </w:p>
    <w:p w14:paraId="69A8B0AA" w14:textId="77777777" w:rsidR="000475EE" w:rsidRPr="00DA2390" w:rsidRDefault="000475EE" w:rsidP="009D515F">
      <w:pPr>
        <w:pStyle w:val="ListParagraph"/>
        <w:numPr>
          <w:ilvl w:val="0"/>
          <w:numId w:val="10"/>
        </w:numPr>
        <w:spacing w:line="360" w:lineRule="auto"/>
        <w:ind w:left="1260" w:hanging="630"/>
        <w:jc w:val="both"/>
        <w:rPr>
          <w:rFonts w:cs="Times New Roman"/>
          <w:bCs/>
          <w:i/>
          <w:sz w:val="28"/>
          <w:szCs w:val="28"/>
        </w:rPr>
      </w:pPr>
      <w:r w:rsidRPr="00DA2390">
        <w:rPr>
          <w:rFonts w:cs="Times New Roman"/>
          <w:b/>
          <w:bCs/>
          <w:sz w:val="28"/>
          <w:szCs w:val="28"/>
        </w:rPr>
        <w:t>The HRF endorses the report of CPAG/ACYA at pp. 9,10,14 as regards the rights of children with disabilities</w:t>
      </w:r>
    </w:p>
    <w:p w14:paraId="152C904E" w14:textId="77777777" w:rsidR="000475EE" w:rsidRPr="00DA2390" w:rsidRDefault="000475EE" w:rsidP="00FC17F1">
      <w:pPr>
        <w:spacing w:line="360" w:lineRule="auto"/>
        <w:jc w:val="both"/>
        <w:rPr>
          <w:rFonts w:eastAsia="SimSun" w:cs="Times New Roman"/>
          <w:b/>
          <w:sz w:val="28"/>
          <w:szCs w:val="28"/>
        </w:rPr>
      </w:pPr>
    </w:p>
    <w:p w14:paraId="1F49ED64" w14:textId="530F108D"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9</w:t>
      </w:r>
    </w:p>
    <w:p w14:paraId="247B5518" w14:textId="08BD98C0" w:rsidR="000475EE" w:rsidRDefault="000475EE" w:rsidP="00FC17F1">
      <w:pPr>
        <w:spacing w:line="360" w:lineRule="auto"/>
        <w:jc w:val="both"/>
        <w:rPr>
          <w:rFonts w:eastAsia="SimSun" w:cs="Times New Roman"/>
          <w:b/>
          <w:sz w:val="28"/>
          <w:szCs w:val="28"/>
        </w:rPr>
      </w:pPr>
      <w:r w:rsidRPr="00DA2390">
        <w:rPr>
          <w:rFonts w:eastAsia="SimSun" w:cs="Times New Roman"/>
          <w:b/>
          <w:sz w:val="28"/>
          <w:szCs w:val="28"/>
        </w:rPr>
        <w:lastRenderedPageBreak/>
        <w:t>Please indicate to what extent asylum seekers, refugees and their reunified family members are able to enjoy their rights under the Covenant</w:t>
      </w:r>
    </w:p>
    <w:p w14:paraId="6C99B784" w14:textId="77777777" w:rsidR="00551191" w:rsidRDefault="00551191" w:rsidP="00FC17F1">
      <w:pPr>
        <w:spacing w:line="360" w:lineRule="auto"/>
        <w:jc w:val="both"/>
        <w:rPr>
          <w:rFonts w:eastAsia="SimSun" w:cs="Times New Roman"/>
          <w:b/>
          <w:sz w:val="28"/>
          <w:szCs w:val="28"/>
        </w:rPr>
      </w:pPr>
    </w:p>
    <w:p w14:paraId="61ECCFE6" w14:textId="77777777" w:rsidR="008B7AD4" w:rsidRDefault="008B7AD4" w:rsidP="008B7AD4">
      <w:pPr>
        <w:pStyle w:val="ListParagraph"/>
        <w:numPr>
          <w:ilvl w:val="0"/>
          <w:numId w:val="87"/>
        </w:numPr>
        <w:spacing w:line="360" w:lineRule="auto"/>
        <w:jc w:val="both"/>
        <w:rPr>
          <w:rFonts w:eastAsia="SimSun" w:cs="Times New Roman"/>
          <w:b/>
          <w:sz w:val="28"/>
          <w:szCs w:val="28"/>
        </w:rPr>
      </w:pPr>
      <w:r>
        <w:rPr>
          <w:rFonts w:eastAsia="SimSun" w:cs="Times New Roman"/>
          <w:b/>
          <w:sz w:val="28"/>
          <w:szCs w:val="28"/>
        </w:rPr>
        <w:t>The HRF recommends that the Committee request a report as to the governments’ intentions as regards to increasing the refugee quota.</w:t>
      </w:r>
    </w:p>
    <w:p w14:paraId="54F0A73C" w14:textId="77777777" w:rsidR="008B7AD4" w:rsidRDefault="008B7AD4" w:rsidP="008B7AD4">
      <w:pPr>
        <w:pStyle w:val="ListParagraph"/>
        <w:spacing w:line="360" w:lineRule="auto"/>
        <w:ind w:left="990"/>
        <w:jc w:val="both"/>
        <w:rPr>
          <w:rFonts w:eastAsia="SimSun" w:cs="Times New Roman"/>
          <w:b/>
          <w:sz w:val="28"/>
          <w:szCs w:val="28"/>
        </w:rPr>
      </w:pPr>
    </w:p>
    <w:p w14:paraId="2F4C8C3A" w14:textId="77777777" w:rsidR="008B7AD4" w:rsidRPr="00B85A64" w:rsidRDefault="008B7AD4" w:rsidP="008B7AD4">
      <w:pPr>
        <w:pStyle w:val="ListParagraph"/>
        <w:numPr>
          <w:ilvl w:val="0"/>
          <w:numId w:val="87"/>
        </w:numPr>
        <w:spacing w:line="360" w:lineRule="auto"/>
        <w:jc w:val="both"/>
        <w:rPr>
          <w:rFonts w:eastAsia="SimSun" w:cs="Times New Roman"/>
          <w:b/>
          <w:sz w:val="28"/>
          <w:szCs w:val="28"/>
        </w:rPr>
      </w:pPr>
      <w:r w:rsidRPr="00B85A64">
        <w:rPr>
          <w:rFonts w:eastAsia="SimSun" w:cs="Times New Roman"/>
          <w:b/>
          <w:sz w:val="28"/>
          <w:szCs w:val="28"/>
        </w:rPr>
        <w:t>The HRF recommends that the Committee request an interim report on measures undertaken to address the difficulties of refugees in accessing ESC rights.</w:t>
      </w:r>
    </w:p>
    <w:p w14:paraId="26AC6856" w14:textId="77777777" w:rsidR="008B7AD4" w:rsidRDefault="008B7AD4" w:rsidP="008B7AD4">
      <w:pPr>
        <w:pStyle w:val="ListParagraph"/>
        <w:spacing w:line="360" w:lineRule="auto"/>
        <w:ind w:left="810"/>
        <w:jc w:val="both"/>
        <w:rPr>
          <w:rFonts w:eastAsia="SimSun" w:cs="Times New Roman"/>
          <w:b/>
          <w:sz w:val="28"/>
          <w:szCs w:val="28"/>
        </w:rPr>
      </w:pPr>
    </w:p>
    <w:p w14:paraId="3F2B67DC" w14:textId="77777777" w:rsidR="008B7AD4" w:rsidRDefault="008B7AD4" w:rsidP="008B7AD4">
      <w:pPr>
        <w:pStyle w:val="ListParagraph"/>
        <w:numPr>
          <w:ilvl w:val="0"/>
          <w:numId w:val="87"/>
        </w:numPr>
        <w:spacing w:line="360" w:lineRule="auto"/>
        <w:jc w:val="both"/>
        <w:rPr>
          <w:rFonts w:eastAsia="SimSun" w:cs="Times New Roman"/>
          <w:b/>
          <w:sz w:val="28"/>
          <w:szCs w:val="28"/>
        </w:rPr>
      </w:pPr>
      <w:r>
        <w:rPr>
          <w:rFonts w:eastAsia="SimSun" w:cs="Times New Roman"/>
          <w:b/>
          <w:sz w:val="28"/>
          <w:szCs w:val="28"/>
        </w:rPr>
        <w:t>The HRF recommends that the Committee request a report as to measures taken to address barriers preventing asylum seekers from accessing ESC rights</w:t>
      </w:r>
    </w:p>
    <w:p w14:paraId="7F3C3ABC" w14:textId="77777777" w:rsidR="008B7AD4" w:rsidRPr="008B7AD4" w:rsidRDefault="008B7AD4" w:rsidP="008B7AD4">
      <w:pPr>
        <w:pStyle w:val="ListParagraph"/>
        <w:rPr>
          <w:rFonts w:eastAsia="SimSun" w:cs="Times New Roman"/>
          <w:b/>
          <w:sz w:val="28"/>
          <w:szCs w:val="28"/>
        </w:rPr>
      </w:pPr>
    </w:p>
    <w:p w14:paraId="44A63A01" w14:textId="77777777" w:rsidR="008B7AD4" w:rsidRPr="008B7AD4" w:rsidRDefault="008B7AD4" w:rsidP="008B7AD4">
      <w:pPr>
        <w:pStyle w:val="ListParagraph"/>
        <w:numPr>
          <w:ilvl w:val="0"/>
          <w:numId w:val="87"/>
        </w:numPr>
        <w:spacing w:line="360" w:lineRule="auto"/>
        <w:jc w:val="both"/>
        <w:rPr>
          <w:rFonts w:eastAsia="SimSun" w:cs="Times New Roman"/>
          <w:b/>
          <w:sz w:val="28"/>
          <w:szCs w:val="28"/>
        </w:rPr>
      </w:pPr>
      <w:r w:rsidRPr="008B7AD4">
        <w:rPr>
          <w:rFonts w:eastAsia="SimSun" w:cs="Times New Roman"/>
          <w:b/>
          <w:sz w:val="28"/>
          <w:szCs w:val="28"/>
        </w:rPr>
        <w:t>The HRF recommends that the Committee ​encourage the New Zealand Government to support or adopt measures to ensure that all refugee claimants have the right to work in New Zealand while their claims for refugee and protected person status are being determined.</w:t>
      </w:r>
    </w:p>
    <w:p w14:paraId="380C0E02" w14:textId="77777777" w:rsidR="008B7AD4" w:rsidRPr="008B7AD4" w:rsidRDefault="008B7AD4" w:rsidP="008B7AD4">
      <w:pPr>
        <w:spacing w:line="360" w:lineRule="auto"/>
        <w:ind w:left="630"/>
        <w:jc w:val="both"/>
        <w:rPr>
          <w:rFonts w:eastAsia="SimSun" w:cs="Times New Roman"/>
          <w:b/>
          <w:sz w:val="28"/>
          <w:szCs w:val="28"/>
        </w:rPr>
      </w:pPr>
    </w:p>
    <w:p w14:paraId="41822DCE" w14:textId="77777777" w:rsidR="008B7AD4" w:rsidRDefault="008B7AD4" w:rsidP="008B7AD4">
      <w:pPr>
        <w:pStyle w:val="ListParagraph"/>
        <w:numPr>
          <w:ilvl w:val="0"/>
          <w:numId w:val="87"/>
        </w:numPr>
        <w:spacing w:line="360" w:lineRule="auto"/>
        <w:jc w:val="both"/>
        <w:rPr>
          <w:rFonts w:eastAsia="SimSun" w:cs="Times New Roman"/>
          <w:b/>
          <w:sz w:val="28"/>
          <w:szCs w:val="28"/>
        </w:rPr>
      </w:pPr>
      <w:r w:rsidRPr="008B7AD4">
        <w:rPr>
          <w:rFonts w:eastAsia="SimSun" w:cs="Times New Roman"/>
          <w:b/>
          <w:sz w:val="28"/>
          <w:szCs w:val="28"/>
        </w:rPr>
        <w:t>The HRF recommends that the Committee ​encourage the New Zealand Government to support or adopt measures to ensure that all refugee claimants have meaningful access to healthcare services, including mental health services, and support for torture and trauma by qualified professionals.</w:t>
      </w:r>
    </w:p>
    <w:p w14:paraId="3A2411D3" w14:textId="77777777" w:rsidR="008B7AD4" w:rsidRPr="008B7AD4" w:rsidRDefault="008B7AD4" w:rsidP="008B7AD4">
      <w:pPr>
        <w:spacing w:line="360" w:lineRule="auto"/>
        <w:jc w:val="both"/>
        <w:rPr>
          <w:rFonts w:eastAsia="SimSun" w:cs="Times New Roman"/>
          <w:b/>
          <w:sz w:val="28"/>
          <w:szCs w:val="28"/>
        </w:rPr>
      </w:pPr>
    </w:p>
    <w:p w14:paraId="14CCAB44" w14:textId="61F95D71" w:rsidR="008B7AD4" w:rsidRPr="00DA2390" w:rsidRDefault="008B7AD4" w:rsidP="008B7AD4">
      <w:pPr>
        <w:pStyle w:val="ListParagraph"/>
        <w:numPr>
          <w:ilvl w:val="0"/>
          <w:numId w:val="87"/>
        </w:numPr>
        <w:spacing w:line="360" w:lineRule="auto"/>
        <w:jc w:val="both"/>
        <w:rPr>
          <w:rFonts w:eastAsia="SimSun" w:cs="Times New Roman"/>
          <w:b/>
          <w:sz w:val="28"/>
          <w:szCs w:val="28"/>
        </w:rPr>
      </w:pPr>
      <w:r>
        <w:rPr>
          <w:rFonts w:eastAsia="SimSun" w:cs="Times New Roman"/>
          <w:b/>
          <w:sz w:val="28"/>
          <w:szCs w:val="28"/>
        </w:rPr>
        <w:t xml:space="preserve">As per the HRF report to the Committee in 2012 </w:t>
      </w:r>
      <w:r>
        <w:rPr>
          <w:rFonts w:eastAsia="SimSun" w:cs="Times New Roman"/>
          <w:b/>
          <w:sz w:val="28"/>
          <w:szCs w:val="28"/>
        </w:rPr>
        <w:t>the HRF</w:t>
      </w:r>
      <w:r>
        <w:rPr>
          <w:rFonts w:eastAsia="SimSun" w:cs="Times New Roman"/>
          <w:b/>
          <w:sz w:val="28"/>
          <w:szCs w:val="28"/>
        </w:rPr>
        <w:t xml:space="preserve"> reiterate </w:t>
      </w:r>
      <w:r>
        <w:rPr>
          <w:rFonts w:eastAsia="SimSun" w:cs="Times New Roman"/>
          <w:b/>
          <w:sz w:val="28"/>
          <w:szCs w:val="28"/>
        </w:rPr>
        <w:t>the</w:t>
      </w:r>
      <w:r>
        <w:rPr>
          <w:rFonts w:eastAsia="SimSun" w:cs="Times New Roman"/>
          <w:b/>
          <w:sz w:val="28"/>
          <w:szCs w:val="28"/>
        </w:rPr>
        <w:t xml:space="preserve"> recommendation that </w:t>
      </w:r>
      <w:r w:rsidRPr="008B7AD4">
        <w:rPr>
          <w:rFonts w:eastAsia="SimSun" w:cs="Times New Roman"/>
          <w:b/>
          <w:sz w:val="28"/>
          <w:szCs w:val="28"/>
        </w:rPr>
        <w:t xml:space="preserve">the New Zealand Government amend the </w:t>
      </w:r>
      <w:r w:rsidRPr="008B7AD4">
        <w:rPr>
          <w:rFonts w:eastAsia="SimSun" w:cs="Times New Roman"/>
          <w:b/>
          <w:sz w:val="28"/>
          <w:szCs w:val="28"/>
        </w:rPr>
        <w:lastRenderedPageBreak/>
        <w:t>current laws to allow refugee and​ ​protection applicants who have attained permanent residency to be eligible​ ​immediately for Housing New Zealand accommodation upon receipt of refugee​ ​status​.​</w:t>
      </w:r>
    </w:p>
    <w:p w14:paraId="3ED6B673" w14:textId="77777777" w:rsidR="000475EE" w:rsidRPr="00DA2390" w:rsidRDefault="000475EE" w:rsidP="00DA2390">
      <w:pPr>
        <w:pStyle w:val="ListParagraph"/>
        <w:spacing w:line="360" w:lineRule="auto"/>
        <w:ind w:left="810"/>
        <w:jc w:val="both"/>
        <w:rPr>
          <w:rFonts w:eastAsia="SimSun" w:cs="Times New Roman"/>
          <w:sz w:val="28"/>
          <w:szCs w:val="28"/>
        </w:rPr>
      </w:pPr>
    </w:p>
    <w:p w14:paraId="4290AAE7" w14:textId="77777777" w:rsidR="00A35621" w:rsidRDefault="00A3562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Article 3</w:t>
      </w:r>
    </w:p>
    <w:p w14:paraId="5FD92864" w14:textId="1859A80D"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10</w:t>
      </w:r>
    </w:p>
    <w:p w14:paraId="2316ABF3" w14:textId="5C4007FF" w:rsidR="000475EE" w:rsidRDefault="000475EE" w:rsidP="00FC17F1">
      <w:pPr>
        <w:spacing w:line="360" w:lineRule="auto"/>
        <w:jc w:val="both"/>
        <w:rPr>
          <w:rFonts w:eastAsia="Times New Roman" w:cs="Times New Roman"/>
          <w:bCs/>
          <w:i/>
          <w:color w:val="000000" w:themeColor="text1"/>
          <w:sz w:val="28"/>
          <w:szCs w:val="28"/>
        </w:rPr>
      </w:pPr>
      <w:r w:rsidRPr="000475EE">
        <w:rPr>
          <w:rFonts w:eastAsia="SimSun" w:cs="Times New Roman"/>
          <w:b/>
          <w:sz w:val="28"/>
          <w:szCs w:val="28"/>
        </w:rPr>
        <w:t>Indicate</w:t>
      </w:r>
      <w:r w:rsidRPr="00DA2390">
        <w:rPr>
          <w:rFonts w:eastAsia="SimSun" w:cs="Times New Roman"/>
          <w:b/>
          <w:sz w:val="28"/>
          <w:szCs w:val="28"/>
        </w:rPr>
        <w:t xml:space="preserve"> whether the implementation of the Gender Equality Declaration has helped to accelerate women’s access to decision-making positions in the public and private sectors. Please provide an assessment of the remaining obstacles to the achievement of gender equality</w:t>
      </w:r>
      <w:r w:rsidRPr="00FC17F1">
        <w:rPr>
          <w:rFonts w:eastAsia="Times New Roman" w:cs="Times New Roman"/>
          <w:bCs/>
          <w:i/>
          <w:color w:val="000000" w:themeColor="text1"/>
          <w:sz w:val="28"/>
          <w:szCs w:val="28"/>
        </w:rPr>
        <w:t>.</w:t>
      </w:r>
    </w:p>
    <w:p w14:paraId="1F7F9EC6" w14:textId="77777777" w:rsidR="00551191" w:rsidRDefault="00551191" w:rsidP="00FC17F1">
      <w:pPr>
        <w:spacing w:line="360" w:lineRule="auto"/>
        <w:jc w:val="both"/>
        <w:rPr>
          <w:rFonts w:eastAsia="Times New Roman" w:cs="Times New Roman"/>
          <w:bCs/>
          <w:color w:val="000000" w:themeColor="text1"/>
          <w:sz w:val="28"/>
          <w:szCs w:val="28"/>
        </w:rPr>
      </w:pPr>
    </w:p>
    <w:p w14:paraId="1216690F" w14:textId="77777777" w:rsidR="000475EE" w:rsidRPr="00FC17F1" w:rsidRDefault="000475EE" w:rsidP="00DA2390">
      <w:pPr>
        <w:pStyle w:val="ListParagraph"/>
        <w:numPr>
          <w:ilvl w:val="0"/>
          <w:numId w:val="63"/>
        </w:numPr>
        <w:spacing w:line="360" w:lineRule="auto"/>
        <w:ind w:left="1080" w:hanging="63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The HRF recommends that the Committee encourage the New Zealand government to support or adopt the following measures:</w:t>
      </w:r>
    </w:p>
    <w:p w14:paraId="00C91408" w14:textId="77777777" w:rsidR="000475EE" w:rsidRPr="00FC17F1" w:rsidRDefault="000475EE" w:rsidP="000475EE">
      <w:pPr>
        <w:pStyle w:val="ListParagraph"/>
        <w:spacing w:line="360" w:lineRule="auto"/>
        <w:ind w:left="360"/>
        <w:jc w:val="both"/>
        <w:rPr>
          <w:rFonts w:eastAsia="Times New Roman" w:cs="Times New Roman"/>
          <w:b/>
          <w:bCs/>
          <w:color w:val="000000" w:themeColor="text1"/>
          <w:sz w:val="28"/>
          <w:szCs w:val="28"/>
        </w:rPr>
      </w:pPr>
    </w:p>
    <w:p w14:paraId="7EE7CCA4" w14:textId="246A7FB5" w:rsidR="000475EE" w:rsidRPr="00DA2390" w:rsidRDefault="000475EE" w:rsidP="00DA2390">
      <w:pPr>
        <w:pStyle w:val="ListParagraph"/>
        <w:numPr>
          <w:ilvl w:val="0"/>
          <w:numId w:val="62"/>
        </w:numPr>
        <w:spacing w:line="360" w:lineRule="auto"/>
        <w:ind w:left="252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 xml:space="preserve">The government and public sector must continue to play a leading role in promoting and reporting on gender diversity. Reporting comprehensively on and achieving gender diversity should be included in the key performance indicators of all public sector CEOs. </w:t>
      </w:r>
      <w:r w:rsidRPr="00FC17F1">
        <w:rPr>
          <w:rStyle w:val="FootnoteReference"/>
          <w:rFonts w:eastAsia="Times New Roman" w:cs="Times New Roman"/>
          <w:b/>
          <w:bCs/>
          <w:color w:val="000000" w:themeColor="text1"/>
          <w:sz w:val="28"/>
          <w:szCs w:val="28"/>
        </w:rPr>
        <w:footnoteReference w:id="132"/>
      </w:r>
    </w:p>
    <w:p w14:paraId="024D3F4A" w14:textId="40E0E000" w:rsidR="000475EE" w:rsidRPr="00DA2390" w:rsidRDefault="000475EE" w:rsidP="00DA2390">
      <w:pPr>
        <w:pStyle w:val="ListParagraph"/>
        <w:numPr>
          <w:ilvl w:val="0"/>
          <w:numId w:val="62"/>
        </w:numPr>
        <w:tabs>
          <w:tab w:val="left" w:pos="900"/>
          <w:tab w:val="left" w:pos="1440"/>
          <w:tab w:val="left" w:pos="1710"/>
        </w:tabs>
        <w:spacing w:line="360" w:lineRule="auto"/>
        <w:ind w:left="252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 xml:space="preserve">The government should ensure that at least 50% of new appointments to public sector boards are women.  </w:t>
      </w:r>
    </w:p>
    <w:p w14:paraId="53B33F46" w14:textId="7DA55398" w:rsidR="000475EE" w:rsidRPr="00DA2390" w:rsidRDefault="000475EE" w:rsidP="00DA2390">
      <w:pPr>
        <w:pStyle w:val="ListParagraph"/>
        <w:numPr>
          <w:ilvl w:val="0"/>
          <w:numId w:val="62"/>
        </w:numPr>
        <w:spacing w:line="360" w:lineRule="auto"/>
        <w:ind w:left="252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 xml:space="preserve">Serious consideration be given to legislative measures requiring businesses of a certain size to produce and implement equal employment opportunity programmes with minimum mandatory requirements </w:t>
      </w:r>
      <w:r w:rsidRPr="00FC17F1">
        <w:rPr>
          <w:rFonts w:eastAsia="Times New Roman" w:cs="Times New Roman"/>
          <w:b/>
          <w:bCs/>
          <w:color w:val="000000" w:themeColor="text1"/>
          <w:sz w:val="28"/>
          <w:szCs w:val="28"/>
        </w:rPr>
        <w:lastRenderedPageBreak/>
        <w:t xml:space="preserve">including measurable targets. There is a wealth of literature on producing such programmes and the most effective measures. Businesses that do not comply could face sanctions, including fines. </w:t>
      </w:r>
    </w:p>
    <w:p w14:paraId="796A6756" w14:textId="56860527" w:rsidR="000475EE" w:rsidRPr="00DA2390" w:rsidRDefault="000475EE" w:rsidP="00DA2390">
      <w:pPr>
        <w:pStyle w:val="ListParagraph"/>
        <w:numPr>
          <w:ilvl w:val="0"/>
          <w:numId w:val="62"/>
        </w:numPr>
        <w:spacing w:line="360" w:lineRule="auto"/>
        <w:ind w:left="2520"/>
        <w:jc w:val="both"/>
        <w:rPr>
          <w:rFonts w:eastAsia="Times New Roman" w:cs="Times New Roman"/>
          <w:b/>
          <w:bCs/>
          <w:color w:val="000000" w:themeColor="text1"/>
          <w:sz w:val="28"/>
          <w:szCs w:val="28"/>
        </w:rPr>
      </w:pPr>
      <w:r w:rsidRPr="00FC17F1">
        <w:rPr>
          <w:rFonts w:eastAsia="Times New Roman" w:cs="Times New Roman"/>
          <w:b/>
          <w:bCs/>
          <w:color w:val="000000" w:themeColor="text1"/>
          <w:sz w:val="28"/>
          <w:szCs w:val="28"/>
        </w:rPr>
        <w:t>The local government sector, including local authorities, should also be required by legislation to implement and report on appropriate equal employment opportunity programmes with measurable targets. Section 40 of the Local Government Act 2002 requires local authorities to prepare a local governance statement that includes information on “equal employment opportunities policy.” This is too general and contains no sanctions for inadequate programmes or policies. It is time for New Zealand to be serious on promoting and achieving equity for women at all levels of the workforce.</w:t>
      </w:r>
    </w:p>
    <w:p w14:paraId="020B49A7" w14:textId="77777777" w:rsidR="000475EE" w:rsidRPr="00FC17F1" w:rsidRDefault="000475EE" w:rsidP="00DA2390">
      <w:pPr>
        <w:pStyle w:val="ListParagraph"/>
        <w:numPr>
          <w:ilvl w:val="0"/>
          <w:numId w:val="62"/>
        </w:numPr>
        <w:spacing w:line="360" w:lineRule="auto"/>
        <w:ind w:left="2520"/>
        <w:jc w:val="both"/>
        <w:rPr>
          <w:rFonts w:cs="Times New Roman"/>
          <w:b/>
          <w:sz w:val="28"/>
          <w:szCs w:val="28"/>
        </w:rPr>
      </w:pPr>
      <w:r w:rsidRPr="00FC17F1">
        <w:rPr>
          <w:rFonts w:cs="Times New Roman"/>
          <w:b/>
          <w:sz w:val="28"/>
          <w:szCs w:val="28"/>
        </w:rPr>
        <w:t>The achievement of gender equality needs to take into account the impact of ‘multiple discrimination’ as an obstacle for the achievement of gender equality for all women in Aotearoa New Zealand.</w:t>
      </w:r>
    </w:p>
    <w:p w14:paraId="363B5E24" w14:textId="77777777" w:rsidR="000475EE" w:rsidRPr="000475EE" w:rsidRDefault="000475EE">
      <w:pPr>
        <w:spacing w:line="360" w:lineRule="auto"/>
        <w:jc w:val="both"/>
        <w:rPr>
          <w:rFonts w:cs="Times New Roman"/>
          <w:b/>
          <w:smallCaps/>
          <w:color w:val="000000" w:themeColor="text1"/>
          <w:sz w:val="28"/>
          <w:szCs w:val="28"/>
        </w:rPr>
      </w:pPr>
    </w:p>
    <w:p w14:paraId="1EA9A0DD" w14:textId="77777777" w:rsidR="000475EE" w:rsidRPr="00DA2390" w:rsidRDefault="000475EE" w:rsidP="00FC17F1">
      <w:pPr>
        <w:spacing w:line="360" w:lineRule="auto"/>
        <w:jc w:val="both"/>
        <w:rPr>
          <w:rFonts w:cs="Times New Roman"/>
          <w:b/>
          <w:sz w:val="28"/>
          <w:szCs w:val="28"/>
        </w:rPr>
      </w:pPr>
    </w:p>
    <w:p w14:paraId="7E029F61" w14:textId="77777777" w:rsidR="00A35621" w:rsidRDefault="00A3562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Article 6</w:t>
      </w:r>
    </w:p>
    <w:p w14:paraId="7A988BF0" w14:textId="2BABEF28"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12</w:t>
      </w:r>
    </w:p>
    <w:p w14:paraId="09702253" w14:textId="77777777" w:rsidR="000475EE" w:rsidRPr="00DA2390" w:rsidRDefault="000475EE" w:rsidP="000475EE">
      <w:pPr>
        <w:spacing w:line="360" w:lineRule="auto"/>
        <w:jc w:val="both"/>
        <w:rPr>
          <w:rFonts w:cs="Times New Roman"/>
          <w:b/>
          <w:sz w:val="28"/>
          <w:szCs w:val="28"/>
        </w:rPr>
      </w:pPr>
      <w:r w:rsidRPr="00DA2390">
        <w:rPr>
          <w:rFonts w:cs="Times New Roman"/>
          <w:b/>
          <w:sz w:val="28"/>
          <w:szCs w:val="28"/>
        </w:rPr>
        <w:t>Please provide information on the impact of measures taken to promote adequate employment for women, Māori, persons with disabilities and young persons.</w:t>
      </w:r>
    </w:p>
    <w:p w14:paraId="2DE17B88" w14:textId="77777777" w:rsidR="000475EE" w:rsidRPr="00FC17F1" w:rsidRDefault="000475EE" w:rsidP="000475EE">
      <w:pPr>
        <w:spacing w:line="360" w:lineRule="auto"/>
        <w:jc w:val="both"/>
        <w:rPr>
          <w:rFonts w:cs="Times New Roman"/>
          <w:i/>
          <w:color w:val="000000" w:themeColor="text1"/>
          <w:sz w:val="28"/>
          <w:szCs w:val="28"/>
        </w:rPr>
      </w:pPr>
    </w:p>
    <w:p w14:paraId="3E4CDEC8" w14:textId="005E0D85" w:rsidR="000475EE" w:rsidRPr="00DA2390" w:rsidRDefault="000475EE" w:rsidP="00DA2390">
      <w:pPr>
        <w:pStyle w:val="ListParagraph"/>
        <w:numPr>
          <w:ilvl w:val="0"/>
          <w:numId w:val="63"/>
        </w:numPr>
        <w:tabs>
          <w:tab w:val="left" w:pos="1170"/>
        </w:tabs>
        <w:spacing w:line="360" w:lineRule="auto"/>
        <w:ind w:left="1080" w:hanging="540"/>
        <w:jc w:val="both"/>
        <w:rPr>
          <w:rFonts w:cs="Times New Roman"/>
          <w:b/>
          <w:sz w:val="28"/>
          <w:szCs w:val="28"/>
        </w:rPr>
      </w:pPr>
      <w:r w:rsidRPr="00DA2390">
        <w:rPr>
          <w:rFonts w:cs="Times New Roman"/>
          <w:b/>
          <w:sz w:val="28"/>
          <w:szCs w:val="28"/>
        </w:rPr>
        <w:lastRenderedPageBreak/>
        <w:t xml:space="preserve">The HRF endorses the recommendations of the CTU report at </w:t>
      </w:r>
      <w:r w:rsidR="00A35621">
        <w:rPr>
          <w:rFonts w:cs="Times New Roman"/>
          <w:b/>
          <w:sz w:val="28"/>
          <w:szCs w:val="28"/>
        </w:rPr>
        <w:t>section 5</w:t>
      </w:r>
    </w:p>
    <w:p w14:paraId="0FF6C855" w14:textId="77777777" w:rsidR="000475EE" w:rsidRPr="00DA2390" w:rsidRDefault="000475EE" w:rsidP="00FC17F1">
      <w:pPr>
        <w:spacing w:line="360" w:lineRule="auto"/>
        <w:jc w:val="both"/>
        <w:rPr>
          <w:rFonts w:cs="Times New Roman"/>
          <w:smallCaps/>
          <w:color w:val="000000" w:themeColor="text1"/>
          <w:sz w:val="28"/>
          <w:szCs w:val="28"/>
        </w:rPr>
      </w:pPr>
    </w:p>
    <w:p w14:paraId="481D3AE4" w14:textId="77777777" w:rsidR="00A35621" w:rsidRDefault="00A3562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Article 7</w:t>
      </w:r>
    </w:p>
    <w:p w14:paraId="68B75AE1" w14:textId="218D630A"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13</w:t>
      </w:r>
    </w:p>
    <w:p w14:paraId="04173807" w14:textId="2F66F0A9" w:rsidR="00CE5543" w:rsidRDefault="00CE5543" w:rsidP="00CE5543">
      <w:pPr>
        <w:spacing w:line="360" w:lineRule="auto"/>
        <w:jc w:val="both"/>
        <w:rPr>
          <w:rFonts w:cs="Times New Roman"/>
          <w:b/>
          <w:sz w:val="28"/>
          <w:szCs w:val="28"/>
        </w:rPr>
      </w:pPr>
      <w:r w:rsidRPr="00DA2390">
        <w:rPr>
          <w:rFonts w:cs="Times New Roman"/>
          <w:b/>
          <w:sz w:val="28"/>
          <w:szCs w:val="28"/>
        </w:rPr>
        <w:t xml:space="preserve">Please report on steps taken to address the prevalence of insecure-work arrangements and on how the right to just and favourable conditions of work is </w:t>
      </w:r>
      <w:r>
        <w:rPr>
          <w:rFonts w:cs="Times New Roman"/>
          <w:b/>
          <w:sz w:val="28"/>
          <w:szCs w:val="28"/>
        </w:rPr>
        <w:t>realized.</w:t>
      </w:r>
      <w:r w:rsidRPr="00DA2390">
        <w:rPr>
          <w:rFonts w:cs="Times New Roman"/>
          <w:b/>
          <w:sz w:val="28"/>
          <w:szCs w:val="28"/>
        </w:rPr>
        <w:t xml:space="preserve"> </w:t>
      </w:r>
    </w:p>
    <w:p w14:paraId="1B2B58BE" w14:textId="77777777" w:rsidR="00A35621" w:rsidRPr="00FC17F1" w:rsidRDefault="00A35621" w:rsidP="00CE5543">
      <w:pPr>
        <w:spacing w:line="360" w:lineRule="auto"/>
        <w:jc w:val="both"/>
        <w:rPr>
          <w:rFonts w:cs="Times New Roman"/>
          <w:i/>
          <w:sz w:val="28"/>
          <w:szCs w:val="28"/>
        </w:rPr>
      </w:pPr>
    </w:p>
    <w:p w14:paraId="09CD2848" w14:textId="33395BEB" w:rsidR="00CE5543" w:rsidRPr="00FC17F1" w:rsidRDefault="00CE5543" w:rsidP="00DA2390">
      <w:pPr>
        <w:pStyle w:val="ListParagraph"/>
        <w:numPr>
          <w:ilvl w:val="0"/>
          <w:numId w:val="63"/>
        </w:numPr>
        <w:tabs>
          <w:tab w:val="left" w:pos="1170"/>
        </w:tabs>
        <w:spacing w:line="360" w:lineRule="auto"/>
        <w:ind w:left="1080" w:hanging="540"/>
        <w:jc w:val="both"/>
        <w:rPr>
          <w:rFonts w:cs="Times New Roman"/>
          <w:b/>
          <w:sz w:val="28"/>
          <w:szCs w:val="28"/>
        </w:rPr>
      </w:pPr>
      <w:r w:rsidRPr="00FC17F1">
        <w:rPr>
          <w:rFonts w:cs="Times New Roman"/>
          <w:b/>
          <w:sz w:val="28"/>
          <w:szCs w:val="28"/>
        </w:rPr>
        <w:t xml:space="preserve">The HRF endorses the recommendations of the CTU report at </w:t>
      </w:r>
      <w:r w:rsidR="00A35621">
        <w:rPr>
          <w:rFonts w:cs="Times New Roman"/>
          <w:b/>
          <w:sz w:val="28"/>
          <w:szCs w:val="28"/>
        </w:rPr>
        <w:t>section 6</w:t>
      </w:r>
    </w:p>
    <w:p w14:paraId="2FCF7CC6" w14:textId="77777777" w:rsidR="00CE5543" w:rsidRPr="00FC17F1" w:rsidRDefault="00CE5543" w:rsidP="00FC17F1">
      <w:pPr>
        <w:spacing w:line="360" w:lineRule="auto"/>
        <w:jc w:val="both"/>
        <w:rPr>
          <w:rFonts w:cs="Times New Roman"/>
          <w:b/>
          <w:smallCaps/>
          <w:color w:val="000000" w:themeColor="text1"/>
          <w:sz w:val="28"/>
          <w:szCs w:val="28"/>
        </w:rPr>
      </w:pPr>
    </w:p>
    <w:p w14:paraId="3A6757DE" w14:textId="5B3E3040"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14</w:t>
      </w:r>
    </w:p>
    <w:p w14:paraId="326189BF" w14:textId="0B91001A" w:rsidR="00CE5543" w:rsidRDefault="00CE5543" w:rsidP="00CE5543">
      <w:pPr>
        <w:spacing w:line="360" w:lineRule="auto"/>
        <w:jc w:val="both"/>
        <w:rPr>
          <w:rFonts w:cs="Times New Roman"/>
          <w:b/>
          <w:sz w:val="28"/>
          <w:szCs w:val="28"/>
        </w:rPr>
      </w:pPr>
      <w:r w:rsidRPr="00DA2390">
        <w:rPr>
          <w:rFonts w:cs="Times New Roman"/>
          <w:b/>
          <w:sz w:val="28"/>
          <w:szCs w:val="28"/>
        </w:rPr>
        <w:t>Please explain to what extent the various minimum wage rates enable a decent living for workers and their families. Please provide information, including statistical data, on households whose members are in paid employment but whose incomes are below the poverty line.</w:t>
      </w:r>
    </w:p>
    <w:p w14:paraId="54BD946D" w14:textId="77777777" w:rsidR="00A35621" w:rsidRPr="00DA2390" w:rsidRDefault="00A35621" w:rsidP="00CE5543">
      <w:pPr>
        <w:spacing w:line="360" w:lineRule="auto"/>
        <w:jc w:val="both"/>
        <w:rPr>
          <w:rFonts w:cs="Times New Roman"/>
          <w:b/>
          <w:sz w:val="28"/>
          <w:szCs w:val="28"/>
        </w:rPr>
      </w:pPr>
    </w:p>
    <w:p w14:paraId="62EE2127" w14:textId="322C33C7" w:rsidR="00CE5543" w:rsidRPr="00FC17F1" w:rsidRDefault="00CE5543" w:rsidP="00DA2390">
      <w:pPr>
        <w:pStyle w:val="ListParagraph"/>
        <w:numPr>
          <w:ilvl w:val="0"/>
          <w:numId w:val="63"/>
        </w:numPr>
        <w:tabs>
          <w:tab w:val="left" w:pos="1170"/>
        </w:tabs>
        <w:spacing w:line="360" w:lineRule="auto"/>
        <w:ind w:left="1080" w:hanging="540"/>
        <w:jc w:val="both"/>
        <w:rPr>
          <w:rFonts w:cs="Times New Roman"/>
          <w:b/>
          <w:sz w:val="28"/>
          <w:szCs w:val="28"/>
        </w:rPr>
      </w:pPr>
      <w:r w:rsidRPr="004C6DF8">
        <w:rPr>
          <w:rFonts w:cs="Times New Roman"/>
          <w:b/>
          <w:sz w:val="28"/>
          <w:szCs w:val="28"/>
        </w:rPr>
        <w:t>The HRF endorses the re</w:t>
      </w:r>
      <w:r w:rsidR="00A35621">
        <w:rPr>
          <w:rFonts w:cs="Times New Roman"/>
          <w:b/>
          <w:sz w:val="28"/>
          <w:szCs w:val="28"/>
        </w:rPr>
        <w:t>port</w:t>
      </w:r>
      <w:r w:rsidRPr="004C6DF8">
        <w:rPr>
          <w:rFonts w:cs="Times New Roman"/>
          <w:b/>
          <w:sz w:val="28"/>
          <w:szCs w:val="28"/>
        </w:rPr>
        <w:t xml:space="preserve">s of </w:t>
      </w:r>
      <w:r w:rsidRPr="00FC17F1">
        <w:rPr>
          <w:rFonts w:cs="Times New Roman"/>
          <w:b/>
          <w:sz w:val="28"/>
          <w:szCs w:val="28"/>
        </w:rPr>
        <w:t xml:space="preserve">CPAG/ACYA at p 7 and the CTU at </w:t>
      </w:r>
      <w:r w:rsidR="00A35621">
        <w:rPr>
          <w:rFonts w:cs="Times New Roman"/>
          <w:b/>
          <w:sz w:val="28"/>
          <w:szCs w:val="28"/>
        </w:rPr>
        <w:t>section 6</w:t>
      </w:r>
    </w:p>
    <w:p w14:paraId="0CCB58CB" w14:textId="77777777" w:rsidR="00CE5543" w:rsidRPr="00FC17F1" w:rsidRDefault="00CE5543" w:rsidP="00FC17F1">
      <w:pPr>
        <w:spacing w:line="360" w:lineRule="auto"/>
        <w:jc w:val="both"/>
        <w:rPr>
          <w:rFonts w:cs="Times New Roman"/>
          <w:b/>
          <w:smallCaps/>
          <w:color w:val="000000" w:themeColor="text1"/>
          <w:sz w:val="28"/>
          <w:szCs w:val="28"/>
        </w:rPr>
      </w:pPr>
    </w:p>
    <w:p w14:paraId="599A0319" w14:textId="49073A16"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15</w:t>
      </w:r>
    </w:p>
    <w:p w14:paraId="372840A2" w14:textId="71959DEF" w:rsidR="00CE5543" w:rsidRDefault="00CE5543" w:rsidP="00CE5543">
      <w:pPr>
        <w:spacing w:line="360" w:lineRule="auto"/>
        <w:jc w:val="both"/>
        <w:rPr>
          <w:rFonts w:cs="Times New Roman"/>
          <w:b/>
          <w:sz w:val="28"/>
          <w:szCs w:val="28"/>
        </w:rPr>
      </w:pPr>
      <w:r w:rsidRPr="00DA2390">
        <w:rPr>
          <w:rFonts w:cs="Times New Roman"/>
          <w:b/>
          <w:sz w:val="28"/>
          <w:szCs w:val="28"/>
        </w:rPr>
        <w:t>Please provide information on the extent of discrimination on the ground of sex, race or other status, as well as on bullying and sexual harassment in the workplace, and elaborate on the effectiveness of prevention measures taken and of avenues of remedies for victims.</w:t>
      </w:r>
    </w:p>
    <w:p w14:paraId="13D8BC35" w14:textId="77777777" w:rsidR="00A35621" w:rsidRPr="00DA2390" w:rsidRDefault="00A35621" w:rsidP="00CE5543">
      <w:pPr>
        <w:spacing w:line="360" w:lineRule="auto"/>
        <w:jc w:val="both"/>
        <w:rPr>
          <w:rFonts w:cs="Times New Roman"/>
          <w:b/>
          <w:sz w:val="28"/>
          <w:szCs w:val="28"/>
        </w:rPr>
      </w:pPr>
    </w:p>
    <w:p w14:paraId="410D2EA9" w14:textId="64CB24F8" w:rsidR="00CE5543" w:rsidRPr="00DA2390" w:rsidRDefault="00CE5543" w:rsidP="00DA2390">
      <w:pPr>
        <w:pStyle w:val="ListParagraph"/>
        <w:numPr>
          <w:ilvl w:val="0"/>
          <w:numId w:val="63"/>
        </w:numPr>
        <w:tabs>
          <w:tab w:val="left" w:pos="1170"/>
        </w:tabs>
        <w:spacing w:line="360" w:lineRule="auto"/>
        <w:ind w:left="1080" w:hanging="540"/>
        <w:jc w:val="both"/>
        <w:rPr>
          <w:rFonts w:cs="Times New Roman"/>
          <w:b/>
          <w:sz w:val="28"/>
          <w:szCs w:val="28"/>
        </w:rPr>
      </w:pPr>
      <w:r w:rsidRPr="00FC17F1">
        <w:rPr>
          <w:rFonts w:cs="Times New Roman"/>
          <w:b/>
          <w:sz w:val="28"/>
          <w:szCs w:val="28"/>
        </w:rPr>
        <w:t>The HRF endorses the report of the CTU at</w:t>
      </w:r>
      <w:r w:rsidR="00A35621">
        <w:rPr>
          <w:rFonts w:cs="Times New Roman"/>
          <w:b/>
          <w:sz w:val="28"/>
          <w:szCs w:val="28"/>
        </w:rPr>
        <w:t xml:space="preserve"> section 6</w:t>
      </w:r>
    </w:p>
    <w:p w14:paraId="1408F83F" w14:textId="77777777" w:rsidR="00CE5543" w:rsidRPr="00FC17F1" w:rsidRDefault="00CE5543" w:rsidP="00FC17F1">
      <w:pPr>
        <w:spacing w:line="360" w:lineRule="auto"/>
        <w:jc w:val="both"/>
        <w:rPr>
          <w:rFonts w:cs="Times New Roman"/>
          <w:b/>
          <w:smallCaps/>
          <w:color w:val="000000" w:themeColor="text1"/>
          <w:sz w:val="28"/>
          <w:szCs w:val="28"/>
        </w:rPr>
      </w:pPr>
    </w:p>
    <w:p w14:paraId="37A4F58A" w14:textId="77777777" w:rsidR="00A35621" w:rsidRDefault="00A35621"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lastRenderedPageBreak/>
        <w:t xml:space="preserve">Article 8 </w:t>
      </w:r>
    </w:p>
    <w:p w14:paraId="4EFE671F" w14:textId="35FC2D15"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16</w:t>
      </w:r>
    </w:p>
    <w:p w14:paraId="4E818E5B" w14:textId="03A3941D" w:rsidR="00CE5543" w:rsidRDefault="00CE5543" w:rsidP="00CE5543">
      <w:pPr>
        <w:spacing w:line="360" w:lineRule="auto"/>
        <w:jc w:val="both"/>
        <w:rPr>
          <w:rFonts w:cs="Times New Roman"/>
          <w:b/>
          <w:sz w:val="28"/>
          <w:szCs w:val="28"/>
        </w:rPr>
      </w:pPr>
      <w:r w:rsidRPr="00DA2390">
        <w:rPr>
          <w:rFonts w:cs="Times New Roman"/>
          <w:b/>
          <w:sz w:val="28"/>
          <w:szCs w:val="28"/>
        </w:rPr>
        <w:t>Trade Union Rights: Please describe how the Employment Relations Amendment Act affects collective bargaining arrangements and what protections remain for new employees and young people who may be disadvantaged by the changes.</w:t>
      </w:r>
    </w:p>
    <w:p w14:paraId="3575DFD2" w14:textId="77777777" w:rsidR="00A35621" w:rsidRDefault="00A35621" w:rsidP="00CE5543">
      <w:pPr>
        <w:spacing w:line="360" w:lineRule="auto"/>
        <w:jc w:val="both"/>
        <w:rPr>
          <w:rFonts w:cs="Times New Roman"/>
          <w:b/>
          <w:sz w:val="28"/>
          <w:szCs w:val="28"/>
        </w:rPr>
      </w:pPr>
    </w:p>
    <w:p w14:paraId="3412A224" w14:textId="60562977" w:rsidR="00CE5543" w:rsidRPr="00DA2390" w:rsidRDefault="00CE5543" w:rsidP="00DA2390">
      <w:pPr>
        <w:pStyle w:val="ListParagraph"/>
        <w:numPr>
          <w:ilvl w:val="0"/>
          <w:numId w:val="63"/>
        </w:numPr>
        <w:tabs>
          <w:tab w:val="left" w:pos="1170"/>
        </w:tabs>
        <w:spacing w:line="360" w:lineRule="auto"/>
        <w:ind w:left="1080" w:hanging="540"/>
        <w:jc w:val="both"/>
        <w:rPr>
          <w:rFonts w:cs="Times New Roman"/>
          <w:b/>
          <w:sz w:val="28"/>
          <w:szCs w:val="28"/>
        </w:rPr>
      </w:pPr>
      <w:r w:rsidRPr="00DA2390">
        <w:rPr>
          <w:rFonts w:cs="Times New Roman"/>
          <w:b/>
          <w:sz w:val="28"/>
          <w:szCs w:val="28"/>
        </w:rPr>
        <w:t xml:space="preserve">The HRF also endorses the report of the CTU at </w:t>
      </w:r>
      <w:r w:rsidR="00A35621">
        <w:rPr>
          <w:rFonts w:cs="Times New Roman"/>
          <w:b/>
          <w:sz w:val="28"/>
          <w:szCs w:val="28"/>
        </w:rPr>
        <w:t>section 7</w:t>
      </w:r>
    </w:p>
    <w:p w14:paraId="4D28DF7D" w14:textId="77777777" w:rsidR="00CE5543" w:rsidRPr="00DA2390" w:rsidRDefault="00CE5543" w:rsidP="00CE5543">
      <w:pPr>
        <w:spacing w:line="360" w:lineRule="auto"/>
        <w:jc w:val="both"/>
        <w:rPr>
          <w:rFonts w:cs="Times New Roman"/>
          <w:b/>
          <w:sz w:val="28"/>
          <w:szCs w:val="28"/>
        </w:rPr>
      </w:pPr>
    </w:p>
    <w:p w14:paraId="641B9F3B" w14:textId="12B896E5" w:rsidR="00CE5543" w:rsidRPr="00FC17F1" w:rsidRDefault="00CE5543" w:rsidP="00FC17F1">
      <w:pPr>
        <w:spacing w:line="360" w:lineRule="auto"/>
        <w:jc w:val="both"/>
        <w:rPr>
          <w:rFonts w:cs="Times New Roman"/>
          <w:b/>
          <w:smallCaps/>
          <w:color w:val="000000" w:themeColor="text1"/>
          <w:sz w:val="28"/>
          <w:szCs w:val="28"/>
        </w:rPr>
      </w:pPr>
    </w:p>
    <w:p w14:paraId="3B165645" w14:textId="77777777" w:rsidR="007A42A8" w:rsidRDefault="007A42A8"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Article 9</w:t>
      </w:r>
    </w:p>
    <w:p w14:paraId="0357C9A4" w14:textId="646CC033"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17</w:t>
      </w:r>
    </w:p>
    <w:p w14:paraId="31B367A8" w14:textId="223836F4" w:rsidR="00CE5543" w:rsidRDefault="00CE5543" w:rsidP="00FC17F1">
      <w:pPr>
        <w:spacing w:line="360" w:lineRule="auto"/>
        <w:jc w:val="both"/>
        <w:rPr>
          <w:rFonts w:cs="Times New Roman"/>
          <w:b/>
          <w:sz w:val="28"/>
          <w:szCs w:val="28"/>
        </w:rPr>
      </w:pPr>
      <w:r w:rsidRPr="00DA2390">
        <w:rPr>
          <w:rFonts w:cs="Times New Roman"/>
          <w:b/>
          <w:sz w:val="28"/>
          <w:szCs w:val="28"/>
        </w:rPr>
        <w:t>Update the Committee on measures taken to ensure that ongoing welfare reforms do not further disadvantage the most marginalized individuals and groups, as well as on social assistance measures in place for those no longer entitled to insurance-linked benefits</w:t>
      </w:r>
      <w:r>
        <w:rPr>
          <w:rFonts w:cs="Times New Roman"/>
          <w:b/>
          <w:sz w:val="28"/>
          <w:szCs w:val="28"/>
        </w:rPr>
        <w:t>.</w:t>
      </w:r>
    </w:p>
    <w:p w14:paraId="61A0F406" w14:textId="77777777" w:rsidR="00CE5543" w:rsidRPr="00FC17F1" w:rsidRDefault="00CE5543" w:rsidP="00DA2390">
      <w:pPr>
        <w:pStyle w:val="ListParagraph"/>
        <w:numPr>
          <w:ilvl w:val="0"/>
          <w:numId w:val="65"/>
        </w:numPr>
        <w:tabs>
          <w:tab w:val="left" w:pos="720"/>
          <w:tab w:val="left" w:pos="1701"/>
          <w:tab w:val="left" w:pos="2552"/>
          <w:tab w:val="left" w:pos="3402"/>
          <w:tab w:val="left" w:pos="4253"/>
          <w:tab w:val="right" w:pos="9015"/>
        </w:tabs>
        <w:spacing w:before="240" w:line="360" w:lineRule="auto"/>
        <w:ind w:left="1080" w:hanging="630"/>
        <w:jc w:val="both"/>
        <w:outlineLvl w:val="2"/>
        <w:rPr>
          <w:rFonts w:eastAsia="Times New Roman" w:cs="Times New Roman"/>
          <w:b/>
          <w:sz w:val="28"/>
          <w:szCs w:val="28"/>
          <w:lang w:val="en-NZ" w:eastAsia="en-NZ"/>
        </w:rPr>
      </w:pPr>
      <w:r>
        <w:rPr>
          <w:rFonts w:eastAsia="Times New Roman" w:cs="Times New Roman"/>
          <w:b/>
          <w:sz w:val="28"/>
          <w:szCs w:val="28"/>
          <w:lang w:val="en-NZ" w:eastAsia="en-NZ"/>
        </w:rPr>
        <w:t>T</w:t>
      </w:r>
      <w:r w:rsidRPr="00FC17F1">
        <w:rPr>
          <w:rFonts w:eastAsia="Times New Roman" w:cs="Times New Roman"/>
          <w:b/>
          <w:sz w:val="28"/>
          <w:szCs w:val="28"/>
          <w:lang w:val="en-NZ" w:eastAsia="en-NZ"/>
        </w:rPr>
        <w:t xml:space="preserve">he HRF recommends that the Committee urge the New Zealand </w:t>
      </w:r>
      <w:r>
        <w:rPr>
          <w:rFonts w:eastAsia="Times New Roman" w:cs="Times New Roman"/>
          <w:b/>
          <w:sz w:val="28"/>
          <w:szCs w:val="28"/>
          <w:lang w:val="en-NZ" w:eastAsia="en-NZ"/>
        </w:rPr>
        <w:t>G</w:t>
      </w:r>
      <w:r w:rsidRPr="00FC17F1">
        <w:rPr>
          <w:rFonts w:eastAsia="Times New Roman" w:cs="Times New Roman"/>
          <w:b/>
          <w:sz w:val="28"/>
          <w:szCs w:val="28"/>
          <w:lang w:val="en-NZ" w:eastAsia="en-NZ"/>
        </w:rPr>
        <w:t xml:space="preserve">overnment to: </w:t>
      </w:r>
    </w:p>
    <w:p w14:paraId="76BE82A9"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Review the design of family income support and welfare benefits, income tests, the archaic view of relationships and the harsh sanctions in place so that the social welfare system is focussed on helping those in need, rather than on reducing benefit numbers and reducing costs.  </w:t>
      </w:r>
    </w:p>
    <w:p w14:paraId="05A79099"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Set benefits at liveable levels. This will reduce the complicated system of third tier support and relieve the hardship of many beneficiaries.   </w:t>
      </w:r>
    </w:p>
    <w:p w14:paraId="0862F329"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lastRenderedPageBreak/>
        <w:t>Index all benefits to wages or inflation so they are increased each year like New Zealand superannuation.</w:t>
      </w:r>
    </w:p>
    <w:p w14:paraId="57171A80"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Simplify and rewrite the purposes of the Social Security Act 1964 so its principal object is, one again, to help those in need so that all citizens can enjoy basic economic and social rights and live in dignity. </w:t>
      </w:r>
    </w:p>
    <w:p w14:paraId="2C607997"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Begin an immediate review of all MSD cases before the courts and all enforcement by MSD of alleged beneficiary debts and seriously consider a moratorium on further enforcement action while the review is completed.</w:t>
      </w:r>
    </w:p>
    <w:p w14:paraId="0C256E93"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Consider writing off all debts owed by beneficiaries to WINZ. The total figure is approximately $200 million.  In the 2015 budget, the previous government announced it would write off up to $1.7 billion in child support penalties. Between 2008 and 2014, Inland Revenue wrote off $5 billion in tax debt.</w:t>
      </w:r>
      <w:r w:rsidRPr="00FC17F1">
        <w:rPr>
          <w:rFonts w:cs="Times New Roman"/>
          <w:b/>
          <w:sz w:val="28"/>
          <w:szCs w:val="28"/>
          <w:vertAlign w:val="superscript"/>
          <w:lang w:val="en-NZ" w:eastAsia="en-NZ"/>
        </w:rPr>
        <w:footnoteReference w:id="133"/>
      </w:r>
      <w:r w:rsidRPr="00FC17F1">
        <w:rPr>
          <w:rFonts w:eastAsia="Times New Roman" w:cs="Times New Roman"/>
          <w:b/>
          <w:sz w:val="28"/>
          <w:szCs w:val="28"/>
          <w:lang w:val="en-NZ" w:eastAsia="en-NZ"/>
        </w:rPr>
        <w:t xml:space="preserve"> </w:t>
      </w:r>
    </w:p>
    <w:p w14:paraId="130FB347"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Close the tip line people can call in to report on benefit fraud. Many allegations of fraud are made maliciously by former partners or are motivated by personal disputes. They add to the administrative burden of already overworked staff.       </w:t>
      </w:r>
    </w:p>
    <w:p w14:paraId="5C5D7545"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Increase the amount beneficiaries can earn (it is currently $100 a week) before their benefits are abated. This assist beneficiaries transition to work and enables them to maintain work experience and skills while in receipt of a benefit.  </w:t>
      </w:r>
    </w:p>
    <w:p w14:paraId="0868C70A"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before="240"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lastRenderedPageBreak/>
        <w:t>Repeal the law that applies a sanction of between $22 and $28 a week levied against parents who cannot or will not name the other parent in law. These sanctions apply 97.7% to women and 52% to Maori.</w:t>
      </w:r>
      <w:r w:rsidRPr="00FC17F1">
        <w:rPr>
          <w:rFonts w:cs="Times New Roman"/>
          <w:b/>
          <w:sz w:val="28"/>
          <w:szCs w:val="28"/>
          <w:vertAlign w:val="superscript"/>
          <w:lang w:val="en-NZ" w:eastAsia="en-NZ"/>
        </w:rPr>
        <w:footnoteReference w:id="134"/>
      </w:r>
      <w:r w:rsidRPr="00FC17F1">
        <w:rPr>
          <w:rFonts w:eastAsia="Times New Roman" w:cs="Times New Roman"/>
          <w:b/>
          <w:sz w:val="28"/>
          <w:szCs w:val="28"/>
          <w:lang w:val="en-NZ" w:eastAsia="en-NZ"/>
        </w:rPr>
        <w:t xml:space="preserve"> Some women do not wish to name the father because of an abusive or violent relationship – they should not be penalised for doing so.     </w:t>
      </w:r>
    </w:p>
    <w:p w14:paraId="36A87E7C" w14:textId="77777777" w:rsidR="00CE5543" w:rsidRPr="00FC17F1" w:rsidRDefault="00CE5543" w:rsidP="00CE5543">
      <w:pPr>
        <w:pStyle w:val="ListParagraph"/>
        <w:numPr>
          <w:ilvl w:val="0"/>
          <w:numId w:val="64"/>
        </w:numPr>
        <w:tabs>
          <w:tab w:val="left" w:pos="851"/>
          <w:tab w:val="left" w:pos="1701"/>
          <w:tab w:val="left" w:pos="2700"/>
          <w:tab w:val="left" w:pos="3402"/>
          <w:tab w:val="left" w:pos="4253"/>
          <w:tab w:val="right" w:pos="9015"/>
        </w:tabs>
        <w:spacing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Consider making entitlements to benefits individual rather than basing them on relationship status. This would reduce intrusive and complex investigations into the status of a person’s relationship. In the alternative, simplify the definition of ‘relationship in the nature of marriage’ to reduce the intrusive investigations into highly personal matters. For example, a new beneficiary who enters into an intimate relationship may be entitled to retain their benefit until they marry, or enter into a civil union or are in a de facto relationship for, say, three years.                               </w:t>
      </w:r>
    </w:p>
    <w:p w14:paraId="03AB4DAB" w14:textId="77777777" w:rsidR="00CE5543" w:rsidRDefault="00CE5543" w:rsidP="00DA2390">
      <w:pPr>
        <w:pStyle w:val="ListParagraph"/>
        <w:numPr>
          <w:ilvl w:val="0"/>
          <w:numId w:val="64"/>
        </w:numPr>
        <w:tabs>
          <w:tab w:val="left" w:pos="851"/>
          <w:tab w:val="left" w:pos="1701"/>
          <w:tab w:val="left" w:pos="2700"/>
          <w:tab w:val="left" w:pos="3402"/>
          <w:tab w:val="left" w:pos="4253"/>
          <w:tab w:val="right" w:pos="9015"/>
        </w:tabs>
        <w:spacing w:line="360" w:lineRule="auto"/>
        <w:ind w:left="2520"/>
        <w:jc w:val="both"/>
        <w:outlineLvl w:val="3"/>
        <w:rPr>
          <w:rFonts w:eastAsia="Times New Roman" w:cs="Times New Roman"/>
          <w:b/>
          <w:sz w:val="28"/>
          <w:szCs w:val="28"/>
          <w:lang w:val="en-NZ" w:eastAsia="en-NZ"/>
        </w:rPr>
      </w:pPr>
      <w:r w:rsidRPr="00FC17F1">
        <w:rPr>
          <w:rFonts w:eastAsia="Times New Roman" w:cs="Times New Roman"/>
          <w:b/>
          <w:sz w:val="28"/>
          <w:szCs w:val="28"/>
          <w:lang w:val="en-NZ" w:eastAsia="en-NZ"/>
        </w:rPr>
        <w:t xml:space="preserve">Transform the culture of WINZ so that every staff member is required to treat beneficiaries fairly and respectfully and ensure that beneficiaries receive all the assistance to which they are entitled. </w:t>
      </w:r>
    </w:p>
    <w:p w14:paraId="0280CCAA" w14:textId="5DCF5D3B" w:rsidR="00CE5543" w:rsidRPr="00DA2390" w:rsidRDefault="00CE5543" w:rsidP="00DA2390">
      <w:pPr>
        <w:pStyle w:val="ListParagraph"/>
        <w:numPr>
          <w:ilvl w:val="0"/>
          <w:numId w:val="64"/>
        </w:numPr>
        <w:tabs>
          <w:tab w:val="left" w:pos="851"/>
          <w:tab w:val="left" w:pos="1701"/>
          <w:tab w:val="left" w:pos="2700"/>
          <w:tab w:val="left" w:pos="3402"/>
          <w:tab w:val="left" w:pos="4253"/>
          <w:tab w:val="right" w:pos="9015"/>
        </w:tabs>
        <w:spacing w:line="360" w:lineRule="auto"/>
        <w:ind w:left="2520"/>
        <w:jc w:val="both"/>
        <w:outlineLvl w:val="3"/>
        <w:rPr>
          <w:rFonts w:eastAsia="Times New Roman" w:cs="Times New Roman"/>
          <w:b/>
          <w:sz w:val="28"/>
          <w:szCs w:val="28"/>
          <w:lang w:val="en-NZ" w:eastAsia="en-NZ"/>
        </w:rPr>
      </w:pPr>
      <w:r w:rsidRPr="00DA2390">
        <w:rPr>
          <w:rFonts w:eastAsia="Times New Roman" w:cs="Times New Roman"/>
          <w:b/>
          <w:sz w:val="28"/>
          <w:szCs w:val="28"/>
          <w:lang w:val="en-NZ" w:eastAsia="en-NZ"/>
        </w:rPr>
        <w:t xml:space="preserve">Abolish the BRCs and replace them with an independent body to deal with decisions about benefits. Consider establishing a Social Security Ombudsman.   </w:t>
      </w:r>
    </w:p>
    <w:p w14:paraId="3B4541C5" w14:textId="77777777" w:rsidR="00CE5543" w:rsidRPr="00DA2390" w:rsidRDefault="00CE5543" w:rsidP="00FC17F1">
      <w:pPr>
        <w:spacing w:line="360" w:lineRule="auto"/>
        <w:jc w:val="both"/>
        <w:rPr>
          <w:rFonts w:cs="Times New Roman"/>
          <w:b/>
          <w:sz w:val="28"/>
          <w:szCs w:val="28"/>
        </w:rPr>
      </w:pPr>
    </w:p>
    <w:p w14:paraId="465F0EAE" w14:textId="2F212B2F"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18</w:t>
      </w:r>
    </w:p>
    <w:p w14:paraId="4959CFAD" w14:textId="32784A0C" w:rsidR="00CE5543" w:rsidRDefault="00CE5543" w:rsidP="00FC17F1">
      <w:pPr>
        <w:spacing w:line="360" w:lineRule="auto"/>
        <w:jc w:val="both"/>
        <w:rPr>
          <w:rFonts w:cs="Times New Roman"/>
          <w:b/>
          <w:sz w:val="28"/>
          <w:szCs w:val="28"/>
        </w:rPr>
      </w:pPr>
      <w:r w:rsidRPr="00DA2390">
        <w:rPr>
          <w:rFonts w:cs="Times New Roman"/>
          <w:b/>
          <w:sz w:val="28"/>
          <w:szCs w:val="28"/>
        </w:rPr>
        <w:lastRenderedPageBreak/>
        <w:t>Please indicate to what extent the protection of the right to social security, the right to an adequate standard of living, and the best interests of the child are taken into account in decision-making processes regarding benefit sanctions under the Social Security Act 1964</w:t>
      </w:r>
      <w:r>
        <w:rPr>
          <w:rFonts w:cs="Times New Roman"/>
          <w:b/>
          <w:sz w:val="28"/>
          <w:szCs w:val="28"/>
        </w:rPr>
        <w:t>.</w:t>
      </w:r>
    </w:p>
    <w:p w14:paraId="4BBD70D2" w14:textId="77777777" w:rsidR="007A42A8" w:rsidRDefault="007A42A8" w:rsidP="00FC17F1">
      <w:pPr>
        <w:spacing w:line="360" w:lineRule="auto"/>
        <w:jc w:val="both"/>
        <w:rPr>
          <w:rFonts w:cs="Times New Roman"/>
          <w:b/>
          <w:sz w:val="28"/>
          <w:szCs w:val="28"/>
        </w:rPr>
      </w:pPr>
    </w:p>
    <w:p w14:paraId="42D8BE96" w14:textId="77777777" w:rsidR="00CE5543" w:rsidRPr="00C3449B" w:rsidRDefault="00CE5543" w:rsidP="00DA2390">
      <w:pPr>
        <w:pStyle w:val="BodyTextIndent"/>
        <w:numPr>
          <w:ilvl w:val="0"/>
          <w:numId w:val="67"/>
        </w:numPr>
        <w:spacing w:line="360" w:lineRule="auto"/>
        <w:ind w:left="1080" w:hanging="630"/>
        <w:rPr>
          <w:b/>
          <w:sz w:val="28"/>
          <w:szCs w:val="28"/>
          <w:lang w:val="en-GB"/>
        </w:rPr>
      </w:pPr>
      <w:r w:rsidRPr="00FC17F1">
        <w:rPr>
          <w:b/>
          <w:sz w:val="28"/>
          <w:szCs w:val="28"/>
          <w:lang w:val="en-GB"/>
        </w:rPr>
        <w:t xml:space="preserve">The HRF endorses recent efforts by the NZ Human Right Commission to ensure that the rewriting of social security legislation includes a commitment to ensure that decision-makers have regard to the welfare and </w:t>
      </w:r>
      <w:r w:rsidRPr="00FC17F1">
        <w:rPr>
          <w:b/>
          <w:sz w:val="28"/>
          <w:szCs w:val="28"/>
        </w:rPr>
        <w:t>best interests of any child</w:t>
      </w:r>
      <w:r>
        <w:rPr>
          <w:b/>
          <w:sz w:val="28"/>
          <w:szCs w:val="28"/>
        </w:rPr>
        <w:t>.</w:t>
      </w:r>
    </w:p>
    <w:p w14:paraId="62AAADD6" w14:textId="77777777" w:rsidR="003C4406" w:rsidRDefault="003C4406" w:rsidP="00DA2390">
      <w:pPr>
        <w:pStyle w:val="BodyTextIndent"/>
        <w:spacing w:line="360" w:lineRule="auto"/>
        <w:ind w:left="0"/>
        <w:rPr>
          <w:b/>
          <w:sz w:val="28"/>
          <w:szCs w:val="28"/>
          <w:lang w:val="en-GB"/>
        </w:rPr>
      </w:pPr>
    </w:p>
    <w:p w14:paraId="1CA4D0B9" w14:textId="77777777" w:rsidR="00CE5543" w:rsidRPr="00FC17F1" w:rsidRDefault="00CE5543" w:rsidP="00DA2390">
      <w:pPr>
        <w:pStyle w:val="BodyTextIndent"/>
        <w:spacing w:line="360" w:lineRule="auto"/>
        <w:ind w:left="1080"/>
        <w:rPr>
          <w:b/>
          <w:sz w:val="28"/>
          <w:szCs w:val="28"/>
          <w:lang w:val="en-GB"/>
        </w:rPr>
      </w:pPr>
      <w:r w:rsidRPr="00C3449B">
        <w:rPr>
          <w:b/>
          <w:sz w:val="28"/>
          <w:szCs w:val="28"/>
          <w:lang w:val="en-GB"/>
        </w:rPr>
        <w:t xml:space="preserve">The HRF also endorses the report of </w:t>
      </w:r>
      <w:r w:rsidRPr="00FC17F1">
        <w:rPr>
          <w:b/>
          <w:sz w:val="28"/>
          <w:szCs w:val="28"/>
          <w:lang w:val="en-GB"/>
        </w:rPr>
        <w:t xml:space="preserve"> CPAG/ACYA at p 7</w:t>
      </w:r>
    </w:p>
    <w:p w14:paraId="22D48F7D" w14:textId="77777777" w:rsidR="003C4406" w:rsidRPr="00FC17F1" w:rsidRDefault="003C4406" w:rsidP="00FC17F1">
      <w:pPr>
        <w:spacing w:line="360" w:lineRule="auto"/>
        <w:jc w:val="both"/>
        <w:rPr>
          <w:rFonts w:cs="Times New Roman"/>
          <w:b/>
          <w:smallCaps/>
          <w:color w:val="000000" w:themeColor="text1"/>
          <w:sz w:val="28"/>
          <w:szCs w:val="28"/>
        </w:rPr>
      </w:pPr>
    </w:p>
    <w:p w14:paraId="6EB8EF65" w14:textId="77777777" w:rsidR="007A42A8" w:rsidRDefault="007A42A8"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Article 11</w:t>
      </w:r>
    </w:p>
    <w:p w14:paraId="5640648C" w14:textId="5BC7A347"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19</w:t>
      </w:r>
    </w:p>
    <w:p w14:paraId="1BB4E17A" w14:textId="053AD51F" w:rsidR="003C4406" w:rsidRPr="00DA2390" w:rsidRDefault="003C4406" w:rsidP="00FC17F1">
      <w:pPr>
        <w:spacing w:line="360" w:lineRule="auto"/>
        <w:jc w:val="both"/>
        <w:rPr>
          <w:rFonts w:cs="Times New Roman"/>
          <w:b/>
          <w:sz w:val="28"/>
          <w:szCs w:val="28"/>
        </w:rPr>
      </w:pPr>
      <w:r w:rsidRPr="00DA2390">
        <w:rPr>
          <w:rFonts w:cs="Times New Roman"/>
          <w:b/>
          <w:sz w:val="28"/>
          <w:szCs w:val="28"/>
        </w:rPr>
        <w:t>Please update the Committee on the poverty threshold applied in the State party. Please also provide updated statistical data on poverty, disaggregated by age group, ethnicity, household size and family status. Please provide information on obstacles to reducing child poverty in the State party.</w:t>
      </w:r>
    </w:p>
    <w:p w14:paraId="1938C236" w14:textId="77777777" w:rsidR="003C4406" w:rsidRDefault="003C4406" w:rsidP="00DA2390">
      <w:pPr>
        <w:pStyle w:val="BodyTextIndent"/>
        <w:numPr>
          <w:ilvl w:val="0"/>
          <w:numId w:val="69"/>
        </w:numPr>
        <w:tabs>
          <w:tab w:val="left" w:pos="1080"/>
        </w:tabs>
        <w:spacing w:line="360" w:lineRule="auto"/>
        <w:ind w:left="1170" w:hanging="630"/>
        <w:rPr>
          <w:b/>
          <w:sz w:val="28"/>
          <w:szCs w:val="28"/>
        </w:rPr>
      </w:pPr>
      <w:r>
        <w:rPr>
          <w:b/>
          <w:sz w:val="28"/>
          <w:szCs w:val="28"/>
        </w:rPr>
        <w:t xml:space="preserve">The HRF recommends: </w:t>
      </w:r>
    </w:p>
    <w:p w14:paraId="317F55E1" w14:textId="77777777" w:rsidR="003C4406" w:rsidRDefault="003C4406" w:rsidP="00DA2390">
      <w:pPr>
        <w:pStyle w:val="BodyTextIndent"/>
        <w:numPr>
          <w:ilvl w:val="1"/>
          <w:numId w:val="69"/>
        </w:numPr>
        <w:tabs>
          <w:tab w:val="left" w:pos="1080"/>
        </w:tabs>
        <w:spacing w:line="360" w:lineRule="auto"/>
        <w:ind w:left="2520"/>
        <w:rPr>
          <w:b/>
          <w:sz w:val="28"/>
          <w:szCs w:val="28"/>
        </w:rPr>
      </w:pPr>
      <w:r>
        <w:rPr>
          <w:b/>
          <w:sz w:val="28"/>
          <w:szCs w:val="28"/>
        </w:rPr>
        <w:t>that the Committee recommend that the Government take note of  reports of the Office of the Commissioner for Children, CPAG and the Salvation Army;</w:t>
      </w:r>
    </w:p>
    <w:p w14:paraId="7D0E5E6B" w14:textId="77777777" w:rsidR="003C4406" w:rsidRPr="00FC17F1" w:rsidRDefault="003C4406" w:rsidP="00DA2390">
      <w:pPr>
        <w:pStyle w:val="BodyTextIndent"/>
        <w:numPr>
          <w:ilvl w:val="1"/>
          <w:numId w:val="69"/>
        </w:numPr>
        <w:spacing w:line="360" w:lineRule="auto"/>
        <w:ind w:left="2520"/>
        <w:rPr>
          <w:b/>
          <w:sz w:val="28"/>
          <w:szCs w:val="28"/>
        </w:rPr>
      </w:pPr>
      <w:r>
        <w:rPr>
          <w:b/>
          <w:sz w:val="28"/>
          <w:szCs w:val="28"/>
        </w:rPr>
        <w:t>that the Committee ask for an interim report on the progress of the Government’s initiatives to address child poverty and growing inequality in New Zealand</w:t>
      </w:r>
    </w:p>
    <w:p w14:paraId="2B492C3A" w14:textId="77777777" w:rsidR="003C4406" w:rsidRDefault="003C4406" w:rsidP="003C4406">
      <w:pPr>
        <w:pStyle w:val="ListParagraph"/>
        <w:jc w:val="both"/>
        <w:rPr>
          <w:sz w:val="28"/>
          <w:szCs w:val="28"/>
        </w:rPr>
      </w:pPr>
    </w:p>
    <w:p w14:paraId="31328291" w14:textId="0C412AC6" w:rsidR="003C4406" w:rsidRPr="00FC17F1" w:rsidRDefault="003C4406" w:rsidP="00DA2390">
      <w:pPr>
        <w:pStyle w:val="BodyTextIndent"/>
        <w:tabs>
          <w:tab w:val="left" w:pos="990"/>
          <w:tab w:val="left" w:pos="1080"/>
        </w:tabs>
        <w:spacing w:line="360" w:lineRule="auto"/>
        <w:ind w:left="1350"/>
        <w:rPr>
          <w:b/>
          <w:sz w:val="28"/>
          <w:szCs w:val="28"/>
        </w:rPr>
      </w:pPr>
      <w:r w:rsidRPr="00FC17F1">
        <w:rPr>
          <w:b/>
          <w:sz w:val="28"/>
          <w:szCs w:val="28"/>
        </w:rPr>
        <w:lastRenderedPageBreak/>
        <w:t>The HRF also endorses the report and recommendations of CPAG/ACYA at pp.3 and 9</w:t>
      </w:r>
      <w:r w:rsidR="007A42A8">
        <w:rPr>
          <w:b/>
          <w:sz w:val="28"/>
          <w:szCs w:val="28"/>
        </w:rPr>
        <w:t xml:space="preserve"> and the CTU at section 9</w:t>
      </w:r>
      <w:r w:rsidRPr="00FC17F1">
        <w:rPr>
          <w:b/>
          <w:sz w:val="28"/>
          <w:szCs w:val="28"/>
        </w:rPr>
        <w:t>.</w:t>
      </w:r>
    </w:p>
    <w:p w14:paraId="19CAEED3" w14:textId="77777777" w:rsidR="003C4406" w:rsidRDefault="003C4406" w:rsidP="00FC17F1">
      <w:pPr>
        <w:spacing w:line="360" w:lineRule="auto"/>
        <w:jc w:val="both"/>
        <w:rPr>
          <w:i/>
          <w:sz w:val="28"/>
          <w:szCs w:val="28"/>
        </w:rPr>
      </w:pPr>
    </w:p>
    <w:p w14:paraId="3D0ECAE6" w14:textId="77777777" w:rsidR="003C4406" w:rsidRPr="00FC17F1" w:rsidRDefault="003C4406" w:rsidP="00FC17F1">
      <w:pPr>
        <w:spacing w:line="360" w:lineRule="auto"/>
        <w:jc w:val="both"/>
        <w:rPr>
          <w:rFonts w:cs="Times New Roman"/>
          <w:b/>
          <w:smallCaps/>
          <w:color w:val="000000" w:themeColor="text1"/>
          <w:sz w:val="28"/>
          <w:szCs w:val="28"/>
        </w:rPr>
      </w:pPr>
    </w:p>
    <w:p w14:paraId="61E56842" w14:textId="1FD76BE1"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20</w:t>
      </w:r>
    </w:p>
    <w:p w14:paraId="6D4B8230" w14:textId="04CE4CB3" w:rsidR="003C4406" w:rsidRPr="00DA2390" w:rsidRDefault="003C4406" w:rsidP="00FC17F1">
      <w:pPr>
        <w:spacing w:line="360" w:lineRule="auto"/>
        <w:jc w:val="both"/>
        <w:rPr>
          <w:rFonts w:cs="Times New Roman"/>
          <w:b/>
          <w:sz w:val="28"/>
          <w:szCs w:val="28"/>
        </w:rPr>
      </w:pPr>
      <w:r w:rsidRPr="00DA2390">
        <w:rPr>
          <w:rFonts w:cs="Times New Roman"/>
          <w:b/>
          <w:sz w:val="28"/>
          <w:szCs w:val="28"/>
        </w:rPr>
        <w:t>Please provide information on measures taken to respond to the reported increase in the number of families resorting to food banks.</w:t>
      </w:r>
    </w:p>
    <w:p w14:paraId="24E8E5FE" w14:textId="64819F3B" w:rsidR="003C4406" w:rsidRPr="00DA2390" w:rsidRDefault="003C4406" w:rsidP="00DA2390">
      <w:pPr>
        <w:pStyle w:val="ListParagraph"/>
        <w:numPr>
          <w:ilvl w:val="0"/>
          <w:numId w:val="69"/>
        </w:numPr>
        <w:spacing w:line="360" w:lineRule="auto"/>
        <w:ind w:left="1080" w:hanging="630"/>
        <w:jc w:val="both"/>
        <w:rPr>
          <w:rFonts w:cs="Times New Roman"/>
          <w:b/>
          <w:sz w:val="28"/>
          <w:szCs w:val="28"/>
          <w:lang w:val="en-AU"/>
        </w:rPr>
      </w:pPr>
      <w:r w:rsidRPr="00DA2390">
        <w:rPr>
          <w:rFonts w:cs="Times New Roman"/>
          <w:b/>
          <w:sz w:val="28"/>
          <w:szCs w:val="28"/>
          <w:lang w:val="en-AU"/>
        </w:rPr>
        <w:t xml:space="preserve">The HRF endorses the report and recommendations of CPAG/ACYA at p 10 and of the CTU at </w:t>
      </w:r>
      <w:r w:rsidR="007A42A8">
        <w:rPr>
          <w:rFonts w:cs="Times New Roman"/>
          <w:b/>
          <w:sz w:val="28"/>
          <w:szCs w:val="28"/>
          <w:lang w:val="en-AU"/>
        </w:rPr>
        <w:t>section 9</w:t>
      </w:r>
    </w:p>
    <w:p w14:paraId="51CE9DFE" w14:textId="77777777" w:rsidR="003C4406" w:rsidRPr="00FC17F1" w:rsidRDefault="003C4406" w:rsidP="00FC17F1">
      <w:pPr>
        <w:spacing w:line="360" w:lineRule="auto"/>
        <w:jc w:val="both"/>
        <w:rPr>
          <w:rFonts w:cs="Times New Roman"/>
          <w:b/>
          <w:smallCaps/>
          <w:color w:val="000000" w:themeColor="text1"/>
          <w:sz w:val="28"/>
          <w:szCs w:val="28"/>
        </w:rPr>
      </w:pPr>
    </w:p>
    <w:p w14:paraId="0540C2C5" w14:textId="57D547F3"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21</w:t>
      </w:r>
    </w:p>
    <w:p w14:paraId="65BCC8A0" w14:textId="13489414" w:rsidR="003C4406" w:rsidRDefault="003C4406" w:rsidP="00FC17F1">
      <w:pPr>
        <w:spacing w:line="360" w:lineRule="auto"/>
        <w:jc w:val="both"/>
        <w:rPr>
          <w:rFonts w:cs="Times New Roman"/>
          <w:b/>
          <w:sz w:val="28"/>
          <w:szCs w:val="28"/>
        </w:rPr>
      </w:pPr>
      <w:r w:rsidRPr="00DA2390">
        <w:rPr>
          <w:rFonts w:cs="Times New Roman"/>
          <w:b/>
          <w:sz w:val="28"/>
          <w:szCs w:val="28"/>
        </w:rPr>
        <w:t>Please provide updated information and disaggregated statistical data on the gaps in the realization of the right to adequate housing in the State party in terms of affordability, habitability and security of tenure, and on the existing challenges to decrease those gaps, in particular with reference to the long waiting list for social housing</w:t>
      </w:r>
      <w:r>
        <w:rPr>
          <w:rFonts w:cs="Times New Roman"/>
          <w:b/>
          <w:sz w:val="28"/>
          <w:szCs w:val="28"/>
        </w:rPr>
        <w:t>.</w:t>
      </w:r>
    </w:p>
    <w:p w14:paraId="212C650A" w14:textId="21708976" w:rsidR="003C4406" w:rsidRDefault="003C4406" w:rsidP="00DA2390">
      <w:pPr>
        <w:pStyle w:val="ListParagraph"/>
        <w:numPr>
          <w:ilvl w:val="0"/>
          <w:numId w:val="71"/>
        </w:numPr>
        <w:spacing w:line="360" w:lineRule="auto"/>
        <w:ind w:left="1080" w:hanging="450"/>
        <w:jc w:val="both"/>
        <w:rPr>
          <w:rFonts w:cs="Times New Roman"/>
          <w:b/>
          <w:sz w:val="28"/>
          <w:szCs w:val="28"/>
          <w:lang w:val="en-US"/>
        </w:rPr>
      </w:pPr>
      <w:r>
        <w:rPr>
          <w:rFonts w:cs="Times New Roman"/>
          <w:b/>
          <w:sz w:val="28"/>
          <w:szCs w:val="28"/>
          <w:lang w:val="en-US"/>
        </w:rPr>
        <w:t xml:space="preserve"> </w:t>
      </w:r>
      <w:r w:rsidRPr="00FC17F1">
        <w:rPr>
          <w:rFonts w:cs="Times New Roman"/>
          <w:b/>
          <w:sz w:val="28"/>
          <w:szCs w:val="28"/>
          <w:lang w:val="en-US"/>
        </w:rPr>
        <w:t>The HRF recommends that the Committee (1) recommend that the Government</w:t>
      </w:r>
      <w:r w:rsidRPr="00FC17F1">
        <w:rPr>
          <w:rFonts w:cs="Times New Roman"/>
          <w:sz w:val="28"/>
          <w:szCs w:val="28"/>
          <w:lang w:val="en-US"/>
        </w:rPr>
        <w:t xml:space="preserve"> </w:t>
      </w:r>
      <w:r w:rsidRPr="00FC17F1">
        <w:rPr>
          <w:rFonts w:cs="Times New Roman"/>
          <w:b/>
          <w:sz w:val="28"/>
          <w:szCs w:val="28"/>
          <w:lang w:val="en-US"/>
        </w:rPr>
        <w:t>draw up a national action plan to address what is regarded by many as a housing crisis in a systematic and considered manner; (2) request that the Government present an interim report on its actions to address these housing crises.</w:t>
      </w:r>
      <w:r w:rsidRPr="00FC17F1">
        <w:rPr>
          <w:rFonts w:cs="Times New Roman"/>
          <w:b/>
          <w:sz w:val="28"/>
          <w:szCs w:val="28"/>
          <w:lang w:val="en-US"/>
        </w:rPr>
        <w:tab/>
      </w:r>
    </w:p>
    <w:p w14:paraId="3F2CE7B5" w14:textId="75563128" w:rsidR="003C4406" w:rsidRPr="00FC17F1" w:rsidRDefault="003C4406" w:rsidP="00DA2390">
      <w:pPr>
        <w:pStyle w:val="ListParagraph"/>
        <w:numPr>
          <w:ilvl w:val="0"/>
          <w:numId w:val="71"/>
        </w:numPr>
        <w:spacing w:line="360" w:lineRule="auto"/>
        <w:ind w:left="1080" w:hanging="450"/>
        <w:jc w:val="both"/>
        <w:rPr>
          <w:rFonts w:cs="Times New Roman"/>
          <w:b/>
          <w:sz w:val="28"/>
          <w:szCs w:val="28"/>
          <w:lang w:val="en-US"/>
        </w:rPr>
      </w:pPr>
      <w:r>
        <w:rPr>
          <w:b/>
          <w:sz w:val="28"/>
          <w:szCs w:val="28"/>
          <w:lang w:val="en-AU"/>
        </w:rPr>
        <w:t xml:space="preserve"> </w:t>
      </w:r>
      <w:r w:rsidRPr="00FC17F1">
        <w:rPr>
          <w:b/>
          <w:sz w:val="28"/>
          <w:szCs w:val="28"/>
          <w:lang w:val="en-AU"/>
        </w:rPr>
        <w:t>On the effect of these housing issues, particularly on children, see further the report and recommendations of CPAG/ACYA at pp.10 and 11, which the HRF endorses.</w:t>
      </w:r>
    </w:p>
    <w:p w14:paraId="356232EE" w14:textId="77777777" w:rsidR="003C4406" w:rsidRPr="00DA2390" w:rsidRDefault="003C4406" w:rsidP="00FC17F1">
      <w:pPr>
        <w:spacing w:line="360" w:lineRule="auto"/>
        <w:jc w:val="both"/>
        <w:rPr>
          <w:rFonts w:cs="Times New Roman"/>
          <w:b/>
          <w:sz w:val="28"/>
          <w:szCs w:val="28"/>
        </w:rPr>
      </w:pPr>
    </w:p>
    <w:p w14:paraId="37103AF6" w14:textId="77777777" w:rsidR="007A42A8" w:rsidRDefault="007A42A8"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 xml:space="preserve"> Article 12</w:t>
      </w:r>
    </w:p>
    <w:p w14:paraId="6ABA46A7" w14:textId="15674D61"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22</w:t>
      </w:r>
    </w:p>
    <w:p w14:paraId="68738E6B" w14:textId="77777777" w:rsidR="003C4406" w:rsidRPr="00DA2390" w:rsidRDefault="003C4406" w:rsidP="003C4406">
      <w:pPr>
        <w:pStyle w:val="BodyTextIndent"/>
        <w:spacing w:line="360" w:lineRule="auto"/>
        <w:ind w:left="0"/>
        <w:rPr>
          <w:rFonts w:eastAsiaTheme="minorEastAsia"/>
          <w:b/>
          <w:sz w:val="28"/>
          <w:szCs w:val="28"/>
          <w:lang w:val="en-GB"/>
        </w:rPr>
      </w:pPr>
      <w:r w:rsidRPr="00DA2390">
        <w:rPr>
          <w:rFonts w:eastAsiaTheme="minorEastAsia"/>
          <w:b/>
          <w:sz w:val="28"/>
          <w:szCs w:val="28"/>
          <w:lang w:val="en-GB"/>
        </w:rPr>
        <w:lastRenderedPageBreak/>
        <w:t>Please provide information on the impact of measures taken to ensure the right to physical and mental health of, and improved health outcomes for, Māori and Pasifika people.</w:t>
      </w:r>
    </w:p>
    <w:p w14:paraId="3F1374C5" w14:textId="39FC0465" w:rsidR="003C4406" w:rsidRPr="00DA2390" w:rsidRDefault="003C4406" w:rsidP="00DA2390">
      <w:pPr>
        <w:pStyle w:val="ListParagraph"/>
        <w:numPr>
          <w:ilvl w:val="0"/>
          <w:numId w:val="71"/>
        </w:numPr>
        <w:spacing w:line="360" w:lineRule="auto"/>
        <w:ind w:left="1260" w:hanging="540"/>
        <w:jc w:val="both"/>
        <w:rPr>
          <w:rFonts w:cs="Times New Roman"/>
          <w:b/>
          <w:smallCaps/>
          <w:color w:val="000000" w:themeColor="text1"/>
          <w:sz w:val="28"/>
          <w:szCs w:val="28"/>
        </w:rPr>
      </w:pPr>
      <w:r w:rsidRPr="00DA2390">
        <w:rPr>
          <w:b/>
          <w:sz w:val="28"/>
          <w:szCs w:val="28"/>
        </w:rPr>
        <w:t>See the report and recommendations of  CPAG/ACYA at pp 11 and 12, which the HRF endorses.</w:t>
      </w:r>
    </w:p>
    <w:p w14:paraId="4B67DDB9" w14:textId="77777777" w:rsidR="003C4406" w:rsidRPr="00DA2390" w:rsidRDefault="003C4406">
      <w:pPr>
        <w:spacing w:line="360" w:lineRule="auto"/>
        <w:jc w:val="both"/>
        <w:rPr>
          <w:rFonts w:cs="Times New Roman"/>
          <w:b/>
          <w:smallCaps/>
          <w:color w:val="000000" w:themeColor="text1"/>
          <w:sz w:val="28"/>
          <w:szCs w:val="28"/>
        </w:rPr>
      </w:pPr>
    </w:p>
    <w:p w14:paraId="78D16A31" w14:textId="0A829CC3"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23</w:t>
      </w:r>
    </w:p>
    <w:p w14:paraId="37E56A50" w14:textId="77777777" w:rsidR="003C4406" w:rsidRPr="00DA2390" w:rsidRDefault="003C4406" w:rsidP="003C4406">
      <w:pPr>
        <w:pStyle w:val="BodyTextIndent"/>
        <w:spacing w:line="360" w:lineRule="auto"/>
        <w:ind w:left="0"/>
        <w:rPr>
          <w:rFonts w:eastAsiaTheme="minorEastAsia"/>
          <w:b/>
          <w:sz w:val="28"/>
          <w:szCs w:val="28"/>
          <w:lang w:val="en-GB"/>
        </w:rPr>
      </w:pPr>
      <w:r w:rsidRPr="00DA2390">
        <w:rPr>
          <w:rFonts w:eastAsiaTheme="minorEastAsia"/>
          <w:b/>
          <w:sz w:val="28"/>
          <w:szCs w:val="28"/>
          <w:lang w:val="en-GB"/>
        </w:rPr>
        <w:t>Please update the Committee on the impact of privatisation of water distribution on the availability and affordability of water. Please inform the Committee of measures taken to address freshwater pollution from agriculture and the impact thereof.</w:t>
      </w:r>
    </w:p>
    <w:p w14:paraId="74107A83" w14:textId="05FA1CBE" w:rsidR="003C4406" w:rsidRDefault="003C4406" w:rsidP="00DA2390">
      <w:pPr>
        <w:pStyle w:val="ListParagraph"/>
        <w:numPr>
          <w:ilvl w:val="0"/>
          <w:numId w:val="74"/>
        </w:numPr>
        <w:spacing w:line="276" w:lineRule="auto"/>
        <w:ind w:left="1170" w:hanging="540"/>
        <w:jc w:val="both"/>
        <w:rPr>
          <w:rFonts w:cs="Times New Roman"/>
          <w:b/>
          <w:color w:val="000000" w:themeColor="text1"/>
          <w:sz w:val="28"/>
          <w:szCs w:val="28"/>
          <w:lang w:val="en-NZ"/>
        </w:rPr>
      </w:pPr>
      <w:r>
        <w:rPr>
          <w:rFonts w:cs="Times New Roman"/>
          <w:b/>
          <w:color w:val="000000" w:themeColor="text1"/>
          <w:sz w:val="28"/>
          <w:szCs w:val="28"/>
          <w:lang w:val="en-NZ"/>
        </w:rPr>
        <w:t xml:space="preserve"> T</w:t>
      </w:r>
      <w:r w:rsidRPr="00FC17F1">
        <w:rPr>
          <w:rFonts w:cs="Times New Roman"/>
          <w:b/>
          <w:color w:val="000000" w:themeColor="text1"/>
          <w:sz w:val="28"/>
          <w:szCs w:val="28"/>
          <w:lang w:val="en-NZ"/>
        </w:rPr>
        <w:t xml:space="preserve">he HRF recommends that the Committee ask to be kept informed </w:t>
      </w:r>
      <w:r>
        <w:rPr>
          <w:rFonts w:cs="Times New Roman"/>
          <w:b/>
          <w:color w:val="000000" w:themeColor="text1"/>
          <w:sz w:val="28"/>
          <w:szCs w:val="28"/>
          <w:lang w:val="en-NZ"/>
        </w:rPr>
        <w:t xml:space="preserve">on a regular basis </w:t>
      </w:r>
      <w:r w:rsidRPr="00FC17F1">
        <w:rPr>
          <w:rFonts w:cs="Times New Roman"/>
          <w:b/>
          <w:color w:val="000000" w:themeColor="text1"/>
          <w:sz w:val="28"/>
          <w:szCs w:val="28"/>
          <w:lang w:val="en-NZ"/>
        </w:rPr>
        <w:t>as to how the New Zealand government is addressing</w:t>
      </w:r>
      <w:r>
        <w:rPr>
          <w:rFonts w:cs="Times New Roman"/>
          <w:b/>
          <w:color w:val="000000" w:themeColor="text1"/>
          <w:sz w:val="28"/>
          <w:szCs w:val="28"/>
          <w:lang w:val="en-NZ"/>
        </w:rPr>
        <w:t>:</w:t>
      </w:r>
    </w:p>
    <w:p w14:paraId="3738DF30" w14:textId="77777777" w:rsidR="003C4406" w:rsidRDefault="003C4406" w:rsidP="003C4406">
      <w:pPr>
        <w:pStyle w:val="ListParagraph"/>
        <w:numPr>
          <w:ilvl w:val="1"/>
          <w:numId w:val="73"/>
        </w:numPr>
        <w:ind w:left="3060"/>
        <w:jc w:val="both"/>
        <w:rPr>
          <w:rFonts w:cs="Times New Roman"/>
          <w:b/>
          <w:color w:val="000000" w:themeColor="text1"/>
          <w:sz w:val="28"/>
          <w:szCs w:val="28"/>
          <w:lang w:val="en-NZ"/>
        </w:rPr>
      </w:pPr>
      <w:r w:rsidRPr="001F3507">
        <w:rPr>
          <w:rFonts w:cs="Times New Roman"/>
          <w:b/>
          <w:color w:val="000000" w:themeColor="text1"/>
          <w:sz w:val="28"/>
          <w:szCs w:val="28"/>
          <w:lang w:val="en-NZ"/>
        </w:rPr>
        <w:t>pressing issues concerning the availability, affordability, quality and safety of water in New Zealand;</w:t>
      </w:r>
    </w:p>
    <w:p w14:paraId="1BD707FC" w14:textId="77777777" w:rsidR="003C4406" w:rsidRPr="001F3507" w:rsidRDefault="003C4406" w:rsidP="003C4406">
      <w:pPr>
        <w:pStyle w:val="ListParagraph"/>
        <w:ind w:left="3060"/>
        <w:jc w:val="both"/>
        <w:rPr>
          <w:rFonts w:cs="Times New Roman"/>
          <w:b/>
          <w:color w:val="000000" w:themeColor="text1"/>
          <w:sz w:val="28"/>
          <w:szCs w:val="28"/>
          <w:lang w:val="en-NZ"/>
        </w:rPr>
      </w:pPr>
    </w:p>
    <w:p w14:paraId="235A1655" w14:textId="77777777" w:rsidR="003C4406" w:rsidRPr="00FA1645" w:rsidRDefault="003C4406" w:rsidP="003C4406">
      <w:pPr>
        <w:pStyle w:val="ListParagraph"/>
        <w:numPr>
          <w:ilvl w:val="1"/>
          <w:numId w:val="73"/>
        </w:numPr>
        <w:tabs>
          <w:tab w:val="left" w:pos="2970"/>
        </w:tabs>
        <w:spacing w:line="276" w:lineRule="auto"/>
        <w:ind w:left="3060"/>
        <w:jc w:val="both"/>
        <w:rPr>
          <w:rFonts w:cs="Times New Roman"/>
          <w:b/>
          <w:color w:val="000000" w:themeColor="text1"/>
          <w:sz w:val="28"/>
          <w:szCs w:val="28"/>
          <w:lang w:val="en-NZ"/>
        </w:rPr>
      </w:pPr>
      <w:r w:rsidRPr="00000C93">
        <w:rPr>
          <w:rFonts w:cs="Times New Roman"/>
          <w:b/>
          <w:color w:val="000000" w:themeColor="text1"/>
          <w:sz w:val="28"/>
          <w:szCs w:val="28"/>
          <w:lang w:val="en-NZ"/>
        </w:rPr>
        <w:t>the recognition of Māori water rights.</w:t>
      </w:r>
    </w:p>
    <w:p w14:paraId="493EDCAB" w14:textId="6C4CBAB7" w:rsidR="003C4406" w:rsidRPr="00DA2390" w:rsidRDefault="003C4406" w:rsidP="00DA2390">
      <w:pPr>
        <w:spacing w:line="360" w:lineRule="auto"/>
        <w:jc w:val="both"/>
        <w:rPr>
          <w:rFonts w:cs="Times New Roman"/>
          <w:b/>
          <w:sz w:val="28"/>
          <w:szCs w:val="28"/>
          <w:lang w:val="en-AU"/>
        </w:rPr>
      </w:pPr>
    </w:p>
    <w:p w14:paraId="2525D83D" w14:textId="77777777" w:rsidR="003C4406" w:rsidRPr="00FC17F1" w:rsidRDefault="003C4406" w:rsidP="00FC17F1">
      <w:pPr>
        <w:spacing w:line="360" w:lineRule="auto"/>
        <w:jc w:val="both"/>
        <w:rPr>
          <w:rFonts w:cs="Times New Roman"/>
          <w:b/>
          <w:smallCaps/>
          <w:color w:val="000000" w:themeColor="text1"/>
          <w:sz w:val="28"/>
          <w:szCs w:val="28"/>
        </w:rPr>
      </w:pPr>
    </w:p>
    <w:p w14:paraId="3A153E26" w14:textId="56A3DE2A" w:rsidR="007A42A8" w:rsidRDefault="007A42A8"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 xml:space="preserve">Articles 13 </w:t>
      </w:r>
      <w:r w:rsidR="003F2110">
        <w:rPr>
          <w:rFonts w:cs="Times New Roman"/>
          <w:b/>
          <w:smallCaps/>
          <w:color w:val="000000" w:themeColor="text1"/>
          <w:sz w:val="28"/>
          <w:szCs w:val="28"/>
        </w:rPr>
        <w:t>A</w:t>
      </w:r>
      <w:r>
        <w:rPr>
          <w:rFonts w:cs="Times New Roman"/>
          <w:b/>
          <w:smallCaps/>
          <w:color w:val="000000" w:themeColor="text1"/>
          <w:sz w:val="28"/>
          <w:szCs w:val="28"/>
        </w:rPr>
        <w:t>nd 14</w:t>
      </w:r>
    </w:p>
    <w:p w14:paraId="58C3705E" w14:textId="00538C50" w:rsidR="00C02197"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24</w:t>
      </w:r>
    </w:p>
    <w:p w14:paraId="509DA433" w14:textId="4AB1118B" w:rsidR="003C4406" w:rsidRDefault="003C4406" w:rsidP="00FC17F1">
      <w:pPr>
        <w:spacing w:line="360" w:lineRule="auto"/>
        <w:jc w:val="both"/>
        <w:rPr>
          <w:rFonts w:cs="Times New Roman"/>
          <w:b/>
          <w:sz w:val="28"/>
          <w:szCs w:val="28"/>
        </w:rPr>
      </w:pPr>
      <w:r w:rsidRPr="00DA2390">
        <w:rPr>
          <w:rFonts w:cs="Times New Roman"/>
          <w:b/>
          <w:sz w:val="28"/>
          <w:szCs w:val="28"/>
        </w:rPr>
        <w:t>Please provide statistical data on the educational outcomes from children from disadvantaged and marginalised households, disaggregated by gender, ethnicity and family status. Please provide information on support to households that may not be able to afford the indirect costs of schooling so as to ensure that access to education, including to secondary education, is not impaired due to such costs.</w:t>
      </w:r>
    </w:p>
    <w:p w14:paraId="08D9D5C7" w14:textId="678EC972" w:rsidR="003C4406" w:rsidRPr="00DA2390" w:rsidRDefault="003C4406" w:rsidP="00DA2390">
      <w:pPr>
        <w:pStyle w:val="ListParagraph"/>
        <w:numPr>
          <w:ilvl w:val="0"/>
          <w:numId w:val="76"/>
        </w:numPr>
        <w:spacing w:line="360" w:lineRule="auto"/>
        <w:ind w:left="1080" w:hanging="450"/>
        <w:jc w:val="both"/>
        <w:rPr>
          <w:rFonts w:cs="Times New Roman"/>
          <w:b/>
          <w:sz w:val="28"/>
          <w:szCs w:val="28"/>
        </w:rPr>
      </w:pPr>
      <w:r w:rsidRPr="00FC17F1">
        <w:rPr>
          <w:rFonts w:cs="Times New Roman"/>
          <w:b/>
          <w:sz w:val="28"/>
          <w:szCs w:val="28"/>
        </w:rPr>
        <w:t xml:space="preserve">As with other sections of this report emphasis has been concentrated on proposed </w:t>
      </w:r>
      <w:r>
        <w:rPr>
          <w:rFonts w:cs="Times New Roman"/>
          <w:b/>
          <w:sz w:val="28"/>
          <w:szCs w:val="28"/>
        </w:rPr>
        <w:t>policies</w:t>
      </w:r>
      <w:r w:rsidRPr="00FC17F1">
        <w:rPr>
          <w:rFonts w:cs="Times New Roman"/>
          <w:b/>
          <w:sz w:val="28"/>
          <w:szCs w:val="28"/>
        </w:rPr>
        <w:t xml:space="preserve">. The HRF again recommends </w:t>
      </w:r>
      <w:r w:rsidRPr="00FC17F1">
        <w:rPr>
          <w:rFonts w:cs="Times New Roman"/>
          <w:b/>
          <w:sz w:val="28"/>
          <w:szCs w:val="28"/>
        </w:rPr>
        <w:lastRenderedPageBreak/>
        <w:t>that the Committee establish a timetable for reporting on progress</w:t>
      </w:r>
      <w:r>
        <w:rPr>
          <w:rFonts w:cs="Times New Roman"/>
          <w:b/>
          <w:sz w:val="28"/>
          <w:szCs w:val="28"/>
        </w:rPr>
        <w:t xml:space="preserve"> </w:t>
      </w:r>
      <w:r w:rsidR="003F2110">
        <w:rPr>
          <w:rFonts w:cs="Times New Roman"/>
          <w:b/>
          <w:sz w:val="28"/>
          <w:szCs w:val="28"/>
        </w:rPr>
        <w:t>on these</w:t>
      </w:r>
      <w:r>
        <w:rPr>
          <w:rFonts w:cs="Times New Roman"/>
          <w:b/>
          <w:sz w:val="28"/>
          <w:szCs w:val="28"/>
        </w:rPr>
        <w:t xml:space="preserve"> proposed wide-ranging reforms in realising the right to education at all levels.  </w:t>
      </w:r>
    </w:p>
    <w:p w14:paraId="27EAE832" w14:textId="77777777" w:rsidR="003C4406" w:rsidRPr="00B94DC0" w:rsidRDefault="003C4406" w:rsidP="00DA2390">
      <w:pPr>
        <w:pStyle w:val="NormalWeb"/>
        <w:numPr>
          <w:ilvl w:val="0"/>
          <w:numId w:val="76"/>
        </w:numPr>
        <w:spacing w:before="0" w:beforeAutospacing="0" w:after="0" w:afterAutospacing="0" w:line="360" w:lineRule="auto"/>
        <w:ind w:left="1080" w:hanging="450"/>
        <w:jc w:val="both"/>
        <w:textAlignment w:val="baseline"/>
        <w:rPr>
          <w:b/>
          <w:sz w:val="28"/>
          <w:szCs w:val="28"/>
        </w:rPr>
      </w:pPr>
      <w:r>
        <w:rPr>
          <w:b/>
          <w:sz w:val="28"/>
          <w:szCs w:val="28"/>
        </w:rPr>
        <w:t xml:space="preserve"> </w:t>
      </w:r>
      <w:r w:rsidRPr="00B94DC0">
        <w:rPr>
          <w:b/>
          <w:sz w:val="28"/>
          <w:szCs w:val="28"/>
        </w:rPr>
        <w:t>On all these issues, including the rights of children with disabilities, the HRF also endorses the report and recommendations of  CPAG/ACYA pp.12 to15.</w:t>
      </w:r>
    </w:p>
    <w:p w14:paraId="0256FE49" w14:textId="77777777" w:rsidR="003C4406" w:rsidRDefault="003C4406" w:rsidP="00FC17F1">
      <w:pPr>
        <w:spacing w:line="360" w:lineRule="auto"/>
        <w:jc w:val="both"/>
        <w:rPr>
          <w:rFonts w:cs="Times New Roman"/>
          <w:b/>
          <w:sz w:val="28"/>
          <w:szCs w:val="28"/>
        </w:rPr>
      </w:pPr>
    </w:p>
    <w:p w14:paraId="092E9536" w14:textId="77777777" w:rsidR="003C4406" w:rsidRPr="00DA2390" w:rsidRDefault="003C4406" w:rsidP="00FC17F1">
      <w:pPr>
        <w:spacing w:line="360" w:lineRule="auto"/>
        <w:jc w:val="both"/>
        <w:rPr>
          <w:rFonts w:cs="Times New Roman"/>
          <w:b/>
          <w:sz w:val="28"/>
          <w:szCs w:val="28"/>
        </w:rPr>
      </w:pPr>
    </w:p>
    <w:p w14:paraId="670C7B2A" w14:textId="539CA48D" w:rsidR="00AC4DF1" w:rsidRPr="00FC17F1" w:rsidRDefault="00C02197" w:rsidP="00FC17F1">
      <w:pPr>
        <w:spacing w:line="360" w:lineRule="auto"/>
        <w:jc w:val="both"/>
        <w:rPr>
          <w:rFonts w:cs="Times New Roman"/>
          <w:b/>
          <w:smallCaps/>
          <w:color w:val="000000" w:themeColor="text1"/>
          <w:sz w:val="28"/>
          <w:szCs w:val="28"/>
        </w:rPr>
      </w:pPr>
      <w:r w:rsidRPr="00FC17F1">
        <w:rPr>
          <w:rFonts w:cs="Times New Roman"/>
          <w:b/>
          <w:smallCaps/>
          <w:color w:val="000000" w:themeColor="text1"/>
          <w:sz w:val="28"/>
          <w:szCs w:val="28"/>
        </w:rPr>
        <w:t>Question 25</w:t>
      </w:r>
    </w:p>
    <w:p w14:paraId="29C59DEF" w14:textId="043D452E" w:rsidR="00C02197" w:rsidRDefault="007C592E" w:rsidP="00FC17F1">
      <w:pPr>
        <w:spacing w:line="360" w:lineRule="auto"/>
        <w:jc w:val="both"/>
        <w:rPr>
          <w:rFonts w:cs="Times New Roman"/>
          <w:b/>
          <w:sz w:val="28"/>
          <w:szCs w:val="28"/>
        </w:rPr>
      </w:pPr>
      <w:r w:rsidRPr="00DA2390">
        <w:rPr>
          <w:rFonts w:cs="Times New Roman"/>
          <w:b/>
          <w:sz w:val="28"/>
          <w:szCs w:val="28"/>
        </w:rPr>
        <w:t>Implementation developed by the State party during the reporting period that have effectively contributed to the realisation of economic, social and cultural rights of marginalised and disadvantaged individuals and groups. Please indicate how the Committee’s previous concluding observations (E/C.12/NZL/CO/3) have been taken into account in developing such practices</w:t>
      </w:r>
      <w:r>
        <w:rPr>
          <w:rFonts w:cs="Times New Roman"/>
          <w:b/>
          <w:sz w:val="28"/>
          <w:szCs w:val="28"/>
        </w:rPr>
        <w:t>.</w:t>
      </w:r>
    </w:p>
    <w:p w14:paraId="78BA005C" w14:textId="6BD31299" w:rsidR="007C592E" w:rsidRDefault="007C592E" w:rsidP="00DA2390">
      <w:pPr>
        <w:pStyle w:val="ListParagraph"/>
        <w:numPr>
          <w:ilvl w:val="0"/>
          <w:numId w:val="79"/>
        </w:numPr>
        <w:spacing w:line="360" w:lineRule="auto"/>
        <w:ind w:left="1170" w:hanging="540"/>
        <w:jc w:val="both"/>
        <w:rPr>
          <w:rFonts w:cs="Times New Roman"/>
          <w:b/>
          <w:color w:val="000000" w:themeColor="text1"/>
          <w:sz w:val="28"/>
          <w:szCs w:val="28"/>
        </w:rPr>
      </w:pPr>
      <w:r w:rsidRPr="00000C93">
        <w:rPr>
          <w:rFonts w:cs="Times New Roman"/>
          <w:b/>
          <w:color w:val="000000" w:themeColor="text1"/>
          <w:sz w:val="28"/>
          <w:szCs w:val="28"/>
        </w:rPr>
        <w:t xml:space="preserve">The HRF recommends that the Committee encourage the Government </w:t>
      </w:r>
      <w:r w:rsidR="003F2110" w:rsidRPr="00000C93">
        <w:rPr>
          <w:rFonts w:cs="Times New Roman"/>
          <w:b/>
          <w:color w:val="000000" w:themeColor="text1"/>
          <w:sz w:val="28"/>
          <w:szCs w:val="28"/>
        </w:rPr>
        <w:t>to take</w:t>
      </w:r>
      <w:r w:rsidRPr="00000C93">
        <w:rPr>
          <w:rFonts w:cs="Times New Roman"/>
          <w:b/>
          <w:color w:val="000000" w:themeColor="text1"/>
          <w:sz w:val="28"/>
          <w:szCs w:val="28"/>
        </w:rPr>
        <w:t xml:space="preserve"> responsibility for the NAP and that the HRA 1993 be amended accordingly</w:t>
      </w:r>
      <w:r>
        <w:rPr>
          <w:rFonts w:cs="Times New Roman"/>
          <w:b/>
          <w:color w:val="000000" w:themeColor="text1"/>
          <w:sz w:val="28"/>
          <w:szCs w:val="28"/>
        </w:rPr>
        <w:t>.</w:t>
      </w:r>
    </w:p>
    <w:p w14:paraId="3AB57845" w14:textId="77777777" w:rsidR="007C592E" w:rsidRPr="00FC17F1" w:rsidRDefault="007C592E" w:rsidP="00DA2390">
      <w:pPr>
        <w:pStyle w:val="ListParagraph"/>
        <w:numPr>
          <w:ilvl w:val="0"/>
          <w:numId w:val="79"/>
        </w:numPr>
        <w:spacing w:line="360" w:lineRule="auto"/>
        <w:ind w:left="1170" w:hanging="540"/>
        <w:jc w:val="both"/>
        <w:rPr>
          <w:rFonts w:cs="Times New Roman"/>
          <w:b/>
          <w:color w:val="000000" w:themeColor="text1"/>
          <w:sz w:val="28"/>
          <w:szCs w:val="28"/>
        </w:rPr>
      </w:pPr>
      <w:r w:rsidRPr="00FC17F1">
        <w:rPr>
          <w:rFonts w:cs="Times New Roman"/>
          <w:b/>
          <w:color w:val="000000" w:themeColor="text1"/>
          <w:sz w:val="28"/>
          <w:szCs w:val="28"/>
        </w:rPr>
        <w:t>The HRF recommends the establishment of a Human Rights Commissioner appointment process that provides for the involvement of Parliament, possibly as one responsibility of a Parliamentary Select Committee on Human Rights.</w:t>
      </w:r>
    </w:p>
    <w:p w14:paraId="73BDD9F2" w14:textId="3C969B43" w:rsidR="007C592E" w:rsidRDefault="007C592E">
      <w:pPr>
        <w:pStyle w:val="ListParagraph"/>
        <w:numPr>
          <w:ilvl w:val="0"/>
          <w:numId w:val="79"/>
        </w:numPr>
        <w:spacing w:line="360" w:lineRule="auto"/>
        <w:ind w:left="1170" w:hanging="540"/>
        <w:jc w:val="both"/>
        <w:rPr>
          <w:b/>
          <w:sz w:val="28"/>
          <w:szCs w:val="28"/>
        </w:rPr>
      </w:pPr>
      <w:r w:rsidRPr="00FC17F1">
        <w:rPr>
          <w:b/>
          <w:sz w:val="28"/>
          <w:szCs w:val="28"/>
        </w:rPr>
        <w:t xml:space="preserve">The HRF recommends that the New Zealand Government work towards the ratification of the CRMWF and the CED and the making of the Optional Declaration under ICERD Article 14; and endorses the recommendation of the report of the CTU </w:t>
      </w:r>
      <w:r w:rsidR="007A42A8">
        <w:rPr>
          <w:b/>
          <w:sz w:val="28"/>
          <w:szCs w:val="28"/>
        </w:rPr>
        <w:t xml:space="preserve">at para.2.7 </w:t>
      </w:r>
      <w:r w:rsidRPr="00FC17F1">
        <w:rPr>
          <w:b/>
          <w:sz w:val="28"/>
          <w:szCs w:val="28"/>
        </w:rPr>
        <w:t>as to the ratification of ILO Convention 87.</w:t>
      </w:r>
    </w:p>
    <w:p w14:paraId="78CF38B8" w14:textId="2BB088E8" w:rsidR="007A42A8" w:rsidRDefault="007A42A8" w:rsidP="007A42A8">
      <w:pPr>
        <w:pStyle w:val="ListParagraph"/>
        <w:spacing w:line="360" w:lineRule="auto"/>
        <w:ind w:left="1170"/>
        <w:jc w:val="both"/>
        <w:rPr>
          <w:b/>
          <w:sz w:val="28"/>
          <w:szCs w:val="28"/>
        </w:rPr>
      </w:pPr>
    </w:p>
    <w:p w14:paraId="2E80FC9B" w14:textId="70688373" w:rsidR="007A42A8" w:rsidRPr="00DA2390" w:rsidRDefault="007A42A8" w:rsidP="00DA2390">
      <w:pPr>
        <w:spacing w:line="360" w:lineRule="auto"/>
        <w:jc w:val="both"/>
        <w:rPr>
          <w:b/>
          <w:sz w:val="32"/>
          <w:szCs w:val="32"/>
          <w:u w:val="single"/>
        </w:rPr>
      </w:pPr>
      <w:r w:rsidRPr="00DA2390">
        <w:rPr>
          <w:b/>
          <w:sz w:val="32"/>
          <w:szCs w:val="32"/>
          <w:u w:val="single"/>
        </w:rPr>
        <w:t>Two additional issues</w:t>
      </w:r>
    </w:p>
    <w:p w14:paraId="7487BCDF" w14:textId="77777777" w:rsidR="003334FF" w:rsidRPr="00DA2390" w:rsidRDefault="003334FF" w:rsidP="007A42A8">
      <w:pPr>
        <w:pStyle w:val="ListParagraph"/>
        <w:spacing w:line="360" w:lineRule="auto"/>
        <w:ind w:left="1170"/>
        <w:jc w:val="both"/>
        <w:rPr>
          <w:b/>
          <w:sz w:val="32"/>
          <w:szCs w:val="32"/>
          <w:u w:val="single"/>
        </w:rPr>
      </w:pPr>
    </w:p>
    <w:p w14:paraId="3BC08B8F" w14:textId="2D8849E1" w:rsidR="007A42A8" w:rsidRPr="00DA2390" w:rsidRDefault="007A42A8" w:rsidP="00DA2390">
      <w:pPr>
        <w:spacing w:line="360" w:lineRule="auto"/>
        <w:jc w:val="both"/>
        <w:rPr>
          <w:b/>
          <w:sz w:val="32"/>
          <w:szCs w:val="32"/>
        </w:rPr>
      </w:pPr>
      <w:r w:rsidRPr="00DA2390">
        <w:rPr>
          <w:b/>
          <w:sz w:val="32"/>
          <w:szCs w:val="32"/>
        </w:rPr>
        <w:t>Article 2(2)</w:t>
      </w:r>
      <w:r w:rsidR="003F2110">
        <w:rPr>
          <w:b/>
          <w:sz w:val="32"/>
          <w:szCs w:val="32"/>
        </w:rPr>
        <w:t xml:space="preserve"> </w:t>
      </w:r>
      <w:r w:rsidRPr="00DA2390">
        <w:rPr>
          <w:b/>
          <w:sz w:val="32"/>
          <w:szCs w:val="32"/>
        </w:rPr>
        <w:t>The rights of older persons</w:t>
      </w:r>
    </w:p>
    <w:p w14:paraId="3D9266A4" w14:textId="77777777" w:rsidR="00E31421" w:rsidRDefault="00E31421" w:rsidP="007A42A8">
      <w:pPr>
        <w:pStyle w:val="ListParagraph"/>
        <w:spacing w:line="360" w:lineRule="auto"/>
        <w:ind w:left="1170"/>
        <w:jc w:val="both"/>
        <w:rPr>
          <w:b/>
          <w:sz w:val="32"/>
          <w:szCs w:val="32"/>
        </w:rPr>
      </w:pPr>
    </w:p>
    <w:p w14:paraId="05BA8D66" w14:textId="03A2F353" w:rsidR="00E31421" w:rsidRDefault="00E31421" w:rsidP="00E31421">
      <w:pPr>
        <w:spacing w:line="360" w:lineRule="auto"/>
        <w:jc w:val="both"/>
        <w:rPr>
          <w:rFonts w:cs="Times New Roman"/>
          <w:b/>
          <w:bCs/>
          <w:color w:val="000000" w:themeColor="text1"/>
          <w:sz w:val="28"/>
          <w:szCs w:val="28"/>
          <w:lang w:val="en-US"/>
        </w:rPr>
      </w:pPr>
      <w:r>
        <w:rPr>
          <w:rFonts w:cs="Times New Roman"/>
          <w:b/>
          <w:bCs/>
          <w:color w:val="000000" w:themeColor="text1"/>
          <w:sz w:val="28"/>
          <w:szCs w:val="28"/>
          <w:lang w:val="en-US"/>
        </w:rPr>
        <w:t xml:space="preserve">                The HRF recommends that:</w:t>
      </w:r>
    </w:p>
    <w:p w14:paraId="60CF40EB" w14:textId="77777777" w:rsidR="00E31421" w:rsidRPr="00C37B4D" w:rsidRDefault="00E31421" w:rsidP="00E31421">
      <w:pPr>
        <w:spacing w:line="360" w:lineRule="auto"/>
        <w:jc w:val="both"/>
        <w:rPr>
          <w:rFonts w:cs="Times New Roman"/>
          <w:b/>
          <w:bCs/>
          <w:color w:val="000000" w:themeColor="text1"/>
          <w:sz w:val="28"/>
          <w:szCs w:val="28"/>
          <w:lang w:val="en-US"/>
        </w:rPr>
      </w:pPr>
    </w:p>
    <w:p w14:paraId="09FA606D" w14:textId="5609F6EF"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C37B4D">
        <w:rPr>
          <w:rFonts w:cs="Times New Roman"/>
          <w:bCs/>
          <w:color w:val="000000" w:themeColor="text1"/>
          <w:sz w:val="28"/>
          <w:szCs w:val="28"/>
          <w:lang w:val="en-US"/>
        </w:rPr>
        <w:t xml:space="preserve"> </w:t>
      </w:r>
      <w:r w:rsidRPr="00FC17F1">
        <w:rPr>
          <w:rFonts w:cs="Times New Roman"/>
          <w:b/>
          <w:bCs/>
          <w:color w:val="000000" w:themeColor="text1"/>
          <w:sz w:val="28"/>
          <w:szCs w:val="28"/>
          <w:lang w:val="en-US"/>
        </w:rPr>
        <w:t xml:space="preserve">Given the growing number of people over 50 who still need to work in order to enjoy an adequate standard of living there is a need for the New Zealand Government to introduce stringent sanctions designed to deter employers and potential employers from discriminating older employees and job applicants. </w:t>
      </w:r>
    </w:p>
    <w:p w14:paraId="6551DC09" w14:textId="77777777" w:rsidR="00E31421" w:rsidRPr="00FC17F1" w:rsidRDefault="00E31421" w:rsidP="00E31421">
      <w:pPr>
        <w:spacing w:line="360" w:lineRule="auto"/>
        <w:jc w:val="both"/>
        <w:rPr>
          <w:rFonts w:cs="Times New Roman"/>
          <w:b/>
          <w:bCs/>
          <w:color w:val="000000" w:themeColor="text1"/>
          <w:sz w:val="28"/>
          <w:szCs w:val="28"/>
          <w:lang w:val="en-US"/>
        </w:rPr>
      </w:pPr>
    </w:p>
    <w:p w14:paraId="10732615" w14:textId="77777777"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There is also an urgent need for a Public Inquiry into age discrimination. Such an inquiry should focus on the extent of the problem in New Zealand, the lack of transparency in relation to hiring decisions, and ways in which hiring decisions can be made more transparent.</w:t>
      </w:r>
    </w:p>
    <w:p w14:paraId="2C889AD1" w14:textId="77777777" w:rsidR="00E31421" w:rsidRPr="00FC17F1" w:rsidRDefault="00E31421" w:rsidP="00E31421">
      <w:pPr>
        <w:spacing w:line="360" w:lineRule="auto"/>
        <w:jc w:val="both"/>
        <w:rPr>
          <w:rFonts w:cs="Times New Roman"/>
          <w:b/>
          <w:bCs/>
          <w:color w:val="000000" w:themeColor="text1"/>
          <w:sz w:val="28"/>
          <w:szCs w:val="28"/>
          <w:lang w:val="en-US"/>
        </w:rPr>
      </w:pPr>
    </w:p>
    <w:p w14:paraId="0FA81DB1" w14:textId="77777777" w:rsidR="00E31421" w:rsidRPr="00FC17F1" w:rsidRDefault="00E31421" w:rsidP="00E31421">
      <w:pPr>
        <w:jc w:val="both"/>
        <w:rPr>
          <w:b/>
          <w:lang w:val="en-US"/>
        </w:rPr>
      </w:pPr>
    </w:p>
    <w:p w14:paraId="3F87DA01" w14:textId="1B7D5EE9"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The New Zealand Government should increase (if necessary, means-tested) the NZS entitlement provided to older New Zealanders who are currently experiencing financial hardship and is available to those who are likely to experience such hardship in the future. </w:t>
      </w:r>
    </w:p>
    <w:p w14:paraId="59C335DF" w14:textId="77777777" w:rsidR="00E31421" w:rsidRPr="0063011E" w:rsidRDefault="00E31421" w:rsidP="00E31421">
      <w:pPr>
        <w:spacing w:line="360" w:lineRule="auto"/>
        <w:jc w:val="both"/>
        <w:rPr>
          <w:rFonts w:cs="Times New Roman"/>
          <w:b/>
          <w:bCs/>
          <w:color w:val="000000" w:themeColor="text1"/>
          <w:sz w:val="28"/>
          <w:szCs w:val="28"/>
          <w:lang w:val="en-US"/>
        </w:rPr>
      </w:pPr>
    </w:p>
    <w:p w14:paraId="30F6A03A" w14:textId="77777777"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In order to help older people, their families and advisors to quickly identify the range of Benefits, Subsidies Allowances and Grants that are, or may be, available to them, a separate Senior Citizens’ Benefits, Subsidies Allowances and Grants Act should be enacted which sets out those benefits in one place. Similarly, a </w:t>
      </w:r>
      <w:r w:rsidRPr="00FC17F1">
        <w:rPr>
          <w:rFonts w:cs="Times New Roman"/>
          <w:b/>
          <w:bCs/>
          <w:color w:val="000000" w:themeColor="text1"/>
          <w:sz w:val="28"/>
          <w:szCs w:val="28"/>
          <w:lang w:val="en-US"/>
        </w:rPr>
        <w:lastRenderedPageBreak/>
        <w:t xml:space="preserve">single regulation about benefits, subsidies and grants should also be promulgated with a title such as the Senior Citizens’ Benefits, Subsidies Allowances and Grants Regulation. </w:t>
      </w:r>
    </w:p>
    <w:p w14:paraId="006DA059" w14:textId="77777777" w:rsidR="00E31421" w:rsidRPr="00FC17F1" w:rsidRDefault="00E31421" w:rsidP="00E31421">
      <w:pPr>
        <w:spacing w:line="360" w:lineRule="auto"/>
        <w:jc w:val="both"/>
        <w:rPr>
          <w:rFonts w:cs="Times New Roman"/>
          <w:b/>
          <w:bCs/>
          <w:color w:val="000000" w:themeColor="text1"/>
          <w:sz w:val="28"/>
          <w:szCs w:val="28"/>
          <w:lang w:val="en-US"/>
        </w:rPr>
      </w:pPr>
    </w:p>
    <w:p w14:paraId="08AD308E" w14:textId="77777777"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Information about the Act and Regulations could then be consolidated on a single website containing all the supporting information (including application forms and practical advice about how to meet the eligibility criteria for each type of benefit or other form of assistance) relevant to the forms of financial support contained in the suggested Act and Regulations. This initiative should also be supported by the provision of trained and free advocates who can assist older people to navigate their way through the labyrinth of application processes and to represent them in their dealings with the agencies who handle pensions and benefits.</w:t>
      </w:r>
    </w:p>
    <w:p w14:paraId="772C703B" w14:textId="77777777" w:rsidR="00E31421" w:rsidRPr="00FC17F1" w:rsidRDefault="00E31421" w:rsidP="00E31421">
      <w:pPr>
        <w:spacing w:line="360" w:lineRule="auto"/>
        <w:jc w:val="both"/>
        <w:rPr>
          <w:rFonts w:cs="Times New Roman"/>
          <w:b/>
          <w:bCs/>
          <w:color w:val="000000" w:themeColor="text1"/>
          <w:sz w:val="28"/>
          <w:szCs w:val="28"/>
          <w:lang w:val="en-US"/>
        </w:rPr>
      </w:pPr>
    </w:p>
    <w:p w14:paraId="7EDA790F" w14:textId="77777777"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The benefits of adopting this suggested solution are that it would:</w:t>
      </w:r>
    </w:p>
    <w:p w14:paraId="1E633328" w14:textId="77777777" w:rsidR="00E31421" w:rsidRPr="00FC17F1" w:rsidRDefault="00E31421" w:rsidP="00E31421">
      <w:pPr>
        <w:pStyle w:val="ListParagraph"/>
        <w:numPr>
          <w:ilvl w:val="0"/>
          <w:numId w:val="12"/>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Support the Government’s Ageing in Place policy by demonstrating that the Government is serious about providing “older person friendly” support to those who wish to remain in their own homes;</w:t>
      </w:r>
    </w:p>
    <w:p w14:paraId="5EAE3F00" w14:textId="77777777" w:rsidR="00E31421" w:rsidRPr="00FC17F1" w:rsidRDefault="00E31421" w:rsidP="00E31421">
      <w:pPr>
        <w:numPr>
          <w:ilvl w:val="0"/>
          <w:numId w:val="12"/>
        </w:numPr>
        <w:tabs>
          <w:tab w:val="left" w:pos="1890"/>
        </w:tabs>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Greatly assist family members and support persons for older people to easily identify the forms of benefits and other assistance for which older people are entitled to apply;</w:t>
      </w:r>
    </w:p>
    <w:p w14:paraId="5DB3C90D" w14:textId="77777777" w:rsidR="00E31421" w:rsidRPr="00FC17F1" w:rsidRDefault="00E31421" w:rsidP="00E31421">
      <w:pPr>
        <w:numPr>
          <w:ilvl w:val="0"/>
          <w:numId w:val="12"/>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Enhance New Zealand’s good reputation as a champion of human rights (especially ESC rights) and a respecter of the rights of older people by removing barriers that have the </w:t>
      </w:r>
      <w:r w:rsidRPr="00FC17F1">
        <w:rPr>
          <w:rFonts w:cs="Times New Roman"/>
          <w:b/>
          <w:bCs/>
          <w:color w:val="000000" w:themeColor="text1"/>
          <w:sz w:val="28"/>
          <w:szCs w:val="28"/>
          <w:lang w:val="en-US"/>
        </w:rPr>
        <w:lastRenderedPageBreak/>
        <w:t xml:space="preserve">potential to impede easy access by older people to information about benefits and assistance for which they are, or may be, eligible. </w:t>
      </w:r>
    </w:p>
    <w:p w14:paraId="5534E0B2" w14:textId="77777777" w:rsidR="00E31421" w:rsidRPr="00FC17F1" w:rsidRDefault="00E31421" w:rsidP="00E31421">
      <w:pPr>
        <w:spacing w:line="360" w:lineRule="auto"/>
        <w:jc w:val="both"/>
        <w:rPr>
          <w:rFonts w:cs="Times New Roman"/>
          <w:b/>
          <w:bCs/>
          <w:color w:val="000000" w:themeColor="text1"/>
          <w:sz w:val="28"/>
          <w:szCs w:val="28"/>
          <w:lang w:val="en-US"/>
        </w:rPr>
      </w:pPr>
    </w:p>
    <w:p w14:paraId="689CF8DC" w14:textId="33AED6B4" w:rsidR="00E31421" w:rsidRPr="00FC17F1" w:rsidRDefault="00E31421" w:rsidP="00DA2390">
      <w:pPr>
        <w:pStyle w:val="ListParagraph"/>
        <w:numPr>
          <w:ilvl w:val="0"/>
          <w:numId w:val="79"/>
        </w:numPr>
        <w:spacing w:line="360" w:lineRule="auto"/>
        <w:ind w:left="90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In order to contain, control and reduce the level of elder abuse in New Zealand the Government </w:t>
      </w:r>
      <w:r w:rsidR="003F2110" w:rsidRPr="00FC17F1">
        <w:rPr>
          <w:rFonts w:cs="Times New Roman"/>
          <w:b/>
          <w:bCs/>
          <w:color w:val="000000" w:themeColor="text1"/>
          <w:sz w:val="28"/>
          <w:szCs w:val="28"/>
          <w:lang w:val="en-US"/>
        </w:rPr>
        <w:t>should provide</w:t>
      </w:r>
      <w:r w:rsidRPr="00FC17F1">
        <w:rPr>
          <w:rFonts w:cs="Times New Roman"/>
          <w:b/>
          <w:bCs/>
          <w:color w:val="000000" w:themeColor="text1"/>
          <w:sz w:val="28"/>
          <w:szCs w:val="28"/>
          <w:lang w:val="en-US"/>
        </w:rPr>
        <w:t xml:space="preserve"> a far greater level of financial support to the elder abuse network by:</w:t>
      </w:r>
    </w:p>
    <w:p w14:paraId="6903F4D9" w14:textId="77777777" w:rsidR="00E31421" w:rsidRPr="00FC17F1" w:rsidRDefault="00E31421" w:rsidP="00E31421">
      <w:pPr>
        <w:pStyle w:val="ListParagraph"/>
        <w:spacing w:line="360" w:lineRule="auto"/>
        <w:ind w:left="360"/>
        <w:jc w:val="both"/>
        <w:rPr>
          <w:rFonts w:cs="Times New Roman"/>
          <w:b/>
          <w:bCs/>
          <w:color w:val="000000" w:themeColor="text1"/>
          <w:sz w:val="28"/>
          <w:szCs w:val="28"/>
          <w:lang w:val="en-US"/>
        </w:rPr>
      </w:pPr>
    </w:p>
    <w:p w14:paraId="57D51C5F" w14:textId="77777777" w:rsidR="00E31421" w:rsidRPr="00FC17F1" w:rsidRDefault="00E31421" w:rsidP="00E31421">
      <w:pPr>
        <w:pStyle w:val="ListParagraph"/>
        <w:numPr>
          <w:ilvl w:val="0"/>
          <w:numId w:val="13"/>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Developing specialist, well</w:t>
      </w:r>
      <w:r>
        <w:rPr>
          <w:rFonts w:cs="Times New Roman"/>
          <w:b/>
          <w:bCs/>
          <w:color w:val="000000" w:themeColor="text1"/>
          <w:sz w:val="28"/>
          <w:szCs w:val="28"/>
          <w:lang w:val="en-US"/>
        </w:rPr>
        <w:t>-</w:t>
      </w:r>
      <w:r w:rsidRPr="00FC17F1">
        <w:rPr>
          <w:rFonts w:cs="Times New Roman"/>
          <w:b/>
          <w:bCs/>
          <w:color w:val="000000" w:themeColor="text1"/>
          <w:sz w:val="28"/>
          <w:szCs w:val="28"/>
          <w:lang w:val="en-US"/>
        </w:rPr>
        <w:t>resourced and nationwide groups of police units that focus exclusively on (a) investigating instances of elder abuse that are criminal in nature, and (b) ensuring that those proven to be responsible for such crimes are held responsible for their conduct;</w:t>
      </w:r>
    </w:p>
    <w:p w14:paraId="25AE45CD" w14:textId="77777777" w:rsidR="00E31421" w:rsidRPr="00FC17F1" w:rsidRDefault="00E31421" w:rsidP="00E31421">
      <w:pPr>
        <w:spacing w:line="360" w:lineRule="auto"/>
        <w:jc w:val="both"/>
        <w:rPr>
          <w:rFonts w:cs="Times New Roman"/>
          <w:b/>
          <w:bCs/>
          <w:color w:val="000000" w:themeColor="text1"/>
          <w:sz w:val="28"/>
          <w:szCs w:val="28"/>
          <w:lang w:val="en-US"/>
        </w:rPr>
      </w:pPr>
    </w:p>
    <w:p w14:paraId="29B8826B" w14:textId="77777777" w:rsidR="00E31421" w:rsidRPr="00FC17F1" w:rsidRDefault="00E31421" w:rsidP="00E31421">
      <w:pPr>
        <w:pStyle w:val="ListParagraph"/>
        <w:numPr>
          <w:ilvl w:val="0"/>
          <w:numId w:val="13"/>
        </w:numPr>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Ensuring that the amount of funds made available to agencies who support the victims of elder abuse is increased to a level which allows those agencies to employ many more staff and thereby increase their capacity to identify and assist the police with their task of effectively combating elder abuse in New Zealand both now and in the future;</w:t>
      </w:r>
    </w:p>
    <w:p w14:paraId="26701E83" w14:textId="77777777" w:rsidR="00E31421" w:rsidRPr="00FC17F1" w:rsidRDefault="00E31421" w:rsidP="00E31421">
      <w:pPr>
        <w:spacing w:line="360" w:lineRule="auto"/>
        <w:jc w:val="both"/>
        <w:rPr>
          <w:rFonts w:cs="Times New Roman"/>
          <w:b/>
          <w:bCs/>
          <w:color w:val="000000" w:themeColor="text1"/>
          <w:sz w:val="28"/>
          <w:szCs w:val="28"/>
          <w:lang w:val="en-US"/>
        </w:rPr>
      </w:pPr>
    </w:p>
    <w:p w14:paraId="364F40B0" w14:textId="77777777" w:rsidR="00E31421" w:rsidRPr="00FC17F1" w:rsidRDefault="00E31421" w:rsidP="00E31421">
      <w:pPr>
        <w:pStyle w:val="ListParagraph"/>
        <w:numPr>
          <w:ilvl w:val="0"/>
          <w:numId w:val="13"/>
        </w:numPr>
        <w:tabs>
          <w:tab w:val="left" w:pos="1440"/>
        </w:tabs>
        <w:spacing w:line="360" w:lineRule="auto"/>
        <w:ind w:left="1890"/>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Supporting a law change which will make it a criminal offence for those who are aware of actual or suspected cases of elder abuse to fail to report what they know or suspect to the police. </w:t>
      </w:r>
    </w:p>
    <w:p w14:paraId="19716327" w14:textId="77777777" w:rsidR="00E31421" w:rsidRPr="00FC17F1" w:rsidRDefault="00E31421" w:rsidP="00E31421">
      <w:pPr>
        <w:spacing w:line="360" w:lineRule="auto"/>
        <w:jc w:val="both"/>
        <w:rPr>
          <w:rFonts w:cs="Times New Roman"/>
          <w:b/>
          <w:bCs/>
          <w:color w:val="000000" w:themeColor="text1"/>
          <w:sz w:val="28"/>
          <w:szCs w:val="28"/>
          <w:lang w:val="en-US"/>
        </w:rPr>
      </w:pPr>
    </w:p>
    <w:p w14:paraId="2DF58006" w14:textId="77777777"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lastRenderedPageBreak/>
        <w:t>There should be an independent inquiry into the way in which waiting lists for elective surgery have been manipulated by successive Governments with a view to enacting a law to make it illegal to artificially dilute waiting list numbers by deliberately excluding from those lists, many people in genuine need of that surgery.</w:t>
      </w:r>
      <w:r w:rsidRPr="00FC17F1">
        <w:rPr>
          <w:vertAlign w:val="superscript"/>
          <w:lang w:val="en-US"/>
        </w:rPr>
        <w:footnoteReference w:id="135"/>
      </w:r>
      <w:r w:rsidRPr="00FC17F1">
        <w:rPr>
          <w:rFonts w:cs="Times New Roman"/>
          <w:b/>
          <w:bCs/>
          <w:color w:val="000000" w:themeColor="text1"/>
          <w:sz w:val="28"/>
          <w:szCs w:val="28"/>
          <w:lang w:val="en-US"/>
        </w:rPr>
        <w:t xml:space="preserve"> </w:t>
      </w:r>
    </w:p>
    <w:p w14:paraId="3E3D2A24" w14:textId="77777777" w:rsidR="00E31421" w:rsidRPr="00FC17F1" w:rsidRDefault="00E31421" w:rsidP="00E31421">
      <w:pPr>
        <w:pStyle w:val="ListParagraph"/>
        <w:spacing w:line="360" w:lineRule="auto"/>
        <w:ind w:left="850"/>
        <w:jc w:val="both"/>
        <w:rPr>
          <w:rFonts w:cs="Times New Roman"/>
          <w:b/>
          <w:bCs/>
          <w:color w:val="000000" w:themeColor="text1"/>
          <w:sz w:val="28"/>
          <w:szCs w:val="28"/>
          <w:lang w:val="en-US"/>
        </w:rPr>
      </w:pPr>
    </w:p>
    <w:p w14:paraId="4B867740" w14:textId="556F8ADC" w:rsidR="00E31421" w:rsidRPr="00FC17F1" w:rsidRDefault="00E31421" w:rsidP="00DA2390">
      <w:pPr>
        <w:pStyle w:val="ListParagraph"/>
        <w:numPr>
          <w:ilvl w:val="0"/>
          <w:numId w:val="79"/>
        </w:numPr>
        <w:spacing w:line="360" w:lineRule="auto"/>
        <w:jc w:val="both"/>
        <w:rPr>
          <w:rFonts w:cs="Times New Roman"/>
          <w:b/>
          <w:bCs/>
          <w:color w:val="000000" w:themeColor="text1"/>
          <w:sz w:val="28"/>
          <w:szCs w:val="28"/>
          <w:lang w:val="en-US"/>
        </w:rPr>
      </w:pPr>
      <w:r w:rsidRPr="00FC17F1">
        <w:rPr>
          <w:rFonts w:cs="Times New Roman"/>
          <w:b/>
          <w:bCs/>
          <w:color w:val="000000" w:themeColor="text1"/>
          <w:sz w:val="28"/>
          <w:szCs w:val="28"/>
          <w:lang w:val="en-US"/>
        </w:rPr>
        <w:t xml:space="preserve">The Government needs to take urgent steps to genuinely reduce the size of the elective surgery waiting list (if necessary by using the some charitable organizations </w:t>
      </w:r>
      <w:r w:rsidR="003F2110" w:rsidRPr="00FC17F1">
        <w:rPr>
          <w:rFonts w:cs="Times New Roman"/>
          <w:b/>
          <w:bCs/>
          <w:color w:val="000000" w:themeColor="text1"/>
          <w:sz w:val="28"/>
          <w:szCs w:val="28"/>
          <w:lang w:val="en-US"/>
        </w:rPr>
        <w:t>that</w:t>
      </w:r>
      <w:r w:rsidRPr="00FC17F1">
        <w:rPr>
          <w:rFonts w:cs="Times New Roman"/>
          <w:b/>
          <w:bCs/>
          <w:color w:val="000000" w:themeColor="text1"/>
          <w:sz w:val="28"/>
          <w:szCs w:val="28"/>
          <w:lang w:val="en-US"/>
        </w:rPr>
        <w:t xml:space="preserve"> carry out simple operations (eg, the Fred Hollows Foundation for cataract surgeries). </w:t>
      </w:r>
    </w:p>
    <w:p w14:paraId="0099B9BB" w14:textId="77777777" w:rsidR="00E31421" w:rsidRPr="00FC17F1" w:rsidRDefault="00E31421" w:rsidP="00E31421">
      <w:pPr>
        <w:spacing w:line="360" w:lineRule="auto"/>
        <w:jc w:val="both"/>
        <w:rPr>
          <w:rFonts w:cs="Times New Roman"/>
          <w:b/>
          <w:bCs/>
          <w:color w:val="000000" w:themeColor="text1"/>
          <w:sz w:val="28"/>
          <w:szCs w:val="28"/>
          <w:lang w:val="en-US"/>
        </w:rPr>
      </w:pPr>
    </w:p>
    <w:p w14:paraId="2EB78F6A" w14:textId="65A30B22" w:rsidR="007A42A8" w:rsidRPr="00DA2390" w:rsidRDefault="003334FF" w:rsidP="00DA2390">
      <w:pPr>
        <w:spacing w:line="360" w:lineRule="auto"/>
        <w:jc w:val="both"/>
        <w:rPr>
          <w:b/>
          <w:sz w:val="32"/>
          <w:szCs w:val="32"/>
        </w:rPr>
      </w:pPr>
      <w:r w:rsidRPr="00DA2390">
        <w:rPr>
          <w:b/>
          <w:sz w:val="32"/>
          <w:szCs w:val="32"/>
        </w:rPr>
        <w:t xml:space="preserve"> </w:t>
      </w:r>
      <w:r w:rsidR="007A42A8" w:rsidRPr="00DA2390">
        <w:rPr>
          <w:b/>
          <w:sz w:val="32"/>
          <w:szCs w:val="32"/>
        </w:rPr>
        <w:t>Climate Change</w:t>
      </w:r>
    </w:p>
    <w:p w14:paraId="26BD1DC1" w14:textId="77777777" w:rsidR="003334FF" w:rsidRDefault="003334FF" w:rsidP="007A42A8">
      <w:pPr>
        <w:pStyle w:val="ListParagraph"/>
        <w:spacing w:line="360" w:lineRule="auto"/>
        <w:ind w:left="1170"/>
        <w:jc w:val="both"/>
        <w:rPr>
          <w:b/>
          <w:sz w:val="32"/>
          <w:szCs w:val="32"/>
        </w:rPr>
      </w:pPr>
    </w:p>
    <w:p w14:paraId="1953BC6C" w14:textId="0687F950" w:rsidR="003334FF" w:rsidRPr="00DA2390" w:rsidRDefault="003334FF" w:rsidP="00DA2390">
      <w:pPr>
        <w:pStyle w:val="ListParagraph"/>
        <w:numPr>
          <w:ilvl w:val="0"/>
          <w:numId w:val="79"/>
        </w:numPr>
        <w:shd w:val="clear" w:color="auto" w:fill="FFFFFF"/>
        <w:tabs>
          <w:tab w:val="left" w:pos="990"/>
        </w:tabs>
        <w:spacing w:line="360" w:lineRule="auto"/>
        <w:jc w:val="both"/>
        <w:rPr>
          <w:rFonts w:eastAsia="Times New Roman" w:cs="Times New Roman"/>
          <w:b/>
          <w:color w:val="222222"/>
          <w:sz w:val="28"/>
          <w:szCs w:val="28"/>
          <w:lang w:eastAsia="en-NZ"/>
        </w:rPr>
      </w:pPr>
      <w:r w:rsidRPr="00DA2390">
        <w:rPr>
          <w:rFonts w:eastAsia="Times New Roman" w:cs="Times New Roman"/>
          <w:b/>
          <w:color w:val="222222"/>
          <w:sz w:val="28"/>
          <w:szCs w:val="28"/>
          <w:lang w:eastAsia="en-NZ"/>
        </w:rPr>
        <w:t>The HRF recommends that the Committee:</w:t>
      </w:r>
    </w:p>
    <w:p w14:paraId="3C704291" w14:textId="77777777" w:rsidR="003334FF" w:rsidRPr="00D60546" w:rsidRDefault="003334FF" w:rsidP="003334FF">
      <w:pPr>
        <w:pStyle w:val="ListParagraph"/>
        <w:shd w:val="clear" w:color="auto" w:fill="FFFFFF"/>
        <w:spacing w:line="360" w:lineRule="auto"/>
        <w:ind w:left="1440"/>
        <w:jc w:val="both"/>
        <w:rPr>
          <w:rFonts w:eastAsia="Times New Roman" w:cs="Times New Roman"/>
          <w:b/>
          <w:color w:val="222222"/>
          <w:sz w:val="28"/>
          <w:szCs w:val="28"/>
          <w:lang w:eastAsia="en-NZ"/>
        </w:rPr>
      </w:pPr>
      <w:r w:rsidRPr="00D60546">
        <w:rPr>
          <w:rFonts w:eastAsia="Times New Roman" w:cs="Times New Roman"/>
          <w:b/>
          <w:color w:val="222222"/>
          <w:sz w:val="28"/>
          <w:szCs w:val="28"/>
          <w:lang w:eastAsia="en-NZ"/>
        </w:rPr>
        <w:t xml:space="preserve"> </w:t>
      </w:r>
    </w:p>
    <w:p w14:paraId="39B68B85" w14:textId="77777777" w:rsidR="003334FF" w:rsidRPr="00D60546" w:rsidRDefault="003334FF" w:rsidP="003334FF">
      <w:pPr>
        <w:pStyle w:val="ListParagraph"/>
        <w:numPr>
          <w:ilvl w:val="1"/>
          <w:numId w:val="21"/>
        </w:numPr>
        <w:shd w:val="clear" w:color="auto" w:fill="FFFFFF"/>
        <w:spacing w:line="360" w:lineRule="auto"/>
        <w:ind w:left="2520"/>
        <w:jc w:val="both"/>
        <w:rPr>
          <w:rFonts w:eastAsia="Times New Roman" w:cs="Times New Roman"/>
          <w:b/>
          <w:color w:val="222222"/>
          <w:sz w:val="28"/>
          <w:szCs w:val="28"/>
          <w:lang w:eastAsia="en-NZ"/>
        </w:rPr>
      </w:pPr>
      <w:r w:rsidRPr="00D60546">
        <w:rPr>
          <w:rFonts w:eastAsia="Times New Roman" w:cs="Times New Roman"/>
          <w:b/>
          <w:color w:val="222222"/>
          <w:sz w:val="28"/>
          <w:szCs w:val="28"/>
          <w:lang w:eastAsia="en-NZ"/>
        </w:rPr>
        <w:t>recommend that New Zealand specifically provide for indigenous people’s participation in the Climate Commission and in any other decision-making under the Zero Carbon Act;</w:t>
      </w:r>
    </w:p>
    <w:p w14:paraId="2B1334CD" w14:textId="77777777" w:rsidR="003334FF" w:rsidRPr="00D60546" w:rsidRDefault="003334FF" w:rsidP="003334FF">
      <w:pPr>
        <w:pStyle w:val="ListParagraph"/>
        <w:numPr>
          <w:ilvl w:val="1"/>
          <w:numId w:val="21"/>
        </w:numPr>
        <w:shd w:val="clear" w:color="auto" w:fill="FFFFFF"/>
        <w:spacing w:line="360" w:lineRule="auto"/>
        <w:ind w:left="2520"/>
        <w:jc w:val="both"/>
        <w:rPr>
          <w:rFonts w:eastAsia="Times New Roman" w:cs="Times New Roman"/>
          <w:b/>
          <w:color w:val="222222"/>
          <w:sz w:val="28"/>
          <w:szCs w:val="28"/>
          <w:lang w:eastAsia="en-NZ"/>
        </w:rPr>
      </w:pPr>
      <w:r w:rsidRPr="00D60546">
        <w:rPr>
          <w:rFonts w:eastAsia="Times New Roman" w:cs="Times New Roman"/>
          <w:b/>
          <w:color w:val="222222"/>
          <w:sz w:val="28"/>
          <w:szCs w:val="28"/>
          <w:lang w:eastAsia="en-NZ"/>
        </w:rPr>
        <w:t>question New Zealand on its performance of its climate finance obligations, and, if the answers are not satisfactory, recommend that it adopt a rights-based approach to climate finance; and</w:t>
      </w:r>
    </w:p>
    <w:p w14:paraId="1ADD5AE4" w14:textId="77777777" w:rsidR="003334FF" w:rsidRPr="00D60546" w:rsidRDefault="003334FF" w:rsidP="003334FF">
      <w:pPr>
        <w:pStyle w:val="ListParagraph"/>
        <w:numPr>
          <w:ilvl w:val="1"/>
          <w:numId w:val="21"/>
        </w:numPr>
        <w:shd w:val="clear" w:color="auto" w:fill="FFFFFF"/>
        <w:spacing w:line="360" w:lineRule="auto"/>
        <w:ind w:left="2520"/>
        <w:jc w:val="both"/>
        <w:rPr>
          <w:rFonts w:eastAsia="Times New Roman" w:cs="Times New Roman"/>
          <w:b/>
          <w:color w:val="222222"/>
          <w:sz w:val="28"/>
          <w:szCs w:val="28"/>
          <w:lang w:eastAsia="en-NZ"/>
        </w:rPr>
      </w:pPr>
      <w:r w:rsidRPr="00D60546">
        <w:rPr>
          <w:rFonts w:eastAsia="Times New Roman" w:cs="Times New Roman"/>
          <w:b/>
          <w:color w:val="222222"/>
          <w:sz w:val="28"/>
          <w:szCs w:val="28"/>
          <w:lang w:eastAsia="en-NZ"/>
        </w:rPr>
        <w:lastRenderedPageBreak/>
        <w:t>commend New Zealand on its commitment to create a new category of immigration visa and recommend that it ensure that affected Pasifika communities (in New Zealand and overseas) are able to fully participate in the design of this new visa scheme.</w:t>
      </w:r>
    </w:p>
    <w:p w14:paraId="38F49C12" w14:textId="77777777" w:rsidR="003334FF" w:rsidRPr="00837ACE" w:rsidRDefault="003334FF" w:rsidP="003334FF">
      <w:pPr>
        <w:spacing w:line="360" w:lineRule="auto"/>
        <w:jc w:val="both"/>
        <w:rPr>
          <w:rFonts w:cs="Times New Roman"/>
          <w:b/>
          <w:smallCaps/>
          <w:color w:val="000000" w:themeColor="text1"/>
          <w:sz w:val="28"/>
          <w:szCs w:val="28"/>
        </w:rPr>
      </w:pPr>
    </w:p>
    <w:p w14:paraId="363271CB" w14:textId="77777777" w:rsidR="003334FF" w:rsidRPr="00DA2390" w:rsidRDefault="003334FF" w:rsidP="00DA2390">
      <w:pPr>
        <w:pStyle w:val="ListParagraph"/>
        <w:spacing w:line="360" w:lineRule="auto"/>
        <w:ind w:left="1170"/>
        <w:jc w:val="both"/>
        <w:rPr>
          <w:b/>
          <w:sz w:val="32"/>
          <w:szCs w:val="32"/>
        </w:rPr>
      </w:pPr>
    </w:p>
    <w:p w14:paraId="0C06B77D" w14:textId="77777777" w:rsidR="007C592E" w:rsidRDefault="007C592E" w:rsidP="00FC17F1">
      <w:pPr>
        <w:spacing w:line="360" w:lineRule="auto"/>
        <w:jc w:val="both"/>
        <w:rPr>
          <w:rFonts w:cs="Times New Roman"/>
          <w:b/>
          <w:sz w:val="28"/>
          <w:szCs w:val="28"/>
        </w:rPr>
      </w:pPr>
    </w:p>
    <w:p w14:paraId="4F187602" w14:textId="77777777" w:rsidR="007C592E" w:rsidRPr="00DA2390" w:rsidRDefault="007C592E" w:rsidP="00FC17F1">
      <w:pPr>
        <w:spacing w:line="360" w:lineRule="auto"/>
        <w:jc w:val="both"/>
        <w:rPr>
          <w:rFonts w:cs="Times New Roman"/>
          <w:b/>
          <w:sz w:val="28"/>
          <w:szCs w:val="28"/>
        </w:rPr>
      </w:pPr>
    </w:p>
    <w:p w14:paraId="762447FB" w14:textId="77777777" w:rsidR="00BE5F10" w:rsidRPr="00FC17F1" w:rsidRDefault="00BE5F10" w:rsidP="00FC17F1">
      <w:pPr>
        <w:ind w:left="2160"/>
        <w:jc w:val="both"/>
        <w:rPr>
          <w:rFonts w:cs="Times New Roman"/>
          <w:sz w:val="28"/>
          <w:szCs w:val="28"/>
        </w:rPr>
      </w:pPr>
    </w:p>
    <w:p w14:paraId="32310767" w14:textId="2AD9720B" w:rsidR="005448AF" w:rsidRDefault="005448AF" w:rsidP="00FC17F1">
      <w:pPr>
        <w:pStyle w:val="ListParagraph"/>
        <w:spacing w:line="360" w:lineRule="auto"/>
        <w:ind w:left="2160"/>
        <w:jc w:val="both"/>
        <w:rPr>
          <w:rFonts w:cs="Times New Roman"/>
          <w:b/>
          <w:smallCaps/>
          <w:color w:val="000000" w:themeColor="text1"/>
          <w:sz w:val="28"/>
          <w:szCs w:val="28"/>
        </w:rPr>
      </w:pPr>
      <w:r w:rsidRPr="00FC17F1">
        <w:rPr>
          <w:rFonts w:cs="Times New Roman"/>
          <w:b/>
          <w:smallCaps/>
          <w:color w:val="000000" w:themeColor="text1"/>
          <w:sz w:val="28"/>
          <w:szCs w:val="28"/>
        </w:rPr>
        <w:br w:type="column"/>
      </w:r>
      <w:r>
        <w:rPr>
          <w:rFonts w:cs="Times New Roman"/>
          <w:b/>
          <w:smallCaps/>
          <w:color w:val="000000" w:themeColor="text1"/>
          <w:sz w:val="28"/>
          <w:szCs w:val="28"/>
        </w:rPr>
        <w:lastRenderedPageBreak/>
        <w:t>appendix</w:t>
      </w:r>
    </w:p>
    <w:p w14:paraId="00948AB1" w14:textId="77777777" w:rsidR="005448AF" w:rsidRDefault="005448AF" w:rsidP="00FC17F1">
      <w:pPr>
        <w:spacing w:line="360" w:lineRule="auto"/>
        <w:jc w:val="both"/>
        <w:rPr>
          <w:rFonts w:cs="Times New Roman"/>
          <w:b/>
          <w:smallCaps/>
          <w:color w:val="000000" w:themeColor="text1"/>
          <w:sz w:val="28"/>
          <w:szCs w:val="28"/>
        </w:rPr>
      </w:pPr>
    </w:p>
    <w:p w14:paraId="5C8B73AF" w14:textId="6CE1EC3E" w:rsidR="005448AF" w:rsidRDefault="005448AF" w:rsidP="00FC17F1">
      <w:pPr>
        <w:spacing w:line="360" w:lineRule="auto"/>
        <w:jc w:val="both"/>
        <w:rPr>
          <w:rFonts w:cs="Times New Roman"/>
          <w:b/>
          <w:smallCaps/>
          <w:color w:val="000000" w:themeColor="text1"/>
          <w:sz w:val="28"/>
          <w:szCs w:val="28"/>
        </w:rPr>
      </w:pPr>
      <w:r>
        <w:rPr>
          <w:rFonts w:cs="Times New Roman"/>
          <w:b/>
          <w:smallCaps/>
          <w:color w:val="000000" w:themeColor="text1"/>
          <w:sz w:val="28"/>
          <w:szCs w:val="28"/>
        </w:rPr>
        <w:t>Additional Information on the Rights of Older persons</w:t>
      </w:r>
    </w:p>
    <w:p w14:paraId="1DF5BE15" w14:textId="77777777" w:rsidR="005448AF" w:rsidRDefault="005448AF" w:rsidP="00FC17F1">
      <w:pPr>
        <w:spacing w:line="360" w:lineRule="auto"/>
        <w:jc w:val="both"/>
        <w:rPr>
          <w:rFonts w:cs="Times New Roman"/>
          <w:b/>
          <w:smallCaps/>
          <w:color w:val="000000" w:themeColor="text1"/>
          <w:sz w:val="28"/>
          <w:szCs w:val="28"/>
        </w:rPr>
      </w:pPr>
    </w:p>
    <w:p w14:paraId="7F607F0E" w14:textId="3A1EEBC9" w:rsidR="005448AF" w:rsidRPr="00C37B4D" w:rsidRDefault="005448AF" w:rsidP="00FC17F1">
      <w:pPr>
        <w:spacing w:line="360" w:lineRule="auto"/>
        <w:jc w:val="both"/>
        <w:rPr>
          <w:rFonts w:cs="Times New Roman"/>
          <w:b/>
          <w:bCs/>
          <w:color w:val="000000" w:themeColor="text1"/>
          <w:sz w:val="28"/>
          <w:szCs w:val="28"/>
        </w:rPr>
      </w:pPr>
      <w:r>
        <w:rPr>
          <w:rFonts w:cs="Times New Roman"/>
          <w:b/>
          <w:bCs/>
          <w:color w:val="000000" w:themeColor="text1"/>
          <w:sz w:val="28"/>
          <w:szCs w:val="28"/>
        </w:rPr>
        <w:t xml:space="preserve">Additional </w:t>
      </w:r>
      <w:r w:rsidR="00BA75DF">
        <w:rPr>
          <w:rFonts w:cs="Times New Roman"/>
          <w:b/>
          <w:bCs/>
          <w:color w:val="000000" w:themeColor="text1"/>
          <w:sz w:val="28"/>
          <w:szCs w:val="28"/>
        </w:rPr>
        <w:t xml:space="preserve">item </w:t>
      </w:r>
      <w:r>
        <w:rPr>
          <w:rFonts w:cs="Times New Roman"/>
          <w:b/>
          <w:bCs/>
          <w:color w:val="000000" w:themeColor="text1"/>
          <w:sz w:val="28"/>
          <w:szCs w:val="28"/>
        </w:rPr>
        <w:t>under Article 2(2): the Rights of Older Persons</w:t>
      </w:r>
    </w:p>
    <w:p w14:paraId="33F734F2" w14:textId="77777777" w:rsidR="005448AF" w:rsidRDefault="005448AF" w:rsidP="00DA2390">
      <w:pPr>
        <w:pStyle w:val="ListParagraph"/>
        <w:numPr>
          <w:ilvl w:val="0"/>
          <w:numId w:val="53"/>
        </w:numPr>
        <w:tabs>
          <w:tab w:val="left" w:pos="1260"/>
        </w:tabs>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It is well</w:t>
      </w:r>
      <w:r>
        <w:rPr>
          <w:rFonts w:cs="Times New Roman"/>
          <w:bCs/>
          <w:color w:val="000000" w:themeColor="text1"/>
          <w:sz w:val="28"/>
          <w:szCs w:val="28"/>
          <w:lang w:val="en-US"/>
        </w:rPr>
        <w:t>-</w:t>
      </w:r>
      <w:r w:rsidRPr="00E745DF">
        <w:rPr>
          <w:rFonts w:cs="Times New Roman"/>
          <w:bCs/>
          <w:color w:val="000000" w:themeColor="text1"/>
          <w:sz w:val="28"/>
          <w:szCs w:val="28"/>
          <w:lang w:val="en-US"/>
        </w:rPr>
        <w:t xml:space="preserve"> known that the number of New Zealanders living past the age of 65 is growing and will continue to grow over the coming years. Statistics New Zealand has made the following long term projections for New Zealand’s ageing population:</w:t>
      </w:r>
      <w:r w:rsidRPr="00E745DF">
        <w:rPr>
          <w:rFonts w:cs="Times New Roman"/>
          <w:sz w:val="28"/>
          <w:szCs w:val="28"/>
          <w:vertAlign w:val="superscript"/>
          <w:lang w:val="en-US"/>
        </w:rPr>
        <w:footnoteReference w:id="136"/>
      </w:r>
    </w:p>
    <w:p w14:paraId="2DB7014E" w14:textId="77777777" w:rsidR="005448AF" w:rsidRPr="00E745DF" w:rsidRDefault="005448AF" w:rsidP="00FC17F1">
      <w:pPr>
        <w:spacing w:line="360" w:lineRule="auto"/>
        <w:jc w:val="both"/>
        <w:rPr>
          <w:rFonts w:cs="Times New Roman"/>
          <w:bCs/>
          <w:color w:val="000000" w:themeColor="text1"/>
          <w:sz w:val="28"/>
          <w:szCs w:val="28"/>
          <w:lang w:val="en-US"/>
        </w:rPr>
      </w:pPr>
    </w:p>
    <w:p w14:paraId="60B9DB8F"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Increasing numbers and proportions of the population at the older ages</w:t>
      </w:r>
      <w:r>
        <w:rPr>
          <w:rFonts w:cs="Times New Roman"/>
          <w:bCs/>
          <w:color w:val="000000" w:themeColor="text1"/>
          <w:sz w:val="28"/>
          <w:szCs w:val="28"/>
          <w:lang w:val="en-US"/>
        </w:rPr>
        <w:t>:</w:t>
      </w:r>
    </w:p>
    <w:p w14:paraId="5528EF10" w14:textId="77777777" w:rsidR="005448AF" w:rsidRPr="00C37B4D" w:rsidRDefault="005448AF" w:rsidP="00FC17F1">
      <w:pPr>
        <w:pStyle w:val="ListParagraph"/>
        <w:spacing w:line="360" w:lineRule="auto"/>
        <w:ind w:left="1800"/>
        <w:jc w:val="both"/>
        <w:rPr>
          <w:rFonts w:cs="Times New Roman"/>
          <w:bCs/>
          <w:color w:val="000000" w:themeColor="text1"/>
          <w:sz w:val="28"/>
          <w:szCs w:val="28"/>
          <w:lang w:val="en-US"/>
        </w:rPr>
      </w:pPr>
    </w:p>
    <w:p w14:paraId="1D4C580D" w14:textId="5060BD3C" w:rsidR="005448AF" w:rsidRPr="00FC17F1" w:rsidRDefault="005448AF" w:rsidP="00DA2390">
      <w:pPr>
        <w:pStyle w:val="ListParagraph"/>
        <w:numPr>
          <w:ilvl w:val="1"/>
          <w:numId w:val="21"/>
        </w:numPr>
        <w:spacing w:line="360" w:lineRule="auto"/>
        <w:jc w:val="both"/>
        <w:rPr>
          <w:rFonts w:cs="Times New Roman"/>
          <w:bCs/>
          <w:color w:val="000000" w:themeColor="text1"/>
          <w:sz w:val="28"/>
          <w:szCs w:val="28"/>
          <w:lang w:val="en-US"/>
        </w:rPr>
      </w:pPr>
      <w:r w:rsidRPr="00FC17F1">
        <w:rPr>
          <w:rFonts w:cs="Times New Roman"/>
          <w:bCs/>
          <w:color w:val="000000" w:themeColor="text1"/>
          <w:sz w:val="28"/>
          <w:szCs w:val="28"/>
          <w:lang w:val="en-US"/>
        </w:rPr>
        <w:t xml:space="preserve"> The population aged 65+ (0.70 million in 2016) has a 90 percent probability of increasing to 1.32–1.42 million in 2043, and to 1.62–2.06 million in 2068.</w:t>
      </w:r>
    </w:p>
    <w:p w14:paraId="26E7832B" w14:textId="2A488B94" w:rsidR="005448AF" w:rsidRPr="00FC17F1" w:rsidRDefault="005448AF" w:rsidP="00DA2390">
      <w:pPr>
        <w:pStyle w:val="ListParagraph"/>
        <w:numPr>
          <w:ilvl w:val="1"/>
          <w:numId w:val="21"/>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The proportion of the population aged 65+ (15 percent in 2016) has a 90 percent probability of increasing to 21–26 percent in 2043, and 24–33 percent in 2068.</w:t>
      </w:r>
    </w:p>
    <w:p w14:paraId="00895405" w14:textId="3C1F6C01" w:rsidR="005448AF" w:rsidRPr="00FC17F1" w:rsidRDefault="005448AF" w:rsidP="00DA2390">
      <w:pPr>
        <w:pStyle w:val="ListParagraph"/>
        <w:numPr>
          <w:ilvl w:val="1"/>
          <w:numId w:val="21"/>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The population aged 85+ (83,000 in 2016) has a 90 percent probability of increasing to 239,000–284,000 in 2043, and to 333,000–467,000 in 2068.</w:t>
      </w:r>
    </w:p>
    <w:p w14:paraId="2F68FD10" w14:textId="77777777" w:rsidR="005448AF" w:rsidRPr="00C37B4D" w:rsidRDefault="005448AF" w:rsidP="00DA2390">
      <w:pPr>
        <w:numPr>
          <w:ilvl w:val="1"/>
          <w:numId w:val="21"/>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Population growth will slow as New Zealand’s population ages and the gap between the number of births and deaths narrows.</w:t>
      </w:r>
    </w:p>
    <w:p w14:paraId="69C11FF5" w14:textId="77777777" w:rsidR="005448AF" w:rsidRPr="00C37B4D" w:rsidRDefault="005448AF" w:rsidP="00FC17F1">
      <w:pPr>
        <w:spacing w:line="360" w:lineRule="auto"/>
        <w:ind w:left="1080"/>
        <w:jc w:val="both"/>
        <w:rPr>
          <w:rFonts w:cs="Times New Roman"/>
          <w:bCs/>
          <w:color w:val="000000" w:themeColor="text1"/>
          <w:sz w:val="28"/>
          <w:szCs w:val="28"/>
          <w:lang w:val="en-US"/>
        </w:rPr>
      </w:pPr>
    </w:p>
    <w:p w14:paraId="30F3FAD8" w14:textId="77777777" w:rsidR="005448AF" w:rsidRDefault="005448AF" w:rsidP="00DA2390">
      <w:pPr>
        <w:pStyle w:val="ListParagraph"/>
        <w:numPr>
          <w:ilvl w:val="0"/>
          <w:numId w:val="53"/>
        </w:numPr>
        <w:tabs>
          <w:tab w:val="left" w:pos="990"/>
        </w:tabs>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lastRenderedPageBreak/>
        <w:t xml:space="preserve"> </w:t>
      </w:r>
      <w:r w:rsidRPr="00E745DF">
        <w:rPr>
          <w:rFonts w:cs="Times New Roman"/>
          <w:bCs/>
          <w:color w:val="000000" w:themeColor="text1"/>
          <w:sz w:val="28"/>
          <w:szCs w:val="28"/>
          <w:lang w:val="en-US"/>
        </w:rPr>
        <w:t>This trend requires the New Zealand Government to take comprehensive and proactive measures:</w:t>
      </w:r>
    </w:p>
    <w:p w14:paraId="1AEB03CB" w14:textId="59F5D463" w:rsidR="005448AF" w:rsidRPr="00E745DF" w:rsidRDefault="005448AF" w:rsidP="00DA2390">
      <w:pPr>
        <w:pStyle w:val="ListParagraph"/>
        <w:numPr>
          <w:ilvl w:val="1"/>
          <w:numId w:val="21"/>
        </w:numPr>
        <w:spacing w:line="360" w:lineRule="auto"/>
        <w:jc w:val="both"/>
        <w:rPr>
          <w:sz w:val="28"/>
          <w:szCs w:val="28"/>
          <w:lang w:val="en-US"/>
        </w:rPr>
      </w:pPr>
      <w:r w:rsidRPr="00A16AC8">
        <w:rPr>
          <w:rFonts w:cs="Times New Roman"/>
          <w:bCs/>
          <w:color w:val="000000" w:themeColor="text1"/>
          <w:sz w:val="28"/>
          <w:szCs w:val="28"/>
          <w:lang w:val="en-US"/>
        </w:rPr>
        <w:t xml:space="preserve"> </w:t>
      </w:r>
      <w:r w:rsidRPr="00E745DF">
        <w:rPr>
          <w:sz w:val="28"/>
          <w:szCs w:val="28"/>
          <w:lang w:val="en-US"/>
        </w:rPr>
        <w:t xml:space="preserve">To deal with the many current and ongoing problems and challenges that result from the increasing number of New Zealanders living to an advanced age; and </w:t>
      </w:r>
    </w:p>
    <w:p w14:paraId="44FD359F" w14:textId="24300D87" w:rsidR="005448AF" w:rsidRPr="00FC17F1" w:rsidRDefault="005448AF" w:rsidP="00DA2390">
      <w:pPr>
        <w:pStyle w:val="ListParagraph"/>
        <w:numPr>
          <w:ilvl w:val="1"/>
          <w:numId w:val="21"/>
        </w:numPr>
        <w:jc w:val="both"/>
        <w:rPr>
          <w:sz w:val="28"/>
          <w:szCs w:val="28"/>
          <w:lang w:val="en-US"/>
        </w:rPr>
      </w:pPr>
      <w:r w:rsidRPr="00FC17F1">
        <w:rPr>
          <w:sz w:val="28"/>
          <w:szCs w:val="28"/>
          <w:lang w:val="en-US"/>
        </w:rPr>
        <w:t>To ensure that their ESC rights are fully recognised and protected.</w:t>
      </w:r>
    </w:p>
    <w:p w14:paraId="40FEFB6A" w14:textId="77777777" w:rsidR="005448AF" w:rsidRPr="00A16AC8" w:rsidRDefault="005448AF" w:rsidP="00FC17F1">
      <w:pPr>
        <w:spacing w:line="360" w:lineRule="auto"/>
        <w:ind w:left="2160"/>
        <w:jc w:val="both"/>
        <w:rPr>
          <w:rFonts w:cs="Times New Roman"/>
          <w:bCs/>
          <w:color w:val="000000" w:themeColor="text1"/>
          <w:sz w:val="28"/>
          <w:szCs w:val="28"/>
          <w:lang w:val="en-US"/>
        </w:rPr>
      </w:pPr>
    </w:p>
    <w:p w14:paraId="10FFE581" w14:textId="77777777" w:rsidR="005448AF" w:rsidRPr="00C37B4D" w:rsidRDefault="005448AF"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Problems and challenges impacting the ESC rights of older New Zealanders</w:t>
      </w:r>
    </w:p>
    <w:p w14:paraId="44145117" w14:textId="77777777" w:rsidR="005448AF" w:rsidRPr="00E745DF"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 Those problems and challenges include: age discrimination, elder abuse, some pensioners experiencing financial hardship, barriers preventing older people from ascertaining the social security assistance to which they are potentially entitled, and the impact on the right to health of older people stemming from the manipulation by successive Governments of the waiting lists for operations and medical treatment.</w:t>
      </w:r>
    </w:p>
    <w:p w14:paraId="5A77C748" w14:textId="77777777" w:rsidR="005448AF" w:rsidRPr="00E745DF" w:rsidRDefault="005448AF" w:rsidP="00FC17F1">
      <w:pPr>
        <w:spacing w:line="360" w:lineRule="auto"/>
        <w:jc w:val="both"/>
        <w:rPr>
          <w:rFonts w:cs="Times New Roman"/>
          <w:bCs/>
          <w:color w:val="000000" w:themeColor="text1"/>
          <w:sz w:val="28"/>
          <w:szCs w:val="28"/>
          <w:lang w:val="en-US"/>
        </w:rPr>
      </w:pPr>
    </w:p>
    <w:p w14:paraId="4024EC86" w14:textId="77777777" w:rsidR="005448AF" w:rsidRPr="00C37B4D" w:rsidRDefault="005448AF"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 xml:space="preserve">Age discrimination in employment </w:t>
      </w:r>
    </w:p>
    <w:p w14:paraId="6392A293"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sidRPr="00E745DF">
        <w:rPr>
          <w:rFonts w:cs="Times New Roman"/>
          <w:bCs/>
          <w:color w:val="000000" w:themeColor="text1"/>
          <w:sz w:val="28"/>
          <w:szCs w:val="28"/>
          <w:lang w:val="en-US"/>
        </w:rPr>
        <w:t>In the context of employment it is (with certain specific exceptions)</w:t>
      </w:r>
      <w:r w:rsidRPr="00E745DF">
        <w:rPr>
          <w:rFonts w:cs="Times New Roman"/>
          <w:sz w:val="28"/>
          <w:szCs w:val="28"/>
          <w:vertAlign w:val="superscript"/>
          <w:lang w:val="en-US"/>
        </w:rPr>
        <w:footnoteReference w:id="137"/>
      </w:r>
      <w:r w:rsidRPr="00E745DF">
        <w:rPr>
          <w:rFonts w:cs="Times New Roman"/>
          <w:bCs/>
          <w:color w:val="000000" w:themeColor="text1"/>
          <w:sz w:val="28"/>
          <w:szCs w:val="28"/>
          <w:lang w:val="en-US"/>
        </w:rPr>
        <w:t xml:space="preserve"> </w:t>
      </w:r>
      <w:r>
        <w:rPr>
          <w:rFonts w:cs="Times New Roman"/>
          <w:bCs/>
          <w:color w:val="000000" w:themeColor="text1"/>
          <w:sz w:val="28"/>
          <w:szCs w:val="28"/>
          <w:lang w:val="en-US"/>
        </w:rPr>
        <w:t xml:space="preserve">under the Human Rights Act 1993 it is </w:t>
      </w:r>
      <w:r w:rsidRPr="00E745DF">
        <w:rPr>
          <w:rFonts w:cs="Times New Roman"/>
          <w:bCs/>
          <w:color w:val="000000" w:themeColor="text1"/>
          <w:sz w:val="28"/>
          <w:szCs w:val="28"/>
          <w:lang w:val="en-US"/>
        </w:rPr>
        <w:t>unlawful to discriminate against people on the grounds of their age.</w:t>
      </w:r>
      <w:r>
        <w:rPr>
          <w:rStyle w:val="FootnoteReference"/>
          <w:rFonts w:cs="Times New Roman"/>
          <w:bCs/>
          <w:color w:val="000000" w:themeColor="text1"/>
          <w:sz w:val="28"/>
          <w:szCs w:val="28"/>
          <w:lang w:val="en-US"/>
        </w:rPr>
        <w:footnoteReference w:id="138"/>
      </w:r>
      <w:r w:rsidRPr="00E745DF">
        <w:rPr>
          <w:rFonts w:cs="Times New Roman"/>
          <w:bCs/>
          <w:color w:val="000000" w:themeColor="text1"/>
          <w:sz w:val="28"/>
          <w:szCs w:val="28"/>
          <w:lang w:val="en-US"/>
        </w:rPr>
        <w:t xml:space="preserve"> </w:t>
      </w:r>
    </w:p>
    <w:p w14:paraId="0B73CFB3" w14:textId="0A1B8885" w:rsidR="005448AF"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sidRPr="00E745DF">
        <w:rPr>
          <w:rFonts w:cs="Times New Roman"/>
          <w:bCs/>
          <w:color w:val="000000" w:themeColor="text1"/>
          <w:sz w:val="28"/>
          <w:szCs w:val="28"/>
          <w:lang w:val="en-US"/>
        </w:rPr>
        <w:t xml:space="preserve">In spite of this prohibition, many older New Zealanders struggle to find work that is compatible with their qualifications, skills and experience. This is because there is </w:t>
      </w:r>
      <w:r w:rsidR="003F2110" w:rsidRPr="00E745DF">
        <w:rPr>
          <w:rFonts w:cs="Times New Roman"/>
          <w:bCs/>
          <w:color w:val="000000" w:themeColor="text1"/>
          <w:sz w:val="28"/>
          <w:szCs w:val="28"/>
          <w:lang w:val="en-US"/>
        </w:rPr>
        <w:t>wide</w:t>
      </w:r>
      <w:r w:rsidR="003F2110">
        <w:rPr>
          <w:rFonts w:cs="Times New Roman"/>
          <w:bCs/>
          <w:color w:val="000000" w:themeColor="text1"/>
          <w:sz w:val="28"/>
          <w:szCs w:val="28"/>
          <w:lang w:val="en-US"/>
        </w:rPr>
        <w:t>spread</w:t>
      </w:r>
      <w:r w:rsidRPr="00E745DF">
        <w:rPr>
          <w:rFonts w:cs="Times New Roman"/>
          <w:bCs/>
          <w:color w:val="000000" w:themeColor="text1"/>
          <w:sz w:val="28"/>
          <w:szCs w:val="28"/>
          <w:lang w:val="en-US"/>
        </w:rPr>
        <w:t xml:space="preserve"> discrimination in the job </w:t>
      </w:r>
      <w:r w:rsidRPr="00E745DF">
        <w:rPr>
          <w:rFonts w:cs="Times New Roman"/>
          <w:bCs/>
          <w:color w:val="000000" w:themeColor="text1"/>
          <w:sz w:val="28"/>
          <w:szCs w:val="28"/>
          <w:lang w:val="en-US"/>
        </w:rPr>
        <w:lastRenderedPageBreak/>
        <w:t xml:space="preserve">market against people over the age of 50. A 2016 article in the </w:t>
      </w:r>
      <w:r w:rsidRPr="00E745DF">
        <w:rPr>
          <w:rFonts w:cs="Times New Roman"/>
          <w:bCs/>
          <w:i/>
          <w:color w:val="000000" w:themeColor="text1"/>
          <w:sz w:val="28"/>
          <w:szCs w:val="28"/>
          <w:lang w:val="en-US"/>
        </w:rPr>
        <w:t>New Zealand Herald</w:t>
      </w:r>
      <w:r w:rsidRPr="00E745DF">
        <w:rPr>
          <w:rFonts w:cs="Times New Roman"/>
          <w:bCs/>
          <w:color w:val="000000" w:themeColor="text1"/>
          <w:sz w:val="28"/>
          <w:szCs w:val="28"/>
          <w:lang w:val="en-US"/>
        </w:rPr>
        <w:t xml:space="preserve"> states that:</w:t>
      </w:r>
      <w:r w:rsidRPr="00E745DF">
        <w:rPr>
          <w:rFonts w:cs="Times New Roman"/>
          <w:sz w:val="28"/>
          <w:szCs w:val="28"/>
          <w:vertAlign w:val="superscript"/>
          <w:lang w:val="en-US"/>
        </w:rPr>
        <w:footnoteReference w:id="139"/>
      </w:r>
    </w:p>
    <w:p w14:paraId="5789224C" w14:textId="77777777" w:rsidR="00A8487A" w:rsidRPr="00C37B4D" w:rsidRDefault="00A8487A" w:rsidP="00FC17F1">
      <w:pPr>
        <w:pStyle w:val="ListParagraph"/>
        <w:spacing w:line="360" w:lineRule="auto"/>
        <w:ind w:left="1080"/>
        <w:jc w:val="both"/>
        <w:rPr>
          <w:rFonts w:cs="Times New Roman"/>
          <w:bCs/>
          <w:color w:val="000000" w:themeColor="text1"/>
          <w:sz w:val="28"/>
          <w:szCs w:val="28"/>
          <w:lang w:val="en-US"/>
        </w:rPr>
      </w:pPr>
    </w:p>
    <w:p w14:paraId="74F3C7E3" w14:textId="77777777" w:rsidR="005448AF" w:rsidRPr="00E745DF" w:rsidRDefault="005448AF" w:rsidP="00FC17F1">
      <w:p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a significant number of people in the over-50 age group who've fallen through "the glass trapdoor" - having left or lost employment, they've found it difficult if not impossible to get back into the workforce.”</w:t>
      </w:r>
    </w:p>
    <w:p w14:paraId="474842B4" w14:textId="77777777" w:rsidR="005448AF" w:rsidRPr="00E745DF" w:rsidRDefault="005448AF" w:rsidP="00FC17F1">
      <w:pPr>
        <w:pStyle w:val="ListParagraph"/>
        <w:spacing w:line="360" w:lineRule="auto"/>
        <w:jc w:val="both"/>
        <w:rPr>
          <w:rFonts w:cs="Times New Roman"/>
          <w:bCs/>
          <w:color w:val="000000" w:themeColor="text1"/>
          <w:sz w:val="28"/>
          <w:szCs w:val="28"/>
          <w:lang w:val="en-US"/>
        </w:rPr>
      </w:pPr>
    </w:p>
    <w:p w14:paraId="3A33DB51"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In the context of the employment market</w:t>
      </w:r>
      <w:r>
        <w:rPr>
          <w:rFonts w:cs="Times New Roman"/>
          <w:bCs/>
          <w:color w:val="000000" w:themeColor="text1"/>
          <w:sz w:val="28"/>
          <w:szCs w:val="28"/>
          <w:lang w:val="en-US"/>
        </w:rPr>
        <w:t>,</w:t>
      </w:r>
      <w:r w:rsidRPr="00E745DF">
        <w:rPr>
          <w:rFonts w:cs="Times New Roman"/>
          <w:bCs/>
          <w:color w:val="000000" w:themeColor="text1"/>
          <w:sz w:val="28"/>
          <w:szCs w:val="28"/>
          <w:lang w:val="en-US"/>
        </w:rPr>
        <w:t xml:space="preserve"> age-related discrimination can be overt on the part of employers and potential employers:</w:t>
      </w:r>
      <w:r w:rsidRPr="00E745DF">
        <w:rPr>
          <w:rFonts w:cs="Times New Roman"/>
          <w:sz w:val="28"/>
          <w:szCs w:val="28"/>
          <w:vertAlign w:val="superscript"/>
          <w:lang w:val="en-US"/>
        </w:rPr>
        <w:footnoteReference w:id="140"/>
      </w:r>
      <w:r w:rsidRPr="00E745DF">
        <w:rPr>
          <w:rFonts w:cs="Times New Roman"/>
          <w:bCs/>
          <w:color w:val="000000" w:themeColor="text1"/>
          <w:sz w:val="28"/>
          <w:szCs w:val="28"/>
          <w:lang w:val="en-US"/>
        </w:rPr>
        <w:t xml:space="preserve"> </w:t>
      </w:r>
    </w:p>
    <w:p w14:paraId="727189CA" w14:textId="77777777" w:rsidR="005448AF" w:rsidRPr="00E745DF" w:rsidRDefault="005448AF" w:rsidP="00FC17F1">
      <w:pPr>
        <w:spacing w:line="360" w:lineRule="auto"/>
        <w:jc w:val="both"/>
        <w:rPr>
          <w:rFonts w:cs="Times New Roman"/>
          <w:bCs/>
          <w:color w:val="000000" w:themeColor="text1"/>
          <w:sz w:val="28"/>
          <w:szCs w:val="28"/>
          <w:lang w:val="en-US"/>
        </w:rPr>
      </w:pPr>
    </w:p>
    <w:p w14:paraId="08C002A5"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“According to the Human Rights Commission's Equal Employment Opportunities Commissioner, "Forty per cent of workers experienced age-related discrimination over the last five years, commonly manifested in the form of withholding interesting tasks or promotion, and bullying."</w:t>
      </w:r>
    </w:p>
    <w:p w14:paraId="49323BF2" w14:textId="77777777" w:rsidR="005448AF" w:rsidRPr="00E745DF" w:rsidRDefault="005448AF" w:rsidP="00FC17F1">
      <w:pPr>
        <w:pStyle w:val="ListParagraph"/>
        <w:spacing w:line="360" w:lineRule="auto"/>
        <w:jc w:val="both"/>
        <w:rPr>
          <w:rFonts w:cs="Times New Roman"/>
          <w:bCs/>
          <w:color w:val="000000" w:themeColor="text1"/>
          <w:sz w:val="28"/>
          <w:szCs w:val="28"/>
          <w:lang w:val="en-US"/>
        </w:rPr>
      </w:pPr>
    </w:p>
    <w:p w14:paraId="2732A21C"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sidRPr="00E745DF">
        <w:rPr>
          <w:rFonts w:cs="Times New Roman"/>
          <w:bCs/>
          <w:color w:val="000000" w:themeColor="text1"/>
          <w:sz w:val="28"/>
          <w:szCs w:val="28"/>
          <w:lang w:val="en-US"/>
        </w:rPr>
        <w:t>The commission receives 60-90 complaints a year along the lines of: "an employer has declined to employ him, saying, 'I thought you were younger. You wouldn't be able to handle it. You're too old', or 'We're looking for young, fresh-out-of-uni types'."</w:t>
      </w:r>
    </w:p>
    <w:p w14:paraId="5C81D4ED" w14:textId="77777777" w:rsidR="005448AF" w:rsidRPr="00E745DF" w:rsidRDefault="005448AF" w:rsidP="00FC17F1">
      <w:pPr>
        <w:spacing w:line="360" w:lineRule="auto"/>
        <w:jc w:val="both"/>
        <w:rPr>
          <w:rFonts w:cs="Times New Roman"/>
          <w:bCs/>
          <w:color w:val="000000" w:themeColor="text1"/>
          <w:sz w:val="28"/>
          <w:szCs w:val="28"/>
          <w:lang w:val="en-US"/>
        </w:rPr>
      </w:pPr>
    </w:p>
    <w:p w14:paraId="7BD2703F" w14:textId="77777777" w:rsidR="005448AF" w:rsidRPr="00E745DF"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Pr>
          <w:rFonts w:cs="Times New Roman"/>
          <w:bCs/>
          <w:color w:val="000000" w:themeColor="text1"/>
          <w:sz w:val="28"/>
          <w:szCs w:val="28"/>
          <w:lang w:val="en-US"/>
        </w:rPr>
        <w:t>The Commissioner also says that i</w:t>
      </w:r>
      <w:r w:rsidRPr="00E745DF">
        <w:rPr>
          <w:rFonts w:cs="Times New Roman"/>
          <w:bCs/>
          <w:color w:val="000000" w:themeColor="text1"/>
          <w:sz w:val="28"/>
          <w:szCs w:val="28"/>
          <w:lang w:val="en-US"/>
        </w:rPr>
        <w:t>nstances of discrimination are almost certainly under-reported.</w:t>
      </w:r>
    </w:p>
    <w:p w14:paraId="53290D28" w14:textId="77777777" w:rsidR="005448AF" w:rsidRPr="00C37B4D" w:rsidRDefault="005448AF" w:rsidP="00FC17F1">
      <w:pPr>
        <w:spacing w:line="360" w:lineRule="auto"/>
        <w:jc w:val="both"/>
        <w:rPr>
          <w:rFonts w:cs="Times New Roman"/>
          <w:bCs/>
          <w:color w:val="000000" w:themeColor="text1"/>
          <w:sz w:val="28"/>
          <w:szCs w:val="28"/>
          <w:lang w:val="en-US"/>
        </w:rPr>
      </w:pPr>
    </w:p>
    <w:p w14:paraId="68EAA380"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lastRenderedPageBreak/>
        <w:t xml:space="preserve">Unconscious bias can also be a significant barrier </w:t>
      </w:r>
      <w:r>
        <w:rPr>
          <w:rFonts w:cs="Times New Roman"/>
          <w:bCs/>
          <w:color w:val="000000" w:themeColor="text1"/>
          <w:sz w:val="28"/>
          <w:szCs w:val="28"/>
          <w:lang w:val="en-US"/>
        </w:rPr>
        <w:t xml:space="preserve">for </w:t>
      </w:r>
      <w:r w:rsidRPr="00E745DF">
        <w:rPr>
          <w:rFonts w:cs="Times New Roman"/>
          <w:bCs/>
          <w:color w:val="000000" w:themeColor="text1"/>
          <w:sz w:val="28"/>
          <w:szCs w:val="28"/>
          <w:lang w:val="en-US"/>
        </w:rPr>
        <w:t>older job applicants:</w:t>
      </w:r>
      <w:r w:rsidRPr="00E745DF">
        <w:rPr>
          <w:rFonts w:cs="Times New Roman"/>
          <w:sz w:val="28"/>
          <w:szCs w:val="28"/>
          <w:vertAlign w:val="superscript"/>
          <w:lang w:val="en-US"/>
        </w:rPr>
        <w:footnoteReference w:id="141"/>
      </w:r>
      <w:r>
        <w:rPr>
          <w:rFonts w:cs="Times New Roman"/>
          <w:bCs/>
          <w:color w:val="000000" w:themeColor="text1"/>
          <w:sz w:val="28"/>
          <w:szCs w:val="28"/>
          <w:lang w:val="en-US"/>
        </w:rPr>
        <w:t xml:space="preserve"> </w:t>
      </w:r>
    </w:p>
    <w:p w14:paraId="0C8F5BE4" w14:textId="77777777" w:rsidR="005448AF" w:rsidRDefault="005448AF" w:rsidP="00FC17F1">
      <w:p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"It's like racism. It's in people's subconscious. You can't prove it's happening. But senior people who are young don't like having older people who might be more knowledgeable under them."</w:t>
      </w:r>
    </w:p>
    <w:p w14:paraId="72C4ED00" w14:textId="77777777" w:rsidR="005448AF" w:rsidRPr="00E745DF" w:rsidRDefault="005448AF" w:rsidP="00FC17F1">
      <w:pPr>
        <w:spacing w:line="360" w:lineRule="auto"/>
        <w:jc w:val="both"/>
        <w:rPr>
          <w:rFonts w:cs="Times New Roman"/>
          <w:bCs/>
          <w:color w:val="000000" w:themeColor="text1"/>
          <w:sz w:val="28"/>
          <w:szCs w:val="28"/>
          <w:lang w:val="en-US"/>
        </w:rPr>
      </w:pPr>
    </w:p>
    <w:p w14:paraId="07C51B87" w14:textId="0B728595"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sidRPr="00E745DF">
        <w:rPr>
          <w:rFonts w:cs="Times New Roman"/>
          <w:bCs/>
          <w:color w:val="000000" w:themeColor="text1"/>
          <w:sz w:val="28"/>
          <w:szCs w:val="28"/>
          <w:lang w:val="en-US"/>
        </w:rPr>
        <w:t xml:space="preserve">Older job applicants are often subjected to more </w:t>
      </w:r>
      <w:r w:rsidR="003F2110" w:rsidRPr="00E745DF">
        <w:rPr>
          <w:rFonts w:cs="Times New Roman"/>
          <w:bCs/>
          <w:color w:val="000000" w:themeColor="text1"/>
          <w:sz w:val="28"/>
          <w:szCs w:val="28"/>
          <w:lang w:val="en-US"/>
        </w:rPr>
        <w:t>subtle discrimination, which</w:t>
      </w:r>
      <w:r w:rsidRPr="00E745DF">
        <w:rPr>
          <w:rFonts w:cs="Times New Roman"/>
          <w:bCs/>
          <w:color w:val="000000" w:themeColor="text1"/>
          <w:sz w:val="28"/>
          <w:szCs w:val="28"/>
          <w:lang w:val="en-US"/>
        </w:rPr>
        <w:t xml:space="preserve"> takes the form of filtering them out of the job applicant market before they get a chance to be interviewed</w:t>
      </w:r>
      <w:r>
        <w:rPr>
          <w:rFonts w:cs="Times New Roman"/>
          <w:bCs/>
          <w:color w:val="000000" w:themeColor="text1"/>
          <w:sz w:val="28"/>
          <w:szCs w:val="28"/>
          <w:lang w:val="en-US"/>
        </w:rPr>
        <w:t xml:space="preserve">. </w:t>
      </w:r>
    </w:p>
    <w:p w14:paraId="07C82266" w14:textId="77777777" w:rsidR="00A8487A" w:rsidRDefault="00A8487A" w:rsidP="00FC17F1">
      <w:pPr>
        <w:spacing w:line="360" w:lineRule="auto"/>
        <w:ind w:left="450" w:hanging="450"/>
        <w:jc w:val="both"/>
        <w:rPr>
          <w:rFonts w:cs="Times New Roman"/>
          <w:bCs/>
          <w:color w:val="000000" w:themeColor="text1"/>
          <w:sz w:val="28"/>
          <w:szCs w:val="28"/>
          <w:lang w:val="en-US"/>
        </w:rPr>
      </w:pPr>
    </w:p>
    <w:p w14:paraId="5D7F842C" w14:textId="77777777" w:rsidR="00A8487A" w:rsidRDefault="005448AF" w:rsidP="00FC17F1">
      <w:pPr>
        <w:spacing w:line="360" w:lineRule="auto"/>
        <w:ind w:left="450" w:hanging="45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 As one job seeker over the age of 50 put it:</w:t>
      </w:r>
      <w:r w:rsidRPr="00C37B4D">
        <w:rPr>
          <w:vertAlign w:val="superscript"/>
          <w:lang w:val="en-US"/>
        </w:rPr>
        <w:footnoteReference w:id="142"/>
      </w:r>
      <w:r>
        <w:rPr>
          <w:rFonts w:cs="Times New Roman"/>
          <w:bCs/>
          <w:color w:val="000000" w:themeColor="text1"/>
          <w:sz w:val="28"/>
          <w:szCs w:val="28"/>
          <w:lang w:val="en-US"/>
        </w:rPr>
        <w:t xml:space="preserve"> </w:t>
      </w:r>
    </w:p>
    <w:p w14:paraId="2FBDCDB4" w14:textId="7FFE84FD" w:rsidR="005448AF" w:rsidRPr="00E745DF" w:rsidRDefault="005448AF" w:rsidP="00FC17F1">
      <w:p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"You don't get to the interview stage," …. . "I think they look at your CV and think, 'They couldn't have done a lot of that' or 'How old is she to have done all that?”</w:t>
      </w:r>
    </w:p>
    <w:p w14:paraId="1F894D0E" w14:textId="77777777" w:rsidR="005448AF" w:rsidRPr="00E745DF" w:rsidRDefault="005448AF" w:rsidP="00FC17F1">
      <w:pPr>
        <w:pStyle w:val="ListParagraph"/>
        <w:spacing w:line="360" w:lineRule="auto"/>
        <w:jc w:val="both"/>
        <w:rPr>
          <w:rFonts w:cs="Times New Roman"/>
          <w:bCs/>
          <w:color w:val="000000" w:themeColor="text1"/>
          <w:sz w:val="28"/>
          <w:szCs w:val="28"/>
          <w:lang w:val="en-US"/>
        </w:rPr>
      </w:pPr>
    </w:p>
    <w:p w14:paraId="715DE3AE" w14:textId="77777777" w:rsidR="005448AF" w:rsidRPr="00C37B4D" w:rsidRDefault="005448AF"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sidRPr="00E745DF">
        <w:rPr>
          <w:rFonts w:cs="Times New Roman"/>
          <w:bCs/>
          <w:color w:val="000000" w:themeColor="text1"/>
          <w:sz w:val="28"/>
          <w:szCs w:val="28"/>
          <w:lang w:val="en-US"/>
        </w:rPr>
        <w:t>Moreover, a number of recruitment agencies in New Zealand have adopted the practice, before they interview job applicants, of demanding to see their passports, and evidence of identify and their right to work in New Zealand. This practice, which is common amongst New Zealand’s recruitment agencies, gives them the ability to discriminate against job applicants on the grounds of age because they can ascertain their age by looking at their passport and/identity papers,</w:t>
      </w:r>
      <w:r w:rsidRPr="00E745DF">
        <w:rPr>
          <w:rFonts w:cs="Times New Roman"/>
          <w:sz w:val="28"/>
          <w:szCs w:val="28"/>
          <w:vertAlign w:val="superscript"/>
          <w:lang w:val="en-US"/>
        </w:rPr>
        <w:footnoteReference w:id="143"/>
      </w:r>
      <w:r w:rsidRPr="00E745DF">
        <w:rPr>
          <w:rFonts w:cs="Times New Roman"/>
          <w:bCs/>
          <w:color w:val="000000" w:themeColor="text1"/>
          <w:sz w:val="28"/>
          <w:szCs w:val="28"/>
          <w:lang w:val="en-US"/>
        </w:rPr>
        <w:t xml:space="preserve"> and potentially exclude older people from being considered for jobs before they have had to </w:t>
      </w:r>
      <w:r w:rsidRPr="00E745DF">
        <w:rPr>
          <w:rFonts w:cs="Times New Roman"/>
          <w:bCs/>
          <w:color w:val="000000" w:themeColor="text1"/>
          <w:sz w:val="28"/>
          <w:szCs w:val="28"/>
          <w:lang w:val="en-US"/>
        </w:rPr>
        <w:lastRenderedPageBreak/>
        <w:t xml:space="preserve">opportunity to be evaluated on the basis of their qualifications, skills and experience. </w:t>
      </w:r>
      <w:r w:rsidRPr="00E745DF">
        <w:rPr>
          <w:rFonts w:cs="Times New Roman"/>
          <w:bCs/>
          <w:color w:val="000000" w:themeColor="text1"/>
          <w:sz w:val="28"/>
          <w:szCs w:val="28"/>
          <w:lang w:val="en-AU"/>
        </w:rPr>
        <w:t xml:space="preserve">This practice allows recruiters to get around the general prohibition against asking job applicants questions about their age and date of birth. It also puts them in a position to discriminate against older job applicants in breach of </w:t>
      </w:r>
      <w:r w:rsidRPr="00E745DF">
        <w:rPr>
          <w:rFonts w:cs="Times New Roman"/>
          <w:bCs/>
          <w:color w:val="000000" w:themeColor="text1"/>
          <w:sz w:val="28"/>
          <w:szCs w:val="28"/>
          <w:lang w:val="en-US"/>
        </w:rPr>
        <w:t>s 22(2) of the Human Rights Act 1990.</w:t>
      </w:r>
      <w:r w:rsidRPr="00E745DF">
        <w:rPr>
          <w:rFonts w:cs="Times New Roman"/>
          <w:sz w:val="28"/>
          <w:szCs w:val="28"/>
          <w:vertAlign w:val="superscript"/>
          <w:lang w:val="en-US"/>
        </w:rPr>
        <w:footnoteReference w:id="144"/>
      </w:r>
      <w:r w:rsidRPr="00E745DF">
        <w:rPr>
          <w:rFonts w:cs="Times New Roman"/>
          <w:bCs/>
          <w:color w:val="000000" w:themeColor="text1"/>
          <w:sz w:val="28"/>
          <w:szCs w:val="28"/>
          <w:lang w:val="en-US"/>
        </w:rPr>
        <w:t xml:space="preserve"> </w:t>
      </w:r>
    </w:p>
    <w:p w14:paraId="7789DFED" w14:textId="77777777" w:rsidR="005448AF" w:rsidRDefault="005448AF" w:rsidP="00FC17F1">
      <w:pPr>
        <w:spacing w:line="360" w:lineRule="auto"/>
        <w:jc w:val="both"/>
        <w:rPr>
          <w:rFonts w:cs="Times New Roman"/>
          <w:b/>
          <w:smallCaps/>
          <w:color w:val="000000" w:themeColor="text1"/>
          <w:sz w:val="28"/>
          <w:szCs w:val="28"/>
        </w:rPr>
      </w:pPr>
    </w:p>
    <w:p w14:paraId="174F42DC" w14:textId="77777777" w:rsidR="00E747A2" w:rsidRPr="00C37B4D" w:rsidRDefault="00E747A2" w:rsidP="00FC17F1">
      <w:pPr>
        <w:spacing w:line="360" w:lineRule="auto"/>
        <w:jc w:val="both"/>
        <w:rPr>
          <w:rFonts w:cs="Times New Roman"/>
          <w:b/>
          <w:bCs/>
          <w:color w:val="000000" w:themeColor="text1"/>
          <w:sz w:val="28"/>
          <w:szCs w:val="28"/>
          <w:lang w:val="en-US"/>
        </w:rPr>
      </w:pPr>
      <w:r>
        <w:rPr>
          <w:rFonts w:cs="Times New Roman"/>
          <w:b/>
          <w:bCs/>
          <w:color w:val="000000" w:themeColor="text1"/>
          <w:sz w:val="28"/>
          <w:szCs w:val="28"/>
          <w:lang w:val="en-US"/>
        </w:rPr>
        <w:t>Article 11-</w:t>
      </w:r>
      <w:r w:rsidRPr="00C37B4D">
        <w:rPr>
          <w:rFonts w:cs="Times New Roman"/>
          <w:b/>
          <w:bCs/>
          <w:color w:val="000000" w:themeColor="text1"/>
          <w:sz w:val="28"/>
          <w:szCs w:val="28"/>
          <w:lang w:val="en-US"/>
        </w:rPr>
        <w:t xml:space="preserve"> Right to an adequate standard of living</w:t>
      </w:r>
    </w:p>
    <w:p w14:paraId="56C4AA31"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Pensioners in financial hardship</w:t>
      </w:r>
    </w:p>
    <w:p w14:paraId="51C20373" w14:textId="77777777" w:rsidR="00E747A2" w:rsidRPr="00E745DF"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The New Zealand pension (NZS) is paid fortnightly at the following rates:</w:t>
      </w:r>
      <w:r w:rsidRPr="00E745DF">
        <w:rPr>
          <w:rFonts w:cs="Times New Roman"/>
          <w:sz w:val="28"/>
          <w:szCs w:val="28"/>
          <w:vertAlign w:val="superscript"/>
          <w:lang w:val="en-US"/>
        </w:rPr>
        <w:footnoteReference w:id="145"/>
      </w:r>
    </w:p>
    <w:tbl>
      <w:tblPr>
        <w:tblW w:w="0" w:type="auto"/>
        <w:tblInd w:w="720" w:type="dxa"/>
        <w:tblBorders>
          <w:bottom w:val="single" w:sz="2" w:space="0" w:color="AAAAAA"/>
        </w:tblBorders>
        <w:shd w:val="clear" w:color="auto" w:fill="FFFFFF"/>
        <w:tblCellMar>
          <w:left w:w="0" w:type="dxa"/>
          <w:right w:w="0" w:type="dxa"/>
        </w:tblCellMar>
        <w:tblLook w:val="04A0" w:firstRow="1" w:lastRow="0" w:firstColumn="1" w:lastColumn="0" w:noHBand="0" w:noVBand="1"/>
      </w:tblPr>
      <w:tblGrid>
        <w:gridCol w:w="4091"/>
        <w:gridCol w:w="1276"/>
        <w:gridCol w:w="3023"/>
      </w:tblGrid>
      <w:tr w:rsidR="00E747A2" w:rsidRPr="00C37B4D" w14:paraId="05C4B673" w14:textId="77777777" w:rsidTr="00E747A2">
        <w:tc>
          <w:tcPr>
            <w:tcW w:w="0" w:type="auto"/>
            <w:tcBorders>
              <w:top w:val="single" w:sz="8" w:space="0" w:color="AAAAAA"/>
              <w:bottom w:val="single" w:sz="8" w:space="0" w:color="AAAAAA"/>
            </w:tcBorders>
            <w:shd w:val="clear" w:color="auto" w:fill="FFFFFF"/>
            <w:tcMar>
              <w:top w:w="23" w:type="dxa"/>
              <w:left w:w="45" w:type="dxa"/>
              <w:bottom w:w="45" w:type="dxa"/>
              <w:right w:w="45" w:type="dxa"/>
            </w:tcMar>
            <w:hideMark/>
          </w:tcPr>
          <w:p w14:paraId="1B0B30F7"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Fortnightly payments</w:t>
            </w:r>
          </w:p>
        </w:tc>
        <w:tc>
          <w:tcPr>
            <w:tcW w:w="0" w:type="auto"/>
            <w:tcBorders>
              <w:top w:val="single" w:sz="8" w:space="0" w:color="AAAAAA"/>
              <w:bottom w:val="single" w:sz="8" w:space="0" w:color="AAAAAA"/>
            </w:tcBorders>
            <w:shd w:val="clear" w:color="auto" w:fill="FFFFFF"/>
            <w:tcMar>
              <w:top w:w="23" w:type="dxa"/>
              <w:left w:w="45" w:type="dxa"/>
              <w:bottom w:w="45" w:type="dxa"/>
              <w:right w:w="45" w:type="dxa"/>
            </w:tcMar>
            <w:hideMark/>
          </w:tcPr>
          <w:p w14:paraId="17623392"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Before tax</w:t>
            </w:r>
          </w:p>
        </w:tc>
        <w:tc>
          <w:tcPr>
            <w:tcW w:w="0" w:type="auto"/>
            <w:tcBorders>
              <w:top w:val="single" w:sz="8" w:space="0" w:color="AAAAAA"/>
              <w:bottom w:val="single" w:sz="8" w:space="0" w:color="AAAAAA"/>
            </w:tcBorders>
            <w:shd w:val="clear" w:color="auto" w:fill="FFFFFF"/>
            <w:tcMar>
              <w:top w:w="23" w:type="dxa"/>
              <w:left w:w="45" w:type="dxa"/>
              <w:bottom w:w="45" w:type="dxa"/>
              <w:right w:w="45" w:type="dxa"/>
            </w:tcMar>
            <w:hideMark/>
          </w:tcPr>
          <w:p w14:paraId="2D613897"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Taxed at ‘M’ (if you have no other income)</w:t>
            </w:r>
          </w:p>
        </w:tc>
      </w:tr>
      <w:tr w:rsidR="00E747A2" w:rsidRPr="00C37B4D" w14:paraId="232CC5FC" w14:textId="77777777" w:rsidTr="00E747A2">
        <w:tc>
          <w:tcPr>
            <w:tcW w:w="0" w:type="auto"/>
            <w:tcBorders>
              <w:top w:val="single" w:sz="2" w:space="0" w:color="AAAAAA"/>
            </w:tcBorders>
            <w:shd w:val="clear" w:color="auto" w:fill="FFFFFF"/>
            <w:tcMar>
              <w:top w:w="23" w:type="dxa"/>
              <w:left w:w="45" w:type="dxa"/>
              <w:bottom w:w="45" w:type="dxa"/>
              <w:right w:w="45" w:type="dxa"/>
            </w:tcMar>
            <w:hideMark/>
          </w:tcPr>
          <w:p w14:paraId="66981917"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Single, living alone</w:t>
            </w:r>
          </w:p>
        </w:tc>
        <w:tc>
          <w:tcPr>
            <w:tcW w:w="0" w:type="auto"/>
            <w:tcBorders>
              <w:top w:val="single" w:sz="2" w:space="0" w:color="AAAAAA"/>
            </w:tcBorders>
            <w:shd w:val="clear" w:color="auto" w:fill="FFFFFF"/>
            <w:tcMar>
              <w:top w:w="23" w:type="dxa"/>
              <w:left w:w="45" w:type="dxa"/>
              <w:bottom w:w="45" w:type="dxa"/>
              <w:right w:w="45" w:type="dxa"/>
            </w:tcMar>
            <w:hideMark/>
          </w:tcPr>
          <w:p w14:paraId="740773D9"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$900.20</w:t>
            </w:r>
          </w:p>
        </w:tc>
        <w:tc>
          <w:tcPr>
            <w:tcW w:w="0" w:type="auto"/>
            <w:tcBorders>
              <w:top w:val="single" w:sz="2" w:space="0" w:color="AAAAAA"/>
            </w:tcBorders>
            <w:shd w:val="clear" w:color="auto" w:fill="FFFFFF"/>
            <w:tcMar>
              <w:top w:w="23" w:type="dxa"/>
              <w:left w:w="45" w:type="dxa"/>
              <w:bottom w:w="45" w:type="dxa"/>
              <w:right w:w="45" w:type="dxa"/>
            </w:tcMar>
            <w:hideMark/>
          </w:tcPr>
          <w:p w14:paraId="5CF44CA2"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$780.40</w:t>
            </w:r>
          </w:p>
        </w:tc>
      </w:tr>
      <w:tr w:rsidR="00E747A2" w:rsidRPr="00C37B4D" w14:paraId="144DE3F6" w14:textId="77777777" w:rsidTr="00E747A2">
        <w:tc>
          <w:tcPr>
            <w:tcW w:w="0" w:type="auto"/>
            <w:tcBorders>
              <w:top w:val="single" w:sz="2" w:space="0" w:color="AAAAAA"/>
            </w:tcBorders>
            <w:shd w:val="clear" w:color="auto" w:fill="FFFFFF"/>
            <w:tcMar>
              <w:top w:w="23" w:type="dxa"/>
              <w:left w:w="45" w:type="dxa"/>
              <w:bottom w:w="45" w:type="dxa"/>
              <w:right w:w="45" w:type="dxa"/>
            </w:tcMar>
            <w:hideMark/>
          </w:tcPr>
          <w:p w14:paraId="07B413F1"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Single, sharing</w:t>
            </w:r>
          </w:p>
        </w:tc>
        <w:tc>
          <w:tcPr>
            <w:tcW w:w="0" w:type="auto"/>
            <w:tcBorders>
              <w:top w:val="single" w:sz="2" w:space="0" w:color="AAAAAA"/>
            </w:tcBorders>
            <w:shd w:val="clear" w:color="auto" w:fill="FFFFFF"/>
            <w:tcMar>
              <w:top w:w="23" w:type="dxa"/>
              <w:left w:w="45" w:type="dxa"/>
              <w:bottom w:w="45" w:type="dxa"/>
              <w:right w:w="45" w:type="dxa"/>
            </w:tcMar>
            <w:hideMark/>
          </w:tcPr>
          <w:p w14:paraId="226DAB4A"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$827.20</w:t>
            </w:r>
          </w:p>
        </w:tc>
        <w:tc>
          <w:tcPr>
            <w:tcW w:w="0" w:type="auto"/>
            <w:tcBorders>
              <w:top w:val="single" w:sz="2" w:space="0" w:color="AAAAAA"/>
            </w:tcBorders>
            <w:shd w:val="clear" w:color="auto" w:fill="FFFFFF"/>
            <w:tcMar>
              <w:top w:w="23" w:type="dxa"/>
              <w:left w:w="45" w:type="dxa"/>
              <w:bottom w:w="45" w:type="dxa"/>
              <w:right w:w="45" w:type="dxa"/>
            </w:tcMar>
            <w:hideMark/>
          </w:tcPr>
          <w:p w14:paraId="64510C33"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$720.36</w:t>
            </w:r>
          </w:p>
        </w:tc>
      </w:tr>
      <w:tr w:rsidR="00E747A2" w:rsidRPr="00C37B4D" w14:paraId="21EB16AC" w14:textId="77777777" w:rsidTr="00E747A2">
        <w:tc>
          <w:tcPr>
            <w:tcW w:w="0" w:type="auto"/>
            <w:tcBorders>
              <w:top w:val="single" w:sz="2" w:space="0" w:color="AAAAAA"/>
            </w:tcBorders>
            <w:shd w:val="clear" w:color="auto" w:fill="FFFFFF"/>
            <w:tcMar>
              <w:top w:w="23" w:type="dxa"/>
              <w:left w:w="45" w:type="dxa"/>
              <w:bottom w:w="45" w:type="dxa"/>
              <w:right w:w="45" w:type="dxa"/>
            </w:tcMar>
            <w:hideMark/>
          </w:tcPr>
          <w:p w14:paraId="0B2F0945"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Married, civil union or de facto couple (both partners qualify)</w:t>
            </w:r>
          </w:p>
        </w:tc>
        <w:tc>
          <w:tcPr>
            <w:tcW w:w="0" w:type="auto"/>
            <w:tcBorders>
              <w:top w:val="single" w:sz="2" w:space="0" w:color="AAAAAA"/>
            </w:tcBorders>
            <w:shd w:val="clear" w:color="auto" w:fill="FFFFFF"/>
            <w:tcMar>
              <w:top w:w="23" w:type="dxa"/>
              <w:left w:w="45" w:type="dxa"/>
              <w:bottom w:w="45" w:type="dxa"/>
              <w:right w:w="45" w:type="dxa"/>
            </w:tcMar>
            <w:hideMark/>
          </w:tcPr>
          <w:p w14:paraId="268358AF"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$681.60 each</w:t>
            </w:r>
          </w:p>
        </w:tc>
        <w:tc>
          <w:tcPr>
            <w:tcW w:w="0" w:type="auto"/>
            <w:tcBorders>
              <w:top w:val="single" w:sz="2" w:space="0" w:color="AAAAAA"/>
            </w:tcBorders>
            <w:shd w:val="clear" w:color="auto" w:fill="FFFFFF"/>
            <w:tcMar>
              <w:top w:w="23" w:type="dxa"/>
              <w:left w:w="45" w:type="dxa"/>
              <w:bottom w:w="45" w:type="dxa"/>
              <w:right w:w="45" w:type="dxa"/>
            </w:tcMar>
            <w:hideMark/>
          </w:tcPr>
          <w:p w14:paraId="17EE0965"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$600.30 each</w:t>
            </w:r>
          </w:p>
        </w:tc>
      </w:tr>
      <w:tr w:rsidR="00E747A2" w:rsidRPr="00C37B4D" w14:paraId="5E614FA9" w14:textId="77777777" w:rsidTr="00E747A2">
        <w:tc>
          <w:tcPr>
            <w:tcW w:w="0" w:type="auto"/>
            <w:tcBorders>
              <w:top w:val="single" w:sz="2" w:space="0" w:color="AAAAAA"/>
            </w:tcBorders>
            <w:shd w:val="clear" w:color="auto" w:fill="FFFFFF"/>
            <w:tcMar>
              <w:top w:w="23" w:type="dxa"/>
              <w:left w:w="45" w:type="dxa"/>
              <w:bottom w:w="45" w:type="dxa"/>
              <w:right w:w="45" w:type="dxa"/>
            </w:tcMar>
            <w:hideMark/>
          </w:tcPr>
          <w:p w14:paraId="52D19A0D"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Married, civil union, or de facto couple*</w:t>
            </w:r>
            <w:r w:rsidRPr="00C37B4D">
              <w:rPr>
                <w:rFonts w:cs="Times New Roman"/>
                <w:bCs/>
                <w:color w:val="000000" w:themeColor="text1"/>
                <w:sz w:val="28"/>
                <w:szCs w:val="28"/>
                <w:lang w:val="en-US"/>
              </w:rPr>
              <w:br/>
              <w:t>(only one partner qualifies)</w:t>
            </w:r>
          </w:p>
        </w:tc>
        <w:tc>
          <w:tcPr>
            <w:tcW w:w="0" w:type="auto"/>
            <w:tcBorders>
              <w:top w:val="single" w:sz="2" w:space="0" w:color="AAAAAA"/>
            </w:tcBorders>
            <w:shd w:val="clear" w:color="auto" w:fill="FFFFFF"/>
            <w:tcMar>
              <w:top w:w="23" w:type="dxa"/>
              <w:left w:w="45" w:type="dxa"/>
              <w:bottom w:w="45" w:type="dxa"/>
              <w:right w:w="45" w:type="dxa"/>
            </w:tcMar>
            <w:hideMark/>
          </w:tcPr>
          <w:p w14:paraId="4E0FCF32"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$645.56 each</w:t>
            </w:r>
          </w:p>
        </w:tc>
        <w:tc>
          <w:tcPr>
            <w:tcW w:w="0" w:type="auto"/>
            <w:tcBorders>
              <w:top w:val="single" w:sz="2" w:space="0" w:color="AAAAAA"/>
            </w:tcBorders>
            <w:shd w:val="clear" w:color="auto" w:fill="FFFFFF"/>
            <w:tcMar>
              <w:top w:w="23" w:type="dxa"/>
              <w:left w:w="45" w:type="dxa"/>
              <w:bottom w:w="45" w:type="dxa"/>
              <w:right w:w="45" w:type="dxa"/>
            </w:tcMar>
            <w:hideMark/>
          </w:tcPr>
          <w:p w14:paraId="4F8C8F46" w14:textId="77777777" w:rsidR="00E747A2" w:rsidRPr="00C37B4D" w:rsidRDefault="00E747A2" w:rsidP="00FC17F1">
            <w:p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$570.56 each</w:t>
            </w:r>
          </w:p>
        </w:tc>
      </w:tr>
    </w:tbl>
    <w:p w14:paraId="563A016D" w14:textId="77777777" w:rsidR="00E747A2" w:rsidRPr="00C37B4D" w:rsidRDefault="00E747A2" w:rsidP="00FC17F1">
      <w:pPr>
        <w:spacing w:line="360" w:lineRule="auto"/>
        <w:jc w:val="both"/>
        <w:rPr>
          <w:rFonts w:cs="Times New Roman"/>
          <w:bCs/>
          <w:color w:val="000000" w:themeColor="text1"/>
          <w:sz w:val="28"/>
          <w:szCs w:val="28"/>
          <w:lang w:val="en-US"/>
        </w:rPr>
      </w:pPr>
    </w:p>
    <w:p w14:paraId="0A55962E" w14:textId="77777777" w:rsidR="00E747A2" w:rsidRPr="00E745DF" w:rsidRDefault="00E747A2" w:rsidP="00FC17F1">
      <w:pPr>
        <w:spacing w:line="360" w:lineRule="auto"/>
        <w:jc w:val="both"/>
        <w:rPr>
          <w:rFonts w:cs="Times New Roman"/>
          <w:bCs/>
          <w:color w:val="000000" w:themeColor="text1"/>
          <w:sz w:val="28"/>
          <w:szCs w:val="28"/>
          <w:lang w:val="en-US"/>
        </w:rPr>
      </w:pPr>
    </w:p>
    <w:p w14:paraId="106F258D"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The findings </w:t>
      </w:r>
      <w:r>
        <w:rPr>
          <w:rFonts w:cs="Times New Roman"/>
          <w:bCs/>
          <w:color w:val="000000" w:themeColor="text1"/>
          <w:sz w:val="28"/>
          <w:szCs w:val="28"/>
          <w:lang w:val="en-US"/>
        </w:rPr>
        <w:t>of</w:t>
      </w:r>
      <w:r w:rsidRPr="00E745DF">
        <w:rPr>
          <w:rFonts w:cs="Times New Roman"/>
          <w:bCs/>
          <w:color w:val="000000" w:themeColor="text1"/>
          <w:sz w:val="28"/>
          <w:szCs w:val="28"/>
          <w:lang w:val="en-US"/>
        </w:rPr>
        <w:t xml:space="preserve"> a recent Household </w:t>
      </w:r>
      <w:r>
        <w:rPr>
          <w:rFonts w:cs="Times New Roman"/>
          <w:bCs/>
          <w:color w:val="000000" w:themeColor="text1"/>
          <w:sz w:val="28"/>
          <w:szCs w:val="28"/>
          <w:lang w:val="en-US"/>
        </w:rPr>
        <w:t>I</w:t>
      </w:r>
      <w:r w:rsidRPr="00E745DF">
        <w:rPr>
          <w:rFonts w:cs="Times New Roman"/>
          <w:bCs/>
          <w:color w:val="000000" w:themeColor="text1"/>
          <w:sz w:val="28"/>
          <w:szCs w:val="28"/>
          <w:lang w:val="en-US"/>
        </w:rPr>
        <w:t xml:space="preserve">ncomes </w:t>
      </w:r>
      <w:r>
        <w:rPr>
          <w:rFonts w:cs="Times New Roman"/>
          <w:bCs/>
          <w:color w:val="000000" w:themeColor="text1"/>
          <w:sz w:val="28"/>
          <w:szCs w:val="28"/>
          <w:lang w:val="en-US"/>
        </w:rPr>
        <w:t>R</w:t>
      </w:r>
      <w:r w:rsidRPr="00E745DF">
        <w:rPr>
          <w:rFonts w:cs="Times New Roman"/>
          <w:bCs/>
          <w:color w:val="000000" w:themeColor="text1"/>
          <w:sz w:val="28"/>
          <w:szCs w:val="28"/>
          <w:lang w:val="en-US"/>
        </w:rPr>
        <w:t xml:space="preserve">eport show that a small number of older New Zealanders, who rely on NZS as their sole or </w:t>
      </w:r>
      <w:r w:rsidRPr="00E745DF">
        <w:rPr>
          <w:rFonts w:cs="Times New Roman"/>
          <w:bCs/>
          <w:color w:val="000000" w:themeColor="text1"/>
          <w:sz w:val="28"/>
          <w:szCs w:val="28"/>
          <w:lang w:val="en-US"/>
        </w:rPr>
        <w:lastRenderedPageBreak/>
        <w:t>primary income</w:t>
      </w:r>
      <w:r>
        <w:rPr>
          <w:rFonts w:cs="Times New Roman"/>
          <w:bCs/>
          <w:color w:val="000000" w:themeColor="text1"/>
          <w:sz w:val="28"/>
          <w:szCs w:val="28"/>
          <w:lang w:val="en-US"/>
        </w:rPr>
        <w:t>,</w:t>
      </w:r>
      <w:r w:rsidRPr="00E745DF">
        <w:rPr>
          <w:rFonts w:cs="Times New Roman"/>
          <w:bCs/>
          <w:color w:val="000000" w:themeColor="text1"/>
          <w:sz w:val="28"/>
          <w:szCs w:val="28"/>
          <w:lang w:val="en-US"/>
        </w:rPr>
        <w:t xml:space="preserve"> either experience financial hardship, or can be expected to do so within the next decade:</w:t>
      </w:r>
      <w:r w:rsidRPr="00E745DF">
        <w:rPr>
          <w:rFonts w:cs="Times New Roman"/>
          <w:sz w:val="28"/>
          <w:szCs w:val="28"/>
          <w:vertAlign w:val="superscript"/>
          <w:lang w:val="en-US"/>
        </w:rPr>
        <w:footnoteReference w:id="146"/>
      </w:r>
    </w:p>
    <w:p w14:paraId="1300469A"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0CA13427"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T</w:t>
      </w:r>
      <w:r w:rsidRPr="00E745DF">
        <w:rPr>
          <w:rFonts w:cs="Times New Roman"/>
          <w:bCs/>
          <w:color w:val="000000" w:themeColor="text1"/>
          <w:sz w:val="28"/>
          <w:szCs w:val="28"/>
          <w:lang w:val="en-US"/>
        </w:rPr>
        <w:t>here is high dependence on NZS for most: for example, around 60% of singles and 30% of couples report less than $100 pw per capita from non-government sources.</w:t>
      </w:r>
      <w:r w:rsidRPr="00C37B4D">
        <w:rPr>
          <w:rFonts w:cs="Times New Roman"/>
          <w:bCs/>
          <w:color w:val="000000" w:themeColor="text1"/>
          <w:sz w:val="28"/>
          <w:szCs w:val="28"/>
          <w:lang w:val="en-US"/>
        </w:rPr>
        <w:br/>
      </w:r>
    </w:p>
    <w:p w14:paraId="1F5A641B" w14:textId="437B59E1"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The small group (4-8%) that </w:t>
      </w:r>
      <w:r w:rsidR="003F2110" w:rsidRPr="00E745DF">
        <w:rPr>
          <w:rFonts w:cs="Times New Roman"/>
          <w:bCs/>
          <w:color w:val="000000" w:themeColor="text1"/>
          <w:sz w:val="28"/>
          <w:szCs w:val="28"/>
          <w:lang w:val="en-US"/>
        </w:rPr>
        <w:t>does</w:t>
      </w:r>
      <w:r w:rsidRPr="00E745DF">
        <w:rPr>
          <w:rFonts w:cs="Times New Roman"/>
          <w:bCs/>
          <w:color w:val="000000" w:themeColor="text1"/>
          <w:sz w:val="28"/>
          <w:szCs w:val="28"/>
          <w:lang w:val="en-US"/>
        </w:rPr>
        <w:t xml:space="preserve"> have financial challenges are, unsurprisingly, those who rent and have little other than NZS for income.</w:t>
      </w:r>
      <w:r w:rsidRPr="00C37B4D">
        <w:rPr>
          <w:rFonts w:cs="Times New Roman"/>
          <w:bCs/>
          <w:color w:val="000000" w:themeColor="text1"/>
          <w:sz w:val="28"/>
          <w:szCs w:val="28"/>
          <w:lang w:val="en-US"/>
        </w:rPr>
        <w:br/>
      </w:r>
    </w:p>
    <w:p w14:paraId="69BF3287"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Declining mortgage-free home ownership for the cohorts approaching “retirement”, and elevated low income rates (AHC) for older working-age adults living on their own suggest that this small group (4-8%) may grow in coming years.</w:t>
      </w:r>
      <w:r w:rsidRPr="00C37B4D">
        <w:rPr>
          <w:rFonts w:cs="Times New Roman"/>
          <w:bCs/>
          <w:color w:val="000000" w:themeColor="text1"/>
          <w:sz w:val="28"/>
          <w:szCs w:val="28"/>
          <w:lang w:val="en-US"/>
        </w:rPr>
        <w:tab/>
      </w:r>
    </w:p>
    <w:p w14:paraId="67025343" w14:textId="77777777" w:rsidR="00E747A2" w:rsidRPr="00E745DF" w:rsidRDefault="00E747A2" w:rsidP="00FC17F1">
      <w:pPr>
        <w:pStyle w:val="ListParagraph"/>
        <w:spacing w:line="360" w:lineRule="auto"/>
        <w:ind w:left="1800"/>
        <w:jc w:val="both"/>
        <w:rPr>
          <w:rFonts w:cs="Times New Roman"/>
          <w:bCs/>
          <w:color w:val="000000" w:themeColor="text1"/>
          <w:sz w:val="28"/>
          <w:szCs w:val="28"/>
          <w:lang w:val="en-US"/>
        </w:rPr>
      </w:pPr>
    </w:p>
    <w:p w14:paraId="5F411298" w14:textId="77777777" w:rsidR="00E747A2" w:rsidRPr="00C37B4D" w:rsidRDefault="00E747A2" w:rsidP="00DA2390">
      <w:pPr>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This finding is in line with the Commission for Financial Capability's research in which 18% of people aged over 55 reported that they struggled to make ends meet. </w:t>
      </w:r>
    </w:p>
    <w:p w14:paraId="5E734894" w14:textId="77777777" w:rsidR="00E747A2" w:rsidRPr="00C37B4D" w:rsidRDefault="00E747A2" w:rsidP="00FC17F1">
      <w:pPr>
        <w:spacing w:line="360" w:lineRule="auto"/>
        <w:jc w:val="both"/>
        <w:rPr>
          <w:rFonts w:cs="Times New Roman"/>
          <w:bCs/>
          <w:color w:val="000000" w:themeColor="text1"/>
          <w:sz w:val="28"/>
          <w:szCs w:val="28"/>
          <w:lang w:val="en-US"/>
        </w:rPr>
      </w:pPr>
    </w:p>
    <w:p w14:paraId="07B43D2C"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Given these statistics, it follows that the amount of NZS received by some older New Zealanders needs to be substantially increased (even if eligibility for the increase needs to be means tested). Such an increase would help to ensure that pensioners who have no other source of income will not be forced to ensure the indignity of living in financial hardship. At a minimum, this group of pensioners should be paid enough </w:t>
      </w:r>
      <w:r w:rsidRPr="00E745DF">
        <w:rPr>
          <w:rFonts w:cs="Times New Roman"/>
          <w:bCs/>
          <w:color w:val="000000" w:themeColor="text1"/>
          <w:sz w:val="28"/>
          <w:szCs w:val="28"/>
          <w:lang w:val="en-US"/>
        </w:rPr>
        <w:lastRenderedPageBreak/>
        <w:t xml:space="preserve">to ensure they can purchase and consume wholesome and healthy food and afford to live in warm, dry healthy homes. </w:t>
      </w:r>
    </w:p>
    <w:p w14:paraId="289B6793"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6CE13AC8"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w:t>
      </w:r>
      <w:r>
        <w:rPr>
          <w:rFonts w:cs="Times New Roman"/>
          <w:bCs/>
          <w:color w:val="000000" w:themeColor="text1"/>
          <w:sz w:val="28"/>
          <w:szCs w:val="28"/>
          <w:lang w:val="en-US"/>
        </w:rPr>
        <w:t>Older</w:t>
      </w:r>
      <w:r w:rsidRPr="00E745DF">
        <w:rPr>
          <w:rFonts w:cs="Times New Roman"/>
          <w:bCs/>
          <w:color w:val="000000" w:themeColor="text1"/>
          <w:sz w:val="28"/>
          <w:szCs w:val="28"/>
          <w:lang w:val="en-US"/>
        </w:rPr>
        <w:t xml:space="preserve"> people who depend on the New Zealand pension as their </w:t>
      </w:r>
      <w:r>
        <w:rPr>
          <w:rFonts w:cs="Times New Roman"/>
          <w:bCs/>
          <w:color w:val="000000" w:themeColor="text1"/>
          <w:sz w:val="28"/>
          <w:szCs w:val="28"/>
          <w:lang w:val="en-US"/>
        </w:rPr>
        <w:t xml:space="preserve">sole or </w:t>
      </w:r>
      <w:r w:rsidRPr="00E745DF">
        <w:rPr>
          <w:rFonts w:cs="Times New Roman"/>
          <w:bCs/>
          <w:color w:val="000000" w:themeColor="text1"/>
          <w:sz w:val="28"/>
          <w:szCs w:val="28"/>
          <w:lang w:val="en-US"/>
        </w:rPr>
        <w:t>primary source of income are also disadvantaged in comparison with those who have access to private superannuation and other post retirement sources of funds (ie, extra funds generated from rental income or selling assets accumulated prior to retirement). Those who depend on NZS as their sole or primary source of income have paid tax into the NZS fund for many years and they should not be penali</w:t>
      </w:r>
      <w:r>
        <w:rPr>
          <w:rFonts w:cs="Times New Roman"/>
          <w:bCs/>
          <w:color w:val="000000" w:themeColor="text1"/>
          <w:sz w:val="28"/>
          <w:szCs w:val="28"/>
          <w:lang w:val="en-US"/>
        </w:rPr>
        <w:t>s</w:t>
      </w:r>
      <w:r w:rsidRPr="00E745DF">
        <w:rPr>
          <w:rFonts w:cs="Times New Roman"/>
          <w:bCs/>
          <w:color w:val="000000" w:themeColor="text1"/>
          <w:sz w:val="28"/>
          <w:szCs w:val="28"/>
          <w:lang w:val="en-US"/>
        </w:rPr>
        <w:t xml:space="preserve">ed in their later years for failing to be part of New Zealand’s cohort of wealthy </w:t>
      </w:r>
      <w:r>
        <w:rPr>
          <w:rFonts w:cs="Times New Roman"/>
          <w:bCs/>
          <w:color w:val="000000" w:themeColor="text1"/>
          <w:sz w:val="28"/>
          <w:szCs w:val="28"/>
          <w:lang w:val="en-US"/>
        </w:rPr>
        <w:t>older</w:t>
      </w:r>
      <w:r w:rsidRPr="00E745DF">
        <w:rPr>
          <w:rFonts w:cs="Times New Roman"/>
          <w:bCs/>
          <w:color w:val="000000" w:themeColor="text1"/>
          <w:sz w:val="28"/>
          <w:szCs w:val="28"/>
          <w:lang w:val="en-US"/>
        </w:rPr>
        <w:t xml:space="preserve"> people. </w:t>
      </w:r>
    </w:p>
    <w:p w14:paraId="1798F655" w14:textId="77777777" w:rsidR="00E747A2" w:rsidRPr="00E745DF" w:rsidRDefault="00E747A2" w:rsidP="00FC17F1">
      <w:pPr>
        <w:spacing w:line="360" w:lineRule="auto"/>
        <w:jc w:val="both"/>
        <w:rPr>
          <w:rFonts w:cs="Times New Roman"/>
          <w:bCs/>
          <w:color w:val="000000" w:themeColor="text1"/>
          <w:sz w:val="28"/>
          <w:szCs w:val="28"/>
          <w:lang w:val="en-US"/>
        </w:rPr>
      </w:pPr>
    </w:p>
    <w:p w14:paraId="622ECF1A" w14:textId="77777777" w:rsidR="00E747A2" w:rsidRPr="00C37B4D" w:rsidRDefault="00E747A2" w:rsidP="00FC17F1">
      <w:pPr>
        <w:tabs>
          <w:tab w:val="left" w:pos="90"/>
        </w:tabs>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Recommendation</w:t>
      </w:r>
    </w:p>
    <w:p w14:paraId="38CC0970" w14:textId="77777777" w:rsidR="00E747A2" w:rsidRPr="00C37B4D" w:rsidRDefault="00E747A2" w:rsidP="00FC17F1">
      <w:pPr>
        <w:spacing w:line="360" w:lineRule="auto"/>
        <w:jc w:val="both"/>
        <w:rPr>
          <w:rFonts w:cs="Times New Roman"/>
          <w:bCs/>
          <w:color w:val="000000" w:themeColor="text1"/>
          <w:sz w:val="28"/>
          <w:szCs w:val="28"/>
          <w:lang w:val="en-US"/>
        </w:rPr>
      </w:pPr>
    </w:p>
    <w:p w14:paraId="0692E43C"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The New Zealand Government needs to ensure that a means tested increase in NZS entitlement is provided to older New Zealander</w:t>
      </w:r>
      <w:r>
        <w:rPr>
          <w:rFonts w:cs="Times New Roman"/>
          <w:bCs/>
          <w:color w:val="000000" w:themeColor="text1"/>
          <w:sz w:val="28"/>
          <w:szCs w:val="28"/>
          <w:lang w:val="en-US"/>
        </w:rPr>
        <w:t>s</w:t>
      </w:r>
      <w:r w:rsidRPr="00E745DF">
        <w:rPr>
          <w:rFonts w:cs="Times New Roman"/>
          <w:bCs/>
          <w:color w:val="000000" w:themeColor="text1"/>
          <w:sz w:val="28"/>
          <w:szCs w:val="28"/>
          <w:lang w:val="en-US"/>
        </w:rPr>
        <w:t xml:space="preserve"> who are currently experiencing financial hardship and is available to those who are likely to experience such hardship in the future. </w:t>
      </w:r>
    </w:p>
    <w:p w14:paraId="4C4A7D68" w14:textId="77777777" w:rsidR="00E747A2" w:rsidRPr="00E745DF" w:rsidRDefault="00E747A2" w:rsidP="00FC17F1">
      <w:pPr>
        <w:spacing w:line="360" w:lineRule="auto"/>
        <w:jc w:val="both"/>
        <w:rPr>
          <w:rFonts w:cs="Times New Roman"/>
          <w:bCs/>
          <w:color w:val="000000" w:themeColor="text1"/>
          <w:sz w:val="28"/>
          <w:szCs w:val="28"/>
          <w:lang w:val="en-US"/>
        </w:rPr>
      </w:pPr>
    </w:p>
    <w:p w14:paraId="60B9CDAE"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Art</w:t>
      </w:r>
      <w:r>
        <w:rPr>
          <w:rFonts w:cs="Times New Roman"/>
          <w:b/>
          <w:bCs/>
          <w:color w:val="000000" w:themeColor="text1"/>
          <w:sz w:val="28"/>
          <w:szCs w:val="28"/>
          <w:lang w:val="en-US"/>
        </w:rPr>
        <w:t>icle</w:t>
      </w:r>
      <w:r w:rsidRPr="00C37B4D">
        <w:rPr>
          <w:rFonts w:cs="Times New Roman"/>
          <w:b/>
          <w:bCs/>
          <w:color w:val="000000" w:themeColor="text1"/>
          <w:sz w:val="28"/>
          <w:szCs w:val="28"/>
          <w:lang w:val="en-US"/>
        </w:rPr>
        <w:t xml:space="preserve"> 9 - Barriers obstructing some older people from easily accessing information about supplementary benefits </w:t>
      </w:r>
    </w:p>
    <w:p w14:paraId="53147050" w14:textId="77777777" w:rsidR="00E747A2" w:rsidRPr="0076327C" w:rsidRDefault="00E747A2" w:rsidP="00FC17F1">
      <w:pPr>
        <w:jc w:val="both"/>
        <w:rPr>
          <w:lang w:val="en-US"/>
        </w:rPr>
      </w:pPr>
      <w:r w:rsidRPr="00E745DF">
        <w:rPr>
          <w:rFonts w:cs="Times New Roman"/>
          <w:bCs/>
          <w:color w:val="000000" w:themeColor="text1"/>
          <w:sz w:val="28"/>
          <w:szCs w:val="28"/>
          <w:lang w:val="en-US"/>
        </w:rPr>
        <w:t xml:space="preserve"> </w:t>
      </w:r>
    </w:p>
    <w:p w14:paraId="5225A0AD" w14:textId="77777777" w:rsidR="00E747A2"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There is a wide range of benefits and other forms of financial assistance available to older New Zealanders. These forms of financial assistance can provide invaluable support for those older people wishing to stay in their own homes, or who need other forms of support to enable them to live with dignity in their later years. </w:t>
      </w:r>
    </w:p>
    <w:p w14:paraId="0891F11B" w14:textId="77777777" w:rsidR="00E747A2" w:rsidRDefault="00E747A2" w:rsidP="00FC17F1">
      <w:pPr>
        <w:pStyle w:val="ListParagraph"/>
        <w:spacing w:line="360" w:lineRule="auto"/>
        <w:ind w:left="360"/>
        <w:jc w:val="both"/>
        <w:rPr>
          <w:rFonts w:cs="Times New Roman"/>
          <w:bCs/>
          <w:color w:val="000000" w:themeColor="text1"/>
          <w:sz w:val="28"/>
          <w:szCs w:val="28"/>
          <w:lang w:val="en-US"/>
        </w:rPr>
      </w:pPr>
    </w:p>
    <w:p w14:paraId="61DB4DA2" w14:textId="08A1623A"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5B0C23">
        <w:rPr>
          <w:rFonts w:cs="Times New Roman"/>
          <w:bCs/>
          <w:color w:val="000000" w:themeColor="text1"/>
          <w:sz w:val="28"/>
          <w:szCs w:val="28"/>
          <w:lang w:val="en-US"/>
        </w:rPr>
        <w:lastRenderedPageBreak/>
        <w:t xml:space="preserve">Over the last decade, </w:t>
      </w:r>
      <w:r>
        <w:rPr>
          <w:rFonts w:cs="Times New Roman"/>
          <w:bCs/>
          <w:color w:val="000000" w:themeColor="text1"/>
          <w:sz w:val="28"/>
          <w:szCs w:val="28"/>
          <w:lang w:val="en-US"/>
        </w:rPr>
        <w:t xml:space="preserve">the </w:t>
      </w:r>
      <w:r w:rsidR="003F2110">
        <w:rPr>
          <w:rFonts w:cs="Times New Roman"/>
          <w:bCs/>
          <w:color w:val="000000" w:themeColor="text1"/>
          <w:sz w:val="28"/>
          <w:szCs w:val="28"/>
          <w:lang w:val="en-US"/>
        </w:rPr>
        <w:t xml:space="preserve">NZ </w:t>
      </w:r>
      <w:r w:rsidR="003F2110" w:rsidRPr="005B0C23">
        <w:rPr>
          <w:rFonts w:cs="Times New Roman"/>
          <w:bCs/>
          <w:color w:val="000000" w:themeColor="text1"/>
          <w:sz w:val="28"/>
          <w:szCs w:val="28"/>
          <w:lang w:val="en-US"/>
        </w:rPr>
        <w:t>government</w:t>
      </w:r>
      <w:r w:rsidRPr="005B0C23">
        <w:rPr>
          <w:rFonts w:cs="Times New Roman"/>
          <w:bCs/>
          <w:color w:val="000000" w:themeColor="text1"/>
          <w:sz w:val="28"/>
          <w:szCs w:val="28"/>
          <w:lang w:val="en-US"/>
        </w:rPr>
        <w:t xml:space="preserve"> has acknowledged this phenomenon by </w:t>
      </w:r>
      <w:r w:rsidR="003F2110" w:rsidRPr="005B0C23">
        <w:rPr>
          <w:rFonts w:cs="Times New Roman"/>
          <w:bCs/>
          <w:color w:val="000000" w:themeColor="text1"/>
          <w:sz w:val="28"/>
          <w:szCs w:val="28"/>
          <w:lang w:val="en-US"/>
        </w:rPr>
        <w:t>developing the</w:t>
      </w:r>
      <w:r w:rsidRPr="005B0C23">
        <w:rPr>
          <w:rFonts w:cs="Times New Roman"/>
          <w:bCs/>
          <w:color w:val="000000" w:themeColor="text1"/>
          <w:sz w:val="28"/>
          <w:szCs w:val="28"/>
          <w:lang w:val="en-US"/>
        </w:rPr>
        <w:t xml:space="preserve"> “Ageing in Place” policy to drive a range of initiatives to assist older people to remain living in their own homes for as long as possible.</w:t>
      </w:r>
      <w:r w:rsidRPr="005B0C23">
        <w:rPr>
          <w:rFonts w:cs="Times New Roman"/>
          <w:sz w:val="28"/>
          <w:szCs w:val="28"/>
          <w:vertAlign w:val="superscript"/>
          <w:lang w:val="en-US"/>
        </w:rPr>
        <w:footnoteReference w:id="147"/>
      </w:r>
      <w:r w:rsidRPr="005B0C23">
        <w:rPr>
          <w:rFonts w:cs="Times New Roman"/>
          <w:bCs/>
          <w:color w:val="000000" w:themeColor="text1"/>
          <w:sz w:val="28"/>
          <w:szCs w:val="28"/>
          <w:lang w:val="en-US"/>
        </w:rPr>
        <w:t xml:space="preserve"> These initiatives include the provision of healthcare assistance to, and various forms of support for, older people living in their own homes. In addition, there are a range of benefits, allowances and subsidised services provided to older people by government agencies and the District Health Boards.</w:t>
      </w:r>
      <w:r w:rsidRPr="005B0C23">
        <w:rPr>
          <w:rFonts w:cs="Times New Roman"/>
          <w:sz w:val="28"/>
          <w:szCs w:val="28"/>
          <w:vertAlign w:val="superscript"/>
          <w:lang w:val="en-US"/>
        </w:rPr>
        <w:footnoteReference w:id="148"/>
      </w:r>
      <w:r w:rsidRPr="005B0C23">
        <w:rPr>
          <w:rFonts w:cs="Times New Roman"/>
          <w:bCs/>
          <w:color w:val="000000" w:themeColor="text1"/>
          <w:sz w:val="28"/>
          <w:szCs w:val="28"/>
          <w:lang w:val="en-US"/>
        </w:rPr>
        <w:t xml:space="preserve"> </w:t>
      </w:r>
    </w:p>
    <w:p w14:paraId="353E1BDD" w14:textId="77777777" w:rsidR="00E747A2" w:rsidRPr="00C37B4D" w:rsidRDefault="00E747A2" w:rsidP="00FC17F1">
      <w:pPr>
        <w:pStyle w:val="ListParagraph"/>
        <w:spacing w:line="360" w:lineRule="auto"/>
        <w:ind w:left="360"/>
        <w:jc w:val="both"/>
        <w:rPr>
          <w:rFonts w:cs="Times New Roman"/>
          <w:bCs/>
          <w:color w:val="000000" w:themeColor="text1"/>
          <w:sz w:val="28"/>
          <w:szCs w:val="28"/>
          <w:lang w:val="en-US"/>
        </w:rPr>
      </w:pPr>
    </w:p>
    <w:p w14:paraId="2ABFC939" w14:textId="77777777" w:rsidR="00E747A2" w:rsidRPr="00E745DF" w:rsidRDefault="00E747A2" w:rsidP="00FC17F1">
      <w:pPr>
        <w:spacing w:line="360" w:lineRule="auto"/>
        <w:jc w:val="both"/>
        <w:rPr>
          <w:rFonts w:cs="Times New Roman"/>
          <w:bCs/>
          <w:color w:val="000000" w:themeColor="text1"/>
          <w:sz w:val="28"/>
          <w:szCs w:val="28"/>
          <w:lang w:val="en-US"/>
        </w:rPr>
      </w:pPr>
    </w:p>
    <w:p w14:paraId="1A9764AE"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However, as McIntosh points out in </w:t>
      </w:r>
      <w:r w:rsidRPr="00E745DF">
        <w:rPr>
          <w:rFonts w:cs="Times New Roman"/>
          <w:bCs/>
          <w:i/>
          <w:color w:val="000000" w:themeColor="text1"/>
          <w:sz w:val="28"/>
          <w:szCs w:val="28"/>
          <w:lang w:val="en-US"/>
        </w:rPr>
        <w:t>Elder Law in New Zealand</w:t>
      </w:r>
      <w:r w:rsidRPr="00E745DF">
        <w:rPr>
          <w:rFonts w:cs="Times New Roman"/>
          <w:bCs/>
          <w:color w:val="000000" w:themeColor="text1"/>
          <w:sz w:val="28"/>
          <w:szCs w:val="28"/>
          <w:lang w:val="en-US"/>
        </w:rPr>
        <w:t>:</w:t>
      </w:r>
      <w:r w:rsidRPr="00E745DF">
        <w:rPr>
          <w:rFonts w:cs="Times New Roman"/>
          <w:sz w:val="28"/>
          <w:szCs w:val="28"/>
          <w:vertAlign w:val="superscript"/>
          <w:lang w:val="en-US"/>
        </w:rPr>
        <w:footnoteReference w:id="149"/>
      </w:r>
      <w:r w:rsidRPr="00C37B4D">
        <w:rPr>
          <w:rFonts w:cs="Times New Roman"/>
          <w:b/>
          <w:bCs/>
          <w:color w:val="000000" w:themeColor="text1"/>
          <w:sz w:val="28"/>
          <w:szCs w:val="28"/>
          <w:lang w:val="en-US"/>
        </w:rPr>
        <w:t xml:space="preserve"> “</w:t>
      </w:r>
      <w:r w:rsidRPr="00C37B4D">
        <w:rPr>
          <w:rFonts w:cs="Times New Roman"/>
          <w:bCs/>
          <w:color w:val="000000" w:themeColor="text1"/>
          <w:sz w:val="28"/>
          <w:szCs w:val="28"/>
          <w:lang w:val="en-US"/>
        </w:rPr>
        <w:t xml:space="preserve"> … the task of successfully applying for [any of the types of financial assistance or other support available to older people in New Zealand] …. could well be daunting for some older people because:</w:t>
      </w:r>
    </w:p>
    <w:p w14:paraId="3CFE19F0" w14:textId="77777777" w:rsidR="00E747A2" w:rsidRPr="00C37B4D" w:rsidRDefault="00E747A2" w:rsidP="00FC17F1">
      <w:pPr>
        <w:spacing w:line="360" w:lineRule="auto"/>
        <w:jc w:val="both"/>
        <w:rPr>
          <w:rFonts w:cs="Times New Roman"/>
          <w:bCs/>
          <w:color w:val="000000" w:themeColor="text1"/>
          <w:sz w:val="28"/>
          <w:szCs w:val="28"/>
          <w:lang w:val="en-US"/>
        </w:rPr>
      </w:pPr>
    </w:p>
    <w:p w14:paraId="7B35E4E6" w14:textId="59EF2DE3" w:rsidR="00E747A2" w:rsidRPr="00FC17F1" w:rsidRDefault="00E747A2" w:rsidP="00DA2390">
      <w:pPr>
        <w:pStyle w:val="ListParagraph"/>
        <w:numPr>
          <w:ilvl w:val="0"/>
          <w:numId w:val="6"/>
        </w:numPr>
        <w:tabs>
          <w:tab w:val="left" w:pos="1620"/>
          <w:tab w:val="left" w:pos="2070"/>
          <w:tab w:val="left" w:pos="2430"/>
          <w:tab w:val="left" w:pos="3330"/>
        </w:tabs>
        <w:spacing w:line="360" w:lineRule="auto"/>
        <w:ind w:left="3330" w:hanging="450"/>
        <w:jc w:val="both"/>
        <w:rPr>
          <w:rFonts w:cs="Times New Roman"/>
          <w:bCs/>
          <w:color w:val="000000" w:themeColor="text1"/>
          <w:sz w:val="28"/>
          <w:szCs w:val="28"/>
          <w:lang w:val="en-US"/>
        </w:rPr>
      </w:pPr>
      <w:r w:rsidRPr="00FC17F1">
        <w:rPr>
          <w:rFonts w:cs="Times New Roman"/>
          <w:bCs/>
          <w:color w:val="000000" w:themeColor="text1"/>
          <w:sz w:val="28"/>
          <w:szCs w:val="28"/>
          <w:lang w:val="en-US"/>
        </w:rPr>
        <w:t>most of the information about them is located in diverse places on the websites and pamphlets of the government agencies that administer them;</w:t>
      </w:r>
      <w:r w:rsidRPr="00E745DF">
        <w:rPr>
          <w:vertAlign w:val="superscript"/>
          <w:lang w:val="en-US"/>
        </w:rPr>
        <w:footnoteReference w:id="150"/>
      </w:r>
    </w:p>
    <w:p w14:paraId="2A121F16" w14:textId="46E1BCA5" w:rsidR="00E747A2" w:rsidRPr="00FC17F1" w:rsidRDefault="00E747A2" w:rsidP="00DA2390">
      <w:pPr>
        <w:numPr>
          <w:ilvl w:val="0"/>
          <w:numId w:val="6"/>
        </w:numPr>
        <w:tabs>
          <w:tab w:val="left" w:pos="2430"/>
          <w:tab w:val="left" w:pos="3330"/>
        </w:tabs>
        <w:spacing w:line="360" w:lineRule="auto"/>
        <w:ind w:left="3330" w:hanging="450"/>
        <w:jc w:val="both"/>
        <w:rPr>
          <w:rFonts w:cs="Times New Roman"/>
          <w:bCs/>
          <w:color w:val="000000" w:themeColor="text1"/>
          <w:sz w:val="28"/>
          <w:szCs w:val="28"/>
          <w:lang w:val="en-US"/>
        </w:rPr>
      </w:pPr>
      <w:r w:rsidRPr="00C37B4D">
        <w:rPr>
          <w:rFonts w:cs="Times New Roman"/>
          <w:bCs/>
          <w:color w:val="000000" w:themeColor="text1"/>
          <w:sz w:val="28"/>
          <w:szCs w:val="28"/>
          <w:lang w:val="en-US"/>
        </w:rPr>
        <w:lastRenderedPageBreak/>
        <w:t>most of these benefits require applicants to meet stringent eligibility criteria, and it may difficult for some older people to locate the evidence needed to support their applications;</w:t>
      </w:r>
      <w:r w:rsidRPr="00C37B4D">
        <w:rPr>
          <w:rFonts w:cs="Times New Roman"/>
          <w:bCs/>
          <w:color w:val="000000" w:themeColor="text1"/>
          <w:sz w:val="28"/>
          <w:szCs w:val="28"/>
          <w:vertAlign w:val="superscript"/>
          <w:lang w:val="en-US"/>
        </w:rPr>
        <w:footnoteReference w:id="151"/>
      </w:r>
      <w:r w:rsidRPr="00C37B4D">
        <w:rPr>
          <w:rFonts w:cs="Times New Roman"/>
          <w:bCs/>
          <w:color w:val="000000" w:themeColor="text1"/>
          <w:sz w:val="28"/>
          <w:szCs w:val="28"/>
          <w:lang w:val="en-US"/>
        </w:rPr>
        <w:t xml:space="preserve"> </w:t>
      </w:r>
    </w:p>
    <w:p w14:paraId="143F5E92" w14:textId="77777777" w:rsidR="00E747A2" w:rsidRDefault="00E747A2" w:rsidP="00DA2390">
      <w:pPr>
        <w:numPr>
          <w:ilvl w:val="0"/>
          <w:numId w:val="6"/>
        </w:numPr>
        <w:tabs>
          <w:tab w:val="left" w:pos="2430"/>
          <w:tab w:val="left" w:pos="3330"/>
        </w:tabs>
        <w:spacing w:line="360" w:lineRule="auto"/>
        <w:ind w:left="3330" w:hanging="450"/>
        <w:jc w:val="both"/>
        <w:rPr>
          <w:rFonts w:cs="Times New Roman"/>
          <w:bCs/>
          <w:color w:val="000000" w:themeColor="text1"/>
          <w:sz w:val="28"/>
          <w:szCs w:val="28"/>
          <w:lang w:val="en-US"/>
        </w:rPr>
      </w:pPr>
      <w:r w:rsidRPr="00C37B4D">
        <w:rPr>
          <w:rFonts w:cs="Times New Roman"/>
          <w:bCs/>
          <w:color w:val="000000" w:themeColor="text1"/>
          <w:sz w:val="28"/>
          <w:szCs w:val="28"/>
          <w:lang w:val="en-US"/>
        </w:rPr>
        <w:t>older people may be unwell or distressed when the need to apply for these funds arises; and</w:t>
      </w:r>
    </w:p>
    <w:p w14:paraId="5E1BB6C4" w14:textId="77777777" w:rsidR="00E747A2" w:rsidRPr="00C37B4D" w:rsidRDefault="00E747A2" w:rsidP="00FC17F1">
      <w:pPr>
        <w:tabs>
          <w:tab w:val="left" w:pos="2430"/>
          <w:tab w:val="left" w:pos="3330"/>
        </w:tabs>
        <w:spacing w:line="360" w:lineRule="auto"/>
        <w:ind w:left="3330" w:hanging="450"/>
        <w:jc w:val="both"/>
        <w:rPr>
          <w:rFonts w:cs="Times New Roman"/>
          <w:bCs/>
          <w:color w:val="000000" w:themeColor="text1"/>
          <w:sz w:val="28"/>
          <w:szCs w:val="28"/>
          <w:lang w:val="en-US"/>
        </w:rPr>
      </w:pPr>
    </w:p>
    <w:p w14:paraId="683F7217" w14:textId="77777777" w:rsidR="00E747A2" w:rsidRPr="00C37B4D" w:rsidRDefault="00E747A2" w:rsidP="00DA2390">
      <w:pPr>
        <w:numPr>
          <w:ilvl w:val="0"/>
          <w:numId w:val="6"/>
        </w:numPr>
        <w:tabs>
          <w:tab w:val="left" w:pos="2430"/>
          <w:tab w:val="left" w:pos="3330"/>
        </w:tabs>
        <w:spacing w:line="360" w:lineRule="auto"/>
        <w:ind w:left="3330" w:hanging="450"/>
        <w:jc w:val="both"/>
        <w:rPr>
          <w:rFonts w:cs="Times New Roman"/>
          <w:bCs/>
          <w:color w:val="000000" w:themeColor="text1"/>
          <w:sz w:val="28"/>
          <w:szCs w:val="28"/>
          <w:lang w:val="en-US"/>
        </w:rPr>
      </w:pPr>
      <w:r w:rsidRPr="00C37B4D">
        <w:rPr>
          <w:rFonts w:cs="Times New Roman"/>
          <w:bCs/>
          <w:color w:val="000000" w:themeColor="text1"/>
          <w:sz w:val="28"/>
          <w:szCs w:val="28"/>
          <w:lang w:val="en-US"/>
        </w:rPr>
        <w:t>the legislative schemes relating to each of them are complex and virtually impossible for those who do not have Internet research skills and the legal training to interpret and understand what they find.”</w:t>
      </w:r>
    </w:p>
    <w:p w14:paraId="6508C3FB" w14:textId="77777777" w:rsidR="00E747A2" w:rsidRPr="00C37B4D" w:rsidRDefault="00E747A2" w:rsidP="00FC17F1">
      <w:pPr>
        <w:spacing w:line="360" w:lineRule="auto"/>
        <w:jc w:val="both"/>
        <w:rPr>
          <w:rFonts w:cs="Times New Roman"/>
          <w:bCs/>
          <w:color w:val="000000" w:themeColor="text1"/>
          <w:sz w:val="28"/>
          <w:szCs w:val="28"/>
          <w:lang w:val="en-US"/>
        </w:rPr>
      </w:pPr>
    </w:p>
    <w:p w14:paraId="1C53560B" w14:textId="77777777" w:rsidR="00E747A2" w:rsidRPr="00E745DF"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 Another major source of this problem is that much of the information about the financial assistance to which older people are, or may be, entitled to is buried amongst the provisions and schedules of the Social Security Act 1964, and the various regulations made under that Act. </w:t>
      </w:r>
      <w:r>
        <w:rPr>
          <w:rFonts w:cs="Times New Roman"/>
          <w:bCs/>
          <w:color w:val="000000" w:themeColor="text1"/>
          <w:sz w:val="28"/>
          <w:szCs w:val="28"/>
          <w:lang w:val="en-US"/>
        </w:rPr>
        <w:t>I</w:t>
      </w:r>
      <w:r w:rsidRPr="00E745DF">
        <w:rPr>
          <w:rFonts w:cs="Times New Roman"/>
          <w:bCs/>
          <w:color w:val="000000" w:themeColor="text1"/>
          <w:sz w:val="28"/>
          <w:szCs w:val="28"/>
          <w:lang w:val="en-US"/>
        </w:rPr>
        <w:t xml:space="preserve">t is difficult to accurately and quickly identify which provisions in </w:t>
      </w:r>
      <w:r w:rsidRPr="00E745DF">
        <w:rPr>
          <w:rFonts w:cs="Times New Roman"/>
          <w:bCs/>
          <w:color w:val="000000" w:themeColor="text1"/>
          <w:sz w:val="28"/>
          <w:szCs w:val="28"/>
          <w:lang w:val="en-US"/>
        </w:rPr>
        <w:lastRenderedPageBreak/>
        <w:t xml:space="preserve">the Act and which regulations made under the Act apply to older persons seeking financial assistance. </w:t>
      </w:r>
    </w:p>
    <w:p w14:paraId="4418A004" w14:textId="77777777" w:rsidR="00E747A2" w:rsidRPr="00C37B4D" w:rsidRDefault="00E747A2" w:rsidP="00FC17F1">
      <w:pPr>
        <w:spacing w:line="360" w:lineRule="auto"/>
        <w:jc w:val="both"/>
        <w:rPr>
          <w:rFonts w:cs="Times New Roman"/>
          <w:bCs/>
          <w:color w:val="000000" w:themeColor="text1"/>
          <w:sz w:val="28"/>
          <w:szCs w:val="28"/>
          <w:lang w:val="en-US"/>
        </w:rPr>
      </w:pPr>
    </w:p>
    <w:p w14:paraId="7FBF7FE2" w14:textId="77777777" w:rsidR="00E747A2" w:rsidRPr="00E745DF"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For example (and this is a very simple example in comparison with the detective work that is required to locate the correct statutory provisions and regulations relevant to some benefits) the information about assistance available to older people buried within the following parts and provisions of the Act:</w:t>
      </w:r>
    </w:p>
    <w:p w14:paraId="7099F769" w14:textId="77777777" w:rsidR="00E747A2" w:rsidRPr="00C37B4D" w:rsidRDefault="00E747A2" w:rsidP="00FC17F1">
      <w:pPr>
        <w:spacing w:line="360" w:lineRule="auto"/>
        <w:jc w:val="both"/>
        <w:rPr>
          <w:rFonts w:cs="Times New Roman"/>
          <w:bCs/>
          <w:color w:val="000000" w:themeColor="text1"/>
          <w:sz w:val="28"/>
          <w:szCs w:val="28"/>
          <w:lang w:val="en-US"/>
        </w:rPr>
      </w:pPr>
    </w:p>
    <w:p w14:paraId="5DB57027" w14:textId="77777777" w:rsidR="00E747A2" w:rsidRPr="00E745DF" w:rsidRDefault="00E747A2" w:rsidP="00FC17F1">
      <w:pPr>
        <w:spacing w:line="360" w:lineRule="auto"/>
        <w:ind w:left="1440"/>
        <w:jc w:val="both"/>
        <w:rPr>
          <w:rFonts w:cs="Times New Roman"/>
          <w:bCs/>
          <w:color w:val="000000" w:themeColor="text1"/>
          <w:sz w:val="28"/>
          <w:szCs w:val="28"/>
          <w:lang w:val="en-US"/>
        </w:rPr>
      </w:pPr>
      <w:r w:rsidRPr="00E745DF">
        <w:rPr>
          <w:rFonts w:cs="Times New Roman"/>
          <w:bCs/>
          <w:color w:val="000000" w:themeColor="text1"/>
          <w:sz w:val="28"/>
          <w:szCs w:val="28"/>
          <w:lang w:val="en-US"/>
        </w:rPr>
        <w:t>Accommodation supplement (Part 1K of the 1964 Act)</w:t>
      </w:r>
    </w:p>
    <w:p w14:paraId="149C6F7F" w14:textId="32420F42"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Disability Allowance (Part 1O of the 1964 </w:t>
      </w:r>
      <w:r w:rsidR="003F2110" w:rsidRPr="00C37B4D">
        <w:rPr>
          <w:rFonts w:cs="Times New Roman"/>
          <w:bCs/>
          <w:color w:val="000000" w:themeColor="text1"/>
          <w:sz w:val="28"/>
          <w:szCs w:val="28"/>
          <w:lang w:val="en-US"/>
        </w:rPr>
        <w:t>Act)</w:t>
      </w:r>
    </w:p>
    <w:p w14:paraId="506E211E"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Funeral Grants (Part 1J of the 1964 Act)</w:t>
      </w:r>
    </w:p>
    <w:p w14:paraId="2BF96EC4"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Emergency Benefits (Part 1 G of the 1964 Act)</w:t>
      </w:r>
    </w:p>
    <w:p w14:paraId="1B1B1A24"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Temporary Additional Support (Part 1 L of the 1964 Act)</w:t>
      </w:r>
    </w:p>
    <w:p w14:paraId="79C68EBF"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Special Needs Grant (s 124(1)(d) of the 1964 Act)</w:t>
      </w:r>
    </w:p>
    <w:p w14:paraId="515F3404"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Advance payment of benefit (s 82(6) of the 1964 Act)</w:t>
      </w:r>
    </w:p>
    <w:p w14:paraId="4C5B5665"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Regulations providing for issue and use of entitlement cards (s 132A of the 1964 Act)</w:t>
      </w:r>
    </w:p>
    <w:p w14:paraId="670E2B78"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Residential care loan scheme (s 153 of the 1964 Act)</w:t>
      </w:r>
    </w:p>
    <w:p w14:paraId="25A67F13"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 Long-term residential care in hospital or rest home (Part 4 of the 1964 Act)</w:t>
      </w:r>
    </w:p>
    <w:p w14:paraId="7F65C5A1" w14:textId="77777777" w:rsidR="00E747A2" w:rsidRPr="00C37B4D" w:rsidRDefault="00E747A2" w:rsidP="00FC17F1">
      <w:pPr>
        <w:spacing w:line="360" w:lineRule="auto"/>
        <w:ind w:left="1440"/>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Special Disability Allowance (s 69C(5) of the 1964 Act) </w:t>
      </w:r>
    </w:p>
    <w:p w14:paraId="7E5BA77F" w14:textId="77777777" w:rsidR="00E747A2" w:rsidRPr="00C37B4D" w:rsidRDefault="00E747A2" w:rsidP="00FC17F1">
      <w:pPr>
        <w:spacing w:line="360" w:lineRule="auto"/>
        <w:jc w:val="both"/>
        <w:rPr>
          <w:rFonts w:cs="Times New Roman"/>
          <w:b/>
          <w:bCs/>
          <w:color w:val="000000" w:themeColor="text1"/>
          <w:sz w:val="28"/>
          <w:szCs w:val="28"/>
          <w:lang w:val="en-US"/>
        </w:rPr>
      </w:pPr>
    </w:p>
    <w:p w14:paraId="1D35B6A3" w14:textId="77777777" w:rsidR="00E747A2"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There is an urgent need for the Government to ensure that older people, and their families and advisors are given the best possible assistance to enable them to “navigate their way around New Zealand’s … benefits regime”</w:t>
      </w:r>
      <w:r w:rsidRPr="00E745DF">
        <w:rPr>
          <w:rFonts w:cs="Times New Roman"/>
          <w:sz w:val="28"/>
          <w:szCs w:val="28"/>
          <w:vertAlign w:val="superscript"/>
          <w:lang w:val="en-US"/>
        </w:rPr>
        <w:footnoteReference w:id="152"/>
      </w:r>
      <w:r w:rsidRPr="00E745DF">
        <w:rPr>
          <w:rFonts w:cs="Times New Roman"/>
          <w:bCs/>
          <w:color w:val="000000" w:themeColor="text1"/>
          <w:sz w:val="28"/>
          <w:szCs w:val="28"/>
          <w:lang w:val="en-US"/>
        </w:rPr>
        <w:t xml:space="preserve">. At present the difficulty of navigating through </w:t>
      </w:r>
      <w:r w:rsidRPr="00E745DF">
        <w:rPr>
          <w:rFonts w:cs="Times New Roman"/>
          <w:bCs/>
          <w:color w:val="000000" w:themeColor="text1"/>
          <w:sz w:val="28"/>
          <w:szCs w:val="28"/>
          <w:lang w:val="en-US"/>
        </w:rPr>
        <w:lastRenderedPageBreak/>
        <w:t xml:space="preserve">that myriad of sources of information about various aspects of that regime effectively obstructs older people (and those who want to assist them access the benefits to which they are potentially entitled) from readily accessing information about the forms of state funded financial assistance that would enable them to enjoy a decent standard of living. This barrier to obtaining that information undermines the very purpose for which these benefits were created. </w:t>
      </w:r>
    </w:p>
    <w:p w14:paraId="30AC5CAA" w14:textId="77777777" w:rsidR="00E747A2" w:rsidRPr="00E745DF" w:rsidRDefault="00E747A2" w:rsidP="00FC17F1">
      <w:pPr>
        <w:pStyle w:val="ListParagraph"/>
        <w:spacing w:line="360" w:lineRule="auto"/>
        <w:ind w:left="360"/>
        <w:jc w:val="both"/>
        <w:rPr>
          <w:rFonts w:cs="Times New Roman"/>
          <w:bCs/>
          <w:color w:val="000000" w:themeColor="text1"/>
          <w:sz w:val="28"/>
          <w:szCs w:val="28"/>
          <w:lang w:val="en-US"/>
        </w:rPr>
      </w:pPr>
    </w:p>
    <w:p w14:paraId="5F6BAA3E"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Given the ever</w:t>
      </w:r>
      <w:r>
        <w:rPr>
          <w:rFonts w:cs="Times New Roman"/>
          <w:bCs/>
          <w:color w:val="000000" w:themeColor="text1"/>
          <w:sz w:val="28"/>
          <w:szCs w:val="28"/>
          <w:lang w:val="en-US"/>
        </w:rPr>
        <w:t>-</w:t>
      </w:r>
      <w:r w:rsidRPr="00E745DF">
        <w:rPr>
          <w:rFonts w:cs="Times New Roman"/>
          <w:bCs/>
          <w:color w:val="000000" w:themeColor="text1"/>
          <w:sz w:val="28"/>
          <w:szCs w:val="28"/>
          <w:lang w:val="en-US"/>
        </w:rPr>
        <w:t>increasing size of NZ’s elderly population a fragmented approach to the delivery of benefits and other services (and to the delivery of information about them) to older people is no longer acceptable.</w:t>
      </w:r>
    </w:p>
    <w:p w14:paraId="406EE71D" w14:textId="77777777" w:rsidR="00E747A2" w:rsidRPr="00E745DF" w:rsidRDefault="00E747A2" w:rsidP="00FC17F1">
      <w:pPr>
        <w:spacing w:line="360" w:lineRule="auto"/>
        <w:jc w:val="both"/>
        <w:rPr>
          <w:rFonts w:cs="Times New Roman"/>
          <w:bCs/>
          <w:color w:val="000000" w:themeColor="text1"/>
          <w:sz w:val="28"/>
          <w:szCs w:val="28"/>
          <w:lang w:val="en-US"/>
        </w:rPr>
      </w:pPr>
    </w:p>
    <w:p w14:paraId="79A50E29"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Recommendation</w:t>
      </w:r>
    </w:p>
    <w:p w14:paraId="4C1D37CD" w14:textId="77777777" w:rsidR="00E747A2" w:rsidRPr="00C37B4D" w:rsidRDefault="00E747A2" w:rsidP="00FC17F1">
      <w:pPr>
        <w:spacing w:line="360" w:lineRule="auto"/>
        <w:jc w:val="both"/>
        <w:rPr>
          <w:rFonts w:cs="Times New Roman"/>
          <w:b/>
          <w:bCs/>
          <w:color w:val="000000" w:themeColor="text1"/>
          <w:sz w:val="28"/>
          <w:szCs w:val="28"/>
          <w:lang w:val="en-US"/>
        </w:rPr>
      </w:pPr>
    </w:p>
    <w:p w14:paraId="17F28586" w14:textId="3A5D026A" w:rsidR="00E747A2" w:rsidRPr="00E745DF"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In order to help older people, their families and advisors to quickly identify the range of Benefits, Subsidies Allowances and Grants that are, or may be, available to them, a separate Senior Citizens’ Benefits, Subsidies Allowances and Grants Act </w:t>
      </w:r>
      <w:r>
        <w:rPr>
          <w:rFonts w:cs="Times New Roman"/>
          <w:bCs/>
          <w:color w:val="000000" w:themeColor="text1"/>
          <w:sz w:val="28"/>
          <w:szCs w:val="28"/>
          <w:lang w:val="en-US"/>
        </w:rPr>
        <w:t xml:space="preserve">should be enacted </w:t>
      </w:r>
      <w:r w:rsidRPr="00E745DF">
        <w:rPr>
          <w:rFonts w:cs="Times New Roman"/>
          <w:bCs/>
          <w:color w:val="000000" w:themeColor="text1"/>
          <w:sz w:val="28"/>
          <w:szCs w:val="28"/>
          <w:lang w:val="en-US"/>
        </w:rPr>
        <w:t>which sets out those benefits in one place</w:t>
      </w:r>
      <w:r>
        <w:rPr>
          <w:rFonts w:cs="Times New Roman"/>
          <w:bCs/>
          <w:color w:val="000000" w:themeColor="text1"/>
          <w:sz w:val="28"/>
          <w:szCs w:val="28"/>
          <w:lang w:val="en-US"/>
        </w:rPr>
        <w:t xml:space="preserve">. </w:t>
      </w:r>
      <w:r w:rsidR="003F2110">
        <w:rPr>
          <w:rFonts w:cs="Times New Roman"/>
          <w:bCs/>
          <w:color w:val="000000" w:themeColor="text1"/>
          <w:sz w:val="28"/>
          <w:szCs w:val="28"/>
          <w:lang w:val="en-US"/>
        </w:rPr>
        <w:t xml:space="preserve">Similarly, </w:t>
      </w:r>
      <w:r w:rsidR="003F2110" w:rsidRPr="00E745DF">
        <w:rPr>
          <w:rFonts w:cs="Times New Roman"/>
          <w:bCs/>
          <w:color w:val="000000" w:themeColor="text1"/>
          <w:sz w:val="28"/>
          <w:szCs w:val="28"/>
          <w:lang w:val="en-US"/>
        </w:rPr>
        <w:t xml:space="preserve">a single regulation </w:t>
      </w:r>
      <w:r w:rsidR="003F2110">
        <w:rPr>
          <w:rFonts w:cs="Times New Roman"/>
          <w:bCs/>
          <w:color w:val="000000" w:themeColor="text1"/>
          <w:sz w:val="28"/>
          <w:szCs w:val="28"/>
          <w:lang w:val="en-US"/>
        </w:rPr>
        <w:t xml:space="preserve">about benefits, subsidies and grants should also be promulgated with a name such as </w:t>
      </w:r>
      <w:r w:rsidR="003F2110" w:rsidRPr="00E745DF">
        <w:rPr>
          <w:rFonts w:cs="Times New Roman"/>
          <w:bCs/>
          <w:color w:val="000000" w:themeColor="text1"/>
          <w:sz w:val="28"/>
          <w:szCs w:val="28"/>
          <w:lang w:val="en-US"/>
        </w:rPr>
        <w:t xml:space="preserve">the Senior Citizens’ Benefits, Subsidies Allowances and Grants Regulation. </w:t>
      </w:r>
    </w:p>
    <w:p w14:paraId="4DF9152F" w14:textId="77777777" w:rsidR="00E747A2" w:rsidRPr="00C37B4D" w:rsidRDefault="00E747A2" w:rsidP="00FC17F1">
      <w:pPr>
        <w:spacing w:line="360" w:lineRule="auto"/>
        <w:jc w:val="both"/>
        <w:rPr>
          <w:rFonts w:cs="Times New Roman"/>
          <w:bCs/>
          <w:color w:val="000000" w:themeColor="text1"/>
          <w:sz w:val="28"/>
          <w:szCs w:val="28"/>
          <w:lang w:val="en-US"/>
        </w:rPr>
      </w:pPr>
    </w:p>
    <w:p w14:paraId="67AE8C0E" w14:textId="77777777" w:rsidR="00E747A2" w:rsidRPr="00E745DF" w:rsidRDefault="00E747A2" w:rsidP="00DA2390">
      <w:pPr>
        <w:pStyle w:val="ListParagraph"/>
        <w:numPr>
          <w:ilvl w:val="0"/>
          <w:numId w:val="53"/>
        </w:numPr>
        <w:tabs>
          <w:tab w:val="left" w:pos="1080"/>
        </w:tabs>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Information about the Act and Regulations could then be consolidated on a single website containing all the supporting information (including application forms and practical advice about how to meet the eligibility criteria for each type of benefit or other form of assistance) relevant to the forms of financial support contained in the suggested Act and Regulations. This initiative should also be supported by the provision of </w:t>
      </w:r>
      <w:r w:rsidRPr="00E745DF">
        <w:rPr>
          <w:rFonts w:cs="Times New Roman"/>
          <w:bCs/>
          <w:color w:val="000000" w:themeColor="text1"/>
          <w:sz w:val="28"/>
          <w:szCs w:val="28"/>
          <w:lang w:val="en-US"/>
        </w:rPr>
        <w:lastRenderedPageBreak/>
        <w:t>trained and free advocates who can assist older people to navigate their way through the labyrinth of application processes and to represent them in their dealings with the agencies who handle pensions and benefits.</w:t>
      </w:r>
    </w:p>
    <w:p w14:paraId="2E3FE914" w14:textId="77777777" w:rsidR="00E747A2" w:rsidRPr="00C37B4D" w:rsidRDefault="00E747A2" w:rsidP="00FC17F1">
      <w:pPr>
        <w:spacing w:line="360" w:lineRule="auto"/>
        <w:jc w:val="both"/>
        <w:rPr>
          <w:rFonts w:cs="Times New Roman"/>
          <w:bCs/>
          <w:color w:val="000000" w:themeColor="text1"/>
          <w:sz w:val="28"/>
          <w:szCs w:val="28"/>
          <w:lang w:val="en-US"/>
        </w:rPr>
      </w:pPr>
    </w:p>
    <w:p w14:paraId="64DD5EA2" w14:textId="77777777" w:rsidR="00E747A2" w:rsidRPr="00E745DF"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The benefits of adopting this suggested solution are that it would:</w:t>
      </w:r>
    </w:p>
    <w:p w14:paraId="1B8459CD" w14:textId="77777777" w:rsidR="00E747A2" w:rsidRPr="00E745DF" w:rsidRDefault="00E747A2" w:rsidP="00DA2390">
      <w:pPr>
        <w:pStyle w:val="ListParagraph"/>
        <w:numPr>
          <w:ilvl w:val="0"/>
          <w:numId w:val="18"/>
        </w:numPr>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Support the Government’s Ageing in Place policy by demonstrating that the Government is serious about providing “older person friendly” support to those who wish to remain in their own homes;</w:t>
      </w:r>
    </w:p>
    <w:p w14:paraId="3F75C4FF" w14:textId="77777777" w:rsidR="00E747A2" w:rsidRPr="00C37B4D" w:rsidRDefault="00E747A2" w:rsidP="00DA2390">
      <w:pPr>
        <w:numPr>
          <w:ilvl w:val="0"/>
          <w:numId w:val="18"/>
        </w:numPr>
        <w:spacing w:line="360" w:lineRule="auto"/>
        <w:ind w:left="2520"/>
        <w:jc w:val="both"/>
        <w:rPr>
          <w:rFonts w:cs="Times New Roman"/>
          <w:bCs/>
          <w:color w:val="000000" w:themeColor="text1"/>
          <w:sz w:val="28"/>
          <w:szCs w:val="28"/>
          <w:lang w:val="en-US"/>
        </w:rPr>
      </w:pPr>
      <w:r w:rsidRPr="00C37B4D">
        <w:rPr>
          <w:rFonts w:cs="Times New Roman"/>
          <w:bCs/>
          <w:color w:val="000000" w:themeColor="text1"/>
          <w:sz w:val="28"/>
          <w:szCs w:val="28"/>
          <w:lang w:val="en-US"/>
        </w:rPr>
        <w:t>Greatly assist family members and support persons for older people to easily identify the forms of benefits and other assistance for which older people are entitled to apply;</w:t>
      </w:r>
    </w:p>
    <w:p w14:paraId="241334F8" w14:textId="77777777" w:rsidR="00E747A2" w:rsidRPr="00C37B4D" w:rsidRDefault="00E747A2" w:rsidP="00DA2390">
      <w:pPr>
        <w:numPr>
          <w:ilvl w:val="0"/>
          <w:numId w:val="18"/>
        </w:numPr>
        <w:spacing w:line="360" w:lineRule="auto"/>
        <w:ind w:left="2520"/>
        <w:jc w:val="both"/>
        <w:rPr>
          <w:rFonts w:cs="Times New Roman"/>
          <w:bCs/>
          <w:color w:val="000000" w:themeColor="text1"/>
          <w:sz w:val="28"/>
          <w:szCs w:val="28"/>
          <w:lang w:val="en-US"/>
        </w:rPr>
      </w:pPr>
      <w:r w:rsidRPr="00C37B4D">
        <w:rPr>
          <w:rFonts w:cs="Times New Roman"/>
          <w:bCs/>
          <w:color w:val="000000" w:themeColor="text1"/>
          <w:sz w:val="28"/>
          <w:szCs w:val="28"/>
          <w:lang w:val="en-US"/>
        </w:rPr>
        <w:t xml:space="preserve">Enhance New Zealand’s good reputation as a champion of human rights (especially ESC rights) and a respecter of the rights of older people by removing barriers that have the potential to impede easy access by older people to information about benefits and assistance for which they are, or may be, eligible. </w:t>
      </w:r>
    </w:p>
    <w:p w14:paraId="0FE3C8C4" w14:textId="77777777" w:rsidR="00E747A2" w:rsidRPr="00C37B4D" w:rsidRDefault="00E747A2" w:rsidP="00FC17F1">
      <w:pPr>
        <w:spacing w:line="360" w:lineRule="auto"/>
        <w:jc w:val="both"/>
        <w:rPr>
          <w:rFonts w:cs="Times New Roman"/>
          <w:bCs/>
          <w:color w:val="000000" w:themeColor="text1"/>
          <w:sz w:val="28"/>
          <w:szCs w:val="28"/>
          <w:lang w:val="en-US"/>
        </w:rPr>
      </w:pPr>
    </w:p>
    <w:p w14:paraId="3099C34C" w14:textId="77777777" w:rsidR="00E747A2"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Art</w:t>
      </w:r>
      <w:r>
        <w:rPr>
          <w:rFonts w:cs="Times New Roman"/>
          <w:b/>
          <w:bCs/>
          <w:color w:val="000000" w:themeColor="text1"/>
          <w:sz w:val="28"/>
          <w:szCs w:val="28"/>
          <w:lang w:val="en-US"/>
        </w:rPr>
        <w:t>icle</w:t>
      </w:r>
      <w:r w:rsidRPr="00C37B4D">
        <w:rPr>
          <w:rFonts w:cs="Times New Roman"/>
          <w:b/>
          <w:bCs/>
          <w:color w:val="000000" w:themeColor="text1"/>
          <w:sz w:val="28"/>
          <w:szCs w:val="28"/>
          <w:lang w:val="en-US"/>
        </w:rPr>
        <w:t xml:space="preserve"> 12 - Issues impacting older peoples’ right to health and the provision of the necessaries of life</w:t>
      </w:r>
    </w:p>
    <w:p w14:paraId="15E60803" w14:textId="77777777" w:rsidR="00E747A2" w:rsidRPr="00C37B4D" w:rsidRDefault="00E747A2" w:rsidP="00FC17F1">
      <w:pPr>
        <w:spacing w:line="360" w:lineRule="auto"/>
        <w:jc w:val="both"/>
        <w:rPr>
          <w:rFonts w:cs="Times New Roman"/>
          <w:b/>
          <w:bCs/>
          <w:color w:val="000000" w:themeColor="text1"/>
          <w:sz w:val="28"/>
          <w:szCs w:val="28"/>
          <w:lang w:val="en-US"/>
        </w:rPr>
      </w:pPr>
    </w:p>
    <w:p w14:paraId="34CE26EB"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The problem of elder abuse</w:t>
      </w:r>
    </w:p>
    <w:p w14:paraId="63B7D851" w14:textId="77777777" w:rsidR="00E747A2" w:rsidRPr="00E745DF"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Elder abuse is a significant, growing and often almost invisible problem in New Zealand. Elder abuse has been defined by the United Nations and the World Health Organisation as: </w:t>
      </w:r>
      <w:r w:rsidRPr="00E745DF">
        <w:rPr>
          <w:rFonts w:cs="Times New Roman"/>
          <w:bCs/>
          <w:iCs/>
          <w:color w:val="000000" w:themeColor="text1"/>
          <w:sz w:val="28"/>
          <w:szCs w:val="28"/>
          <w:lang w:val="en-US"/>
        </w:rPr>
        <w:t xml:space="preserve">“a single, or repeated act, or lack of appropriate action, occurring within any relationship where </w:t>
      </w:r>
      <w:r w:rsidRPr="00E745DF">
        <w:rPr>
          <w:rFonts w:cs="Times New Roman"/>
          <w:bCs/>
          <w:iCs/>
          <w:color w:val="000000" w:themeColor="text1"/>
          <w:sz w:val="28"/>
          <w:szCs w:val="28"/>
          <w:lang w:val="en-US"/>
        </w:rPr>
        <w:lastRenderedPageBreak/>
        <w:t>there is an expectation of trust which causes harm or distress to an older person”</w:t>
      </w:r>
      <w:r w:rsidRPr="00E745DF">
        <w:rPr>
          <w:rFonts w:cs="Times New Roman"/>
          <w:bCs/>
          <w:color w:val="000000" w:themeColor="text1"/>
          <w:sz w:val="28"/>
          <w:szCs w:val="28"/>
          <w:lang w:val="en-US"/>
        </w:rPr>
        <w:t>.</w:t>
      </w:r>
    </w:p>
    <w:p w14:paraId="1EF27830" w14:textId="77777777" w:rsidR="00E747A2" w:rsidRPr="00C37B4D" w:rsidRDefault="00E747A2" w:rsidP="00FC17F1">
      <w:pPr>
        <w:pStyle w:val="ListParagraph"/>
        <w:spacing w:line="360" w:lineRule="auto"/>
        <w:ind w:left="1080"/>
        <w:jc w:val="both"/>
        <w:rPr>
          <w:rFonts w:cs="Times New Roman"/>
          <w:bCs/>
          <w:color w:val="000000" w:themeColor="text1"/>
          <w:sz w:val="28"/>
          <w:szCs w:val="28"/>
          <w:lang w:val="en-US"/>
        </w:rPr>
      </w:pPr>
    </w:p>
    <w:p w14:paraId="56F99E55" w14:textId="77777777" w:rsidR="00E747A2" w:rsidRPr="00C37B4D"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In New Zealand this kind of abuse has been found to take various forms including:</w:t>
      </w:r>
      <w:r w:rsidRPr="00C37B4D">
        <w:rPr>
          <w:rFonts w:cs="Times New Roman"/>
          <w:bCs/>
          <w:color w:val="000000" w:themeColor="text1"/>
          <w:sz w:val="28"/>
          <w:szCs w:val="28"/>
          <w:lang w:val="en-US"/>
        </w:rPr>
        <w:t xml:space="preserve"> Financial abuse which is the:</w:t>
      </w:r>
      <w:r w:rsidRPr="00C37B4D">
        <w:rPr>
          <w:rFonts w:cs="Times New Roman"/>
          <w:bCs/>
          <w:color w:val="000000" w:themeColor="text1"/>
          <w:sz w:val="28"/>
          <w:szCs w:val="28"/>
          <w:vertAlign w:val="superscript"/>
          <w:lang w:val="en-US"/>
        </w:rPr>
        <w:footnoteReference w:id="153"/>
      </w:r>
      <w:r w:rsidRPr="00C37B4D">
        <w:rPr>
          <w:rFonts w:cs="Times New Roman"/>
          <w:bCs/>
          <w:color w:val="000000" w:themeColor="text1"/>
          <w:sz w:val="28"/>
          <w:szCs w:val="28"/>
          <w:lang w:val="en-US"/>
        </w:rPr>
        <w:t>“… improper or illegal use [by younger people who are often relatives of the victim] of money, property or other assets. Examples cited by Age Concern include:</w:t>
      </w:r>
    </w:p>
    <w:p w14:paraId="413BF500" w14:textId="61A45FC0" w:rsidR="00E747A2" w:rsidRPr="00E745DF" w:rsidRDefault="00E747A2" w:rsidP="00DA2390">
      <w:pPr>
        <w:pStyle w:val="ListParagraph"/>
        <w:numPr>
          <w:ilvl w:val="0"/>
          <w:numId w:val="22"/>
        </w:numPr>
        <w:tabs>
          <w:tab w:val="left" w:pos="1800"/>
        </w:tabs>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Unauthorised taking of money or possessions.</w:t>
      </w:r>
    </w:p>
    <w:p w14:paraId="3432DDD6" w14:textId="10F5F404" w:rsidR="00E747A2" w:rsidRPr="00FC17F1" w:rsidRDefault="00E747A2" w:rsidP="00DA2390">
      <w:pPr>
        <w:pStyle w:val="ListParagraph"/>
        <w:numPr>
          <w:ilvl w:val="0"/>
          <w:numId w:val="22"/>
        </w:numPr>
        <w:tabs>
          <w:tab w:val="left" w:pos="180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Misuse of power of attorney.</w:t>
      </w:r>
    </w:p>
    <w:p w14:paraId="1E75369B" w14:textId="12B4D312" w:rsidR="00E747A2" w:rsidRPr="00FC17F1" w:rsidRDefault="00E747A2" w:rsidP="00DA2390">
      <w:pPr>
        <w:pStyle w:val="ListParagraph"/>
        <w:numPr>
          <w:ilvl w:val="0"/>
          <w:numId w:val="22"/>
        </w:numPr>
        <w:tabs>
          <w:tab w:val="left" w:pos="180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Failure to repay loans.</w:t>
      </w:r>
    </w:p>
    <w:p w14:paraId="11BCA650" w14:textId="628A793F" w:rsidR="00E747A2" w:rsidRPr="00FC17F1" w:rsidRDefault="00E747A2" w:rsidP="00DA2390">
      <w:pPr>
        <w:pStyle w:val="ListParagraph"/>
        <w:numPr>
          <w:ilvl w:val="0"/>
          <w:numId w:val="22"/>
        </w:numPr>
        <w:tabs>
          <w:tab w:val="left" w:pos="180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Use of home and/or utilities without contributing to costs.</w:t>
      </w:r>
    </w:p>
    <w:p w14:paraId="0D4501EA" w14:textId="45C9EFEE" w:rsidR="00E747A2" w:rsidRPr="00FC17F1" w:rsidRDefault="00E747A2" w:rsidP="00DA2390">
      <w:pPr>
        <w:pStyle w:val="ListParagraph"/>
        <w:numPr>
          <w:ilvl w:val="0"/>
          <w:numId w:val="22"/>
        </w:numPr>
        <w:tabs>
          <w:tab w:val="left" w:pos="180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Lottery and romance scams”.</w:t>
      </w:r>
    </w:p>
    <w:p w14:paraId="2B671FFD" w14:textId="77777777" w:rsidR="00E747A2" w:rsidRPr="00C37B4D" w:rsidRDefault="00E747A2" w:rsidP="00FC17F1">
      <w:pPr>
        <w:tabs>
          <w:tab w:val="left" w:pos="1800"/>
        </w:tabs>
        <w:spacing w:line="360" w:lineRule="auto"/>
        <w:ind w:left="2700" w:hanging="450"/>
        <w:jc w:val="both"/>
        <w:rPr>
          <w:rFonts w:cs="Times New Roman"/>
          <w:bCs/>
          <w:color w:val="000000" w:themeColor="text1"/>
          <w:sz w:val="28"/>
          <w:szCs w:val="28"/>
          <w:lang w:val="en-US"/>
        </w:rPr>
      </w:pPr>
    </w:p>
    <w:p w14:paraId="2E42E64E" w14:textId="77777777" w:rsidR="00E747A2"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Other forms of elder abuse encountered in New Zealand include neglect, failure to provide an elderly person with the necessaries of life, and bullying behavior including physical and psychological abuse.</w:t>
      </w:r>
      <w:r w:rsidRPr="00E745DF">
        <w:rPr>
          <w:rFonts w:cs="Times New Roman"/>
          <w:sz w:val="28"/>
          <w:szCs w:val="28"/>
          <w:vertAlign w:val="superscript"/>
          <w:lang w:val="en-US"/>
        </w:rPr>
        <w:footnoteReference w:id="154"/>
      </w:r>
    </w:p>
    <w:p w14:paraId="578A1D6B" w14:textId="77777777" w:rsidR="00E747A2" w:rsidRPr="00E745DF" w:rsidRDefault="00E747A2" w:rsidP="00FC17F1">
      <w:pPr>
        <w:pStyle w:val="ListParagraph"/>
        <w:jc w:val="both"/>
        <w:rPr>
          <w:rFonts w:cs="Times New Roman"/>
          <w:bCs/>
          <w:color w:val="000000" w:themeColor="text1"/>
          <w:sz w:val="28"/>
          <w:szCs w:val="28"/>
          <w:lang w:val="en-US"/>
        </w:rPr>
      </w:pPr>
    </w:p>
    <w:p w14:paraId="68977EF7" w14:textId="77777777" w:rsidR="00E747A2" w:rsidRPr="00E745DF" w:rsidRDefault="00E747A2" w:rsidP="00FC17F1">
      <w:pPr>
        <w:spacing w:line="360" w:lineRule="auto"/>
        <w:jc w:val="both"/>
        <w:rPr>
          <w:rFonts w:cs="Times New Roman"/>
          <w:bCs/>
          <w:color w:val="000000" w:themeColor="text1"/>
          <w:sz w:val="28"/>
          <w:szCs w:val="28"/>
          <w:lang w:val="en-US"/>
        </w:rPr>
      </w:pPr>
    </w:p>
    <w:p w14:paraId="16EEB58E" w14:textId="1D32718E" w:rsidR="00E747A2" w:rsidRPr="00C37B4D" w:rsidRDefault="003F2110"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According to the Ministry of Social Development, the problem is common:</w:t>
      </w:r>
      <w:r w:rsidRPr="00E745DF">
        <w:rPr>
          <w:rFonts w:cs="Times New Roman"/>
          <w:sz w:val="28"/>
          <w:szCs w:val="28"/>
          <w:vertAlign w:val="superscript"/>
          <w:lang w:val="en-US"/>
        </w:rPr>
        <w:footnoteReference w:id="155"/>
      </w:r>
      <w:r w:rsidRPr="00E745DF">
        <w:rPr>
          <w:rFonts w:cs="Times New Roman"/>
          <w:bCs/>
          <w:color w:val="000000" w:themeColor="text1"/>
          <w:sz w:val="28"/>
          <w:szCs w:val="28"/>
          <w:lang w:val="en-US"/>
        </w:rPr>
        <w:t xml:space="preserve"> </w:t>
      </w:r>
      <w:r w:rsidRPr="00C37B4D">
        <w:rPr>
          <w:rFonts w:cs="Times New Roman"/>
          <w:bCs/>
          <w:color w:val="000000" w:themeColor="text1"/>
          <w:sz w:val="28"/>
          <w:szCs w:val="28"/>
          <w:lang w:val="en-US"/>
        </w:rPr>
        <w:t xml:space="preserve"> “As many as one in ten older people [ie,</w:t>
      </w:r>
      <w:r>
        <w:rPr>
          <w:rFonts w:cs="Times New Roman"/>
          <w:bCs/>
          <w:color w:val="000000" w:themeColor="text1"/>
          <w:sz w:val="28"/>
          <w:szCs w:val="28"/>
          <w:lang w:val="en-US"/>
        </w:rPr>
        <w:t xml:space="preserve"> </w:t>
      </w:r>
      <w:r w:rsidRPr="00C37B4D">
        <w:rPr>
          <w:rFonts w:cs="Times New Roman"/>
          <w:bCs/>
          <w:color w:val="000000" w:themeColor="text1"/>
          <w:sz w:val="28"/>
          <w:szCs w:val="28"/>
          <w:lang w:val="en-US"/>
        </w:rPr>
        <w:t xml:space="preserve">people over 65] in New Zealand will experience some kind of elder abuse. </w:t>
      </w:r>
      <w:r w:rsidR="00E747A2" w:rsidRPr="00C37B4D">
        <w:rPr>
          <w:rFonts w:cs="Times New Roman"/>
          <w:bCs/>
          <w:color w:val="000000" w:themeColor="text1"/>
          <w:sz w:val="28"/>
          <w:szCs w:val="28"/>
          <w:lang w:val="en-US"/>
        </w:rPr>
        <w:t>The majority of cases will go unreported.”</w:t>
      </w:r>
    </w:p>
    <w:p w14:paraId="5EB7CAAC"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4BE70A44" w14:textId="77777777" w:rsidR="00E747A2" w:rsidRPr="00C37B4D" w:rsidRDefault="00E747A2" w:rsidP="00DA2390">
      <w:pPr>
        <w:pStyle w:val="ListParagraph"/>
        <w:numPr>
          <w:ilvl w:val="0"/>
          <w:numId w:val="53"/>
        </w:numPr>
        <w:tabs>
          <w:tab w:val="left" w:pos="1170"/>
        </w:tabs>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lastRenderedPageBreak/>
        <w:t xml:space="preserve">The extent of the problem has been highlighted in a 2015 report published by the Office for Senior Citizens (which is administered by the Ministry of Social Development) which found that: </w:t>
      </w:r>
      <w:r w:rsidRPr="00E745DF">
        <w:rPr>
          <w:rFonts w:cs="Times New Roman"/>
          <w:sz w:val="28"/>
          <w:szCs w:val="28"/>
          <w:vertAlign w:val="superscript"/>
          <w:lang w:val="en-US"/>
        </w:rPr>
        <w:footnoteReference w:id="156"/>
      </w:r>
    </w:p>
    <w:p w14:paraId="7981AE1D"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0D862BF6" w14:textId="1FF09EB7" w:rsidR="003C5776" w:rsidRDefault="00E747A2" w:rsidP="00DA2390">
      <w:pPr>
        <w:pStyle w:val="ListParagraph"/>
        <w:numPr>
          <w:ilvl w:val="0"/>
          <w:numId w:val="23"/>
        </w:numPr>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 xml:space="preserve">Around one in ten older people did report some form of abuse (most closely linked to vulnerability and coercion). </w:t>
      </w:r>
    </w:p>
    <w:p w14:paraId="020167D2" w14:textId="6D05A68C" w:rsidR="003C5776" w:rsidRPr="00FC17F1" w:rsidRDefault="00E747A2" w:rsidP="00DA2390">
      <w:pPr>
        <w:pStyle w:val="ListParagraph"/>
        <w:numPr>
          <w:ilvl w:val="0"/>
          <w:numId w:val="23"/>
        </w:numPr>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There were significant differences between women and men. Across each measure, women experienced a greater sense of vulnerability, dependence and dejection. However men </w:t>
      </w:r>
      <w:r w:rsidRPr="00FC17F1">
        <w:rPr>
          <w:rFonts w:cs="Times New Roman"/>
          <w:bCs/>
          <w:color w:val="000000" w:themeColor="text1"/>
          <w:sz w:val="28"/>
          <w:szCs w:val="28"/>
          <w:lang w:val="en-US"/>
        </w:rPr>
        <w:t xml:space="preserve">experienced higher levels of coercion. </w:t>
      </w:r>
    </w:p>
    <w:p w14:paraId="18ACB4AE" w14:textId="3D709E1F" w:rsidR="003C5776" w:rsidRPr="00FC17F1" w:rsidRDefault="00E747A2" w:rsidP="00DA2390">
      <w:pPr>
        <w:pStyle w:val="ListParagraph"/>
        <w:numPr>
          <w:ilvl w:val="0"/>
          <w:numId w:val="23"/>
        </w:numPr>
        <w:spacing w:line="360" w:lineRule="auto"/>
        <w:ind w:left="2520"/>
        <w:jc w:val="both"/>
        <w:rPr>
          <w:sz w:val="28"/>
          <w:szCs w:val="28"/>
          <w:lang w:val="en-US"/>
        </w:rPr>
      </w:pPr>
      <w:r w:rsidRPr="00FC17F1">
        <w:rPr>
          <w:sz w:val="28"/>
          <w:szCs w:val="28"/>
          <w:lang w:val="en-US"/>
        </w:rPr>
        <w:t xml:space="preserve">Older people who were divorced, separated or widowed felt considerably more sad and lonely, or were uncomfortable with someone in their family. </w:t>
      </w:r>
    </w:p>
    <w:p w14:paraId="708A42A8" w14:textId="4E83532C" w:rsidR="003C5776" w:rsidRDefault="003C5776" w:rsidP="00DA2390">
      <w:pPr>
        <w:pStyle w:val="ListParagraph"/>
        <w:numPr>
          <w:ilvl w:val="0"/>
          <w:numId w:val="23"/>
        </w:numPr>
        <w:spacing w:line="360" w:lineRule="auto"/>
        <w:ind w:left="2520"/>
        <w:jc w:val="both"/>
        <w:rPr>
          <w:sz w:val="28"/>
          <w:szCs w:val="28"/>
          <w:lang w:val="en-US"/>
        </w:rPr>
      </w:pPr>
      <w:r w:rsidRPr="00FC17F1">
        <w:rPr>
          <w:sz w:val="28"/>
          <w:szCs w:val="28"/>
          <w:lang w:val="en-US"/>
        </w:rPr>
        <w:t xml:space="preserve">Older Māori experienced a significantly greater level of abuse than non-Māori. Māori report being coerced more than 2.5 times the rate for non-Māori, meaning they are forced to do things they don’t want to do and people take things from them without their permission.  </w:t>
      </w:r>
    </w:p>
    <w:p w14:paraId="192EC19F" w14:textId="77777777" w:rsidR="003C5776" w:rsidRPr="00FC17F1" w:rsidRDefault="003C5776" w:rsidP="00E55E6D">
      <w:pPr>
        <w:spacing w:line="360" w:lineRule="auto"/>
        <w:ind w:left="2520"/>
        <w:jc w:val="both"/>
        <w:rPr>
          <w:sz w:val="28"/>
          <w:szCs w:val="28"/>
          <w:lang w:val="en-US"/>
        </w:rPr>
      </w:pPr>
    </w:p>
    <w:p w14:paraId="097382F9" w14:textId="3D9E7A42" w:rsidR="003C5776" w:rsidRPr="00FC17F1" w:rsidRDefault="00E55E6D" w:rsidP="00DA2390">
      <w:pPr>
        <w:pStyle w:val="ListParagraph"/>
        <w:numPr>
          <w:ilvl w:val="0"/>
          <w:numId w:val="53"/>
        </w:numPr>
        <w:spacing w:line="360" w:lineRule="auto"/>
        <w:jc w:val="both"/>
        <w:rPr>
          <w:lang w:val="en-US"/>
        </w:rPr>
      </w:pPr>
      <w:r>
        <w:rPr>
          <w:sz w:val="28"/>
          <w:szCs w:val="28"/>
          <w:lang w:val="en-US"/>
        </w:rPr>
        <w:t xml:space="preserve"> </w:t>
      </w:r>
      <w:r w:rsidR="003C5776" w:rsidRPr="003C5776">
        <w:rPr>
          <w:sz w:val="28"/>
          <w:szCs w:val="28"/>
          <w:lang w:val="en-US"/>
        </w:rPr>
        <w:t>Failure to address current levels of elder abuse is likely to have significant effects in the future. This is because the report shows statistically significant reductions in physical and mental health and wellbeing, as well as increases in loneliness and depression associated with elder abuse.</w:t>
      </w:r>
    </w:p>
    <w:p w14:paraId="1459AF4D" w14:textId="77777777" w:rsidR="00E747A2" w:rsidRPr="00E745DF" w:rsidRDefault="00E747A2" w:rsidP="00FC17F1">
      <w:pPr>
        <w:spacing w:line="360" w:lineRule="auto"/>
        <w:jc w:val="both"/>
        <w:rPr>
          <w:rFonts w:cs="Times New Roman"/>
          <w:bCs/>
          <w:color w:val="000000" w:themeColor="text1"/>
          <w:sz w:val="28"/>
          <w:szCs w:val="28"/>
          <w:lang w:val="en-US"/>
        </w:rPr>
      </w:pPr>
    </w:p>
    <w:p w14:paraId="4FA6EA39" w14:textId="77777777" w:rsidR="00E747A2" w:rsidRPr="00E745DF"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lastRenderedPageBreak/>
        <w:t xml:space="preserve">Projections indicate that the number of older people experiencing elder abuse and neglect will increase significantly in the next 20 years, alongside a doubling of the 65 and over population. </w:t>
      </w:r>
    </w:p>
    <w:p w14:paraId="517470F6" w14:textId="77777777" w:rsidR="00E747A2" w:rsidRPr="00C37B4D" w:rsidRDefault="00E747A2" w:rsidP="00FC17F1">
      <w:pPr>
        <w:spacing w:line="360" w:lineRule="auto"/>
        <w:jc w:val="both"/>
        <w:rPr>
          <w:rFonts w:cs="Times New Roman"/>
          <w:bCs/>
          <w:color w:val="000000" w:themeColor="text1"/>
          <w:sz w:val="28"/>
          <w:szCs w:val="28"/>
          <w:lang w:val="en-US"/>
        </w:rPr>
      </w:pPr>
    </w:p>
    <w:p w14:paraId="7B1E688D"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There are forms of statutory redress for victims of elder abuse they include:</w:t>
      </w:r>
    </w:p>
    <w:p w14:paraId="589DEB99" w14:textId="77777777" w:rsidR="00E747A2" w:rsidRDefault="00E747A2" w:rsidP="00DA2390">
      <w:pPr>
        <w:pStyle w:val="ListParagraph"/>
        <w:numPr>
          <w:ilvl w:val="0"/>
          <w:numId w:val="24"/>
        </w:numPr>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sections of the Crimes Act 1961 which, in specified circumstances, make it a criminal offence for persons who care for, or have frequent contact with, vulnerable elderly people, to abuse or neglect, or allow others to abuse or neglect, those elderly people.</w:t>
      </w:r>
      <w:r w:rsidRPr="00E745DF">
        <w:rPr>
          <w:rFonts w:cs="Times New Roman"/>
          <w:sz w:val="28"/>
          <w:szCs w:val="28"/>
          <w:vertAlign w:val="superscript"/>
          <w:lang w:val="en-US"/>
        </w:rPr>
        <w:footnoteReference w:id="157"/>
      </w:r>
    </w:p>
    <w:p w14:paraId="0701EE92" w14:textId="77777777" w:rsidR="003C5776" w:rsidRPr="00FC17F1" w:rsidRDefault="003C5776" w:rsidP="00FC17F1">
      <w:pPr>
        <w:spacing w:line="360" w:lineRule="auto"/>
        <w:jc w:val="both"/>
        <w:rPr>
          <w:rFonts w:cs="Times New Roman"/>
          <w:bCs/>
          <w:color w:val="000000" w:themeColor="text1"/>
          <w:sz w:val="28"/>
          <w:szCs w:val="28"/>
          <w:lang w:val="en-US"/>
        </w:rPr>
      </w:pPr>
    </w:p>
    <w:p w14:paraId="3D642885" w14:textId="77777777" w:rsidR="00E747A2"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Provisions in:</w:t>
      </w:r>
    </w:p>
    <w:p w14:paraId="46734B49" w14:textId="77777777" w:rsidR="00E747A2" w:rsidRDefault="00E747A2" w:rsidP="00DA2390">
      <w:pPr>
        <w:pStyle w:val="ListParagraph"/>
        <w:numPr>
          <w:ilvl w:val="0"/>
          <w:numId w:val="25"/>
        </w:numPr>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 the Domestic Violence Act 1995 (which enable orders to be made to protect elderly people from abuse from those with whom they have a close personal relationship);</w:t>
      </w:r>
    </w:p>
    <w:p w14:paraId="501C089C" w14:textId="77777777" w:rsidR="00E747A2" w:rsidRDefault="00E747A2" w:rsidP="00DA2390">
      <w:pPr>
        <w:pStyle w:val="ListParagraph"/>
        <w:numPr>
          <w:ilvl w:val="0"/>
          <w:numId w:val="25"/>
        </w:numPr>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the Health Practitioners Competence Assurance Act 2003 (which enables elderly people to lodge complaints about the competency of providers of health services);</w:t>
      </w:r>
    </w:p>
    <w:p w14:paraId="5E832163" w14:textId="77777777" w:rsidR="00E747A2" w:rsidRDefault="00E747A2" w:rsidP="00DA2390">
      <w:pPr>
        <w:pStyle w:val="ListParagraph"/>
        <w:numPr>
          <w:ilvl w:val="0"/>
          <w:numId w:val="25"/>
        </w:numPr>
        <w:spacing w:line="360" w:lineRule="auto"/>
        <w:ind w:left="2520"/>
        <w:jc w:val="both"/>
        <w:rPr>
          <w:rFonts w:cs="Times New Roman"/>
          <w:bCs/>
          <w:color w:val="000000" w:themeColor="text1"/>
          <w:sz w:val="28"/>
          <w:szCs w:val="28"/>
          <w:lang w:val="en-US"/>
        </w:rPr>
      </w:pPr>
      <w:r w:rsidRPr="00E745DF">
        <w:rPr>
          <w:rFonts w:cs="Times New Roman"/>
          <w:bCs/>
          <w:color w:val="000000" w:themeColor="text1"/>
          <w:sz w:val="28"/>
          <w:szCs w:val="28"/>
          <w:lang w:val="en-US"/>
        </w:rPr>
        <w:t>the Health and Disability Commissioner Act 1994 and Code of Health and Disability Services Consumers’ Rights (which enables elderly people who are consumers of health or disability services to complain to the Health and Disability Commissioner if they believe that providers of those services have breach the Code);</w:t>
      </w:r>
      <w:r w:rsidRPr="00C37B4D">
        <w:rPr>
          <w:vertAlign w:val="superscript"/>
          <w:lang w:val="en-US"/>
        </w:rPr>
        <w:footnoteReference w:id="158"/>
      </w:r>
      <w:r w:rsidRPr="00E745DF">
        <w:rPr>
          <w:rFonts w:cs="Times New Roman"/>
          <w:bCs/>
          <w:color w:val="000000" w:themeColor="text1"/>
          <w:sz w:val="28"/>
          <w:szCs w:val="28"/>
          <w:lang w:val="en-US"/>
        </w:rPr>
        <w:t xml:space="preserve"> </w:t>
      </w:r>
    </w:p>
    <w:p w14:paraId="67A4AF33" w14:textId="333B0E48" w:rsidR="00E747A2" w:rsidRPr="00E745DF" w:rsidRDefault="00E747A2" w:rsidP="00DA2390">
      <w:pPr>
        <w:pStyle w:val="ListParagraph"/>
        <w:numPr>
          <w:ilvl w:val="0"/>
          <w:numId w:val="25"/>
        </w:numPr>
        <w:spacing w:line="360" w:lineRule="auto"/>
        <w:ind w:left="2520"/>
        <w:jc w:val="both"/>
        <w:rPr>
          <w:rFonts w:cs="Times New Roman"/>
          <w:bCs/>
          <w:color w:val="000000" w:themeColor="text1"/>
          <w:sz w:val="28"/>
          <w:szCs w:val="28"/>
          <w:lang w:val="en-US"/>
        </w:rPr>
      </w:pPr>
      <w:r w:rsidRPr="004C0BEC">
        <w:rPr>
          <w:rFonts w:cs="Times New Roman"/>
          <w:bCs/>
          <w:color w:val="000000" w:themeColor="text1"/>
          <w:sz w:val="28"/>
          <w:szCs w:val="28"/>
          <w:lang w:val="en-US"/>
        </w:rPr>
        <w:lastRenderedPageBreak/>
        <w:t>and</w:t>
      </w:r>
      <w:r w:rsidRPr="00570004">
        <w:rPr>
          <w:rFonts w:cs="Times New Roman"/>
          <w:bCs/>
          <w:color w:val="000000" w:themeColor="text1"/>
          <w:sz w:val="28"/>
          <w:szCs w:val="28"/>
          <w:lang w:val="en-US"/>
        </w:rPr>
        <w:t xml:space="preserve"> </w:t>
      </w:r>
      <w:r w:rsidRPr="00E745DF">
        <w:rPr>
          <w:rFonts w:cs="Times New Roman"/>
          <w:bCs/>
          <w:color w:val="000000" w:themeColor="text1"/>
          <w:sz w:val="28"/>
          <w:szCs w:val="28"/>
          <w:lang w:val="en-US"/>
        </w:rPr>
        <w:t>the Protection of Personal and Property Rights Act 1988 (which are intended to provide elderly people who are donors of Enduring Powers of Attorney (</w:t>
      </w:r>
      <w:r w:rsidR="003F2110" w:rsidRPr="00E745DF">
        <w:rPr>
          <w:rFonts w:cs="Times New Roman"/>
          <w:bCs/>
          <w:color w:val="000000" w:themeColor="text1"/>
          <w:sz w:val="28"/>
          <w:szCs w:val="28"/>
          <w:lang w:val="en-US"/>
        </w:rPr>
        <w:t>EPAs) with</w:t>
      </w:r>
      <w:r w:rsidRPr="00E745DF">
        <w:rPr>
          <w:rFonts w:cs="Times New Roman"/>
          <w:bCs/>
          <w:color w:val="000000" w:themeColor="text1"/>
          <w:sz w:val="28"/>
          <w:szCs w:val="28"/>
          <w:lang w:val="en-US"/>
        </w:rPr>
        <w:t xml:space="preserve"> protection with protection against abuse of those EPAs).</w:t>
      </w:r>
      <w:r w:rsidRPr="00C37B4D">
        <w:rPr>
          <w:vertAlign w:val="superscript"/>
          <w:lang w:val="en-US"/>
        </w:rPr>
        <w:footnoteReference w:id="159"/>
      </w:r>
    </w:p>
    <w:p w14:paraId="33E2285F" w14:textId="77777777" w:rsidR="00E747A2" w:rsidRPr="00E745DF" w:rsidRDefault="00E747A2" w:rsidP="00FC17F1">
      <w:pPr>
        <w:spacing w:line="360" w:lineRule="auto"/>
        <w:jc w:val="both"/>
        <w:rPr>
          <w:rFonts w:cs="Times New Roman"/>
          <w:bCs/>
          <w:color w:val="000000" w:themeColor="text1"/>
          <w:sz w:val="28"/>
          <w:szCs w:val="28"/>
          <w:lang w:val="en-US"/>
        </w:rPr>
      </w:pPr>
    </w:p>
    <w:p w14:paraId="06338D1F" w14:textId="38E6065D"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The effectiveness of these forms of redress </w:t>
      </w:r>
      <w:r>
        <w:rPr>
          <w:rFonts w:cs="Times New Roman"/>
          <w:bCs/>
          <w:color w:val="000000" w:themeColor="text1"/>
          <w:sz w:val="28"/>
          <w:szCs w:val="28"/>
          <w:lang w:val="en-US"/>
        </w:rPr>
        <w:t>is</w:t>
      </w:r>
      <w:r w:rsidRPr="00E745DF">
        <w:rPr>
          <w:rFonts w:cs="Times New Roman"/>
          <w:bCs/>
          <w:color w:val="000000" w:themeColor="text1"/>
          <w:sz w:val="28"/>
          <w:szCs w:val="28"/>
          <w:lang w:val="en-US"/>
        </w:rPr>
        <w:t xml:space="preserve"> limited to cases where </w:t>
      </w:r>
      <w:r>
        <w:rPr>
          <w:rFonts w:cs="Times New Roman"/>
          <w:bCs/>
          <w:color w:val="000000" w:themeColor="text1"/>
          <w:sz w:val="28"/>
          <w:szCs w:val="28"/>
          <w:lang w:val="en-US"/>
        </w:rPr>
        <w:t>the</w:t>
      </w:r>
      <w:r w:rsidRPr="00E745DF">
        <w:rPr>
          <w:rFonts w:cs="Times New Roman"/>
          <w:bCs/>
          <w:color w:val="000000" w:themeColor="text1"/>
          <w:sz w:val="28"/>
          <w:szCs w:val="28"/>
          <w:lang w:val="en-US"/>
        </w:rPr>
        <w:t xml:space="preserve"> elder abuse </w:t>
      </w:r>
      <w:r>
        <w:rPr>
          <w:rFonts w:cs="Times New Roman"/>
          <w:bCs/>
          <w:color w:val="000000" w:themeColor="text1"/>
          <w:sz w:val="28"/>
          <w:szCs w:val="28"/>
          <w:lang w:val="en-US"/>
        </w:rPr>
        <w:t>is</w:t>
      </w:r>
      <w:r w:rsidRPr="00E745DF">
        <w:rPr>
          <w:rFonts w:cs="Times New Roman"/>
          <w:bCs/>
          <w:color w:val="000000" w:themeColor="text1"/>
          <w:sz w:val="28"/>
          <w:szCs w:val="28"/>
          <w:lang w:val="en-US"/>
        </w:rPr>
        <w:t xml:space="preserve"> reported to the police (or to lawyers who can seek protection orders under the Domestic Violence Act 1995) or complaints are made in relation to the Health Practitioners Competence Assurance Act 2003 and/or Health and Disability Commissioner Act 1994 and Code of Health and Disability Services Consumers’ Rights. However</w:t>
      </w:r>
      <w:r>
        <w:rPr>
          <w:rFonts w:cs="Times New Roman"/>
          <w:bCs/>
          <w:color w:val="000000" w:themeColor="text1"/>
          <w:sz w:val="28"/>
          <w:szCs w:val="28"/>
          <w:lang w:val="en-US"/>
        </w:rPr>
        <w:t>,</w:t>
      </w:r>
      <w:r w:rsidRPr="00E745DF">
        <w:rPr>
          <w:rFonts w:cs="Times New Roman"/>
          <w:bCs/>
          <w:color w:val="000000" w:themeColor="text1"/>
          <w:sz w:val="28"/>
          <w:szCs w:val="28"/>
          <w:lang w:val="en-US"/>
        </w:rPr>
        <w:t xml:space="preserve"> because much of the problem is hidden</w:t>
      </w:r>
      <w:r w:rsidR="003F2110">
        <w:rPr>
          <w:rFonts w:cs="Times New Roman"/>
          <w:bCs/>
          <w:color w:val="000000" w:themeColor="text1"/>
          <w:sz w:val="28"/>
          <w:szCs w:val="28"/>
          <w:lang w:val="en-US"/>
        </w:rPr>
        <w:t xml:space="preserve">, </w:t>
      </w:r>
      <w:r w:rsidR="003F2110" w:rsidRPr="00E745DF">
        <w:rPr>
          <w:rFonts w:cs="Times New Roman"/>
          <w:bCs/>
          <w:color w:val="000000" w:themeColor="text1"/>
          <w:sz w:val="28"/>
          <w:szCs w:val="28"/>
          <w:lang w:val="en-US"/>
        </w:rPr>
        <w:t>the</w:t>
      </w:r>
      <w:r w:rsidRPr="00E745DF">
        <w:rPr>
          <w:rFonts w:cs="Times New Roman"/>
          <w:bCs/>
          <w:color w:val="000000" w:themeColor="text1"/>
          <w:sz w:val="28"/>
          <w:szCs w:val="28"/>
          <w:lang w:val="en-US"/>
        </w:rPr>
        <w:t xml:space="preserve"> available statutory forms of redress do little to deter the amount of unreported elder abuse taking place in New Zealand. </w:t>
      </w:r>
    </w:p>
    <w:p w14:paraId="02B9921E" w14:textId="77777777" w:rsidR="00E747A2" w:rsidRPr="00E745DF" w:rsidRDefault="00E747A2" w:rsidP="00FC17F1">
      <w:pPr>
        <w:spacing w:line="360" w:lineRule="auto"/>
        <w:jc w:val="both"/>
        <w:rPr>
          <w:rFonts w:cs="Times New Roman"/>
          <w:bCs/>
          <w:color w:val="000000" w:themeColor="text1"/>
          <w:sz w:val="28"/>
          <w:szCs w:val="28"/>
          <w:lang w:val="en-US"/>
        </w:rPr>
      </w:pPr>
    </w:p>
    <w:p w14:paraId="242730B0" w14:textId="77777777" w:rsidR="00E747A2"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The Government has, however</w:t>
      </w:r>
      <w:r>
        <w:rPr>
          <w:rFonts w:cs="Times New Roman"/>
          <w:bCs/>
          <w:color w:val="000000" w:themeColor="text1"/>
          <w:sz w:val="28"/>
          <w:szCs w:val="28"/>
          <w:lang w:val="en-US"/>
        </w:rPr>
        <w:t>,</w:t>
      </w:r>
      <w:r w:rsidRPr="00E745DF">
        <w:rPr>
          <w:rFonts w:cs="Times New Roman"/>
          <w:bCs/>
          <w:color w:val="000000" w:themeColor="text1"/>
          <w:sz w:val="28"/>
          <w:szCs w:val="28"/>
          <w:lang w:val="en-US"/>
        </w:rPr>
        <w:t xml:space="preserve"> developed a nationwide network of services (led by Age Concern New Zealand and known as the EANP service)</w:t>
      </w:r>
      <w:r w:rsidRPr="00E745DF">
        <w:rPr>
          <w:rFonts w:cs="Times New Roman"/>
          <w:sz w:val="28"/>
          <w:szCs w:val="28"/>
          <w:vertAlign w:val="superscript"/>
          <w:lang w:val="en-US"/>
        </w:rPr>
        <w:footnoteReference w:id="160"/>
      </w:r>
      <w:r w:rsidRPr="00E745DF">
        <w:rPr>
          <w:rFonts w:cs="Times New Roman"/>
          <w:bCs/>
          <w:color w:val="000000" w:themeColor="text1"/>
          <w:sz w:val="28"/>
          <w:szCs w:val="28"/>
          <w:lang w:val="en-US"/>
        </w:rPr>
        <w:t xml:space="preserve"> designed to (a) provide confidential assistance to older people who are, or who at risk of abuse, and (b) raise public “awareness of elder abuse by providing education for aged care workers, community groups, families and anyone with an interest in the wellbeing of older people.”</w:t>
      </w:r>
      <w:r w:rsidRPr="00E745DF">
        <w:rPr>
          <w:rFonts w:cs="Times New Roman"/>
          <w:sz w:val="28"/>
          <w:szCs w:val="28"/>
          <w:vertAlign w:val="superscript"/>
          <w:lang w:val="en-US"/>
        </w:rPr>
        <w:footnoteReference w:id="161"/>
      </w:r>
    </w:p>
    <w:p w14:paraId="0E8394BA" w14:textId="77777777" w:rsidR="00E747A2" w:rsidRPr="00E745DF" w:rsidRDefault="00E747A2" w:rsidP="00FC17F1">
      <w:pPr>
        <w:spacing w:line="360" w:lineRule="auto"/>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 </w:t>
      </w:r>
    </w:p>
    <w:p w14:paraId="68ED644E" w14:textId="0B43DDF7" w:rsidR="00E747A2" w:rsidRPr="00E745DF"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lastRenderedPageBreak/>
        <w:t>The service is also supported by other agencies which help to identify instances of elder abuse such as “health providers, the Police, lawyers, other community support organisations, and other non-Age Concern Elder Abuse and Neglect Prevention services.”</w:t>
      </w:r>
      <w:r w:rsidRPr="00E745DF">
        <w:rPr>
          <w:rFonts w:cs="Times New Roman"/>
          <w:bCs/>
          <w:color w:val="000000" w:themeColor="text1"/>
          <w:sz w:val="28"/>
          <w:szCs w:val="28"/>
          <w:vertAlign w:val="superscript"/>
          <w:lang w:val="en-US"/>
        </w:rPr>
        <w:t xml:space="preserve"> </w:t>
      </w:r>
      <w:r w:rsidRPr="00E745DF">
        <w:rPr>
          <w:rFonts w:cs="Times New Roman"/>
          <w:sz w:val="28"/>
          <w:szCs w:val="28"/>
          <w:vertAlign w:val="superscript"/>
          <w:lang w:val="en-US"/>
        </w:rPr>
        <w:footnoteReference w:id="162"/>
      </w:r>
      <w:r w:rsidRPr="00C37B4D">
        <w:rPr>
          <w:rFonts w:cs="Times New Roman"/>
          <w:bCs/>
          <w:color w:val="000000" w:themeColor="text1"/>
          <w:sz w:val="28"/>
          <w:szCs w:val="28"/>
          <w:vertAlign w:val="superscript"/>
          <w:lang w:val="en-US"/>
        </w:rPr>
        <w:br/>
      </w:r>
    </w:p>
    <w:p w14:paraId="762E0223"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This service makes an invaluable contribution towards addressing the problem of elder abuse. However, given undoubted fact that many instances of elder abuse remain hidden and under reported and that scale of the problem is growing exponentially, the resources allocated by the New Zealand Government to combat it are clearly inadequate.</w:t>
      </w:r>
      <w:r w:rsidRPr="00E745DF">
        <w:rPr>
          <w:rFonts w:cs="Times New Roman"/>
          <w:sz w:val="28"/>
          <w:szCs w:val="28"/>
          <w:vertAlign w:val="superscript"/>
          <w:lang w:val="en-US"/>
        </w:rPr>
        <w:footnoteReference w:id="163"/>
      </w:r>
      <w:r w:rsidRPr="00E745DF">
        <w:rPr>
          <w:rFonts w:cs="Times New Roman"/>
          <w:bCs/>
          <w:color w:val="000000" w:themeColor="text1"/>
          <w:sz w:val="28"/>
          <w:szCs w:val="28"/>
          <w:lang w:val="en-US"/>
        </w:rPr>
        <w:t xml:space="preserve"> There is an urgent need to the New Zealand Government to allocate far more resources to the agencies tasked with dealing with it, if an increased number of cases of elder abuse are to be brought to light. What is needed is a better resourced and better coordinated response to the problem, backed by new legislation imposing strong penalties on all those who fail to report instances of elder abuse.</w:t>
      </w:r>
    </w:p>
    <w:p w14:paraId="5E14F7F1" w14:textId="77777777" w:rsidR="00E747A2" w:rsidRPr="00E745DF" w:rsidRDefault="00E747A2" w:rsidP="00FC17F1">
      <w:pPr>
        <w:spacing w:line="360" w:lineRule="auto"/>
        <w:jc w:val="both"/>
        <w:rPr>
          <w:rFonts w:cs="Times New Roman"/>
          <w:bCs/>
          <w:color w:val="000000" w:themeColor="text1"/>
          <w:sz w:val="28"/>
          <w:szCs w:val="28"/>
          <w:lang w:val="en-US"/>
        </w:rPr>
      </w:pPr>
    </w:p>
    <w:p w14:paraId="6578C2DF"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Recommendation</w:t>
      </w:r>
    </w:p>
    <w:p w14:paraId="64D8DB8C" w14:textId="63EA2763" w:rsidR="00E747A2"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In order to contain, control and reduce the level of elder abuse in New Zealand the Government </w:t>
      </w:r>
      <w:r w:rsidR="003F2110">
        <w:rPr>
          <w:rFonts w:cs="Times New Roman"/>
          <w:bCs/>
          <w:color w:val="000000" w:themeColor="text1"/>
          <w:sz w:val="28"/>
          <w:szCs w:val="28"/>
          <w:lang w:val="en-US"/>
        </w:rPr>
        <w:t>should</w:t>
      </w:r>
      <w:r w:rsidR="003F2110" w:rsidRPr="00E745DF">
        <w:rPr>
          <w:rFonts w:cs="Times New Roman"/>
          <w:bCs/>
          <w:color w:val="000000" w:themeColor="text1"/>
          <w:sz w:val="28"/>
          <w:szCs w:val="28"/>
          <w:lang w:val="en-US"/>
        </w:rPr>
        <w:t xml:space="preserve"> provide</w:t>
      </w:r>
      <w:r w:rsidRPr="00E745DF">
        <w:rPr>
          <w:rFonts w:cs="Times New Roman"/>
          <w:bCs/>
          <w:color w:val="000000" w:themeColor="text1"/>
          <w:sz w:val="28"/>
          <w:szCs w:val="28"/>
          <w:lang w:val="en-US"/>
        </w:rPr>
        <w:t xml:space="preserve"> a far greater level of financial support to the elder abuse network by:</w:t>
      </w:r>
    </w:p>
    <w:p w14:paraId="6E6B7155" w14:textId="77777777" w:rsidR="00E747A2" w:rsidRPr="00E745DF" w:rsidRDefault="00E747A2" w:rsidP="00FC17F1">
      <w:pPr>
        <w:pStyle w:val="ListParagraph"/>
        <w:tabs>
          <w:tab w:val="left" w:pos="2160"/>
          <w:tab w:val="left" w:pos="2250"/>
        </w:tabs>
        <w:spacing w:line="360" w:lineRule="auto"/>
        <w:ind w:left="2160"/>
        <w:jc w:val="both"/>
        <w:rPr>
          <w:rFonts w:cs="Times New Roman"/>
          <w:bCs/>
          <w:color w:val="000000" w:themeColor="text1"/>
          <w:sz w:val="28"/>
          <w:szCs w:val="28"/>
          <w:lang w:val="en-US"/>
        </w:rPr>
      </w:pPr>
    </w:p>
    <w:p w14:paraId="185D4385" w14:textId="5EA8D1A4" w:rsidR="00E747A2" w:rsidRPr="004B35C1" w:rsidRDefault="00E747A2" w:rsidP="00DA2390">
      <w:pPr>
        <w:pStyle w:val="ListParagraph"/>
        <w:numPr>
          <w:ilvl w:val="0"/>
          <w:numId w:val="19"/>
        </w:numPr>
        <w:tabs>
          <w:tab w:val="left" w:pos="2250"/>
          <w:tab w:val="left" w:pos="234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lastRenderedPageBreak/>
        <w:t>Developing specialist, well resourced and nationwide groups of police units that focus exclusively on (a) investigating instances of elder abuse that are criminal in nature, and (b) ensuring that those proven to be responsible for such crimes are held responsible for their conduct;</w:t>
      </w:r>
    </w:p>
    <w:p w14:paraId="4956D5FE" w14:textId="45A6F5B7" w:rsidR="00E747A2" w:rsidRPr="00FC17F1" w:rsidRDefault="00E747A2" w:rsidP="00DA2390">
      <w:pPr>
        <w:pStyle w:val="ListParagraph"/>
        <w:numPr>
          <w:ilvl w:val="0"/>
          <w:numId w:val="19"/>
        </w:numPr>
        <w:tabs>
          <w:tab w:val="left" w:pos="2250"/>
          <w:tab w:val="left" w:pos="234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Ensure that the amount of funds made available to agencies who support the victims of elder abuse is increased to a level which allows those agencies to employ many more staff and thereby increase their capacity to identify and assist the police with their task of effectively combating elder abuse in New Zealand both now and in the future;</w:t>
      </w:r>
    </w:p>
    <w:p w14:paraId="235C46B2" w14:textId="77777777" w:rsidR="00E747A2" w:rsidRPr="00FC17F1" w:rsidRDefault="00E747A2" w:rsidP="00DA2390">
      <w:pPr>
        <w:pStyle w:val="ListParagraph"/>
        <w:numPr>
          <w:ilvl w:val="0"/>
          <w:numId w:val="19"/>
        </w:numPr>
        <w:tabs>
          <w:tab w:val="left" w:pos="2250"/>
          <w:tab w:val="left" w:pos="2340"/>
        </w:tabs>
        <w:spacing w:line="360" w:lineRule="auto"/>
        <w:ind w:left="2520"/>
        <w:jc w:val="both"/>
        <w:rPr>
          <w:rFonts w:cs="Times New Roman"/>
          <w:bCs/>
          <w:color w:val="000000" w:themeColor="text1"/>
          <w:sz w:val="28"/>
          <w:szCs w:val="28"/>
          <w:lang w:val="en-US"/>
        </w:rPr>
      </w:pPr>
      <w:r w:rsidRPr="00FC17F1">
        <w:rPr>
          <w:rFonts w:cs="Times New Roman"/>
          <w:bCs/>
          <w:color w:val="000000" w:themeColor="text1"/>
          <w:sz w:val="28"/>
          <w:szCs w:val="28"/>
          <w:lang w:val="en-US"/>
        </w:rPr>
        <w:t xml:space="preserve">Supporting a law change which will make it a criminal offence for those who are aware of actual or suspected cases of elder abuse to fail to report what they know or suspect to the police. </w:t>
      </w:r>
    </w:p>
    <w:p w14:paraId="2610D0D7" w14:textId="77777777" w:rsidR="00E747A2" w:rsidRPr="00E745DF" w:rsidRDefault="00E747A2" w:rsidP="00FC17F1">
      <w:pPr>
        <w:spacing w:line="360" w:lineRule="auto"/>
        <w:jc w:val="both"/>
        <w:rPr>
          <w:rFonts w:cs="Times New Roman"/>
          <w:bCs/>
          <w:color w:val="000000" w:themeColor="text1"/>
          <w:sz w:val="28"/>
          <w:szCs w:val="28"/>
          <w:lang w:val="en-US"/>
        </w:rPr>
      </w:pPr>
    </w:p>
    <w:p w14:paraId="6E288817" w14:textId="77777777" w:rsidR="00E747A2" w:rsidRPr="00E745DF"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Art</w:t>
      </w:r>
      <w:r>
        <w:rPr>
          <w:rFonts w:cs="Times New Roman"/>
          <w:b/>
          <w:bCs/>
          <w:color w:val="000000" w:themeColor="text1"/>
          <w:sz w:val="28"/>
          <w:szCs w:val="28"/>
          <w:lang w:val="en-US"/>
        </w:rPr>
        <w:t>icle</w:t>
      </w:r>
      <w:r w:rsidRPr="00C37B4D">
        <w:rPr>
          <w:rFonts w:cs="Times New Roman"/>
          <w:b/>
          <w:bCs/>
          <w:color w:val="000000" w:themeColor="text1"/>
          <w:sz w:val="28"/>
          <w:szCs w:val="28"/>
          <w:lang w:val="en-US"/>
        </w:rPr>
        <w:t xml:space="preserve"> 12 - Hospital</w:t>
      </w:r>
      <w:r>
        <w:rPr>
          <w:rFonts w:cs="Times New Roman"/>
          <w:b/>
          <w:bCs/>
          <w:color w:val="000000" w:themeColor="text1"/>
          <w:sz w:val="28"/>
          <w:szCs w:val="28"/>
          <w:lang w:val="en-US"/>
        </w:rPr>
        <w:t xml:space="preserve"> waiting lists and older people</w:t>
      </w:r>
    </w:p>
    <w:p w14:paraId="23F9DF35" w14:textId="7B33DE5E" w:rsidR="00E747A2" w:rsidRPr="00FC17F1" w:rsidRDefault="00E747A2" w:rsidP="00DA2390">
      <w:pPr>
        <w:pStyle w:val="ListParagraph"/>
        <w:numPr>
          <w:ilvl w:val="0"/>
          <w:numId w:val="53"/>
        </w:numPr>
        <w:spacing w:line="360" w:lineRule="auto"/>
        <w:jc w:val="both"/>
        <w:rPr>
          <w:rFonts w:cs="Times New Roman"/>
          <w:bCs/>
          <w:color w:val="000000" w:themeColor="text1"/>
          <w:sz w:val="28"/>
          <w:szCs w:val="28"/>
          <w:lang w:val="en-US"/>
        </w:rPr>
      </w:pPr>
      <w:r w:rsidRPr="00FC17F1">
        <w:rPr>
          <w:rFonts w:cs="Times New Roman"/>
          <w:bCs/>
          <w:color w:val="000000" w:themeColor="text1"/>
          <w:sz w:val="28"/>
          <w:szCs w:val="28"/>
          <w:lang w:val="en-US"/>
        </w:rPr>
        <w:t xml:space="preserve">New Zealand’s public health system provides older citizens with </w:t>
      </w:r>
      <w:r w:rsidR="003F2110" w:rsidRPr="00FC17F1">
        <w:rPr>
          <w:rFonts w:cs="Times New Roman"/>
          <w:bCs/>
          <w:color w:val="000000" w:themeColor="text1"/>
          <w:sz w:val="28"/>
          <w:szCs w:val="28"/>
          <w:lang w:val="en-US"/>
        </w:rPr>
        <w:t>taxpayer-funded</w:t>
      </w:r>
      <w:r w:rsidRPr="00FC17F1">
        <w:rPr>
          <w:rFonts w:cs="Times New Roman"/>
          <w:bCs/>
          <w:color w:val="000000" w:themeColor="text1"/>
          <w:sz w:val="28"/>
          <w:szCs w:val="28"/>
          <w:lang w:val="en-US"/>
        </w:rPr>
        <w:t xml:space="preserve"> access to a wide range of services delivered by the public health system.</w:t>
      </w:r>
      <w:r w:rsidRPr="00C37B4D">
        <w:rPr>
          <w:vertAlign w:val="superscript"/>
          <w:lang w:val="en-US"/>
        </w:rPr>
        <w:footnoteReference w:id="164"/>
      </w:r>
      <w:r w:rsidRPr="00FC17F1">
        <w:rPr>
          <w:rFonts w:cs="Times New Roman"/>
          <w:bCs/>
          <w:color w:val="000000" w:themeColor="text1"/>
          <w:sz w:val="28"/>
          <w:szCs w:val="28"/>
          <w:lang w:val="en-US"/>
        </w:rPr>
        <w:t xml:space="preserve"> However, many older people who depend on the services provided by the public health system often have to wait a considerable length of time (months or even years) to receive the elective surgery that they need. Indeed it has recently been revealed that many people (including elderly people) have deliberately been left off </w:t>
      </w:r>
      <w:r w:rsidRPr="00FC17F1">
        <w:rPr>
          <w:rFonts w:cs="Times New Roman"/>
          <w:bCs/>
          <w:color w:val="000000" w:themeColor="text1"/>
          <w:sz w:val="28"/>
          <w:szCs w:val="28"/>
          <w:lang w:val="en-US"/>
        </w:rPr>
        <w:lastRenderedPageBreak/>
        <w:t>elective surgery waiting lists in order to make them appear shorter than they actually are.</w:t>
      </w:r>
      <w:r w:rsidRPr="00C37B4D">
        <w:rPr>
          <w:vertAlign w:val="superscript"/>
          <w:lang w:val="en-US"/>
        </w:rPr>
        <w:footnoteReference w:id="165"/>
      </w:r>
      <w:r w:rsidRPr="00FC17F1">
        <w:rPr>
          <w:rFonts w:cs="Times New Roman"/>
          <w:bCs/>
          <w:color w:val="000000" w:themeColor="text1"/>
          <w:sz w:val="28"/>
          <w:szCs w:val="28"/>
          <w:lang w:val="en-US"/>
        </w:rPr>
        <w:t xml:space="preserve"> </w:t>
      </w:r>
    </w:p>
    <w:p w14:paraId="43F4A9AE" w14:textId="77777777" w:rsidR="00E747A2" w:rsidRPr="00E745DF" w:rsidRDefault="00E747A2" w:rsidP="00FC17F1">
      <w:pPr>
        <w:spacing w:line="360" w:lineRule="auto"/>
        <w:jc w:val="both"/>
        <w:rPr>
          <w:rFonts w:cs="Times New Roman"/>
          <w:bCs/>
          <w:color w:val="000000" w:themeColor="text1"/>
          <w:sz w:val="28"/>
          <w:szCs w:val="28"/>
          <w:lang w:val="en-US"/>
        </w:rPr>
      </w:pPr>
    </w:p>
    <w:p w14:paraId="1C1E3F3F" w14:textId="77777777" w:rsidR="00E747A2" w:rsidRPr="00E745DF"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For example in 2016 it was revealed that:</w:t>
      </w:r>
      <w:r w:rsidRPr="00C37B4D">
        <w:rPr>
          <w:vertAlign w:val="superscript"/>
          <w:lang w:val="en-US"/>
        </w:rPr>
        <w:footnoteReference w:id="166"/>
      </w:r>
      <w:r w:rsidRPr="00E745DF">
        <w:rPr>
          <w:rFonts w:cs="Times New Roman"/>
          <w:bCs/>
          <w:color w:val="000000" w:themeColor="text1"/>
          <w:sz w:val="28"/>
          <w:szCs w:val="28"/>
          <w:lang w:val="en-US"/>
        </w:rPr>
        <w:tab/>
      </w:r>
    </w:p>
    <w:p w14:paraId="4F6D0EDB" w14:textId="77777777" w:rsidR="00E747A2" w:rsidRPr="00E745DF" w:rsidRDefault="00E747A2" w:rsidP="00FC17F1">
      <w:pPr>
        <w:pStyle w:val="ListParagraph"/>
        <w:jc w:val="both"/>
        <w:rPr>
          <w:rFonts w:cs="Times New Roman"/>
          <w:bCs/>
          <w:color w:val="000000" w:themeColor="text1"/>
          <w:sz w:val="28"/>
          <w:szCs w:val="28"/>
          <w:lang w:val="en-US"/>
        </w:rPr>
      </w:pPr>
    </w:p>
    <w:p w14:paraId="25DFBF87" w14:textId="77777777" w:rsidR="00E747A2" w:rsidRPr="00C37B4D" w:rsidRDefault="00E747A2" w:rsidP="00FC17F1">
      <w:pPr>
        <w:pStyle w:val="ListParagraph"/>
        <w:spacing w:line="360" w:lineRule="auto"/>
        <w:ind w:left="1170" w:right="740" w:hanging="180"/>
        <w:jc w:val="both"/>
        <w:rPr>
          <w:rFonts w:cs="Times New Roman"/>
          <w:bCs/>
          <w:color w:val="000000" w:themeColor="text1"/>
          <w:sz w:val="28"/>
          <w:szCs w:val="28"/>
          <w:lang w:val="en-US"/>
        </w:rPr>
      </w:pPr>
      <w:r w:rsidRPr="00C37B4D">
        <w:rPr>
          <w:rFonts w:cs="Times New Roman"/>
          <w:bCs/>
          <w:color w:val="000000" w:themeColor="text1"/>
          <w:sz w:val="28"/>
          <w:szCs w:val="28"/>
          <w:lang w:val="en-US"/>
        </w:rPr>
        <w:t>“Canterbury DHB are turning elderly people away from elective surgery without assessing them, even though they've been referred by medical specialists.”</w:t>
      </w:r>
    </w:p>
    <w:p w14:paraId="13C35AF6"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48855CB1"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The following statistics (reported in 2016) on hospital waiting lists for elective surgery reveal the scale of this problem:</w:t>
      </w:r>
      <w:r w:rsidRPr="00E745DF">
        <w:rPr>
          <w:rFonts w:cs="Times New Roman"/>
          <w:sz w:val="28"/>
          <w:szCs w:val="28"/>
          <w:vertAlign w:val="superscript"/>
          <w:lang w:val="en-US"/>
        </w:rPr>
        <w:footnoteReference w:id="167"/>
      </w:r>
      <w:r w:rsidRPr="00C37B4D">
        <w:rPr>
          <w:rFonts w:cs="Times New Roman"/>
          <w:bCs/>
          <w:color w:val="000000" w:themeColor="text1"/>
          <w:sz w:val="28"/>
          <w:szCs w:val="28"/>
          <w:lang w:val="en-US"/>
        </w:rPr>
        <w:t>“According to the research – conducted on behalf of the Health Funds Association of New Zealand and the New Zealand Private Surgical Hospitals Association – waiting times for surgery had increased significantly.</w:t>
      </w:r>
      <w:r>
        <w:rPr>
          <w:rFonts w:cs="Times New Roman"/>
          <w:bCs/>
          <w:color w:val="000000" w:themeColor="text1"/>
          <w:sz w:val="28"/>
          <w:szCs w:val="28"/>
          <w:lang w:val="en-US"/>
        </w:rPr>
        <w:t xml:space="preserve"> </w:t>
      </w:r>
      <w:r w:rsidRPr="00C37B4D">
        <w:rPr>
          <w:rFonts w:cs="Times New Roman"/>
          <w:bCs/>
          <w:color w:val="000000" w:themeColor="text1"/>
          <w:sz w:val="28"/>
          <w:szCs w:val="28"/>
          <w:lang w:val="en-US"/>
        </w:rPr>
        <w:t>The wait for a publicly-funded surgery had leapt by 80 days since 2013, to 304 days. About 350,000 adult New Zealanders had some form of elective surgery each year. A further 280,000 were told they needed surgery, but only 110,000 were placed on the waiting list.”</w:t>
      </w:r>
    </w:p>
    <w:p w14:paraId="3F41DD86"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5CDC34BF"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This manipulation of waiting list numbers by successive New Zealand Governments and Health Boards not only breaches affected elderly peoples’ ability to enjoy “the highest attainable standard of physical and mental health”.</w:t>
      </w:r>
    </w:p>
    <w:p w14:paraId="06E05FC7"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68C70758"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The problem is well illustrated as follows:</w:t>
      </w:r>
      <w:r w:rsidRPr="00E745DF">
        <w:rPr>
          <w:rFonts w:cs="Times New Roman"/>
          <w:sz w:val="28"/>
          <w:szCs w:val="28"/>
          <w:vertAlign w:val="superscript"/>
          <w:lang w:val="en-US"/>
        </w:rPr>
        <w:footnoteReference w:id="168"/>
      </w:r>
      <w:r w:rsidRPr="00C37B4D">
        <w:rPr>
          <w:rFonts w:cs="Times New Roman"/>
          <w:bCs/>
          <w:color w:val="000000" w:themeColor="text1"/>
          <w:sz w:val="28"/>
          <w:szCs w:val="28"/>
          <w:lang w:val="en-US"/>
        </w:rPr>
        <w:t xml:space="preserve"> “The city's elderly warn a "human scandal" is looming, with hundreds being refused elective surgeries and the CDHB struggling to cope with demand. More and more elderly people … are being refused elective surgery in Canterbury.  Four Christchurch friends are furious after each being sent a letter refusing assessment for their ailments "due to the number of people with a greater level of need".</w:t>
      </w:r>
    </w:p>
    <w:p w14:paraId="3671A1B2"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405504A1"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 … Colleen Beaton waited three years for a shoulder replacement. "The doctor said 'I can put your name down on the waiting list, but you'll never get </w:t>
      </w:r>
      <w:r w:rsidRPr="00C37B4D">
        <w:rPr>
          <w:rFonts w:cs="Times New Roman"/>
          <w:bCs/>
          <w:color w:val="000000" w:themeColor="text1"/>
          <w:sz w:val="28"/>
          <w:szCs w:val="28"/>
          <w:lang w:val="en-US"/>
        </w:rPr>
        <w:t>in'."</w:t>
      </w:r>
      <w:r>
        <w:rPr>
          <w:rFonts w:cs="Times New Roman"/>
          <w:bCs/>
          <w:color w:val="000000" w:themeColor="text1"/>
          <w:sz w:val="28"/>
          <w:szCs w:val="28"/>
          <w:lang w:val="en-US"/>
        </w:rPr>
        <w:t xml:space="preserve"> </w:t>
      </w:r>
      <w:r w:rsidRPr="00C37B4D">
        <w:rPr>
          <w:rFonts w:cs="Times New Roman"/>
          <w:bCs/>
          <w:color w:val="000000" w:themeColor="text1"/>
          <w:sz w:val="28"/>
          <w:szCs w:val="28"/>
          <w:lang w:val="en-US"/>
        </w:rPr>
        <w:t>An operation on her hand went by the wayside after surgery was refused.  "I went to see the surgeon and she didn't even look up when I came in, she just said 'we don't do hands'." Then, her right knee began deteriorating, but a surgeon told her it was not bad enough to be operated on.”</w:t>
      </w:r>
    </w:p>
    <w:p w14:paraId="189F5B99" w14:textId="77777777" w:rsidR="00E747A2" w:rsidRPr="00C37B4D" w:rsidRDefault="00E747A2" w:rsidP="00FC17F1">
      <w:pPr>
        <w:spacing w:line="360" w:lineRule="auto"/>
        <w:jc w:val="both"/>
        <w:rPr>
          <w:rFonts w:cs="Times New Roman"/>
          <w:bCs/>
          <w:color w:val="000000" w:themeColor="text1"/>
          <w:sz w:val="28"/>
          <w:szCs w:val="28"/>
          <w:lang w:val="en-US"/>
        </w:rPr>
      </w:pPr>
    </w:p>
    <w:p w14:paraId="3489BE85" w14:textId="77777777" w:rsidR="00E747A2"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This problem not only breaches </w:t>
      </w:r>
      <w:r>
        <w:rPr>
          <w:rFonts w:cs="Times New Roman"/>
          <w:bCs/>
          <w:color w:val="000000" w:themeColor="text1"/>
          <w:sz w:val="28"/>
          <w:szCs w:val="28"/>
          <w:lang w:val="en-US"/>
        </w:rPr>
        <w:t xml:space="preserve">older people’s right to health </w:t>
      </w:r>
      <w:r w:rsidRPr="00E745DF">
        <w:rPr>
          <w:rFonts w:cs="Times New Roman"/>
          <w:bCs/>
          <w:color w:val="000000" w:themeColor="text1"/>
          <w:sz w:val="28"/>
          <w:szCs w:val="28"/>
          <w:lang w:val="en-US"/>
        </w:rPr>
        <w:t xml:space="preserve">but it is also false economy. </w:t>
      </w:r>
    </w:p>
    <w:p w14:paraId="235EC82A" w14:textId="77777777" w:rsidR="00E747A2" w:rsidRPr="00E745DF" w:rsidRDefault="00E747A2" w:rsidP="00FC17F1">
      <w:pPr>
        <w:pStyle w:val="ListParagraph"/>
        <w:jc w:val="both"/>
        <w:rPr>
          <w:rFonts w:cs="Times New Roman"/>
          <w:bCs/>
          <w:color w:val="000000" w:themeColor="text1"/>
          <w:sz w:val="28"/>
          <w:szCs w:val="28"/>
          <w:lang w:val="en-US"/>
        </w:rPr>
      </w:pPr>
    </w:p>
    <w:p w14:paraId="0631B08E" w14:textId="77777777" w:rsidR="00E747A2" w:rsidRPr="00E745DF" w:rsidRDefault="00E747A2" w:rsidP="00FC17F1">
      <w:pPr>
        <w:spacing w:line="360" w:lineRule="auto"/>
        <w:jc w:val="both"/>
        <w:rPr>
          <w:rFonts w:cs="Times New Roman"/>
          <w:bCs/>
          <w:color w:val="000000" w:themeColor="text1"/>
          <w:sz w:val="28"/>
          <w:szCs w:val="28"/>
          <w:lang w:val="en-US"/>
        </w:rPr>
      </w:pPr>
    </w:p>
    <w:p w14:paraId="3B4EDB07"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As one commentary put it in 2016:</w:t>
      </w:r>
      <w:r w:rsidRPr="00E745DF">
        <w:rPr>
          <w:rFonts w:cs="Times New Roman"/>
          <w:sz w:val="28"/>
          <w:szCs w:val="28"/>
          <w:vertAlign w:val="superscript"/>
          <w:lang w:val="en-US"/>
        </w:rPr>
        <w:footnoteReference w:id="169"/>
      </w:r>
      <w:r w:rsidRPr="00C37B4D">
        <w:rPr>
          <w:rFonts w:cs="Times New Roman"/>
          <w:bCs/>
          <w:color w:val="000000" w:themeColor="text1"/>
          <w:sz w:val="28"/>
          <w:szCs w:val="28"/>
          <w:lang w:val="en-US"/>
        </w:rPr>
        <w:t>“… [this] was another case of growing global unmet need, where Western society deemed elective surgery too expensive and moved toward people paying for surgery themselves.</w:t>
      </w:r>
    </w:p>
    <w:p w14:paraId="5B357229"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2C6967D6"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lastRenderedPageBreak/>
        <w:t>The "flawed" model was especially detrimental for elderly … where preventative care and elective surgery was far more cost-effective than forcing them into full-time care.”</w:t>
      </w:r>
    </w:p>
    <w:p w14:paraId="62C14785" w14:textId="77777777" w:rsidR="00E747A2" w:rsidRPr="00E745DF" w:rsidRDefault="00E747A2" w:rsidP="00FC17F1">
      <w:pPr>
        <w:pStyle w:val="ListParagraph"/>
        <w:spacing w:line="360" w:lineRule="auto"/>
        <w:jc w:val="both"/>
        <w:rPr>
          <w:rFonts w:cs="Times New Roman"/>
          <w:bCs/>
          <w:color w:val="000000" w:themeColor="text1"/>
          <w:sz w:val="28"/>
          <w:szCs w:val="28"/>
          <w:lang w:val="en-US"/>
        </w:rPr>
      </w:pPr>
    </w:p>
    <w:p w14:paraId="2BE19DCC" w14:textId="77777777" w:rsidR="00E747A2" w:rsidRPr="00E745DF"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To date changes of Government have done little to change this well entrenched and unfortunate state of affairs. It is to be hoped that the current Government will take broad ranging and swiftly implemented measures to put an end to the manipulation of waiting lists and to the length of time that older people in particular have to spend wait for elective surgery.</w:t>
      </w:r>
    </w:p>
    <w:p w14:paraId="096F64D8" w14:textId="77777777" w:rsidR="00E747A2" w:rsidRPr="00C37B4D" w:rsidRDefault="00E747A2" w:rsidP="00FC17F1">
      <w:pPr>
        <w:spacing w:line="360" w:lineRule="auto"/>
        <w:jc w:val="both"/>
        <w:rPr>
          <w:rFonts w:cs="Times New Roman"/>
          <w:b/>
          <w:bCs/>
          <w:color w:val="000000" w:themeColor="text1"/>
          <w:sz w:val="28"/>
          <w:szCs w:val="28"/>
          <w:lang w:val="en-US"/>
        </w:rPr>
      </w:pPr>
    </w:p>
    <w:p w14:paraId="117C5BC2" w14:textId="77777777" w:rsidR="00E747A2" w:rsidRPr="00C37B4D" w:rsidRDefault="00E747A2" w:rsidP="00FC17F1">
      <w:pPr>
        <w:spacing w:line="360" w:lineRule="auto"/>
        <w:jc w:val="both"/>
        <w:rPr>
          <w:rFonts w:cs="Times New Roman"/>
          <w:b/>
          <w:bCs/>
          <w:color w:val="000000" w:themeColor="text1"/>
          <w:sz w:val="28"/>
          <w:szCs w:val="28"/>
          <w:lang w:val="en-US"/>
        </w:rPr>
      </w:pPr>
      <w:r w:rsidRPr="00C37B4D">
        <w:rPr>
          <w:rFonts w:cs="Times New Roman"/>
          <w:b/>
          <w:bCs/>
          <w:color w:val="000000" w:themeColor="text1"/>
          <w:sz w:val="28"/>
          <w:szCs w:val="28"/>
          <w:lang w:val="en-US"/>
        </w:rPr>
        <w:t>Recommendation</w:t>
      </w:r>
    </w:p>
    <w:p w14:paraId="6AD8D82C" w14:textId="77777777" w:rsidR="00E747A2" w:rsidRPr="00C37B4D" w:rsidRDefault="00E747A2" w:rsidP="00FC17F1">
      <w:pPr>
        <w:spacing w:line="360" w:lineRule="auto"/>
        <w:jc w:val="both"/>
        <w:rPr>
          <w:rFonts w:cs="Times New Roman"/>
          <w:bCs/>
          <w:color w:val="000000" w:themeColor="text1"/>
          <w:sz w:val="28"/>
          <w:szCs w:val="28"/>
          <w:lang w:val="en-US"/>
        </w:rPr>
      </w:pPr>
    </w:p>
    <w:p w14:paraId="1BEA00C1" w14:textId="77777777" w:rsidR="00E747A2"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There should be an independent inquiry into the way in which waiting lists for elective surgery have been manipulated by successive Governments with a view to enacting a law to make it illegal to artificially dilute waiting list numbers by deliberately excluding from those lists, many people in genuine need of that surgery.</w:t>
      </w:r>
      <w:r w:rsidRPr="00E745DF">
        <w:rPr>
          <w:rFonts w:cs="Times New Roman"/>
          <w:sz w:val="28"/>
          <w:szCs w:val="28"/>
          <w:vertAlign w:val="superscript"/>
          <w:lang w:val="en-US"/>
        </w:rPr>
        <w:footnoteReference w:id="170"/>
      </w:r>
      <w:r w:rsidRPr="00E745DF">
        <w:rPr>
          <w:rFonts w:cs="Times New Roman"/>
          <w:bCs/>
          <w:color w:val="000000" w:themeColor="text1"/>
          <w:sz w:val="28"/>
          <w:szCs w:val="28"/>
          <w:lang w:val="en-US"/>
        </w:rPr>
        <w:t xml:space="preserve"> </w:t>
      </w:r>
    </w:p>
    <w:p w14:paraId="7B2BADD2" w14:textId="77777777" w:rsidR="00E747A2" w:rsidRPr="00E745DF" w:rsidRDefault="00E747A2" w:rsidP="00FC17F1">
      <w:pPr>
        <w:pStyle w:val="ListParagraph"/>
        <w:spacing w:line="360" w:lineRule="auto"/>
        <w:ind w:left="850"/>
        <w:jc w:val="both"/>
        <w:rPr>
          <w:rFonts w:cs="Times New Roman"/>
          <w:bCs/>
          <w:color w:val="000000" w:themeColor="text1"/>
          <w:sz w:val="28"/>
          <w:szCs w:val="28"/>
          <w:lang w:val="en-US"/>
        </w:rPr>
      </w:pPr>
    </w:p>
    <w:p w14:paraId="55B85CF4" w14:textId="77777777" w:rsidR="00E747A2" w:rsidRPr="00C37B4D" w:rsidRDefault="00E747A2" w:rsidP="00DA2390">
      <w:pPr>
        <w:pStyle w:val="ListParagraph"/>
        <w:numPr>
          <w:ilvl w:val="0"/>
          <w:numId w:val="53"/>
        </w:numPr>
        <w:spacing w:line="360" w:lineRule="auto"/>
        <w:ind w:left="1080" w:hanging="630"/>
        <w:jc w:val="both"/>
        <w:rPr>
          <w:rFonts w:cs="Times New Roman"/>
          <w:bCs/>
          <w:color w:val="000000" w:themeColor="text1"/>
          <w:sz w:val="28"/>
          <w:szCs w:val="28"/>
          <w:lang w:val="en-US"/>
        </w:rPr>
      </w:pPr>
      <w:r w:rsidRPr="00E745DF">
        <w:rPr>
          <w:rFonts w:cs="Times New Roman"/>
          <w:bCs/>
          <w:color w:val="000000" w:themeColor="text1"/>
          <w:sz w:val="28"/>
          <w:szCs w:val="28"/>
          <w:lang w:val="en-US"/>
        </w:rPr>
        <w:t xml:space="preserve">The Government needs to take urgent steps to genuinely reduce the size of the elective surgery waiting list (if necessary by using the some charitable organizations who carry out simple operations (eg, the Fred Hollows Foundation for cataract surgeries). </w:t>
      </w:r>
    </w:p>
    <w:p w14:paraId="1CD2ECA9" w14:textId="77777777" w:rsidR="00E747A2" w:rsidRPr="00E745DF" w:rsidRDefault="00E747A2" w:rsidP="00FC17F1">
      <w:pPr>
        <w:spacing w:line="360" w:lineRule="auto"/>
        <w:jc w:val="both"/>
        <w:rPr>
          <w:rFonts w:cs="Times New Roman"/>
          <w:bCs/>
          <w:color w:val="000000" w:themeColor="text1"/>
          <w:sz w:val="28"/>
          <w:szCs w:val="28"/>
          <w:lang w:val="en-US"/>
        </w:rPr>
      </w:pPr>
    </w:p>
    <w:p w14:paraId="1C12C654" w14:textId="62CDD813" w:rsidR="00E747A2" w:rsidRPr="00FC17F1" w:rsidRDefault="00E747A2" w:rsidP="00FC17F1">
      <w:pPr>
        <w:spacing w:line="360" w:lineRule="auto"/>
        <w:jc w:val="both"/>
        <w:rPr>
          <w:rFonts w:cs="Times New Roman"/>
          <w:b/>
          <w:smallCaps/>
          <w:color w:val="000000" w:themeColor="text1"/>
          <w:sz w:val="28"/>
          <w:szCs w:val="28"/>
        </w:rPr>
      </w:pPr>
      <w:r w:rsidRPr="00E745DF">
        <w:rPr>
          <w:rFonts w:cs="Times New Roman"/>
          <w:bCs/>
          <w:color w:val="000000" w:themeColor="text1"/>
          <w:sz w:val="28"/>
          <w:szCs w:val="28"/>
          <w:lang w:val="en-US"/>
        </w:rPr>
        <w:lastRenderedPageBreak/>
        <w:t>If these steps are not taken then the waiting list scandal is set to continue in New Zealand for many years to come.</w:t>
      </w:r>
    </w:p>
    <w:p w14:paraId="37C610F8" w14:textId="77777777" w:rsidR="00A44542" w:rsidRPr="00FC17F1" w:rsidRDefault="00A44542" w:rsidP="00FC17F1">
      <w:pPr>
        <w:pStyle w:val="ListParagraph"/>
        <w:spacing w:line="360" w:lineRule="auto"/>
        <w:ind w:left="0"/>
        <w:jc w:val="center"/>
        <w:rPr>
          <w:rFonts w:cs="Times New Roman"/>
          <w:bCs/>
          <w:smallCaps/>
          <w:color w:val="000000" w:themeColor="text1"/>
          <w:sz w:val="28"/>
          <w:szCs w:val="28"/>
        </w:rPr>
      </w:pPr>
    </w:p>
    <w:sectPr w:rsidR="00A44542" w:rsidRPr="00FC17F1" w:rsidSect="00FC17F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2B7E1" w14:textId="77777777" w:rsidR="004929B5" w:rsidRDefault="004929B5" w:rsidP="000C1EBD">
      <w:r>
        <w:separator/>
      </w:r>
    </w:p>
  </w:endnote>
  <w:endnote w:type="continuationSeparator" w:id="0">
    <w:p w14:paraId="351FB9B3" w14:textId="77777777" w:rsidR="004929B5" w:rsidRDefault="004929B5" w:rsidP="000C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9F60" w14:textId="77777777" w:rsidR="00DA2390" w:rsidRDefault="00DA2390" w:rsidP="00893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C0A20" w14:textId="77777777" w:rsidR="00DA2390" w:rsidRDefault="00DA2390" w:rsidP="00CC2F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AD2E" w14:textId="784A42D4" w:rsidR="00DA2390" w:rsidRPr="00CC2F6F" w:rsidRDefault="00DA2390" w:rsidP="00893721">
    <w:pPr>
      <w:pStyle w:val="Footer"/>
      <w:framePr w:wrap="around" w:vAnchor="text" w:hAnchor="margin" w:xAlign="right" w:y="1"/>
      <w:rPr>
        <w:rStyle w:val="PageNumber"/>
        <w:i/>
        <w:sz w:val="20"/>
      </w:rPr>
    </w:pPr>
    <w:r w:rsidRPr="00CC2F6F">
      <w:rPr>
        <w:rStyle w:val="PageNumber"/>
        <w:i/>
        <w:sz w:val="20"/>
      </w:rPr>
      <w:fldChar w:fldCharType="begin"/>
    </w:r>
    <w:r w:rsidRPr="00CC2F6F">
      <w:rPr>
        <w:rStyle w:val="PageNumber"/>
        <w:i/>
        <w:sz w:val="20"/>
      </w:rPr>
      <w:instrText xml:space="preserve">PAGE  </w:instrText>
    </w:r>
    <w:r w:rsidRPr="00CC2F6F">
      <w:rPr>
        <w:rStyle w:val="PageNumber"/>
        <w:i/>
        <w:sz w:val="20"/>
      </w:rPr>
      <w:fldChar w:fldCharType="separate"/>
    </w:r>
    <w:r w:rsidR="004B64E7">
      <w:rPr>
        <w:rStyle w:val="PageNumber"/>
        <w:i/>
        <w:noProof/>
        <w:sz w:val="20"/>
      </w:rPr>
      <w:t>4</w:t>
    </w:r>
    <w:r w:rsidRPr="00CC2F6F">
      <w:rPr>
        <w:rStyle w:val="PageNumber"/>
        <w:i/>
        <w:sz w:val="20"/>
      </w:rPr>
      <w:fldChar w:fldCharType="end"/>
    </w:r>
  </w:p>
  <w:p w14:paraId="34B47204" w14:textId="77777777" w:rsidR="00DA2390" w:rsidRPr="00CC2F6F" w:rsidRDefault="00DA2390" w:rsidP="00CC2F6F">
    <w:pPr>
      <w:pStyle w:val="Footer"/>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ADE89" w14:textId="77777777" w:rsidR="004929B5" w:rsidRDefault="004929B5" w:rsidP="000C1EBD">
      <w:r>
        <w:separator/>
      </w:r>
    </w:p>
  </w:footnote>
  <w:footnote w:type="continuationSeparator" w:id="0">
    <w:p w14:paraId="21C897FD" w14:textId="77777777" w:rsidR="004929B5" w:rsidRDefault="004929B5" w:rsidP="000C1EBD">
      <w:r>
        <w:continuationSeparator/>
      </w:r>
    </w:p>
  </w:footnote>
  <w:footnote w:id="1">
    <w:p w14:paraId="690E0EFD" w14:textId="2F52E1E4" w:rsidR="00DA2390" w:rsidRPr="00FC17F1" w:rsidRDefault="00DA2390" w:rsidP="00FC17F1">
      <w:pPr>
        <w:pStyle w:val="FootnoteText"/>
        <w:rPr>
          <w:sz w:val="20"/>
          <w:szCs w:val="20"/>
        </w:rPr>
      </w:pPr>
      <w:r w:rsidRPr="00FC17F1">
        <w:rPr>
          <w:rStyle w:val="FootnoteReference"/>
          <w:sz w:val="20"/>
          <w:szCs w:val="20"/>
        </w:rPr>
        <w:footnoteRef/>
      </w:r>
      <w:r w:rsidRPr="00FC17F1">
        <w:rPr>
          <w:sz w:val="20"/>
          <w:szCs w:val="20"/>
        </w:rPr>
        <w:t xml:space="preserve"> Human Rights Foundation Submission for the List of Issues Prior to Reporting, January 2016 </w:t>
      </w:r>
    </w:p>
  </w:footnote>
  <w:footnote w:id="2">
    <w:p w14:paraId="7FE0BE0F" w14:textId="5A6C9843" w:rsidR="00DA2390" w:rsidRPr="00FC17F1" w:rsidRDefault="00DA2390" w:rsidP="00FC17F1">
      <w:pPr>
        <w:pStyle w:val="FootnoteText"/>
        <w:rPr>
          <w:sz w:val="20"/>
          <w:szCs w:val="20"/>
        </w:rPr>
      </w:pPr>
      <w:r w:rsidRPr="00FC17F1">
        <w:rPr>
          <w:rStyle w:val="FootnoteReference"/>
          <w:sz w:val="20"/>
          <w:szCs w:val="20"/>
        </w:rPr>
        <w:footnoteRef/>
      </w:r>
      <w:r w:rsidRPr="00FC17F1">
        <w:rPr>
          <w:sz w:val="20"/>
          <w:szCs w:val="20"/>
        </w:rPr>
        <w:t xml:space="preserve"> List of Issues prior to submission of the fourth periodic report of New Zealand, 12 April 2016 E/C.12/NZL/QPR/4</w:t>
      </w:r>
    </w:p>
  </w:footnote>
  <w:footnote w:id="3">
    <w:p w14:paraId="30D8F89A" w14:textId="2D3CA008" w:rsidR="00DA2390" w:rsidRPr="00FC17F1" w:rsidRDefault="00DA2390" w:rsidP="00FC17F1">
      <w:pPr>
        <w:pStyle w:val="FootnoteText"/>
        <w:rPr>
          <w:sz w:val="20"/>
          <w:szCs w:val="20"/>
        </w:rPr>
      </w:pPr>
      <w:r w:rsidRPr="00FC17F1">
        <w:rPr>
          <w:rStyle w:val="FootnoteReference"/>
          <w:sz w:val="20"/>
          <w:szCs w:val="20"/>
        </w:rPr>
        <w:footnoteRef/>
      </w:r>
      <w:r w:rsidRPr="00FC17F1">
        <w:rPr>
          <w:sz w:val="20"/>
          <w:szCs w:val="20"/>
        </w:rPr>
        <w:t xml:space="preserve"> Implementation of the International Covenant on Economic, Social and Cultural Rights, Fourth periodic report submitted by States parties under articles 16 and 17 of the Covenant, New Zealand, 16 March 2017</w:t>
      </w:r>
    </w:p>
  </w:footnote>
  <w:footnote w:id="4">
    <w:p w14:paraId="1BB1D0FE" w14:textId="19B0A918" w:rsidR="00DA2390" w:rsidRPr="00FC17F1" w:rsidRDefault="00DA2390" w:rsidP="00FC17F1">
      <w:pPr>
        <w:pStyle w:val="FootnoteText"/>
        <w:rPr>
          <w:rStyle w:val="FootnoteReference"/>
          <w:sz w:val="20"/>
          <w:szCs w:val="20"/>
        </w:rPr>
      </w:pPr>
      <w:r w:rsidRPr="00FC17F1">
        <w:rPr>
          <w:rStyle w:val="FootnoteReference"/>
          <w:sz w:val="20"/>
          <w:szCs w:val="20"/>
        </w:rPr>
        <w:footnoteRef/>
      </w:r>
      <w:r w:rsidRPr="00FC17F1">
        <w:rPr>
          <w:sz w:val="20"/>
          <w:szCs w:val="20"/>
        </w:rPr>
        <w:t xml:space="preserve"> Human Rights Foundation, “Contribution to the Constitutional Advisory Panel on the Constitutional Review”, 31 July 2013</w:t>
      </w:r>
    </w:p>
  </w:footnote>
  <w:footnote w:id="5">
    <w:p w14:paraId="43696034" w14:textId="27497B54" w:rsidR="00DA2390" w:rsidRPr="00FC17F1" w:rsidRDefault="00DA2390">
      <w:pPr>
        <w:pStyle w:val="FootnoteText"/>
        <w:rPr>
          <w:sz w:val="20"/>
          <w:szCs w:val="20"/>
        </w:rPr>
      </w:pPr>
      <w:r w:rsidRPr="00FC17F1">
        <w:rPr>
          <w:rStyle w:val="FootnoteReference"/>
          <w:sz w:val="20"/>
          <w:szCs w:val="20"/>
        </w:rPr>
        <w:footnoteRef/>
      </w:r>
      <w:r w:rsidRPr="00FC17F1">
        <w:rPr>
          <w:sz w:val="20"/>
          <w:szCs w:val="20"/>
        </w:rPr>
        <w:t xml:space="preserve"> UN Committee on Economic, Social and Cultural Rights: Concluding Observations, New Zealand, 4 January 1994, E/C.12/1993/12; 26 June 2003, E/C.12/1/Add.88.</w:t>
      </w:r>
    </w:p>
  </w:footnote>
  <w:footnote w:id="6">
    <w:p w14:paraId="091AE9E8" w14:textId="0199ADA7" w:rsidR="00DA2390" w:rsidRDefault="00DA2390">
      <w:pPr>
        <w:pStyle w:val="FootnoteText"/>
      </w:pPr>
      <w:r w:rsidRPr="00FC17F1">
        <w:rPr>
          <w:rStyle w:val="FootnoteReference"/>
          <w:sz w:val="20"/>
          <w:szCs w:val="20"/>
        </w:rPr>
        <w:footnoteRef/>
      </w:r>
      <w:r w:rsidRPr="00FC17F1">
        <w:rPr>
          <w:sz w:val="20"/>
          <w:szCs w:val="20"/>
        </w:rPr>
        <w:t xml:space="preserve"> See above, footnote 4</w:t>
      </w:r>
    </w:p>
  </w:footnote>
  <w:footnote w:id="7">
    <w:p w14:paraId="74DA649F" w14:textId="2953B937" w:rsidR="00DA2390" w:rsidRPr="00837ACE" w:rsidRDefault="00DA2390">
      <w:pPr>
        <w:pStyle w:val="FootnoteText"/>
        <w:rPr>
          <w:sz w:val="22"/>
        </w:rPr>
      </w:pPr>
      <w:r w:rsidRPr="00837ACE">
        <w:rPr>
          <w:rStyle w:val="FootnoteReference"/>
          <w:sz w:val="22"/>
        </w:rPr>
        <w:footnoteRef/>
      </w:r>
      <w:r w:rsidRPr="00837ACE">
        <w:rPr>
          <w:sz w:val="22"/>
        </w:rPr>
        <w:t xml:space="preserve"> UNGA “Report of the Working Group on the Universal Periodic Review-New Zealand” 4 June 2009</w:t>
      </w:r>
    </w:p>
  </w:footnote>
  <w:footnote w:id="8">
    <w:p w14:paraId="4D404B68" w14:textId="0FE6AB1F" w:rsidR="00DA2390" w:rsidRPr="00C47513" w:rsidRDefault="00DA2390">
      <w:pPr>
        <w:pStyle w:val="FootnoteText"/>
      </w:pPr>
      <w:r w:rsidRPr="00C47513">
        <w:rPr>
          <w:rStyle w:val="FootnoteReference"/>
          <w:sz w:val="22"/>
        </w:rPr>
        <w:footnoteRef/>
      </w:r>
      <w:r w:rsidRPr="00C47513">
        <w:rPr>
          <w:sz w:val="22"/>
        </w:rPr>
        <w:t xml:space="preserve"> </w:t>
      </w:r>
      <w:r w:rsidRPr="00DA2390">
        <w:rPr>
          <w:sz w:val="22"/>
        </w:rPr>
        <w:t>http://lib.ohchr.org/HRBodies/UPR/Documents/Session5/NZ/NEWZEALAND.pdf</w:t>
      </w:r>
    </w:p>
  </w:footnote>
  <w:footnote w:id="9">
    <w:p w14:paraId="62D68568" w14:textId="77777777" w:rsidR="00DA2390" w:rsidRPr="00FC17F1" w:rsidRDefault="00DA2390" w:rsidP="00064B90">
      <w:pPr>
        <w:pStyle w:val="FootnoteText"/>
        <w:rPr>
          <w:rFonts w:cs="Times New Roman"/>
          <w:sz w:val="20"/>
          <w:szCs w:val="20"/>
          <w:lang w:val="en-US"/>
        </w:rPr>
      </w:pPr>
      <w:r w:rsidRPr="00837ACE">
        <w:rPr>
          <w:sz w:val="20"/>
          <w:szCs w:val="20"/>
          <w:lang w:val="en-US"/>
        </w:rPr>
        <w:footnoteRef/>
      </w:r>
      <w:r w:rsidRPr="00FC17F1">
        <w:rPr>
          <w:rFonts w:cs="Times New Roman"/>
          <w:sz w:val="20"/>
          <w:szCs w:val="20"/>
          <w:lang w:val="en-US"/>
        </w:rPr>
        <w:t xml:space="preserve"> Lawson v Housing New Zealand [1997] 2 NZLR 474. </w:t>
      </w:r>
    </w:p>
  </w:footnote>
  <w:footnote w:id="10">
    <w:p w14:paraId="5AC8CEDB" w14:textId="77777777" w:rsidR="00DA2390" w:rsidRPr="00FC17F1" w:rsidRDefault="00DA2390" w:rsidP="00064B90">
      <w:pPr>
        <w:pStyle w:val="FootnoteText"/>
        <w:rPr>
          <w:rFonts w:cs="Times New Roman"/>
          <w:sz w:val="20"/>
          <w:szCs w:val="20"/>
          <w:lang w:val="en-US"/>
        </w:rPr>
      </w:pPr>
      <w:r w:rsidRPr="00837ACE">
        <w:rPr>
          <w:sz w:val="20"/>
          <w:szCs w:val="20"/>
          <w:lang w:val="en-US"/>
        </w:rPr>
        <w:footnoteRef/>
      </w:r>
      <w:r w:rsidRPr="00FC17F1">
        <w:rPr>
          <w:rFonts w:cs="Times New Roman"/>
          <w:sz w:val="20"/>
          <w:szCs w:val="20"/>
          <w:lang w:val="en-US"/>
        </w:rPr>
        <w:t xml:space="preserve"> Tavita v Minister of Immigration [1994] 2 NZLR 257.</w:t>
      </w:r>
    </w:p>
  </w:footnote>
  <w:footnote w:id="11">
    <w:p w14:paraId="78E4FEDE" w14:textId="41F4F99C" w:rsidR="00DA2390" w:rsidRPr="004435B8" w:rsidRDefault="00DA2390">
      <w:pPr>
        <w:pStyle w:val="FootnoteText"/>
        <w:rPr>
          <w:rFonts w:cs="Times New Roman"/>
          <w:sz w:val="20"/>
          <w:szCs w:val="20"/>
          <w:lang w:val="en-US"/>
        </w:rPr>
      </w:pPr>
      <w:r w:rsidRPr="00837ACE">
        <w:rPr>
          <w:sz w:val="20"/>
          <w:szCs w:val="20"/>
          <w:lang w:val="en-US"/>
        </w:rPr>
        <w:footnoteRef/>
      </w:r>
      <w:r w:rsidRPr="00FC17F1">
        <w:rPr>
          <w:rFonts w:cs="Times New Roman"/>
          <w:sz w:val="20"/>
          <w:szCs w:val="20"/>
          <w:lang w:val="en-US"/>
        </w:rPr>
        <w:t xml:space="preserve"> See above, foot</w:t>
      </w:r>
      <w:r w:rsidRPr="004435B8">
        <w:rPr>
          <w:rFonts w:cs="Times New Roman"/>
          <w:sz w:val="20"/>
          <w:szCs w:val="20"/>
          <w:lang w:val="en-US"/>
        </w:rPr>
        <w:t>note 3, paragraph 38</w:t>
      </w:r>
    </w:p>
  </w:footnote>
  <w:footnote w:id="12">
    <w:p w14:paraId="64B48CDC" w14:textId="6065713C" w:rsidR="00DA2390" w:rsidRPr="00181BD0" w:rsidRDefault="00DA2390" w:rsidP="00064B90">
      <w:pPr>
        <w:pStyle w:val="FootnoteText"/>
        <w:rPr>
          <w:rFonts w:cs="Times New Roman"/>
          <w:sz w:val="20"/>
          <w:szCs w:val="20"/>
          <w:lang w:val="en-US"/>
        </w:rPr>
      </w:pPr>
      <w:r w:rsidRPr="00837ACE">
        <w:rPr>
          <w:sz w:val="20"/>
          <w:szCs w:val="20"/>
          <w:lang w:val="en-US"/>
        </w:rPr>
        <w:footnoteRef/>
      </w:r>
      <w:r w:rsidRPr="00FC17F1">
        <w:rPr>
          <w:rFonts w:cs="Times New Roman"/>
          <w:sz w:val="20"/>
          <w:szCs w:val="20"/>
          <w:lang w:val="en-US"/>
        </w:rPr>
        <w:t xml:space="preserve"> Employment Relations Act 2000, Human Rights Act 1993, NZBORA, Equal Pay Act 1972, Health and Safety in Employment Act 1992, Minimum Wage Act 1983, Education Act 1989.</w:t>
      </w:r>
      <w:r w:rsidRPr="00837ACE">
        <w:rPr>
          <w:rFonts w:cs="Times New Roman"/>
          <w:sz w:val="18"/>
          <w:szCs w:val="20"/>
          <w:lang w:val="en-US"/>
        </w:rPr>
        <w:t xml:space="preserve">  </w:t>
      </w:r>
    </w:p>
  </w:footnote>
  <w:footnote w:id="13">
    <w:p w14:paraId="7E79A396" w14:textId="51427AE4" w:rsidR="00DA2390" w:rsidRPr="00837ACE" w:rsidRDefault="00DA2390" w:rsidP="00E44054">
      <w:pPr>
        <w:pStyle w:val="FootnoteText"/>
        <w:rPr>
          <w:rFonts w:cs="Times New Roman"/>
          <w:sz w:val="20"/>
          <w:szCs w:val="20"/>
          <w:lang w:val="en-US"/>
        </w:rPr>
      </w:pPr>
      <w:r w:rsidRPr="00FC17F1">
        <w:rPr>
          <w:rStyle w:val="FootnoteReference"/>
          <w:rFonts w:cs="Times New Roman"/>
          <w:sz w:val="20"/>
          <w:szCs w:val="20"/>
        </w:rPr>
        <w:footnoteRef/>
      </w:r>
      <w:r w:rsidRPr="00FC17F1">
        <w:rPr>
          <w:rFonts w:cs="Times New Roman"/>
          <w:sz w:val="20"/>
          <w:szCs w:val="20"/>
        </w:rPr>
        <w:t xml:space="preserve"> </w:t>
      </w:r>
      <w:r w:rsidRPr="004435B8">
        <w:rPr>
          <w:rFonts w:cs="Times New Roman"/>
          <w:sz w:val="20"/>
          <w:szCs w:val="20"/>
          <w:lang w:val="en-US"/>
        </w:rPr>
        <w:t>Althoug</w:t>
      </w:r>
      <w:r w:rsidRPr="00837ACE">
        <w:rPr>
          <w:rFonts w:cs="Times New Roman"/>
          <w:sz w:val="20"/>
          <w:szCs w:val="20"/>
          <w:lang w:val="en-US"/>
        </w:rPr>
        <w:t xml:space="preserve">h s7 requires the Attorney-General to bring to the attention of the House of Representatives any apparent inconsistencies with the rights contained in the NZBORA within proposed legislation, there is no obligation for the House of Representatives to act consistently with the rights, due to the principle of parliamentary supremacy. </w:t>
      </w:r>
    </w:p>
  </w:footnote>
  <w:footnote w:id="14">
    <w:p w14:paraId="2F8668C9" w14:textId="166027CC" w:rsidR="00DA2390" w:rsidRPr="00837ACE" w:rsidRDefault="00DA2390">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Cs/>
          <w:sz w:val="20"/>
          <w:szCs w:val="20"/>
        </w:rPr>
        <w:t>Electoral (Disqualification of Sentenced Prisoners) Amendment Act 2010.</w:t>
      </w:r>
    </w:p>
  </w:footnote>
  <w:footnote w:id="15">
    <w:p w14:paraId="5D93DC59" w14:textId="0EE9F6C0" w:rsidR="00DA2390" w:rsidRPr="00FC17F1" w:rsidRDefault="00DA2390">
      <w:pPr>
        <w:pStyle w:val="FootnoteText"/>
        <w:rPr>
          <w:lang w:val="en-NZ"/>
        </w:rPr>
      </w:pPr>
      <w:r w:rsidRPr="00837ACE">
        <w:rPr>
          <w:rStyle w:val="FootnoteReference"/>
          <w:rFonts w:cs="Times New Roman"/>
          <w:sz w:val="20"/>
          <w:szCs w:val="20"/>
        </w:rPr>
        <w:footnoteRef/>
      </w:r>
      <w:r w:rsidRPr="00837ACE">
        <w:rPr>
          <w:rFonts w:cs="Times New Roman"/>
          <w:sz w:val="20"/>
          <w:szCs w:val="20"/>
        </w:rPr>
        <w:t xml:space="preserve"> HRF “Joint Stakeholders’ report for the Universal Periodic Review” 18</w:t>
      </w:r>
      <w:r w:rsidRPr="00837ACE">
        <w:rPr>
          <w:rFonts w:cs="Times New Roman"/>
          <w:sz w:val="20"/>
          <w:szCs w:val="20"/>
          <w:vertAlign w:val="superscript"/>
        </w:rPr>
        <w:t>th</w:t>
      </w:r>
      <w:r w:rsidRPr="00837ACE">
        <w:rPr>
          <w:rFonts w:cs="Times New Roman"/>
          <w:sz w:val="20"/>
          <w:szCs w:val="20"/>
        </w:rPr>
        <w:t xml:space="preserve"> session of the Working Group on the UPR, January/February 2014</w:t>
      </w:r>
    </w:p>
  </w:footnote>
  <w:footnote w:id="16">
    <w:p w14:paraId="0408EF2A" w14:textId="41FFF82C" w:rsidR="00DA2390" w:rsidRPr="00837ACE" w:rsidRDefault="00DA2390">
      <w:pPr>
        <w:pStyle w:val="FootnoteText"/>
        <w:rPr>
          <w:sz w:val="20"/>
          <w:szCs w:val="20"/>
          <w:lang w:val="en-NZ"/>
        </w:rPr>
      </w:pPr>
      <w:r w:rsidRPr="00837ACE">
        <w:rPr>
          <w:rStyle w:val="FootnoteReference"/>
          <w:sz w:val="20"/>
          <w:szCs w:val="20"/>
        </w:rPr>
        <w:footnoteRef/>
      </w:r>
      <w:r w:rsidRPr="00837ACE">
        <w:rPr>
          <w:sz w:val="20"/>
          <w:szCs w:val="20"/>
        </w:rPr>
        <w:t xml:space="preserve"> </w:t>
      </w:r>
      <w:r w:rsidRPr="00837ACE">
        <w:rPr>
          <w:i/>
          <w:sz w:val="20"/>
          <w:szCs w:val="20"/>
        </w:rPr>
        <w:t>Attorney-General v Chapman</w:t>
      </w:r>
      <w:r w:rsidRPr="00837ACE">
        <w:rPr>
          <w:sz w:val="20"/>
          <w:szCs w:val="20"/>
        </w:rPr>
        <w:t xml:space="preserve"> [2011] NZSC 110</w:t>
      </w:r>
    </w:p>
  </w:footnote>
  <w:footnote w:id="17">
    <w:p w14:paraId="3C76D937" w14:textId="77777777" w:rsidR="00DA2390" w:rsidRPr="00181BD0" w:rsidRDefault="00DA2390" w:rsidP="00E44054">
      <w:pPr>
        <w:pStyle w:val="FootnoteText"/>
        <w:rPr>
          <w:rFonts w:cs="Times New Roman"/>
          <w:sz w:val="20"/>
          <w:szCs w:val="20"/>
          <w:lang w:val="en-US"/>
        </w:rPr>
      </w:pPr>
      <w:r w:rsidRPr="00FC17F1">
        <w:rPr>
          <w:rStyle w:val="FootnoteReference"/>
          <w:rFonts w:cs="Times New Roman"/>
          <w:sz w:val="20"/>
          <w:szCs w:val="20"/>
        </w:rPr>
        <w:footnoteRef/>
      </w:r>
      <w:r w:rsidRPr="00FC17F1">
        <w:rPr>
          <w:rFonts w:cs="Times New Roman"/>
          <w:sz w:val="20"/>
          <w:szCs w:val="20"/>
        </w:rPr>
        <w:t xml:space="preserve"> </w:t>
      </w:r>
      <w:r w:rsidRPr="00837ACE">
        <w:rPr>
          <w:rFonts w:cs="Times New Roman"/>
          <w:i/>
          <w:sz w:val="20"/>
          <w:szCs w:val="20"/>
        </w:rPr>
        <w:t>Simpson v Attorney-General</w:t>
      </w:r>
      <w:r w:rsidRPr="00837ACE">
        <w:rPr>
          <w:rFonts w:cs="Times New Roman"/>
          <w:sz w:val="20"/>
          <w:szCs w:val="20"/>
        </w:rPr>
        <w:t xml:space="preserve"> [</w:t>
      </w:r>
      <w:r w:rsidRPr="00837ACE">
        <w:rPr>
          <w:rFonts w:cs="Times New Roman"/>
          <w:sz w:val="20"/>
          <w:szCs w:val="20"/>
          <w:lang w:val="en-US"/>
        </w:rPr>
        <w:t>Baigent’s case] [1994] 3 NZLR 667.</w:t>
      </w:r>
      <w:r w:rsidRPr="00181BD0">
        <w:rPr>
          <w:rFonts w:cs="Times New Roman"/>
          <w:sz w:val="20"/>
          <w:szCs w:val="20"/>
          <w:lang w:val="en-US"/>
        </w:rPr>
        <w:t xml:space="preserve"> </w:t>
      </w:r>
    </w:p>
  </w:footnote>
  <w:footnote w:id="18">
    <w:p w14:paraId="5CD4E4C3" w14:textId="036AF0E6"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New Zealand Herald, ‘Jane Kelsey: Excess of spin on revised TPP cause for concern’ 7 February 2018 http://www.nzherald.co.nz/nz/news/article.cfm?c_id=1&amp;objectid=11989194</w:t>
      </w:r>
    </w:p>
  </w:footnote>
  <w:footnote w:id="19">
    <w:p w14:paraId="14201BC8" w14:textId="661C462D" w:rsidR="00DA2390" w:rsidRPr="00837ACE" w:rsidRDefault="00DA2390">
      <w:pPr>
        <w:pStyle w:val="FootnoteText"/>
        <w:rPr>
          <w:sz w:val="22"/>
        </w:rPr>
      </w:pPr>
      <w:r w:rsidRPr="00837ACE">
        <w:rPr>
          <w:rStyle w:val="FootnoteReference"/>
          <w:sz w:val="22"/>
        </w:rPr>
        <w:footnoteRef/>
      </w:r>
      <w:r w:rsidRPr="00837ACE">
        <w:rPr>
          <w:sz w:val="22"/>
        </w:rPr>
        <w:t xml:space="preserve"> </w:t>
      </w:r>
      <w:r w:rsidRPr="00837ACE">
        <w:rPr>
          <w:sz w:val="22"/>
          <w:lang w:val="en-NZ"/>
        </w:rPr>
        <w:t>Letter of Jan Marie Doogue, Chief District Court Judge and Laurence Ryan, Principal Family Court Judge to the Auckland Coalition for the Safety of Women and Children, 25 October 2017.</w:t>
      </w:r>
    </w:p>
  </w:footnote>
  <w:footnote w:id="20">
    <w:p w14:paraId="40FCA921" w14:textId="3DCE1BA9" w:rsidR="00DA2390" w:rsidRDefault="00DA2390">
      <w:pPr>
        <w:pStyle w:val="FootnoteText"/>
      </w:pPr>
      <w:r w:rsidRPr="00837ACE">
        <w:rPr>
          <w:rStyle w:val="FootnoteReference"/>
          <w:sz w:val="22"/>
        </w:rPr>
        <w:footnoteRef/>
      </w:r>
      <w:r w:rsidRPr="00837ACE">
        <w:rPr>
          <w:sz w:val="22"/>
        </w:rPr>
        <w:t xml:space="preserve"> See above.</w:t>
      </w:r>
    </w:p>
  </w:footnote>
  <w:footnote w:id="21">
    <w:p w14:paraId="0152E056" w14:textId="1EF2068A" w:rsidR="00DA2390" w:rsidRDefault="00DA2390">
      <w:pPr>
        <w:pStyle w:val="FootnoteText"/>
      </w:pPr>
      <w:r w:rsidRPr="00837ACE">
        <w:rPr>
          <w:rStyle w:val="FootnoteReference"/>
          <w:sz w:val="20"/>
        </w:rPr>
        <w:footnoteRef/>
      </w:r>
      <w:r w:rsidRPr="00837ACE">
        <w:rPr>
          <w:sz w:val="20"/>
        </w:rPr>
        <w:t xml:space="preserve"> </w:t>
      </w:r>
      <w:r w:rsidRPr="00837ACE">
        <w:rPr>
          <w:sz w:val="20"/>
          <w:lang w:val="en-NZ"/>
        </w:rPr>
        <w:t xml:space="preserve">A Police safety order is provided for in the Domestic Violence Act 1995.  It permits the Police to issue a safety order on the spot for a duration of five days requiring the perpetrator to leave the premises for that period. The experience of many family lawyers, including the writer, is that these orders have been very effective.  As they last for 5 days, this gives the victim the time and space to consult a lawyer or other support person to consider her future options.      </w:t>
      </w:r>
    </w:p>
  </w:footnote>
  <w:footnote w:id="22">
    <w:p w14:paraId="211131E3" w14:textId="1B631974"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NZCASS, Ministry of Justice, 2014, 21.</w:t>
      </w:r>
    </w:p>
  </w:footnote>
  <w:footnote w:id="23">
    <w:p w14:paraId="5315701A" w14:textId="7CA7F63C"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29.</w:t>
      </w:r>
    </w:p>
  </w:footnote>
  <w:footnote w:id="24">
    <w:p w14:paraId="53BADA7E" w14:textId="440F05FB"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21.</w:t>
      </w:r>
    </w:p>
  </w:footnote>
  <w:footnote w:id="25">
    <w:p w14:paraId="623AB28E" w14:textId="32F2AF20"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43.</w:t>
      </w:r>
    </w:p>
  </w:footnote>
  <w:footnote w:id="26">
    <w:p w14:paraId="0114F7C3" w14:textId="06242D06"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p49.  6% of women were likely to be the victim of a violent interpersonal offence by an intimate partner compared with 4% of men.  However, as has been discussed in family violence literature, these figures obscure the fact that men are more likely to be the primacy aggressor in violent interpersonal offences.</w:t>
      </w:r>
    </w:p>
  </w:footnote>
  <w:footnote w:id="27">
    <w:p w14:paraId="719D59D6" w14:textId="277F7EF8" w:rsidR="00DA2390" w:rsidRDefault="00DA2390">
      <w:pPr>
        <w:pStyle w:val="FootnoteText"/>
      </w:pPr>
      <w:r w:rsidRPr="00837ACE">
        <w:rPr>
          <w:rStyle w:val="FootnoteReference"/>
          <w:sz w:val="20"/>
        </w:rPr>
        <w:footnoteRef/>
      </w:r>
      <w:r w:rsidRPr="00837ACE">
        <w:rPr>
          <w:sz w:val="20"/>
        </w:rPr>
        <w:t xml:space="preserve"> </w:t>
      </w:r>
      <w:r w:rsidRPr="00837ACE">
        <w:rPr>
          <w:sz w:val="20"/>
          <w:lang w:val="en-NZ"/>
        </w:rPr>
        <w:t>Above, p62.</w:t>
      </w:r>
    </w:p>
  </w:footnote>
  <w:footnote w:id="28">
    <w:p w14:paraId="3FBB5A12" w14:textId="07F295BD"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p46.</w:t>
      </w:r>
    </w:p>
  </w:footnote>
  <w:footnote w:id="29">
    <w:p w14:paraId="1B8BCACE" w14:textId="11BC0D6F"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p106.</w:t>
      </w:r>
    </w:p>
  </w:footnote>
  <w:footnote w:id="30">
    <w:p w14:paraId="1C6DAAA0" w14:textId="30A34167" w:rsidR="00DA2390" w:rsidRPr="00837ACE" w:rsidRDefault="00DA2390">
      <w:pPr>
        <w:pStyle w:val="FootnoteText"/>
        <w:rPr>
          <w:sz w:val="20"/>
        </w:rPr>
      </w:pPr>
      <w:r w:rsidRPr="00837ACE">
        <w:rPr>
          <w:rStyle w:val="FootnoteReference"/>
          <w:sz w:val="20"/>
        </w:rPr>
        <w:footnoteRef/>
      </w:r>
      <w:r w:rsidRPr="00837ACE">
        <w:rPr>
          <w:sz w:val="20"/>
        </w:rPr>
        <w:t xml:space="preserve"> </w:t>
      </w:r>
      <w:r w:rsidRPr="00837ACE">
        <w:rPr>
          <w:sz w:val="20"/>
          <w:lang w:val="en-NZ"/>
        </w:rPr>
        <w:t>Above, p138.</w:t>
      </w:r>
    </w:p>
  </w:footnote>
  <w:footnote w:id="31">
    <w:p w14:paraId="7FDFC29E" w14:textId="6EA0F1F1" w:rsidR="00DA2390" w:rsidRDefault="00DA2390">
      <w:pPr>
        <w:pStyle w:val="FootnoteText"/>
      </w:pPr>
      <w:r w:rsidRPr="00837ACE">
        <w:rPr>
          <w:rStyle w:val="FootnoteReference"/>
          <w:sz w:val="20"/>
        </w:rPr>
        <w:footnoteRef/>
      </w:r>
      <w:r w:rsidRPr="00837ACE">
        <w:rPr>
          <w:sz w:val="20"/>
        </w:rPr>
        <w:t xml:space="preserve"> </w:t>
      </w:r>
      <w:r w:rsidRPr="00837ACE">
        <w:rPr>
          <w:sz w:val="20"/>
          <w:lang w:val="en-NZ"/>
        </w:rPr>
        <w:t xml:space="preserve">Professor Devon Polaschek, “Responding to Perpetrators of Family Violence”, paper delivered to NZ Law Society Family Law Conference, October 2017.   </w:t>
      </w:r>
    </w:p>
  </w:footnote>
  <w:footnote w:id="32">
    <w:p w14:paraId="3EABA071" w14:textId="7687839D" w:rsidR="00DA2390" w:rsidRDefault="00DA2390">
      <w:pPr>
        <w:pStyle w:val="FootnoteText"/>
      </w:pPr>
      <w:r w:rsidRPr="00837ACE">
        <w:rPr>
          <w:rStyle w:val="FootnoteReference"/>
          <w:sz w:val="20"/>
        </w:rPr>
        <w:footnoteRef/>
      </w:r>
      <w:r w:rsidRPr="00837ACE">
        <w:rPr>
          <w:sz w:val="20"/>
        </w:rPr>
        <w:t xml:space="preserve"> </w:t>
      </w:r>
      <w:r w:rsidRPr="00837ACE">
        <w:rPr>
          <w:sz w:val="20"/>
          <w:lang w:val="en-NZ"/>
        </w:rPr>
        <w:t xml:space="preserve">Above, citing Roguski R, Gregory N, “Former family violence perpetrators’ narratives of change”.  Report prepared for the Glenn Inquiry, 2014.  </w:t>
      </w:r>
    </w:p>
  </w:footnote>
  <w:footnote w:id="33">
    <w:p w14:paraId="68E38FD5" w14:textId="200AE1CC" w:rsidR="00DA2390" w:rsidRPr="00837ACE" w:rsidRDefault="00DA2390">
      <w:pPr>
        <w:pStyle w:val="FootnoteText"/>
        <w:rPr>
          <w:sz w:val="20"/>
        </w:rPr>
      </w:pPr>
      <w:r w:rsidRPr="00837ACE">
        <w:rPr>
          <w:rStyle w:val="FootnoteReference"/>
          <w:sz w:val="20"/>
        </w:rPr>
        <w:footnoteRef/>
      </w:r>
      <w:r w:rsidRPr="00837ACE">
        <w:rPr>
          <w:sz w:val="20"/>
        </w:rPr>
        <w:t xml:space="preserve"> Organisation for Economic Cooperation and Development (</w:t>
      </w:r>
      <w:r w:rsidRPr="00837ACE">
        <w:rPr>
          <w:bCs/>
          <w:sz w:val="20"/>
        </w:rPr>
        <w:t>OECD</w:t>
      </w:r>
      <w:r w:rsidRPr="00837ACE">
        <w:rPr>
          <w:sz w:val="20"/>
        </w:rPr>
        <w:t>), </w:t>
      </w:r>
      <w:r w:rsidRPr="00837ACE">
        <w:rPr>
          <w:bCs/>
          <w:sz w:val="20"/>
        </w:rPr>
        <w:t>OECD Guidelines</w:t>
      </w:r>
      <w:r w:rsidRPr="00837ACE">
        <w:rPr>
          <w:sz w:val="20"/>
        </w:rPr>
        <w:t> for Multinational Enterprises,</w:t>
      </w:r>
    </w:p>
  </w:footnote>
  <w:footnote w:id="34">
    <w:p w14:paraId="7AB91A9A" w14:textId="77777777" w:rsidR="00DA2390" w:rsidRPr="00837ACE" w:rsidRDefault="00DA2390" w:rsidP="0010045D">
      <w:pPr>
        <w:pStyle w:val="FootnoteText"/>
        <w:rPr>
          <w:sz w:val="20"/>
        </w:rPr>
      </w:pPr>
      <w:r w:rsidRPr="00837ACE">
        <w:rPr>
          <w:rStyle w:val="FootnoteReference"/>
          <w:sz w:val="20"/>
        </w:rPr>
        <w:footnoteRef/>
      </w:r>
      <w:r w:rsidRPr="00837ACE">
        <w:rPr>
          <w:sz w:val="20"/>
        </w:rPr>
        <w:t xml:space="preserve"> A Compact For The New Century – The “Global Compact” </w:t>
      </w:r>
      <w:hyperlink r:id="rId1" w:history="1">
        <w:r w:rsidRPr="00837ACE">
          <w:rPr>
            <w:rStyle w:val="Hyperlink"/>
            <w:sz w:val="20"/>
          </w:rPr>
          <w:t>www.unglobalcompact.org</w:t>
        </w:r>
      </w:hyperlink>
      <w:r w:rsidRPr="00837ACE">
        <w:rPr>
          <w:sz w:val="20"/>
        </w:rPr>
        <w:t xml:space="preserve"> </w:t>
      </w:r>
    </w:p>
  </w:footnote>
  <w:footnote w:id="35">
    <w:p w14:paraId="64F6F818" w14:textId="765C0964" w:rsidR="00DA2390" w:rsidRPr="00837ACE" w:rsidRDefault="00DA2390">
      <w:pPr>
        <w:pStyle w:val="FootnoteText"/>
        <w:rPr>
          <w:sz w:val="20"/>
        </w:rPr>
      </w:pPr>
      <w:r w:rsidRPr="00837ACE">
        <w:rPr>
          <w:rStyle w:val="FootnoteReference"/>
          <w:sz w:val="20"/>
        </w:rPr>
        <w:footnoteRef/>
      </w:r>
      <w:r w:rsidRPr="00837ACE">
        <w:rPr>
          <w:sz w:val="20"/>
        </w:rPr>
        <w:t xml:space="preserve"> Special Representative of the UN Secretary-General on business &amp; Human Rights, “Guiding Principles on Business and Human Rights: Implementing the United Nations ‘Protect, Respect and Remedy’ Framework”: endorsed by the UN Human Rights Council, 16 June 2011.</w:t>
      </w:r>
    </w:p>
  </w:footnote>
  <w:footnote w:id="36">
    <w:p w14:paraId="5A5045FE" w14:textId="2EB600F6" w:rsidR="00DA2390" w:rsidRDefault="00DA2390" w:rsidP="0010045D">
      <w:pPr>
        <w:pStyle w:val="FootnoteText"/>
      </w:pPr>
      <w:r w:rsidRPr="00837ACE">
        <w:rPr>
          <w:rStyle w:val="FootnoteReference"/>
          <w:sz w:val="20"/>
        </w:rPr>
        <w:footnoteRef/>
      </w:r>
      <w:r w:rsidRPr="00837ACE">
        <w:rPr>
          <w:sz w:val="20"/>
        </w:rPr>
        <w:t xml:space="preserve"> The Voluntary Principles on Security and Human Rights, 2000 www.voluntaryprinciples.org</w:t>
      </w:r>
    </w:p>
  </w:footnote>
  <w:footnote w:id="37">
    <w:p w14:paraId="39D1D5AE" w14:textId="77777777" w:rsidR="00DA2390" w:rsidRDefault="00DA2390" w:rsidP="00E54CC8">
      <w:pPr>
        <w:pStyle w:val="FootnoteText"/>
      </w:pPr>
      <w:r w:rsidRPr="00837ACE">
        <w:rPr>
          <w:rStyle w:val="FootnoteReference"/>
          <w:sz w:val="20"/>
        </w:rPr>
        <w:footnoteRef/>
      </w:r>
      <w:r w:rsidRPr="00837ACE">
        <w:rPr>
          <w:sz w:val="20"/>
        </w:rPr>
        <w:t xml:space="preserve"> For the text of the UN Resolution see: </w:t>
      </w:r>
      <w:hyperlink r:id="rId2" w:history="1">
        <w:r w:rsidRPr="00837ACE">
          <w:rPr>
            <w:rStyle w:val="Hyperlink"/>
            <w:sz w:val="20"/>
          </w:rPr>
          <w:t>http://unsr.vtaulicorpuz.org/site/images/docs/un/2014-a-hrc-res-26-9-en.pdf</w:t>
        </w:r>
      </w:hyperlink>
      <w:r w:rsidRPr="00837ACE">
        <w:rPr>
          <w:sz w:val="20"/>
        </w:rPr>
        <w:t xml:space="preserve"> </w:t>
      </w:r>
    </w:p>
  </w:footnote>
  <w:footnote w:id="38">
    <w:p w14:paraId="2BFF9593" w14:textId="77777777" w:rsidR="00DA2390" w:rsidRPr="00837ACE" w:rsidRDefault="00DA2390" w:rsidP="00C76CE0">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Auckland Regional Public Health Service “Refugees and Asylum Seekers in New Zealand” (2007) Refugee Health &lt;www.refugeehealth.org.nz&gt;</w:t>
      </w:r>
    </w:p>
  </w:footnote>
  <w:footnote w:id="39">
    <w:p w14:paraId="0719E519" w14:textId="77777777" w:rsidR="00DA2390" w:rsidRPr="00837ACE" w:rsidRDefault="00DA2390" w:rsidP="00C76CE0">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Tracey Barnett “About Wage Peace NZ” (2015) Wage Peace NZ &lt;www.wagepeacenz.org&gt;</w:t>
      </w:r>
    </w:p>
  </w:footnote>
  <w:footnote w:id="40">
    <w:p w14:paraId="0776A882" w14:textId="77777777" w:rsidR="00DA2390" w:rsidRPr="00837ACE" w:rsidRDefault="00DA2390" w:rsidP="00C76CE0">
      <w:pPr>
        <w:pStyle w:val="NoSpacing"/>
        <w:jc w:val="both"/>
        <w:rPr>
          <w:rFonts w:cs="Times New Roman"/>
          <w:b/>
          <w:sz w:val="20"/>
          <w:szCs w:val="20"/>
        </w:rPr>
      </w:pPr>
      <w:r w:rsidRPr="00837ACE">
        <w:rPr>
          <w:rStyle w:val="FootnoteReference"/>
          <w:rFonts w:cs="Times New Roman"/>
          <w:sz w:val="20"/>
          <w:szCs w:val="20"/>
        </w:rPr>
        <w:footnoteRef/>
      </w:r>
      <w:r w:rsidRPr="00837ACE">
        <w:rPr>
          <w:rFonts w:cs="Times New Roman"/>
          <w:sz w:val="20"/>
          <w:szCs w:val="20"/>
        </w:rPr>
        <w:t xml:space="preserve"> Alan Gamlen “Why NZ should raise the refugee quota” (3 September 2015) New Zealand Herald &lt;www.nzherald.co.nz&gt;</w:t>
      </w:r>
    </w:p>
  </w:footnote>
  <w:footnote w:id="41">
    <w:p w14:paraId="6E2B2E15" w14:textId="1F3F7830" w:rsidR="00DA2390" w:rsidRPr="00837ACE" w:rsidRDefault="00DA2390" w:rsidP="00C76CE0">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Honourable Michael Woodhouse “New Zealand to take 750 more Syrian Refugees” (7 September 2015) National Party &lt;https://www.national.org.nz/news&gt;</w:t>
      </w:r>
    </w:p>
  </w:footnote>
  <w:footnote w:id="42">
    <w:p w14:paraId="07CFD2DB" w14:textId="77777777" w:rsidR="00DA2390" w:rsidRPr="00323CAE" w:rsidRDefault="00DA2390" w:rsidP="00FC17F1">
      <w:pPr>
        <w:pStyle w:val="NoSpacing"/>
        <w:jc w:val="both"/>
        <w:rPr>
          <w:rFonts w:ascii="Arial" w:hAnsi="Arial" w:cs="Arial"/>
          <w:sz w:val="20"/>
          <w:szCs w:val="20"/>
        </w:rPr>
      </w:pPr>
      <w:r w:rsidRPr="00837ACE">
        <w:rPr>
          <w:rStyle w:val="FootnoteReference"/>
          <w:rFonts w:cs="Times New Roman"/>
          <w:sz w:val="20"/>
          <w:szCs w:val="20"/>
        </w:rPr>
        <w:footnoteRef/>
      </w:r>
      <w:r w:rsidRPr="00837ACE">
        <w:rPr>
          <w:rFonts w:cs="Times New Roman"/>
          <w:sz w:val="20"/>
          <w:szCs w:val="20"/>
        </w:rPr>
        <w:t xml:space="preserve"> New Zealand Red Cross “Resettlement Programme” New Zealand Red Cross &lt;www.redcross.org.nz&gt;</w:t>
      </w:r>
    </w:p>
  </w:footnote>
  <w:footnote w:id="43">
    <w:p w14:paraId="4AD8C5AB" w14:textId="77777777" w:rsidR="00DA2390" w:rsidRPr="00837ACE" w:rsidRDefault="00DA2390" w:rsidP="00C76CE0">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Department of Labour “Settlement and Housing: Auckland Regional Resettlement Strategy” (2010) Immigration New Zealand &lt;www.immigration.govt.nz&gt;</w:t>
      </w:r>
    </w:p>
  </w:footnote>
  <w:footnote w:id="44">
    <w:p w14:paraId="79240E1B" w14:textId="77777777" w:rsidR="00DA2390" w:rsidRPr="00837ACE" w:rsidRDefault="00DA2390" w:rsidP="00C76CE0">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Ibid. </w:t>
      </w:r>
    </w:p>
  </w:footnote>
  <w:footnote w:id="45">
    <w:p w14:paraId="773E0B9B" w14:textId="77777777" w:rsidR="00DA2390" w:rsidRPr="00323CAE" w:rsidRDefault="00DA2390" w:rsidP="00C76CE0">
      <w:pPr>
        <w:pStyle w:val="NoSpacing"/>
        <w:jc w:val="both"/>
        <w:rPr>
          <w:rFonts w:ascii="Arial" w:hAnsi="Arial" w:cs="Arial"/>
          <w:sz w:val="20"/>
          <w:szCs w:val="20"/>
        </w:rPr>
      </w:pPr>
      <w:r w:rsidRPr="00837ACE">
        <w:rPr>
          <w:rStyle w:val="FootnoteReference"/>
          <w:rFonts w:cs="Times New Roman"/>
          <w:sz w:val="20"/>
          <w:szCs w:val="20"/>
        </w:rPr>
        <w:footnoteRef/>
      </w:r>
      <w:r w:rsidRPr="00837ACE">
        <w:rPr>
          <w:rFonts w:cs="Times New Roman"/>
          <w:sz w:val="20"/>
          <w:szCs w:val="20"/>
        </w:rPr>
        <w:t xml:space="preserve"> New Zealand Herald “London house prices have nothing on Auckland” (25 November 2015) New Zealand Herald &lt;www.nzherald.co.nz&gt;</w:t>
      </w:r>
    </w:p>
  </w:footnote>
  <w:footnote w:id="46">
    <w:p w14:paraId="7991BF72" w14:textId="77777777" w:rsidR="00DA2390" w:rsidRPr="00837ACE" w:rsidRDefault="00DA2390" w:rsidP="00E54CC8">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
          <w:iCs/>
          <w:sz w:val="20"/>
          <w:szCs w:val="20"/>
        </w:rPr>
        <w:t>Immigration New Zealand Operational Manual</w:t>
      </w:r>
      <w:r w:rsidRPr="00837ACE">
        <w:rPr>
          <w:rFonts w:cs="Times New Roman"/>
          <w:sz w:val="20"/>
          <w:szCs w:val="20"/>
        </w:rPr>
        <w:t xml:space="preserve"> at [U3.35.5(e)].</w:t>
      </w:r>
    </w:p>
  </w:footnote>
  <w:footnote w:id="47">
    <w:p w14:paraId="676A6B47" w14:textId="77777777" w:rsidR="00DA2390" w:rsidRPr="00837ACE" w:rsidRDefault="00DA2390" w:rsidP="00E54CC8">
      <w:pPr>
        <w:pStyle w:val="FootnoteText"/>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
          <w:iCs/>
          <w:sz w:val="20"/>
          <w:szCs w:val="20"/>
        </w:rPr>
        <w:t>Immigration New Zealand Operational Manual</w:t>
      </w:r>
      <w:r w:rsidRPr="00837ACE">
        <w:rPr>
          <w:rFonts w:cs="Times New Roman"/>
          <w:sz w:val="20"/>
          <w:szCs w:val="20"/>
        </w:rPr>
        <w:t xml:space="preserve"> at [U3.35.10(f)].</w:t>
      </w:r>
    </w:p>
  </w:footnote>
  <w:footnote w:id="48">
    <w:p w14:paraId="78A26E29" w14:textId="77777777" w:rsidR="00DA2390" w:rsidRPr="009029A5" w:rsidRDefault="00DA2390" w:rsidP="00E54CC8">
      <w:pPr>
        <w:pStyle w:val="FootnoteText"/>
        <w:rPr>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Ministry of Social Development “Residency requirements” &lt;www.studylink.govt.nz&gt;.</w:t>
      </w:r>
    </w:p>
  </w:footnote>
  <w:footnote w:id="49">
    <w:p w14:paraId="0A692644" w14:textId="77777777" w:rsidR="00DA2390" w:rsidRPr="00837ACE" w:rsidRDefault="00DA2390" w:rsidP="00E54CC8">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Tony Wall “Refugee support staff face redundancy” (8 June 2014) Stuff &lt;www.stuff.co.nz&gt;</w:t>
      </w:r>
    </w:p>
  </w:footnote>
  <w:footnote w:id="50">
    <w:p w14:paraId="7EEDAC7B" w14:textId="77777777" w:rsidR="00DA2390" w:rsidRPr="00837ACE" w:rsidRDefault="00DA2390" w:rsidP="00E54CC8">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Asylum Seekers Support Trust “AGM Report” (2017) &lt;www.aucklandrefugeecouncil.org&gt;.</w:t>
      </w:r>
    </w:p>
  </w:footnote>
  <w:footnote w:id="51">
    <w:p w14:paraId="7EFEEA35" w14:textId="77777777" w:rsidR="00DA2390" w:rsidRPr="00837ACE" w:rsidRDefault="00DA2390" w:rsidP="00E54CC8">
      <w:pPr>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Sharon Brettkelly “Asylum seekers sleeping in cars, streets – advocates” (3 May 2017) Radio NZ &lt;www.radionz.co.nz&gt;.</w:t>
      </w:r>
    </w:p>
  </w:footnote>
  <w:footnote w:id="52">
    <w:p w14:paraId="146BF974" w14:textId="77777777" w:rsidR="00DA2390" w:rsidRPr="00323CAE" w:rsidRDefault="00DA2390" w:rsidP="00E54CC8">
      <w:pPr>
        <w:pStyle w:val="NoSpacing"/>
        <w:jc w:val="both"/>
        <w:rPr>
          <w:rFonts w:ascii="Arial" w:hAnsi="Arial" w:cs="Arial"/>
          <w:sz w:val="20"/>
          <w:szCs w:val="20"/>
        </w:rPr>
      </w:pPr>
      <w:r w:rsidRPr="00837ACE">
        <w:rPr>
          <w:rStyle w:val="FootnoteReference"/>
          <w:rFonts w:cs="Times New Roman"/>
          <w:sz w:val="20"/>
          <w:szCs w:val="20"/>
        </w:rPr>
        <w:footnoteRef/>
      </w:r>
      <w:r w:rsidRPr="00837ACE">
        <w:rPr>
          <w:rFonts w:cs="Times New Roman"/>
          <w:sz w:val="20"/>
          <w:szCs w:val="20"/>
        </w:rPr>
        <w:t xml:space="preserve"> Immigration New Zealand “Working Temporarily in New Zealand” Immigration New Zealand &lt;www.immigration.govt.nz&gt;</w:t>
      </w:r>
    </w:p>
  </w:footnote>
  <w:footnote w:id="53">
    <w:p w14:paraId="0D4D96E8" w14:textId="77777777" w:rsidR="00DA2390" w:rsidRPr="00837ACE" w:rsidRDefault="00DA2390" w:rsidP="00E54CC8">
      <w:pPr>
        <w:pStyle w:val="FootnoteText"/>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
          <w:iCs/>
          <w:sz w:val="20"/>
          <w:szCs w:val="20"/>
        </w:rPr>
        <w:t>Immigration New Zealand Operational Manual</w:t>
      </w:r>
      <w:r w:rsidRPr="00837ACE">
        <w:rPr>
          <w:rFonts w:cs="Times New Roman"/>
          <w:sz w:val="20"/>
          <w:szCs w:val="20"/>
        </w:rPr>
        <w:t xml:space="preserve"> at [WI16.1].</w:t>
      </w:r>
    </w:p>
  </w:footnote>
  <w:footnote w:id="54">
    <w:p w14:paraId="58467978" w14:textId="28871B83" w:rsidR="00DA2390" w:rsidRPr="00837ACE" w:rsidRDefault="00DA2390" w:rsidP="008B3BED">
      <w:pPr>
        <w:rPr>
          <w:b/>
          <w:sz w:val="20"/>
          <w:szCs w:val="20"/>
        </w:rPr>
      </w:pPr>
      <w:r w:rsidRPr="00837ACE">
        <w:rPr>
          <w:rStyle w:val="FootnoteReference"/>
          <w:sz w:val="20"/>
          <w:szCs w:val="20"/>
        </w:rPr>
        <w:footnoteRef/>
      </w:r>
      <w:r w:rsidRPr="00837ACE">
        <w:rPr>
          <w:sz w:val="20"/>
          <w:szCs w:val="20"/>
        </w:rPr>
        <w:t xml:space="preserve"> </w:t>
      </w:r>
      <w:r w:rsidRPr="00837ACE">
        <w:rPr>
          <w:sz w:val="20"/>
          <w:szCs w:val="20"/>
          <w:lang w:val="en-AU"/>
        </w:rPr>
        <w:t xml:space="preserve">One other issue that needs to be monitored is the Parliamentary Bill called </w:t>
      </w:r>
      <w:r w:rsidRPr="00837ACE">
        <w:rPr>
          <w:sz w:val="20"/>
          <w:szCs w:val="20"/>
        </w:rPr>
        <w:t>The End of Life Choice Bill</w:t>
      </w:r>
      <w:r w:rsidRPr="00837ACE">
        <w:rPr>
          <w:b/>
          <w:sz w:val="20"/>
          <w:szCs w:val="20"/>
        </w:rPr>
        <w:t>, which</w:t>
      </w:r>
      <w:r w:rsidRPr="00837ACE">
        <w:rPr>
          <w:sz w:val="20"/>
          <w:szCs w:val="20"/>
        </w:rPr>
        <w:t xml:space="preserve"> proposes to give people with a terminal illness or a grievous and irremediable medical condition the option of requesting assisted dying. Under no circumstances should the Bill (especially if it is enacted) be used to justify an argument that elderly people with terminal illnesses or grievous medical conditions should be encouraged to end their lives and thereby decrease the number of people on hospital waiting lists.</w:t>
      </w:r>
    </w:p>
    <w:p w14:paraId="22AED753" w14:textId="77777777" w:rsidR="00DA2390" w:rsidRPr="003412FD" w:rsidRDefault="00DA2390" w:rsidP="008B3BED">
      <w:pPr>
        <w:pStyle w:val="FootnoteText"/>
        <w:rPr>
          <w:lang w:val="en-AU"/>
        </w:rPr>
      </w:pPr>
    </w:p>
  </w:footnote>
  <w:footnote w:id="55">
    <w:p w14:paraId="48422FC8" w14:textId="2359E4C5"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State Sector Act 1988, s56.</w:t>
      </w:r>
    </w:p>
  </w:footnote>
  <w:footnote w:id="56">
    <w:p w14:paraId="2E613635" w14:textId="6A8DFCDA" w:rsidR="00DA2390" w:rsidRDefault="00DA2390">
      <w:pPr>
        <w:pStyle w:val="FootnoteText"/>
      </w:pPr>
      <w:r w:rsidRPr="00837ACE">
        <w:rPr>
          <w:rStyle w:val="FootnoteReference"/>
          <w:sz w:val="20"/>
          <w:szCs w:val="20"/>
        </w:rPr>
        <w:footnoteRef/>
      </w:r>
      <w:r w:rsidRPr="00837ACE">
        <w:rPr>
          <w:sz w:val="20"/>
          <w:szCs w:val="20"/>
        </w:rPr>
        <w:t xml:space="preserve"> </w:t>
      </w:r>
      <w:r w:rsidRPr="00837ACE">
        <w:rPr>
          <w:sz w:val="20"/>
          <w:szCs w:val="20"/>
          <w:lang w:val="en-NZ"/>
        </w:rPr>
        <w:t>Human Resources Capability Survey, State Services Commission, 2017, p28.</w:t>
      </w:r>
    </w:p>
  </w:footnote>
  <w:footnote w:id="57">
    <w:p w14:paraId="6EDD3502" w14:textId="7DD5FAA9"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Human Resources Capability Survey, State Services Commission, p29.</w:t>
      </w:r>
    </w:p>
  </w:footnote>
  <w:footnote w:id="58">
    <w:p w14:paraId="1A2523EE" w14:textId="1D8B51F3"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Human Resources Capability Survey, State Services Commission, p29.</w:t>
      </w:r>
    </w:p>
  </w:footnote>
  <w:footnote w:id="59">
    <w:p w14:paraId="09ADE804" w14:textId="2E07009E" w:rsidR="00DA2390" w:rsidRDefault="00DA2390">
      <w:pPr>
        <w:pStyle w:val="FootnoteText"/>
      </w:pPr>
      <w:r w:rsidRPr="00837ACE">
        <w:rPr>
          <w:rStyle w:val="FootnoteReference"/>
          <w:sz w:val="20"/>
          <w:szCs w:val="20"/>
        </w:rPr>
        <w:footnoteRef/>
      </w:r>
      <w:r w:rsidRPr="00837ACE">
        <w:rPr>
          <w:sz w:val="20"/>
          <w:szCs w:val="20"/>
        </w:rPr>
        <w:t xml:space="preserve"> </w:t>
      </w:r>
      <w:r w:rsidRPr="00837ACE">
        <w:rPr>
          <w:sz w:val="20"/>
          <w:szCs w:val="20"/>
          <w:lang w:val="en-NZ"/>
        </w:rPr>
        <w:t>NZ Herald, “Gender Gap costs $900 million: Study”, 5 December 2017, B1.</w:t>
      </w:r>
    </w:p>
  </w:footnote>
  <w:footnote w:id="60">
    <w:p w14:paraId="546B5056" w14:textId="0C1BFD7D"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Above, NZ Herald, p B3.</w:t>
      </w:r>
    </w:p>
  </w:footnote>
  <w:footnote w:id="61">
    <w:p w14:paraId="0FE167A3" w14:textId="382AED20"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Statistics New Zealand, Women at Work: 1991 – 1993, October 2015 at p23.</w:t>
      </w:r>
    </w:p>
  </w:footnote>
  <w:footnote w:id="62">
    <w:p w14:paraId="64C1585D" w14:textId="2078A209"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Ministry for Women “Increasing the Representation of Women on Private Sector Boards” August 2018, at p2.</w:t>
      </w:r>
    </w:p>
  </w:footnote>
  <w:footnote w:id="63">
    <w:p w14:paraId="4472CC33" w14:textId="7B812209" w:rsidR="00DA2390" w:rsidRDefault="00DA2390">
      <w:pPr>
        <w:pStyle w:val="FootnoteText"/>
      </w:pPr>
      <w:r w:rsidRPr="00837ACE">
        <w:rPr>
          <w:rStyle w:val="FootnoteReference"/>
          <w:sz w:val="20"/>
          <w:szCs w:val="20"/>
        </w:rPr>
        <w:footnoteRef/>
      </w:r>
      <w:r w:rsidRPr="00837ACE">
        <w:rPr>
          <w:sz w:val="20"/>
          <w:szCs w:val="20"/>
        </w:rPr>
        <w:t xml:space="preserve"> </w:t>
      </w:r>
      <w:r w:rsidRPr="00837ACE">
        <w:rPr>
          <w:sz w:val="20"/>
          <w:szCs w:val="20"/>
          <w:lang w:val="en-NZ"/>
        </w:rPr>
        <w:t>“Increasing the Representation of Women on Private Sector Boards”, p9.</w:t>
      </w:r>
    </w:p>
  </w:footnote>
  <w:footnote w:id="64">
    <w:p w14:paraId="4099F4F1" w14:textId="4B3B5C29"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“Increasing the Representation of Women on Private Sector Boards”, p17.</w:t>
      </w:r>
    </w:p>
  </w:footnote>
  <w:footnote w:id="65">
    <w:p w14:paraId="6418B5B4" w14:textId="1495EB0D"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See NZ Herald article at FN 5 above in which both Westpac and NZ Herald owner NZME expressed their commitment to gender diversity.</w:t>
      </w:r>
    </w:p>
  </w:footnote>
  <w:footnote w:id="66">
    <w:p w14:paraId="7C31DBBD" w14:textId="5FF818C7" w:rsidR="00DA2390" w:rsidRDefault="00DA2390">
      <w:pPr>
        <w:pStyle w:val="FootnoteText"/>
      </w:pPr>
      <w:r w:rsidRPr="00837ACE">
        <w:rPr>
          <w:rStyle w:val="FootnoteReference"/>
          <w:sz w:val="20"/>
          <w:szCs w:val="20"/>
        </w:rPr>
        <w:footnoteRef/>
      </w:r>
      <w:r w:rsidRPr="00837ACE">
        <w:rPr>
          <w:sz w:val="20"/>
          <w:szCs w:val="20"/>
        </w:rPr>
        <w:t xml:space="preserve"> </w:t>
      </w:r>
      <w:r w:rsidRPr="00837ACE">
        <w:rPr>
          <w:sz w:val="20"/>
          <w:szCs w:val="20"/>
          <w:lang w:val="en-NZ"/>
        </w:rPr>
        <w:t>Poalo Taruc, “Law Society calls for feedback on gender diversity and inclusion charter”, NZ Lawyer, 18 September 2017.</w:t>
      </w:r>
    </w:p>
  </w:footnote>
  <w:footnote w:id="67">
    <w:p w14:paraId="5FD228E3" w14:textId="3E4B8424"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Sol Dolor, “Profession pushes for the advancement of women lawyers”, NZ Lawyer, 18 December 2017.</w:t>
      </w:r>
    </w:p>
  </w:footnote>
  <w:footnote w:id="68">
    <w:p w14:paraId="066B4D0F" w14:textId="3F287EB8"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w:t>
      </w:r>
      <w:r w:rsidRPr="00837ACE">
        <w:rPr>
          <w:sz w:val="20"/>
          <w:szCs w:val="20"/>
          <w:lang w:val="en-NZ"/>
        </w:rPr>
        <w:t>NZ Lawyer, 18 December 2017.</w:t>
      </w:r>
    </w:p>
  </w:footnote>
  <w:footnote w:id="69">
    <w:p w14:paraId="63266296" w14:textId="2BF212B2" w:rsidR="00DA2390" w:rsidRDefault="00DA2390">
      <w:pPr>
        <w:pStyle w:val="FootnoteText"/>
      </w:pPr>
      <w:r w:rsidRPr="00837ACE">
        <w:rPr>
          <w:rStyle w:val="FootnoteReference"/>
          <w:sz w:val="20"/>
          <w:szCs w:val="20"/>
        </w:rPr>
        <w:footnoteRef/>
      </w:r>
      <w:r w:rsidRPr="00837ACE">
        <w:rPr>
          <w:sz w:val="20"/>
          <w:szCs w:val="20"/>
        </w:rPr>
        <w:t xml:space="preserve"> </w:t>
      </w:r>
      <w:r w:rsidRPr="00837ACE">
        <w:rPr>
          <w:sz w:val="20"/>
          <w:szCs w:val="20"/>
          <w:lang w:val="en-NZ"/>
        </w:rPr>
        <w:t>The Hon Julie Ann Genter, Minister of Women, has recently proposed that the KPIs of public  sector CEOs include reporting on and achieving pay equity.   We applaud the introduction of such a measure.</w:t>
      </w:r>
      <w:r w:rsidRPr="00B553B9">
        <w:rPr>
          <w:lang w:val="en-NZ"/>
        </w:rPr>
        <w:t xml:space="preserve">   </w:t>
      </w:r>
    </w:p>
  </w:footnote>
  <w:footnote w:id="70">
    <w:p w14:paraId="3A0CF59D" w14:textId="62372736" w:rsidR="00DA2390" w:rsidRPr="00837ACE" w:rsidRDefault="00DA2390" w:rsidP="00C76CE0">
      <w:pPr>
        <w:rPr>
          <w:rFonts w:eastAsia="Times New Roman"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Sue Ryall and Stephen Blumenfeld, ‘</w:t>
      </w:r>
      <w:r w:rsidRPr="00837ACE">
        <w:rPr>
          <w:rFonts w:eastAsia="Times New Roman" w:cs="Times New Roman"/>
          <w:sz w:val="20"/>
          <w:szCs w:val="20"/>
          <w:lang w:val="en-US"/>
        </w:rPr>
        <w:t>The state of New Zealand Union membership in 2014’ (Wellington: Victoria University of Wellington Centre for Labour, Employment and Work, 2014), 2.</w:t>
      </w:r>
    </w:p>
  </w:footnote>
  <w:footnote w:id="71">
    <w:p w14:paraId="1E376818" w14:textId="77777777" w:rsidR="00DA2390" w:rsidRPr="00837ACE" w:rsidRDefault="00DA2390" w:rsidP="00C76CE0">
      <w:pPr>
        <w:widowControl w:val="0"/>
        <w:autoSpaceDE w:val="0"/>
        <w:autoSpaceDN w:val="0"/>
        <w:adjustRightInd w:val="0"/>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Cs/>
          <w:sz w:val="20"/>
          <w:szCs w:val="20"/>
          <w:lang w:val="en-US"/>
        </w:rPr>
        <w:t xml:space="preserve">Andy </w:t>
      </w:r>
      <w:r w:rsidRPr="00837ACE">
        <w:rPr>
          <w:rFonts w:cs="Times New Roman"/>
          <w:bCs/>
          <w:sz w:val="20"/>
          <w:szCs w:val="20"/>
          <w:lang w:val="en-US"/>
        </w:rPr>
        <w:t xml:space="preserve">Furlong </w:t>
      </w:r>
      <w:r w:rsidRPr="00837ACE">
        <w:rPr>
          <w:rFonts w:cs="Times New Roman"/>
          <w:iCs/>
          <w:sz w:val="20"/>
          <w:szCs w:val="20"/>
          <w:lang w:val="en-US"/>
        </w:rPr>
        <w:t xml:space="preserve">and Fred </w:t>
      </w:r>
      <w:r w:rsidRPr="00837ACE">
        <w:rPr>
          <w:rFonts w:cs="Times New Roman"/>
          <w:bCs/>
          <w:sz w:val="20"/>
          <w:szCs w:val="20"/>
          <w:lang w:val="en-US"/>
        </w:rPr>
        <w:t xml:space="preserve">Cartmel, Young People </w:t>
      </w:r>
      <w:r w:rsidRPr="00837ACE">
        <w:rPr>
          <w:rFonts w:cs="Times New Roman"/>
          <w:iCs/>
          <w:sz w:val="20"/>
          <w:szCs w:val="20"/>
          <w:lang w:val="en-US"/>
        </w:rPr>
        <w:t>and</w:t>
      </w:r>
      <w:r w:rsidRPr="00837ACE">
        <w:rPr>
          <w:rFonts w:cs="Times New Roman"/>
          <w:i/>
          <w:iCs/>
          <w:sz w:val="20"/>
          <w:szCs w:val="20"/>
          <w:lang w:val="en-US"/>
        </w:rPr>
        <w:t xml:space="preserve"> </w:t>
      </w:r>
      <w:r w:rsidRPr="00837ACE">
        <w:rPr>
          <w:rFonts w:cs="Times New Roman"/>
          <w:bCs/>
          <w:sz w:val="20"/>
          <w:szCs w:val="20"/>
          <w:lang w:val="en-US"/>
        </w:rPr>
        <w:t>Social Change: New Perspectives 2</w:t>
      </w:r>
      <w:r w:rsidRPr="00837ACE">
        <w:rPr>
          <w:rFonts w:cs="Times New Roman"/>
          <w:bCs/>
          <w:sz w:val="20"/>
          <w:szCs w:val="20"/>
          <w:vertAlign w:val="superscript"/>
          <w:lang w:val="en-US"/>
        </w:rPr>
        <w:t>nd</w:t>
      </w:r>
      <w:r w:rsidRPr="00837ACE">
        <w:rPr>
          <w:rFonts w:cs="Times New Roman"/>
          <w:bCs/>
          <w:sz w:val="20"/>
          <w:szCs w:val="20"/>
          <w:lang w:val="en-US"/>
        </w:rPr>
        <w:t xml:space="preserve"> ed (Maidenhead: Open University Press, 2007), 52.</w:t>
      </w:r>
    </w:p>
    <w:p w14:paraId="4EA13550" w14:textId="77777777" w:rsidR="00DA2390" w:rsidRPr="00562244" w:rsidRDefault="00DA2390" w:rsidP="00C76CE0">
      <w:pPr>
        <w:pStyle w:val="FootnoteText"/>
        <w:rPr>
          <w:lang w:val="en-AU"/>
        </w:rPr>
      </w:pPr>
    </w:p>
  </w:footnote>
  <w:footnote w:id="72">
    <w:p w14:paraId="692A02A0" w14:textId="77777777" w:rsidR="00DA2390" w:rsidRPr="00837ACE" w:rsidRDefault="00DA2390" w:rsidP="00D5514C">
      <w:pPr>
        <w:pStyle w:val="FootnoteText"/>
        <w:rPr>
          <w:sz w:val="20"/>
          <w:szCs w:val="20"/>
        </w:rPr>
      </w:pPr>
      <w:r w:rsidRPr="00837ACE">
        <w:rPr>
          <w:rStyle w:val="FootnoteReference"/>
          <w:sz w:val="20"/>
          <w:szCs w:val="20"/>
        </w:rPr>
        <w:footnoteRef/>
      </w:r>
      <w:r w:rsidRPr="00837ACE">
        <w:rPr>
          <w:sz w:val="20"/>
          <w:szCs w:val="20"/>
        </w:rPr>
        <w:t xml:space="preserve"> Working for Families tax credits are paid to the caregiver in eligible families with dependent children aged 18 or younger to help with living costs.  </w:t>
      </w:r>
    </w:p>
  </w:footnote>
  <w:footnote w:id="73">
    <w:p w14:paraId="0BB3B395" w14:textId="77777777" w:rsidR="00DA2390" w:rsidRPr="00837ACE" w:rsidRDefault="00DA2390" w:rsidP="00D5514C">
      <w:pPr>
        <w:pStyle w:val="FootnoteText"/>
        <w:rPr>
          <w:sz w:val="20"/>
          <w:szCs w:val="20"/>
        </w:rPr>
      </w:pPr>
      <w:r w:rsidRPr="00837ACE">
        <w:rPr>
          <w:rStyle w:val="FootnoteReference"/>
          <w:sz w:val="20"/>
          <w:szCs w:val="20"/>
        </w:rPr>
        <w:footnoteRef/>
      </w:r>
      <w:r w:rsidRPr="00837ACE">
        <w:rPr>
          <w:sz w:val="20"/>
          <w:szCs w:val="20"/>
        </w:rPr>
        <w:t xml:space="preserve"> Gerard Cotterell, Susan St John, Claire Dale, “Further fraying of the welfare safety net” (Child Poverty action Group 2017) 16. </w:t>
      </w:r>
    </w:p>
  </w:footnote>
  <w:footnote w:id="74">
    <w:p w14:paraId="07FD0D7C" w14:textId="77777777" w:rsidR="00DA2390" w:rsidRPr="00837ACE" w:rsidRDefault="00DA2390" w:rsidP="00D5514C">
      <w:pPr>
        <w:pStyle w:val="FootnoteText"/>
        <w:rPr>
          <w:sz w:val="20"/>
          <w:szCs w:val="20"/>
        </w:rPr>
      </w:pPr>
      <w:r w:rsidRPr="00837ACE">
        <w:rPr>
          <w:rStyle w:val="FootnoteReference"/>
          <w:sz w:val="20"/>
          <w:szCs w:val="20"/>
        </w:rPr>
        <w:footnoteRef/>
      </w:r>
      <w:r w:rsidRPr="00837ACE">
        <w:rPr>
          <w:sz w:val="20"/>
          <w:szCs w:val="20"/>
        </w:rPr>
        <w:t xml:space="preserve"> Cotterell, St John, Dale above, 16.</w:t>
      </w:r>
    </w:p>
    <w:p w14:paraId="11FB03EC" w14:textId="77777777" w:rsidR="00DA2390" w:rsidRPr="00DB0F2F" w:rsidRDefault="00DA2390" w:rsidP="00D5514C">
      <w:pPr>
        <w:pStyle w:val="FootnoteText"/>
        <w:rPr>
          <w:u w:val="double"/>
        </w:rPr>
      </w:pPr>
    </w:p>
  </w:footnote>
  <w:footnote w:id="75">
    <w:p w14:paraId="65D23F36" w14:textId="77777777" w:rsidR="00DA2390" w:rsidRPr="00837ACE" w:rsidRDefault="00DA2390" w:rsidP="00D5514C">
      <w:pPr>
        <w:pStyle w:val="FootnoteText"/>
        <w:rPr>
          <w:sz w:val="20"/>
        </w:rPr>
      </w:pPr>
      <w:r w:rsidRPr="00837ACE">
        <w:rPr>
          <w:rStyle w:val="FootnoteReference"/>
          <w:sz w:val="20"/>
        </w:rPr>
        <w:footnoteRef/>
      </w:r>
      <w:r w:rsidRPr="00837ACE">
        <w:rPr>
          <w:sz w:val="20"/>
        </w:rPr>
        <w:t xml:space="preserve"> MSD Fact sheet: “Benefit sanctions – December 2017 quarter”. </w:t>
      </w:r>
    </w:p>
  </w:footnote>
  <w:footnote w:id="76">
    <w:p w14:paraId="4DCFE996" w14:textId="77777777" w:rsidR="00DA2390" w:rsidRDefault="00DA2390" w:rsidP="00D5514C">
      <w:pPr>
        <w:pStyle w:val="FootnoteText"/>
      </w:pPr>
      <w:r w:rsidRPr="00837ACE">
        <w:rPr>
          <w:rStyle w:val="FootnoteReference"/>
          <w:sz w:val="20"/>
        </w:rPr>
        <w:footnoteRef/>
      </w:r>
      <w:r w:rsidRPr="00837ACE">
        <w:rPr>
          <w:sz w:val="20"/>
        </w:rPr>
        <w:t xml:space="preserve"> See above, 19.  </w:t>
      </w:r>
    </w:p>
  </w:footnote>
  <w:footnote w:id="77">
    <w:p w14:paraId="3C40F9B5" w14:textId="77777777" w:rsidR="00DA2390" w:rsidRDefault="00DA2390" w:rsidP="00D5514C">
      <w:pPr>
        <w:pStyle w:val="FootnoteText"/>
      </w:pPr>
      <w:r w:rsidRPr="00837ACE">
        <w:rPr>
          <w:rStyle w:val="FootnoteReference"/>
          <w:sz w:val="20"/>
        </w:rPr>
        <w:footnoteRef/>
      </w:r>
      <w:r w:rsidRPr="00837ACE">
        <w:rPr>
          <w:sz w:val="20"/>
        </w:rPr>
        <w:t xml:space="preserve"> See above, 24 -25.  The maximum rate of paid parental leave is currently $538.55 before tax.</w:t>
      </w:r>
    </w:p>
  </w:footnote>
  <w:footnote w:id="78">
    <w:p w14:paraId="23B862E8" w14:textId="77777777" w:rsidR="00DA2390" w:rsidRPr="00837ACE" w:rsidRDefault="00DA2390" w:rsidP="00D5514C">
      <w:pPr>
        <w:pStyle w:val="FootnoteText"/>
        <w:rPr>
          <w:sz w:val="20"/>
        </w:rPr>
      </w:pPr>
      <w:r w:rsidRPr="00837ACE">
        <w:rPr>
          <w:rStyle w:val="FootnoteReference"/>
          <w:sz w:val="20"/>
        </w:rPr>
        <w:footnoteRef/>
      </w:r>
      <w:r w:rsidRPr="00837ACE">
        <w:rPr>
          <w:sz w:val="20"/>
        </w:rPr>
        <w:t xml:space="preserve"> For instance, at 31 December 2017, 60,678 people, being 2.1% of the working age population, were receiving Sole Parent Support. MSD Benefit Fact Sheet. December 2017.</w:t>
      </w:r>
    </w:p>
  </w:footnote>
  <w:footnote w:id="79">
    <w:p w14:paraId="73B72310" w14:textId="77777777" w:rsidR="00DA2390" w:rsidRDefault="00DA2390" w:rsidP="00D5514C">
      <w:pPr>
        <w:pStyle w:val="FootnoteText"/>
      </w:pPr>
      <w:r w:rsidRPr="00837ACE">
        <w:rPr>
          <w:rStyle w:val="FootnoteReference"/>
          <w:sz w:val="20"/>
        </w:rPr>
        <w:footnoteRef/>
      </w:r>
      <w:r w:rsidRPr="00837ACE">
        <w:rPr>
          <w:sz w:val="20"/>
        </w:rPr>
        <w:t xml:space="preserve"> Perry B (2017) “Household incomes in New Zealand: Trends in indicators of inequality and hardship 1982 to 2016” Wellington, Ministry of Social Development.</w:t>
      </w:r>
    </w:p>
  </w:footnote>
  <w:footnote w:id="80">
    <w:p w14:paraId="53C91346" w14:textId="77777777" w:rsidR="00DA2390" w:rsidRPr="00837ACE" w:rsidRDefault="00DA2390" w:rsidP="00D5514C">
      <w:pPr>
        <w:pStyle w:val="FootnoteText"/>
        <w:rPr>
          <w:sz w:val="20"/>
        </w:rPr>
      </w:pPr>
      <w:r w:rsidRPr="00837ACE">
        <w:rPr>
          <w:rStyle w:val="FootnoteReference"/>
          <w:sz w:val="20"/>
        </w:rPr>
        <w:footnoteRef/>
      </w:r>
      <w:r w:rsidRPr="00837ACE">
        <w:rPr>
          <w:sz w:val="20"/>
        </w:rPr>
        <w:t xml:space="preserve"> See Perry above, 55. </w:t>
      </w:r>
    </w:p>
  </w:footnote>
  <w:footnote w:id="81">
    <w:p w14:paraId="63F54503" w14:textId="77777777" w:rsidR="00DA2390" w:rsidRDefault="00DA2390" w:rsidP="00D5514C">
      <w:pPr>
        <w:pStyle w:val="FootnoteText"/>
      </w:pPr>
      <w:r w:rsidRPr="00837ACE">
        <w:rPr>
          <w:rStyle w:val="FootnoteReference"/>
          <w:sz w:val="20"/>
        </w:rPr>
        <w:footnoteRef/>
      </w:r>
      <w:r w:rsidRPr="00837ACE">
        <w:rPr>
          <w:sz w:val="20"/>
        </w:rPr>
        <w:t xml:space="preserve"> MSD Benefit Fact Sheets December 2017 quarter.  </w:t>
      </w:r>
    </w:p>
  </w:footnote>
  <w:footnote w:id="82">
    <w:p w14:paraId="53656319" w14:textId="77777777" w:rsidR="00DA2390" w:rsidRDefault="00DA2390" w:rsidP="00D5514C">
      <w:pPr>
        <w:pStyle w:val="FootnoteText"/>
      </w:pPr>
      <w:r w:rsidRPr="00837ACE">
        <w:rPr>
          <w:rStyle w:val="FootnoteReference"/>
          <w:sz w:val="20"/>
        </w:rPr>
        <w:footnoteRef/>
      </w:r>
      <w:r w:rsidRPr="00837ACE">
        <w:rPr>
          <w:sz w:val="20"/>
        </w:rPr>
        <w:t xml:space="preserve"> MSD letter dated 24 November 2017 to Ms X [name withheld].  Letter in possession of author.</w:t>
      </w:r>
    </w:p>
  </w:footnote>
  <w:footnote w:id="83">
    <w:p w14:paraId="73979C35" w14:textId="77777777" w:rsidR="00DA2390" w:rsidRDefault="00DA2390" w:rsidP="00D5514C">
      <w:pPr>
        <w:pStyle w:val="FootnoteText"/>
      </w:pPr>
      <w:r w:rsidRPr="00837ACE">
        <w:rPr>
          <w:rStyle w:val="FootnoteReference"/>
          <w:sz w:val="20"/>
        </w:rPr>
        <w:footnoteRef/>
      </w:r>
      <w:r w:rsidRPr="00837ACE">
        <w:rPr>
          <w:sz w:val="20"/>
        </w:rPr>
        <w:t xml:space="preserve"> MSD Social Policy and Research Unit, 2017) cited in Cotterell, St John and Perry, n2 above, 28.</w:t>
      </w:r>
    </w:p>
  </w:footnote>
  <w:footnote w:id="84">
    <w:p w14:paraId="1A508D33" w14:textId="77777777" w:rsidR="00DA2390" w:rsidRPr="00837ACE" w:rsidRDefault="00DA2390" w:rsidP="00D5514C">
      <w:pPr>
        <w:pStyle w:val="FootnoteText"/>
        <w:rPr>
          <w:sz w:val="20"/>
        </w:rPr>
      </w:pPr>
      <w:r w:rsidRPr="00837ACE">
        <w:rPr>
          <w:rStyle w:val="FootnoteReference"/>
          <w:sz w:val="20"/>
        </w:rPr>
        <w:footnoteRef/>
      </w:r>
      <w:r w:rsidRPr="00837ACE">
        <w:rPr>
          <w:sz w:val="20"/>
        </w:rPr>
        <w:t xml:space="preserve"> Insight documentary, RNZ, 14 January 2018, 8.10am</w:t>
      </w:r>
    </w:p>
  </w:footnote>
  <w:footnote w:id="85">
    <w:p w14:paraId="1F459F64" w14:textId="77777777" w:rsidR="00DA2390" w:rsidRDefault="00DA2390" w:rsidP="00D5514C">
      <w:pPr>
        <w:pStyle w:val="FootnoteText"/>
      </w:pPr>
      <w:r w:rsidRPr="00837ACE">
        <w:rPr>
          <w:rStyle w:val="FootnoteReference"/>
          <w:sz w:val="20"/>
        </w:rPr>
        <w:footnoteRef/>
      </w:r>
      <w:r w:rsidRPr="00837ACE">
        <w:rPr>
          <w:sz w:val="20"/>
        </w:rPr>
        <w:t xml:space="preserve"> See above.</w:t>
      </w:r>
    </w:p>
  </w:footnote>
  <w:footnote w:id="86">
    <w:p w14:paraId="4D008C34" w14:textId="77777777" w:rsidR="00DA2390" w:rsidRDefault="00DA2390" w:rsidP="00D5514C">
      <w:pPr>
        <w:pStyle w:val="FootnoteText"/>
      </w:pPr>
      <w:r w:rsidRPr="00837ACE">
        <w:rPr>
          <w:rStyle w:val="FootnoteReference"/>
          <w:sz w:val="20"/>
        </w:rPr>
        <w:footnoteRef/>
      </w:r>
      <w:r w:rsidRPr="00837ACE">
        <w:rPr>
          <w:sz w:val="20"/>
        </w:rPr>
        <w:t xml:space="preserve"> In formulating these recommendations, we are indebted to the excellent work of Child Poverty Action Group, Associate Professor Susan St John and Catrionna McLennan, Barrister.  </w:t>
      </w:r>
    </w:p>
  </w:footnote>
  <w:footnote w:id="87">
    <w:p w14:paraId="290F8EAB" w14:textId="77777777" w:rsidR="00DA2390" w:rsidRPr="00837ACE" w:rsidRDefault="00DA2390" w:rsidP="00D5514C">
      <w:pPr>
        <w:pStyle w:val="FootnoteText"/>
        <w:rPr>
          <w:sz w:val="20"/>
        </w:rPr>
      </w:pPr>
      <w:r w:rsidRPr="00837ACE">
        <w:rPr>
          <w:rStyle w:val="FootnoteReference"/>
          <w:sz w:val="20"/>
        </w:rPr>
        <w:footnoteRef/>
      </w:r>
      <w:r w:rsidRPr="00837ACE">
        <w:rPr>
          <w:sz w:val="20"/>
        </w:rPr>
        <w:t xml:space="preserve"> </w:t>
      </w:r>
      <w:hyperlink r:id="rId3" w:history="1">
        <w:r w:rsidRPr="00837ACE">
          <w:rPr>
            <w:rStyle w:val="Hyperlink"/>
            <w:sz w:val="20"/>
          </w:rPr>
          <w:t>www.catrionnamaclennan.co.nz/blog/welfare-reform-15</w:t>
        </w:r>
      </w:hyperlink>
      <w:r w:rsidRPr="00837ACE">
        <w:rPr>
          <w:sz w:val="20"/>
        </w:rPr>
        <w:t xml:space="preserve"> -point-plan </w:t>
      </w:r>
    </w:p>
  </w:footnote>
  <w:footnote w:id="88">
    <w:p w14:paraId="54E0FF8D" w14:textId="174FA201" w:rsidR="00DA2390" w:rsidRDefault="00DA2390" w:rsidP="00D5514C">
      <w:pPr>
        <w:pStyle w:val="FootnoteText"/>
      </w:pPr>
      <w:r w:rsidRPr="00837ACE">
        <w:rPr>
          <w:rStyle w:val="FootnoteReference"/>
          <w:sz w:val="20"/>
        </w:rPr>
        <w:footnoteRef/>
      </w:r>
      <w:r w:rsidRPr="00837ACE">
        <w:rPr>
          <w:sz w:val="20"/>
        </w:rPr>
        <w:t xml:space="preserve"> See fn </w:t>
      </w:r>
      <w:r w:rsidRPr="00837ACE">
        <w:rPr>
          <w:color w:val="FF0000"/>
          <w:sz w:val="20"/>
        </w:rPr>
        <w:t>16 above</w:t>
      </w:r>
      <w:r w:rsidRPr="00837ACE">
        <w:rPr>
          <w:sz w:val="20"/>
        </w:rPr>
        <w:t>.</w:t>
      </w:r>
    </w:p>
  </w:footnote>
  <w:footnote w:id="89">
    <w:p w14:paraId="3F42C3C5" w14:textId="77777777" w:rsidR="00DA2390" w:rsidRPr="00837ACE" w:rsidRDefault="00DA2390" w:rsidP="00837ACE">
      <w:pPr>
        <w:pStyle w:val="NoSpacing"/>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“Key findings”, </w:t>
      </w:r>
      <w:hyperlink r:id="rId4" w:history="1">
        <w:r w:rsidRPr="00837ACE">
          <w:rPr>
            <w:rStyle w:val="Hyperlink"/>
            <w:rFonts w:cs="Times New Roman"/>
            <w:sz w:val="20"/>
            <w:szCs w:val="20"/>
          </w:rPr>
          <w:t>http://www.msd.govt.nz/about-msd-and-our-work/publications-resources/monitoring/household-incomes/index.html</w:t>
        </w:r>
      </w:hyperlink>
      <w:r w:rsidRPr="00837ACE">
        <w:rPr>
          <w:rFonts w:cs="Times New Roman"/>
          <w:sz w:val="20"/>
          <w:szCs w:val="20"/>
        </w:rPr>
        <w:t xml:space="preserve"> </w:t>
      </w:r>
    </w:p>
  </w:footnote>
  <w:footnote w:id="90">
    <w:p w14:paraId="26FCD767" w14:textId="4DE8B79A" w:rsidR="00DA2390" w:rsidRPr="00FC17F1" w:rsidRDefault="00DA2390">
      <w:pPr>
        <w:pStyle w:val="FootnoteText"/>
        <w:rPr>
          <w:lang w:val="en-NZ"/>
        </w:rPr>
      </w:pPr>
      <w:r w:rsidRPr="00837ACE">
        <w:rPr>
          <w:rStyle w:val="FootnoteReference"/>
          <w:sz w:val="20"/>
        </w:rPr>
        <w:footnoteRef/>
      </w:r>
      <w:r w:rsidRPr="00837ACE">
        <w:rPr>
          <w:sz w:val="20"/>
        </w:rPr>
        <w:t xml:space="preserve"> </w:t>
      </w:r>
      <w:r w:rsidRPr="00837ACE">
        <w:rPr>
          <w:sz w:val="20"/>
          <w:lang w:val="en-NZ"/>
        </w:rPr>
        <w:t>www.newshub.co.nz/home/politics/2018/01/government-announces-child-poverty-legislation.html</w:t>
      </w:r>
    </w:p>
  </w:footnote>
  <w:footnote w:id="91">
    <w:p w14:paraId="6DE16945" w14:textId="78E82C6A"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Auckland Now </w:t>
      </w:r>
      <w:hyperlink r:id="rId5" w:history="1">
        <w:r w:rsidRPr="00837ACE">
          <w:rPr>
            <w:rStyle w:val="Hyperlink"/>
            <w:sz w:val="20"/>
            <w:szCs w:val="20"/>
          </w:rPr>
          <w:t>www.stuff.co.nz/auckland/10002557/needy-camp-overnight-at-auckland-city-mission-for-food-parcels</w:t>
        </w:r>
      </w:hyperlink>
      <w:r w:rsidRPr="00837ACE">
        <w:rPr>
          <w:sz w:val="20"/>
          <w:szCs w:val="20"/>
        </w:rPr>
        <w:t xml:space="preserve"> 20 December 2017</w:t>
      </w:r>
    </w:p>
  </w:footnote>
  <w:footnote w:id="92">
    <w:p w14:paraId="3C25F82D" w14:textId="7B06A7D3" w:rsidR="00DA2390" w:rsidRPr="00837ACE" w:rsidRDefault="00DA2390">
      <w:pPr>
        <w:pStyle w:val="FootnoteText"/>
        <w:rPr>
          <w:sz w:val="20"/>
          <w:szCs w:val="20"/>
        </w:rPr>
      </w:pPr>
      <w:r w:rsidRPr="00837ACE">
        <w:rPr>
          <w:rStyle w:val="FootnoteReference"/>
          <w:sz w:val="20"/>
          <w:szCs w:val="20"/>
        </w:rPr>
        <w:footnoteRef/>
      </w:r>
      <w:r w:rsidRPr="00837ACE">
        <w:rPr>
          <w:sz w:val="20"/>
          <w:szCs w:val="20"/>
        </w:rPr>
        <w:t xml:space="preserve"> Salvation Army  “Kei a Tatou – It Is US: State of the Nation 2018” </w:t>
      </w:r>
      <w:hyperlink r:id="rId6" w:history="1">
        <w:r w:rsidRPr="00837ACE">
          <w:rPr>
            <w:rStyle w:val="Hyperlink"/>
            <w:sz w:val="20"/>
            <w:szCs w:val="20"/>
          </w:rPr>
          <w:t>www.salvationarmy.org.nz/research-media/social-policiy-and-parliamentary-unit/latest-report</w:t>
        </w:r>
      </w:hyperlink>
      <w:r w:rsidRPr="00837ACE">
        <w:rPr>
          <w:sz w:val="20"/>
          <w:szCs w:val="20"/>
        </w:rPr>
        <w:t xml:space="preserve"> </w:t>
      </w:r>
    </w:p>
  </w:footnote>
  <w:footnote w:id="93">
    <w:p w14:paraId="17A5EF64" w14:textId="67A7FEE9" w:rsidR="00DA2390" w:rsidRPr="00000C93" w:rsidRDefault="00DA2390" w:rsidP="00A43993">
      <w:pPr>
        <w:pStyle w:val="FootnoteText"/>
        <w:rPr>
          <w:lang w:val="en-NZ"/>
        </w:rPr>
      </w:pPr>
      <w:r w:rsidRPr="00837ACE">
        <w:rPr>
          <w:rStyle w:val="FootnoteReference"/>
          <w:sz w:val="20"/>
          <w:szCs w:val="20"/>
        </w:rPr>
        <w:footnoteRef/>
      </w:r>
      <w:r w:rsidRPr="00837ACE">
        <w:rPr>
          <w:rFonts w:cs="Times New Roman"/>
          <w:bCs/>
          <w:iCs/>
          <w:sz w:val="20"/>
          <w:szCs w:val="20"/>
          <w:lang w:val="en-US"/>
        </w:rPr>
        <w:t>Building Act 2004 (which repealed the Building Act 1991); Building Amendment Act 2009; Housing Improvements Regulations 1947 (under the Health Act 1956); Housing Restructuring and Tenancy Matters Act 1992; Residential Tenancies Act 1986; Residential Tenancies Amendment Act</w:t>
      </w:r>
      <w:r w:rsidRPr="00000C93">
        <w:rPr>
          <w:rFonts w:cs="Times New Roman"/>
          <w:bCs/>
          <w:iCs/>
          <w:sz w:val="22"/>
          <w:szCs w:val="22"/>
          <w:lang w:val="en-US"/>
        </w:rPr>
        <w:t xml:space="preserve"> 2010</w:t>
      </w:r>
      <w:r w:rsidRPr="00837ACE">
        <w:rPr>
          <w:rFonts w:cs="Times New Roman"/>
          <w:bCs/>
          <w:iCs/>
          <w:sz w:val="20"/>
          <w:szCs w:val="22"/>
          <w:lang w:val="en-US"/>
        </w:rPr>
        <w:t>; Residential Tenancies Amendment Act 2016; Local Government Act 1974 (where still in force); Local Government Act 2002; Resource Management Act 1991 (covers the zoning of residential areas and also the environmental impact of housing); Resource Management (Simplifying and Streamlining) Amendment Act 2009; Fire Service Act 1975; Watertight Homes Resolution Services Act 2</w:t>
      </w:r>
      <w:r w:rsidRPr="00837ACE">
        <w:rPr>
          <w:rFonts w:cs="Times New Roman"/>
          <w:sz w:val="20"/>
          <w:szCs w:val="22"/>
          <w:lang w:val="en-US"/>
        </w:rPr>
        <w:t>006.</w:t>
      </w:r>
    </w:p>
  </w:footnote>
  <w:footnote w:id="94">
    <w:p w14:paraId="74813CB8" w14:textId="6506C286" w:rsidR="00DA2390" w:rsidRDefault="00DA2390">
      <w:pPr>
        <w:pStyle w:val="FootnoteText"/>
      </w:pPr>
      <w:r w:rsidRPr="00837ACE">
        <w:rPr>
          <w:rStyle w:val="FootnoteReference"/>
          <w:sz w:val="20"/>
        </w:rPr>
        <w:footnoteRef/>
      </w:r>
      <w:r w:rsidRPr="00837ACE">
        <w:rPr>
          <w:sz w:val="20"/>
        </w:rPr>
        <w:t xml:space="preserve"> “A Stocktake of New Zealand’s Housing” February 2018 </w:t>
      </w:r>
    </w:p>
  </w:footnote>
  <w:footnote w:id="95">
    <w:p w14:paraId="60504E56" w14:textId="77777777" w:rsidR="00DA2390" w:rsidRPr="00837ACE" w:rsidRDefault="00DA2390" w:rsidP="00CB2594">
      <w:pPr>
        <w:pStyle w:val="NoSpacing"/>
        <w:jc w:val="both"/>
        <w:rPr>
          <w:rFonts w:cs="Times New Roman"/>
          <w:i/>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 xml:space="preserve">Human Rights Commission </w:t>
      </w:r>
      <w:r w:rsidRPr="00837ACE">
        <w:rPr>
          <w:rFonts w:cs="Times New Roman"/>
          <w:i/>
          <w:sz w:val="20"/>
          <w:szCs w:val="20"/>
          <w:lang w:val="en-US"/>
        </w:rPr>
        <w:t>Human Rights and Water</w:t>
      </w:r>
      <w:r w:rsidRPr="00837ACE">
        <w:rPr>
          <w:rFonts w:cs="Times New Roman"/>
          <w:sz w:val="20"/>
          <w:szCs w:val="20"/>
          <w:lang w:val="en-US"/>
        </w:rPr>
        <w:t xml:space="preserve"> (Human Rights Commission, Auckland, 2012) at 6.</w:t>
      </w:r>
    </w:p>
  </w:footnote>
  <w:footnote w:id="96">
    <w:p w14:paraId="03DA3477" w14:textId="77777777" w:rsidR="00DA2390" w:rsidRPr="00323CAE" w:rsidRDefault="00DA2390" w:rsidP="00CB2594">
      <w:pPr>
        <w:pStyle w:val="NoSpacing"/>
        <w:jc w:val="both"/>
        <w:rPr>
          <w:rFonts w:ascii="Arial" w:hAnsi="Arial" w:cs="Arial"/>
          <w:sz w:val="20"/>
          <w:szCs w:val="20"/>
          <w:lang w:val="en-US"/>
        </w:rPr>
      </w:pPr>
      <w:r w:rsidRPr="00837ACE">
        <w:rPr>
          <w:rStyle w:val="FootnoteReference"/>
          <w:rFonts w:cs="Times New Roman"/>
          <w:sz w:val="20"/>
          <w:szCs w:val="20"/>
        </w:rPr>
        <w:footnoteRef/>
      </w:r>
      <w:r w:rsidRPr="00837ACE">
        <w:rPr>
          <w:rFonts w:cs="Times New Roman"/>
          <w:sz w:val="20"/>
          <w:szCs w:val="20"/>
        </w:rPr>
        <w:t xml:space="preserve"> LGA, s 136(2); see also </w:t>
      </w:r>
      <w:r w:rsidRPr="00837ACE">
        <w:rPr>
          <w:rFonts w:cs="Times New Roman"/>
          <w:sz w:val="20"/>
          <w:szCs w:val="20"/>
          <w:lang w:val="en-US"/>
        </w:rPr>
        <w:t>Local Government (Auckland Council) Act 2009 pt 5 (additional provisions in relation to Auckland council controlled water organization).</w:t>
      </w:r>
    </w:p>
  </w:footnote>
  <w:footnote w:id="97">
    <w:p w14:paraId="651B74B9" w14:textId="77777777" w:rsidR="00DA2390" w:rsidRPr="00837ACE" w:rsidRDefault="00DA2390" w:rsidP="00CB2594">
      <w:pPr>
        <w:pStyle w:val="NoSpacing"/>
        <w:jc w:val="both"/>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
          <w:sz w:val="20"/>
          <w:szCs w:val="20"/>
          <w:lang w:val="en-US"/>
        </w:rPr>
        <w:t>Annual Review of Drinking-Water Quality in New Zealand 2009-2010</w:t>
      </w:r>
      <w:r w:rsidRPr="00837ACE">
        <w:rPr>
          <w:rFonts w:cs="Times New Roman"/>
          <w:sz w:val="20"/>
          <w:szCs w:val="20"/>
          <w:lang w:val="en-US"/>
        </w:rPr>
        <w:t xml:space="preserve"> (Ministry of Health, Wellington, 2011) reported in </w:t>
      </w:r>
      <w:r w:rsidRPr="00837ACE">
        <w:rPr>
          <w:rFonts w:cs="Times New Roman"/>
          <w:i/>
          <w:sz w:val="20"/>
          <w:szCs w:val="20"/>
          <w:lang w:val="en-US"/>
        </w:rPr>
        <w:t>Human Rights and Water</w:t>
      </w:r>
      <w:r w:rsidRPr="00837ACE">
        <w:rPr>
          <w:rFonts w:cs="Times New Roman"/>
          <w:sz w:val="20"/>
          <w:szCs w:val="20"/>
          <w:lang w:val="en-US"/>
        </w:rPr>
        <w:t xml:space="preserve"> (Human Rights Commission, Auckland, 2012) at 15.</w:t>
      </w:r>
    </w:p>
  </w:footnote>
  <w:footnote w:id="98">
    <w:p w14:paraId="6959BF96" w14:textId="77777777" w:rsidR="00DA2390" w:rsidRPr="00323CAE" w:rsidRDefault="00DA2390" w:rsidP="00CB2594">
      <w:pPr>
        <w:pStyle w:val="NoSpacing"/>
        <w:jc w:val="both"/>
        <w:rPr>
          <w:rFonts w:ascii="Arial" w:hAnsi="Arial" w:cs="Arial"/>
          <w:sz w:val="20"/>
          <w:szCs w:val="20"/>
        </w:rPr>
      </w:pPr>
      <w:r w:rsidRPr="00837ACE">
        <w:rPr>
          <w:rStyle w:val="FootnoteReference"/>
          <w:rFonts w:cs="Times New Roman"/>
          <w:sz w:val="20"/>
          <w:szCs w:val="20"/>
        </w:rPr>
        <w:footnoteRef/>
      </w:r>
      <w:r w:rsidRPr="00837ACE">
        <w:rPr>
          <w:rFonts w:cs="Times New Roman"/>
          <w:sz w:val="20"/>
          <w:szCs w:val="20"/>
        </w:rPr>
        <w:t xml:space="preserve"> Human Rights and Water, above n 49, at p 10; </w:t>
      </w:r>
      <w:r w:rsidRPr="00837ACE">
        <w:rPr>
          <w:rFonts w:cs="Times New Roman"/>
          <w:i/>
          <w:sz w:val="20"/>
          <w:szCs w:val="20"/>
          <w:lang w:val="en-US"/>
        </w:rPr>
        <w:t>Managing freshwater quality: Challenges for regional councils</w:t>
      </w:r>
      <w:r w:rsidRPr="00837ACE">
        <w:rPr>
          <w:rFonts w:cs="Times New Roman"/>
          <w:sz w:val="20"/>
          <w:szCs w:val="20"/>
          <w:lang w:val="en-US"/>
        </w:rPr>
        <w:t xml:space="preserve">, (Office of the Auditor-General, Wellington, September 2011); The New Zealand Institute, </w:t>
      </w:r>
      <w:r w:rsidRPr="00837ACE">
        <w:rPr>
          <w:rFonts w:cs="Times New Roman"/>
          <w:i/>
          <w:sz w:val="20"/>
          <w:szCs w:val="20"/>
          <w:lang w:val="en-US"/>
        </w:rPr>
        <w:t>NZahead</w:t>
      </w:r>
      <w:r w:rsidRPr="00837ACE">
        <w:rPr>
          <w:rFonts w:cs="Times New Roman"/>
          <w:sz w:val="20"/>
          <w:szCs w:val="20"/>
          <w:lang w:val="en-US"/>
        </w:rPr>
        <w:t xml:space="preserve"> (New Zealand Institute, Wellington, 2011) at 84-85; and reports by the Parliamentary Commissioner for the Environment: </w:t>
      </w:r>
      <w:r w:rsidRPr="00837ACE">
        <w:rPr>
          <w:rFonts w:cs="Times New Roman"/>
          <w:i/>
          <w:sz w:val="20"/>
          <w:szCs w:val="20"/>
          <w:lang w:val="en-US"/>
        </w:rPr>
        <w:t>Water Quality in New Zealand: Land use and nutrient pollution</w:t>
      </w:r>
      <w:r w:rsidRPr="00837ACE">
        <w:rPr>
          <w:rFonts w:cs="Times New Roman"/>
          <w:sz w:val="20"/>
          <w:szCs w:val="20"/>
          <w:lang w:val="en-US"/>
        </w:rPr>
        <w:t xml:space="preserve"> (November 2013); </w:t>
      </w:r>
      <w:r w:rsidRPr="00837ACE">
        <w:rPr>
          <w:rFonts w:cs="Times New Roman"/>
          <w:i/>
          <w:sz w:val="20"/>
          <w:szCs w:val="20"/>
          <w:lang w:val="en-US"/>
        </w:rPr>
        <w:t>PCE Freshwater reforms submission</w:t>
      </w:r>
      <w:r w:rsidRPr="00837ACE">
        <w:rPr>
          <w:rFonts w:cs="Times New Roman"/>
          <w:sz w:val="20"/>
          <w:szCs w:val="20"/>
          <w:lang w:val="en-US"/>
        </w:rPr>
        <w:t xml:space="preserve"> (April, 2013); </w:t>
      </w:r>
      <w:r w:rsidRPr="00837ACE">
        <w:rPr>
          <w:rFonts w:cs="Times New Roman"/>
          <w:i/>
          <w:sz w:val="20"/>
          <w:szCs w:val="20"/>
          <w:lang w:val="en-US"/>
        </w:rPr>
        <w:t>Water Quality in New Zealand: Understanding the science</w:t>
      </w:r>
      <w:r w:rsidRPr="00837ACE">
        <w:rPr>
          <w:rFonts w:cs="Times New Roman"/>
          <w:sz w:val="20"/>
          <w:szCs w:val="20"/>
          <w:lang w:val="en-US"/>
        </w:rPr>
        <w:t xml:space="preserve"> (March, 2012). The greatest polluter of waterways is the dairy industry.  The industry has agreed to a voluntary code of conduct - </w:t>
      </w:r>
      <w:r w:rsidRPr="00837ACE">
        <w:rPr>
          <w:rFonts w:cs="Times New Roman"/>
          <w:i/>
          <w:sz w:val="20"/>
          <w:szCs w:val="20"/>
          <w:lang w:val="en-US"/>
        </w:rPr>
        <w:t>Sustainable Dairying: Water Accord</w:t>
      </w:r>
      <w:r w:rsidRPr="00837ACE">
        <w:rPr>
          <w:rFonts w:cs="Times New Roman"/>
          <w:sz w:val="20"/>
          <w:szCs w:val="20"/>
          <w:lang w:val="en-US"/>
        </w:rPr>
        <w:t xml:space="preserve"> (July 2013) &lt;http://www.dairynz.co.nz/publications/dairy-industry/sustainable-dairying-water-accord/&gt; - although this code has been criticized for ineffectiveness by environmental NGOs (for example see: Forest and Bird, “New dairy farmers’ accord misses key lessons” (20 February 2013)  &lt;http://www.forestandbird.org.nz/what-we-do/publications/media-release/new-dairy-farmers%E2%80%99-accord-misses-key-lesson &gt;).</w:t>
      </w:r>
    </w:p>
  </w:footnote>
  <w:footnote w:id="99">
    <w:p w14:paraId="3317CA4A" w14:textId="77777777" w:rsidR="00DA2390" w:rsidRPr="00837ACE" w:rsidRDefault="00DA2390" w:rsidP="00CB2594">
      <w:pPr>
        <w:pStyle w:val="NoSpacing"/>
        <w:jc w:val="both"/>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RMA, s 14(3)(b).</w:t>
      </w:r>
    </w:p>
  </w:footnote>
  <w:footnote w:id="100">
    <w:p w14:paraId="32B848D5" w14:textId="77777777" w:rsidR="00DA2390" w:rsidRPr="00837ACE" w:rsidRDefault="00DA2390" w:rsidP="00CB2594">
      <w:pPr>
        <w:pStyle w:val="NoSpacing"/>
        <w:jc w:val="both"/>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 xml:space="preserve">RMA, s </w:t>
      </w:r>
      <w:r w:rsidRPr="00837ACE">
        <w:rPr>
          <w:rFonts w:cs="Times New Roman"/>
          <w:sz w:val="20"/>
          <w:szCs w:val="20"/>
        </w:rPr>
        <w:t>14(3)(c)</w:t>
      </w:r>
    </w:p>
  </w:footnote>
  <w:footnote w:id="101">
    <w:p w14:paraId="62CEE5F3" w14:textId="77777777" w:rsidR="00DA2390" w:rsidRPr="00837ACE" w:rsidRDefault="00DA2390" w:rsidP="00CB2594">
      <w:pPr>
        <w:pStyle w:val="NoSpacing"/>
        <w:jc w:val="both"/>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 xml:space="preserve">RMA, </w:t>
      </w:r>
      <w:r w:rsidRPr="00837ACE">
        <w:rPr>
          <w:rFonts w:cs="Times New Roman"/>
          <w:sz w:val="20"/>
          <w:szCs w:val="20"/>
        </w:rPr>
        <w:t>s 14(3)(d).</w:t>
      </w:r>
    </w:p>
  </w:footnote>
  <w:footnote w:id="102">
    <w:p w14:paraId="36587B90" w14:textId="77777777" w:rsidR="00DA2390" w:rsidRPr="00837ACE" w:rsidRDefault="00DA2390" w:rsidP="00CB2594">
      <w:pPr>
        <w:pStyle w:val="NoSpacing"/>
        <w:jc w:val="both"/>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RMA, s 14(3)(b) –(d)</w:t>
      </w:r>
    </w:p>
  </w:footnote>
  <w:footnote w:id="103">
    <w:p w14:paraId="7B890672" w14:textId="77777777" w:rsidR="00DA2390" w:rsidRPr="00837ACE" w:rsidRDefault="00DA2390" w:rsidP="00CB2594">
      <w:pPr>
        <w:pStyle w:val="NoSpacing"/>
        <w:jc w:val="both"/>
        <w:rPr>
          <w:rFonts w:cs="Times New Roman"/>
          <w:sz w:val="20"/>
          <w:szCs w:val="20"/>
          <w:lang w:val="en-US"/>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 xml:space="preserve">Human Rights Commission </w:t>
      </w:r>
      <w:r w:rsidRPr="00837ACE">
        <w:rPr>
          <w:rFonts w:cs="Times New Roman"/>
          <w:i/>
          <w:sz w:val="20"/>
          <w:szCs w:val="20"/>
          <w:lang w:val="en-US"/>
        </w:rPr>
        <w:t>Human Rights and Water</w:t>
      </w:r>
      <w:r w:rsidRPr="00837ACE">
        <w:rPr>
          <w:rFonts w:cs="Times New Roman"/>
          <w:sz w:val="20"/>
          <w:szCs w:val="20"/>
          <w:lang w:val="en-US"/>
        </w:rPr>
        <w:t xml:space="preserve"> (Human Rights Commission, Auckland, 2012) at p 10.</w:t>
      </w:r>
    </w:p>
  </w:footnote>
  <w:footnote w:id="104">
    <w:p w14:paraId="52C93A06" w14:textId="77777777" w:rsidR="00DA2390" w:rsidRPr="00837ACE" w:rsidRDefault="00DA2390" w:rsidP="00CB2594">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US"/>
        </w:rPr>
        <w:t xml:space="preserve">See, in particular, comments by the Court of Appeal in </w:t>
      </w:r>
      <w:r w:rsidRPr="00837ACE">
        <w:rPr>
          <w:rFonts w:cs="Times New Roman"/>
          <w:i/>
          <w:sz w:val="20"/>
          <w:szCs w:val="20"/>
        </w:rPr>
        <w:t xml:space="preserve">Central Plains Water Trust v Ngai Tahu Properties Ltd </w:t>
      </w:r>
      <w:r w:rsidRPr="00837ACE">
        <w:rPr>
          <w:rFonts w:cs="Times New Roman"/>
          <w:sz w:val="20"/>
          <w:szCs w:val="20"/>
        </w:rPr>
        <w:t xml:space="preserve">[2008] NZRMA 200; </w:t>
      </w:r>
      <w:r w:rsidRPr="00837ACE">
        <w:rPr>
          <w:rFonts w:cs="Times New Roman"/>
          <w:i/>
          <w:sz w:val="20"/>
          <w:szCs w:val="20"/>
        </w:rPr>
        <w:t>Central Plains Water Trust v Synlait Ltd</w:t>
      </w:r>
      <w:r w:rsidRPr="00837ACE">
        <w:rPr>
          <w:rFonts w:cs="Times New Roman"/>
          <w:sz w:val="20"/>
          <w:szCs w:val="20"/>
        </w:rPr>
        <w:t xml:space="preserve"> [2009] NZCA 609; [2010] 2 NZLR 363. See also Land and Water Forum Reports recommending alternate strategies for managing water: </w:t>
      </w:r>
      <w:r w:rsidRPr="00837ACE">
        <w:rPr>
          <w:rFonts w:cs="Times New Roman"/>
          <w:i/>
          <w:sz w:val="20"/>
          <w:szCs w:val="20"/>
        </w:rPr>
        <w:t xml:space="preserve">Report of the Land and Water Forum: A Fresh Start for Freshwater </w:t>
      </w:r>
      <w:r w:rsidRPr="00837ACE">
        <w:rPr>
          <w:rFonts w:cs="Times New Roman"/>
          <w:sz w:val="20"/>
          <w:szCs w:val="20"/>
        </w:rPr>
        <w:t xml:space="preserve">(2010); </w:t>
      </w:r>
      <w:r w:rsidRPr="00837ACE">
        <w:rPr>
          <w:rFonts w:cs="Times New Roman"/>
          <w:i/>
          <w:sz w:val="20"/>
          <w:szCs w:val="20"/>
        </w:rPr>
        <w:t xml:space="preserve">Second Report of the Land and Water Forum: Setting Limits for Water Quality and Quantity Freshwater Policy and Plan Making through Collaboration </w:t>
      </w:r>
      <w:r w:rsidRPr="00837ACE">
        <w:rPr>
          <w:rFonts w:cs="Times New Roman"/>
          <w:sz w:val="20"/>
          <w:szCs w:val="20"/>
        </w:rPr>
        <w:t xml:space="preserve">(April 2012); </w:t>
      </w:r>
      <w:r w:rsidRPr="00837ACE">
        <w:rPr>
          <w:rFonts w:cs="Times New Roman"/>
          <w:i/>
          <w:sz w:val="20"/>
          <w:szCs w:val="20"/>
        </w:rPr>
        <w:t>Third Report of the Land and Water Forum</w:t>
      </w:r>
      <w:r w:rsidRPr="00837ACE">
        <w:rPr>
          <w:rFonts w:cs="Times New Roman"/>
          <w:sz w:val="20"/>
          <w:szCs w:val="20"/>
        </w:rPr>
        <w:t xml:space="preserve"> (November 2012).  Further, see Ministry for the Environment, </w:t>
      </w:r>
      <w:r w:rsidRPr="00837ACE">
        <w:rPr>
          <w:rFonts w:cs="Times New Roman"/>
          <w:i/>
          <w:sz w:val="20"/>
          <w:szCs w:val="20"/>
        </w:rPr>
        <w:t xml:space="preserve">Freshwater reform 2013 and beyond </w:t>
      </w:r>
      <w:r w:rsidRPr="00837ACE">
        <w:rPr>
          <w:rFonts w:cs="Times New Roman"/>
          <w:sz w:val="20"/>
          <w:szCs w:val="20"/>
        </w:rPr>
        <w:t>(Ministry for the Environment, Wellington, 2013).</w:t>
      </w:r>
    </w:p>
  </w:footnote>
  <w:footnote w:id="105">
    <w:p w14:paraId="0CC3E6B4" w14:textId="77777777" w:rsidR="00DA2390" w:rsidRPr="00837ACE" w:rsidRDefault="00DA2390" w:rsidP="00CB2594">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Mandate of the Independent Expert on the issue of human rights obligations related to access to safe drinking water and sanitation, </w:t>
      </w:r>
      <w:r w:rsidRPr="00837ACE">
        <w:rPr>
          <w:rFonts w:cs="Times New Roman"/>
          <w:i/>
          <w:sz w:val="20"/>
          <w:szCs w:val="20"/>
        </w:rPr>
        <w:t>“</w:t>
      </w:r>
      <w:r w:rsidRPr="00837ACE">
        <w:rPr>
          <w:rStyle w:val="Emphasis"/>
          <w:rFonts w:cs="Times New Roman"/>
          <w:sz w:val="20"/>
          <w:szCs w:val="20"/>
        </w:rPr>
        <w:t>Climate Change and the Human Rights to Water and Sanitation”</w:t>
      </w:r>
      <w:r w:rsidRPr="00837ACE">
        <w:rPr>
          <w:rFonts w:cs="Times New Roman"/>
          <w:sz w:val="20"/>
          <w:szCs w:val="20"/>
        </w:rPr>
        <w:t xml:space="preserve"> United Nations Position Paper (2010), related to access to safe drinking water and sanitation.</w:t>
      </w:r>
    </w:p>
  </w:footnote>
  <w:footnote w:id="106">
    <w:p w14:paraId="527637CB" w14:textId="77777777" w:rsidR="00DA2390" w:rsidRPr="00837ACE" w:rsidRDefault="00DA2390" w:rsidP="00837ACE">
      <w:pPr>
        <w:tabs>
          <w:tab w:val="left" w:pos="220"/>
          <w:tab w:val="left" w:pos="720"/>
        </w:tabs>
        <w:autoSpaceDE w:val="0"/>
        <w:autoSpaceDN w:val="0"/>
        <w:adjustRightInd w:val="0"/>
        <w:spacing w:after="240"/>
        <w:rPr>
          <w:rFonts w:cs="Times New Roman"/>
          <w:color w:val="000000"/>
          <w:sz w:val="20"/>
          <w:szCs w:val="20"/>
        </w:rPr>
      </w:pPr>
      <w:r w:rsidRPr="00837ACE">
        <w:rPr>
          <w:rStyle w:val="FootnoteReference"/>
          <w:rFonts w:cs="Times New Roman"/>
          <w:sz w:val="20"/>
          <w:szCs w:val="20"/>
        </w:rPr>
        <w:footnoteRef/>
      </w:r>
      <w:r w:rsidRPr="00837ACE">
        <w:rPr>
          <w:rFonts w:cs="Times New Roman"/>
          <w:sz w:val="20"/>
          <w:szCs w:val="20"/>
        </w:rPr>
        <w:t xml:space="preserve"> Land and Water Forum </w:t>
      </w:r>
      <w:r w:rsidRPr="00837ACE">
        <w:rPr>
          <w:rFonts w:cs="Times New Roman"/>
          <w:i/>
          <w:sz w:val="20"/>
          <w:szCs w:val="20"/>
        </w:rPr>
        <w:t>Better Freshwater Management (</w:t>
      </w:r>
      <w:r w:rsidRPr="00837ACE">
        <w:rPr>
          <w:rFonts w:cs="Times New Roman"/>
          <w:sz w:val="20"/>
          <w:szCs w:val="20"/>
        </w:rPr>
        <w:t xml:space="preserve">Wellington, 2017); </w:t>
      </w:r>
      <w:r w:rsidRPr="00837ACE">
        <w:rPr>
          <w:rFonts w:cs="Times New Roman"/>
          <w:sz w:val="20"/>
          <w:szCs w:val="20"/>
        </w:rPr>
        <w:fldChar w:fldCharType="begin"/>
      </w:r>
      <w:r w:rsidRPr="00837ACE">
        <w:rPr>
          <w:rFonts w:cs="Times New Roman"/>
          <w:sz w:val="20"/>
          <w:szCs w:val="20"/>
        </w:rPr>
        <w:instrText xml:space="preserve"> ADDIN EN.CITE &lt;EndNote&gt;&lt;Cite&gt;&lt;Author&gt;Forum&lt;/Author&gt;&lt;Year&gt;2017&lt;/Year&gt;&lt;RecNum&gt;604&lt;/RecNum&gt;&lt;DisplayText&gt;Land and Water Forum, &lt;style face="italic"&gt;Land and Water Forum Commentary on the Ministry for the Environment’s ‘National Policy Statement for Freshwater Management Implementation Review’&lt;/style&gt; (Wellington, New Zealand, 2017)&lt;/DisplayText&gt;&lt;record&gt;&lt;rec-number&gt;604&lt;/rec-number&gt;&lt;foreign-keys&gt;&lt;key app="EN" db-id="frsz5ptxbxa5ddea2aex0p99t0sssdvfz55z" timestamp="1518727240"&gt;604&lt;/key&gt;&lt;/foreign-keys&gt;&lt;ref-type name="Report; Command Paper"&gt;27&lt;/ref-type&gt;&lt;contributors&gt;&lt;authors&gt;&lt;author&gt;Land and Water Forum&lt;/author&gt;&lt;/authors&gt;&lt;/contributors&gt;&lt;titles&gt;&lt;title&gt;Land and Water Forum Commentary on the Ministry for the Environment’s ‘National Policy Statement for Freshwater Management Implementation Review’&lt;/title&gt;&lt;secondary-title&gt;Wellington, New Zealand&lt;/secondary-title&gt;&lt;/titles&gt;&lt;dates&gt;&lt;year&gt;2017&lt;/year&gt;&lt;/dates&gt;&lt;urls&gt;&lt;/urls&gt;&lt;/record&gt;&lt;/Cite&gt;&lt;/EndNote&gt;</w:instrText>
      </w:r>
      <w:r w:rsidRPr="00837ACE">
        <w:rPr>
          <w:rFonts w:cs="Times New Roman"/>
          <w:sz w:val="20"/>
          <w:szCs w:val="20"/>
        </w:rPr>
        <w:fldChar w:fldCharType="separate"/>
      </w:r>
      <w:r w:rsidRPr="00837ACE">
        <w:rPr>
          <w:rFonts w:cs="Times New Roman"/>
          <w:noProof/>
          <w:sz w:val="20"/>
          <w:szCs w:val="20"/>
        </w:rPr>
        <w:t xml:space="preserve">Land and Water Forum, </w:t>
      </w:r>
      <w:r w:rsidRPr="00837ACE">
        <w:rPr>
          <w:rFonts w:cs="Times New Roman"/>
          <w:i/>
          <w:noProof/>
          <w:sz w:val="20"/>
          <w:szCs w:val="20"/>
        </w:rPr>
        <w:t>Land and Water Forum Commentary on the Ministry for the Environment’s ‘National Policy Statement for Freshwater Management Implementation Review’</w:t>
      </w:r>
      <w:r w:rsidRPr="00837ACE">
        <w:rPr>
          <w:rFonts w:cs="Times New Roman"/>
          <w:noProof/>
          <w:sz w:val="20"/>
          <w:szCs w:val="20"/>
        </w:rPr>
        <w:t xml:space="preserve"> (Wellington, 2017)</w:t>
      </w:r>
      <w:r w:rsidRPr="00837ACE">
        <w:rPr>
          <w:rFonts w:cs="Times New Roman"/>
          <w:sz w:val="20"/>
          <w:szCs w:val="20"/>
        </w:rPr>
        <w:fldChar w:fldCharType="end"/>
      </w:r>
      <w:r w:rsidRPr="00837ACE">
        <w:rPr>
          <w:rFonts w:cs="Times New Roman"/>
          <w:sz w:val="20"/>
          <w:szCs w:val="20"/>
        </w:rPr>
        <w:t xml:space="preserve">; Ministry for the Environment </w:t>
      </w:r>
      <w:r w:rsidRPr="00837ACE">
        <w:rPr>
          <w:rFonts w:cs="Times New Roman"/>
          <w:i/>
          <w:sz w:val="20"/>
          <w:szCs w:val="20"/>
        </w:rPr>
        <w:t>National Policy Statement for Freshwater Management Implementation Review: National Themes Report</w:t>
      </w:r>
      <w:r w:rsidRPr="00837ACE">
        <w:rPr>
          <w:rFonts w:cs="Times New Roman"/>
          <w:sz w:val="20"/>
          <w:szCs w:val="20"/>
        </w:rPr>
        <w:t xml:space="preserve"> (ME3122) (Wellington, 2017); see also </w:t>
      </w:r>
      <w:r w:rsidRPr="00837ACE">
        <w:rPr>
          <w:rFonts w:cs="Times New Roman"/>
          <w:i/>
          <w:iCs/>
          <w:color w:val="0F0F0F"/>
          <w:sz w:val="20"/>
          <w:szCs w:val="20"/>
        </w:rPr>
        <w:t xml:space="preserve">Ngāti Kahungunu Iwi Inc v Hawke’s Bay Regional Council </w:t>
      </w:r>
      <w:r w:rsidRPr="00837ACE">
        <w:rPr>
          <w:rFonts w:cs="Times New Roman"/>
          <w:color w:val="0F0F0F"/>
          <w:sz w:val="20"/>
          <w:szCs w:val="20"/>
        </w:rPr>
        <w:t xml:space="preserve">[2015] NZEnvC 50 </w:t>
      </w:r>
      <w:r w:rsidRPr="00837ACE">
        <w:rPr>
          <w:rFonts w:cs="Times New Roman"/>
          <w:sz w:val="20"/>
          <w:szCs w:val="20"/>
        </w:rPr>
        <w:t>(New Zealand Environment Court highlights concerns about offsetting and Freshwater Management Units)</w:t>
      </w:r>
    </w:p>
  </w:footnote>
  <w:footnote w:id="107">
    <w:p w14:paraId="7679B5A9" w14:textId="673B0336" w:rsidR="00DA2390" w:rsidRPr="00837ACE" w:rsidRDefault="00DA2390" w:rsidP="00837ACE">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rPr>
        <w:fldChar w:fldCharType="begin"/>
      </w:r>
      <w:r w:rsidRPr="00837ACE">
        <w:rPr>
          <w:rFonts w:cs="Times New Roman"/>
          <w:sz w:val="20"/>
          <w:szCs w:val="20"/>
        </w:rPr>
        <w:instrText xml:space="preserve"> ADDIN EN.CITE &lt;EndNote&gt;&lt;Cite&gt;&lt;Author&gt;Forum&lt;/Author&gt;&lt;Year&gt;2017&lt;/Year&gt;&lt;RecNum&gt;604&lt;/RecNum&gt;&lt;DisplayText&gt;Land and Water Forum, &lt;style face="italic"&gt;Land and Water Forum Commentary on the Ministry for the Environment’s ‘National Policy Statement for Freshwater Management Implementation Review’&lt;/style&gt; (Wellington, New Zealand, 2017)&lt;/DisplayText&gt;&lt;record&gt;&lt;rec-number&gt;604&lt;/rec-number&gt;&lt;foreign-keys&gt;&lt;key app="EN" db-id="frsz5ptxbxa5ddea2aex0p99t0sssdvfz55z" timestamp="1518727240"&gt;604&lt;/key&gt;&lt;/foreign-keys&gt;&lt;ref-type name="Report; Command Paper"&gt;27&lt;/ref-type&gt;&lt;contributors&gt;&lt;authors&gt;&lt;author&gt;Land and Water Forum&lt;/author&gt;&lt;/authors&gt;&lt;/contributors&gt;&lt;titles&gt;&lt;title&gt;Land and Water Forum Commentary on the Ministry for the Environment’s ‘National Policy Statement for Freshwater Management Implementation Review’&lt;/title&gt;&lt;secondary-title&gt;Wellington, New Zealand&lt;/secondary-title&gt;&lt;/titles&gt;&lt;dates&gt;&lt;year&gt;2017&lt;/year&gt;&lt;/dates&gt;&lt;urls&gt;&lt;/urls&gt;&lt;/record&gt;&lt;/Cite&gt;&lt;/EndNote&gt;</w:instrText>
      </w:r>
      <w:r w:rsidRPr="00837ACE">
        <w:rPr>
          <w:rFonts w:cs="Times New Roman"/>
          <w:sz w:val="20"/>
          <w:szCs w:val="20"/>
        </w:rPr>
        <w:fldChar w:fldCharType="separate"/>
      </w:r>
      <w:r w:rsidRPr="00837ACE">
        <w:rPr>
          <w:rFonts w:cs="Times New Roman"/>
          <w:noProof/>
          <w:sz w:val="20"/>
          <w:szCs w:val="20"/>
        </w:rPr>
        <w:t xml:space="preserve">Land and Water Forum, </w:t>
      </w:r>
      <w:r w:rsidRPr="00837ACE">
        <w:rPr>
          <w:rFonts w:cs="Times New Roman"/>
          <w:i/>
          <w:noProof/>
          <w:sz w:val="20"/>
          <w:szCs w:val="20"/>
        </w:rPr>
        <w:t>Land and Water Forum Commentary on the Ministry for the Environment’s ‘National Policy Statement for Freshwater Management Implementation Review’</w:t>
      </w:r>
      <w:r w:rsidRPr="00837ACE">
        <w:rPr>
          <w:rFonts w:cs="Times New Roman"/>
          <w:noProof/>
          <w:sz w:val="20"/>
          <w:szCs w:val="20"/>
        </w:rPr>
        <w:t xml:space="preserve"> (Wellington, 2017)</w:t>
      </w:r>
      <w:r w:rsidRPr="00837ACE">
        <w:rPr>
          <w:rFonts w:cs="Times New Roman"/>
          <w:sz w:val="20"/>
          <w:szCs w:val="20"/>
        </w:rPr>
        <w:fldChar w:fldCharType="end"/>
      </w:r>
    </w:p>
  </w:footnote>
  <w:footnote w:id="108">
    <w:p w14:paraId="363AF9A0" w14:textId="77777777" w:rsidR="00DA2390" w:rsidRPr="00837ACE" w:rsidRDefault="00DA2390" w:rsidP="00837ACE">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rPr>
        <w:fldChar w:fldCharType="begin"/>
      </w:r>
      <w:r w:rsidRPr="00837ACE">
        <w:rPr>
          <w:rFonts w:cs="Times New Roman"/>
          <w:sz w:val="20"/>
          <w:szCs w:val="20"/>
        </w:rPr>
        <w:instrText xml:space="preserve"> ADDIN EN.CITE &lt;EndNote&gt;&lt;Cite&gt;&lt;Author&gt;Forum&lt;/Author&gt;&lt;Year&gt;2017&lt;/Year&gt;&lt;RecNum&gt;604&lt;/RecNum&gt;&lt;DisplayText&gt;Ibid&lt;/DisplayText&gt;&lt;record&gt;&lt;rec-number&gt;604&lt;/rec-number&gt;&lt;foreign-keys&gt;&lt;key app="EN" db-id="frsz5ptxbxa5ddea2aex0p99t0sssdvfz55z" timestamp="1518727240"&gt;604&lt;/key&gt;&lt;/foreign-keys&gt;&lt;ref-type name="Report; Command Paper"&gt;27&lt;/ref-type&gt;&lt;contributors&gt;&lt;authors&gt;&lt;author&gt;Land and Water Forum&lt;/author&gt;&lt;/authors&gt;&lt;/contributors&gt;&lt;titles&gt;&lt;title&gt;Land and Water Forum Commentary on the Ministry for the Environment’s ‘National Policy Statement for Freshwater Management Implementation Review’&lt;/title&gt;&lt;secondary-title&gt;Wellington, New Zealand&lt;/secondary-title&gt;&lt;/titles&gt;&lt;dates&gt;&lt;year&gt;2017&lt;/year&gt;&lt;/dates&gt;&lt;urls&gt;&lt;/urls&gt;&lt;/record&gt;&lt;/Cite&gt;&lt;/EndNote&gt;</w:instrText>
      </w:r>
      <w:r w:rsidRPr="00837ACE">
        <w:rPr>
          <w:rFonts w:cs="Times New Roman"/>
          <w:sz w:val="20"/>
          <w:szCs w:val="20"/>
        </w:rPr>
        <w:fldChar w:fldCharType="separate"/>
      </w:r>
      <w:r w:rsidRPr="00837ACE">
        <w:rPr>
          <w:rFonts w:cs="Times New Roman"/>
          <w:noProof/>
          <w:sz w:val="20"/>
          <w:szCs w:val="20"/>
        </w:rPr>
        <w:t>Ibid</w:t>
      </w:r>
      <w:r w:rsidRPr="00837ACE">
        <w:rPr>
          <w:rFonts w:cs="Times New Roman"/>
          <w:sz w:val="20"/>
          <w:szCs w:val="20"/>
        </w:rPr>
        <w:fldChar w:fldCharType="end"/>
      </w:r>
    </w:p>
  </w:footnote>
  <w:footnote w:id="109">
    <w:p w14:paraId="65F0607A" w14:textId="77777777"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i/>
          <w:sz w:val="20"/>
          <w:szCs w:val="20"/>
        </w:rPr>
        <w:t xml:space="preserve">The United Nations Fact Sheet on “The Right to Water”, </w:t>
      </w:r>
      <w:r w:rsidRPr="00837ACE">
        <w:rPr>
          <w:rFonts w:cs="Times New Roman"/>
          <w:sz w:val="20"/>
          <w:szCs w:val="20"/>
        </w:rPr>
        <w:t xml:space="preserve">No.35, 1014-5567, (2010) at 23. </w:t>
      </w:r>
    </w:p>
  </w:footnote>
  <w:footnote w:id="110">
    <w:p w14:paraId="51B212DE" w14:textId="7DFCCAA0"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At 21</w:t>
      </w:r>
    </w:p>
  </w:footnote>
  <w:footnote w:id="111">
    <w:p w14:paraId="378AB3BA" w14:textId="65F66085"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Waikato-Ta</w:t>
      </w:r>
      <w:r>
        <w:rPr>
          <w:rFonts w:cs="Times New Roman"/>
          <w:sz w:val="20"/>
          <w:szCs w:val="20"/>
        </w:rPr>
        <w:t>i</w:t>
      </w:r>
      <w:r w:rsidRPr="00837ACE">
        <w:rPr>
          <w:rFonts w:cs="Times New Roman"/>
          <w:sz w:val="20"/>
          <w:szCs w:val="20"/>
        </w:rPr>
        <w:t>nui Raupatu Claims (Waikato River) Settlement Act 2010</w:t>
      </w:r>
    </w:p>
  </w:footnote>
  <w:footnote w:id="112">
    <w:p w14:paraId="5F1DC1AE" w14:textId="77777777"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“New Start for Freshwater” (3 February 2009) Office of the Minister of Environment and Office of the Minister of Agriculture &lt;www.mfe.govt.nz&gt;</w:t>
      </w:r>
    </w:p>
  </w:footnote>
  <w:footnote w:id="113">
    <w:p w14:paraId="139C2B9F" w14:textId="77777777"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Ruru J “The Legal Voice of </w:t>
      </w:r>
      <w:r w:rsidRPr="00837ACE">
        <w:rPr>
          <w:rFonts w:cs="Times New Roman"/>
          <w:color w:val="000000" w:themeColor="text1"/>
          <w:sz w:val="20"/>
          <w:szCs w:val="20"/>
          <w:lang w:val="en-NZ"/>
        </w:rPr>
        <w:t>Māori</w:t>
      </w:r>
      <w:r w:rsidRPr="00837ACE">
        <w:rPr>
          <w:rFonts w:cs="Times New Roman"/>
          <w:sz w:val="20"/>
          <w:szCs w:val="20"/>
        </w:rPr>
        <w:t xml:space="preserve"> in Freshwater Governance: A Literature Review” (2009) Land Care Research &lt;www.landcareresearch.co.nz&gt;</w:t>
      </w:r>
    </w:p>
  </w:footnote>
  <w:footnote w:id="114">
    <w:p w14:paraId="69422C74" w14:textId="37E1CD05"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Section 354. </w:t>
      </w:r>
    </w:p>
  </w:footnote>
  <w:footnote w:id="115">
    <w:p w14:paraId="2AB05919" w14:textId="77777777"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Ibid.</w:t>
      </w:r>
    </w:p>
  </w:footnote>
  <w:footnote w:id="116">
    <w:p w14:paraId="4A56F0B1" w14:textId="77777777" w:rsidR="00DA2390" w:rsidRPr="00837ACE" w:rsidRDefault="00DA2390" w:rsidP="00FA1645">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Dr Maria Bargh “Fresh Water Issues for </w:t>
      </w:r>
      <w:r w:rsidRPr="00837ACE">
        <w:rPr>
          <w:rFonts w:cs="Times New Roman"/>
          <w:color w:val="000000" w:themeColor="text1"/>
          <w:sz w:val="20"/>
          <w:szCs w:val="20"/>
          <w:lang w:val="en-NZ"/>
        </w:rPr>
        <w:t>Māori</w:t>
      </w:r>
      <w:r w:rsidRPr="00837ACE">
        <w:rPr>
          <w:rFonts w:cs="Times New Roman"/>
          <w:sz w:val="20"/>
          <w:szCs w:val="20"/>
        </w:rPr>
        <w:t xml:space="preserve">” (2006) New Zealand Political Science Conference Paper Presented at the University of Canterbury </w:t>
      </w:r>
    </w:p>
  </w:footnote>
  <w:footnote w:id="117">
    <w:p w14:paraId="0701429F" w14:textId="77777777" w:rsidR="00DA2390" w:rsidRPr="00837ACE" w:rsidRDefault="00DA2390" w:rsidP="001F3507">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Crown Minerals Act 1991, ss 101B-C; see also </w:t>
      </w:r>
      <w:r w:rsidRPr="00837ACE">
        <w:rPr>
          <w:rFonts w:cs="Times New Roman"/>
          <w:i/>
          <w:sz w:val="20"/>
          <w:szCs w:val="20"/>
        </w:rPr>
        <w:t>Teddy v Police</w:t>
      </w:r>
      <w:r w:rsidRPr="00837ACE">
        <w:rPr>
          <w:rFonts w:cs="Times New Roman"/>
          <w:sz w:val="20"/>
          <w:szCs w:val="20"/>
        </w:rPr>
        <w:t xml:space="preserve"> [2014] NZCA 422</w:t>
      </w:r>
    </w:p>
  </w:footnote>
  <w:footnote w:id="118">
    <w:p w14:paraId="21385563" w14:textId="3BC7CD3C" w:rsidR="00DA2390" w:rsidRPr="00837ACE" w:rsidRDefault="00DA2390" w:rsidP="005B6CC2">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Labour election manifesto</w:t>
      </w:r>
    </w:p>
  </w:footnote>
  <w:footnote w:id="119">
    <w:p w14:paraId="09307708" w14:textId="77777777" w:rsidR="00DA2390" w:rsidRPr="00837ACE" w:rsidRDefault="00DA2390" w:rsidP="005B6CC2">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https://www.beehive.govt.nz/release/national-standards-ended</w:t>
      </w:r>
    </w:p>
  </w:footnote>
  <w:footnote w:id="120">
    <w:p w14:paraId="23532CFF" w14:textId="77777777" w:rsidR="00DA2390" w:rsidRPr="00837ACE" w:rsidRDefault="00DA2390" w:rsidP="005B6CC2">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https://www.stuff.co.nz/national/education/101095932/schools-split-on-governments-plan-to-overhaul-donation-system</w:t>
      </w:r>
    </w:p>
  </w:footnote>
  <w:footnote w:id="121">
    <w:p w14:paraId="48F20A3A" w14:textId="77777777" w:rsidR="00DA2390" w:rsidRPr="00837ACE" w:rsidRDefault="00DA2390" w:rsidP="005B6CC2">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Labour Party manifesto</w:t>
      </w:r>
    </w:p>
  </w:footnote>
  <w:footnote w:id="122">
    <w:p w14:paraId="087F39E0" w14:textId="77777777" w:rsidR="00DA2390" w:rsidRPr="00837ACE" w:rsidRDefault="00DA2390" w:rsidP="005B6CC2">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https://www.beehive.govt.nz/release/twelve-young-people-selected-youth-advisory-group</w:t>
      </w:r>
    </w:p>
  </w:footnote>
  <w:footnote w:id="123">
    <w:p w14:paraId="1DCCB6D1" w14:textId="77777777" w:rsidR="00DA2390" w:rsidRPr="00837ACE" w:rsidRDefault="00DA2390" w:rsidP="00463E2B">
      <w:pPr>
        <w:pStyle w:val="NoSpacing"/>
        <w:jc w:val="both"/>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NZ Human Rights Commission “New Zealand Human Rights National Plan of Action 2015-2019” (30 June 2015) NZ Human Rights &lt;http://npa.hrc.co.nz/#/&gt;.</w:t>
      </w:r>
    </w:p>
  </w:footnote>
  <w:footnote w:id="124">
    <w:p w14:paraId="22A1E5AB" w14:textId="77777777" w:rsidR="00DB40C0" w:rsidRPr="00DB40C0" w:rsidRDefault="00DB40C0" w:rsidP="00DB40C0">
      <w:pPr>
        <w:pStyle w:val="FootnoteText"/>
        <w:rPr>
          <w:rFonts w:cs="Times New Roman"/>
          <w:sz w:val="20"/>
        </w:rPr>
      </w:pPr>
      <w:r w:rsidRPr="00DB40C0">
        <w:rPr>
          <w:rStyle w:val="FootnoteReference"/>
          <w:rFonts w:cs="Times New Roman"/>
          <w:sz w:val="20"/>
        </w:rPr>
        <w:footnoteRef/>
      </w:r>
      <w:r w:rsidRPr="00DB40C0">
        <w:rPr>
          <w:rFonts w:cs="Times New Roman"/>
          <w:sz w:val="20"/>
        </w:rPr>
        <w:t xml:space="preserve"> See for example General Comment no 14 with respect to climate change impacts on the right to water (E/C.12/2000/4 (CESCR 2000)).</w:t>
      </w:r>
    </w:p>
  </w:footnote>
  <w:footnote w:id="125">
    <w:p w14:paraId="37F487E5" w14:textId="77777777" w:rsidR="00DB40C0" w:rsidRPr="00A374FF" w:rsidRDefault="00DB40C0" w:rsidP="00DB40C0">
      <w:pPr>
        <w:pStyle w:val="FootnoteText"/>
        <w:rPr>
          <w:rFonts w:ascii="Arial" w:hAnsi="Arial" w:cs="Arial"/>
        </w:rPr>
      </w:pPr>
      <w:r w:rsidRPr="00DB40C0">
        <w:rPr>
          <w:rStyle w:val="FootnoteReference"/>
          <w:rFonts w:cs="Times New Roman"/>
          <w:sz w:val="20"/>
        </w:rPr>
        <w:footnoteRef/>
      </w:r>
      <w:r w:rsidRPr="00DB40C0">
        <w:rPr>
          <w:rFonts w:cs="Times New Roman"/>
          <w:sz w:val="20"/>
        </w:rPr>
        <w:t xml:space="preserve"> CESCR Concluding Observations on Russia (E/C.12/RUS/CO/6 (CESCR, 2017)).</w:t>
      </w:r>
    </w:p>
  </w:footnote>
  <w:footnote w:id="126">
    <w:p w14:paraId="3B0E2D90" w14:textId="77777777" w:rsidR="00DB40C0" w:rsidRPr="00DB40C0" w:rsidRDefault="00DB40C0" w:rsidP="00DB40C0">
      <w:pPr>
        <w:pStyle w:val="FootnoteText"/>
        <w:rPr>
          <w:rFonts w:cs="Times New Roman"/>
          <w:sz w:val="20"/>
        </w:rPr>
      </w:pPr>
      <w:r w:rsidRPr="00DB40C0">
        <w:rPr>
          <w:rStyle w:val="FootnoteReference"/>
          <w:rFonts w:cs="Times New Roman"/>
          <w:sz w:val="20"/>
        </w:rPr>
        <w:footnoteRef/>
      </w:r>
      <w:r w:rsidRPr="00DB40C0">
        <w:rPr>
          <w:rFonts w:cs="Times New Roman"/>
          <w:sz w:val="20"/>
        </w:rPr>
        <w:t xml:space="preserve"> CESCR Concluding Observations on Australia (E/C.12/AUS/CO/4 (CESCR, 2009)).</w:t>
      </w:r>
    </w:p>
  </w:footnote>
  <w:footnote w:id="127">
    <w:p w14:paraId="29F6D132" w14:textId="77777777" w:rsidR="00DB40C0" w:rsidRPr="00DB40C0" w:rsidRDefault="00DB40C0" w:rsidP="00DB40C0">
      <w:pPr>
        <w:pStyle w:val="FootnoteText"/>
        <w:rPr>
          <w:rFonts w:cs="Times New Roman"/>
          <w:sz w:val="20"/>
        </w:rPr>
      </w:pPr>
      <w:r w:rsidRPr="00DB40C0">
        <w:rPr>
          <w:rStyle w:val="FootnoteReference"/>
          <w:rFonts w:cs="Times New Roman"/>
          <w:sz w:val="20"/>
        </w:rPr>
        <w:footnoteRef/>
      </w:r>
      <w:r w:rsidRPr="00DB40C0">
        <w:rPr>
          <w:rFonts w:cs="Times New Roman"/>
          <w:sz w:val="20"/>
        </w:rPr>
        <w:t xml:space="preserve"> CESCR Concluding Observations on Canada (E/C.12/CAN/CO/6old (CESCR, 2016)). See also Russia 2017 CESCR, Finland (E/C.12/FIN/CO/6 (CESCR, 2014)). See also CRC Concluding Observations on Tuvalu (CRC/C/TUV/CO/1 (CRC, 2013)).</w:t>
      </w:r>
    </w:p>
  </w:footnote>
  <w:footnote w:id="128">
    <w:p w14:paraId="7CC42382" w14:textId="77777777" w:rsidR="00DB40C0" w:rsidRPr="00A374FF" w:rsidRDefault="00DB40C0" w:rsidP="00DB40C0">
      <w:pPr>
        <w:pStyle w:val="FootnoteText"/>
        <w:rPr>
          <w:rFonts w:ascii="Arial" w:hAnsi="Arial" w:cs="Arial"/>
        </w:rPr>
      </w:pPr>
      <w:r w:rsidRPr="00DB40C0">
        <w:rPr>
          <w:rStyle w:val="FootnoteReference"/>
          <w:rFonts w:cs="Times New Roman"/>
          <w:sz w:val="20"/>
        </w:rPr>
        <w:footnoteRef/>
      </w:r>
      <w:r w:rsidRPr="00DB40C0">
        <w:rPr>
          <w:rFonts w:cs="Times New Roman"/>
          <w:sz w:val="20"/>
        </w:rPr>
        <w:t xml:space="preserve"> CEDAW Concluding Observations on Tuvalu (CEDAW/C/TUV/CO/3-4 (CEDAW, 2015)) and CEDAW Concluding Observations on Vanuatu (CEDAW/C/VUT/CO/4-5 (CEDAW, 2016)).</w:t>
      </w:r>
    </w:p>
  </w:footnote>
  <w:footnote w:id="129">
    <w:p w14:paraId="0B9322D9" w14:textId="77777777" w:rsidR="00DB40C0" w:rsidRPr="00DB40C0" w:rsidRDefault="00DB40C0" w:rsidP="00DB40C0">
      <w:pPr>
        <w:pStyle w:val="FootnoteText"/>
        <w:rPr>
          <w:rFonts w:cs="Times New Roman"/>
        </w:rPr>
      </w:pPr>
      <w:r w:rsidRPr="00DB40C0">
        <w:rPr>
          <w:rStyle w:val="FootnoteReference"/>
          <w:rFonts w:cs="Times New Roman"/>
          <w:sz w:val="20"/>
        </w:rPr>
        <w:footnoteRef/>
      </w:r>
      <w:r w:rsidRPr="00DB40C0">
        <w:rPr>
          <w:rFonts w:cs="Times New Roman"/>
          <w:sz w:val="20"/>
        </w:rPr>
        <w:t xml:space="preserve"> The Committee on the Rights of the Child has expressed concern about the disproportionate impact of climate change on children’s health, with particular reference to Maori and Pasifika children.</w:t>
      </w:r>
    </w:p>
  </w:footnote>
  <w:footnote w:id="130">
    <w:p w14:paraId="26AC929C" w14:textId="77777777" w:rsidR="00DB40C0" w:rsidRPr="00DB40C0" w:rsidRDefault="00DB40C0" w:rsidP="00DB40C0">
      <w:pPr>
        <w:pStyle w:val="FootnoteText"/>
        <w:rPr>
          <w:rFonts w:cs="Times New Roman"/>
          <w:sz w:val="20"/>
        </w:rPr>
      </w:pPr>
      <w:r w:rsidRPr="00A374FF">
        <w:rPr>
          <w:rStyle w:val="FootnoteReference"/>
          <w:rFonts w:ascii="Arial" w:hAnsi="Arial" w:cs="Arial"/>
        </w:rPr>
        <w:footnoteRef/>
      </w:r>
      <w:r w:rsidRPr="00A374FF">
        <w:rPr>
          <w:rFonts w:ascii="Arial" w:hAnsi="Arial" w:cs="Arial"/>
        </w:rPr>
        <w:t xml:space="preserve"> </w:t>
      </w:r>
      <w:r w:rsidRPr="00DB40C0">
        <w:rPr>
          <w:rFonts w:cs="Times New Roman"/>
          <w:sz w:val="20"/>
        </w:rPr>
        <w:t>Climate Action Tracker ‘New Zealand’ (Climate Analytics, Ecofys, NewClimate Institute) &lt;http://climateactiontracker.org/countries/newzealand.html&gt;.</w:t>
      </w:r>
    </w:p>
  </w:footnote>
  <w:footnote w:id="131">
    <w:p w14:paraId="0C8E3E34" w14:textId="77777777" w:rsidR="00DA2390" w:rsidRDefault="00DA2390" w:rsidP="000475EE">
      <w:pPr>
        <w:pStyle w:val="FootnoteText"/>
      </w:pPr>
      <w:r w:rsidRPr="00837ACE">
        <w:rPr>
          <w:rStyle w:val="FootnoteReference"/>
          <w:sz w:val="20"/>
        </w:rPr>
        <w:footnoteRef/>
      </w:r>
      <w:r w:rsidRPr="00837ACE">
        <w:rPr>
          <w:sz w:val="20"/>
        </w:rPr>
        <w:t xml:space="preserve"> For the text of the UN Resolution see: </w:t>
      </w:r>
      <w:hyperlink r:id="rId7" w:history="1">
        <w:r w:rsidRPr="00837ACE">
          <w:rPr>
            <w:rStyle w:val="Hyperlink"/>
            <w:sz w:val="20"/>
          </w:rPr>
          <w:t>http://unsr.vtaulicorpuz.org/site/images/docs/un/2014-a-hrc-res-26-9-en.pdf</w:t>
        </w:r>
      </w:hyperlink>
      <w:r w:rsidRPr="00837ACE">
        <w:rPr>
          <w:sz w:val="20"/>
        </w:rPr>
        <w:t xml:space="preserve"> </w:t>
      </w:r>
    </w:p>
  </w:footnote>
  <w:footnote w:id="132">
    <w:p w14:paraId="7915B540" w14:textId="77777777" w:rsidR="00DA2390" w:rsidRDefault="00DA2390" w:rsidP="000475EE">
      <w:pPr>
        <w:pStyle w:val="FootnoteText"/>
      </w:pPr>
      <w:r w:rsidRPr="00837ACE">
        <w:rPr>
          <w:rStyle w:val="FootnoteReference"/>
          <w:sz w:val="20"/>
          <w:szCs w:val="20"/>
        </w:rPr>
        <w:footnoteRef/>
      </w:r>
      <w:r w:rsidRPr="00837ACE">
        <w:rPr>
          <w:sz w:val="20"/>
          <w:szCs w:val="20"/>
        </w:rPr>
        <w:t xml:space="preserve"> </w:t>
      </w:r>
      <w:r w:rsidRPr="00837ACE">
        <w:rPr>
          <w:sz w:val="20"/>
          <w:szCs w:val="20"/>
          <w:lang w:val="en-NZ"/>
        </w:rPr>
        <w:t>The Hon Julie Ann Genter, Minister of Women, has recently proposed that the KPIs of public  sector CEOs include reporting on and achieving pay equity.   We applaud the introduction of such a measure.</w:t>
      </w:r>
      <w:r w:rsidRPr="00B553B9">
        <w:rPr>
          <w:lang w:val="en-NZ"/>
        </w:rPr>
        <w:t xml:space="preserve">   </w:t>
      </w:r>
    </w:p>
  </w:footnote>
  <w:footnote w:id="133">
    <w:p w14:paraId="5B8F234F" w14:textId="77777777" w:rsidR="00DA2390" w:rsidRPr="00837ACE" w:rsidRDefault="00DA2390" w:rsidP="00CE5543">
      <w:pPr>
        <w:pStyle w:val="FootnoteText"/>
        <w:rPr>
          <w:sz w:val="20"/>
        </w:rPr>
      </w:pPr>
      <w:r w:rsidRPr="00837ACE">
        <w:rPr>
          <w:rStyle w:val="FootnoteReference"/>
          <w:sz w:val="20"/>
        </w:rPr>
        <w:footnoteRef/>
      </w:r>
      <w:r w:rsidRPr="00837ACE">
        <w:rPr>
          <w:sz w:val="20"/>
        </w:rPr>
        <w:t xml:space="preserve"> </w:t>
      </w:r>
      <w:hyperlink r:id="rId8" w:history="1">
        <w:r w:rsidRPr="00837ACE">
          <w:rPr>
            <w:rStyle w:val="Hyperlink"/>
            <w:sz w:val="20"/>
          </w:rPr>
          <w:t>www.catrionnamaclennan.co.nz/blog/welfare-reform-15</w:t>
        </w:r>
      </w:hyperlink>
      <w:r w:rsidRPr="00837ACE">
        <w:rPr>
          <w:sz w:val="20"/>
        </w:rPr>
        <w:t xml:space="preserve"> -point-plan </w:t>
      </w:r>
    </w:p>
  </w:footnote>
  <w:footnote w:id="134">
    <w:p w14:paraId="1D4A7C39" w14:textId="77777777" w:rsidR="00DA2390" w:rsidRDefault="00DA2390" w:rsidP="00CE5543">
      <w:pPr>
        <w:pStyle w:val="FootnoteText"/>
      </w:pPr>
      <w:r w:rsidRPr="00837ACE">
        <w:rPr>
          <w:rStyle w:val="FootnoteReference"/>
          <w:sz w:val="20"/>
        </w:rPr>
        <w:footnoteRef/>
      </w:r>
      <w:r w:rsidRPr="00837ACE">
        <w:rPr>
          <w:sz w:val="20"/>
        </w:rPr>
        <w:t xml:space="preserve"> See fn </w:t>
      </w:r>
      <w:r w:rsidRPr="00837ACE">
        <w:rPr>
          <w:color w:val="FF0000"/>
          <w:sz w:val="20"/>
        </w:rPr>
        <w:t>16 above</w:t>
      </w:r>
      <w:r w:rsidRPr="00837ACE">
        <w:rPr>
          <w:sz w:val="20"/>
        </w:rPr>
        <w:t>.</w:t>
      </w:r>
    </w:p>
  </w:footnote>
  <w:footnote w:id="135">
    <w:p w14:paraId="00C1EE0A" w14:textId="0896E839" w:rsidR="00DA2390" w:rsidRPr="00837ACE" w:rsidRDefault="00DA2390" w:rsidP="00E31421">
      <w:pPr>
        <w:rPr>
          <w:b/>
          <w:sz w:val="20"/>
          <w:szCs w:val="20"/>
        </w:rPr>
      </w:pPr>
      <w:r w:rsidRPr="00837ACE">
        <w:rPr>
          <w:rStyle w:val="FootnoteReference"/>
          <w:sz w:val="20"/>
          <w:szCs w:val="20"/>
        </w:rPr>
        <w:footnoteRef/>
      </w:r>
      <w:r w:rsidRPr="00837ACE">
        <w:rPr>
          <w:sz w:val="20"/>
          <w:szCs w:val="20"/>
        </w:rPr>
        <w:t xml:space="preserve"> </w:t>
      </w:r>
      <w:r w:rsidRPr="00837ACE">
        <w:rPr>
          <w:sz w:val="20"/>
          <w:szCs w:val="20"/>
          <w:lang w:val="en-AU"/>
        </w:rPr>
        <w:t xml:space="preserve">One other issue that needs to be monitored is the Parliamentary Bill called </w:t>
      </w:r>
      <w:r w:rsidRPr="00837ACE">
        <w:rPr>
          <w:sz w:val="20"/>
          <w:szCs w:val="20"/>
        </w:rPr>
        <w:t>The End of Life Choice Bill</w:t>
      </w:r>
      <w:r w:rsidRPr="00837ACE">
        <w:rPr>
          <w:b/>
          <w:sz w:val="20"/>
          <w:szCs w:val="20"/>
        </w:rPr>
        <w:t>, which</w:t>
      </w:r>
      <w:r w:rsidRPr="00837ACE">
        <w:rPr>
          <w:sz w:val="20"/>
          <w:szCs w:val="20"/>
        </w:rPr>
        <w:t xml:space="preserve"> proposes to give people with a terminal illness or a grievous and irremediable medical condition the option of requesting assisted dying. Under no circumstances should the Bill (especially if it is enacted) be used to justify an argument that elderly people with terminal illnesses or grievous medical conditions should be encouraged to end their lives and thereby decrease the number of people on hospital waiting lists.</w:t>
      </w:r>
    </w:p>
    <w:p w14:paraId="2AD5A075" w14:textId="77777777" w:rsidR="00DA2390" w:rsidRPr="003412FD" w:rsidRDefault="00DA2390" w:rsidP="00E31421">
      <w:pPr>
        <w:pStyle w:val="FootnoteText"/>
        <w:rPr>
          <w:lang w:val="en-AU"/>
        </w:rPr>
      </w:pPr>
    </w:p>
  </w:footnote>
  <w:footnote w:id="136">
    <w:p w14:paraId="7572E52E" w14:textId="77777777" w:rsidR="00DA2390" w:rsidRPr="00837ACE" w:rsidRDefault="00DA2390" w:rsidP="005448AF">
      <w:pPr>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For more detailed information see </w:t>
      </w:r>
      <w:hyperlink r:id="rId9" w:history="1">
        <w:r w:rsidRPr="00837ACE">
          <w:rPr>
            <w:rStyle w:val="Hyperlink"/>
            <w:rFonts w:cs="Times New Roman"/>
            <w:sz w:val="20"/>
            <w:szCs w:val="20"/>
          </w:rPr>
          <w:t>http://archive.stats.govt.nz/browse_for_stats/population/estimates_and_projections/NationalPopulationProjections_HOTP2016.aspx</w:t>
        </w:r>
      </w:hyperlink>
      <w:r w:rsidRPr="00837ACE">
        <w:rPr>
          <w:rFonts w:cs="Times New Roman"/>
          <w:sz w:val="20"/>
          <w:szCs w:val="20"/>
        </w:rPr>
        <w:t>.</w:t>
      </w:r>
    </w:p>
  </w:footnote>
  <w:footnote w:id="137">
    <w:p w14:paraId="53CEFDB6" w14:textId="77777777" w:rsidR="00DA2390" w:rsidRPr="00837ACE" w:rsidRDefault="00DA2390" w:rsidP="005448AF">
      <w:pPr>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For example it is permissible, in the context of employment matters, to treat a person differently on the grounds of age, in cases where: (a) “being of a particular … age is a genuine occupational qualification for the position or employment” (Human Rights Act 1993, s 27(2); (b) “being of a particular age or in a particular age group is a genuine occupational qualification for that position or employment, whether for reasons of safety or for any other reason” (Human Right Act 30(1).See also (and to similar effect) s 106 of the Employment Relations Act 2000 and C Breen and M Bedggood “Rights to Equality and Non- discrimination” in M Bedggood, K Gledhill and I McIntosh eds </w:t>
      </w:r>
      <w:r w:rsidRPr="00837ACE">
        <w:rPr>
          <w:rFonts w:cs="Times New Roman"/>
          <w:i/>
          <w:sz w:val="20"/>
          <w:szCs w:val="20"/>
        </w:rPr>
        <w:t>International Human Rights Law in Aotearoa New Zealand</w:t>
      </w:r>
      <w:r w:rsidRPr="00837ACE">
        <w:rPr>
          <w:rFonts w:cs="Times New Roman"/>
          <w:sz w:val="20"/>
          <w:szCs w:val="20"/>
        </w:rPr>
        <w:t xml:space="preserve"> (Thomson Reuters, Wellington, 2017) at 293-297.</w:t>
      </w:r>
    </w:p>
  </w:footnote>
  <w:footnote w:id="138">
    <w:p w14:paraId="46E80D74" w14:textId="77777777" w:rsidR="00DA2390" w:rsidRPr="00837ACE" w:rsidRDefault="00DA2390" w:rsidP="005448AF">
      <w:pPr>
        <w:pStyle w:val="FootnoteText"/>
        <w:rPr>
          <w:rFonts w:cs="Times New Roman"/>
          <w:sz w:val="20"/>
          <w:szCs w:val="20"/>
          <w:lang w:val="en-NZ"/>
        </w:rPr>
      </w:pPr>
      <w:r w:rsidRPr="00837ACE">
        <w:rPr>
          <w:rStyle w:val="FootnoteReference"/>
          <w:rFonts w:cs="Times New Roman"/>
          <w:sz w:val="20"/>
          <w:szCs w:val="20"/>
        </w:rPr>
        <w:footnoteRef/>
      </w:r>
      <w:r w:rsidRPr="00837ACE">
        <w:rPr>
          <w:rFonts w:cs="Times New Roman"/>
          <w:sz w:val="20"/>
          <w:szCs w:val="20"/>
        </w:rPr>
        <w:t xml:space="preserve"> Human Rights Act 1993 s 21(1)(i)</w:t>
      </w:r>
    </w:p>
  </w:footnote>
  <w:footnote w:id="139">
    <w:p w14:paraId="4F58E8EA" w14:textId="77777777" w:rsidR="00DA2390" w:rsidRPr="00837ACE" w:rsidRDefault="00DA2390" w:rsidP="005448AF">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Paul Little “</w:t>
      </w:r>
      <w:r w:rsidRPr="00837ACE">
        <w:rPr>
          <w:rFonts w:cs="Times New Roman"/>
          <w:sz w:val="20"/>
          <w:szCs w:val="20"/>
          <w:lang w:val="en-AU"/>
        </w:rPr>
        <w:t xml:space="preserve">Another brick in the wall: Why no one over 50 can land a job” (19 November 2016) http://www.nzherald.co.nz/lifestyle/news/article.cfm?c_id=6&amp;objectid=11749304. </w:t>
      </w:r>
    </w:p>
  </w:footnote>
  <w:footnote w:id="140">
    <w:p w14:paraId="20EC47AE" w14:textId="77777777" w:rsidR="00DA2390" w:rsidRPr="00837ACE" w:rsidRDefault="00DA2390" w:rsidP="005448AF">
      <w:pPr>
        <w:pStyle w:val="FootnoteText"/>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Paul Little “</w:t>
      </w:r>
      <w:r w:rsidRPr="00837ACE">
        <w:rPr>
          <w:rFonts w:cs="Times New Roman"/>
          <w:sz w:val="20"/>
          <w:szCs w:val="20"/>
          <w:lang w:val="en-AU"/>
        </w:rPr>
        <w:t xml:space="preserve">Another brick in the wall: Why no one over 50 can land a job” (19 November 2016) </w:t>
      </w:r>
      <w:hyperlink r:id="rId10" w:history="1">
        <w:r w:rsidRPr="00837ACE">
          <w:rPr>
            <w:rStyle w:val="Hyperlink"/>
            <w:rFonts w:cs="Times New Roman"/>
            <w:sz w:val="20"/>
            <w:szCs w:val="20"/>
            <w:lang w:val="en-AU"/>
          </w:rPr>
          <w:t>http://www.nzherald.co.nz/lifestyle/news/article.cfm?c_id=6&amp;objectid=11749304</w:t>
        </w:r>
      </w:hyperlink>
      <w:r w:rsidRPr="00837ACE">
        <w:rPr>
          <w:rFonts w:cs="Times New Roman"/>
          <w:sz w:val="20"/>
          <w:szCs w:val="20"/>
          <w:lang w:val="en-AU"/>
        </w:rPr>
        <w:t xml:space="preserve">. See also S Bell and J McGregor “Human Rights Law and Older People” in </w:t>
      </w:r>
      <w:r w:rsidRPr="00837ACE">
        <w:rPr>
          <w:rFonts w:cs="Times New Roman"/>
          <w:sz w:val="20"/>
          <w:szCs w:val="20"/>
        </w:rPr>
        <w:t xml:space="preserve">K Diesfeld and I McIntosh (eds) </w:t>
      </w:r>
      <w:r w:rsidRPr="00837ACE">
        <w:rPr>
          <w:rFonts w:cs="Times New Roman"/>
          <w:i/>
          <w:sz w:val="20"/>
          <w:szCs w:val="20"/>
        </w:rPr>
        <w:t xml:space="preserve">Elder Law in New Zealand </w:t>
      </w:r>
      <w:r w:rsidRPr="00837ACE">
        <w:rPr>
          <w:rFonts w:cs="Times New Roman"/>
          <w:sz w:val="20"/>
          <w:szCs w:val="20"/>
        </w:rPr>
        <w:t>(Thomson Reuters, Wellington, 2014) at 188-190.</w:t>
      </w:r>
    </w:p>
    <w:p w14:paraId="23869C8E" w14:textId="77777777" w:rsidR="00DA2390" w:rsidRPr="00837ACE" w:rsidRDefault="00DA2390" w:rsidP="005448AF">
      <w:pPr>
        <w:pStyle w:val="FootnoteText"/>
        <w:rPr>
          <w:rFonts w:cs="Times New Roman"/>
          <w:sz w:val="20"/>
          <w:szCs w:val="20"/>
        </w:rPr>
      </w:pPr>
      <w:r w:rsidRPr="00837ACE">
        <w:rPr>
          <w:rFonts w:cs="Times New Roman"/>
          <w:sz w:val="20"/>
          <w:szCs w:val="20"/>
          <w:lang w:val="en-AU"/>
        </w:rPr>
        <w:t>.</w:t>
      </w:r>
    </w:p>
  </w:footnote>
  <w:footnote w:id="141">
    <w:p w14:paraId="7E30ABDB" w14:textId="77777777" w:rsidR="00DA2390" w:rsidRPr="00837ACE" w:rsidRDefault="00DA2390" w:rsidP="005448AF">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Paul Little “</w:t>
      </w:r>
      <w:r w:rsidRPr="00837ACE">
        <w:rPr>
          <w:rFonts w:cs="Times New Roman"/>
          <w:sz w:val="20"/>
          <w:szCs w:val="20"/>
          <w:lang w:val="en-AU"/>
        </w:rPr>
        <w:t xml:space="preserve">Another brick in the wall: Why no one over 50 can land a job” (19 November 2016) http://www.nzherald.co.nz/lifestyle/news/article.cfm?c_id=6&amp;objectid=11749304. </w:t>
      </w:r>
    </w:p>
  </w:footnote>
  <w:footnote w:id="142">
    <w:p w14:paraId="2C3DDA36" w14:textId="77777777" w:rsidR="00DA2390" w:rsidRPr="00837ACE" w:rsidRDefault="00DA2390" w:rsidP="005448AF">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Paul Little “</w:t>
      </w:r>
      <w:r w:rsidRPr="00837ACE">
        <w:rPr>
          <w:rFonts w:cs="Times New Roman"/>
          <w:sz w:val="20"/>
          <w:szCs w:val="20"/>
          <w:lang w:val="en-AU"/>
        </w:rPr>
        <w:t xml:space="preserve">Another brick in the wall: Why no one over 50 can land a job” (19 November 2016) http://www.nzherald.co.nz/lifestyle/news/article.cfm?c_id=6&amp;objectid=11749304. </w:t>
      </w:r>
    </w:p>
  </w:footnote>
  <w:footnote w:id="143">
    <w:p w14:paraId="5BE90196" w14:textId="77777777" w:rsidR="00DA2390" w:rsidRPr="00837ACE" w:rsidRDefault="00DA2390" w:rsidP="005448AF">
      <w:pPr>
        <w:pStyle w:val="NormalWeb"/>
        <w:shd w:val="clear" w:color="auto" w:fill="FFFFFF"/>
        <w:spacing w:before="0" w:beforeAutospacing="0" w:after="0" w:afterAutospacing="0"/>
        <w:rPr>
          <w:sz w:val="20"/>
          <w:szCs w:val="20"/>
        </w:rPr>
      </w:pPr>
      <w:r w:rsidRPr="00837ACE">
        <w:rPr>
          <w:rStyle w:val="FootnoteReference"/>
          <w:sz w:val="20"/>
          <w:szCs w:val="20"/>
        </w:rPr>
        <w:footnoteRef/>
      </w:r>
      <w:r w:rsidRPr="00837ACE">
        <w:rPr>
          <w:sz w:val="20"/>
          <w:szCs w:val="20"/>
        </w:rPr>
        <w:t xml:space="preserve"> See Human Rights Commission Getting a job </w:t>
      </w:r>
      <w:r w:rsidRPr="00837ACE">
        <w:rPr>
          <w:i/>
          <w:sz w:val="20"/>
          <w:szCs w:val="20"/>
        </w:rPr>
        <w:t>An A to Z for employers and employees Pre-employment guidelines</w:t>
      </w:r>
      <w:r w:rsidRPr="00837ACE">
        <w:rPr>
          <w:sz w:val="20"/>
          <w:szCs w:val="20"/>
        </w:rPr>
        <w:t xml:space="preserve"> (July 2008) at 3 and Human Rights Commission Job Application Questions at </w:t>
      </w:r>
      <w:hyperlink r:id="rId11" w:history="1">
        <w:r w:rsidRPr="00837ACE">
          <w:rPr>
            <w:rStyle w:val="Hyperlink"/>
            <w:rFonts w:eastAsiaTheme="majorEastAsia"/>
            <w:sz w:val="20"/>
            <w:szCs w:val="20"/>
          </w:rPr>
          <w:t>https://www.hrc.co.nz/enquiries-and-complaints/faqs/job-application-questions/</w:t>
        </w:r>
      </w:hyperlink>
      <w:r w:rsidRPr="00837ACE">
        <w:rPr>
          <w:sz w:val="20"/>
          <w:szCs w:val="20"/>
        </w:rPr>
        <w:t xml:space="preserve"> which states that “employers should not generally ask questions about:</w:t>
      </w:r>
    </w:p>
    <w:p w14:paraId="14EECBA2" w14:textId="77777777" w:rsidR="00DA2390" w:rsidRPr="00837ACE" w:rsidRDefault="00DA2390" w:rsidP="00DA2390">
      <w:pPr>
        <w:pStyle w:val="ListParagraph"/>
        <w:numPr>
          <w:ilvl w:val="0"/>
          <w:numId w:val="4"/>
        </w:numPr>
        <w:shd w:val="clear" w:color="auto" w:fill="FFFFFF"/>
        <w:rPr>
          <w:rFonts w:eastAsia="Times New Roman" w:cs="Times New Roman"/>
          <w:sz w:val="20"/>
          <w:szCs w:val="20"/>
        </w:rPr>
      </w:pPr>
      <w:r w:rsidRPr="00837ACE">
        <w:rPr>
          <w:rFonts w:eastAsia="Times New Roman" w:cs="Times New Roman"/>
          <w:sz w:val="20"/>
          <w:szCs w:val="20"/>
        </w:rPr>
        <w:t xml:space="preserve">age – unless it is necessary for the purposes of the </w:t>
      </w:r>
      <w:r w:rsidRPr="00837ACE">
        <w:rPr>
          <w:rFonts w:eastAsia="Times New Roman" w:cs="Times New Roman"/>
          <w:i/>
          <w:iCs/>
          <w:sz w:val="20"/>
          <w:szCs w:val="20"/>
        </w:rPr>
        <w:t>Minimum Wages Act</w:t>
      </w:r>
      <w:r w:rsidRPr="00837ACE">
        <w:rPr>
          <w:rFonts w:eastAsia="Times New Roman" w:cs="Times New Roman"/>
          <w:sz w:val="20"/>
          <w:szCs w:val="20"/>
        </w:rPr>
        <w:t xml:space="preserve"> or the </w:t>
      </w:r>
      <w:r w:rsidRPr="00837ACE">
        <w:rPr>
          <w:rFonts w:eastAsia="Times New Roman" w:cs="Times New Roman"/>
          <w:i/>
          <w:iCs/>
          <w:sz w:val="20"/>
          <w:szCs w:val="20"/>
        </w:rPr>
        <w:t>Sale of Liquor Act</w:t>
      </w:r>
      <w:r w:rsidRPr="00837ACE">
        <w:rPr>
          <w:rFonts w:eastAsia="Times New Roman" w:cs="Times New Roman"/>
          <w:sz w:val="20"/>
          <w:szCs w:val="20"/>
        </w:rPr>
        <w:tab/>
      </w:r>
    </w:p>
    <w:p w14:paraId="2806CE29" w14:textId="77777777" w:rsidR="00DA2390" w:rsidRPr="00837ACE" w:rsidRDefault="00DA2390" w:rsidP="00DA2390">
      <w:pPr>
        <w:pStyle w:val="ListParagraph"/>
        <w:numPr>
          <w:ilvl w:val="0"/>
          <w:numId w:val="4"/>
        </w:numPr>
        <w:shd w:val="clear" w:color="auto" w:fill="FFFFFF"/>
        <w:rPr>
          <w:rFonts w:eastAsia="Times New Roman" w:cs="Times New Roman"/>
          <w:sz w:val="20"/>
          <w:szCs w:val="20"/>
        </w:rPr>
      </w:pPr>
      <w:r w:rsidRPr="00837ACE">
        <w:rPr>
          <w:rFonts w:eastAsia="Times New Roman" w:cs="Times New Roman"/>
          <w:sz w:val="20"/>
          <w:szCs w:val="20"/>
        </w:rPr>
        <w:t>date of birth”</w:t>
      </w:r>
    </w:p>
  </w:footnote>
  <w:footnote w:id="144">
    <w:p w14:paraId="281FB93D" w14:textId="77777777" w:rsidR="00DA2390" w:rsidRPr="00837ACE" w:rsidRDefault="00DA2390" w:rsidP="00837ACE">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That section provides: </w:t>
      </w:r>
    </w:p>
    <w:p w14:paraId="6412116E" w14:textId="77777777" w:rsidR="00DA2390" w:rsidRPr="00837ACE" w:rsidRDefault="00DA2390" w:rsidP="00837ACE">
      <w:pPr>
        <w:ind w:left="720"/>
        <w:rPr>
          <w:rFonts w:cs="Times New Roman"/>
          <w:b/>
          <w:sz w:val="20"/>
          <w:szCs w:val="20"/>
        </w:rPr>
      </w:pPr>
      <w:r w:rsidRPr="00837ACE">
        <w:rPr>
          <w:rFonts w:cs="Times New Roman"/>
          <w:color w:val="000000"/>
          <w:sz w:val="20"/>
          <w:szCs w:val="20"/>
          <w:shd w:val="clear" w:color="auto" w:fill="FFFFFF"/>
        </w:rPr>
        <w:t>It shall be unlawful for any person concerned with procuring employment for other persons or procuring employees for any employer to treat any person seeking employment differently from other persons in the same or substantially similar circumstances by reason of any of the prohibited grounds of discrimination.”</w:t>
      </w:r>
      <w:r w:rsidRPr="00837ACE">
        <w:rPr>
          <w:rFonts w:cs="Times New Roman"/>
          <w:b/>
          <w:sz w:val="20"/>
          <w:szCs w:val="20"/>
        </w:rPr>
        <w:t xml:space="preserve"> </w:t>
      </w:r>
    </w:p>
  </w:footnote>
  <w:footnote w:id="145">
    <w:p w14:paraId="0DE73216" w14:textId="77777777" w:rsidR="00DA2390" w:rsidRPr="00837ACE" w:rsidRDefault="00DA2390" w:rsidP="00837ACE">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See https://www.workandincome.govt.nz/eligibility/seniors/superannuation/payment-rates.html.</w:t>
      </w:r>
    </w:p>
  </w:footnote>
  <w:footnote w:id="146">
    <w:p w14:paraId="79794005" w14:textId="77777777" w:rsidR="00DA2390" w:rsidRPr="00837ACE" w:rsidRDefault="00DA2390" w:rsidP="00837ACE">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Ministry of Social Development’s Household Incomes Report and companion report using Non-Income Measures: Headline Findings, 21 July 2017. See also https://www.msd.govt.nz/about-msd-and-our-work/publications-resources/monitoring/household-incomes/.</w:t>
      </w:r>
    </w:p>
  </w:footnote>
  <w:footnote w:id="147">
    <w:p w14:paraId="3B99EB57"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the </w:t>
      </w:r>
      <w:r w:rsidRPr="00837ACE">
        <w:rPr>
          <w:rFonts w:cs="Times New Roman"/>
          <w:sz w:val="20"/>
          <w:szCs w:val="20"/>
        </w:rPr>
        <w:t xml:space="preserve">Ministry of Social Development’s website at </w:t>
      </w:r>
      <w:r w:rsidRPr="00837ACE">
        <w:rPr>
          <w:rFonts w:cs="Times New Roman"/>
          <w:sz w:val="20"/>
          <w:szCs w:val="20"/>
          <w:lang w:val="en-AU"/>
        </w:rPr>
        <w:t>http://www.msd.govt.nz/about-msd-and-our-work/publications-resources/planning-strategy/positive-ageing/.</w:t>
      </w:r>
    </w:p>
  </w:footnote>
  <w:footnote w:id="148">
    <w:p w14:paraId="1AE63542"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M Duggal “Health Services for Older People”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199-216 and I McIntosh “Pensions and Benefits”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217-271. </w:t>
      </w:r>
    </w:p>
  </w:footnote>
  <w:footnote w:id="149">
    <w:p w14:paraId="0C95F7DA"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I McIntosh “Pensions and Benefits”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270. </w:t>
      </w:r>
    </w:p>
  </w:footnote>
  <w:footnote w:id="150">
    <w:p w14:paraId="7052159F"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Here is a small selection of the diverse and fragmented sources of information about benefits potentially available to older New Zealanders: https://www.workandincome.govt.nz/products/a-z-benefits/index.html; http://www.transport.govt.nz/land/the-total-mobility-scheme/; New Zealand Transport Agency Total Mobility around New Zealand: a user’s guide to the Total Mobility scheme in the different regions around New Zealand (October 2015); Ministry of Social Development Services for Seniors (SUPE100 – SEP 2017); https://www.workandincome.govt.nz/eligibility/seniors/superannuation/applying-for-new-zealand-superannuation.html; https://www.msf.gov.sg/policies/Helping-the-Needy-and-Vulnerable/Supporting-Vulnerable-Elderly/Pages/Services-and-Programmes-for-Elderly.aspx; Electricity Authority Guideline on arrangements to assist vulnerable consumers (version 2.1, 24 March 2011); https://www.workandincome.govt.nz/eligibility/seniors/extra-financial-help-you-may-need.html; https://www.health.govt.nz/your-health/services-and-support/disability-services ; https://www.workandincome.govt.nz/providers/health-and-disability-practitioners/health-and-disability-related-benefits.html#null; https://www.workandincome.govt.nz/products/a-z-benefits/disability-allowance.html#null; Ministerial Direction on Redirection of Benefit Payments (17 March 2015); https://www.workandincome.govt.nz/eligibility/health-and-disability/medical-alarms.html; https://www.workandincome.govt.nz/map/legislation/welfare-programmes/special-needs-grants-programme/index.html; http://www.msd.govt.nz/about-msd-and-our-work/publications-resources/statistics/statistical-report/statistical-report-2008/hardship-assistance/lump-sum.html; https://www.msd.govt.nz/documents/about-msd-and-our-work/publications-resources/statistics/benefit/2017/benefit-fact-sheets-december-2017.pdf; Ministry of Social Development Advance Payment of Benefits Ministerial direction (25 May 1999, unofficial consolidated version as at 1 April 2015); https://www.govt.nz/browse/tax-benefits-and-finance/benefits/emergency-benefit/; Ministry of Social Development Direction in Relation to Emergency Benefit and Benefits on Ground of Hardship (8 October 1998, unofficial consolidated version as at 15 July 2013); Energy Efficiency and Conservation Authority “Warm Up New Zealand: Healthy Homes” https://www.energywise.govt.nz/funding-and-support/funding-for-insulation/; Ministry of Health High Use Health Card (HP5947, June 2014); Ministry of Health Long-term Residential Care for Older People: What you need to know (brochure, 1 July 2012); https://www.health.govt.nz/our-work/life-stages/health-older-people/long-term-residential-care; https://www.workandincome.govt.nz/products/a-z-benefits/residential-care-subsidy.html; Ministry of Health Needs Assessment and Support Services of Older People: What you need to know (Booklet, May 2011) and see https://www.health.govt.nz/publication/needs-assessment-and-support-services-older-people-what-you-need-know; Department of Internal Affairs “Rates Rebate Scheme” https://www.dia.govt.nz/Services-Rates-Rebate-Scheme-Index &gt;.</w:t>
      </w:r>
    </w:p>
  </w:footnote>
  <w:footnote w:id="151">
    <w:p w14:paraId="18147424"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See for example: </w:t>
      </w:r>
      <w:hyperlink r:id="rId12" w:history="1">
        <w:r w:rsidRPr="00837ACE">
          <w:rPr>
            <w:rStyle w:val="Hyperlink"/>
            <w:rFonts w:cs="Times New Roman"/>
            <w:sz w:val="20"/>
            <w:szCs w:val="20"/>
          </w:rPr>
          <w:t>https://www.stuff.co.nz/business/97216324/its-tough-to-beat-aged-care-subsidy-means-test</w:t>
        </w:r>
      </w:hyperlink>
      <w:r w:rsidRPr="00837ACE">
        <w:rPr>
          <w:rFonts w:cs="Times New Roman"/>
          <w:sz w:val="20"/>
          <w:szCs w:val="20"/>
        </w:rPr>
        <w:t xml:space="preserve"> and </w:t>
      </w:r>
      <w:r w:rsidRPr="00837ACE">
        <w:rPr>
          <w:rFonts w:cs="Times New Roman"/>
          <w:sz w:val="20"/>
          <w:szCs w:val="20"/>
          <w:lang w:val="en-AU"/>
        </w:rPr>
        <w:t xml:space="preserve">I McIntosh “Pensions and Benefits”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239-266.</w:t>
      </w:r>
    </w:p>
  </w:footnote>
  <w:footnote w:id="152">
    <w:p w14:paraId="63B85AD3"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I McIntosh “Pensions and Benefits”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220. </w:t>
      </w:r>
    </w:p>
  </w:footnote>
  <w:footnote w:id="153">
    <w:p w14:paraId="32813103" w14:textId="77777777" w:rsidR="00DA2390" w:rsidRPr="00837ACE" w:rsidRDefault="00DA2390" w:rsidP="00837ACE">
      <w:pPr>
        <w:spacing w:before="187" w:after="94"/>
        <w:outlineLvl w:val="1"/>
        <w:rPr>
          <w:rFonts w:eastAsia="Times New Roman" w:cs="Times New Roman"/>
          <w:color w:val="313C3D"/>
          <w:kern w:val="36"/>
          <w:sz w:val="20"/>
          <w:szCs w:val="20"/>
        </w:rPr>
      </w:pPr>
      <w:r w:rsidRPr="00837ACE">
        <w:rPr>
          <w:rStyle w:val="FootnoteReference"/>
          <w:rFonts w:cs="Times New Roman"/>
          <w:sz w:val="20"/>
          <w:szCs w:val="20"/>
        </w:rPr>
        <w:footnoteRef/>
      </w:r>
      <w:r w:rsidRPr="00837ACE">
        <w:rPr>
          <w:rFonts w:cs="Times New Roman"/>
          <w:sz w:val="20"/>
          <w:szCs w:val="20"/>
        </w:rPr>
        <w:t xml:space="preserve"> See D Clement </w:t>
      </w:r>
      <w:r w:rsidRPr="00837ACE">
        <w:rPr>
          <w:rFonts w:eastAsia="Times New Roman" w:cs="Times New Roman"/>
          <w:i/>
          <w:color w:val="313C3D"/>
          <w:kern w:val="36"/>
          <w:sz w:val="20"/>
          <w:szCs w:val="20"/>
        </w:rPr>
        <w:t>Abuse of older people an epidemic in NZ society</w:t>
      </w:r>
      <w:r w:rsidRPr="00837ACE">
        <w:rPr>
          <w:rFonts w:eastAsia="Times New Roman" w:cs="Times New Roman"/>
          <w:color w:val="313C3D"/>
          <w:kern w:val="36"/>
          <w:sz w:val="20"/>
          <w:szCs w:val="20"/>
        </w:rPr>
        <w:t xml:space="preserve"> 13 June 2015, http://www.nzherald.co.nz/business/news/article.cfm?c_id=3&amp;objectid=11464389</w:t>
      </w:r>
    </w:p>
  </w:footnote>
  <w:footnote w:id="154">
    <w:p w14:paraId="21420A32" w14:textId="77777777" w:rsidR="00DA2390" w:rsidRPr="00837ACE" w:rsidRDefault="00DA2390" w:rsidP="00837ACE">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For a detailed account see T Baker “Legal Protections and Remedies for Elder Abuse, Neglect and Exploitation” and L Collins “Elder Abuse and Neglect Prevention”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477-507 and 509-530. See also https://www.ageconcern.org.nz/ACNZPublic/Services/EANP/ACNZ_Public/Elder_Abuse_and_Neglect.aspx?hkey=df8b9042-ce1e-4d3a-9fe5-861fc17d2ecf.</w:t>
      </w:r>
    </w:p>
  </w:footnote>
  <w:footnote w:id="155">
    <w:p w14:paraId="7650F4F1"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http://superseniors.msd.govt.nz/elder-abuse/.</w:t>
      </w:r>
    </w:p>
  </w:footnote>
  <w:footnote w:id="156">
    <w:p w14:paraId="48AEC1B4"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Office for Senior Citizens </w:t>
      </w:r>
      <w:r w:rsidRPr="00837ACE">
        <w:rPr>
          <w:rFonts w:cs="Times New Roman"/>
          <w:i/>
          <w:sz w:val="20"/>
          <w:szCs w:val="20"/>
        </w:rPr>
        <w:t>Towards gaining a greater understanding of Elder Abuse and Neglect in New Zealand</w:t>
      </w:r>
      <w:r w:rsidRPr="00837ACE">
        <w:rPr>
          <w:rFonts w:cs="Times New Roman"/>
          <w:sz w:val="20"/>
          <w:szCs w:val="20"/>
        </w:rPr>
        <w:t xml:space="preserve"> (Wellington, June 2015) at 5. This report is based on a longitudinal study into the problem: see C Waldegrave </w:t>
      </w:r>
      <w:r w:rsidRPr="00837ACE">
        <w:rPr>
          <w:rFonts w:cs="Times New Roman"/>
          <w:i/>
          <w:sz w:val="20"/>
          <w:szCs w:val="20"/>
        </w:rPr>
        <w:t>Measuring Elder Abuse in New Zealand: Findings from the New Zealand Longitudinal Study of Ageing (NZLSA)</w:t>
      </w:r>
      <w:r w:rsidRPr="00837ACE">
        <w:rPr>
          <w:rFonts w:cs="Times New Roman"/>
          <w:sz w:val="20"/>
          <w:szCs w:val="20"/>
        </w:rPr>
        <w:t xml:space="preserve"> (Family Centre Social Policy Research Unit, Wellington, 2015).</w:t>
      </w:r>
    </w:p>
  </w:footnote>
  <w:footnote w:id="157">
    <w:p w14:paraId="7349E2BD"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See the Crimes Act 1961, ss 150A, 151, 195 and 195A. </w:t>
      </w:r>
      <w:r w:rsidRPr="00837ACE">
        <w:rPr>
          <w:rFonts w:cs="Times New Roman"/>
          <w:sz w:val="20"/>
          <w:szCs w:val="20"/>
          <w:lang w:val="en-AU"/>
        </w:rPr>
        <w:t xml:space="preserve">For a detailed account of these sections see T Baker “Legal Protections and Remedies for Elder Abuse, Neglect and Exploitation”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478-484.</w:t>
      </w:r>
    </w:p>
  </w:footnote>
  <w:footnote w:id="158">
    <w:p w14:paraId="748C7062"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For a detailed account of these sections see T Baker “Legal Protections and Remedies for Elder Abuse, Neglect and Exploitation”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484-501.</w:t>
      </w:r>
    </w:p>
  </w:footnote>
  <w:footnote w:id="159">
    <w:p w14:paraId="4AC04607"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L Collins “Elder Abuse and Neglect Prevention”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528.</w:t>
      </w:r>
    </w:p>
  </w:footnote>
  <w:footnote w:id="160">
    <w:p w14:paraId="4D4B6012"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w:t>
      </w:r>
      <w:hyperlink r:id="rId13" w:history="1">
        <w:r w:rsidRPr="00837ACE">
          <w:rPr>
            <w:rStyle w:val="Hyperlink"/>
            <w:rFonts w:cs="Times New Roman"/>
            <w:sz w:val="20"/>
            <w:szCs w:val="20"/>
            <w:lang w:val="en-AU"/>
          </w:rPr>
          <w:t>https://www.ageconcern.org.nz/ACNZ_Public/EANP_contact_information.aspx</w:t>
        </w:r>
      </w:hyperlink>
      <w:r w:rsidRPr="00837ACE">
        <w:rPr>
          <w:rFonts w:cs="Times New Roman"/>
          <w:sz w:val="20"/>
          <w:szCs w:val="20"/>
          <w:lang w:val="en-AU"/>
        </w:rPr>
        <w:t xml:space="preserve"> and L Collins “Elder Abuse and Neglect Prevention”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511.</w:t>
      </w:r>
    </w:p>
  </w:footnote>
  <w:footnote w:id="161">
    <w:p w14:paraId="5FB17119"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See https://www.ageconcern.org.nz/ACNZPublic/Services/EANP/ACNZ_Public/Elder_Abuse_and_Neglect.aspx</w:t>
      </w:r>
    </w:p>
  </w:footnote>
  <w:footnote w:id="162">
    <w:p w14:paraId="354CAEC3"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w:t>
      </w:r>
      <w:hyperlink r:id="rId14" w:anchor="stopelderabuse" w:history="1">
        <w:r w:rsidRPr="00837ACE">
          <w:rPr>
            <w:rStyle w:val="Hyperlink"/>
            <w:rFonts w:cs="Times New Roman"/>
            <w:sz w:val="20"/>
            <w:szCs w:val="20"/>
            <w:lang w:val="en-AU"/>
          </w:rPr>
          <w:t>https://www.ageconcern.org.nz/ACNZPublic/Services/EANP/ACNZ_Public/Elder_Abuse_and_Neglect.aspx#stopelderabuse</w:t>
        </w:r>
      </w:hyperlink>
      <w:r w:rsidRPr="00837ACE">
        <w:rPr>
          <w:rFonts w:cs="Times New Roman"/>
          <w:sz w:val="20"/>
          <w:szCs w:val="20"/>
          <w:lang w:val="en-AU"/>
        </w:rPr>
        <w:t xml:space="preserve">. See also L Collins “Elder Abuse and Neglect Prevention”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522.</w:t>
      </w:r>
    </w:p>
  </w:footnote>
  <w:footnote w:id="163">
    <w:p w14:paraId="59D95125"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For a information about the EANP service see Age Concern’s website at </w:t>
      </w:r>
      <w:hyperlink r:id="rId15" w:history="1">
        <w:r w:rsidRPr="00837ACE">
          <w:rPr>
            <w:rStyle w:val="Hyperlink"/>
            <w:rFonts w:cs="Times New Roman"/>
            <w:sz w:val="20"/>
            <w:szCs w:val="20"/>
            <w:lang w:val="en-AU"/>
          </w:rPr>
          <w:t>http://210.80.148.78/iMIS_Prod/ACNZ_Public/EANP_contact_information.aspx</w:t>
        </w:r>
      </w:hyperlink>
      <w:r w:rsidRPr="00837ACE">
        <w:rPr>
          <w:rFonts w:cs="Times New Roman"/>
          <w:sz w:val="20"/>
          <w:szCs w:val="20"/>
          <w:lang w:val="en-AU"/>
        </w:rPr>
        <w:t xml:space="preserve"> and L Collins “Elder Abuse and Neglect Prevention”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 519-521</w:t>
      </w:r>
    </w:p>
  </w:footnote>
  <w:footnote w:id="164">
    <w:p w14:paraId="010ADE46"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M Duggal “Health Services for Older People: The Role of the District Health Boards” in in Diesfeld and McIntosh eds </w:t>
      </w:r>
      <w:r w:rsidRPr="00837ACE">
        <w:rPr>
          <w:rFonts w:cs="Times New Roman"/>
          <w:i/>
          <w:sz w:val="20"/>
          <w:szCs w:val="20"/>
          <w:lang w:val="en-AU"/>
        </w:rPr>
        <w:t>Elder Law in New Zealand</w:t>
      </w:r>
      <w:r w:rsidRPr="00837ACE">
        <w:rPr>
          <w:rFonts w:cs="Times New Roman"/>
          <w:sz w:val="20"/>
          <w:szCs w:val="20"/>
          <w:lang w:val="en-AU"/>
        </w:rPr>
        <w:t xml:space="preserve"> (Thomson Reuters, Wellington, 2014) at199-216.</w:t>
      </w:r>
    </w:p>
  </w:footnote>
  <w:footnote w:id="165">
    <w:p w14:paraId="18FDD123" w14:textId="77777777" w:rsidR="00DA2390" w:rsidRPr="00837ACE" w:rsidRDefault="00DA2390" w:rsidP="00E747A2">
      <w:pPr>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M Northcott </w:t>
      </w:r>
      <w:r w:rsidRPr="00837ACE">
        <w:rPr>
          <w:rFonts w:cs="Times New Roman"/>
          <w:i/>
          <w:sz w:val="20"/>
          <w:szCs w:val="20"/>
          <w:lang w:val="en-AU"/>
        </w:rPr>
        <w:t>Thousands left off surgery waiting lists suffering indefinitely - study</w:t>
      </w:r>
      <w:r w:rsidRPr="00837ACE">
        <w:rPr>
          <w:rFonts w:cs="Times New Roman"/>
          <w:sz w:val="20"/>
          <w:szCs w:val="20"/>
          <w:lang w:val="en-AU"/>
        </w:rPr>
        <w:t xml:space="preserve"> (24 March 2017) available at </w:t>
      </w:r>
      <w:hyperlink r:id="rId16" w:history="1">
        <w:r w:rsidRPr="00837ACE">
          <w:rPr>
            <w:rStyle w:val="Hyperlink"/>
            <w:rFonts w:cs="Times New Roman"/>
            <w:sz w:val="20"/>
            <w:szCs w:val="20"/>
          </w:rPr>
          <w:t>https://www.stuff.co.nz/national/health/90770259/thousands-left-off-surgery-waiting-lists-suffering-indefinitely--study</w:t>
        </w:r>
      </w:hyperlink>
      <w:r w:rsidRPr="00837ACE">
        <w:rPr>
          <w:rFonts w:cs="Times New Roman"/>
          <w:sz w:val="20"/>
          <w:szCs w:val="20"/>
        </w:rPr>
        <w:t xml:space="preserve">, S Kirk </w:t>
      </w:r>
      <w:r w:rsidRPr="00837ACE">
        <w:rPr>
          <w:rFonts w:cs="Times New Roman"/>
          <w:i/>
          <w:sz w:val="20"/>
          <w:szCs w:val="20"/>
        </w:rPr>
        <w:t>Who is missing out on surgery? Government releases first figures of 'phantom waiting list'</w:t>
      </w:r>
      <w:r w:rsidRPr="00837ACE">
        <w:rPr>
          <w:rFonts w:cs="Times New Roman"/>
          <w:sz w:val="20"/>
          <w:szCs w:val="20"/>
        </w:rPr>
        <w:t xml:space="preserve"> (March 7 2016) available at </w:t>
      </w:r>
      <w:hyperlink r:id="rId17" w:history="1">
        <w:r w:rsidRPr="00837ACE">
          <w:rPr>
            <w:rStyle w:val="Hyperlink"/>
            <w:rFonts w:cs="Times New Roman"/>
            <w:sz w:val="20"/>
            <w:szCs w:val="20"/>
          </w:rPr>
          <w:t>https://www.stuff.co.nz/national/politics/77566630/Who-is-missing-out-on-surgery-Government-releases-first-figures-of-phantom-waiting-list?cid=app-iPhone</w:t>
        </w:r>
      </w:hyperlink>
      <w:r w:rsidRPr="00837ACE">
        <w:rPr>
          <w:rFonts w:cs="Times New Roman"/>
          <w:sz w:val="20"/>
          <w:szCs w:val="20"/>
        </w:rPr>
        <w:t>.</w:t>
      </w:r>
    </w:p>
  </w:footnote>
  <w:footnote w:id="166">
    <w:p w14:paraId="5C4CFDE9"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See A Stewart </w:t>
      </w:r>
      <w:r w:rsidRPr="00837ACE">
        <w:rPr>
          <w:rFonts w:cs="Times New Roman"/>
          <w:i/>
          <w:sz w:val="20"/>
          <w:szCs w:val="20"/>
          <w:lang w:val="en-AU"/>
        </w:rPr>
        <w:t>'Human scandal' as Christchurch elderly refused access to surgeries</w:t>
      </w:r>
      <w:r w:rsidRPr="00837ACE">
        <w:rPr>
          <w:rFonts w:cs="Times New Roman"/>
          <w:sz w:val="20"/>
          <w:szCs w:val="20"/>
          <w:lang w:val="en-AU"/>
        </w:rPr>
        <w:t xml:space="preserve"> (7 January 2006) available at https://www.stuff.co.nz/national/health/75696751/Human-scandal-as-Christchurch-elderly-refused-access-to-surgeries.</w:t>
      </w:r>
    </w:p>
  </w:footnote>
  <w:footnote w:id="167">
    <w:p w14:paraId="10B5C2F4" w14:textId="77777777" w:rsidR="00DA2390" w:rsidRPr="00837ACE" w:rsidRDefault="00DA2390" w:rsidP="00E747A2">
      <w:pPr>
        <w:rPr>
          <w:rFonts w:cs="Times New Roman"/>
          <w:sz w:val="20"/>
          <w:szCs w:val="20"/>
        </w:rPr>
      </w:pPr>
      <w:r w:rsidRPr="00837ACE">
        <w:rPr>
          <w:rStyle w:val="FootnoteReference"/>
          <w:rFonts w:cs="Times New Roman"/>
          <w:sz w:val="20"/>
          <w:szCs w:val="20"/>
        </w:rPr>
        <w:footnoteRef/>
      </w:r>
      <w:r w:rsidRPr="00837ACE">
        <w:rPr>
          <w:rFonts w:cs="Times New Roman"/>
          <w:sz w:val="20"/>
          <w:szCs w:val="20"/>
        </w:rPr>
        <w:t xml:space="preserve"> A Stewart 174,000 Kiwis left off surgery waiting lists, with Cantabrians and Aucklanders faring worst (11 April 2016) available at https://www.stuff.co.nz/national/health/78698068/174-000-Kiwis-left-off-surgery-waiting-lists-with-Cantabrians-and-Aucklanders-faring-worst.</w:t>
      </w:r>
    </w:p>
  </w:footnote>
  <w:footnote w:id="168">
    <w:p w14:paraId="2804CAA2"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A Stewart </w:t>
      </w:r>
      <w:r w:rsidRPr="00837ACE">
        <w:rPr>
          <w:rFonts w:cs="Times New Roman"/>
          <w:i/>
          <w:sz w:val="20"/>
          <w:szCs w:val="20"/>
          <w:lang w:val="en-AU"/>
        </w:rPr>
        <w:t>'Human scandal' as Christchurch elderly refused access to surgeries</w:t>
      </w:r>
      <w:r w:rsidRPr="00837ACE">
        <w:rPr>
          <w:rFonts w:cs="Times New Roman"/>
          <w:sz w:val="20"/>
          <w:szCs w:val="20"/>
          <w:lang w:val="en-AU"/>
        </w:rPr>
        <w:t xml:space="preserve"> (7 January 2006) available at https://www.stuff.co.nz/national/health/75696751/Human-scandal-as-Christchurch-elderly-refused-access-to-surgeries.</w:t>
      </w:r>
    </w:p>
  </w:footnote>
  <w:footnote w:id="169">
    <w:p w14:paraId="5ADE60F9" w14:textId="77777777" w:rsidR="00DA2390" w:rsidRPr="00837ACE" w:rsidRDefault="00DA2390" w:rsidP="00E747A2">
      <w:pPr>
        <w:pStyle w:val="FootnoteText"/>
        <w:rPr>
          <w:rFonts w:cs="Times New Roman"/>
          <w:sz w:val="20"/>
          <w:szCs w:val="20"/>
          <w:lang w:val="en-AU"/>
        </w:rPr>
      </w:pPr>
      <w:r w:rsidRPr="00837ACE">
        <w:rPr>
          <w:rStyle w:val="FootnoteReference"/>
          <w:rFonts w:cs="Times New Roman"/>
          <w:sz w:val="20"/>
          <w:szCs w:val="20"/>
        </w:rPr>
        <w:footnoteRef/>
      </w:r>
      <w:r w:rsidRPr="00837ACE">
        <w:rPr>
          <w:rFonts w:cs="Times New Roman"/>
          <w:sz w:val="20"/>
          <w:szCs w:val="20"/>
        </w:rPr>
        <w:t xml:space="preserve"> See </w:t>
      </w:r>
      <w:r w:rsidRPr="00837ACE">
        <w:rPr>
          <w:rFonts w:cs="Times New Roman"/>
          <w:sz w:val="20"/>
          <w:szCs w:val="20"/>
          <w:lang w:val="en-AU"/>
        </w:rPr>
        <w:t xml:space="preserve">A Stewart </w:t>
      </w:r>
      <w:r w:rsidRPr="00837ACE">
        <w:rPr>
          <w:rFonts w:cs="Times New Roman"/>
          <w:i/>
          <w:sz w:val="20"/>
          <w:szCs w:val="20"/>
          <w:lang w:val="en-AU"/>
        </w:rPr>
        <w:t>'Human scandal' as Christchurch elderly refused access to surgeries</w:t>
      </w:r>
      <w:r w:rsidRPr="00837ACE">
        <w:rPr>
          <w:rFonts w:cs="Times New Roman"/>
          <w:sz w:val="20"/>
          <w:szCs w:val="20"/>
          <w:lang w:val="en-AU"/>
        </w:rPr>
        <w:t xml:space="preserve"> (7 January 2006) available at https://www.stuff.co.nz/national/health/75696751/Human-scandal-as-Christchurch-elderly-refused-access-to-surgeries.</w:t>
      </w:r>
    </w:p>
  </w:footnote>
  <w:footnote w:id="170">
    <w:p w14:paraId="203B0C2C" w14:textId="77777777" w:rsidR="00DA2390" w:rsidRPr="00837ACE" w:rsidRDefault="00DA2390" w:rsidP="00E747A2">
      <w:pPr>
        <w:rPr>
          <w:rFonts w:cs="Times New Roman"/>
          <w:b/>
          <w:sz w:val="20"/>
          <w:szCs w:val="20"/>
        </w:rPr>
      </w:pPr>
      <w:r w:rsidRPr="00837ACE">
        <w:rPr>
          <w:rStyle w:val="FootnoteReference"/>
          <w:rFonts w:cs="Times New Roman"/>
          <w:sz w:val="20"/>
          <w:szCs w:val="20"/>
        </w:rPr>
        <w:footnoteRef/>
      </w:r>
      <w:r w:rsidRPr="00837ACE">
        <w:rPr>
          <w:rFonts w:cs="Times New Roman"/>
          <w:sz w:val="20"/>
          <w:szCs w:val="20"/>
        </w:rPr>
        <w:t xml:space="preserve"> </w:t>
      </w:r>
      <w:r w:rsidRPr="00837ACE">
        <w:rPr>
          <w:rFonts w:cs="Times New Roman"/>
          <w:sz w:val="20"/>
          <w:szCs w:val="20"/>
          <w:lang w:val="en-AU"/>
        </w:rPr>
        <w:t xml:space="preserve">One other issue that needs to be monitored is the Parliamentary Bill called </w:t>
      </w:r>
      <w:r w:rsidRPr="00837ACE">
        <w:rPr>
          <w:rFonts w:cs="Times New Roman"/>
          <w:sz w:val="20"/>
          <w:szCs w:val="20"/>
        </w:rPr>
        <w:t>The End of Life Choice Bill</w:t>
      </w:r>
      <w:r w:rsidRPr="00837ACE">
        <w:rPr>
          <w:rFonts w:cs="Times New Roman"/>
          <w:b/>
          <w:sz w:val="20"/>
          <w:szCs w:val="20"/>
        </w:rPr>
        <w:t xml:space="preserve"> </w:t>
      </w:r>
      <w:r w:rsidRPr="00837ACE">
        <w:rPr>
          <w:rFonts w:cs="Times New Roman"/>
          <w:sz w:val="20"/>
          <w:szCs w:val="20"/>
        </w:rPr>
        <w:t>which proposes to give people with a terminal illness or a grievous and irremediable medical condition the option of requesting assisted dying. Under no circumstances should the Bill (especially if it is enacted) be used to justify an argument that elderly people with terminal illnesses or grievous medical conditions should be encouraged to end their lives and thereby decrease the number of people on hospital waiting lists.</w:t>
      </w:r>
    </w:p>
    <w:p w14:paraId="144EB40D" w14:textId="77777777" w:rsidR="00DA2390" w:rsidRPr="00837ACE" w:rsidRDefault="00DA2390" w:rsidP="00E747A2">
      <w:pPr>
        <w:pStyle w:val="FootnoteText"/>
        <w:rPr>
          <w:rFonts w:cs="Times New Roman"/>
          <w:sz w:val="20"/>
          <w:szCs w:val="20"/>
          <w:lang w:val="en-A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274"/>
    <w:multiLevelType w:val="hybridMultilevel"/>
    <w:tmpl w:val="FA5E712C"/>
    <w:lvl w:ilvl="0" w:tplc="A87049DC">
      <w:start w:val="236"/>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05CDE"/>
    <w:multiLevelType w:val="hybridMultilevel"/>
    <w:tmpl w:val="10341886"/>
    <w:lvl w:ilvl="0" w:tplc="2C6811C8">
      <w:start w:val="21"/>
      <w:numFmt w:val="decimal"/>
      <w:lvlText w:val="%1."/>
      <w:lvlJc w:val="left"/>
      <w:pPr>
        <w:ind w:left="1080" w:hanging="360"/>
      </w:pPr>
      <w:rPr>
        <w:rFonts w:hint="default"/>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
    <w:nsid w:val="02E41A53"/>
    <w:multiLevelType w:val="hybridMultilevel"/>
    <w:tmpl w:val="4CA4C776"/>
    <w:lvl w:ilvl="0" w:tplc="2EA6E28E">
      <w:start w:val="229"/>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C437F9"/>
    <w:multiLevelType w:val="hybridMultilevel"/>
    <w:tmpl w:val="1DDCC88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04E86371"/>
    <w:multiLevelType w:val="hybridMultilevel"/>
    <w:tmpl w:val="2F0082A8"/>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
    <w:nsid w:val="05E430D6"/>
    <w:multiLevelType w:val="hybridMultilevel"/>
    <w:tmpl w:val="19DC843E"/>
    <w:lvl w:ilvl="0" w:tplc="FFE499C8">
      <w:start w:val="233"/>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405C73"/>
    <w:multiLevelType w:val="hybridMultilevel"/>
    <w:tmpl w:val="A0127B2E"/>
    <w:lvl w:ilvl="0" w:tplc="6A5EF8FE">
      <w:start w:val="1"/>
      <w:numFmt w:val="lowerLetter"/>
      <w:lvlText w:val="%1."/>
      <w:lvlJc w:val="left"/>
      <w:pPr>
        <w:ind w:left="810" w:hanging="360"/>
      </w:pPr>
      <w:rPr>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078E78AB"/>
    <w:multiLevelType w:val="hybridMultilevel"/>
    <w:tmpl w:val="39BA1E08"/>
    <w:lvl w:ilvl="0" w:tplc="82683440">
      <w:start w:val="218"/>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3F6E8C"/>
    <w:multiLevelType w:val="hybridMultilevel"/>
    <w:tmpl w:val="897E1746"/>
    <w:lvl w:ilvl="0" w:tplc="DC6CDBF6">
      <w:start w:val="2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E004FE"/>
    <w:multiLevelType w:val="hybridMultilevel"/>
    <w:tmpl w:val="5AD4DBB2"/>
    <w:lvl w:ilvl="0" w:tplc="1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D25ADF"/>
    <w:multiLevelType w:val="hybridMultilevel"/>
    <w:tmpl w:val="DF6CCC5A"/>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BA43B80"/>
    <w:multiLevelType w:val="hybridMultilevel"/>
    <w:tmpl w:val="2B4C66D2"/>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0C554F17"/>
    <w:multiLevelType w:val="hybridMultilevel"/>
    <w:tmpl w:val="80CE04AC"/>
    <w:lvl w:ilvl="0" w:tplc="18A603E8">
      <w:start w:val="216"/>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D57096"/>
    <w:multiLevelType w:val="hybridMultilevel"/>
    <w:tmpl w:val="DA129CC6"/>
    <w:lvl w:ilvl="0" w:tplc="B58E9366">
      <w:start w:val="230"/>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19D8"/>
    <w:multiLevelType w:val="hybridMultilevel"/>
    <w:tmpl w:val="35D81C9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12AC0B5A"/>
    <w:multiLevelType w:val="hybridMultilevel"/>
    <w:tmpl w:val="6972CB30"/>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2B97849"/>
    <w:multiLevelType w:val="hybridMultilevel"/>
    <w:tmpl w:val="28161D66"/>
    <w:lvl w:ilvl="0" w:tplc="D38C4420">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12E04756"/>
    <w:multiLevelType w:val="hybridMultilevel"/>
    <w:tmpl w:val="034EFF22"/>
    <w:lvl w:ilvl="0" w:tplc="DC6CDBF6">
      <w:start w:val="21"/>
      <w:numFmt w:val="decimal"/>
      <w:lvlText w:val="%1"/>
      <w:lvlJc w:val="left"/>
      <w:pPr>
        <w:ind w:left="144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412F18"/>
    <w:multiLevelType w:val="hybridMultilevel"/>
    <w:tmpl w:val="F2869262"/>
    <w:lvl w:ilvl="0" w:tplc="FFE499C8">
      <w:start w:val="233"/>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B80227D"/>
    <w:multiLevelType w:val="multilevel"/>
    <w:tmpl w:val="9CCA9768"/>
    <w:lvl w:ilvl="0">
      <w:start w:val="1"/>
      <w:numFmt w:val="decimal"/>
      <w:lvlText w:val="%1"/>
      <w:lvlJc w:val="left"/>
      <w:pPr>
        <w:ind w:left="405" w:hanging="405"/>
      </w:pPr>
      <w:rPr>
        <w:rFonts w:ascii="Arial" w:hAnsi="Arial" w:cs="Arial" w:hint="default"/>
      </w:rPr>
    </w:lvl>
    <w:lvl w:ilvl="1">
      <w:start w:val="1"/>
      <w:numFmt w:val="decimal"/>
      <w:lvlText w:val="%1.%2"/>
      <w:lvlJc w:val="left"/>
      <w:pPr>
        <w:ind w:left="405" w:hanging="40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0">
    <w:nsid w:val="21781E97"/>
    <w:multiLevelType w:val="hybridMultilevel"/>
    <w:tmpl w:val="7722B70E"/>
    <w:lvl w:ilvl="0" w:tplc="E80E1080">
      <w:start w:val="239"/>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1687"/>
    <w:multiLevelType w:val="hybridMultilevel"/>
    <w:tmpl w:val="DD7674EC"/>
    <w:lvl w:ilvl="0" w:tplc="60B2E832">
      <w:start w:val="215"/>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7C71B5"/>
    <w:multiLevelType w:val="hybridMultilevel"/>
    <w:tmpl w:val="DADA8272"/>
    <w:lvl w:ilvl="0" w:tplc="CC987B6C">
      <w:start w:val="1"/>
      <w:numFmt w:val="lowerLetter"/>
      <w:lvlText w:val="%1."/>
      <w:lvlJc w:val="left"/>
      <w:pPr>
        <w:ind w:left="144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A17D3A"/>
    <w:multiLevelType w:val="hybridMultilevel"/>
    <w:tmpl w:val="C512DF8A"/>
    <w:lvl w:ilvl="0" w:tplc="5C30393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2AAB14C0"/>
    <w:multiLevelType w:val="hybridMultilevel"/>
    <w:tmpl w:val="188285E0"/>
    <w:lvl w:ilvl="0" w:tplc="3E5A5CAC">
      <w:start w:val="151"/>
      <w:numFmt w:val="decimal"/>
      <w:lvlText w:val="%1"/>
      <w:lvlJc w:val="left"/>
      <w:pPr>
        <w:ind w:left="420" w:hanging="420"/>
      </w:pPr>
      <w:rPr>
        <w:rFonts w:hint="default"/>
      </w:rPr>
    </w:lvl>
    <w:lvl w:ilvl="1" w:tplc="44200012">
      <w:start w:val="1"/>
      <w:numFmt w:val="lowerLetter"/>
      <w:lvlText w:val="%2."/>
      <w:lvlJc w:val="left"/>
      <w:pPr>
        <w:ind w:left="1440" w:hanging="360"/>
      </w:pPr>
      <w:rPr>
        <w:i w:val="0"/>
      </w:rPr>
    </w:lvl>
    <w:lvl w:ilvl="2" w:tplc="20F23D56">
      <w:start w:val="1"/>
      <w:numFmt w:val="lowerLetter"/>
      <w:lvlText w:val="%3."/>
      <w:lvlJc w:val="left"/>
      <w:pPr>
        <w:ind w:left="2160" w:hanging="180"/>
      </w:pPr>
      <w:rPr>
        <w:rFonts w:ascii="Times New Roman" w:eastAsia="Times New Roman" w:hAnsi="Times New Roman" w:cs="Times New Roman"/>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CA97C70"/>
    <w:multiLevelType w:val="hybridMultilevel"/>
    <w:tmpl w:val="49E8A85C"/>
    <w:lvl w:ilvl="0" w:tplc="3E301C48">
      <w:start w:val="237"/>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260487A"/>
    <w:multiLevelType w:val="multilevel"/>
    <w:tmpl w:val="6448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A05B01"/>
    <w:multiLevelType w:val="multilevel"/>
    <w:tmpl w:val="F00A5F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8C17E93"/>
    <w:multiLevelType w:val="hybridMultilevel"/>
    <w:tmpl w:val="EDA20BA8"/>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3D2B6C5F"/>
    <w:multiLevelType w:val="hybridMultilevel"/>
    <w:tmpl w:val="6A7205FA"/>
    <w:lvl w:ilvl="0" w:tplc="0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nsid w:val="3D936529"/>
    <w:multiLevelType w:val="hybridMultilevel"/>
    <w:tmpl w:val="4C9204AE"/>
    <w:lvl w:ilvl="0" w:tplc="3E301C48">
      <w:start w:val="237"/>
      <w:numFmt w:val="decimal"/>
      <w:lvlText w:val="%1"/>
      <w:lvlJc w:val="left"/>
      <w:pPr>
        <w:ind w:left="99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E5044C0"/>
    <w:multiLevelType w:val="hybridMultilevel"/>
    <w:tmpl w:val="BB5C47E8"/>
    <w:lvl w:ilvl="0" w:tplc="18A603E8">
      <w:start w:val="216"/>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F364A92"/>
    <w:multiLevelType w:val="hybridMultilevel"/>
    <w:tmpl w:val="2F0082A8"/>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nsid w:val="428D5D5D"/>
    <w:multiLevelType w:val="hybridMultilevel"/>
    <w:tmpl w:val="5F4A0A2C"/>
    <w:lvl w:ilvl="0" w:tplc="99725AD2">
      <w:start w:val="1"/>
      <w:numFmt w:val="lowerLetter"/>
      <w:lvlText w:val="%1."/>
      <w:lvlJc w:val="left"/>
      <w:pPr>
        <w:ind w:left="1451" w:hanging="360"/>
      </w:pPr>
      <w:rPr>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34">
    <w:nsid w:val="43530C66"/>
    <w:multiLevelType w:val="hybridMultilevel"/>
    <w:tmpl w:val="A2447CC6"/>
    <w:lvl w:ilvl="0" w:tplc="FCEA3ACC">
      <w:start w:val="13"/>
      <w:numFmt w:val="decimal"/>
      <w:lvlText w:val="%1"/>
      <w:lvlJc w:val="left"/>
      <w:pPr>
        <w:ind w:left="-1800" w:hanging="360"/>
      </w:pPr>
      <w:rPr>
        <w:rFonts w:hint="default"/>
        <w:b w:val="0"/>
        <w:sz w:val="28"/>
        <w:szCs w:val="28"/>
      </w:rPr>
    </w:lvl>
    <w:lvl w:ilvl="1" w:tplc="D38C4420">
      <w:start w:val="1"/>
      <w:numFmt w:val="lowerLetter"/>
      <w:lvlText w:val="%2."/>
      <w:lvlJc w:val="left"/>
      <w:pPr>
        <w:ind w:left="3391" w:hanging="360"/>
      </w:pPr>
      <w:rPr>
        <w:b/>
      </w:rPr>
    </w:lvl>
    <w:lvl w:ilvl="2" w:tplc="1409001B">
      <w:start w:val="1"/>
      <w:numFmt w:val="lowerRoman"/>
      <w:lvlText w:val="%3."/>
      <w:lvlJc w:val="right"/>
      <w:pPr>
        <w:ind w:left="4111" w:hanging="180"/>
      </w:pPr>
    </w:lvl>
    <w:lvl w:ilvl="3" w:tplc="1409000F" w:tentative="1">
      <w:start w:val="1"/>
      <w:numFmt w:val="decimal"/>
      <w:lvlText w:val="%4."/>
      <w:lvlJc w:val="left"/>
      <w:pPr>
        <w:ind w:left="4831" w:hanging="360"/>
      </w:pPr>
    </w:lvl>
    <w:lvl w:ilvl="4" w:tplc="14090019" w:tentative="1">
      <w:start w:val="1"/>
      <w:numFmt w:val="lowerLetter"/>
      <w:lvlText w:val="%5."/>
      <w:lvlJc w:val="left"/>
      <w:pPr>
        <w:ind w:left="5551" w:hanging="360"/>
      </w:pPr>
    </w:lvl>
    <w:lvl w:ilvl="5" w:tplc="1409001B" w:tentative="1">
      <w:start w:val="1"/>
      <w:numFmt w:val="lowerRoman"/>
      <w:lvlText w:val="%6."/>
      <w:lvlJc w:val="right"/>
      <w:pPr>
        <w:ind w:left="6271" w:hanging="180"/>
      </w:pPr>
    </w:lvl>
    <w:lvl w:ilvl="6" w:tplc="1409000F" w:tentative="1">
      <w:start w:val="1"/>
      <w:numFmt w:val="decimal"/>
      <w:lvlText w:val="%7."/>
      <w:lvlJc w:val="left"/>
      <w:pPr>
        <w:ind w:left="6991" w:hanging="360"/>
      </w:pPr>
    </w:lvl>
    <w:lvl w:ilvl="7" w:tplc="14090019" w:tentative="1">
      <w:start w:val="1"/>
      <w:numFmt w:val="lowerLetter"/>
      <w:lvlText w:val="%8."/>
      <w:lvlJc w:val="left"/>
      <w:pPr>
        <w:ind w:left="7711" w:hanging="360"/>
      </w:pPr>
    </w:lvl>
    <w:lvl w:ilvl="8" w:tplc="1409001B" w:tentative="1">
      <w:start w:val="1"/>
      <w:numFmt w:val="lowerRoman"/>
      <w:lvlText w:val="%9."/>
      <w:lvlJc w:val="right"/>
      <w:pPr>
        <w:ind w:left="8431" w:hanging="180"/>
      </w:pPr>
    </w:lvl>
  </w:abstractNum>
  <w:abstractNum w:abstractNumId="35">
    <w:nsid w:val="45C7225B"/>
    <w:multiLevelType w:val="hybridMultilevel"/>
    <w:tmpl w:val="21D09010"/>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46667727"/>
    <w:multiLevelType w:val="hybridMultilevel"/>
    <w:tmpl w:val="DEB438E2"/>
    <w:lvl w:ilvl="0" w:tplc="D38C442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7F41BC6"/>
    <w:multiLevelType w:val="hybridMultilevel"/>
    <w:tmpl w:val="D92E4430"/>
    <w:lvl w:ilvl="0" w:tplc="DC6CDBF6">
      <w:start w:val="21"/>
      <w:numFmt w:val="decimal"/>
      <w:lvlText w:val="%1"/>
      <w:lvlJc w:val="left"/>
      <w:pPr>
        <w:ind w:left="81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489668A1"/>
    <w:multiLevelType w:val="hybridMultilevel"/>
    <w:tmpl w:val="F244D7B4"/>
    <w:lvl w:ilvl="0" w:tplc="CD62B296">
      <w:start w:val="23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A586660"/>
    <w:multiLevelType w:val="hybridMultilevel"/>
    <w:tmpl w:val="A5AC25C2"/>
    <w:lvl w:ilvl="0" w:tplc="EA7068EA">
      <w:start w:val="1"/>
      <w:numFmt w:val="lowerLetter"/>
      <w:lvlText w:val="%1."/>
      <w:lvlJc w:val="left"/>
      <w:pPr>
        <w:ind w:left="2160" w:hanging="360"/>
      </w:pPr>
      <w:rPr>
        <w:rFonts w:ascii="Times New Roman" w:eastAsiaTheme="minorEastAsia" w:hAnsi="Times New Roman" w:cs="Times New Roman"/>
      </w:r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0">
    <w:nsid w:val="4E2B09EA"/>
    <w:multiLevelType w:val="hybridMultilevel"/>
    <w:tmpl w:val="3ED275C2"/>
    <w:lvl w:ilvl="0" w:tplc="FCEA3ACC">
      <w:start w:val="13"/>
      <w:numFmt w:val="decimal"/>
      <w:lvlText w:val="%1"/>
      <w:lvlJc w:val="left"/>
      <w:pPr>
        <w:ind w:left="-1800" w:hanging="360"/>
      </w:pPr>
      <w:rPr>
        <w:rFonts w:hint="default"/>
        <w:b w:val="0"/>
        <w:sz w:val="28"/>
        <w:szCs w:val="28"/>
      </w:rPr>
    </w:lvl>
    <w:lvl w:ilvl="1" w:tplc="D38C4420">
      <w:start w:val="1"/>
      <w:numFmt w:val="lowerLetter"/>
      <w:lvlText w:val="%2."/>
      <w:lvlJc w:val="left"/>
      <w:pPr>
        <w:ind w:left="3391" w:hanging="360"/>
      </w:pPr>
      <w:rPr>
        <w:b/>
      </w:rPr>
    </w:lvl>
    <w:lvl w:ilvl="2" w:tplc="1409001B">
      <w:start w:val="1"/>
      <w:numFmt w:val="lowerRoman"/>
      <w:lvlText w:val="%3."/>
      <w:lvlJc w:val="right"/>
      <w:pPr>
        <w:ind w:left="4111" w:hanging="180"/>
      </w:pPr>
    </w:lvl>
    <w:lvl w:ilvl="3" w:tplc="1409000F" w:tentative="1">
      <w:start w:val="1"/>
      <w:numFmt w:val="decimal"/>
      <w:lvlText w:val="%4."/>
      <w:lvlJc w:val="left"/>
      <w:pPr>
        <w:ind w:left="4831" w:hanging="360"/>
      </w:pPr>
    </w:lvl>
    <w:lvl w:ilvl="4" w:tplc="14090019" w:tentative="1">
      <w:start w:val="1"/>
      <w:numFmt w:val="lowerLetter"/>
      <w:lvlText w:val="%5."/>
      <w:lvlJc w:val="left"/>
      <w:pPr>
        <w:ind w:left="5551" w:hanging="360"/>
      </w:pPr>
    </w:lvl>
    <w:lvl w:ilvl="5" w:tplc="1409001B" w:tentative="1">
      <w:start w:val="1"/>
      <w:numFmt w:val="lowerRoman"/>
      <w:lvlText w:val="%6."/>
      <w:lvlJc w:val="right"/>
      <w:pPr>
        <w:ind w:left="6271" w:hanging="180"/>
      </w:pPr>
    </w:lvl>
    <w:lvl w:ilvl="6" w:tplc="1409000F" w:tentative="1">
      <w:start w:val="1"/>
      <w:numFmt w:val="decimal"/>
      <w:lvlText w:val="%7."/>
      <w:lvlJc w:val="left"/>
      <w:pPr>
        <w:ind w:left="6991" w:hanging="360"/>
      </w:pPr>
    </w:lvl>
    <w:lvl w:ilvl="7" w:tplc="14090019" w:tentative="1">
      <w:start w:val="1"/>
      <w:numFmt w:val="lowerLetter"/>
      <w:lvlText w:val="%8."/>
      <w:lvlJc w:val="left"/>
      <w:pPr>
        <w:ind w:left="7711" w:hanging="360"/>
      </w:pPr>
    </w:lvl>
    <w:lvl w:ilvl="8" w:tplc="1409001B" w:tentative="1">
      <w:start w:val="1"/>
      <w:numFmt w:val="lowerRoman"/>
      <w:lvlText w:val="%9."/>
      <w:lvlJc w:val="right"/>
      <w:pPr>
        <w:ind w:left="8431" w:hanging="180"/>
      </w:pPr>
    </w:lvl>
  </w:abstractNum>
  <w:abstractNum w:abstractNumId="41">
    <w:nsid w:val="50D66DE6"/>
    <w:multiLevelType w:val="hybridMultilevel"/>
    <w:tmpl w:val="DD24304A"/>
    <w:lvl w:ilvl="0" w:tplc="D38C4420">
      <w:start w:val="1"/>
      <w:numFmt w:val="lowerLetter"/>
      <w:lvlText w:val="%1."/>
      <w:lvlJc w:val="left"/>
      <w:pPr>
        <w:ind w:left="810" w:hanging="360"/>
      </w:pPr>
      <w:rPr>
        <w:rFonts w:hint="default"/>
        <w:b/>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42">
    <w:nsid w:val="54FE5C8F"/>
    <w:multiLevelType w:val="hybridMultilevel"/>
    <w:tmpl w:val="DF6CCC5A"/>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50F5573"/>
    <w:multiLevelType w:val="hybridMultilevel"/>
    <w:tmpl w:val="E05E2C04"/>
    <w:lvl w:ilvl="0" w:tplc="1409001B">
      <w:start w:val="1"/>
      <w:numFmt w:val="lowerRoman"/>
      <w:lvlText w:val="%1."/>
      <w:lvlJc w:val="right"/>
      <w:pPr>
        <w:ind w:left="25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5921A33"/>
    <w:multiLevelType w:val="hybridMultilevel"/>
    <w:tmpl w:val="57CA3E7E"/>
    <w:lvl w:ilvl="0" w:tplc="DC6CDBF6">
      <w:start w:val="21"/>
      <w:numFmt w:val="decimal"/>
      <w:lvlText w:val="%1"/>
      <w:lvlJc w:val="left"/>
      <w:pPr>
        <w:ind w:left="810" w:hanging="360"/>
      </w:pPr>
      <w:rPr>
        <w:rFonts w:hint="default"/>
        <w:b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55BC43F5"/>
    <w:multiLevelType w:val="hybridMultilevel"/>
    <w:tmpl w:val="1DDCC88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nsid w:val="58630C7A"/>
    <w:multiLevelType w:val="hybridMultilevel"/>
    <w:tmpl w:val="35D81C9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nsid w:val="5B342653"/>
    <w:multiLevelType w:val="hybridMultilevel"/>
    <w:tmpl w:val="BB9010E2"/>
    <w:lvl w:ilvl="0" w:tplc="26A885F6">
      <w:start w:val="211"/>
      <w:numFmt w:val="decimal"/>
      <w:lvlText w:val="%1"/>
      <w:lvlJc w:val="left"/>
      <w:pPr>
        <w:ind w:left="-1800" w:hanging="360"/>
      </w:pPr>
      <w:rPr>
        <w:rFonts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DB53EE4"/>
    <w:multiLevelType w:val="hybridMultilevel"/>
    <w:tmpl w:val="1DDCC88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nsid w:val="61CC2A86"/>
    <w:multiLevelType w:val="multilevel"/>
    <w:tmpl w:val="4698C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1CE6CB6"/>
    <w:multiLevelType w:val="hybridMultilevel"/>
    <w:tmpl w:val="FE8CEB3C"/>
    <w:lvl w:ilvl="0" w:tplc="DDDE155A">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8793FED"/>
    <w:multiLevelType w:val="hybridMultilevel"/>
    <w:tmpl w:val="6638D64A"/>
    <w:lvl w:ilvl="0" w:tplc="4420001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8DA5346"/>
    <w:multiLevelType w:val="hybridMultilevel"/>
    <w:tmpl w:val="0658C4FC"/>
    <w:lvl w:ilvl="0" w:tplc="B89A9CFC">
      <w:start w:val="1"/>
      <w:numFmt w:val="bullet"/>
      <w:lvlText w:val=""/>
      <w:lvlJc w:val="left"/>
      <w:pPr>
        <w:ind w:left="1572" w:hanging="360"/>
      </w:pPr>
      <w:rPr>
        <w:rFonts w:ascii="Symbol" w:hAnsi="Symbol" w:hint="default"/>
        <w:color w:val="000000"/>
      </w:rPr>
    </w:lvl>
    <w:lvl w:ilvl="1" w:tplc="830CD1B6" w:tentative="1">
      <w:start w:val="1"/>
      <w:numFmt w:val="bullet"/>
      <w:lvlText w:val="o"/>
      <w:lvlJc w:val="left"/>
      <w:pPr>
        <w:ind w:left="2292" w:hanging="360"/>
      </w:pPr>
      <w:rPr>
        <w:rFonts w:ascii="Courier New" w:hAnsi="Courier New" w:cs="Courier New" w:hint="default"/>
        <w:color w:val="000000"/>
      </w:rPr>
    </w:lvl>
    <w:lvl w:ilvl="2" w:tplc="3418F3A8" w:tentative="1">
      <w:start w:val="1"/>
      <w:numFmt w:val="bullet"/>
      <w:lvlText w:val=""/>
      <w:lvlJc w:val="left"/>
      <w:pPr>
        <w:ind w:left="3012" w:hanging="360"/>
      </w:pPr>
      <w:rPr>
        <w:rFonts w:ascii="Wingdings" w:hAnsi="Wingdings" w:hint="default"/>
        <w:color w:val="000000"/>
      </w:rPr>
    </w:lvl>
    <w:lvl w:ilvl="3" w:tplc="8946E34C" w:tentative="1">
      <w:start w:val="1"/>
      <w:numFmt w:val="bullet"/>
      <w:lvlText w:val=""/>
      <w:lvlJc w:val="left"/>
      <w:pPr>
        <w:ind w:left="3732" w:hanging="360"/>
      </w:pPr>
      <w:rPr>
        <w:rFonts w:ascii="Symbol" w:hAnsi="Symbol" w:hint="default"/>
        <w:color w:val="000000"/>
      </w:rPr>
    </w:lvl>
    <w:lvl w:ilvl="4" w:tplc="8D821A08" w:tentative="1">
      <w:start w:val="1"/>
      <w:numFmt w:val="bullet"/>
      <w:lvlText w:val="o"/>
      <w:lvlJc w:val="left"/>
      <w:pPr>
        <w:ind w:left="4452" w:hanging="360"/>
      </w:pPr>
      <w:rPr>
        <w:rFonts w:ascii="Courier New" w:hAnsi="Courier New" w:cs="Courier New" w:hint="default"/>
        <w:color w:val="000000"/>
      </w:rPr>
    </w:lvl>
    <w:lvl w:ilvl="5" w:tplc="7090D116" w:tentative="1">
      <w:start w:val="1"/>
      <w:numFmt w:val="bullet"/>
      <w:lvlText w:val=""/>
      <w:lvlJc w:val="left"/>
      <w:pPr>
        <w:ind w:left="5172" w:hanging="360"/>
      </w:pPr>
      <w:rPr>
        <w:rFonts w:ascii="Wingdings" w:hAnsi="Wingdings" w:hint="default"/>
        <w:color w:val="000000"/>
      </w:rPr>
    </w:lvl>
    <w:lvl w:ilvl="6" w:tplc="080CF808" w:tentative="1">
      <w:start w:val="1"/>
      <w:numFmt w:val="bullet"/>
      <w:lvlText w:val=""/>
      <w:lvlJc w:val="left"/>
      <w:pPr>
        <w:ind w:left="5892" w:hanging="360"/>
      </w:pPr>
      <w:rPr>
        <w:rFonts w:ascii="Symbol" w:hAnsi="Symbol" w:hint="default"/>
        <w:color w:val="000000"/>
      </w:rPr>
    </w:lvl>
    <w:lvl w:ilvl="7" w:tplc="97D4363C" w:tentative="1">
      <w:start w:val="1"/>
      <w:numFmt w:val="bullet"/>
      <w:lvlText w:val="o"/>
      <w:lvlJc w:val="left"/>
      <w:pPr>
        <w:ind w:left="6612" w:hanging="360"/>
      </w:pPr>
      <w:rPr>
        <w:rFonts w:ascii="Courier New" w:hAnsi="Courier New" w:cs="Courier New" w:hint="default"/>
        <w:color w:val="000000"/>
      </w:rPr>
    </w:lvl>
    <w:lvl w:ilvl="8" w:tplc="86527D66" w:tentative="1">
      <w:start w:val="1"/>
      <w:numFmt w:val="bullet"/>
      <w:lvlText w:val=""/>
      <w:lvlJc w:val="left"/>
      <w:pPr>
        <w:ind w:left="7332" w:hanging="360"/>
      </w:pPr>
      <w:rPr>
        <w:rFonts w:ascii="Wingdings" w:hAnsi="Wingdings" w:hint="default"/>
        <w:color w:val="000000"/>
      </w:rPr>
    </w:lvl>
  </w:abstractNum>
  <w:abstractNum w:abstractNumId="53">
    <w:nsid w:val="698A0FAE"/>
    <w:multiLevelType w:val="hybridMultilevel"/>
    <w:tmpl w:val="1DDCC88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4">
    <w:nsid w:val="6D0A6F06"/>
    <w:multiLevelType w:val="hybridMultilevel"/>
    <w:tmpl w:val="DD24304A"/>
    <w:lvl w:ilvl="0" w:tplc="D38C4420">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6FEC712F"/>
    <w:multiLevelType w:val="hybridMultilevel"/>
    <w:tmpl w:val="DB423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33765FA"/>
    <w:multiLevelType w:val="hybridMultilevel"/>
    <w:tmpl w:val="5AD4DBB2"/>
    <w:lvl w:ilvl="0" w:tplc="14090019">
      <w:start w:val="1"/>
      <w:numFmt w:val="lowerLetter"/>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44010CF"/>
    <w:multiLevelType w:val="hybridMultilevel"/>
    <w:tmpl w:val="00C27CB6"/>
    <w:lvl w:ilvl="0" w:tplc="DC6CDBF6">
      <w:start w:val="21"/>
      <w:numFmt w:val="decimal"/>
      <w:lvlText w:val="%1"/>
      <w:lvlJc w:val="left"/>
      <w:pPr>
        <w:ind w:left="1260" w:hanging="360"/>
      </w:pPr>
      <w:rPr>
        <w:rFonts w:hint="default"/>
        <w:b w:val="0"/>
        <w:i w:val="0"/>
        <w:color w:val="auto"/>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8">
    <w:nsid w:val="74DA3360"/>
    <w:multiLevelType w:val="hybridMultilevel"/>
    <w:tmpl w:val="7A241D1E"/>
    <w:lvl w:ilvl="0" w:tplc="656C54AE">
      <w:start w:val="223"/>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6601ED6"/>
    <w:multiLevelType w:val="hybridMultilevel"/>
    <w:tmpl w:val="3D2E64E2"/>
    <w:lvl w:ilvl="0" w:tplc="82683440">
      <w:start w:val="218"/>
      <w:numFmt w:val="decimal"/>
      <w:lvlText w:val="%1"/>
      <w:lvlJc w:val="left"/>
      <w:pPr>
        <w:ind w:left="81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9C67CFC"/>
    <w:multiLevelType w:val="hybridMultilevel"/>
    <w:tmpl w:val="EDA20BA8"/>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79D94ED7"/>
    <w:multiLevelType w:val="hybridMultilevel"/>
    <w:tmpl w:val="A78E9166"/>
    <w:lvl w:ilvl="0" w:tplc="DC6CDBF6">
      <w:start w:val="21"/>
      <w:numFmt w:val="decimal"/>
      <w:lvlText w:val="%1"/>
      <w:lvlJc w:val="left"/>
      <w:pPr>
        <w:ind w:left="99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79E757C8"/>
    <w:multiLevelType w:val="hybridMultilevel"/>
    <w:tmpl w:val="9B163320"/>
    <w:lvl w:ilvl="0" w:tplc="DC6CDBF6">
      <w:start w:val="21"/>
      <w:numFmt w:val="decimal"/>
      <w:lvlText w:val="%1"/>
      <w:lvlJc w:val="left"/>
      <w:pPr>
        <w:ind w:left="81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2"/>
  </w:num>
  <w:num w:numId="2">
    <w:abstractNumId w:val="40"/>
  </w:num>
  <w:num w:numId="3">
    <w:abstractNumId w:val="1"/>
  </w:num>
  <w:num w:numId="4">
    <w:abstractNumId w:val="55"/>
  </w:num>
  <w:num w:numId="5">
    <w:abstractNumId w:val="56"/>
  </w:num>
  <w:num w:numId="6">
    <w:abstractNumId w:val="39"/>
  </w:num>
  <w:num w:numId="7">
    <w:abstractNumId w:val="54"/>
  </w:num>
  <w:num w:numId="8">
    <w:abstractNumId w:val="24"/>
  </w:num>
  <w:num w:numId="9">
    <w:abstractNumId w:val="50"/>
  </w:num>
  <w:num w:numId="10">
    <w:abstractNumId w:val="42"/>
  </w:num>
  <w:num w:numId="11">
    <w:abstractNumId w:val="9"/>
  </w:num>
  <w:num w:numId="12">
    <w:abstractNumId w:val="16"/>
  </w:num>
  <w:num w:numId="13">
    <w:abstractNumId w:val="36"/>
  </w:num>
  <w:num w:numId="14">
    <w:abstractNumId w:val="32"/>
  </w:num>
  <w:num w:numId="15">
    <w:abstractNumId w:val="33"/>
  </w:num>
  <w:num w:numId="16">
    <w:abstractNumId w:val="51"/>
  </w:num>
  <w:num w:numId="17">
    <w:abstractNumId w:val="22"/>
  </w:num>
  <w:num w:numId="18">
    <w:abstractNumId w:val="23"/>
  </w:num>
  <w:num w:numId="19">
    <w:abstractNumId w:val="6"/>
  </w:num>
  <w:num w:numId="20">
    <w:abstractNumId w:val="14"/>
  </w:num>
  <w:num w:numId="21">
    <w:abstractNumId w:val="44"/>
  </w:num>
  <w:num w:numId="22">
    <w:abstractNumId w:val="3"/>
  </w:num>
  <w:num w:numId="23">
    <w:abstractNumId w:val="45"/>
  </w:num>
  <w:num w:numId="24">
    <w:abstractNumId w:val="48"/>
  </w:num>
  <w:num w:numId="25">
    <w:abstractNumId w:val="53"/>
  </w:num>
  <w:num w:numId="26">
    <w:abstractNumId w:val="49"/>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47"/>
  </w:num>
  <w:num w:numId="53">
    <w:abstractNumId w:val="21"/>
  </w:num>
  <w:num w:numId="54">
    <w:abstractNumId w:val="46"/>
  </w:num>
  <w:num w:numId="55">
    <w:abstractNumId w:val="43"/>
  </w:num>
  <w:num w:numId="56">
    <w:abstractNumId w:val="57"/>
  </w:num>
  <w:num w:numId="57">
    <w:abstractNumId w:val="12"/>
  </w:num>
  <w:num w:numId="58">
    <w:abstractNumId w:val="31"/>
  </w:num>
  <w:num w:numId="59">
    <w:abstractNumId w:val="37"/>
  </w:num>
  <w:num w:numId="60">
    <w:abstractNumId w:val="59"/>
  </w:num>
  <w:num w:numId="61">
    <w:abstractNumId w:val="7"/>
  </w:num>
  <w:num w:numId="62">
    <w:abstractNumId w:val="41"/>
  </w:num>
  <w:num w:numId="63">
    <w:abstractNumId w:val="58"/>
  </w:num>
  <w:num w:numId="64">
    <w:abstractNumId w:val="4"/>
  </w:num>
  <w:num w:numId="65">
    <w:abstractNumId w:val="2"/>
  </w:num>
  <w:num w:numId="66">
    <w:abstractNumId w:val="62"/>
  </w:num>
  <w:num w:numId="67">
    <w:abstractNumId w:val="13"/>
  </w:num>
  <w:num w:numId="68">
    <w:abstractNumId w:val="60"/>
  </w:num>
  <w:num w:numId="69">
    <w:abstractNumId w:val="38"/>
  </w:num>
  <w:num w:numId="70">
    <w:abstractNumId w:val="28"/>
  </w:num>
  <w:num w:numId="71">
    <w:abstractNumId w:val="5"/>
  </w:num>
  <w:num w:numId="72">
    <w:abstractNumId w:val="18"/>
  </w:num>
  <w:num w:numId="73">
    <w:abstractNumId w:val="11"/>
  </w:num>
  <w:num w:numId="74">
    <w:abstractNumId w:val="0"/>
  </w:num>
  <w:num w:numId="75">
    <w:abstractNumId w:val="61"/>
  </w:num>
  <w:num w:numId="76">
    <w:abstractNumId w:val="25"/>
  </w:num>
  <w:num w:numId="77">
    <w:abstractNumId w:val="30"/>
  </w:num>
  <w:num w:numId="78">
    <w:abstractNumId w:val="15"/>
  </w:num>
  <w:num w:numId="79">
    <w:abstractNumId w:val="20"/>
  </w:num>
  <w:num w:numId="80">
    <w:abstractNumId w:val="8"/>
  </w:num>
  <w:num w:numId="81">
    <w:abstractNumId w:val="35"/>
  </w:num>
  <w:num w:numId="82">
    <w:abstractNumId w:val="19"/>
  </w:num>
  <w:num w:numId="83">
    <w:abstractNumId w:val="27"/>
  </w:num>
  <w:num w:numId="84">
    <w:abstractNumId w:val="29"/>
  </w:num>
  <w:num w:numId="85">
    <w:abstractNumId w:val="17"/>
  </w:num>
  <w:num w:numId="86">
    <w:abstractNumId w:val="26"/>
  </w:num>
  <w:num w:numId="87">
    <w:abstractNumId w:val="10"/>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Bedggood">
    <w15:presenceInfo w15:providerId="Windows Live" w15:userId="1f0cc2cf6c59b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1D"/>
    <w:rsid w:val="000018ED"/>
    <w:rsid w:val="000026A8"/>
    <w:rsid w:val="00011FC9"/>
    <w:rsid w:val="00015170"/>
    <w:rsid w:val="00023302"/>
    <w:rsid w:val="0002367B"/>
    <w:rsid w:val="00023EBB"/>
    <w:rsid w:val="00023FD3"/>
    <w:rsid w:val="000267E4"/>
    <w:rsid w:val="00027A40"/>
    <w:rsid w:val="00032FFE"/>
    <w:rsid w:val="0003568C"/>
    <w:rsid w:val="00036235"/>
    <w:rsid w:val="0003676F"/>
    <w:rsid w:val="0004446E"/>
    <w:rsid w:val="0004464F"/>
    <w:rsid w:val="000475EE"/>
    <w:rsid w:val="00054650"/>
    <w:rsid w:val="00056A68"/>
    <w:rsid w:val="0006297F"/>
    <w:rsid w:val="00062E59"/>
    <w:rsid w:val="00063880"/>
    <w:rsid w:val="00064B90"/>
    <w:rsid w:val="000725B0"/>
    <w:rsid w:val="00073C74"/>
    <w:rsid w:val="00074930"/>
    <w:rsid w:val="00081309"/>
    <w:rsid w:val="00081596"/>
    <w:rsid w:val="000831C8"/>
    <w:rsid w:val="0008423B"/>
    <w:rsid w:val="00094E98"/>
    <w:rsid w:val="000A03CD"/>
    <w:rsid w:val="000A446D"/>
    <w:rsid w:val="000A4C56"/>
    <w:rsid w:val="000B340A"/>
    <w:rsid w:val="000C1EBD"/>
    <w:rsid w:val="000C3F41"/>
    <w:rsid w:val="000C4AE4"/>
    <w:rsid w:val="000C5FCB"/>
    <w:rsid w:val="000D00E6"/>
    <w:rsid w:val="000D267E"/>
    <w:rsid w:val="000D7287"/>
    <w:rsid w:val="000E376E"/>
    <w:rsid w:val="000E437A"/>
    <w:rsid w:val="000E5077"/>
    <w:rsid w:val="000E68F4"/>
    <w:rsid w:val="000F0CF2"/>
    <w:rsid w:val="000F18E2"/>
    <w:rsid w:val="0010045D"/>
    <w:rsid w:val="001006D8"/>
    <w:rsid w:val="0010709F"/>
    <w:rsid w:val="00120EF5"/>
    <w:rsid w:val="00126E6A"/>
    <w:rsid w:val="00131418"/>
    <w:rsid w:val="00131A11"/>
    <w:rsid w:val="00141868"/>
    <w:rsid w:val="00143E26"/>
    <w:rsid w:val="00144730"/>
    <w:rsid w:val="00145DD4"/>
    <w:rsid w:val="001478E8"/>
    <w:rsid w:val="001514D3"/>
    <w:rsid w:val="00151C8A"/>
    <w:rsid w:val="00152E5D"/>
    <w:rsid w:val="00154BE2"/>
    <w:rsid w:val="0015605B"/>
    <w:rsid w:val="001641BD"/>
    <w:rsid w:val="00165508"/>
    <w:rsid w:val="0016578C"/>
    <w:rsid w:val="00172004"/>
    <w:rsid w:val="00173D4C"/>
    <w:rsid w:val="00173FE2"/>
    <w:rsid w:val="001757A5"/>
    <w:rsid w:val="00177E0B"/>
    <w:rsid w:val="00181BD0"/>
    <w:rsid w:val="001826E1"/>
    <w:rsid w:val="0018709B"/>
    <w:rsid w:val="00194EC8"/>
    <w:rsid w:val="00197CE6"/>
    <w:rsid w:val="001A352D"/>
    <w:rsid w:val="001A5FBA"/>
    <w:rsid w:val="001A749C"/>
    <w:rsid w:val="001B3054"/>
    <w:rsid w:val="001B6CED"/>
    <w:rsid w:val="001C0317"/>
    <w:rsid w:val="001C04FD"/>
    <w:rsid w:val="001C2D3E"/>
    <w:rsid w:val="001C32D1"/>
    <w:rsid w:val="001C5B12"/>
    <w:rsid w:val="001D0B46"/>
    <w:rsid w:val="001D4800"/>
    <w:rsid w:val="001D6461"/>
    <w:rsid w:val="001E1BE0"/>
    <w:rsid w:val="001E3634"/>
    <w:rsid w:val="001E3CF7"/>
    <w:rsid w:val="001E57B1"/>
    <w:rsid w:val="001E76B9"/>
    <w:rsid w:val="001E7EE8"/>
    <w:rsid w:val="001F13F2"/>
    <w:rsid w:val="001F3150"/>
    <w:rsid w:val="001F3507"/>
    <w:rsid w:val="001F5F01"/>
    <w:rsid w:val="001F7F53"/>
    <w:rsid w:val="00201B35"/>
    <w:rsid w:val="00202245"/>
    <w:rsid w:val="00205541"/>
    <w:rsid w:val="00216024"/>
    <w:rsid w:val="0021626E"/>
    <w:rsid w:val="00216C59"/>
    <w:rsid w:val="002227F0"/>
    <w:rsid w:val="002243F9"/>
    <w:rsid w:val="00224497"/>
    <w:rsid w:val="0022603D"/>
    <w:rsid w:val="002376E4"/>
    <w:rsid w:val="00240711"/>
    <w:rsid w:val="00245E17"/>
    <w:rsid w:val="002470B9"/>
    <w:rsid w:val="00261CC0"/>
    <w:rsid w:val="0026260F"/>
    <w:rsid w:val="00266EA6"/>
    <w:rsid w:val="002744A3"/>
    <w:rsid w:val="0027706C"/>
    <w:rsid w:val="00284BB6"/>
    <w:rsid w:val="00290141"/>
    <w:rsid w:val="00291DF1"/>
    <w:rsid w:val="0029659E"/>
    <w:rsid w:val="00296F1A"/>
    <w:rsid w:val="0029735F"/>
    <w:rsid w:val="002A010D"/>
    <w:rsid w:val="002A015F"/>
    <w:rsid w:val="002A336C"/>
    <w:rsid w:val="002B2338"/>
    <w:rsid w:val="002B6BCA"/>
    <w:rsid w:val="002C0BC6"/>
    <w:rsid w:val="002C1D26"/>
    <w:rsid w:val="002C2936"/>
    <w:rsid w:val="002C341C"/>
    <w:rsid w:val="002C52A0"/>
    <w:rsid w:val="002D0971"/>
    <w:rsid w:val="002D16BD"/>
    <w:rsid w:val="002D28E9"/>
    <w:rsid w:val="002D68D6"/>
    <w:rsid w:val="002E0EC9"/>
    <w:rsid w:val="002E2A5E"/>
    <w:rsid w:val="002E53A2"/>
    <w:rsid w:val="002E5BD9"/>
    <w:rsid w:val="002F1A98"/>
    <w:rsid w:val="002F4409"/>
    <w:rsid w:val="00301751"/>
    <w:rsid w:val="00301A62"/>
    <w:rsid w:val="00303EE4"/>
    <w:rsid w:val="00307B56"/>
    <w:rsid w:val="00307D84"/>
    <w:rsid w:val="003123D8"/>
    <w:rsid w:val="0031359C"/>
    <w:rsid w:val="00313900"/>
    <w:rsid w:val="00313EEC"/>
    <w:rsid w:val="00314378"/>
    <w:rsid w:val="00314712"/>
    <w:rsid w:val="00316777"/>
    <w:rsid w:val="00316EB4"/>
    <w:rsid w:val="00320911"/>
    <w:rsid w:val="00321120"/>
    <w:rsid w:val="003225E5"/>
    <w:rsid w:val="00323614"/>
    <w:rsid w:val="00326C9B"/>
    <w:rsid w:val="003317B7"/>
    <w:rsid w:val="00331B6E"/>
    <w:rsid w:val="003331B7"/>
    <w:rsid w:val="003334FF"/>
    <w:rsid w:val="00334845"/>
    <w:rsid w:val="00335B39"/>
    <w:rsid w:val="0033698B"/>
    <w:rsid w:val="00337963"/>
    <w:rsid w:val="00340A19"/>
    <w:rsid w:val="00342768"/>
    <w:rsid w:val="00342FA0"/>
    <w:rsid w:val="00350F65"/>
    <w:rsid w:val="00356FF4"/>
    <w:rsid w:val="00362BE0"/>
    <w:rsid w:val="0036645B"/>
    <w:rsid w:val="0037021F"/>
    <w:rsid w:val="0037037E"/>
    <w:rsid w:val="003733E5"/>
    <w:rsid w:val="00375B04"/>
    <w:rsid w:val="00375D87"/>
    <w:rsid w:val="003807B8"/>
    <w:rsid w:val="003811B2"/>
    <w:rsid w:val="00381C18"/>
    <w:rsid w:val="00382656"/>
    <w:rsid w:val="00383687"/>
    <w:rsid w:val="00395824"/>
    <w:rsid w:val="00395AF2"/>
    <w:rsid w:val="003A2EE8"/>
    <w:rsid w:val="003A3B84"/>
    <w:rsid w:val="003A47F0"/>
    <w:rsid w:val="003A4A81"/>
    <w:rsid w:val="003A7A7E"/>
    <w:rsid w:val="003B02AB"/>
    <w:rsid w:val="003B1FB3"/>
    <w:rsid w:val="003B26F5"/>
    <w:rsid w:val="003B379B"/>
    <w:rsid w:val="003C4406"/>
    <w:rsid w:val="003C47B9"/>
    <w:rsid w:val="003C545F"/>
    <w:rsid w:val="003C5776"/>
    <w:rsid w:val="003C7F79"/>
    <w:rsid w:val="003D0E5C"/>
    <w:rsid w:val="003D29F4"/>
    <w:rsid w:val="003E7830"/>
    <w:rsid w:val="003F030D"/>
    <w:rsid w:val="003F2110"/>
    <w:rsid w:val="00404F0E"/>
    <w:rsid w:val="00405A3A"/>
    <w:rsid w:val="00413A78"/>
    <w:rsid w:val="00415FD2"/>
    <w:rsid w:val="00421BC9"/>
    <w:rsid w:val="0042482B"/>
    <w:rsid w:val="004252F9"/>
    <w:rsid w:val="00425A4A"/>
    <w:rsid w:val="004337EB"/>
    <w:rsid w:val="004338DA"/>
    <w:rsid w:val="004417A9"/>
    <w:rsid w:val="00441E62"/>
    <w:rsid w:val="004435B8"/>
    <w:rsid w:val="004467A6"/>
    <w:rsid w:val="00446D13"/>
    <w:rsid w:val="004478B9"/>
    <w:rsid w:val="004525F2"/>
    <w:rsid w:val="00454A1C"/>
    <w:rsid w:val="00460E0E"/>
    <w:rsid w:val="00461378"/>
    <w:rsid w:val="00462A21"/>
    <w:rsid w:val="00463E2B"/>
    <w:rsid w:val="0047252D"/>
    <w:rsid w:val="00473716"/>
    <w:rsid w:val="00476F3C"/>
    <w:rsid w:val="0048198B"/>
    <w:rsid w:val="00484D2D"/>
    <w:rsid w:val="00485547"/>
    <w:rsid w:val="004907D8"/>
    <w:rsid w:val="004929B5"/>
    <w:rsid w:val="00494096"/>
    <w:rsid w:val="0049494B"/>
    <w:rsid w:val="004953FA"/>
    <w:rsid w:val="00496004"/>
    <w:rsid w:val="00496C3F"/>
    <w:rsid w:val="004A187F"/>
    <w:rsid w:val="004A699E"/>
    <w:rsid w:val="004B1A62"/>
    <w:rsid w:val="004B35C1"/>
    <w:rsid w:val="004B64E7"/>
    <w:rsid w:val="004C16E9"/>
    <w:rsid w:val="004C209A"/>
    <w:rsid w:val="004C6DF8"/>
    <w:rsid w:val="004D02D2"/>
    <w:rsid w:val="004D363E"/>
    <w:rsid w:val="004E0365"/>
    <w:rsid w:val="004E19B5"/>
    <w:rsid w:val="004E3054"/>
    <w:rsid w:val="004F350F"/>
    <w:rsid w:val="004F51AB"/>
    <w:rsid w:val="004F5C5E"/>
    <w:rsid w:val="004F60D5"/>
    <w:rsid w:val="004F651B"/>
    <w:rsid w:val="00500B64"/>
    <w:rsid w:val="005046D9"/>
    <w:rsid w:val="00505A88"/>
    <w:rsid w:val="00513D90"/>
    <w:rsid w:val="00517A35"/>
    <w:rsid w:val="00520E82"/>
    <w:rsid w:val="0052568B"/>
    <w:rsid w:val="00540276"/>
    <w:rsid w:val="0054323B"/>
    <w:rsid w:val="005439F2"/>
    <w:rsid w:val="005448AF"/>
    <w:rsid w:val="00547E59"/>
    <w:rsid w:val="00550FE8"/>
    <w:rsid w:val="00551191"/>
    <w:rsid w:val="00554A12"/>
    <w:rsid w:val="00564E3B"/>
    <w:rsid w:val="00566EFA"/>
    <w:rsid w:val="00570004"/>
    <w:rsid w:val="005732F3"/>
    <w:rsid w:val="00573D14"/>
    <w:rsid w:val="005766EA"/>
    <w:rsid w:val="00577E43"/>
    <w:rsid w:val="0058321D"/>
    <w:rsid w:val="0058381B"/>
    <w:rsid w:val="00584F98"/>
    <w:rsid w:val="00592151"/>
    <w:rsid w:val="005A0713"/>
    <w:rsid w:val="005A3384"/>
    <w:rsid w:val="005A3AED"/>
    <w:rsid w:val="005A52F3"/>
    <w:rsid w:val="005A536A"/>
    <w:rsid w:val="005A7ABE"/>
    <w:rsid w:val="005B00DA"/>
    <w:rsid w:val="005B1A6A"/>
    <w:rsid w:val="005B5989"/>
    <w:rsid w:val="005B6CC2"/>
    <w:rsid w:val="005C0A63"/>
    <w:rsid w:val="005C1638"/>
    <w:rsid w:val="005C2CF1"/>
    <w:rsid w:val="005C2F37"/>
    <w:rsid w:val="005C4D9A"/>
    <w:rsid w:val="005C4EB7"/>
    <w:rsid w:val="005C7C14"/>
    <w:rsid w:val="005C7F71"/>
    <w:rsid w:val="005D4B01"/>
    <w:rsid w:val="005E2D76"/>
    <w:rsid w:val="005E400A"/>
    <w:rsid w:val="005E4E89"/>
    <w:rsid w:val="005E6EA7"/>
    <w:rsid w:val="005E7B00"/>
    <w:rsid w:val="005F21F3"/>
    <w:rsid w:val="005F4679"/>
    <w:rsid w:val="005F487C"/>
    <w:rsid w:val="0060006A"/>
    <w:rsid w:val="00605CCD"/>
    <w:rsid w:val="0060745A"/>
    <w:rsid w:val="00607979"/>
    <w:rsid w:val="00615E3F"/>
    <w:rsid w:val="00616AC3"/>
    <w:rsid w:val="00621AD7"/>
    <w:rsid w:val="00623028"/>
    <w:rsid w:val="006236A6"/>
    <w:rsid w:val="0063011E"/>
    <w:rsid w:val="00631511"/>
    <w:rsid w:val="00631DC4"/>
    <w:rsid w:val="00632B40"/>
    <w:rsid w:val="006330EE"/>
    <w:rsid w:val="006346C7"/>
    <w:rsid w:val="006365C7"/>
    <w:rsid w:val="00636883"/>
    <w:rsid w:val="00637628"/>
    <w:rsid w:val="006378E0"/>
    <w:rsid w:val="006504F7"/>
    <w:rsid w:val="00653E60"/>
    <w:rsid w:val="00656FF3"/>
    <w:rsid w:val="00664307"/>
    <w:rsid w:val="00664451"/>
    <w:rsid w:val="006644FF"/>
    <w:rsid w:val="00665B71"/>
    <w:rsid w:val="006678B8"/>
    <w:rsid w:val="00667921"/>
    <w:rsid w:val="006738ED"/>
    <w:rsid w:val="00674984"/>
    <w:rsid w:val="00676391"/>
    <w:rsid w:val="00676CAB"/>
    <w:rsid w:val="006779D3"/>
    <w:rsid w:val="00680E37"/>
    <w:rsid w:val="00681A9D"/>
    <w:rsid w:val="00684C5F"/>
    <w:rsid w:val="00684F82"/>
    <w:rsid w:val="00685C2F"/>
    <w:rsid w:val="0068720F"/>
    <w:rsid w:val="006910B4"/>
    <w:rsid w:val="00691FD8"/>
    <w:rsid w:val="00696DCD"/>
    <w:rsid w:val="00696FBB"/>
    <w:rsid w:val="00697495"/>
    <w:rsid w:val="006A49AF"/>
    <w:rsid w:val="006A7B3B"/>
    <w:rsid w:val="006A7F46"/>
    <w:rsid w:val="006B28AF"/>
    <w:rsid w:val="006B6666"/>
    <w:rsid w:val="006C1CA3"/>
    <w:rsid w:val="006C32C9"/>
    <w:rsid w:val="006D171A"/>
    <w:rsid w:val="006D30A2"/>
    <w:rsid w:val="006D3A7D"/>
    <w:rsid w:val="006E54C2"/>
    <w:rsid w:val="006F1B44"/>
    <w:rsid w:val="006F75CA"/>
    <w:rsid w:val="006F76E7"/>
    <w:rsid w:val="00701525"/>
    <w:rsid w:val="007036EE"/>
    <w:rsid w:val="007050A6"/>
    <w:rsid w:val="007058FD"/>
    <w:rsid w:val="00710329"/>
    <w:rsid w:val="00711F9A"/>
    <w:rsid w:val="00713292"/>
    <w:rsid w:val="007136DB"/>
    <w:rsid w:val="00714EC4"/>
    <w:rsid w:val="00721CD5"/>
    <w:rsid w:val="007313B6"/>
    <w:rsid w:val="0073421D"/>
    <w:rsid w:val="00734475"/>
    <w:rsid w:val="007352C1"/>
    <w:rsid w:val="00735F85"/>
    <w:rsid w:val="00757826"/>
    <w:rsid w:val="0076327C"/>
    <w:rsid w:val="007647EF"/>
    <w:rsid w:val="00766D5D"/>
    <w:rsid w:val="00771CC8"/>
    <w:rsid w:val="00772FAC"/>
    <w:rsid w:val="007734A4"/>
    <w:rsid w:val="00774BA7"/>
    <w:rsid w:val="00780DF8"/>
    <w:rsid w:val="00780EE9"/>
    <w:rsid w:val="007836B4"/>
    <w:rsid w:val="00790AC3"/>
    <w:rsid w:val="00794088"/>
    <w:rsid w:val="00795196"/>
    <w:rsid w:val="007A42A8"/>
    <w:rsid w:val="007A5DAA"/>
    <w:rsid w:val="007A7A12"/>
    <w:rsid w:val="007B1081"/>
    <w:rsid w:val="007B29C2"/>
    <w:rsid w:val="007B2ADB"/>
    <w:rsid w:val="007B5120"/>
    <w:rsid w:val="007B5979"/>
    <w:rsid w:val="007B6A07"/>
    <w:rsid w:val="007C592E"/>
    <w:rsid w:val="007C647C"/>
    <w:rsid w:val="007C6A88"/>
    <w:rsid w:val="007D2689"/>
    <w:rsid w:val="007D2D20"/>
    <w:rsid w:val="007D3051"/>
    <w:rsid w:val="007E149E"/>
    <w:rsid w:val="007E1FB2"/>
    <w:rsid w:val="007E2751"/>
    <w:rsid w:val="007E38CD"/>
    <w:rsid w:val="007E3A89"/>
    <w:rsid w:val="007E5128"/>
    <w:rsid w:val="007E6E6C"/>
    <w:rsid w:val="007E75BF"/>
    <w:rsid w:val="007E7608"/>
    <w:rsid w:val="007E7DB7"/>
    <w:rsid w:val="007F42F0"/>
    <w:rsid w:val="007F7AB9"/>
    <w:rsid w:val="008011E5"/>
    <w:rsid w:val="00801C61"/>
    <w:rsid w:val="00802209"/>
    <w:rsid w:val="00804333"/>
    <w:rsid w:val="008052C7"/>
    <w:rsid w:val="00812D70"/>
    <w:rsid w:val="008158B9"/>
    <w:rsid w:val="0081744E"/>
    <w:rsid w:val="00822CA1"/>
    <w:rsid w:val="00822E85"/>
    <w:rsid w:val="0082522E"/>
    <w:rsid w:val="00826A40"/>
    <w:rsid w:val="00830B56"/>
    <w:rsid w:val="00830CBC"/>
    <w:rsid w:val="0083413F"/>
    <w:rsid w:val="00836496"/>
    <w:rsid w:val="00836A61"/>
    <w:rsid w:val="0083745C"/>
    <w:rsid w:val="008376E1"/>
    <w:rsid w:val="00837ACE"/>
    <w:rsid w:val="00840AB0"/>
    <w:rsid w:val="0084146C"/>
    <w:rsid w:val="008423D7"/>
    <w:rsid w:val="00844284"/>
    <w:rsid w:val="00845BFB"/>
    <w:rsid w:val="00846CE4"/>
    <w:rsid w:val="00853FED"/>
    <w:rsid w:val="00857B13"/>
    <w:rsid w:val="00862211"/>
    <w:rsid w:val="008636AC"/>
    <w:rsid w:val="00866F72"/>
    <w:rsid w:val="008679DC"/>
    <w:rsid w:val="00872723"/>
    <w:rsid w:val="00874F38"/>
    <w:rsid w:val="00875BE1"/>
    <w:rsid w:val="0087677A"/>
    <w:rsid w:val="00877B44"/>
    <w:rsid w:val="0089221C"/>
    <w:rsid w:val="00893721"/>
    <w:rsid w:val="00893BB3"/>
    <w:rsid w:val="00893E3D"/>
    <w:rsid w:val="008941DD"/>
    <w:rsid w:val="00896B02"/>
    <w:rsid w:val="008A4FC9"/>
    <w:rsid w:val="008B141D"/>
    <w:rsid w:val="008B3BED"/>
    <w:rsid w:val="008B7AD4"/>
    <w:rsid w:val="008C3AC2"/>
    <w:rsid w:val="008C49B7"/>
    <w:rsid w:val="008C5742"/>
    <w:rsid w:val="008D1172"/>
    <w:rsid w:val="008E112D"/>
    <w:rsid w:val="008E1346"/>
    <w:rsid w:val="008E1953"/>
    <w:rsid w:val="008E7890"/>
    <w:rsid w:val="008F55EC"/>
    <w:rsid w:val="008F69C4"/>
    <w:rsid w:val="008F7FC1"/>
    <w:rsid w:val="00901D3F"/>
    <w:rsid w:val="00907D48"/>
    <w:rsid w:val="009176FE"/>
    <w:rsid w:val="00920A16"/>
    <w:rsid w:val="00925541"/>
    <w:rsid w:val="00927160"/>
    <w:rsid w:val="009301DC"/>
    <w:rsid w:val="00934D68"/>
    <w:rsid w:val="0093643E"/>
    <w:rsid w:val="00936C81"/>
    <w:rsid w:val="00936EB2"/>
    <w:rsid w:val="00940C53"/>
    <w:rsid w:val="0094460A"/>
    <w:rsid w:val="009450DD"/>
    <w:rsid w:val="00946259"/>
    <w:rsid w:val="00951CC0"/>
    <w:rsid w:val="00953559"/>
    <w:rsid w:val="009535C9"/>
    <w:rsid w:val="00960EA3"/>
    <w:rsid w:val="00966472"/>
    <w:rsid w:val="00972AE2"/>
    <w:rsid w:val="00972AEA"/>
    <w:rsid w:val="00973C8B"/>
    <w:rsid w:val="00974EB3"/>
    <w:rsid w:val="00975156"/>
    <w:rsid w:val="00983BEE"/>
    <w:rsid w:val="00983D9B"/>
    <w:rsid w:val="009842A4"/>
    <w:rsid w:val="00984B6E"/>
    <w:rsid w:val="009A7150"/>
    <w:rsid w:val="009B059A"/>
    <w:rsid w:val="009B1126"/>
    <w:rsid w:val="009B3094"/>
    <w:rsid w:val="009B70FA"/>
    <w:rsid w:val="009C60BC"/>
    <w:rsid w:val="009C6AA4"/>
    <w:rsid w:val="009C76F2"/>
    <w:rsid w:val="009D485E"/>
    <w:rsid w:val="009D4D90"/>
    <w:rsid w:val="009D515F"/>
    <w:rsid w:val="009E6CF8"/>
    <w:rsid w:val="009F0D07"/>
    <w:rsid w:val="009F4A9A"/>
    <w:rsid w:val="009F7A46"/>
    <w:rsid w:val="009F7EA3"/>
    <w:rsid w:val="00A036E0"/>
    <w:rsid w:val="00A0644D"/>
    <w:rsid w:val="00A067B4"/>
    <w:rsid w:val="00A06AD3"/>
    <w:rsid w:val="00A06F05"/>
    <w:rsid w:val="00A143D0"/>
    <w:rsid w:val="00A15388"/>
    <w:rsid w:val="00A1558A"/>
    <w:rsid w:val="00A16AC8"/>
    <w:rsid w:val="00A227F3"/>
    <w:rsid w:val="00A24168"/>
    <w:rsid w:val="00A31CB7"/>
    <w:rsid w:val="00A31E6F"/>
    <w:rsid w:val="00A34A8B"/>
    <w:rsid w:val="00A35621"/>
    <w:rsid w:val="00A365CF"/>
    <w:rsid w:val="00A42B66"/>
    <w:rsid w:val="00A43520"/>
    <w:rsid w:val="00A43795"/>
    <w:rsid w:val="00A43993"/>
    <w:rsid w:val="00A44542"/>
    <w:rsid w:val="00A4492E"/>
    <w:rsid w:val="00A55358"/>
    <w:rsid w:val="00A558F1"/>
    <w:rsid w:val="00A576C1"/>
    <w:rsid w:val="00A7153B"/>
    <w:rsid w:val="00A72451"/>
    <w:rsid w:val="00A731AE"/>
    <w:rsid w:val="00A773A5"/>
    <w:rsid w:val="00A803FA"/>
    <w:rsid w:val="00A80569"/>
    <w:rsid w:val="00A8487A"/>
    <w:rsid w:val="00A91156"/>
    <w:rsid w:val="00A913A1"/>
    <w:rsid w:val="00A9614F"/>
    <w:rsid w:val="00AA7F97"/>
    <w:rsid w:val="00AB01A8"/>
    <w:rsid w:val="00AB6FF0"/>
    <w:rsid w:val="00AC3D71"/>
    <w:rsid w:val="00AC4B05"/>
    <w:rsid w:val="00AC4DF1"/>
    <w:rsid w:val="00AC59D9"/>
    <w:rsid w:val="00AC7396"/>
    <w:rsid w:val="00AC74C7"/>
    <w:rsid w:val="00AD1F77"/>
    <w:rsid w:val="00AD2A65"/>
    <w:rsid w:val="00AD38D2"/>
    <w:rsid w:val="00AD3BEE"/>
    <w:rsid w:val="00AD5874"/>
    <w:rsid w:val="00AD76AA"/>
    <w:rsid w:val="00AE2309"/>
    <w:rsid w:val="00AE46BF"/>
    <w:rsid w:val="00AE6D16"/>
    <w:rsid w:val="00AF15EB"/>
    <w:rsid w:val="00AF3838"/>
    <w:rsid w:val="00AF42D8"/>
    <w:rsid w:val="00AF744A"/>
    <w:rsid w:val="00B0032E"/>
    <w:rsid w:val="00B02A33"/>
    <w:rsid w:val="00B0567E"/>
    <w:rsid w:val="00B05986"/>
    <w:rsid w:val="00B172FD"/>
    <w:rsid w:val="00B21F7D"/>
    <w:rsid w:val="00B22EC0"/>
    <w:rsid w:val="00B24DE6"/>
    <w:rsid w:val="00B3215F"/>
    <w:rsid w:val="00B32F2E"/>
    <w:rsid w:val="00B333B3"/>
    <w:rsid w:val="00B340C0"/>
    <w:rsid w:val="00B43A5B"/>
    <w:rsid w:val="00B54E87"/>
    <w:rsid w:val="00B553B9"/>
    <w:rsid w:val="00B57302"/>
    <w:rsid w:val="00B6422A"/>
    <w:rsid w:val="00B65970"/>
    <w:rsid w:val="00B67AA8"/>
    <w:rsid w:val="00B705C0"/>
    <w:rsid w:val="00B70E68"/>
    <w:rsid w:val="00B739A4"/>
    <w:rsid w:val="00B762D4"/>
    <w:rsid w:val="00B76E7D"/>
    <w:rsid w:val="00B77511"/>
    <w:rsid w:val="00B85A64"/>
    <w:rsid w:val="00B865ED"/>
    <w:rsid w:val="00B90638"/>
    <w:rsid w:val="00B9227F"/>
    <w:rsid w:val="00B94299"/>
    <w:rsid w:val="00B962A1"/>
    <w:rsid w:val="00BA2382"/>
    <w:rsid w:val="00BA32A0"/>
    <w:rsid w:val="00BA75DF"/>
    <w:rsid w:val="00BB1180"/>
    <w:rsid w:val="00BB5AC0"/>
    <w:rsid w:val="00BC4355"/>
    <w:rsid w:val="00BD05F4"/>
    <w:rsid w:val="00BD114A"/>
    <w:rsid w:val="00BD45DB"/>
    <w:rsid w:val="00BD4F20"/>
    <w:rsid w:val="00BE21BF"/>
    <w:rsid w:val="00BE3B19"/>
    <w:rsid w:val="00BE5245"/>
    <w:rsid w:val="00BE5F10"/>
    <w:rsid w:val="00BF1346"/>
    <w:rsid w:val="00BF380D"/>
    <w:rsid w:val="00C01269"/>
    <w:rsid w:val="00C017C7"/>
    <w:rsid w:val="00C02197"/>
    <w:rsid w:val="00C0275C"/>
    <w:rsid w:val="00C13D73"/>
    <w:rsid w:val="00C15D92"/>
    <w:rsid w:val="00C2038A"/>
    <w:rsid w:val="00C239FD"/>
    <w:rsid w:val="00C26628"/>
    <w:rsid w:val="00C26B6D"/>
    <w:rsid w:val="00C3449B"/>
    <w:rsid w:val="00C37B4D"/>
    <w:rsid w:val="00C47513"/>
    <w:rsid w:val="00C53474"/>
    <w:rsid w:val="00C53E76"/>
    <w:rsid w:val="00C558E8"/>
    <w:rsid w:val="00C55E70"/>
    <w:rsid w:val="00C57920"/>
    <w:rsid w:val="00C64803"/>
    <w:rsid w:val="00C66696"/>
    <w:rsid w:val="00C72B23"/>
    <w:rsid w:val="00C76CE0"/>
    <w:rsid w:val="00C77217"/>
    <w:rsid w:val="00C77873"/>
    <w:rsid w:val="00C83543"/>
    <w:rsid w:val="00C83E67"/>
    <w:rsid w:val="00C853AC"/>
    <w:rsid w:val="00C86B20"/>
    <w:rsid w:val="00C94D5B"/>
    <w:rsid w:val="00C94E19"/>
    <w:rsid w:val="00C960AA"/>
    <w:rsid w:val="00C96ED7"/>
    <w:rsid w:val="00CA08BE"/>
    <w:rsid w:val="00CA1E6B"/>
    <w:rsid w:val="00CA33B7"/>
    <w:rsid w:val="00CA64D9"/>
    <w:rsid w:val="00CB2061"/>
    <w:rsid w:val="00CB2594"/>
    <w:rsid w:val="00CB2DE1"/>
    <w:rsid w:val="00CB6CDC"/>
    <w:rsid w:val="00CC0E80"/>
    <w:rsid w:val="00CC2F6F"/>
    <w:rsid w:val="00CC437F"/>
    <w:rsid w:val="00CC524C"/>
    <w:rsid w:val="00CD1A69"/>
    <w:rsid w:val="00CD3131"/>
    <w:rsid w:val="00CD3ECA"/>
    <w:rsid w:val="00CD73A1"/>
    <w:rsid w:val="00CE0C5D"/>
    <w:rsid w:val="00CE2A68"/>
    <w:rsid w:val="00CE2C79"/>
    <w:rsid w:val="00CE4F59"/>
    <w:rsid w:val="00CE522A"/>
    <w:rsid w:val="00CE5543"/>
    <w:rsid w:val="00CF30F3"/>
    <w:rsid w:val="00CF395B"/>
    <w:rsid w:val="00CF448A"/>
    <w:rsid w:val="00CF52C5"/>
    <w:rsid w:val="00CF6A25"/>
    <w:rsid w:val="00CF6FE3"/>
    <w:rsid w:val="00D05499"/>
    <w:rsid w:val="00D05C28"/>
    <w:rsid w:val="00D11073"/>
    <w:rsid w:val="00D12876"/>
    <w:rsid w:val="00D16631"/>
    <w:rsid w:val="00D16DCA"/>
    <w:rsid w:val="00D17B1C"/>
    <w:rsid w:val="00D23575"/>
    <w:rsid w:val="00D27A8A"/>
    <w:rsid w:val="00D30A24"/>
    <w:rsid w:val="00D31E51"/>
    <w:rsid w:val="00D3494A"/>
    <w:rsid w:val="00D34CC3"/>
    <w:rsid w:val="00D40F98"/>
    <w:rsid w:val="00D41AFF"/>
    <w:rsid w:val="00D42D02"/>
    <w:rsid w:val="00D52AEC"/>
    <w:rsid w:val="00D54364"/>
    <w:rsid w:val="00D5514C"/>
    <w:rsid w:val="00D617BF"/>
    <w:rsid w:val="00D62882"/>
    <w:rsid w:val="00D67A6B"/>
    <w:rsid w:val="00D72D7A"/>
    <w:rsid w:val="00D730AB"/>
    <w:rsid w:val="00D81A43"/>
    <w:rsid w:val="00D83A65"/>
    <w:rsid w:val="00D85CF0"/>
    <w:rsid w:val="00D8709B"/>
    <w:rsid w:val="00D946ED"/>
    <w:rsid w:val="00DA2390"/>
    <w:rsid w:val="00DA626C"/>
    <w:rsid w:val="00DB40C0"/>
    <w:rsid w:val="00DB43FC"/>
    <w:rsid w:val="00DB6F71"/>
    <w:rsid w:val="00DC0EBB"/>
    <w:rsid w:val="00DC3558"/>
    <w:rsid w:val="00DC44FC"/>
    <w:rsid w:val="00DC5B0E"/>
    <w:rsid w:val="00DC7761"/>
    <w:rsid w:val="00DC78AF"/>
    <w:rsid w:val="00DC7B3C"/>
    <w:rsid w:val="00DD273A"/>
    <w:rsid w:val="00DD2DC1"/>
    <w:rsid w:val="00DD668E"/>
    <w:rsid w:val="00DE483D"/>
    <w:rsid w:val="00DE510E"/>
    <w:rsid w:val="00DF089D"/>
    <w:rsid w:val="00DF0EFC"/>
    <w:rsid w:val="00DF297E"/>
    <w:rsid w:val="00DF3D0C"/>
    <w:rsid w:val="00DF5279"/>
    <w:rsid w:val="00DF7049"/>
    <w:rsid w:val="00E11D00"/>
    <w:rsid w:val="00E13DD2"/>
    <w:rsid w:val="00E13E7E"/>
    <w:rsid w:val="00E156AA"/>
    <w:rsid w:val="00E173FB"/>
    <w:rsid w:val="00E174DD"/>
    <w:rsid w:val="00E22757"/>
    <w:rsid w:val="00E31421"/>
    <w:rsid w:val="00E31DA7"/>
    <w:rsid w:val="00E324BE"/>
    <w:rsid w:val="00E37684"/>
    <w:rsid w:val="00E42D45"/>
    <w:rsid w:val="00E44054"/>
    <w:rsid w:val="00E467BB"/>
    <w:rsid w:val="00E46E72"/>
    <w:rsid w:val="00E519A1"/>
    <w:rsid w:val="00E52576"/>
    <w:rsid w:val="00E54CC8"/>
    <w:rsid w:val="00E55975"/>
    <w:rsid w:val="00E55E6D"/>
    <w:rsid w:val="00E57171"/>
    <w:rsid w:val="00E610C4"/>
    <w:rsid w:val="00E662AD"/>
    <w:rsid w:val="00E67C0D"/>
    <w:rsid w:val="00E747A2"/>
    <w:rsid w:val="00E7524F"/>
    <w:rsid w:val="00E77308"/>
    <w:rsid w:val="00E86961"/>
    <w:rsid w:val="00E9217F"/>
    <w:rsid w:val="00E9246B"/>
    <w:rsid w:val="00E92B27"/>
    <w:rsid w:val="00E9475A"/>
    <w:rsid w:val="00E967FC"/>
    <w:rsid w:val="00E971CD"/>
    <w:rsid w:val="00EA1FD8"/>
    <w:rsid w:val="00EA347F"/>
    <w:rsid w:val="00EA5DDB"/>
    <w:rsid w:val="00EA5FEF"/>
    <w:rsid w:val="00EA7B2A"/>
    <w:rsid w:val="00EB1002"/>
    <w:rsid w:val="00EB144F"/>
    <w:rsid w:val="00EB4671"/>
    <w:rsid w:val="00EB7544"/>
    <w:rsid w:val="00EC1557"/>
    <w:rsid w:val="00EC39CD"/>
    <w:rsid w:val="00EC7335"/>
    <w:rsid w:val="00ED3E4B"/>
    <w:rsid w:val="00ED4951"/>
    <w:rsid w:val="00ED6B52"/>
    <w:rsid w:val="00EE0F7A"/>
    <w:rsid w:val="00EE14DF"/>
    <w:rsid w:val="00EE1D29"/>
    <w:rsid w:val="00EF3B07"/>
    <w:rsid w:val="00EF3C7B"/>
    <w:rsid w:val="00EF592A"/>
    <w:rsid w:val="00F02309"/>
    <w:rsid w:val="00F03065"/>
    <w:rsid w:val="00F04536"/>
    <w:rsid w:val="00F06B54"/>
    <w:rsid w:val="00F1301B"/>
    <w:rsid w:val="00F142E2"/>
    <w:rsid w:val="00F15B47"/>
    <w:rsid w:val="00F2012C"/>
    <w:rsid w:val="00F2050B"/>
    <w:rsid w:val="00F21FAD"/>
    <w:rsid w:val="00F23933"/>
    <w:rsid w:val="00F30BA0"/>
    <w:rsid w:val="00F3127C"/>
    <w:rsid w:val="00F31E98"/>
    <w:rsid w:val="00F337EC"/>
    <w:rsid w:val="00F37635"/>
    <w:rsid w:val="00F41D15"/>
    <w:rsid w:val="00F43735"/>
    <w:rsid w:val="00F43CE4"/>
    <w:rsid w:val="00F4616E"/>
    <w:rsid w:val="00F475F4"/>
    <w:rsid w:val="00F60A85"/>
    <w:rsid w:val="00F61582"/>
    <w:rsid w:val="00F619FE"/>
    <w:rsid w:val="00F63E6A"/>
    <w:rsid w:val="00F76FDA"/>
    <w:rsid w:val="00F77630"/>
    <w:rsid w:val="00F83AA2"/>
    <w:rsid w:val="00F8475E"/>
    <w:rsid w:val="00F84E26"/>
    <w:rsid w:val="00F8779A"/>
    <w:rsid w:val="00F87B51"/>
    <w:rsid w:val="00F96A7D"/>
    <w:rsid w:val="00FA1645"/>
    <w:rsid w:val="00FA378C"/>
    <w:rsid w:val="00FA7529"/>
    <w:rsid w:val="00FB0795"/>
    <w:rsid w:val="00FB402D"/>
    <w:rsid w:val="00FB4B8C"/>
    <w:rsid w:val="00FC17F1"/>
    <w:rsid w:val="00FC26B3"/>
    <w:rsid w:val="00FC5C17"/>
    <w:rsid w:val="00FD22D1"/>
    <w:rsid w:val="00FD4254"/>
    <w:rsid w:val="00FE152C"/>
    <w:rsid w:val="00FE4C0F"/>
    <w:rsid w:val="00FE7037"/>
    <w:rsid w:val="00FF3873"/>
    <w:rsid w:val="00FF466A"/>
    <w:rsid w:val="00FF4BB4"/>
    <w:rsid w:val="00FF5C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1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D1"/>
    <w:rPr>
      <w:rFonts w:ascii="Times New Roman" w:hAnsi="Times New Roman"/>
      <w:lang w:val="en-GB"/>
    </w:rPr>
  </w:style>
  <w:style w:type="paragraph" w:styleId="Heading1">
    <w:name w:val="heading 1"/>
    <w:basedOn w:val="Normal"/>
    <w:next w:val="Normal"/>
    <w:link w:val="Heading1Char"/>
    <w:qFormat/>
    <w:rsid w:val="0073421D"/>
    <w:pPr>
      <w:spacing w:before="480" w:after="120"/>
      <w:outlineLvl w:val="0"/>
    </w:pPr>
    <w:rPr>
      <w:rFonts w:ascii="Arial" w:eastAsia="Arial" w:hAnsi="Arial" w:cs="Arial"/>
      <w:b/>
      <w:bCs/>
      <w:color w:val="000000"/>
      <w:sz w:val="36"/>
      <w:szCs w:val="36"/>
      <w:lang w:val="en-US"/>
    </w:rPr>
  </w:style>
  <w:style w:type="paragraph" w:styleId="Heading2">
    <w:name w:val="heading 2"/>
    <w:basedOn w:val="Normal"/>
    <w:next w:val="Normal"/>
    <w:link w:val="Heading2Char"/>
    <w:uiPriority w:val="9"/>
    <w:semiHidden/>
    <w:unhideWhenUsed/>
    <w:qFormat/>
    <w:rsid w:val="00D551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1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3421D"/>
    <w:pPr>
      <w:spacing w:before="240" w:after="40"/>
      <w:outlineLvl w:val="3"/>
    </w:pPr>
    <w:rPr>
      <w:rFonts w:ascii="Arial" w:eastAsia="Arial" w:hAnsi="Arial" w:cs="Arial"/>
      <w:i/>
      <w:iCs/>
      <w:color w:val="666666"/>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A2"/>
    <w:pPr>
      <w:ind w:left="720"/>
      <w:contextualSpacing/>
    </w:pPr>
  </w:style>
  <w:style w:type="paragraph" w:styleId="FootnoteText">
    <w:name w:val="footnote text"/>
    <w:aliases w:val="5_G,Note de bas de page2,Текст сноски Знак,Footnote Text Char1 Char,Footnote Text Char Char Char,Footnote Text Char Char Char Char Char Char Char Char Char Char Char,Footnote Text Char Char Char Char Char Char Ch"/>
    <w:basedOn w:val="Normal"/>
    <w:link w:val="FootnoteTextChar"/>
    <w:uiPriority w:val="99"/>
    <w:unhideWhenUsed/>
    <w:rsid w:val="000C1EBD"/>
  </w:style>
  <w:style w:type="character" w:customStyle="1" w:styleId="FootnoteTextChar">
    <w:name w:val="Footnote Text Char"/>
    <w:aliases w:val="5_G Char,Note de bas de page2 Char,Текст сноски Знак Char,Footnote Text Char1 Char Char,Footnote Text Char Char Char Char,Footnote Text Char Char Char Char Char Char Char Char Char Char Char Char"/>
    <w:basedOn w:val="DefaultParagraphFont"/>
    <w:link w:val="FootnoteText"/>
    <w:uiPriority w:val="99"/>
    <w:rsid w:val="000C1EBD"/>
    <w:rPr>
      <w:rFonts w:ascii="Times New Roman" w:hAnsi="Times New Roman"/>
      <w:lang w:val="en-GB"/>
    </w:rPr>
  </w:style>
  <w:style w:type="character" w:styleId="FootnoteReference">
    <w:name w:val="footnote reference"/>
    <w:aliases w:val="4_G"/>
    <w:basedOn w:val="DefaultParagraphFont"/>
    <w:uiPriority w:val="99"/>
    <w:unhideWhenUsed/>
    <w:rsid w:val="000C1EBD"/>
    <w:rPr>
      <w:vertAlign w:val="superscript"/>
    </w:rPr>
  </w:style>
  <w:style w:type="paragraph" w:styleId="Footer">
    <w:name w:val="footer"/>
    <w:basedOn w:val="Normal"/>
    <w:link w:val="FooterChar"/>
    <w:uiPriority w:val="99"/>
    <w:unhideWhenUsed/>
    <w:rsid w:val="00CC2F6F"/>
    <w:pPr>
      <w:tabs>
        <w:tab w:val="center" w:pos="4320"/>
        <w:tab w:val="right" w:pos="8640"/>
      </w:tabs>
    </w:pPr>
  </w:style>
  <w:style w:type="character" w:customStyle="1" w:styleId="FooterChar">
    <w:name w:val="Footer Char"/>
    <w:basedOn w:val="DefaultParagraphFont"/>
    <w:link w:val="Footer"/>
    <w:uiPriority w:val="99"/>
    <w:rsid w:val="00CC2F6F"/>
    <w:rPr>
      <w:rFonts w:ascii="Times New Roman" w:hAnsi="Times New Roman"/>
      <w:lang w:val="en-GB"/>
    </w:rPr>
  </w:style>
  <w:style w:type="character" w:styleId="PageNumber">
    <w:name w:val="page number"/>
    <w:basedOn w:val="DefaultParagraphFont"/>
    <w:uiPriority w:val="99"/>
    <w:semiHidden/>
    <w:unhideWhenUsed/>
    <w:rsid w:val="00CC2F6F"/>
  </w:style>
  <w:style w:type="paragraph" w:styleId="Header">
    <w:name w:val="header"/>
    <w:basedOn w:val="Normal"/>
    <w:link w:val="HeaderChar"/>
    <w:uiPriority w:val="99"/>
    <w:unhideWhenUsed/>
    <w:rsid w:val="00CC2F6F"/>
    <w:pPr>
      <w:tabs>
        <w:tab w:val="center" w:pos="4320"/>
        <w:tab w:val="right" w:pos="8640"/>
      </w:tabs>
    </w:pPr>
  </w:style>
  <w:style w:type="character" w:customStyle="1" w:styleId="HeaderChar">
    <w:name w:val="Header Char"/>
    <w:basedOn w:val="DefaultParagraphFont"/>
    <w:link w:val="Header"/>
    <w:uiPriority w:val="99"/>
    <w:rsid w:val="00CC2F6F"/>
    <w:rPr>
      <w:rFonts w:ascii="Times New Roman" w:hAnsi="Times New Roman"/>
      <w:lang w:val="en-GB"/>
    </w:rPr>
  </w:style>
  <w:style w:type="paragraph" w:customStyle="1" w:styleId="SingleTxtG">
    <w:name w:val="_ Single Txt_G"/>
    <w:basedOn w:val="Normal"/>
    <w:link w:val="SingleTxtGChar"/>
    <w:rsid w:val="000D7287"/>
    <w:pPr>
      <w:suppressAutoHyphens/>
      <w:spacing w:after="120" w:line="240" w:lineRule="atLeast"/>
      <w:ind w:left="1134" w:right="1134"/>
      <w:jc w:val="both"/>
    </w:pPr>
    <w:rPr>
      <w:rFonts w:eastAsia="Times New Roman" w:cs="Times New Roman"/>
      <w:sz w:val="20"/>
      <w:szCs w:val="20"/>
    </w:rPr>
  </w:style>
  <w:style w:type="character" w:customStyle="1" w:styleId="SingleTxtGChar">
    <w:name w:val="_ Single Txt_G Char"/>
    <w:link w:val="SingleTxtG"/>
    <w:locked/>
    <w:rsid w:val="000D7287"/>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CF448A"/>
  </w:style>
  <w:style w:type="character" w:customStyle="1" w:styleId="searchword">
    <w:name w:val="searchword"/>
    <w:basedOn w:val="DefaultParagraphFont"/>
    <w:rsid w:val="00CF448A"/>
  </w:style>
  <w:style w:type="paragraph" w:styleId="NoSpacing">
    <w:name w:val="No Spacing"/>
    <w:uiPriority w:val="1"/>
    <w:qFormat/>
    <w:rsid w:val="00C15D92"/>
    <w:rPr>
      <w:rFonts w:ascii="Times New Roman" w:hAnsi="Times New Roman"/>
      <w:lang w:val="en-GB"/>
    </w:rPr>
  </w:style>
  <w:style w:type="paragraph" w:styleId="BodyTextIndent">
    <w:name w:val="Body Text Indent"/>
    <w:basedOn w:val="Normal"/>
    <w:link w:val="BodyTextIndentChar"/>
    <w:rsid w:val="003B379B"/>
    <w:pPr>
      <w:ind w:left="397"/>
      <w:jc w:val="both"/>
    </w:pPr>
    <w:rPr>
      <w:rFonts w:eastAsia="Times New Roman" w:cs="Times New Roman"/>
      <w:lang w:val="en-AU"/>
    </w:rPr>
  </w:style>
  <w:style w:type="character" w:customStyle="1" w:styleId="BodyTextIndentChar">
    <w:name w:val="Body Text Indent Char"/>
    <w:basedOn w:val="DefaultParagraphFont"/>
    <w:link w:val="BodyTextIndent"/>
    <w:rsid w:val="003B379B"/>
    <w:rPr>
      <w:rFonts w:ascii="Times New Roman" w:eastAsia="Times New Roman" w:hAnsi="Times New Roman" w:cs="Times New Roman"/>
      <w:lang w:val="en-AU"/>
    </w:rPr>
  </w:style>
  <w:style w:type="character" w:styleId="Hyperlink">
    <w:name w:val="Hyperlink"/>
    <w:basedOn w:val="DefaultParagraphFont"/>
    <w:uiPriority w:val="99"/>
    <w:unhideWhenUsed/>
    <w:rsid w:val="003B379B"/>
    <w:rPr>
      <w:color w:val="0000FF" w:themeColor="hyperlink"/>
      <w:u w:val="single"/>
    </w:rPr>
  </w:style>
  <w:style w:type="table" w:styleId="TableGrid">
    <w:name w:val="Table Grid"/>
    <w:basedOn w:val="TableNormal"/>
    <w:uiPriority w:val="59"/>
    <w:rsid w:val="00FF3873"/>
    <w:rPr>
      <w:sz w:val="22"/>
      <w:szCs w:val="22"/>
      <w:lang w:val="en-NZ" w:eastAsia="zh-CN"/>
    </w:rPr>
    <w:tblPr/>
  </w:style>
  <w:style w:type="character" w:customStyle="1" w:styleId="Heading1Char">
    <w:name w:val="Heading 1 Char"/>
    <w:basedOn w:val="DefaultParagraphFont"/>
    <w:link w:val="Heading1"/>
    <w:rsid w:val="0073421D"/>
    <w:rPr>
      <w:rFonts w:ascii="Arial" w:eastAsia="Arial" w:hAnsi="Arial" w:cs="Arial"/>
      <w:b/>
      <w:bCs/>
      <w:color w:val="000000"/>
      <w:sz w:val="36"/>
      <w:szCs w:val="36"/>
    </w:rPr>
  </w:style>
  <w:style w:type="character" w:customStyle="1" w:styleId="Heading4Char">
    <w:name w:val="Heading 4 Char"/>
    <w:basedOn w:val="DefaultParagraphFont"/>
    <w:link w:val="Heading4"/>
    <w:rsid w:val="0073421D"/>
    <w:rPr>
      <w:rFonts w:ascii="Arial" w:eastAsia="Arial" w:hAnsi="Arial" w:cs="Arial"/>
      <w:i/>
      <w:iCs/>
      <w:color w:val="666666"/>
      <w:sz w:val="22"/>
      <w:szCs w:val="22"/>
    </w:rPr>
  </w:style>
  <w:style w:type="paragraph" w:styleId="BalloonText">
    <w:name w:val="Balloon Text"/>
    <w:basedOn w:val="Normal"/>
    <w:link w:val="BalloonTextChar"/>
    <w:uiPriority w:val="99"/>
    <w:semiHidden/>
    <w:unhideWhenUsed/>
    <w:rsid w:val="0073421D"/>
    <w:rPr>
      <w:rFonts w:ascii="Tahoma" w:hAnsi="Tahoma" w:cs="Tahoma"/>
      <w:sz w:val="16"/>
      <w:szCs w:val="16"/>
    </w:rPr>
  </w:style>
  <w:style w:type="character" w:customStyle="1" w:styleId="BalloonTextChar">
    <w:name w:val="Balloon Text Char"/>
    <w:basedOn w:val="DefaultParagraphFont"/>
    <w:link w:val="BalloonText"/>
    <w:uiPriority w:val="99"/>
    <w:semiHidden/>
    <w:rsid w:val="0073421D"/>
    <w:rPr>
      <w:rFonts w:ascii="Tahoma" w:hAnsi="Tahoma" w:cs="Tahoma"/>
      <w:sz w:val="16"/>
      <w:szCs w:val="16"/>
      <w:lang w:val="en-GB"/>
    </w:rPr>
  </w:style>
  <w:style w:type="character" w:styleId="CommentReference">
    <w:name w:val="annotation reference"/>
    <w:basedOn w:val="DefaultParagraphFont"/>
    <w:uiPriority w:val="99"/>
    <w:semiHidden/>
    <w:unhideWhenUsed/>
    <w:rsid w:val="00B0032E"/>
    <w:rPr>
      <w:sz w:val="16"/>
      <w:szCs w:val="16"/>
    </w:rPr>
  </w:style>
  <w:style w:type="paragraph" w:styleId="CommentText">
    <w:name w:val="annotation text"/>
    <w:basedOn w:val="Normal"/>
    <w:link w:val="CommentTextChar"/>
    <w:uiPriority w:val="99"/>
    <w:semiHidden/>
    <w:unhideWhenUsed/>
    <w:rsid w:val="00B0032E"/>
    <w:rPr>
      <w:sz w:val="20"/>
      <w:szCs w:val="20"/>
    </w:rPr>
  </w:style>
  <w:style w:type="character" w:customStyle="1" w:styleId="CommentTextChar">
    <w:name w:val="Comment Text Char"/>
    <w:basedOn w:val="DefaultParagraphFont"/>
    <w:link w:val="CommentText"/>
    <w:uiPriority w:val="99"/>
    <w:semiHidden/>
    <w:rsid w:val="00B0032E"/>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0032E"/>
    <w:rPr>
      <w:b/>
      <w:bCs/>
    </w:rPr>
  </w:style>
  <w:style w:type="character" w:customStyle="1" w:styleId="CommentSubjectChar">
    <w:name w:val="Comment Subject Char"/>
    <w:basedOn w:val="CommentTextChar"/>
    <w:link w:val="CommentSubject"/>
    <w:uiPriority w:val="99"/>
    <w:semiHidden/>
    <w:rsid w:val="00B0032E"/>
    <w:rPr>
      <w:rFonts w:ascii="Times New Roman" w:hAnsi="Times New Roman"/>
      <w:b/>
      <w:bCs/>
      <w:sz w:val="20"/>
      <w:szCs w:val="20"/>
      <w:lang w:val="en-GB"/>
    </w:rPr>
  </w:style>
  <w:style w:type="paragraph" w:styleId="Revision">
    <w:name w:val="Revision"/>
    <w:hidden/>
    <w:uiPriority w:val="99"/>
    <w:semiHidden/>
    <w:rsid w:val="00B0032E"/>
    <w:rPr>
      <w:rFonts w:ascii="Times New Roman" w:hAnsi="Times New Roman"/>
      <w:lang w:val="en-GB"/>
    </w:rPr>
  </w:style>
  <w:style w:type="paragraph" w:customStyle="1" w:styleId="Paragraphedeliste">
    <w:name w:val="Paragraphe de liste"/>
    <w:basedOn w:val="Normal"/>
    <w:uiPriority w:val="99"/>
    <w:qFormat/>
    <w:rsid w:val="00AC74C7"/>
    <w:pPr>
      <w:spacing w:after="200" w:line="276" w:lineRule="auto"/>
      <w:ind w:left="720"/>
      <w:contextualSpacing/>
    </w:pPr>
    <w:rPr>
      <w:rFonts w:ascii="Calibri" w:eastAsia="Calibri" w:hAnsi="Calibri" w:cs="Times New Roman"/>
      <w:sz w:val="22"/>
      <w:szCs w:val="22"/>
      <w:lang w:val="en-AU"/>
    </w:rPr>
  </w:style>
  <w:style w:type="character" w:customStyle="1" w:styleId="Lienhype">
    <w:name w:val="Lien hype"/>
    <w:uiPriority w:val="99"/>
    <w:rsid w:val="00AC74C7"/>
    <w:rPr>
      <w:color w:val="0000FF"/>
      <w:u w:val="single"/>
    </w:rPr>
  </w:style>
  <w:style w:type="character" w:customStyle="1" w:styleId="Marquenotebasdepag">
    <w:name w:val="Marque note bas de pag"/>
    <w:uiPriority w:val="99"/>
    <w:rsid w:val="00AC74C7"/>
    <w:rPr>
      <w:vertAlign w:val="superscript"/>
    </w:rPr>
  </w:style>
  <w:style w:type="paragraph" w:styleId="NormalWeb">
    <w:name w:val="Normal (Web)"/>
    <w:basedOn w:val="Normal"/>
    <w:uiPriority w:val="99"/>
    <w:unhideWhenUsed/>
    <w:rsid w:val="00AC74C7"/>
    <w:pPr>
      <w:spacing w:before="100" w:beforeAutospacing="1" w:after="100" w:afterAutospacing="1"/>
    </w:pPr>
    <w:rPr>
      <w:rFonts w:eastAsiaTheme="minorHAnsi" w:cs="Times New Roman"/>
      <w:lang w:val="en-US"/>
    </w:rPr>
  </w:style>
  <w:style w:type="character" w:customStyle="1" w:styleId="Heading2Char">
    <w:name w:val="Heading 2 Char"/>
    <w:basedOn w:val="DefaultParagraphFont"/>
    <w:link w:val="Heading2"/>
    <w:uiPriority w:val="9"/>
    <w:semiHidden/>
    <w:rsid w:val="00D5514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D5514C"/>
    <w:rPr>
      <w:rFonts w:asciiTheme="majorHAnsi" w:eastAsiaTheme="majorEastAsia" w:hAnsiTheme="majorHAnsi" w:cstheme="majorBidi"/>
      <w:b/>
      <w:bCs/>
      <w:color w:val="4F81BD" w:themeColor="accent1"/>
      <w:lang w:val="en-GB"/>
    </w:rPr>
  </w:style>
  <w:style w:type="character" w:styleId="Emphasis">
    <w:name w:val="Emphasis"/>
    <w:basedOn w:val="DefaultParagraphFont"/>
    <w:uiPriority w:val="20"/>
    <w:qFormat/>
    <w:rsid w:val="00CB25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D1"/>
    <w:rPr>
      <w:rFonts w:ascii="Times New Roman" w:hAnsi="Times New Roman"/>
      <w:lang w:val="en-GB"/>
    </w:rPr>
  </w:style>
  <w:style w:type="paragraph" w:styleId="Heading1">
    <w:name w:val="heading 1"/>
    <w:basedOn w:val="Normal"/>
    <w:next w:val="Normal"/>
    <w:link w:val="Heading1Char"/>
    <w:qFormat/>
    <w:rsid w:val="0073421D"/>
    <w:pPr>
      <w:spacing w:before="480" w:after="120"/>
      <w:outlineLvl w:val="0"/>
    </w:pPr>
    <w:rPr>
      <w:rFonts w:ascii="Arial" w:eastAsia="Arial" w:hAnsi="Arial" w:cs="Arial"/>
      <w:b/>
      <w:bCs/>
      <w:color w:val="000000"/>
      <w:sz w:val="36"/>
      <w:szCs w:val="36"/>
      <w:lang w:val="en-US"/>
    </w:rPr>
  </w:style>
  <w:style w:type="paragraph" w:styleId="Heading2">
    <w:name w:val="heading 2"/>
    <w:basedOn w:val="Normal"/>
    <w:next w:val="Normal"/>
    <w:link w:val="Heading2Char"/>
    <w:uiPriority w:val="9"/>
    <w:semiHidden/>
    <w:unhideWhenUsed/>
    <w:qFormat/>
    <w:rsid w:val="00D551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51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3421D"/>
    <w:pPr>
      <w:spacing w:before="240" w:after="40"/>
      <w:outlineLvl w:val="3"/>
    </w:pPr>
    <w:rPr>
      <w:rFonts w:ascii="Arial" w:eastAsia="Arial" w:hAnsi="Arial" w:cs="Arial"/>
      <w:i/>
      <w:iCs/>
      <w:color w:val="666666"/>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A2"/>
    <w:pPr>
      <w:ind w:left="720"/>
      <w:contextualSpacing/>
    </w:pPr>
  </w:style>
  <w:style w:type="paragraph" w:styleId="FootnoteText">
    <w:name w:val="footnote text"/>
    <w:aliases w:val="5_G,Note de bas de page2,Текст сноски Знак,Footnote Text Char1 Char,Footnote Text Char Char Char,Footnote Text Char Char Char Char Char Char Char Char Char Char Char,Footnote Text Char Char Char Char Char Char Ch"/>
    <w:basedOn w:val="Normal"/>
    <w:link w:val="FootnoteTextChar"/>
    <w:uiPriority w:val="99"/>
    <w:unhideWhenUsed/>
    <w:rsid w:val="000C1EBD"/>
  </w:style>
  <w:style w:type="character" w:customStyle="1" w:styleId="FootnoteTextChar">
    <w:name w:val="Footnote Text Char"/>
    <w:aliases w:val="5_G Char,Note de bas de page2 Char,Текст сноски Знак Char,Footnote Text Char1 Char Char,Footnote Text Char Char Char Char,Footnote Text Char Char Char Char Char Char Char Char Char Char Char Char"/>
    <w:basedOn w:val="DefaultParagraphFont"/>
    <w:link w:val="FootnoteText"/>
    <w:uiPriority w:val="99"/>
    <w:rsid w:val="000C1EBD"/>
    <w:rPr>
      <w:rFonts w:ascii="Times New Roman" w:hAnsi="Times New Roman"/>
      <w:lang w:val="en-GB"/>
    </w:rPr>
  </w:style>
  <w:style w:type="character" w:styleId="FootnoteReference">
    <w:name w:val="footnote reference"/>
    <w:aliases w:val="4_G"/>
    <w:basedOn w:val="DefaultParagraphFont"/>
    <w:uiPriority w:val="99"/>
    <w:unhideWhenUsed/>
    <w:rsid w:val="000C1EBD"/>
    <w:rPr>
      <w:vertAlign w:val="superscript"/>
    </w:rPr>
  </w:style>
  <w:style w:type="paragraph" w:styleId="Footer">
    <w:name w:val="footer"/>
    <w:basedOn w:val="Normal"/>
    <w:link w:val="FooterChar"/>
    <w:uiPriority w:val="99"/>
    <w:unhideWhenUsed/>
    <w:rsid w:val="00CC2F6F"/>
    <w:pPr>
      <w:tabs>
        <w:tab w:val="center" w:pos="4320"/>
        <w:tab w:val="right" w:pos="8640"/>
      </w:tabs>
    </w:pPr>
  </w:style>
  <w:style w:type="character" w:customStyle="1" w:styleId="FooterChar">
    <w:name w:val="Footer Char"/>
    <w:basedOn w:val="DefaultParagraphFont"/>
    <w:link w:val="Footer"/>
    <w:uiPriority w:val="99"/>
    <w:rsid w:val="00CC2F6F"/>
    <w:rPr>
      <w:rFonts w:ascii="Times New Roman" w:hAnsi="Times New Roman"/>
      <w:lang w:val="en-GB"/>
    </w:rPr>
  </w:style>
  <w:style w:type="character" w:styleId="PageNumber">
    <w:name w:val="page number"/>
    <w:basedOn w:val="DefaultParagraphFont"/>
    <w:uiPriority w:val="99"/>
    <w:semiHidden/>
    <w:unhideWhenUsed/>
    <w:rsid w:val="00CC2F6F"/>
  </w:style>
  <w:style w:type="paragraph" w:styleId="Header">
    <w:name w:val="header"/>
    <w:basedOn w:val="Normal"/>
    <w:link w:val="HeaderChar"/>
    <w:uiPriority w:val="99"/>
    <w:unhideWhenUsed/>
    <w:rsid w:val="00CC2F6F"/>
    <w:pPr>
      <w:tabs>
        <w:tab w:val="center" w:pos="4320"/>
        <w:tab w:val="right" w:pos="8640"/>
      </w:tabs>
    </w:pPr>
  </w:style>
  <w:style w:type="character" w:customStyle="1" w:styleId="HeaderChar">
    <w:name w:val="Header Char"/>
    <w:basedOn w:val="DefaultParagraphFont"/>
    <w:link w:val="Header"/>
    <w:uiPriority w:val="99"/>
    <w:rsid w:val="00CC2F6F"/>
    <w:rPr>
      <w:rFonts w:ascii="Times New Roman" w:hAnsi="Times New Roman"/>
      <w:lang w:val="en-GB"/>
    </w:rPr>
  </w:style>
  <w:style w:type="paragraph" w:customStyle="1" w:styleId="SingleTxtG">
    <w:name w:val="_ Single Txt_G"/>
    <w:basedOn w:val="Normal"/>
    <w:link w:val="SingleTxtGChar"/>
    <w:rsid w:val="000D7287"/>
    <w:pPr>
      <w:suppressAutoHyphens/>
      <w:spacing w:after="120" w:line="240" w:lineRule="atLeast"/>
      <w:ind w:left="1134" w:right="1134"/>
      <w:jc w:val="both"/>
    </w:pPr>
    <w:rPr>
      <w:rFonts w:eastAsia="Times New Roman" w:cs="Times New Roman"/>
      <w:sz w:val="20"/>
      <w:szCs w:val="20"/>
    </w:rPr>
  </w:style>
  <w:style w:type="character" w:customStyle="1" w:styleId="SingleTxtGChar">
    <w:name w:val="_ Single Txt_G Char"/>
    <w:link w:val="SingleTxtG"/>
    <w:locked/>
    <w:rsid w:val="000D7287"/>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CF448A"/>
  </w:style>
  <w:style w:type="character" w:customStyle="1" w:styleId="searchword">
    <w:name w:val="searchword"/>
    <w:basedOn w:val="DefaultParagraphFont"/>
    <w:rsid w:val="00CF448A"/>
  </w:style>
  <w:style w:type="paragraph" w:styleId="NoSpacing">
    <w:name w:val="No Spacing"/>
    <w:uiPriority w:val="1"/>
    <w:qFormat/>
    <w:rsid w:val="00C15D92"/>
    <w:rPr>
      <w:rFonts w:ascii="Times New Roman" w:hAnsi="Times New Roman"/>
      <w:lang w:val="en-GB"/>
    </w:rPr>
  </w:style>
  <w:style w:type="paragraph" w:styleId="BodyTextIndent">
    <w:name w:val="Body Text Indent"/>
    <w:basedOn w:val="Normal"/>
    <w:link w:val="BodyTextIndentChar"/>
    <w:rsid w:val="003B379B"/>
    <w:pPr>
      <w:ind w:left="397"/>
      <w:jc w:val="both"/>
    </w:pPr>
    <w:rPr>
      <w:rFonts w:eastAsia="Times New Roman" w:cs="Times New Roman"/>
      <w:lang w:val="en-AU"/>
    </w:rPr>
  </w:style>
  <w:style w:type="character" w:customStyle="1" w:styleId="BodyTextIndentChar">
    <w:name w:val="Body Text Indent Char"/>
    <w:basedOn w:val="DefaultParagraphFont"/>
    <w:link w:val="BodyTextIndent"/>
    <w:rsid w:val="003B379B"/>
    <w:rPr>
      <w:rFonts w:ascii="Times New Roman" w:eastAsia="Times New Roman" w:hAnsi="Times New Roman" w:cs="Times New Roman"/>
      <w:lang w:val="en-AU"/>
    </w:rPr>
  </w:style>
  <w:style w:type="character" w:styleId="Hyperlink">
    <w:name w:val="Hyperlink"/>
    <w:basedOn w:val="DefaultParagraphFont"/>
    <w:uiPriority w:val="99"/>
    <w:unhideWhenUsed/>
    <w:rsid w:val="003B379B"/>
    <w:rPr>
      <w:color w:val="0000FF" w:themeColor="hyperlink"/>
      <w:u w:val="single"/>
    </w:rPr>
  </w:style>
  <w:style w:type="table" w:styleId="TableGrid">
    <w:name w:val="Table Grid"/>
    <w:basedOn w:val="TableNormal"/>
    <w:uiPriority w:val="59"/>
    <w:rsid w:val="00FF3873"/>
    <w:rPr>
      <w:sz w:val="22"/>
      <w:szCs w:val="22"/>
      <w:lang w:val="en-NZ" w:eastAsia="zh-CN"/>
    </w:rPr>
    <w:tblPr/>
  </w:style>
  <w:style w:type="character" w:customStyle="1" w:styleId="Heading1Char">
    <w:name w:val="Heading 1 Char"/>
    <w:basedOn w:val="DefaultParagraphFont"/>
    <w:link w:val="Heading1"/>
    <w:rsid w:val="0073421D"/>
    <w:rPr>
      <w:rFonts w:ascii="Arial" w:eastAsia="Arial" w:hAnsi="Arial" w:cs="Arial"/>
      <w:b/>
      <w:bCs/>
      <w:color w:val="000000"/>
      <w:sz w:val="36"/>
      <w:szCs w:val="36"/>
    </w:rPr>
  </w:style>
  <w:style w:type="character" w:customStyle="1" w:styleId="Heading4Char">
    <w:name w:val="Heading 4 Char"/>
    <w:basedOn w:val="DefaultParagraphFont"/>
    <w:link w:val="Heading4"/>
    <w:rsid w:val="0073421D"/>
    <w:rPr>
      <w:rFonts w:ascii="Arial" w:eastAsia="Arial" w:hAnsi="Arial" w:cs="Arial"/>
      <w:i/>
      <w:iCs/>
      <w:color w:val="666666"/>
      <w:sz w:val="22"/>
      <w:szCs w:val="22"/>
    </w:rPr>
  </w:style>
  <w:style w:type="paragraph" w:styleId="BalloonText">
    <w:name w:val="Balloon Text"/>
    <w:basedOn w:val="Normal"/>
    <w:link w:val="BalloonTextChar"/>
    <w:uiPriority w:val="99"/>
    <w:semiHidden/>
    <w:unhideWhenUsed/>
    <w:rsid w:val="0073421D"/>
    <w:rPr>
      <w:rFonts w:ascii="Tahoma" w:hAnsi="Tahoma" w:cs="Tahoma"/>
      <w:sz w:val="16"/>
      <w:szCs w:val="16"/>
    </w:rPr>
  </w:style>
  <w:style w:type="character" w:customStyle="1" w:styleId="BalloonTextChar">
    <w:name w:val="Balloon Text Char"/>
    <w:basedOn w:val="DefaultParagraphFont"/>
    <w:link w:val="BalloonText"/>
    <w:uiPriority w:val="99"/>
    <w:semiHidden/>
    <w:rsid w:val="0073421D"/>
    <w:rPr>
      <w:rFonts w:ascii="Tahoma" w:hAnsi="Tahoma" w:cs="Tahoma"/>
      <w:sz w:val="16"/>
      <w:szCs w:val="16"/>
      <w:lang w:val="en-GB"/>
    </w:rPr>
  </w:style>
  <w:style w:type="character" w:styleId="CommentReference">
    <w:name w:val="annotation reference"/>
    <w:basedOn w:val="DefaultParagraphFont"/>
    <w:uiPriority w:val="99"/>
    <w:semiHidden/>
    <w:unhideWhenUsed/>
    <w:rsid w:val="00B0032E"/>
    <w:rPr>
      <w:sz w:val="16"/>
      <w:szCs w:val="16"/>
    </w:rPr>
  </w:style>
  <w:style w:type="paragraph" w:styleId="CommentText">
    <w:name w:val="annotation text"/>
    <w:basedOn w:val="Normal"/>
    <w:link w:val="CommentTextChar"/>
    <w:uiPriority w:val="99"/>
    <w:semiHidden/>
    <w:unhideWhenUsed/>
    <w:rsid w:val="00B0032E"/>
    <w:rPr>
      <w:sz w:val="20"/>
      <w:szCs w:val="20"/>
    </w:rPr>
  </w:style>
  <w:style w:type="character" w:customStyle="1" w:styleId="CommentTextChar">
    <w:name w:val="Comment Text Char"/>
    <w:basedOn w:val="DefaultParagraphFont"/>
    <w:link w:val="CommentText"/>
    <w:uiPriority w:val="99"/>
    <w:semiHidden/>
    <w:rsid w:val="00B0032E"/>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0032E"/>
    <w:rPr>
      <w:b/>
      <w:bCs/>
    </w:rPr>
  </w:style>
  <w:style w:type="character" w:customStyle="1" w:styleId="CommentSubjectChar">
    <w:name w:val="Comment Subject Char"/>
    <w:basedOn w:val="CommentTextChar"/>
    <w:link w:val="CommentSubject"/>
    <w:uiPriority w:val="99"/>
    <w:semiHidden/>
    <w:rsid w:val="00B0032E"/>
    <w:rPr>
      <w:rFonts w:ascii="Times New Roman" w:hAnsi="Times New Roman"/>
      <w:b/>
      <w:bCs/>
      <w:sz w:val="20"/>
      <w:szCs w:val="20"/>
      <w:lang w:val="en-GB"/>
    </w:rPr>
  </w:style>
  <w:style w:type="paragraph" w:styleId="Revision">
    <w:name w:val="Revision"/>
    <w:hidden/>
    <w:uiPriority w:val="99"/>
    <w:semiHidden/>
    <w:rsid w:val="00B0032E"/>
    <w:rPr>
      <w:rFonts w:ascii="Times New Roman" w:hAnsi="Times New Roman"/>
      <w:lang w:val="en-GB"/>
    </w:rPr>
  </w:style>
  <w:style w:type="paragraph" w:customStyle="1" w:styleId="Paragraphedeliste">
    <w:name w:val="Paragraphe de liste"/>
    <w:basedOn w:val="Normal"/>
    <w:uiPriority w:val="99"/>
    <w:qFormat/>
    <w:rsid w:val="00AC74C7"/>
    <w:pPr>
      <w:spacing w:after="200" w:line="276" w:lineRule="auto"/>
      <w:ind w:left="720"/>
      <w:contextualSpacing/>
    </w:pPr>
    <w:rPr>
      <w:rFonts w:ascii="Calibri" w:eastAsia="Calibri" w:hAnsi="Calibri" w:cs="Times New Roman"/>
      <w:sz w:val="22"/>
      <w:szCs w:val="22"/>
      <w:lang w:val="en-AU"/>
    </w:rPr>
  </w:style>
  <w:style w:type="character" w:customStyle="1" w:styleId="Lienhype">
    <w:name w:val="Lien hype"/>
    <w:uiPriority w:val="99"/>
    <w:rsid w:val="00AC74C7"/>
    <w:rPr>
      <w:color w:val="0000FF"/>
      <w:u w:val="single"/>
    </w:rPr>
  </w:style>
  <w:style w:type="character" w:customStyle="1" w:styleId="Marquenotebasdepag">
    <w:name w:val="Marque note bas de pag"/>
    <w:uiPriority w:val="99"/>
    <w:rsid w:val="00AC74C7"/>
    <w:rPr>
      <w:vertAlign w:val="superscript"/>
    </w:rPr>
  </w:style>
  <w:style w:type="paragraph" w:styleId="NormalWeb">
    <w:name w:val="Normal (Web)"/>
    <w:basedOn w:val="Normal"/>
    <w:uiPriority w:val="99"/>
    <w:unhideWhenUsed/>
    <w:rsid w:val="00AC74C7"/>
    <w:pPr>
      <w:spacing w:before="100" w:beforeAutospacing="1" w:after="100" w:afterAutospacing="1"/>
    </w:pPr>
    <w:rPr>
      <w:rFonts w:eastAsiaTheme="minorHAnsi" w:cs="Times New Roman"/>
      <w:lang w:val="en-US"/>
    </w:rPr>
  </w:style>
  <w:style w:type="character" w:customStyle="1" w:styleId="Heading2Char">
    <w:name w:val="Heading 2 Char"/>
    <w:basedOn w:val="DefaultParagraphFont"/>
    <w:link w:val="Heading2"/>
    <w:uiPriority w:val="9"/>
    <w:semiHidden/>
    <w:rsid w:val="00D5514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D5514C"/>
    <w:rPr>
      <w:rFonts w:asciiTheme="majorHAnsi" w:eastAsiaTheme="majorEastAsia" w:hAnsiTheme="majorHAnsi" w:cstheme="majorBidi"/>
      <w:b/>
      <w:bCs/>
      <w:color w:val="4F81BD" w:themeColor="accent1"/>
      <w:lang w:val="en-GB"/>
    </w:rPr>
  </w:style>
  <w:style w:type="character" w:styleId="Emphasis">
    <w:name w:val="Emphasis"/>
    <w:basedOn w:val="DefaultParagraphFont"/>
    <w:uiPriority w:val="20"/>
    <w:qFormat/>
    <w:rsid w:val="00CB2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993">
      <w:bodyDiv w:val="1"/>
      <w:marLeft w:val="0"/>
      <w:marRight w:val="0"/>
      <w:marTop w:val="0"/>
      <w:marBottom w:val="0"/>
      <w:divBdr>
        <w:top w:val="none" w:sz="0" w:space="0" w:color="auto"/>
        <w:left w:val="none" w:sz="0" w:space="0" w:color="auto"/>
        <w:bottom w:val="none" w:sz="0" w:space="0" w:color="auto"/>
        <w:right w:val="none" w:sz="0" w:space="0" w:color="auto"/>
      </w:divBdr>
    </w:div>
    <w:div w:id="267280755">
      <w:bodyDiv w:val="1"/>
      <w:marLeft w:val="0"/>
      <w:marRight w:val="0"/>
      <w:marTop w:val="0"/>
      <w:marBottom w:val="0"/>
      <w:divBdr>
        <w:top w:val="none" w:sz="0" w:space="0" w:color="auto"/>
        <w:left w:val="none" w:sz="0" w:space="0" w:color="auto"/>
        <w:bottom w:val="none" w:sz="0" w:space="0" w:color="auto"/>
        <w:right w:val="none" w:sz="0" w:space="0" w:color="auto"/>
      </w:divBdr>
    </w:div>
    <w:div w:id="357049465">
      <w:bodyDiv w:val="1"/>
      <w:marLeft w:val="0"/>
      <w:marRight w:val="0"/>
      <w:marTop w:val="0"/>
      <w:marBottom w:val="0"/>
      <w:divBdr>
        <w:top w:val="none" w:sz="0" w:space="0" w:color="auto"/>
        <w:left w:val="none" w:sz="0" w:space="0" w:color="auto"/>
        <w:bottom w:val="none" w:sz="0" w:space="0" w:color="auto"/>
        <w:right w:val="none" w:sz="0" w:space="0" w:color="auto"/>
      </w:divBdr>
    </w:div>
    <w:div w:id="625114371">
      <w:bodyDiv w:val="1"/>
      <w:marLeft w:val="0"/>
      <w:marRight w:val="0"/>
      <w:marTop w:val="0"/>
      <w:marBottom w:val="0"/>
      <w:divBdr>
        <w:top w:val="none" w:sz="0" w:space="0" w:color="auto"/>
        <w:left w:val="none" w:sz="0" w:space="0" w:color="auto"/>
        <w:bottom w:val="none" w:sz="0" w:space="0" w:color="auto"/>
        <w:right w:val="none" w:sz="0" w:space="0" w:color="auto"/>
      </w:divBdr>
    </w:div>
    <w:div w:id="913393417">
      <w:bodyDiv w:val="1"/>
      <w:marLeft w:val="0"/>
      <w:marRight w:val="0"/>
      <w:marTop w:val="0"/>
      <w:marBottom w:val="0"/>
      <w:divBdr>
        <w:top w:val="none" w:sz="0" w:space="0" w:color="auto"/>
        <w:left w:val="none" w:sz="0" w:space="0" w:color="auto"/>
        <w:bottom w:val="none" w:sz="0" w:space="0" w:color="auto"/>
        <w:right w:val="none" w:sz="0" w:space="0" w:color="auto"/>
      </w:divBdr>
    </w:div>
    <w:div w:id="1095370393">
      <w:bodyDiv w:val="1"/>
      <w:marLeft w:val="0"/>
      <w:marRight w:val="0"/>
      <w:marTop w:val="0"/>
      <w:marBottom w:val="0"/>
      <w:divBdr>
        <w:top w:val="none" w:sz="0" w:space="0" w:color="auto"/>
        <w:left w:val="none" w:sz="0" w:space="0" w:color="auto"/>
        <w:bottom w:val="none" w:sz="0" w:space="0" w:color="auto"/>
        <w:right w:val="none" w:sz="0" w:space="0" w:color="auto"/>
      </w:divBdr>
    </w:div>
    <w:div w:id="1600868926">
      <w:bodyDiv w:val="1"/>
      <w:marLeft w:val="0"/>
      <w:marRight w:val="0"/>
      <w:marTop w:val="0"/>
      <w:marBottom w:val="0"/>
      <w:divBdr>
        <w:top w:val="none" w:sz="0" w:space="0" w:color="auto"/>
        <w:left w:val="none" w:sz="0" w:space="0" w:color="auto"/>
        <w:bottom w:val="none" w:sz="0" w:space="0" w:color="auto"/>
        <w:right w:val="none" w:sz="0" w:space="0" w:color="auto"/>
      </w:divBdr>
      <w:divsChild>
        <w:div w:id="768239172">
          <w:marLeft w:val="0"/>
          <w:marRight w:val="0"/>
          <w:marTop w:val="0"/>
          <w:marBottom w:val="0"/>
          <w:divBdr>
            <w:top w:val="none" w:sz="0" w:space="0" w:color="auto"/>
            <w:left w:val="none" w:sz="0" w:space="0" w:color="auto"/>
            <w:bottom w:val="none" w:sz="0" w:space="0" w:color="auto"/>
            <w:right w:val="none" w:sz="0" w:space="0" w:color="auto"/>
          </w:divBdr>
        </w:div>
        <w:div w:id="2017461134">
          <w:marLeft w:val="0"/>
          <w:marRight w:val="0"/>
          <w:marTop w:val="0"/>
          <w:marBottom w:val="0"/>
          <w:divBdr>
            <w:top w:val="none" w:sz="0" w:space="0" w:color="auto"/>
            <w:left w:val="none" w:sz="0" w:space="0" w:color="auto"/>
            <w:bottom w:val="none" w:sz="0" w:space="0" w:color="auto"/>
            <w:right w:val="none" w:sz="0" w:space="0" w:color="auto"/>
          </w:divBdr>
        </w:div>
      </w:divsChild>
    </w:div>
    <w:div w:id="2032148346">
      <w:bodyDiv w:val="1"/>
      <w:marLeft w:val="0"/>
      <w:marRight w:val="0"/>
      <w:marTop w:val="0"/>
      <w:marBottom w:val="0"/>
      <w:divBdr>
        <w:top w:val="none" w:sz="0" w:space="0" w:color="auto"/>
        <w:left w:val="none" w:sz="0" w:space="0" w:color="auto"/>
        <w:bottom w:val="none" w:sz="0" w:space="0" w:color="auto"/>
        <w:right w:val="none" w:sz="0" w:space="0" w:color="auto"/>
      </w:divBdr>
      <w:divsChild>
        <w:div w:id="1397626296">
          <w:marLeft w:val="0"/>
          <w:marRight w:val="0"/>
          <w:marTop w:val="0"/>
          <w:marBottom w:val="0"/>
          <w:divBdr>
            <w:top w:val="none" w:sz="0" w:space="0" w:color="auto"/>
            <w:left w:val="none" w:sz="0" w:space="0" w:color="auto"/>
            <w:bottom w:val="none" w:sz="0" w:space="0" w:color="auto"/>
            <w:right w:val="none" w:sz="0" w:space="0" w:color="auto"/>
          </w:divBdr>
        </w:div>
        <w:div w:id="981036259">
          <w:marLeft w:val="0"/>
          <w:marRight w:val="0"/>
          <w:marTop w:val="0"/>
          <w:marBottom w:val="0"/>
          <w:divBdr>
            <w:top w:val="none" w:sz="0" w:space="0" w:color="auto"/>
            <w:left w:val="none" w:sz="0" w:space="0" w:color="auto"/>
            <w:bottom w:val="none" w:sz="0" w:space="0" w:color="auto"/>
            <w:right w:val="none" w:sz="0" w:space="0" w:color="auto"/>
          </w:divBdr>
        </w:div>
      </w:divsChild>
    </w:div>
    <w:div w:id="210680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catrionnamaclennan.co.nz/blog/welfare-reform-15" TargetMode="External"/><Relationship Id="rId13" Type="http://schemas.openxmlformats.org/officeDocument/2006/relationships/hyperlink" Target="https://www.ageconcern.org.nz/ACNZ_Public/EANP_contact_information.aspx" TargetMode="External"/><Relationship Id="rId3" Type="http://schemas.openxmlformats.org/officeDocument/2006/relationships/hyperlink" Target="http://www.catrionnamaclennan.co.nz/blog/welfare-reform-15" TargetMode="External"/><Relationship Id="rId7" Type="http://schemas.openxmlformats.org/officeDocument/2006/relationships/hyperlink" Target="http://unsr.vtaulicorpuz.org/site/images/docs/un/2014-a-hrc-res-26-9-en.pdf" TargetMode="External"/><Relationship Id="rId12" Type="http://schemas.openxmlformats.org/officeDocument/2006/relationships/hyperlink" Target="https://www.stuff.co.nz/business/97216324/its-tough-to-beat-aged-care-subsidy-means-test" TargetMode="External"/><Relationship Id="rId17" Type="http://schemas.openxmlformats.org/officeDocument/2006/relationships/hyperlink" Target="https://www.stuff.co.nz/national/politics/77566630/Who-is-missing-out-on-surgery-Government-releases-first-figures-of-phantom-waiting-list?cid=app-iPhone" TargetMode="External"/><Relationship Id="rId2" Type="http://schemas.openxmlformats.org/officeDocument/2006/relationships/hyperlink" Target="http://unsr.vtaulicorpuz.org/site/images/docs/un/2014-a-hrc-res-26-9-en.pdf" TargetMode="External"/><Relationship Id="rId16" Type="http://schemas.openxmlformats.org/officeDocument/2006/relationships/hyperlink" Target="https://www.stuff.co.nz/national/health/90770259/thousands-left-off-surgery-waiting-lists-suffering-indefinitely--study" TargetMode="External"/><Relationship Id="rId1" Type="http://schemas.openxmlformats.org/officeDocument/2006/relationships/hyperlink" Target="http://www.unglobalcompact.org" TargetMode="External"/><Relationship Id="rId6" Type="http://schemas.openxmlformats.org/officeDocument/2006/relationships/hyperlink" Target="http://www.salvationarmy.org.nz/research-media/social-policiy-and-parliamentary-unit/latest-report" TargetMode="External"/><Relationship Id="rId11" Type="http://schemas.openxmlformats.org/officeDocument/2006/relationships/hyperlink" Target="https://www.hrc.co.nz/enquiries-and-complaints/faqs/job-application-questions/" TargetMode="External"/><Relationship Id="rId5" Type="http://schemas.openxmlformats.org/officeDocument/2006/relationships/hyperlink" Target="http://www.stuff.co.nz/auckland/10002557/needy-camp-overnight-at-auckland-city-mission-for-food-parcels" TargetMode="External"/><Relationship Id="rId15" Type="http://schemas.openxmlformats.org/officeDocument/2006/relationships/hyperlink" Target="http://210.80.148.78/iMIS_Prod/ACNZ_Public/EANP_contact_information.aspx" TargetMode="External"/><Relationship Id="rId10" Type="http://schemas.openxmlformats.org/officeDocument/2006/relationships/hyperlink" Target="http://www.nzherald.co.nz/lifestyle/news/article.cfm?c_id=6&amp;objectid=11749304" TargetMode="External"/><Relationship Id="rId4" Type="http://schemas.openxmlformats.org/officeDocument/2006/relationships/hyperlink" Target="http://www.msd.govt.nz/about-msd-and-our-work/publications-resources/monitoring/household-incomes/index.html" TargetMode="External"/><Relationship Id="rId9" Type="http://schemas.openxmlformats.org/officeDocument/2006/relationships/hyperlink" Target="http://archive.stats.govt.nz/browse_for_stats/population/estimates_and_projections/NationalPopulationProjections_HOTP2016.aspx" TargetMode="External"/><Relationship Id="rId14" Type="http://schemas.openxmlformats.org/officeDocument/2006/relationships/hyperlink" Target="https://www.ageconcern.org.nz/ACNZPublic/Services/EANP/ACNZ_Public/Elder_Abuse_and_Negle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40B10-BB85-479A-BA91-3BA5D19B6E1C}"/>
</file>

<file path=customXml/itemProps2.xml><?xml version="1.0" encoding="utf-8"?>
<ds:datastoreItem xmlns:ds="http://schemas.openxmlformats.org/officeDocument/2006/customXml" ds:itemID="{5D958503-11D0-4C1B-983A-E8D2A05F21AD}"/>
</file>

<file path=customXml/itemProps3.xml><?xml version="1.0" encoding="utf-8"?>
<ds:datastoreItem xmlns:ds="http://schemas.openxmlformats.org/officeDocument/2006/customXml" ds:itemID="{E747735E-6E22-47DD-B56B-0BAE6A1AB0C5}"/>
</file>

<file path=customXml/itemProps4.xml><?xml version="1.0" encoding="utf-8"?>
<ds:datastoreItem xmlns:ds="http://schemas.openxmlformats.org/officeDocument/2006/customXml" ds:itemID="{29A59242-1DDF-45DC-933F-AB0E4053CBEF}"/>
</file>

<file path=docProps/app.xml><?xml version="1.0" encoding="utf-8"?>
<Properties xmlns="http://schemas.openxmlformats.org/officeDocument/2006/extended-properties" xmlns:vt="http://schemas.openxmlformats.org/officeDocument/2006/docPropsVTypes">
  <Template>Normal</Template>
  <TotalTime>0</TotalTime>
  <Pages>133</Pages>
  <Words>25279</Words>
  <Characters>144096</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Ange</cp:lastModifiedBy>
  <cp:revision>2</cp:revision>
  <cp:lastPrinted>2018-01-22T23:41:00Z</cp:lastPrinted>
  <dcterms:created xsi:type="dcterms:W3CDTF">2018-02-26T03:32:00Z</dcterms:created>
  <dcterms:modified xsi:type="dcterms:W3CDTF">2018-02-26T03:32:00Z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