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2BDD" w:rsidRPr="00CF6E9A" w:rsidRDefault="000F2BDD">
      <w:pPr>
        <w:pStyle w:val="FootnoteText"/>
        <w:jc w:val="center"/>
        <w:rPr>
          <w:b/>
          <w:bCs/>
          <w:sz w:val="40"/>
          <w:szCs w:val="40"/>
          <w:lang w:eastAsia="es-ES"/>
        </w:rPr>
      </w:pPr>
      <w:r w:rsidRPr="00CF6E9A">
        <w:rPr>
          <w:b/>
          <w:bCs/>
          <w:sz w:val="40"/>
          <w:szCs w:val="40"/>
          <w:lang w:eastAsia="es-ES"/>
        </w:rPr>
        <w:t>MAROC</w:t>
      </w:r>
    </w:p>
    <w:p w:rsidR="000F2BDD" w:rsidRDefault="000F2BDD">
      <w:pPr>
        <w:jc w:val="center"/>
        <w:rPr>
          <w:b/>
          <w:bCs/>
          <w:sz w:val="44"/>
        </w:rPr>
      </w:pPr>
    </w:p>
    <w:p w:rsidR="000F2BDD" w:rsidRPr="006A20F2" w:rsidRDefault="000F2BDD">
      <w:pPr>
        <w:jc w:val="center"/>
        <w:rPr>
          <w:b/>
          <w:bCs/>
          <w:sz w:val="36"/>
          <w:szCs w:val="36"/>
        </w:rPr>
      </w:pPr>
      <w:r w:rsidRPr="006A20F2">
        <w:rPr>
          <w:b/>
          <w:bCs/>
          <w:sz w:val="36"/>
          <w:szCs w:val="36"/>
        </w:rPr>
        <w:t>RAPPORT ALTERNATI</w:t>
      </w:r>
      <w:bookmarkStart w:id="0" w:name="_GoBack"/>
      <w:bookmarkEnd w:id="0"/>
      <w:r w:rsidRPr="006A20F2">
        <w:rPr>
          <w:b/>
          <w:bCs/>
          <w:sz w:val="36"/>
          <w:szCs w:val="36"/>
        </w:rPr>
        <w:t>F DE LA SOCIÉTÉ CIVILE SUR LA MISE EN OEUVRE DU PACTE INTERNATIONAL RELATIF AUX DROITS CIVILS ET POLITIQUES (PIDCP)</w:t>
      </w:r>
    </w:p>
    <w:p w:rsidR="000F2BDD" w:rsidRDefault="000F2BDD">
      <w:pPr>
        <w:pStyle w:val="FootnoteText"/>
        <w:rPr>
          <w:szCs w:val="24"/>
          <w:lang w:eastAsia="es-ES"/>
        </w:rPr>
      </w:pPr>
    </w:p>
    <w:p w:rsidR="000F2BDD" w:rsidRDefault="000F2BDD">
      <w:pPr>
        <w:pStyle w:val="FootnoteText"/>
        <w:ind w:left="1416" w:hanging="1416"/>
        <w:rPr>
          <w:szCs w:val="24"/>
          <w:lang w:eastAsia="es-ES"/>
        </w:rPr>
      </w:pPr>
    </w:p>
    <w:p w:rsidR="000F2BDD" w:rsidRDefault="000F2BDD">
      <w:pPr>
        <w:jc w:val="center"/>
        <w:rPr>
          <w:i/>
          <w:iCs/>
          <w:sz w:val="28"/>
        </w:rPr>
      </w:pPr>
      <w:r>
        <w:rPr>
          <w:i/>
          <w:iCs/>
          <w:sz w:val="28"/>
        </w:rPr>
        <w:t>Soumis au Comité des Droits de l’Homme en vue de l‘examen du sixième rapport périodique du Maroc attendu en 2008.</w:t>
      </w:r>
    </w:p>
    <w:p w:rsidR="000F2BDD" w:rsidRDefault="000F2BDD"/>
    <w:p w:rsidR="000F2BDD" w:rsidRDefault="000F2BDD" w:rsidP="00FD527B">
      <w:pPr>
        <w:jc w:val="center"/>
      </w:pPr>
      <w:r>
        <w:t>Rabat, 16 décembre 2015</w:t>
      </w:r>
    </w:p>
    <w:p w:rsidR="000F2BDD" w:rsidRDefault="000F2BDD" w:rsidP="00FD527B">
      <w:pPr>
        <w:jc w:val="center"/>
      </w:pPr>
    </w:p>
    <w:p w:rsidR="000F2BDD" w:rsidRDefault="00474727" w:rsidP="00E25ED8">
      <w:pPr>
        <w:jc w:val="center"/>
      </w:pPr>
      <w:r>
        <w:rPr>
          <w:noProof/>
          <w:lang w:val="en-GB" w:eastAsia="en-GB"/>
        </w:rPr>
        <w:drawing>
          <wp:inline distT="0" distB="0" distL="0" distR="0">
            <wp:extent cx="762000" cy="762000"/>
            <wp:effectExtent l="0" t="0" r="0" b="0"/>
            <wp:docPr id="2" name="Imagen 1" descr="AMD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AMDH"/>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Pr>
          <w:noProof/>
          <w:lang w:val="en-GB" w:eastAsia="en-GB"/>
        </w:rPr>
        <w:drawing>
          <wp:inline distT="0" distB="0" distL="0" distR="0">
            <wp:extent cx="762000" cy="762000"/>
            <wp:effectExtent l="0" t="0" r="0" b="0"/>
            <wp:docPr id="3" name="Imagen 3" descr="LMDD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MDD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Pr>
          <w:noProof/>
          <w:lang w:val="en-GB" w:eastAsia="en-GB"/>
        </w:rPr>
        <w:drawing>
          <wp:inline distT="0" distB="0" distL="0" distR="0">
            <wp:extent cx="891540" cy="815340"/>
            <wp:effectExtent l="0" t="0" r="3810" b="3810"/>
            <wp:docPr id="4" name="Imagen 4" descr="ASDH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ASDHO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91540" cy="815340"/>
                    </a:xfrm>
                    <a:prstGeom prst="rect">
                      <a:avLst/>
                    </a:prstGeom>
                    <a:noFill/>
                    <a:ln>
                      <a:noFill/>
                    </a:ln>
                  </pic:spPr>
                </pic:pic>
              </a:graphicData>
            </a:graphic>
          </wp:inline>
        </w:drawing>
      </w:r>
      <w:r>
        <w:rPr>
          <w:noProof/>
          <w:lang w:val="en-GB" w:eastAsia="en-GB"/>
        </w:rPr>
        <w:drawing>
          <wp:inline distT="0" distB="0" distL="0" distR="0">
            <wp:extent cx="800100" cy="800100"/>
            <wp:effectExtent l="0" t="0" r="0" b="0"/>
            <wp:docPr id="5" name="Imagen 5" descr="CMD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CMDH"/>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r>
        <w:rPr>
          <w:noProof/>
          <w:lang w:val="en-GB" w:eastAsia="en-GB"/>
        </w:rPr>
        <w:drawing>
          <wp:inline distT="0" distB="0" distL="0" distR="0">
            <wp:extent cx="762000" cy="762000"/>
            <wp:effectExtent l="0" t="0" r="0" b="0"/>
            <wp:docPr id="6" name="Imagen 6" descr="FMV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FMVJ"/>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Pr>
          <w:noProof/>
          <w:lang w:val="en-GB" w:eastAsia="en-GB"/>
        </w:rPr>
        <w:drawing>
          <wp:inline distT="0" distB="0" distL="0" distR="0">
            <wp:extent cx="883920" cy="609600"/>
            <wp:effectExtent l="0" t="0" r="0" b="0"/>
            <wp:docPr id="7" name="Imagen 7" descr="O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O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83920" cy="609600"/>
                    </a:xfrm>
                    <a:prstGeom prst="rect">
                      <a:avLst/>
                    </a:prstGeom>
                    <a:noFill/>
                    <a:ln>
                      <a:noFill/>
                    </a:ln>
                  </pic:spPr>
                </pic:pic>
              </a:graphicData>
            </a:graphic>
          </wp:inline>
        </w:drawing>
      </w:r>
      <w:r>
        <w:rPr>
          <w:noProof/>
          <w:lang w:val="en-GB" w:eastAsia="en-GB"/>
        </w:rPr>
        <w:drawing>
          <wp:inline distT="0" distB="0" distL="0" distR="0">
            <wp:extent cx="914400" cy="762000"/>
            <wp:effectExtent l="0" t="0" r="0" b="0"/>
            <wp:docPr id="8" name="Imagen 9" descr="OL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OLI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14400" cy="762000"/>
                    </a:xfrm>
                    <a:prstGeom prst="rect">
                      <a:avLst/>
                    </a:prstGeom>
                    <a:noFill/>
                    <a:ln>
                      <a:noFill/>
                    </a:ln>
                  </pic:spPr>
                </pic:pic>
              </a:graphicData>
            </a:graphic>
          </wp:inline>
        </w:drawing>
      </w:r>
      <w:r>
        <w:rPr>
          <w:noProof/>
          <w:lang w:val="en-GB" w:eastAsia="en-GB"/>
        </w:rPr>
        <w:drawing>
          <wp:inline distT="0" distB="0" distL="0" distR="0">
            <wp:extent cx="830580" cy="396240"/>
            <wp:effectExtent l="0" t="0" r="7620" b="3810"/>
            <wp:docPr id="9" name="Imagen 10" descr="AM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AMJI"/>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30580" cy="396240"/>
                    </a:xfrm>
                    <a:prstGeom prst="rect">
                      <a:avLst/>
                    </a:prstGeom>
                    <a:noFill/>
                    <a:ln>
                      <a:noFill/>
                    </a:ln>
                  </pic:spPr>
                </pic:pic>
              </a:graphicData>
            </a:graphic>
          </wp:inline>
        </w:drawing>
      </w:r>
      <w:r>
        <w:rPr>
          <w:noProof/>
          <w:lang w:val="en-GB" w:eastAsia="en-GB"/>
        </w:rPr>
        <w:drawing>
          <wp:inline distT="0" distB="0" distL="0" distR="0">
            <wp:extent cx="891540" cy="556260"/>
            <wp:effectExtent l="0" t="0" r="3810" b="0"/>
            <wp:docPr id="10" name="Imagen 11" descr="AD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AD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91540" cy="556260"/>
                    </a:xfrm>
                    <a:prstGeom prst="rect">
                      <a:avLst/>
                    </a:prstGeom>
                    <a:noFill/>
                    <a:ln>
                      <a:noFill/>
                    </a:ln>
                  </pic:spPr>
                </pic:pic>
              </a:graphicData>
            </a:graphic>
          </wp:inline>
        </w:drawing>
      </w:r>
    </w:p>
    <w:p w:rsidR="000F2BDD" w:rsidRPr="0055529B" w:rsidRDefault="00474727" w:rsidP="00C92FCE">
      <w:r>
        <w:rPr>
          <w:noProof/>
          <w:lang w:val="en-GB" w:eastAsia="en-GB"/>
        </w:rPr>
        <w:drawing>
          <wp:inline distT="0" distB="0" distL="0" distR="0">
            <wp:extent cx="754380" cy="693420"/>
            <wp:effectExtent l="0" t="0" r="7620" b="0"/>
            <wp:docPr id="11"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54380" cy="693420"/>
                    </a:xfrm>
                    <a:prstGeom prst="rect">
                      <a:avLst/>
                    </a:prstGeom>
                    <a:noFill/>
                    <a:ln>
                      <a:noFill/>
                    </a:ln>
                  </pic:spPr>
                </pic:pic>
              </a:graphicData>
            </a:graphic>
          </wp:inline>
        </w:drawing>
      </w:r>
      <w:r>
        <w:rPr>
          <w:noProof/>
          <w:lang w:val="en-GB" w:eastAsia="en-GB"/>
        </w:rPr>
        <w:drawing>
          <wp:inline distT="0" distB="0" distL="0" distR="0">
            <wp:extent cx="640080" cy="640080"/>
            <wp:effectExtent l="0" t="0" r="7620" b="7620"/>
            <wp:docPr id="12" name="Imagen 13" descr="AT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ATM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inline>
        </w:drawing>
      </w:r>
      <w:r>
        <w:rPr>
          <w:noProof/>
          <w:lang w:val="en-GB" w:eastAsia="en-GB"/>
        </w:rPr>
        <w:drawing>
          <wp:inline distT="0" distB="0" distL="0" distR="0">
            <wp:extent cx="1074420" cy="449580"/>
            <wp:effectExtent l="0" t="0" r="0" b="7620"/>
            <wp:docPr id="13" name="Imagen 14" descr="A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AM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74420" cy="449580"/>
                    </a:xfrm>
                    <a:prstGeom prst="rect">
                      <a:avLst/>
                    </a:prstGeom>
                    <a:noFill/>
                    <a:ln>
                      <a:noFill/>
                    </a:ln>
                  </pic:spPr>
                </pic:pic>
              </a:graphicData>
            </a:graphic>
          </wp:inline>
        </w:drawing>
      </w:r>
      <w:r>
        <w:rPr>
          <w:noProof/>
          <w:lang w:val="en-GB" w:eastAsia="en-GB"/>
        </w:rPr>
        <w:drawing>
          <wp:inline distT="0" distB="0" distL="0" distR="0">
            <wp:extent cx="1211580" cy="609600"/>
            <wp:effectExtent l="0" t="0" r="7620" b="0"/>
            <wp:docPr id="14" name="Imagen 15" descr="Freedom 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descr="Freedom Now"/>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11580" cy="609600"/>
                    </a:xfrm>
                    <a:prstGeom prst="rect">
                      <a:avLst/>
                    </a:prstGeom>
                    <a:noFill/>
                    <a:ln>
                      <a:noFill/>
                    </a:ln>
                  </pic:spPr>
                </pic:pic>
              </a:graphicData>
            </a:graphic>
          </wp:inline>
        </w:drawing>
      </w:r>
    </w:p>
    <w:p w:rsidR="000F2BDD" w:rsidRDefault="000F2BDD" w:rsidP="00DD7B68"/>
    <w:p w:rsidR="000F2BDD" w:rsidRPr="0055529B" w:rsidRDefault="00474727" w:rsidP="00E25ED8">
      <w:pPr>
        <w:jc w:val="center"/>
      </w:pPr>
      <w:r>
        <w:rPr>
          <w:noProof/>
          <w:lang w:val="en-GB" w:eastAsia="en-GB"/>
        </w:rPr>
        <w:drawing>
          <wp:inline distT="0" distB="0" distL="0" distR="0">
            <wp:extent cx="1859280" cy="236220"/>
            <wp:effectExtent l="0" t="0" r="7620" b="0"/>
            <wp:docPr id="15" name="Imagen 17" descr="CMID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descr="CMIDH"/>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59280" cy="236220"/>
                    </a:xfrm>
                    <a:prstGeom prst="rect">
                      <a:avLst/>
                    </a:prstGeom>
                    <a:noFill/>
                    <a:ln>
                      <a:noFill/>
                    </a:ln>
                  </pic:spPr>
                </pic:pic>
              </a:graphicData>
            </a:graphic>
          </wp:inline>
        </w:drawing>
      </w:r>
    </w:p>
    <w:p w:rsidR="000F2BDD" w:rsidRDefault="000F2BDD"/>
    <w:p w:rsidR="000F2BDD" w:rsidRDefault="000F2BDD"/>
    <w:p w:rsidR="000F2BDD" w:rsidRDefault="000F2BDD" w:rsidP="00DD7B68">
      <w:pPr>
        <w:jc w:val="center"/>
      </w:pPr>
      <w:r>
        <w:t xml:space="preserve">Rapport élaboré avec le soutien de la Coordination Maghrébine </w:t>
      </w:r>
    </w:p>
    <w:p w:rsidR="000F2BDD" w:rsidRDefault="000F2BDD" w:rsidP="00DD7B68">
      <w:pPr>
        <w:jc w:val="center"/>
      </w:pPr>
      <w:r>
        <w:t>des Organisations de Droits Humains</w:t>
      </w:r>
    </w:p>
    <w:p w:rsidR="000F2BDD" w:rsidRDefault="000F2BDD" w:rsidP="00DD7B68">
      <w:pPr>
        <w:ind w:left="2832"/>
      </w:pPr>
    </w:p>
    <w:p w:rsidR="000F2BDD" w:rsidRDefault="00474727" w:rsidP="00DD7B68">
      <w:pPr>
        <w:ind w:left="2832"/>
      </w:pPr>
      <w:r>
        <w:rPr>
          <w:noProof/>
          <w:lang w:val="en-GB" w:eastAsia="en-GB"/>
        </w:rPr>
        <w:drawing>
          <wp:inline distT="0" distB="0" distL="0" distR="0">
            <wp:extent cx="1013460" cy="883920"/>
            <wp:effectExtent l="0" t="0" r="0" b="0"/>
            <wp:docPr id="16"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13460" cy="883920"/>
                    </a:xfrm>
                    <a:prstGeom prst="rect">
                      <a:avLst/>
                    </a:prstGeom>
                    <a:noFill/>
                    <a:ln>
                      <a:noFill/>
                    </a:ln>
                  </pic:spPr>
                </pic:pic>
              </a:graphicData>
            </a:graphic>
          </wp:inline>
        </w:drawing>
      </w:r>
    </w:p>
    <w:p w:rsidR="000F2BDD" w:rsidRDefault="000F2BDD"/>
    <w:p w:rsidR="000F2BDD" w:rsidRDefault="000F2BDD"/>
    <w:p w:rsidR="000F2BDD" w:rsidRDefault="000F2BDD"/>
    <w:p w:rsidR="000F2BDD" w:rsidRDefault="000F2BDD">
      <w:pPr>
        <w:rPr>
          <w:b/>
        </w:rPr>
      </w:pPr>
      <w:r>
        <w:rPr>
          <w:b/>
        </w:rPr>
        <w:br w:type="page"/>
      </w:r>
    </w:p>
    <w:p w:rsidR="000F2BDD" w:rsidRPr="00137C5B" w:rsidRDefault="000F2BDD" w:rsidP="00390B4F">
      <w:pPr>
        <w:rPr>
          <w:b/>
        </w:rPr>
      </w:pPr>
      <w:r w:rsidRPr="00137C5B">
        <w:rPr>
          <w:b/>
        </w:rPr>
        <w:t xml:space="preserve">Liste d’acronymes et </w:t>
      </w:r>
      <w:r>
        <w:rPr>
          <w:b/>
        </w:rPr>
        <w:t>d’</w:t>
      </w:r>
      <w:r w:rsidRPr="00137C5B">
        <w:rPr>
          <w:b/>
        </w:rPr>
        <w:t>abréviations</w:t>
      </w:r>
    </w:p>
    <w:p w:rsidR="000F2BDD" w:rsidRDefault="000F2BDD" w:rsidP="00390B4F"/>
    <w:tbl>
      <w:tblPr>
        <w:tblW w:w="0" w:type="auto"/>
        <w:tblLook w:val="01E0" w:firstRow="1" w:lastRow="1" w:firstColumn="1" w:lastColumn="1" w:noHBand="0" w:noVBand="0"/>
      </w:tblPr>
      <w:tblGrid>
        <w:gridCol w:w="1615"/>
        <w:gridCol w:w="7439"/>
      </w:tblGrid>
      <w:tr w:rsidR="000F2BDD" w:rsidTr="00580C0C">
        <w:tc>
          <w:tcPr>
            <w:tcW w:w="1615" w:type="dxa"/>
          </w:tcPr>
          <w:p w:rsidR="000F2BDD" w:rsidRDefault="000F2BDD" w:rsidP="00427220">
            <w:r>
              <w:t>AMDH</w:t>
            </w:r>
          </w:p>
        </w:tc>
        <w:tc>
          <w:tcPr>
            <w:tcW w:w="7439" w:type="dxa"/>
          </w:tcPr>
          <w:p w:rsidR="000F2BDD" w:rsidRDefault="000F2BDD" w:rsidP="007179EE">
            <w:r>
              <w:t xml:space="preserve">Association Marocaine des Droits </w:t>
            </w:r>
            <w:r w:rsidR="007179EE">
              <w:t>Humains</w:t>
            </w:r>
          </w:p>
        </w:tc>
      </w:tr>
      <w:tr w:rsidR="000F2BDD" w:rsidTr="00580C0C">
        <w:tc>
          <w:tcPr>
            <w:tcW w:w="1615" w:type="dxa"/>
          </w:tcPr>
          <w:p w:rsidR="000F2BDD" w:rsidRDefault="000F2BDD" w:rsidP="00427220">
            <w:r>
              <w:t>AMJI</w:t>
            </w:r>
          </w:p>
        </w:tc>
        <w:tc>
          <w:tcPr>
            <w:tcW w:w="7439" w:type="dxa"/>
          </w:tcPr>
          <w:p w:rsidR="000F2BDD" w:rsidRDefault="000F2BDD" w:rsidP="00427220">
            <w:r>
              <w:t>Association Marocaine du Journalisme d’Investigation</w:t>
            </w:r>
          </w:p>
        </w:tc>
      </w:tr>
      <w:tr w:rsidR="000F2BDD" w:rsidTr="00580C0C">
        <w:tc>
          <w:tcPr>
            <w:tcW w:w="1615" w:type="dxa"/>
          </w:tcPr>
          <w:p w:rsidR="000F2BDD" w:rsidRDefault="000F2BDD" w:rsidP="00427220">
            <w:r>
              <w:t>CCPR</w:t>
            </w:r>
          </w:p>
        </w:tc>
        <w:tc>
          <w:tcPr>
            <w:tcW w:w="7439" w:type="dxa"/>
          </w:tcPr>
          <w:p w:rsidR="000F2BDD" w:rsidRDefault="000F2BDD" w:rsidP="00427220">
            <w:r>
              <w:t>Comité des Droits de l’Homme</w:t>
            </w:r>
          </w:p>
        </w:tc>
      </w:tr>
      <w:tr w:rsidR="000F2BDD" w:rsidTr="00580C0C">
        <w:tc>
          <w:tcPr>
            <w:tcW w:w="1615" w:type="dxa"/>
          </w:tcPr>
          <w:p w:rsidR="000F2BDD" w:rsidRDefault="000F2BDD" w:rsidP="00427220">
            <w:r>
              <w:t>CDE</w:t>
            </w:r>
          </w:p>
        </w:tc>
        <w:tc>
          <w:tcPr>
            <w:tcW w:w="7439" w:type="dxa"/>
          </w:tcPr>
          <w:p w:rsidR="000F2BDD" w:rsidRDefault="000F2BDD" w:rsidP="00427220">
            <w:r>
              <w:t>Convention sur les Droits de l’Enfant</w:t>
            </w:r>
          </w:p>
        </w:tc>
      </w:tr>
      <w:tr w:rsidR="000F2BDD" w:rsidTr="00580C0C">
        <w:tc>
          <w:tcPr>
            <w:tcW w:w="1615" w:type="dxa"/>
          </w:tcPr>
          <w:p w:rsidR="000F2BDD" w:rsidRDefault="000F2BDD" w:rsidP="00427220">
            <w:r>
              <w:t>CEDAW</w:t>
            </w:r>
          </w:p>
        </w:tc>
        <w:tc>
          <w:tcPr>
            <w:tcW w:w="7439" w:type="dxa"/>
          </w:tcPr>
          <w:p w:rsidR="000F2BDD" w:rsidRDefault="000F2BDD" w:rsidP="00427220">
            <w:r>
              <w:t>Convention sur l’Elimination de la Discrimination à l’égard des Femmes</w:t>
            </w:r>
          </w:p>
        </w:tc>
      </w:tr>
      <w:tr w:rsidR="000F2BDD" w:rsidTr="00580C0C">
        <w:tc>
          <w:tcPr>
            <w:tcW w:w="1615" w:type="dxa"/>
          </w:tcPr>
          <w:p w:rsidR="000F2BDD" w:rsidRDefault="000F2BDD" w:rsidP="00427220">
            <w:r>
              <w:t>CNDH</w:t>
            </w:r>
          </w:p>
        </w:tc>
        <w:tc>
          <w:tcPr>
            <w:tcW w:w="7439" w:type="dxa"/>
          </w:tcPr>
          <w:p w:rsidR="000F2BDD" w:rsidRDefault="000F2BDD" w:rsidP="00427220">
            <w:r>
              <w:t>Conseil National des Droits de l’Homme</w:t>
            </w:r>
          </w:p>
        </w:tc>
      </w:tr>
      <w:tr w:rsidR="000F2BDD" w:rsidTr="00580C0C">
        <w:tc>
          <w:tcPr>
            <w:tcW w:w="1615" w:type="dxa"/>
          </w:tcPr>
          <w:p w:rsidR="000F2BDD" w:rsidRDefault="000F2BDD" w:rsidP="00427220">
            <w:r>
              <w:t>CNDP</w:t>
            </w:r>
          </w:p>
        </w:tc>
        <w:tc>
          <w:tcPr>
            <w:tcW w:w="7439" w:type="dxa"/>
          </w:tcPr>
          <w:p w:rsidR="000F2BDD" w:rsidRDefault="000F2BDD" w:rsidP="00427220">
            <w:r>
              <w:t>Commission Nationale de contrôle de la protection des Données à caractère Personnel</w:t>
            </w:r>
          </w:p>
        </w:tc>
      </w:tr>
      <w:tr w:rsidR="000F2BDD" w:rsidTr="00580C0C">
        <w:tc>
          <w:tcPr>
            <w:tcW w:w="1615" w:type="dxa"/>
          </w:tcPr>
          <w:p w:rsidR="000F2BDD" w:rsidRDefault="000F2BDD" w:rsidP="00427220">
            <w:r>
              <w:t>CP</w:t>
            </w:r>
          </w:p>
        </w:tc>
        <w:tc>
          <w:tcPr>
            <w:tcW w:w="7439" w:type="dxa"/>
          </w:tcPr>
          <w:p w:rsidR="000F2BDD" w:rsidRDefault="000F2BDD" w:rsidP="00427220">
            <w:r>
              <w:t>Code Pénal</w:t>
            </w:r>
          </w:p>
        </w:tc>
      </w:tr>
      <w:tr w:rsidR="000F2BDD" w:rsidTr="00580C0C">
        <w:tc>
          <w:tcPr>
            <w:tcW w:w="1615" w:type="dxa"/>
          </w:tcPr>
          <w:p w:rsidR="000F2BDD" w:rsidRDefault="000F2BDD" w:rsidP="00427220">
            <w:r>
              <w:t>CPI</w:t>
            </w:r>
          </w:p>
        </w:tc>
        <w:tc>
          <w:tcPr>
            <w:tcW w:w="7439" w:type="dxa"/>
          </w:tcPr>
          <w:p w:rsidR="000F2BDD" w:rsidRDefault="000F2BDD" w:rsidP="00427220">
            <w:r>
              <w:t>Cour Pénale Internationale</w:t>
            </w:r>
          </w:p>
        </w:tc>
      </w:tr>
      <w:tr w:rsidR="000F2BDD" w:rsidTr="00580C0C">
        <w:tc>
          <w:tcPr>
            <w:tcW w:w="1615" w:type="dxa"/>
          </w:tcPr>
          <w:p w:rsidR="000F2BDD" w:rsidRDefault="000F2BDD" w:rsidP="00427220">
            <w:r>
              <w:t>CPP</w:t>
            </w:r>
          </w:p>
        </w:tc>
        <w:tc>
          <w:tcPr>
            <w:tcW w:w="7439" w:type="dxa"/>
          </w:tcPr>
          <w:p w:rsidR="000F2BDD" w:rsidRDefault="000F2BDD" w:rsidP="00427220">
            <w:r>
              <w:t>Code de Procédure Pénale</w:t>
            </w:r>
          </w:p>
        </w:tc>
      </w:tr>
      <w:tr w:rsidR="000F2BDD" w:rsidTr="00580C0C">
        <w:tc>
          <w:tcPr>
            <w:tcW w:w="1615" w:type="dxa"/>
          </w:tcPr>
          <w:p w:rsidR="000F2BDD" w:rsidRDefault="000F2BDD" w:rsidP="00427220">
            <w:r>
              <w:t>DST</w:t>
            </w:r>
          </w:p>
        </w:tc>
        <w:tc>
          <w:tcPr>
            <w:tcW w:w="7439" w:type="dxa"/>
          </w:tcPr>
          <w:p w:rsidR="000F2BDD" w:rsidRDefault="000F2BDD" w:rsidP="00427220">
            <w:r>
              <w:t>Direction générale de Surveillance Territoriale</w:t>
            </w:r>
          </w:p>
        </w:tc>
      </w:tr>
      <w:tr w:rsidR="000F2BDD" w:rsidTr="00580C0C">
        <w:tc>
          <w:tcPr>
            <w:tcW w:w="1615" w:type="dxa"/>
          </w:tcPr>
          <w:p w:rsidR="000F2BDD" w:rsidRDefault="000F2BDD" w:rsidP="00427220">
            <w:r>
              <w:t>HCP</w:t>
            </w:r>
          </w:p>
        </w:tc>
        <w:tc>
          <w:tcPr>
            <w:tcW w:w="7439" w:type="dxa"/>
          </w:tcPr>
          <w:p w:rsidR="000F2BDD" w:rsidRDefault="000F2BDD" w:rsidP="00427220">
            <w:r>
              <w:t>Haut Commissariat au Plan</w:t>
            </w:r>
          </w:p>
        </w:tc>
      </w:tr>
      <w:tr w:rsidR="000F2BDD" w:rsidTr="00580C0C">
        <w:tc>
          <w:tcPr>
            <w:tcW w:w="1615" w:type="dxa"/>
          </w:tcPr>
          <w:p w:rsidR="000F2BDD" w:rsidRDefault="000F2BDD" w:rsidP="00427220">
            <w:r>
              <w:t>IER</w:t>
            </w:r>
          </w:p>
        </w:tc>
        <w:tc>
          <w:tcPr>
            <w:tcW w:w="7439" w:type="dxa"/>
          </w:tcPr>
          <w:p w:rsidR="000F2BDD" w:rsidRDefault="000F2BDD" w:rsidP="00427220">
            <w:r>
              <w:t>Instance Équité et Réconciliation</w:t>
            </w:r>
          </w:p>
        </w:tc>
      </w:tr>
      <w:tr w:rsidR="000F2BDD" w:rsidTr="00580C0C">
        <w:tc>
          <w:tcPr>
            <w:tcW w:w="1615" w:type="dxa"/>
          </w:tcPr>
          <w:p w:rsidR="000F2BDD" w:rsidRDefault="000F2BDD" w:rsidP="00427220">
            <w:r>
              <w:t>LMDDH</w:t>
            </w:r>
          </w:p>
        </w:tc>
        <w:tc>
          <w:tcPr>
            <w:tcW w:w="7439" w:type="dxa"/>
          </w:tcPr>
          <w:p w:rsidR="000F2BDD" w:rsidRDefault="000F2BDD" w:rsidP="00C27989">
            <w:r>
              <w:t xml:space="preserve">Ligue Marocaine </w:t>
            </w:r>
            <w:r w:rsidR="00C27989">
              <w:t>pour la Défense des Droits Humains</w:t>
            </w:r>
          </w:p>
        </w:tc>
      </w:tr>
      <w:tr w:rsidR="000F2BDD" w:rsidTr="00580C0C">
        <w:tc>
          <w:tcPr>
            <w:tcW w:w="1615" w:type="dxa"/>
          </w:tcPr>
          <w:p w:rsidR="000F2BDD" w:rsidRDefault="000F2BDD" w:rsidP="00427220">
            <w:r>
              <w:t>MJL</w:t>
            </w:r>
          </w:p>
        </w:tc>
        <w:tc>
          <w:tcPr>
            <w:tcW w:w="7439" w:type="dxa"/>
          </w:tcPr>
          <w:p w:rsidR="000F2BDD" w:rsidRDefault="000F2BDD" w:rsidP="00427220">
            <w:r>
              <w:t>Ministère de la Justice et les Libertés</w:t>
            </w:r>
          </w:p>
        </w:tc>
      </w:tr>
      <w:tr w:rsidR="000F2BDD" w:rsidTr="00580C0C">
        <w:tc>
          <w:tcPr>
            <w:tcW w:w="1615" w:type="dxa"/>
          </w:tcPr>
          <w:p w:rsidR="000F2BDD" w:rsidRDefault="000F2BDD" w:rsidP="00427220">
            <w:r>
              <w:t>OG</w:t>
            </w:r>
          </w:p>
        </w:tc>
        <w:tc>
          <w:tcPr>
            <w:tcW w:w="7439" w:type="dxa"/>
          </w:tcPr>
          <w:p w:rsidR="000F2BDD" w:rsidRDefault="000F2BDD" w:rsidP="00427220">
            <w:r>
              <w:t>Observation Générale</w:t>
            </w:r>
          </w:p>
        </w:tc>
      </w:tr>
      <w:tr w:rsidR="000F2BDD" w:rsidTr="00580C0C">
        <w:tc>
          <w:tcPr>
            <w:tcW w:w="1615" w:type="dxa"/>
          </w:tcPr>
          <w:p w:rsidR="000F2BDD" w:rsidRDefault="000F2BDD" w:rsidP="00427220">
            <w:r>
              <w:t>ONG</w:t>
            </w:r>
          </w:p>
        </w:tc>
        <w:tc>
          <w:tcPr>
            <w:tcW w:w="7439" w:type="dxa"/>
          </w:tcPr>
          <w:p w:rsidR="000F2BDD" w:rsidRDefault="000F2BDD" w:rsidP="00427220">
            <w:r>
              <w:t>Organisation Non Gouvernementale</w:t>
            </w:r>
          </w:p>
        </w:tc>
      </w:tr>
      <w:tr w:rsidR="000F2BDD" w:rsidTr="00580C0C">
        <w:tc>
          <w:tcPr>
            <w:tcW w:w="1615" w:type="dxa"/>
          </w:tcPr>
          <w:p w:rsidR="000F2BDD" w:rsidRDefault="000F2BDD" w:rsidP="00427220">
            <w:r>
              <w:t>PIDCP</w:t>
            </w:r>
          </w:p>
        </w:tc>
        <w:tc>
          <w:tcPr>
            <w:tcW w:w="7439" w:type="dxa"/>
          </w:tcPr>
          <w:p w:rsidR="000F2BDD" w:rsidRDefault="000F2BDD" w:rsidP="00427220">
            <w:r>
              <w:t>Pacte International de Droits Civils et Politiques</w:t>
            </w:r>
          </w:p>
        </w:tc>
      </w:tr>
      <w:tr w:rsidR="000F2BDD" w:rsidTr="00580C0C">
        <w:tc>
          <w:tcPr>
            <w:tcW w:w="1615" w:type="dxa"/>
          </w:tcPr>
          <w:p w:rsidR="000F2BDD" w:rsidRDefault="000F2BDD" w:rsidP="00427220">
            <w:r>
              <w:t>PIDESC</w:t>
            </w:r>
          </w:p>
        </w:tc>
        <w:tc>
          <w:tcPr>
            <w:tcW w:w="7439" w:type="dxa"/>
          </w:tcPr>
          <w:p w:rsidR="000F2BDD" w:rsidRDefault="000F2BDD" w:rsidP="00427220">
            <w:r>
              <w:t>Pacte International de Droits Économiques, Sociaux et Culturels</w:t>
            </w:r>
          </w:p>
        </w:tc>
      </w:tr>
      <w:tr w:rsidR="000F2BDD" w:rsidTr="00580C0C">
        <w:tc>
          <w:tcPr>
            <w:tcW w:w="1615" w:type="dxa"/>
          </w:tcPr>
          <w:p w:rsidR="000F2BDD" w:rsidRDefault="000F2BDD" w:rsidP="00427220">
            <w:r>
              <w:t>RAVI</w:t>
            </w:r>
          </w:p>
        </w:tc>
        <w:tc>
          <w:tcPr>
            <w:tcW w:w="7439" w:type="dxa"/>
          </w:tcPr>
          <w:p w:rsidR="000F2BDD" w:rsidRDefault="000F2BDD" w:rsidP="00427220">
            <w:r>
              <w:t>Réseau des Associations Victimes d’Interdiction</w:t>
            </w:r>
          </w:p>
        </w:tc>
      </w:tr>
      <w:tr w:rsidR="000F2BDD" w:rsidTr="00580C0C">
        <w:tc>
          <w:tcPr>
            <w:tcW w:w="1615" w:type="dxa"/>
          </w:tcPr>
          <w:p w:rsidR="000F2BDD" w:rsidRDefault="000F2BDD" w:rsidP="00427220">
            <w:r>
              <w:t>RSF</w:t>
            </w:r>
          </w:p>
        </w:tc>
        <w:tc>
          <w:tcPr>
            <w:tcW w:w="7439" w:type="dxa"/>
          </w:tcPr>
          <w:p w:rsidR="000F2BDD" w:rsidRDefault="000F2BDD" w:rsidP="00427220">
            <w:r>
              <w:t>Reporters Sans Frontières</w:t>
            </w:r>
          </w:p>
        </w:tc>
      </w:tr>
      <w:tr w:rsidR="000F2BDD" w:rsidTr="00580C0C">
        <w:tc>
          <w:tcPr>
            <w:tcW w:w="1615" w:type="dxa"/>
          </w:tcPr>
          <w:p w:rsidR="000F2BDD" w:rsidRDefault="000F2BDD" w:rsidP="00427220">
            <w:r>
              <w:t>UNESCO</w:t>
            </w:r>
          </w:p>
          <w:p w:rsidR="000F2BDD" w:rsidRDefault="000F2BDD" w:rsidP="00427220"/>
          <w:p w:rsidR="000F2BDD" w:rsidRDefault="000F2BDD" w:rsidP="00427220">
            <w:r>
              <w:t>UNICEF</w:t>
            </w:r>
          </w:p>
        </w:tc>
        <w:tc>
          <w:tcPr>
            <w:tcW w:w="7439" w:type="dxa"/>
          </w:tcPr>
          <w:p w:rsidR="000F2BDD" w:rsidRDefault="000F2BDD" w:rsidP="00910FE1">
            <w:r>
              <w:t>Organisation des Nations Unies pour l’Education, la Culture et les Sciences</w:t>
            </w:r>
          </w:p>
          <w:p w:rsidR="000F2BDD" w:rsidRDefault="000F2BDD" w:rsidP="00910FE1">
            <w:r>
              <w:t>Fond</w:t>
            </w:r>
            <w:r w:rsidR="00C27989">
              <w:t>s</w:t>
            </w:r>
            <w:r>
              <w:t xml:space="preserve"> des Nations Unies pour l’Enfance.</w:t>
            </w:r>
          </w:p>
        </w:tc>
      </w:tr>
    </w:tbl>
    <w:p w:rsidR="000F2BDD" w:rsidRDefault="000F2BDD" w:rsidP="00390B4F"/>
    <w:p w:rsidR="000F2BDD" w:rsidRDefault="000F2BDD">
      <w:pPr>
        <w:spacing w:after="200" w:line="276" w:lineRule="auto"/>
        <w:jc w:val="center"/>
        <w:rPr>
          <w:b/>
          <w:sz w:val="28"/>
          <w:szCs w:val="28"/>
        </w:rPr>
      </w:pPr>
    </w:p>
    <w:p w:rsidR="000F2BDD" w:rsidRDefault="000F2BDD">
      <w:pPr>
        <w:spacing w:after="200" w:line="276" w:lineRule="auto"/>
        <w:jc w:val="center"/>
        <w:rPr>
          <w:b/>
          <w:sz w:val="28"/>
          <w:szCs w:val="28"/>
        </w:rPr>
      </w:pPr>
    </w:p>
    <w:p w:rsidR="000F2BDD" w:rsidRDefault="000F2BDD">
      <w:pPr>
        <w:spacing w:after="200" w:line="276" w:lineRule="auto"/>
        <w:jc w:val="center"/>
        <w:rPr>
          <w:b/>
          <w:sz w:val="28"/>
          <w:szCs w:val="28"/>
        </w:rPr>
      </w:pPr>
    </w:p>
    <w:p w:rsidR="000F2BDD" w:rsidRDefault="000F2BDD">
      <w:pPr>
        <w:spacing w:after="200" w:line="276" w:lineRule="auto"/>
        <w:jc w:val="center"/>
        <w:rPr>
          <w:b/>
          <w:sz w:val="28"/>
          <w:szCs w:val="28"/>
        </w:rPr>
      </w:pPr>
    </w:p>
    <w:p w:rsidR="000F2BDD" w:rsidRDefault="000F2BDD">
      <w:pPr>
        <w:spacing w:after="200" w:line="276" w:lineRule="auto"/>
        <w:jc w:val="center"/>
        <w:rPr>
          <w:b/>
          <w:sz w:val="28"/>
          <w:szCs w:val="28"/>
        </w:rPr>
      </w:pPr>
    </w:p>
    <w:p w:rsidR="000F2BDD" w:rsidRDefault="000F2BDD" w:rsidP="00DD7B68">
      <w:pPr>
        <w:spacing w:after="200" w:line="276" w:lineRule="auto"/>
        <w:rPr>
          <w:b/>
          <w:sz w:val="28"/>
          <w:szCs w:val="28"/>
        </w:rPr>
      </w:pPr>
    </w:p>
    <w:p w:rsidR="000F2BDD" w:rsidRDefault="000F2BDD" w:rsidP="00DD7B68">
      <w:pPr>
        <w:spacing w:after="200" w:line="276" w:lineRule="auto"/>
        <w:rPr>
          <w:b/>
          <w:sz w:val="28"/>
          <w:szCs w:val="28"/>
        </w:rPr>
      </w:pPr>
    </w:p>
    <w:p w:rsidR="000F2BDD" w:rsidRDefault="000F2BDD" w:rsidP="00DD7B68">
      <w:pPr>
        <w:spacing w:after="200" w:line="276" w:lineRule="auto"/>
        <w:rPr>
          <w:b/>
          <w:sz w:val="28"/>
          <w:szCs w:val="28"/>
        </w:rPr>
      </w:pPr>
    </w:p>
    <w:p w:rsidR="000F2BDD" w:rsidRDefault="000F2BDD">
      <w:pPr>
        <w:spacing w:after="200" w:line="276" w:lineRule="auto"/>
        <w:jc w:val="center"/>
        <w:rPr>
          <w:b/>
          <w:sz w:val="28"/>
          <w:szCs w:val="28"/>
        </w:rPr>
      </w:pPr>
    </w:p>
    <w:p w:rsidR="000F2BDD" w:rsidRDefault="000F2BDD">
      <w:pPr>
        <w:rPr>
          <w:b/>
          <w:sz w:val="28"/>
          <w:szCs w:val="28"/>
        </w:rPr>
      </w:pPr>
      <w:r>
        <w:rPr>
          <w:b/>
          <w:sz w:val="28"/>
          <w:szCs w:val="28"/>
        </w:rPr>
        <w:br w:type="page"/>
      </w:r>
    </w:p>
    <w:p w:rsidR="000F2BDD" w:rsidRDefault="000F2BDD">
      <w:pPr>
        <w:spacing w:after="200" w:line="276" w:lineRule="auto"/>
        <w:jc w:val="center"/>
      </w:pPr>
      <w:r>
        <w:rPr>
          <w:b/>
          <w:sz w:val="28"/>
          <w:szCs w:val="28"/>
        </w:rPr>
        <w:t>INDEX</w:t>
      </w:r>
    </w:p>
    <w:p w:rsidR="000F2BDD" w:rsidRDefault="000F2BDD">
      <w:pPr>
        <w:spacing w:after="200" w:line="276" w:lineRule="auto"/>
        <w:jc w:val="center"/>
        <w:rPr>
          <w:b/>
          <w:sz w:val="28"/>
          <w:szCs w:val="28"/>
        </w:rPr>
      </w:pPr>
    </w:p>
    <w:p w:rsidR="00C27989" w:rsidRDefault="00D24977">
      <w:pPr>
        <w:pStyle w:val="TOC1"/>
        <w:tabs>
          <w:tab w:val="right" w:leader="dot" w:pos="8828"/>
        </w:tabs>
        <w:rPr>
          <w:rFonts w:asciiTheme="minorHAnsi" w:eastAsiaTheme="minorEastAsia" w:hAnsiTheme="minorHAnsi" w:cstheme="minorBidi"/>
          <w:noProof/>
          <w:lang w:val="ca-ES" w:eastAsia="ja-JP"/>
        </w:rPr>
      </w:pPr>
      <w:r>
        <w:fldChar w:fldCharType="begin"/>
      </w:r>
      <w:r w:rsidR="000F2BDD">
        <w:instrText xml:space="preserve"> TOC \o "1-2" \h \z \u </w:instrText>
      </w:r>
      <w:r>
        <w:fldChar w:fldCharType="separate"/>
      </w:r>
      <w:r w:rsidR="00C27989" w:rsidRPr="00C6639B">
        <w:rPr>
          <w:noProof/>
        </w:rPr>
        <w:t>PRÉSENTATION</w:t>
      </w:r>
      <w:r w:rsidR="00C27989">
        <w:rPr>
          <w:noProof/>
        </w:rPr>
        <w:tab/>
      </w:r>
      <w:r>
        <w:rPr>
          <w:noProof/>
        </w:rPr>
        <w:fldChar w:fldCharType="begin"/>
      </w:r>
      <w:r w:rsidR="00C27989">
        <w:rPr>
          <w:noProof/>
        </w:rPr>
        <w:instrText xml:space="preserve"> PAGEREF _Toc311886134 \h </w:instrText>
      </w:r>
      <w:r>
        <w:rPr>
          <w:noProof/>
        </w:rPr>
      </w:r>
      <w:r>
        <w:rPr>
          <w:noProof/>
        </w:rPr>
        <w:fldChar w:fldCharType="separate"/>
      </w:r>
      <w:r w:rsidR="00C27989">
        <w:rPr>
          <w:noProof/>
        </w:rPr>
        <w:t>3</w:t>
      </w:r>
      <w:r>
        <w:rPr>
          <w:noProof/>
        </w:rPr>
        <w:fldChar w:fldCharType="end"/>
      </w:r>
    </w:p>
    <w:p w:rsidR="00C27989" w:rsidRDefault="00C27989">
      <w:pPr>
        <w:pStyle w:val="TOC1"/>
        <w:tabs>
          <w:tab w:val="right" w:leader="dot" w:pos="8828"/>
        </w:tabs>
        <w:rPr>
          <w:rFonts w:asciiTheme="minorHAnsi" w:eastAsiaTheme="minorEastAsia" w:hAnsiTheme="minorHAnsi" w:cstheme="minorBidi"/>
          <w:noProof/>
          <w:lang w:val="ca-ES" w:eastAsia="ja-JP"/>
        </w:rPr>
      </w:pPr>
      <w:r w:rsidRPr="00C6639B">
        <w:rPr>
          <w:noProof/>
        </w:rPr>
        <w:t>CONTEXTE</w:t>
      </w:r>
      <w:r>
        <w:rPr>
          <w:noProof/>
        </w:rPr>
        <w:tab/>
      </w:r>
      <w:r w:rsidR="00D24977">
        <w:rPr>
          <w:noProof/>
        </w:rPr>
        <w:fldChar w:fldCharType="begin"/>
      </w:r>
      <w:r>
        <w:rPr>
          <w:noProof/>
        </w:rPr>
        <w:instrText xml:space="preserve"> PAGEREF _Toc311886135 \h </w:instrText>
      </w:r>
      <w:r w:rsidR="00D24977">
        <w:rPr>
          <w:noProof/>
        </w:rPr>
      </w:r>
      <w:r w:rsidR="00D24977">
        <w:rPr>
          <w:noProof/>
        </w:rPr>
        <w:fldChar w:fldCharType="separate"/>
      </w:r>
      <w:r>
        <w:rPr>
          <w:noProof/>
        </w:rPr>
        <w:t>5</w:t>
      </w:r>
      <w:r w:rsidR="00D24977">
        <w:rPr>
          <w:noProof/>
        </w:rPr>
        <w:fldChar w:fldCharType="end"/>
      </w:r>
    </w:p>
    <w:p w:rsidR="00C27989" w:rsidRDefault="00C27989">
      <w:pPr>
        <w:pStyle w:val="TOC1"/>
        <w:tabs>
          <w:tab w:val="right" w:leader="dot" w:pos="8828"/>
        </w:tabs>
        <w:rPr>
          <w:rFonts w:asciiTheme="minorHAnsi" w:eastAsiaTheme="minorEastAsia" w:hAnsiTheme="minorHAnsi" w:cstheme="minorBidi"/>
          <w:noProof/>
          <w:lang w:val="ca-ES" w:eastAsia="ja-JP"/>
        </w:rPr>
      </w:pPr>
      <w:r w:rsidRPr="00C6639B">
        <w:rPr>
          <w:noProof/>
        </w:rPr>
        <w:t>ANALYSE ARTICLE PAR ARTICLE</w:t>
      </w:r>
      <w:r>
        <w:rPr>
          <w:noProof/>
        </w:rPr>
        <w:tab/>
      </w:r>
      <w:r w:rsidR="00D24977">
        <w:rPr>
          <w:noProof/>
        </w:rPr>
        <w:fldChar w:fldCharType="begin"/>
      </w:r>
      <w:r>
        <w:rPr>
          <w:noProof/>
        </w:rPr>
        <w:instrText xml:space="preserve"> PAGEREF _Toc311886136 \h </w:instrText>
      </w:r>
      <w:r w:rsidR="00D24977">
        <w:rPr>
          <w:noProof/>
        </w:rPr>
      </w:r>
      <w:r w:rsidR="00D24977">
        <w:rPr>
          <w:noProof/>
        </w:rPr>
        <w:fldChar w:fldCharType="separate"/>
      </w:r>
      <w:r>
        <w:rPr>
          <w:noProof/>
        </w:rPr>
        <w:t>8</w:t>
      </w:r>
      <w:r w:rsidR="00D24977">
        <w:rPr>
          <w:noProof/>
        </w:rPr>
        <w:fldChar w:fldCharType="end"/>
      </w:r>
    </w:p>
    <w:p w:rsidR="00C27989" w:rsidRDefault="00C27989">
      <w:pPr>
        <w:pStyle w:val="TOC2"/>
        <w:tabs>
          <w:tab w:val="right" w:leader="dot" w:pos="8828"/>
        </w:tabs>
        <w:rPr>
          <w:rFonts w:asciiTheme="minorHAnsi" w:eastAsiaTheme="minorEastAsia" w:hAnsiTheme="minorHAnsi" w:cstheme="minorBidi"/>
          <w:noProof/>
          <w:lang w:val="ca-ES" w:eastAsia="ja-JP"/>
        </w:rPr>
      </w:pPr>
      <w:r>
        <w:rPr>
          <w:noProof/>
        </w:rPr>
        <w:t>ARTICLE 2.- Mise en œuvre du Pacte dans le cadre national</w:t>
      </w:r>
      <w:r>
        <w:rPr>
          <w:noProof/>
        </w:rPr>
        <w:tab/>
      </w:r>
      <w:r w:rsidR="00D24977">
        <w:rPr>
          <w:noProof/>
        </w:rPr>
        <w:fldChar w:fldCharType="begin"/>
      </w:r>
      <w:r>
        <w:rPr>
          <w:noProof/>
        </w:rPr>
        <w:instrText xml:space="preserve"> PAGEREF _Toc311886137 \h </w:instrText>
      </w:r>
      <w:r w:rsidR="00D24977">
        <w:rPr>
          <w:noProof/>
        </w:rPr>
      </w:r>
      <w:r w:rsidR="00D24977">
        <w:rPr>
          <w:noProof/>
        </w:rPr>
        <w:fldChar w:fldCharType="separate"/>
      </w:r>
      <w:r>
        <w:rPr>
          <w:noProof/>
        </w:rPr>
        <w:t>8</w:t>
      </w:r>
      <w:r w:rsidR="00D24977">
        <w:rPr>
          <w:noProof/>
        </w:rPr>
        <w:fldChar w:fldCharType="end"/>
      </w:r>
    </w:p>
    <w:p w:rsidR="00C27989" w:rsidRDefault="00C27989">
      <w:pPr>
        <w:pStyle w:val="TOC2"/>
        <w:tabs>
          <w:tab w:val="right" w:leader="dot" w:pos="8828"/>
        </w:tabs>
        <w:rPr>
          <w:rFonts w:asciiTheme="minorHAnsi" w:eastAsiaTheme="minorEastAsia" w:hAnsiTheme="minorHAnsi" w:cstheme="minorBidi"/>
          <w:noProof/>
          <w:lang w:val="ca-ES" w:eastAsia="ja-JP"/>
        </w:rPr>
      </w:pPr>
      <w:r>
        <w:rPr>
          <w:noProof/>
        </w:rPr>
        <w:t>ARTICLE 3.- Égalité des hommes et des femmes</w:t>
      </w:r>
      <w:r>
        <w:rPr>
          <w:noProof/>
        </w:rPr>
        <w:tab/>
      </w:r>
      <w:r w:rsidR="00D24977">
        <w:rPr>
          <w:noProof/>
        </w:rPr>
        <w:fldChar w:fldCharType="begin"/>
      </w:r>
      <w:r>
        <w:rPr>
          <w:noProof/>
        </w:rPr>
        <w:instrText xml:space="preserve"> PAGEREF _Toc311886138 \h </w:instrText>
      </w:r>
      <w:r w:rsidR="00D24977">
        <w:rPr>
          <w:noProof/>
        </w:rPr>
      </w:r>
      <w:r w:rsidR="00D24977">
        <w:rPr>
          <w:noProof/>
        </w:rPr>
        <w:fldChar w:fldCharType="separate"/>
      </w:r>
      <w:r>
        <w:rPr>
          <w:noProof/>
        </w:rPr>
        <w:t>9</w:t>
      </w:r>
      <w:r w:rsidR="00D24977">
        <w:rPr>
          <w:noProof/>
        </w:rPr>
        <w:fldChar w:fldCharType="end"/>
      </w:r>
    </w:p>
    <w:p w:rsidR="00C27989" w:rsidRDefault="00C27989">
      <w:pPr>
        <w:pStyle w:val="TOC2"/>
        <w:tabs>
          <w:tab w:val="right" w:leader="dot" w:pos="8828"/>
        </w:tabs>
        <w:rPr>
          <w:rFonts w:asciiTheme="minorHAnsi" w:eastAsiaTheme="minorEastAsia" w:hAnsiTheme="minorHAnsi" w:cstheme="minorBidi"/>
          <w:noProof/>
          <w:lang w:val="ca-ES" w:eastAsia="ja-JP"/>
        </w:rPr>
      </w:pPr>
      <w:r>
        <w:rPr>
          <w:noProof/>
        </w:rPr>
        <w:t>ARTICLE 5.- Interdiction d’une interprétation étroite du Pacte</w:t>
      </w:r>
      <w:r>
        <w:rPr>
          <w:noProof/>
        </w:rPr>
        <w:tab/>
      </w:r>
      <w:r w:rsidR="00D24977">
        <w:rPr>
          <w:noProof/>
        </w:rPr>
        <w:fldChar w:fldCharType="begin"/>
      </w:r>
      <w:r>
        <w:rPr>
          <w:noProof/>
        </w:rPr>
        <w:instrText xml:space="preserve"> PAGEREF _Toc311886139 \h </w:instrText>
      </w:r>
      <w:r w:rsidR="00D24977">
        <w:rPr>
          <w:noProof/>
        </w:rPr>
      </w:r>
      <w:r w:rsidR="00D24977">
        <w:rPr>
          <w:noProof/>
        </w:rPr>
        <w:fldChar w:fldCharType="separate"/>
      </w:r>
      <w:r>
        <w:rPr>
          <w:noProof/>
        </w:rPr>
        <w:t>14</w:t>
      </w:r>
      <w:r w:rsidR="00D24977">
        <w:rPr>
          <w:noProof/>
        </w:rPr>
        <w:fldChar w:fldCharType="end"/>
      </w:r>
    </w:p>
    <w:p w:rsidR="00C27989" w:rsidRDefault="00C27989">
      <w:pPr>
        <w:pStyle w:val="TOC2"/>
        <w:tabs>
          <w:tab w:val="right" w:leader="dot" w:pos="8828"/>
        </w:tabs>
        <w:rPr>
          <w:rFonts w:asciiTheme="minorHAnsi" w:eastAsiaTheme="minorEastAsia" w:hAnsiTheme="minorHAnsi" w:cstheme="minorBidi"/>
          <w:noProof/>
          <w:lang w:val="ca-ES" w:eastAsia="ja-JP"/>
        </w:rPr>
      </w:pPr>
      <w:r>
        <w:rPr>
          <w:noProof/>
        </w:rPr>
        <w:t>ARTICLE 6.- Droit à la vie.</w:t>
      </w:r>
      <w:r>
        <w:rPr>
          <w:noProof/>
        </w:rPr>
        <w:tab/>
      </w:r>
      <w:r w:rsidR="00D24977">
        <w:rPr>
          <w:noProof/>
        </w:rPr>
        <w:fldChar w:fldCharType="begin"/>
      </w:r>
      <w:r>
        <w:rPr>
          <w:noProof/>
        </w:rPr>
        <w:instrText xml:space="preserve"> PAGEREF _Toc311886140 \h </w:instrText>
      </w:r>
      <w:r w:rsidR="00D24977">
        <w:rPr>
          <w:noProof/>
        </w:rPr>
      </w:r>
      <w:r w:rsidR="00D24977">
        <w:rPr>
          <w:noProof/>
        </w:rPr>
        <w:fldChar w:fldCharType="separate"/>
      </w:r>
      <w:r>
        <w:rPr>
          <w:noProof/>
        </w:rPr>
        <w:t>14</w:t>
      </w:r>
      <w:r w:rsidR="00D24977">
        <w:rPr>
          <w:noProof/>
        </w:rPr>
        <w:fldChar w:fldCharType="end"/>
      </w:r>
    </w:p>
    <w:p w:rsidR="00C27989" w:rsidRDefault="00C27989">
      <w:pPr>
        <w:pStyle w:val="TOC2"/>
        <w:tabs>
          <w:tab w:val="right" w:leader="dot" w:pos="8828"/>
        </w:tabs>
        <w:rPr>
          <w:rFonts w:asciiTheme="minorHAnsi" w:eastAsiaTheme="minorEastAsia" w:hAnsiTheme="minorHAnsi" w:cstheme="minorBidi"/>
          <w:noProof/>
          <w:lang w:val="ca-ES" w:eastAsia="ja-JP"/>
        </w:rPr>
      </w:pPr>
      <w:r>
        <w:rPr>
          <w:noProof/>
        </w:rPr>
        <w:t>ARTICLE 7.- Interdiction de la torture</w:t>
      </w:r>
      <w:r>
        <w:rPr>
          <w:noProof/>
        </w:rPr>
        <w:tab/>
      </w:r>
      <w:r w:rsidR="00D24977">
        <w:rPr>
          <w:noProof/>
        </w:rPr>
        <w:fldChar w:fldCharType="begin"/>
      </w:r>
      <w:r>
        <w:rPr>
          <w:noProof/>
        </w:rPr>
        <w:instrText xml:space="preserve"> PAGEREF _Toc311886141 \h </w:instrText>
      </w:r>
      <w:r w:rsidR="00D24977">
        <w:rPr>
          <w:noProof/>
        </w:rPr>
      </w:r>
      <w:r w:rsidR="00D24977">
        <w:rPr>
          <w:noProof/>
        </w:rPr>
        <w:fldChar w:fldCharType="separate"/>
      </w:r>
      <w:r>
        <w:rPr>
          <w:noProof/>
        </w:rPr>
        <w:t>15</w:t>
      </w:r>
      <w:r w:rsidR="00D24977">
        <w:rPr>
          <w:noProof/>
        </w:rPr>
        <w:fldChar w:fldCharType="end"/>
      </w:r>
    </w:p>
    <w:p w:rsidR="00C27989" w:rsidRDefault="00C27989">
      <w:pPr>
        <w:pStyle w:val="TOC2"/>
        <w:tabs>
          <w:tab w:val="right" w:leader="dot" w:pos="8828"/>
        </w:tabs>
        <w:rPr>
          <w:rFonts w:asciiTheme="minorHAnsi" w:eastAsiaTheme="minorEastAsia" w:hAnsiTheme="minorHAnsi" w:cstheme="minorBidi"/>
          <w:noProof/>
          <w:lang w:val="ca-ES" w:eastAsia="ja-JP"/>
        </w:rPr>
      </w:pPr>
      <w:r>
        <w:rPr>
          <w:noProof/>
        </w:rPr>
        <w:t>ARTICLE 8.- Interdiction de l’esclavage</w:t>
      </w:r>
      <w:r>
        <w:rPr>
          <w:noProof/>
        </w:rPr>
        <w:tab/>
      </w:r>
      <w:r w:rsidR="00D24977">
        <w:rPr>
          <w:noProof/>
        </w:rPr>
        <w:fldChar w:fldCharType="begin"/>
      </w:r>
      <w:r>
        <w:rPr>
          <w:noProof/>
        </w:rPr>
        <w:instrText xml:space="preserve"> PAGEREF _Toc311886142 \h </w:instrText>
      </w:r>
      <w:r w:rsidR="00D24977">
        <w:rPr>
          <w:noProof/>
        </w:rPr>
      </w:r>
      <w:r w:rsidR="00D24977">
        <w:rPr>
          <w:noProof/>
        </w:rPr>
        <w:fldChar w:fldCharType="separate"/>
      </w:r>
      <w:r>
        <w:rPr>
          <w:noProof/>
        </w:rPr>
        <w:t>18</w:t>
      </w:r>
      <w:r w:rsidR="00D24977">
        <w:rPr>
          <w:noProof/>
        </w:rPr>
        <w:fldChar w:fldCharType="end"/>
      </w:r>
    </w:p>
    <w:p w:rsidR="00C27989" w:rsidRDefault="00C27989">
      <w:pPr>
        <w:pStyle w:val="TOC2"/>
        <w:tabs>
          <w:tab w:val="right" w:leader="dot" w:pos="8828"/>
        </w:tabs>
        <w:rPr>
          <w:rFonts w:asciiTheme="minorHAnsi" w:eastAsiaTheme="minorEastAsia" w:hAnsiTheme="minorHAnsi" w:cstheme="minorBidi"/>
          <w:noProof/>
          <w:lang w:val="ca-ES" w:eastAsia="ja-JP"/>
        </w:rPr>
      </w:pPr>
      <w:r>
        <w:rPr>
          <w:noProof/>
        </w:rPr>
        <w:t>ARTICLE 9.- Droit à la liberté et à la sécurité de la personne.</w:t>
      </w:r>
      <w:r>
        <w:rPr>
          <w:noProof/>
        </w:rPr>
        <w:tab/>
      </w:r>
      <w:r w:rsidR="00D24977">
        <w:rPr>
          <w:noProof/>
        </w:rPr>
        <w:fldChar w:fldCharType="begin"/>
      </w:r>
      <w:r>
        <w:rPr>
          <w:noProof/>
        </w:rPr>
        <w:instrText xml:space="preserve"> PAGEREF _Toc311886143 \h </w:instrText>
      </w:r>
      <w:r w:rsidR="00D24977">
        <w:rPr>
          <w:noProof/>
        </w:rPr>
      </w:r>
      <w:r w:rsidR="00D24977">
        <w:rPr>
          <w:noProof/>
        </w:rPr>
        <w:fldChar w:fldCharType="separate"/>
      </w:r>
      <w:r>
        <w:rPr>
          <w:noProof/>
        </w:rPr>
        <w:t>19</w:t>
      </w:r>
      <w:r w:rsidR="00D24977">
        <w:rPr>
          <w:noProof/>
        </w:rPr>
        <w:fldChar w:fldCharType="end"/>
      </w:r>
    </w:p>
    <w:p w:rsidR="00C27989" w:rsidRDefault="00C27989">
      <w:pPr>
        <w:pStyle w:val="TOC2"/>
        <w:tabs>
          <w:tab w:val="right" w:leader="dot" w:pos="8828"/>
        </w:tabs>
        <w:rPr>
          <w:rFonts w:asciiTheme="minorHAnsi" w:eastAsiaTheme="minorEastAsia" w:hAnsiTheme="minorHAnsi" w:cstheme="minorBidi"/>
          <w:noProof/>
          <w:lang w:val="ca-ES" w:eastAsia="ja-JP"/>
        </w:rPr>
      </w:pPr>
      <w:r>
        <w:rPr>
          <w:noProof/>
        </w:rPr>
        <w:t>ARTICLE 10.- Droits des détenus et traitement des personnes privées de leur liberté</w:t>
      </w:r>
      <w:r>
        <w:rPr>
          <w:noProof/>
        </w:rPr>
        <w:tab/>
      </w:r>
      <w:r w:rsidR="00D24977">
        <w:rPr>
          <w:noProof/>
        </w:rPr>
        <w:fldChar w:fldCharType="begin"/>
      </w:r>
      <w:r>
        <w:rPr>
          <w:noProof/>
        </w:rPr>
        <w:instrText xml:space="preserve"> PAGEREF _Toc311886144 \h </w:instrText>
      </w:r>
      <w:r w:rsidR="00D24977">
        <w:rPr>
          <w:noProof/>
        </w:rPr>
      </w:r>
      <w:r w:rsidR="00D24977">
        <w:rPr>
          <w:noProof/>
        </w:rPr>
        <w:fldChar w:fldCharType="separate"/>
      </w:r>
      <w:r>
        <w:rPr>
          <w:noProof/>
        </w:rPr>
        <w:t>20</w:t>
      </w:r>
      <w:r w:rsidR="00D24977">
        <w:rPr>
          <w:noProof/>
        </w:rPr>
        <w:fldChar w:fldCharType="end"/>
      </w:r>
    </w:p>
    <w:p w:rsidR="00C27989" w:rsidRDefault="00C27989">
      <w:pPr>
        <w:pStyle w:val="TOC2"/>
        <w:tabs>
          <w:tab w:val="right" w:leader="dot" w:pos="8828"/>
        </w:tabs>
        <w:rPr>
          <w:rFonts w:asciiTheme="minorHAnsi" w:eastAsiaTheme="minorEastAsia" w:hAnsiTheme="minorHAnsi" w:cstheme="minorBidi"/>
          <w:noProof/>
          <w:lang w:val="ca-ES" w:eastAsia="ja-JP"/>
        </w:rPr>
      </w:pPr>
      <w:r>
        <w:rPr>
          <w:noProof/>
        </w:rPr>
        <w:t>ARTICLE 13.- Interdiction des expulsions des étrangers sans garanties juridiques</w:t>
      </w:r>
      <w:r>
        <w:rPr>
          <w:noProof/>
        </w:rPr>
        <w:tab/>
      </w:r>
      <w:r w:rsidR="00D24977">
        <w:rPr>
          <w:noProof/>
        </w:rPr>
        <w:fldChar w:fldCharType="begin"/>
      </w:r>
      <w:r>
        <w:rPr>
          <w:noProof/>
        </w:rPr>
        <w:instrText xml:space="preserve"> PAGEREF _Toc311886145 \h </w:instrText>
      </w:r>
      <w:r w:rsidR="00D24977">
        <w:rPr>
          <w:noProof/>
        </w:rPr>
      </w:r>
      <w:r w:rsidR="00D24977">
        <w:rPr>
          <w:noProof/>
        </w:rPr>
        <w:fldChar w:fldCharType="separate"/>
      </w:r>
      <w:r>
        <w:rPr>
          <w:noProof/>
        </w:rPr>
        <w:t>22</w:t>
      </w:r>
      <w:r w:rsidR="00D24977">
        <w:rPr>
          <w:noProof/>
        </w:rPr>
        <w:fldChar w:fldCharType="end"/>
      </w:r>
    </w:p>
    <w:p w:rsidR="00C27989" w:rsidRDefault="00C27989">
      <w:pPr>
        <w:pStyle w:val="TOC2"/>
        <w:tabs>
          <w:tab w:val="right" w:leader="dot" w:pos="8828"/>
        </w:tabs>
        <w:rPr>
          <w:rFonts w:asciiTheme="minorHAnsi" w:eastAsiaTheme="minorEastAsia" w:hAnsiTheme="minorHAnsi" w:cstheme="minorBidi"/>
          <w:noProof/>
          <w:lang w:val="ca-ES" w:eastAsia="ja-JP"/>
        </w:rPr>
      </w:pPr>
      <w:r>
        <w:rPr>
          <w:noProof/>
        </w:rPr>
        <w:t>ARTICLE 14.- Egalité devant la loi et droit à un procès équitable.</w:t>
      </w:r>
      <w:r>
        <w:rPr>
          <w:noProof/>
        </w:rPr>
        <w:tab/>
      </w:r>
      <w:r w:rsidR="00D24977">
        <w:rPr>
          <w:noProof/>
        </w:rPr>
        <w:fldChar w:fldCharType="begin"/>
      </w:r>
      <w:r>
        <w:rPr>
          <w:noProof/>
        </w:rPr>
        <w:instrText xml:space="preserve"> PAGEREF _Toc311886146 \h </w:instrText>
      </w:r>
      <w:r w:rsidR="00D24977">
        <w:rPr>
          <w:noProof/>
        </w:rPr>
      </w:r>
      <w:r w:rsidR="00D24977">
        <w:rPr>
          <w:noProof/>
        </w:rPr>
        <w:fldChar w:fldCharType="separate"/>
      </w:r>
      <w:r>
        <w:rPr>
          <w:noProof/>
        </w:rPr>
        <w:t>24</w:t>
      </w:r>
      <w:r w:rsidR="00D24977">
        <w:rPr>
          <w:noProof/>
        </w:rPr>
        <w:fldChar w:fldCharType="end"/>
      </w:r>
    </w:p>
    <w:p w:rsidR="00C27989" w:rsidRDefault="00C27989">
      <w:pPr>
        <w:pStyle w:val="TOC2"/>
        <w:tabs>
          <w:tab w:val="right" w:leader="dot" w:pos="8828"/>
        </w:tabs>
        <w:rPr>
          <w:rFonts w:asciiTheme="minorHAnsi" w:eastAsiaTheme="minorEastAsia" w:hAnsiTheme="minorHAnsi" w:cstheme="minorBidi"/>
          <w:noProof/>
          <w:lang w:val="ca-ES" w:eastAsia="ja-JP"/>
        </w:rPr>
      </w:pPr>
      <w:r>
        <w:rPr>
          <w:noProof/>
        </w:rPr>
        <w:t>ARTICLE 15.- Principe de non rétroactivité de la loi</w:t>
      </w:r>
      <w:r>
        <w:rPr>
          <w:noProof/>
        </w:rPr>
        <w:tab/>
      </w:r>
      <w:r w:rsidR="00D24977">
        <w:rPr>
          <w:noProof/>
        </w:rPr>
        <w:fldChar w:fldCharType="begin"/>
      </w:r>
      <w:r>
        <w:rPr>
          <w:noProof/>
        </w:rPr>
        <w:instrText xml:space="preserve"> PAGEREF _Toc311886147 \h </w:instrText>
      </w:r>
      <w:r w:rsidR="00D24977">
        <w:rPr>
          <w:noProof/>
        </w:rPr>
      </w:r>
      <w:r w:rsidR="00D24977">
        <w:rPr>
          <w:noProof/>
        </w:rPr>
        <w:fldChar w:fldCharType="separate"/>
      </w:r>
      <w:r>
        <w:rPr>
          <w:noProof/>
        </w:rPr>
        <w:t>25</w:t>
      </w:r>
      <w:r w:rsidR="00D24977">
        <w:rPr>
          <w:noProof/>
        </w:rPr>
        <w:fldChar w:fldCharType="end"/>
      </w:r>
    </w:p>
    <w:p w:rsidR="00C27989" w:rsidRDefault="00C27989">
      <w:pPr>
        <w:pStyle w:val="TOC2"/>
        <w:tabs>
          <w:tab w:val="right" w:leader="dot" w:pos="8828"/>
        </w:tabs>
        <w:rPr>
          <w:rFonts w:asciiTheme="minorHAnsi" w:eastAsiaTheme="minorEastAsia" w:hAnsiTheme="minorHAnsi" w:cstheme="minorBidi"/>
          <w:noProof/>
          <w:lang w:val="ca-ES" w:eastAsia="ja-JP"/>
        </w:rPr>
      </w:pPr>
      <w:r>
        <w:rPr>
          <w:noProof/>
        </w:rPr>
        <w:t>ARTICLE 17.- Droit à la vie privée</w:t>
      </w:r>
      <w:r>
        <w:rPr>
          <w:noProof/>
        </w:rPr>
        <w:tab/>
      </w:r>
      <w:r w:rsidR="00D24977">
        <w:rPr>
          <w:noProof/>
        </w:rPr>
        <w:fldChar w:fldCharType="begin"/>
      </w:r>
      <w:r>
        <w:rPr>
          <w:noProof/>
        </w:rPr>
        <w:instrText xml:space="preserve"> PAGEREF _Toc311886148 \h </w:instrText>
      </w:r>
      <w:r w:rsidR="00D24977">
        <w:rPr>
          <w:noProof/>
        </w:rPr>
      </w:r>
      <w:r w:rsidR="00D24977">
        <w:rPr>
          <w:noProof/>
        </w:rPr>
        <w:fldChar w:fldCharType="separate"/>
      </w:r>
      <w:r>
        <w:rPr>
          <w:noProof/>
        </w:rPr>
        <w:t>26</w:t>
      </w:r>
      <w:r w:rsidR="00D24977">
        <w:rPr>
          <w:noProof/>
        </w:rPr>
        <w:fldChar w:fldCharType="end"/>
      </w:r>
    </w:p>
    <w:p w:rsidR="00C27989" w:rsidRDefault="00C27989">
      <w:pPr>
        <w:pStyle w:val="TOC2"/>
        <w:tabs>
          <w:tab w:val="right" w:leader="dot" w:pos="8828"/>
        </w:tabs>
        <w:rPr>
          <w:rFonts w:asciiTheme="minorHAnsi" w:eastAsiaTheme="minorEastAsia" w:hAnsiTheme="minorHAnsi" w:cstheme="minorBidi"/>
          <w:noProof/>
          <w:lang w:val="ca-ES" w:eastAsia="ja-JP"/>
        </w:rPr>
      </w:pPr>
      <w:r>
        <w:rPr>
          <w:noProof/>
        </w:rPr>
        <w:t>ARTICLE 18.- Liberté de pensée, de conscience et de religion</w:t>
      </w:r>
      <w:r>
        <w:rPr>
          <w:noProof/>
        </w:rPr>
        <w:tab/>
      </w:r>
      <w:r w:rsidR="00D24977">
        <w:rPr>
          <w:noProof/>
        </w:rPr>
        <w:fldChar w:fldCharType="begin"/>
      </w:r>
      <w:r>
        <w:rPr>
          <w:noProof/>
        </w:rPr>
        <w:instrText xml:space="preserve"> PAGEREF _Toc311886149 \h </w:instrText>
      </w:r>
      <w:r w:rsidR="00D24977">
        <w:rPr>
          <w:noProof/>
        </w:rPr>
      </w:r>
      <w:r w:rsidR="00D24977">
        <w:rPr>
          <w:noProof/>
        </w:rPr>
        <w:fldChar w:fldCharType="separate"/>
      </w:r>
      <w:r>
        <w:rPr>
          <w:noProof/>
        </w:rPr>
        <w:t>27</w:t>
      </w:r>
      <w:r w:rsidR="00D24977">
        <w:rPr>
          <w:noProof/>
        </w:rPr>
        <w:fldChar w:fldCharType="end"/>
      </w:r>
    </w:p>
    <w:p w:rsidR="00C27989" w:rsidRDefault="00C27989">
      <w:pPr>
        <w:pStyle w:val="TOC2"/>
        <w:tabs>
          <w:tab w:val="right" w:leader="dot" w:pos="8828"/>
        </w:tabs>
        <w:rPr>
          <w:rFonts w:asciiTheme="minorHAnsi" w:eastAsiaTheme="minorEastAsia" w:hAnsiTheme="minorHAnsi" w:cstheme="minorBidi"/>
          <w:noProof/>
          <w:lang w:val="ca-ES" w:eastAsia="ja-JP"/>
        </w:rPr>
      </w:pPr>
      <w:r>
        <w:rPr>
          <w:noProof/>
        </w:rPr>
        <w:t>ARTICLE 19.- Liberté d’opinion et d’expression et liberté de la presse</w:t>
      </w:r>
      <w:r>
        <w:rPr>
          <w:noProof/>
        </w:rPr>
        <w:tab/>
      </w:r>
      <w:r w:rsidR="00D24977">
        <w:rPr>
          <w:noProof/>
        </w:rPr>
        <w:fldChar w:fldCharType="begin"/>
      </w:r>
      <w:r>
        <w:rPr>
          <w:noProof/>
        </w:rPr>
        <w:instrText xml:space="preserve"> PAGEREF _Toc311886150 \h </w:instrText>
      </w:r>
      <w:r w:rsidR="00D24977">
        <w:rPr>
          <w:noProof/>
        </w:rPr>
      </w:r>
      <w:r w:rsidR="00D24977">
        <w:rPr>
          <w:noProof/>
        </w:rPr>
        <w:fldChar w:fldCharType="separate"/>
      </w:r>
      <w:r>
        <w:rPr>
          <w:noProof/>
        </w:rPr>
        <w:t>28</w:t>
      </w:r>
      <w:r w:rsidR="00D24977">
        <w:rPr>
          <w:noProof/>
        </w:rPr>
        <w:fldChar w:fldCharType="end"/>
      </w:r>
    </w:p>
    <w:p w:rsidR="00C27989" w:rsidRDefault="00C27989">
      <w:pPr>
        <w:pStyle w:val="TOC2"/>
        <w:tabs>
          <w:tab w:val="right" w:leader="dot" w:pos="8828"/>
        </w:tabs>
        <w:rPr>
          <w:rFonts w:asciiTheme="minorHAnsi" w:eastAsiaTheme="minorEastAsia" w:hAnsiTheme="minorHAnsi" w:cstheme="minorBidi"/>
          <w:noProof/>
          <w:lang w:val="ca-ES" w:eastAsia="ja-JP"/>
        </w:rPr>
      </w:pPr>
      <w:r>
        <w:rPr>
          <w:noProof/>
        </w:rPr>
        <w:t>ARTICLE 21.- Droit de réunion pacifique</w:t>
      </w:r>
      <w:r>
        <w:rPr>
          <w:noProof/>
        </w:rPr>
        <w:tab/>
      </w:r>
      <w:r w:rsidR="00D24977">
        <w:rPr>
          <w:noProof/>
        </w:rPr>
        <w:fldChar w:fldCharType="begin"/>
      </w:r>
      <w:r>
        <w:rPr>
          <w:noProof/>
        </w:rPr>
        <w:instrText xml:space="preserve"> PAGEREF _Toc311886151 \h </w:instrText>
      </w:r>
      <w:r w:rsidR="00D24977">
        <w:rPr>
          <w:noProof/>
        </w:rPr>
      </w:r>
      <w:r w:rsidR="00D24977">
        <w:rPr>
          <w:noProof/>
        </w:rPr>
        <w:fldChar w:fldCharType="separate"/>
      </w:r>
      <w:r>
        <w:rPr>
          <w:noProof/>
        </w:rPr>
        <w:t>31</w:t>
      </w:r>
      <w:r w:rsidR="00D24977">
        <w:rPr>
          <w:noProof/>
        </w:rPr>
        <w:fldChar w:fldCharType="end"/>
      </w:r>
    </w:p>
    <w:p w:rsidR="00C27989" w:rsidRDefault="00C27989">
      <w:pPr>
        <w:pStyle w:val="TOC2"/>
        <w:tabs>
          <w:tab w:val="right" w:leader="dot" w:pos="8828"/>
        </w:tabs>
        <w:rPr>
          <w:rFonts w:asciiTheme="minorHAnsi" w:eastAsiaTheme="minorEastAsia" w:hAnsiTheme="minorHAnsi" w:cstheme="minorBidi"/>
          <w:noProof/>
          <w:lang w:val="ca-ES" w:eastAsia="ja-JP"/>
        </w:rPr>
      </w:pPr>
      <w:r>
        <w:rPr>
          <w:noProof/>
        </w:rPr>
        <w:t>ARTICLE 22.- Liberté d’association et liberté syndicale</w:t>
      </w:r>
      <w:r>
        <w:rPr>
          <w:noProof/>
        </w:rPr>
        <w:tab/>
      </w:r>
      <w:r w:rsidR="00D24977">
        <w:rPr>
          <w:noProof/>
        </w:rPr>
        <w:fldChar w:fldCharType="begin"/>
      </w:r>
      <w:r>
        <w:rPr>
          <w:noProof/>
        </w:rPr>
        <w:instrText xml:space="preserve"> PAGEREF _Toc311886152 \h </w:instrText>
      </w:r>
      <w:r w:rsidR="00D24977">
        <w:rPr>
          <w:noProof/>
        </w:rPr>
      </w:r>
      <w:r w:rsidR="00D24977">
        <w:rPr>
          <w:noProof/>
        </w:rPr>
        <w:fldChar w:fldCharType="separate"/>
      </w:r>
      <w:r>
        <w:rPr>
          <w:noProof/>
        </w:rPr>
        <w:t>32</w:t>
      </w:r>
      <w:r w:rsidR="00D24977">
        <w:rPr>
          <w:noProof/>
        </w:rPr>
        <w:fldChar w:fldCharType="end"/>
      </w:r>
    </w:p>
    <w:p w:rsidR="00C27989" w:rsidRDefault="00C27989">
      <w:pPr>
        <w:pStyle w:val="TOC2"/>
        <w:tabs>
          <w:tab w:val="right" w:leader="dot" w:pos="8828"/>
        </w:tabs>
        <w:rPr>
          <w:rFonts w:asciiTheme="minorHAnsi" w:eastAsiaTheme="minorEastAsia" w:hAnsiTheme="minorHAnsi" w:cstheme="minorBidi"/>
          <w:noProof/>
          <w:lang w:val="ca-ES" w:eastAsia="ja-JP"/>
        </w:rPr>
      </w:pPr>
      <w:r>
        <w:rPr>
          <w:noProof/>
        </w:rPr>
        <w:t>ARTICLE 24.- Protection de l’enfant</w:t>
      </w:r>
      <w:r>
        <w:rPr>
          <w:noProof/>
        </w:rPr>
        <w:tab/>
      </w:r>
      <w:r w:rsidR="00D24977">
        <w:rPr>
          <w:noProof/>
        </w:rPr>
        <w:fldChar w:fldCharType="begin"/>
      </w:r>
      <w:r>
        <w:rPr>
          <w:noProof/>
        </w:rPr>
        <w:instrText xml:space="preserve"> PAGEREF _Toc311886153 \h </w:instrText>
      </w:r>
      <w:r w:rsidR="00D24977">
        <w:rPr>
          <w:noProof/>
        </w:rPr>
      </w:r>
      <w:r w:rsidR="00D24977">
        <w:rPr>
          <w:noProof/>
        </w:rPr>
        <w:fldChar w:fldCharType="separate"/>
      </w:r>
      <w:r>
        <w:rPr>
          <w:noProof/>
        </w:rPr>
        <w:t>34</w:t>
      </w:r>
      <w:r w:rsidR="00D24977">
        <w:rPr>
          <w:noProof/>
        </w:rPr>
        <w:fldChar w:fldCharType="end"/>
      </w:r>
    </w:p>
    <w:p w:rsidR="00C27989" w:rsidRDefault="00C27989">
      <w:pPr>
        <w:pStyle w:val="TOC2"/>
        <w:tabs>
          <w:tab w:val="right" w:leader="dot" w:pos="8828"/>
        </w:tabs>
        <w:rPr>
          <w:rFonts w:asciiTheme="minorHAnsi" w:eastAsiaTheme="minorEastAsia" w:hAnsiTheme="minorHAnsi" w:cstheme="minorBidi"/>
          <w:noProof/>
          <w:lang w:val="ca-ES" w:eastAsia="ja-JP"/>
        </w:rPr>
      </w:pPr>
      <w:r>
        <w:rPr>
          <w:noProof/>
        </w:rPr>
        <w:t>ARTICLE 25.- Droit de participer aux affaires publiques</w:t>
      </w:r>
      <w:r>
        <w:rPr>
          <w:noProof/>
        </w:rPr>
        <w:tab/>
      </w:r>
      <w:r w:rsidR="00D24977">
        <w:rPr>
          <w:noProof/>
        </w:rPr>
        <w:fldChar w:fldCharType="begin"/>
      </w:r>
      <w:r>
        <w:rPr>
          <w:noProof/>
        </w:rPr>
        <w:instrText xml:space="preserve"> PAGEREF _Toc311886154 \h </w:instrText>
      </w:r>
      <w:r w:rsidR="00D24977">
        <w:rPr>
          <w:noProof/>
        </w:rPr>
      </w:r>
      <w:r w:rsidR="00D24977">
        <w:rPr>
          <w:noProof/>
        </w:rPr>
        <w:fldChar w:fldCharType="separate"/>
      </w:r>
      <w:r>
        <w:rPr>
          <w:noProof/>
        </w:rPr>
        <w:t>35</w:t>
      </w:r>
      <w:r w:rsidR="00D24977">
        <w:rPr>
          <w:noProof/>
        </w:rPr>
        <w:fldChar w:fldCharType="end"/>
      </w:r>
    </w:p>
    <w:p w:rsidR="00C27989" w:rsidRDefault="00C27989">
      <w:pPr>
        <w:pStyle w:val="TOC2"/>
        <w:tabs>
          <w:tab w:val="right" w:leader="dot" w:pos="8828"/>
        </w:tabs>
        <w:rPr>
          <w:rFonts w:asciiTheme="minorHAnsi" w:eastAsiaTheme="minorEastAsia" w:hAnsiTheme="minorHAnsi" w:cstheme="minorBidi"/>
          <w:noProof/>
          <w:lang w:val="ca-ES" w:eastAsia="ja-JP"/>
        </w:rPr>
      </w:pPr>
      <w:r>
        <w:rPr>
          <w:noProof/>
        </w:rPr>
        <w:t>ARTICLE 26.- Interdiction de la discrimination</w:t>
      </w:r>
      <w:r>
        <w:rPr>
          <w:noProof/>
        </w:rPr>
        <w:tab/>
      </w:r>
      <w:r w:rsidR="00D24977">
        <w:rPr>
          <w:noProof/>
        </w:rPr>
        <w:fldChar w:fldCharType="begin"/>
      </w:r>
      <w:r>
        <w:rPr>
          <w:noProof/>
        </w:rPr>
        <w:instrText xml:space="preserve"> PAGEREF _Toc311886155 \h </w:instrText>
      </w:r>
      <w:r w:rsidR="00D24977">
        <w:rPr>
          <w:noProof/>
        </w:rPr>
      </w:r>
      <w:r w:rsidR="00D24977">
        <w:rPr>
          <w:noProof/>
        </w:rPr>
        <w:fldChar w:fldCharType="separate"/>
      </w:r>
      <w:r>
        <w:rPr>
          <w:noProof/>
        </w:rPr>
        <w:t>36</w:t>
      </w:r>
      <w:r w:rsidR="00D24977">
        <w:rPr>
          <w:noProof/>
        </w:rPr>
        <w:fldChar w:fldCharType="end"/>
      </w:r>
    </w:p>
    <w:p w:rsidR="00C27989" w:rsidRDefault="00C27989">
      <w:pPr>
        <w:pStyle w:val="TOC2"/>
        <w:tabs>
          <w:tab w:val="right" w:leader="dot" w:pos="8828"/>
        </w:tabs>
        <w:rPr>
          <w:rFonts w:asciiTheme="minorHAnsi" w:eastAsiaTheme="minorEastAsia" w:hAnsiTheme="minorHAnsi" w:cstheme="minorBidi"/>
          <w:noProof/>
          <w:lang w:val="ca-ES" w:eastAsia="ja-JP"/>
        </w:rPr>
      </w:pPr>
      <w:r>
        <w:rPr>
          <w:noProof/>
        </w:rPr>
        <w:t>ARTICLE 27.- Droit des minorités</w:t>
      </w:r>
      <w:r>
        <w:rPr>
          <w:noProof/>
        </w:rPr>
        <w:tab/>
      </w:r>
      <w:r w:rsidR="00D24977">
        <w:rPr>
          <w:noProof/>
        </w:rPr>
        <w:fldChar w:fldCharType="begin"/>
      </w:r>
      <w:r>
        <w:rPr>
          <w:noProof/>
        </w:rPr>
        <w:instrText xml:space="preserve"> PAGEREF _Toc311886156 \h </w:instrText>
      </w:r>
      <w:r w:rsidR="00D24977">
        <w:rPr>
          <w:noProof/>
        </w:rPr>
      </w:r>
      <w:r w:rsidR="00D24977">
        <w:rPr>
          <w:noProof/>
        </w:rPr>
        <w:fldChar w:fldCharType="separate"/>
      </w:r>
      <w:r>
        <w:rPr>
          <w:noProof/>
        </w:rPr>
        <w:t>38</w:t>
      </w:r>
      <w:r w:rsidR="00D24977">
        <w:rPr>
          <w:noProof/>
        </w:rPr>
        <w:fldChar w:fldCharType="end"/>
      </w:r>
    </w:p>
    <w:p w:rsidR="00C27989" w:rsidRDefault="00C27989">
      <w:pPr>
        <w:pStyle w:val="TOC1"/>
        <w:tabs>
          <w:tab w:val="right" w:leader="dot" w:pos="8828"/>
        </w:tabs>
        <w:rPr>
          <w:rFonts w:asciiTheme="minorHAnsi" w:eastAsiaTheme="minorEastAsia" w:hAnsiTheme="minorHAnsi" w:cstheme="minorBidi"/>
          <w:noProof/>
          <w:lang w:val="ca-ES" w:eastAsia="ja-JP"/>
        </w:rPr>
      </w:pPr>
      <w:r w:rsidRPr="00C6639B">
        <w:rPr>
          <w:noProof/>
        </w:rPr>
        <w:t>ANNEXE I</w:t>
      </w:r>
      <w:r>
        <w:rPr>
          <w:noProof/>
        </w:rPr>
        <w:tab/>
      </w:r>
      <w:r w:rsidR="00D24977">
        <w:rPr>
          <w:noProof/>
        </w:rPr>
        <w:fldChar w:fldCharType="begin"/>
      </w:r>
      <w:r>
        <w:rPr>
          <w:noProof/>
        </w:rPr>
        <w:instrText xml:space="preserve"> PAGEREF _Toc311886157 \h </w:instrText>
      </w:r>
      <w:r w:rsidR="00D24977">
        <w:rPr>
          <w:noProof/>
        </w:rPr>
      </w:r>
      <w:r w:rsidR="00D24977">
        <w:rPr>
          <w:noProof/>
        </w:rPr>
        <w:fldChar w:fldCharType="separate"/>
      </w:r>
      <w:r>
        <w:rPr>
          <w:noProof/>
        </w:rPr>
        <w:t>40</w:t>
      </w:r>
      <w:r w:rsidR="00D24977">
        <w:rPr>
          <w:noProof/>
        </w:rPr>
        <w:fldChar w:fldCharType="end"/>
      </w:r>
    </w:p>
    <w:p w:rsidR="000F2BDD" w:rsidRDefault="00D24977">
      <w:pPr>
        <w:spacing w:after="200" w:line="276" w:lineRule="auto"/>
      </w:pPr>
      <w:r>
        <w:fldChar w:fldCharType="end"/>
      </w:r>
    </w:p>
    <w:p w:rsidR="000F2BDD" w:rsidRDefault="000F2BDD">
      <w:pPr>
        <w:spacing w:after="200" w:line="276" w:lineRule="auto"/>
      </w:pPr>
    </w:p>
    <w:p w:rsidR="000F2BDD" w:rsidRDefault="000F2BDD">
      <w:pPr>
        <w:spacing w:after="200" w:line="276" w:lineRule="auto"/>
      </w:pPr>
    </w:p>
    <w:p w:rsidR="000F2BDD" w:rsidRDefault="000F2BDD"/>
    <w:p w:rsidR="000F2BDD" w:rsidRDefault="000F2BDD"/>
    <w:p w:rsidR="000F2BDD" w:rsidRDefault="000F2BDD"/>
    <w:p w:rsidR="000F2BDD" w:rsidRDefault="000F2BDD"/>
    <w:p w:rsidR="000F2BDD" w:rsidRDefault="000F2BDD">
      <w:pPr>
        <w:rPr>
          <w:b/>
          <w:bCs/>
        </w:rPr>
      </w:pPr>
      <w:r>
        <w:br w:type="page"/>
      </w:r>
    </w:p>
    <w:p w:rsidR="000F2BDD" w:rsidRDefault="000F2BDD">
      <w:pPr>
        <w:pStyle w:val="Heading1"/>
        <w:rPr>
          <w:lang w:val="fr-FR"/>
        </w:rPr>
      </w:pPr>
      <w:bookmarkStart w:id="1" w:name="_Toc311886134"/>
      <w:r>
        <w:rPr>
          <w:lang w:val="fr-FR"/>
        </w:rPr>
        <w:t>PRÉSENTATION</w:t>
      </w:r>
      <w:bookmarkEnd w:id="1"/>
    </w:p>
    <w:p w:rsidR="000F2BDD" w:rsidRDefault="000F2BDD">
      <w:pPr>
        <w:rPr>
          <w:i/>
          <w:iCs/>
        </w:rPr>
      </w:pPr>
    </w:p>
    <w:p w:rsidR="000F2BDD" w:rsidRDefault="000F2BDD" w:rsidP="00C92FCE">
      <w:pPr>
        <w:jc w:val="both"/>
      </w:pPr>
      <w:r>
        <w:t xml:space="preserve">Le présent rapport a été élaboré avec le soutien de la </w:t>
      </w:r>
      <w:r>
        <w:rPr>
          <w:b/>
        </w:rPr>
        <w:t xml:space="preserve">Coordination Maghrébine d’Organisations de Droits </w:t>
      </w:r>
      <w:r w:rsidR="00C27989">
        <w:rPr>
          <w:b/>
        </w:rPr>
        <w:t>Humains</w:t>
      </w:r>
      <w:r>
        <w:t xml:space="preserve"> (CMODH) et la participation de 1</w:t>
      </w:r>
      <w:r w:rsidR="00C92FCE">
        <w:t>4</w:t>
      </w:r>
      <w:r>
        <w:t xml:space="preserve"> Organisations Non Gouvernementales (ONG), dont :</w:t>
      </w:r>
    </w:p>
    <w:p w:rsidR="000F2BDD" w:rsidRDefault="000F2BDD">
      <w:pPr>
        <w:jc w:val="both"/>
      </w:pPr>
    </w:p>
    <w:p w:rsidR="000F2BDD" w:rsidRDefault="000F2BDD">
      <w:pPr>
        <w:jc w:val="both"/>
      </w:pPr>
      <w:r>
        <w:t xml:space="preserve">Des ONG membre de la CMODH au Maroc et à l’étranger: </w:t>
      </w:r>
    </w:p>
    <w:p w:rsidR="000F2BDD" w:rsidRDefault="000F2BDD">
      <w:pPr>
        <w:jc w:val="both"/>
      </w:pPr>
    </w:p>
    <w:p w:rsidR="000F2BDD" w:rsidRDefault="000F2BDD">
      <w:pPr>
        <w:ind w:left="567"/>
        <w:jc w:val="both"/>
        <w:rPr>
          <w:b/>
        </w:rPr>
      </w:pPr>
      <w:r>
        <w:rPr>
          <w:b/>
        </w:rPr>
        <w:t>Association Marocaine de Droits Humains (AMDH)</w:t>
      </w:r>
    </w:p>
    <w:p w:rsidR="000F2BDD" w:rsidRDefault="000F2BDD">
      <w:pPr>
        <w:ind w:left="567"/>
        <w:jc w:val="both"/>
        <w:rPr>
          <w:b/>
        </w:rPr>
      </w:pPr>
      <w:r>
        <w:rPr>
          <w:b/>
        </w:rPr>
        <w:t xml:space="preserve">Forum Marocain pour la </w:t>
      </w:r>
      <w:r w:rsidR="00C27989">
        <w:rPr>
          <w:b/>
        </w:rPr>
        <w:t>V</w:t>
      </w:r>
      <w:r>
        <w:rPr>
          <w:b/>
        </w:rPr>
        <w:t xml:space="preserve">érité et la </w:t>
      </w:r>
      <w:r w:rsidR="00C27989">
        <w:rPr>
          <w:b/>
        </w:rPr>
        <w:t>J</w:t>
      </w:r>
      <w:r>
        <w:rPr>
          <w:b/>
        </w:rPr>
        <w:t>ustice  (FMVJ)</w:t>
      </w:r>
    </w:p>
    <w:p w:rsidR="000F2BDD" w:rsidRDefault="000F2BDD">
      <w:pPr>
        <w:ind w:left="567"/>
        <w:jc w:val="both"/>
        <w:rPr>
          <w:b/>
        </w:rPr>
      </w:pPr>
      <w:r>
        <w:rPr>
          <w:b/>
        </w:rPr>
        <w:t>Observatoire Marocain des Prisons (OMP)</w:t>
      </w:r>
    </w:p>
    <w:p w:rsidR="000F2BDD" w:rsidRDefault="000F2BDD">
      <w:pPr>
        <w:ind w:left="567"/>
        <w:jc w:val="both"/>
        <w:rPr>
          <w:b/>
        </w:rPr>
      </w:pPr>
      <w:r>
        <w:rPr>
          <w:b/>
        </w:rPr>
        <w:t>Centre Marocain des Droits de l'Homme  (CMDH)</w:t>
      </w:r>
    </w:p>
    <w:p w:rsidR="000F2BDD" w:rsidRDefault="000F2BDD">
      <w:pPr>
        <w:ind w:left="567"/>
        <w:jc w:val="both"/>
        <w:rPr>
          <w:b/>
        </w:rPr>
      </w:pPr>
      <w:r>
        <w:rPr>
          <w:b/>
        </w:rPr>
        <w:t>Instance Marocaine des Droits Humains  (IMDH)</w:t>
      </w:r>
    </w:p>
    <w:p w:rsidR="000F2BDD" w:rsidRDefault="000F2BDD">
      <w:pPr>
        <w:ind w:left="567"/>
        <w:jc w:val="both"/>
        <w:rPr>
          <w:b/>
        </w:rPr>
      </w:pPr>
      <w:r>
        <w:rPr>
          <w:b/>
        </w:rPr>
        <w:t xml:space="preserve">Ligue </w:t>
      </w:r>
      <w:r w:rsidR="00C27989">
        <w:rPr>
          <w:b/>
        </w:rPr>
        <w:t>M</w:t>
      </w:r>
      <w:r>
        <w:rPr>
          <w:b/>
        </w:rPr>
        <w:t xml:space="preserve">arocaine </w:t>
      </w:r>
      <w:r w:rsidR="00C27989">
        <w:rPr>
          <w:b/>
        </w:rPr>
        <w:t>pour la D</w:t>
      </w:r>
      <w:r>
        <w:rPr>
          <w:b/>
        </w:rPr>
        <w:t xml:space="preserve">éfense des </w:t>
      </w:r>
      <w:r w:rsidR="00C27989">
        <w:rPr>
          <w:b/>
        </w:rPr>
        <w:t>D</w:t>
      </w:r>
      <w:r>
        <w:rPr>
          <w:b/>
        </w:rPr>
        <w:t xml:space="preserve">roits </w:t>
      </w:r>
      <w:r w:rsidR="00C27989">
        <w:rPr>
          <w:b/>
        </w:rPr>
        <w:t>Humains</w:t>
      </w:r>
      <w:r>
        <w:rPr>
          <w:b/>
        </w:rPr>
        <w:t xml:space="preserve"> (LMDDH) </w:t>
      </w:r>
    </w:p>
    <w:p w:rsidR="000F2BDD" w:rsidRDefault="000F2BDD" w:rsidP="009B5920">
      <w:pPr>
        <w:ind w:left="567"/>
        <w:jc w:val="both"/>
        <w:rPr>
          <w:b/>
        </w:rPr>
      </w:pPr>
      <w:r w:rsidRPr="00FD527B">
        <w:rPr>
          <w:b/>
        </w:rPr>
        <w:t>Collec</w:t>
      </w:r>
      <w:r>
        <w:rPr>
          <w:b/>
        </w:rPr>
        <w:t>tif Marocain des Instances de Droits Humains (CMIDH)</w:t>
      </w:r>
    </w:p>
    <w:p w:rsidR="000F2BDD" w:rsidRDefault="000F2BDD" w:rsidP="009B5920">
      <w:pPr>
        <w:ind w:left="567"/>
        <w:jc w:val="both"/>
        <w:rPr>
          <w:b/>
        </w:rPr>
      </w:pPr>
      <w:r>
        <w:rPr>
          <w:b/>
        </w:rPr>
        <w:t>Association des Travailleurs Maghrébins en France  (ATMF)</w:t>
      </w:r>
    </w:p>
    <w:p w:rsidR="000F2BDD" w:rsidRDefault="000F2BDD" w:rsidP="009B5920">
      <w:pPr>
        <w:ind w:left="567"/>
        <w:jc w:val="both"/>
        <w:rPr>
          <w:b/>
          <w:i/>
          <w:iCs/>
        </w:rPr>
      </w:pPr>
      <w:r>
        <w:rPr>
          <w:b/>
        </w:rPr>
        <w:t>Association des Marocains en France (AMF)</w:t>
      </w:r>
    </w:p>
    <w:p w:rsidR="000F2BDD" w:rsidRDefault="000F2BDD" w:rsidP="009B5920">
      <w:pPr>
        <w:ind w:left="567"/>
        <w:jc w:val="both"/>
        <w:rPr>
          <w:b/>
          <w:iCs/>
        </w:rPr>
      </w:pPr>
      <w:r>
        <w:rPr>
          <w:b/>
          <w:iCs/>
        </w:rPr>
        <w:t>Association de Déf</w:t>
      </w:r>
      <w:r w:rsidRPr="00FD527B">
        <w:rPr>
          <w:b/>
          <w:iCs/>
        </w:rPr>
        <w:t>ense</w:t>
      </w:r>
      <w:r>
        <w:rPr>
          <w:b/>
          <w:iCs/>
        </w:rPr>
        <w:t xml:space="preserve"> des Droits de l’H</w:t>
      </w:r>
      <w:r w:rsidRPr="00FD527B">
        <w:rPr>
          <w:b/>
          <w:iCs/>
        </w:rPr>
        <w:t>omme au Maroc</w:t>
      </w:r>
      <w:r>
        <w:rPr>
          <w:b/>
          <w:iCs/>
        </w:rPr>
        <w:t xml:space="preserve">  (ASDHOM)</w:t>
      </w:r>
    </w:p>
    <w:p w:rsidR="000F2BDD" w:rsidRDefault="000F2BDD" w:rsidP="009B5920">
      <w:pPr>
        <w:ind w:left="567"/>
        <w:jc w:val="both"/>
        <w:rPr>
          <w:i/>
          <w:iCs/>
        </w:rPr>
      </w:pPr>
      <w:r>
        <w:rPr>
          <w:b/>
          <w:bCs/>
        </w:rPr>
        <w:t>Organisation des Libertés d’Information et d’Expression (OLIE)</w:t>
      </w:r>
    </w:p>
    <w:p w:rsidR="000F2BDD" w:rsidRDefault="000F2BDD" w:rsidP="009B5920">
      <w:pPr>
        <w:jc w:val="both"/>
      </w:pPr>
    </w:p>
    <w:p w:rsidR="000F2BDD" w:rsidRPr="009B5920" w:rsidRDefault="000F2BDD" w:rsidP="009B5920">
      <w:pPr>
        <w:jc w:val="both"/>
      </w:pPr>
      <w:r w:rsidRPr="009B5920">
        <w:t>Et d’autres ONG marocaines:</w:t>
      </w:r>
    </w:p>
    <w:p w:rsidR="000F2BDD" w:rsidRDefault="000F2BDD">
      <w:pPr>
        <w:ind w:left="567"/>
        <w:jc w:val="both"/>
        <w:rPr>
          <w:b/>
        </w:rPr>
      </w:pPr>
    </w:p>
    <w:p w:rsidR="000F2BDD" w:rsidRDefault="000F2BDD" w:rsidP="009B5920">
      <w:pPr>
        <w:ind w:left="567"/>
        <w:jc w:val="both"/>
        <w:rPr>
          <w:b/>
        </w:rPr>
      </w:pPr>
      <w:r>
        <w:rPr>
          <w:b/>
        </w:rPr>
        <w:t xml:space="preserve">Association des </w:t>
      </w:r>
      <w:r w:rsidR="00C27989">
        <w:rPr>
          <w:b/>
        </w:rPr>
        <w:t>D</w:t>
      </w:r>
      <w:r>
        <w:rPr>
          <w:b/>
        </w:rPr>
        <w:t xml:space="preserve">roits </w:t>
      </w:r>
      <w:r w:rsidR="00C27989">
        <w:rPr>
          <w:b/>
        </w:rPr>
        <w:t>N</w:t>
      </w:r>
      <w:r>
        <w:rPr>
          <w:b/>
        </w:rPr>
        <w:t>umériques (ADN)</w:t>
      </w:r>
    </w:p>
    <w:p w:rsidR="000F2BDD" w:rsidRPr="00D937B1" w:rsidRDefault="000F2BDD" w:rsidP="009B5920">
      <w:pPr>
        <w:ind w:left="567"/>
        <w:jc w:val="both"/>
        <w:rPr>
          <w:b/>
          <w:color w:val="FF0000"/>
          <w:sz w:val="22"/>
        </w:rPr>
      </w:pPr>
      <w:r>
        <w:rPr>
          <w:b/>
        </w:rPr>
        <w:t>Freedom Now-</w:t>
      </w:r>
      <w:r w:rsidRPr="005253F1">
        <w:rPr>
          <w:b/>
          <w:color w:val="000000"/>
          <w:sz w:val="22"/>
        </w:rPr>
        <w:t>Comité de protection des libertés de presse et d’expression au Maroc</w:t>
      </w:r>
    </w:p>
    <w:p w:rsidR="000F2BDD" w:rsidRDefault="000F2BDD" w:rsidP="009B5920">
      <w:pPr>
        <w:ind w:left="567"/>
        <w:jc w:val="both"/>
        <w:rPr>
          <w:b/>
        </w:rPr>
      </w:pPr>
      <w:r>
        <w:rPr>
          <w:b/>
        </w:rPr>
        <w:t xml:space="preserve">Association  </w:t>
      </w:r>
      <w:r w:rsidR="00C27989">
        <w:rPr>
          <w:b/>
        </w:rPr>
        <w:t>M</w:t>
      </w:r>
      <w:r>
        <w:rPr>
          <w:b/>
        </w:rPr>
        <w:t xml:space="preserve">arocaine du </w:t>
      </w:r>
      <w:r w:rsidR="00C27989">
        <w:rPr>
          <w:b/>
        </w:rPr>
        <w:t>J</w:t>
      </w:r>
      <w:r>
        <w:rPr>
          <w:b/>
        </w:rPr>
        <w:t>ournalisme d’</w:t>
      </w:r>
      <w:r w:rsidR="00C27989">
        <w:rPr>
          <w:b/>
        </w:rPr>
        <w:t>I</w:t>
      </w:r>
      <w:r>
        <w:rPr>
          <w:b/>
        </w:rPr>
        <w:t>nvestigation (AMJI)</w:t>
      </w:r>
    </w:p>
    <w:p w:rsidR="000F2BDD" w:rsidRDefault="000F2BDD">
      <w:pPr>
        <w:jc w:val="both"/>
      </w:pPr>
    </w:p>
    <w:p w:rsidR="000F2BDD" w:rsidRDefault="000F2BDD">
      <w:pPr>
        <w:jc w:val="both"/>
      </w:pPr>
      <w:r>
        <w:t xml:space="preserve">Ce rapport alternatif est soumis au Comité de Droits de l’Homme (ci-après, CCPR) pour sa considération en vue d’établir la liste de points à traiter qui précède la session d’examen de l’adéquation des politiques et pratiques des institutions et autorités marocaines en lien avec les dispositions du Pacte International de Droits Civils et Politiques (ci-après, PIDCP). </w:t>
      </w:r>
    </w:p>
    <w:p w:rsidR="000F2BDD" w:rsidRDefault="000F2BDD">
      <w:pPr>
        <w:jc w:val="both"/>
      </w:pPr>
    </w:p>
    <w:p w:rsidR="000F2BDD" w:rsidRDefault="000F2BDD">
      <w:pPr>
        <w:jc w:val="both"/>
      </w:pPr>
      <w:r>
        <w:t xml:space="preserve">Nous accueillons avec satisfaction la présentation du rapport du Maroc, le 31 août 2015, qui déclenche le processus permettant au CCPR tant d’évaluer les progrès en matière de droits humains produits pendant les dernières années au Maroc, que de percevoir les régressions, les lacunes et les mesures à mettre en œuvre, pour ainsi pouvoir formuler des Observations finales qui permettent d’élever les standards de garantie des droits civils et politiques sur le territoire marocain. </w:t>
      </w:r>
    </w:p>
    <w:p w:rsidR="000F2BDD" w:rsidRDefault="000F2BDD">
      <w:pPr>
        <w:jc w:val="both"/>
      </w:pPr>
    </w:p>
    <w:p w:rsidR="000F2BDD" w:rsidRDefault="000F2BDD">
      <w:pPr>
        <w:jc w:val="both"/>
      </w:pPr>
      <w:r>
        <w:t>Néanmoins, la soumission du rapport du Maroc s’est faite avec 7 ans de retard, ce qui constitue un manquement des obligations du Maroc en lien avec l’article 40 du Pacte</w:t>
      </w:r>
      <w:r>
        <w:rPr>
          <w:rStyle w:val="FootnoteReference"/>
        </w:rPr>
        <w:footnoteReference w:id="1"/>
      </w:r>
      <w:r>
        <w:t>, qui a eu des conséquences. D’une part, le retard a empêché le CCPR de faire le suivi, tel qu’il est accepté par les États parties du Pacte, des politiques et pratiques en matière de droits civils et politiques mises en œuvre au Maroc. De l’autre, cette omission a empêché la participation active de la société civile marocaine auprès du CCPR.</w:t>
      </w:r>
    </w:p>
    <w:p w:rsidR="000F2BDD" w:rsidRDefault="000F2BDD">
      <w:pPr>
        <w:jc w:val="both"/>
      </w:pPr>
    </w:p>
    <w:p w:rsidR="000F2BDD" w:rsidRDefault="000F2BDD">
      <w:pPr>
        <w:jc w:val="both"/>
      </w:pPr>
      <w:r>
        <w:t xml:space="preserve">Le présent rapport part de la considération que la société civile joue un rôle fondamental dans l’implémentation, l’application, le respect et le suivi des lois, pratiques et politiques en matière des droits civils et politiques protégés par le Pacte. Outre la réduction des possibilités de jouer ce rôle, comme nous le signalions, à cause du retard dans la soumission du rapport par le Maroc, nous souhaitons souligner que le rapport a été élaboré sans la participation de la société civile. Nous considérons qu’il ne s’agit donc pas d’un rapport national, mais plutôt gouvernemental, qui contient des données partielles et omet un grand nombre d’informations qui sont nécessaires pour que le CCPR puisse réaliser son examen efficacement. Nous remarquons par ailleurs que le rapport de l’État omet un grand nombre des recommandations faites par le CCPR dans ses Observations Générales sur l’information que le rapport d’un État partie devrait contenir. </w:t>
      </w:r>
    </w:p>
    <w:p w:rsidR="000F2BDD" w:rsidRDefault="000F2BDD">
      <w:pPr>
        <w:jc w:val="both"/>
      </w:pPr>
    </w:p>
    <w:p w:rsidR="000F2BDD" w:rsidRDefault="000F2BDD">
      <w:pPr>
        <w:jc w:val="both"/>
      </w:pPr>
      <w:r>
        <w:t xml:space="preserve">Ainsi, le présent rapport alternatif est structuré en faisant une analyse, article par article, des droits du PIDCP que nous </w:t>
      </w:r>
      <w:r w:rsidRPr="005253F1">
        <w:t>considérons non respectés</w:t>
      </w:r>
      <w:r>
        <w:t xml:space="preserve">. Pour chaque article, nous établissons, en premier lieu, les manquements qui correspondent à des omissions du Maroc dans la mesure où des informations nécessaires en vertu des Observations Générales du CCPR ne sont pas fournies; en deuxième lieu, nous apportons des informations et données qui permettent de mettre en question et d’interpeller l’État sur le manque d’objectivité et la partialité du rapport présenté; finalement, nous faisons des recommandations sur des mesures à prendre pour une protection effective des droits protégés par chaque article. </w:t>
      </w:r>
    </w:p>
    <w:p w:rsidR="000F2BDD" w:rsidRDefault="000F2BDD">
      <w:pPr>
        <w:jc w:val="both"/>
        <w:rPr>
          <w:b/>
        </w:rPr>
      </w:pPr>
    </w:p>
    <w:p w:rsidR="000F2BDD" w:rsidRDefault="000F2BDD">
      <w:pPr>
        <w:rPr>
          <w:sz w:val="26"/>
          <w:szCs w:val="26"/>
          <w:lang w:bidi="ar-MA"/>
        </w:rPr>
      </w:pPr>
    </w:p>
    <w:p w:rsidR="000F2BDD" w:rsidRDefault="000F2BDD">
      <w:pPr>
        <w:rPr>
          <w:sz w:val="26"/>
          <w:szCs w:val="26"/>
          <w:lang w:bidi="ar-MA"/>
        </w:rPr>
      </w:pPr>
    </w:p>
    <w:p w:rsidR="000F2BDD" w:rsidRDefault="000F2BDD">
      <w:pPr>
        <w:rPr>
          <w:sz w:val="26"/>
          <w:szCs w:val="26"/>
          <w:lang w:bidi="ar-MA"/>
        </w:rPr>
      </w:pPr>
    </w:p>
    <w:p w:rsidR="000F2BDD" w:rsidRDefault="000F2BDD">
      <w:pPr>
        <w:rPr>
          <w:sz w:val="26"/>
          <w:szCs w:val="26"/>
          <w:lang w:bidi="ar-MA"/>
        </w:rPr>
      </w:pPr>
    </w:p>
    <w:p w:rsidR="000F2BDD" w:rsidRDefault="000F2BDD">
      <w:pPr>
        <w:rPr>
          <w:sz w:val="26"/>
          <w:szCs w:val="26"/>
          <w:lang w:bidi="ar-MA"/>
        </w:rPr>
      </w:pPr>
    </w:p>
    <w:p w:rsidR="000F2BDD" w:rsidRDefault="000F2BDD">
      <w:pPr>
        <w:rPr>
          <w:sz w:val="26"/>
          <w:szCs w:val="26"/>
          <w:lang w:bidi="ar-MA"/>
        </w:rPr>
      </w:pPr>
    </w:p>
    <w:p w:rsidR="000F2BDD" w:rsidRDefault="000F2BDD">
      <w:pPr>
        <w:rPr>
          <w:sz w:val="26"/>
          <w:szCs w:val="26"/>
          <w:lang w:bidi="ar-MA"/>
        </w:rPr>
      </w:pPr>
    </w:p>
    <w:p w:rsidR="000F2BDD" w:rsidRDefault="000F2BDD">
      <w:pPr>
        <w:rPr>
          <w:sz w:val="26"/>
          <w:szCs w:val="26"/>
          <w:lang w:bidi="ar-MA"/>
        </w:rPr>
      </w:pPr>
    </w:p>
    <w:p w:rsidR="000F2BDD" w:rsidRDefault="000F2BDD">
      <w:pPr>
        <w:rPr>
          <w:sz w:val="26"/>
          <w:szCs w:val="26"/>
          <w:lang w:bidi="ar-MA"/>
        </w:rPr>
      </w:pPr>
    </w:p>
    <w:p w:rsidR="000F2BDD" w:rsidRDefault="000F2BDD">
      <w:pPr>
        <w:rPr>
          <w:sz w:val="26"/>
          <w:szCs w:val="26"/>
          <w:lang w:bidi="ar-MA"/>
        </w:rPr>
      </w:pPr>
    </w:p>
    <w:p w:rsidR="000F2BDD" w:rsidRDefault="000F2BDD">
      <w:pPr>
        <w:rPr>
          <w:sz w:val="26"/>
          <w:szCs w:val="26"/>
          <w:lang w:bidi="ar-MA"/>
        </w:rPr>
      </w:pPr>
    </w:p>
    <w:p w:rsidR="000F2BDD" w:rsidRDefault="000F2BDD">
      <w:pPr>
        <w:rPr>
          <w:sz w:val="26"/>
          <w:szCs w:val="26"/>
          <w:lang w:bidi="ar-MA"/>
        </w:rPr>
      </w:pPr>
    </w:p>
    <w:p w:rsidR="000F2BDD" w:rsidRDefault="000F2BDD">
      <w:pPr>
        <w:rPr>
          <w:sz w:val="26"/>
          <w:szCs w:val="26"/>
          <w:lang w:bidi="ar-MA"/>
        </w:rPr>
      </w:pPr>
    </w:p>
    <w:p w:rsidR="000F2BDD" w:rsidRDefault="000F2BDD">
      <w:pPr>
        <w:rPr>
          <w:sz w:val="26"/>
          <w:szCs w:val="26"/>
          <w:lang w:bidi="ar-MA"/>
        </w:rPr>
      </w:pPr>
    </w:p>
    <w:p w:rsidR="000F2BDD" w:rsidRDefault="000F2BDD">
      <w:pPr>
        <w:rPr>
          <w:sz w:val="26"/>
          <w:szCs w:val="26"/>
          <w:lang w:bidi="ar-MA"/>
        </w:rPr>
      </w:pPr>
    </w:p>
    <w:p w:rsidR="000F2BDD" w:rsidRDefault="000F2BDD">
      <w:pPr>
        <w:rPr>
          <w:sz w:val="26"/>
          <w:szCs w:val="26"/>
          <w:lang w:bidi="ar-MA"/>
        </w:rPr>
      </w:pPr>
    </w:p>
    <w:p w:rsidR="000F2BDD" w:rsidRDefault="000F2BDD">
      <w:pPr>
        <w:rPr>
          <w:sz w:val="26"/>
          <w:szCs w:val="26"/>
          <w:lang w:bidi="ar-MA"/>
        </w:rPr>
      </w:pPr>
    </w:p>
    <w:p w:rsidR="000F2BDD" w:rsidRDefault="000F2BDD">
      <w:pPr>
        <w:rPr>
          <w:sz w:val="26"/>
          <w:szCs w:val="26"/>
          <w:lang w:bidi="ar-MA"/>
        </w:rPr>
      </w:pPr>
    </w:p>
    <w:p w:rsidR="000F2BDD" w:rsidRDefault="000F2BDD">
      <w:pPr>
        <w:rPr>
          <w:sz w:val="26"/>
          <w:szCs w:val="26"/>
          <w:lang w:bidi="ar-MA"/>
        </w:rPr>
      </w:pPr>
    </w:p>
    <w:p w:rsidR="000F2BDD" w:rsidRDefault="000F2BDD">
      <w:pPr>
        <w:rPr>
          <w:sz w:val="26"/>
          <w:szCs w:val="26"/>
          <w:lang w:bidi="ar-MA"/>
        </w:rPr>
      </w:pPr>
    </w:p>
    <w:p w:rsidR="000F2BDD" w:rsidRDefault="000F2BDD">
      <w:pPr>
        <w:rPr>
          <w:sz w:val="26"/>
          <w:szCs w:val="26"/>
          <w:lang w:bidi="ar-MA"/>
        </w:rPr>
      </w:pPr>
    </w:p>
    <w:p w:rsidR="000F2BDD" w:rsidRDefault="000F2BDD">
      <w:pPr>
        <w:rPr>
          <w:sz w:val="26"/>
          <w:szCs w:val="26"/>
          <w:lang w:bidi="ar-MA"/>
        </w:rPr>
      </w:pPr>
    </w:p>
    <w:p w:rsidR="00E25ED8" w:rsidRDefault="00E25ED8">
      <w:pPr>
        <w:pStyle w:val="Heading1"/>
        <w:rPr>
          <w:lang w:val="fr-FR"/>
        </w:rPr>
      </w:pPr>
      <w:bookmarkStart w:id="2" w:name="_Toc311886135"/>
    </w:p>
    <w:p w:rsidR="00C92FCE" w:rsidRPr="00C92FCE" w:rsidRDefault="00C92FCE" w:rsidP="00C92FCE"/>
    <w:p w:rsidR="000F2BDD" w:rsidRDefault="000F2BDD">
      <w:pPr>
        <w:pStyle w:val="Heading1"/>
        <w:rPr>
          <w:lang w:val="fr-FR"/>
        </w:rPr>
      </w:pPr>
      <w:r>
        <w:rPr>
          <w:lang w:val="fr-FR"/>
        </w:rPr>
        <w:t>CONTEXTE</w:t>
      </w:r>
      <w:bookmarkEnd w:id="2"/>
    </w:p>
    <w:p w:rsidR="000F2BDD" w:rsidRDefault="000F2BDD">
      <w:pPr>
        <w:jc w:val="both"/>
        <w:rPr>
          <w:sz w:val="26"/>
          <w:szCs w:val="26"/>
          <w:lang w:bidi="ar-MA"/>
        </w:rPr>
      </w:pPr>
    </w:p>
    <w:p w:rsidR="000F2BDD" w:rsidRPr="00EF396B" w:rsidRDefault="000F2BDD" w:rsidP="00EF396B">
      <w:pPr>
        <w:jc w:val="both"/>
      </w:pPr>
      <w:r w:rsidRPr="00EF396B">
        <w:t xml:space="preserve">Depuis le dernier cycle d’examen de la situation des droits civils et politiques au Maroc par le CCPR, des avancées se sont produites dans le pays, notamment en ce qui concerne la ratification d’instruments internationaux de droits </w:t>
      </w:r>
      <w:r w:rsidR="005A363F">
        <w:t>humains</w:t>
      </w:r>
      <w:r w:rsidRPr="00EF396B">
        <w:t xml:space="preserve"> et la promulgation d’un certain nombre de lois qui ont amélioré la protection juridique des droits </w:t>
      </w:r>
      <w:r w:rsidR="005A363F">
        <w:t>humains</w:t>
      </w:r>
      <w:r w:rsidRPr="00EF396B">
        <w:t xml:space="preserve">. Nous remarquons l’adoption en 2011 de la nouvelle Constitution qui a intégré des avancées dans le domaine des droits </w:t>
      </w:r>
      <w:r w:rsidR="005A363F">
        <w:t>humains</w:t>
      </w:r>
      <w:r w:rsidRPr="00EF396B">
        <w:t>, telles que la reconnaissance de la pluralité identitaire du Maroc, l’officialisation de la langue amazigh</w:t>
      </w:r>
      <w:r>
        <w:t>e</w:t>
      </w:r>
      <w:r w:rsidRPr="00EF396B">
        <w:t xml:space="preserve"> et la reconnaissance  d’un certain nombre de droits et libertés, y compris le droit à la vie. Elle a aussi reconnu l'égalité des droits entre les hommes et les femmes, except</w:t>
      </w:r>
      <w:r w:rsidR="00C27989">
        <w:t>é</w:t>
      </w:r>
      <w:r w:rsidRPr="00EF396B">
        <w:t xml:space="preserve"> dans le domaine des droits civils. Par ailleurs le préambule lie la responsabilité à la reddition des comptes, et reconnaît le pouvoir judiciaire contrairement au texte d’auparavant.</w:t>
      </w:r>
    </w:p>
    <w:p w:rsidR="000F2BDD" w:rsidRPr="00EF396B" w:rsidRDefault="000F2BDD" w:rsidP="00EF396B">
      <w:pPr>
        <w:jc w:val="both"/>
      </w:pPr>
    </w:p>
    <w:p w:rsidR="000F2BDD" w:rsidRPr="00EF396B" w:rsidRDefault="000F2BDD" w:rsidP="00EF396B">
      <w:pPr>
        <w:jc w:val="both"/>
      </w:pPr>
      <w:r w:rsidRPr="00EF396B">
        <w:t xml:space="preserve">Néanmoins, ces avancées restent touchées par  un grand nombre des lacunes fondamentales qui les rendent insuffisantes ou non applicables et permettent la persistance des violations des droits et libertés. Parmi les défections flagrantes de ce document, nous soulignons la non reconnaissance de la liberté du culte, la non séparation du pouvoir base d’un État de droit (le roi, chef de l’exécutif en tant que président du conseil des ministres, décide dans les dossiers stratégiques, détient aussi plusieurs autres pouvoirs et prérogatives, dont la présidence du pouvoir judiciaire, le pouvoir sécuritaire, chef suprême de l’armée, la désignation de la moitié des membres du tribunal constitutionnel, entre autres). Par ailleurs,  la </w:t>
      </w:r>
      <w:r w:rsidR="00C67BC8">
        <w:t>C</w:t>
      </w:r>
      <w:r w:rsidRPr="00EF396B">
        <w:t xml:space="preserve">onstitution, bien qu’elle stipule dans son préambule la primauté des conventions internationales ratifiées par le Maroc sur les lois nationales, cette primauté demeure conditionnée par la conformité </w:t>
      </w:r>
      <w:r w:rsidRPr="005253F1">
        <w:t>des conventions ratifiées</w:t>
      </w:r>
      <w:r w:rsidR="00E25ED8">
        <w:t xml:space="preserve"> </w:t>
      </w:r>
      <w:r w:rsidRPr="00EF396B">
        <w:t>avec les spécificités nationale</w:t>
      </w:r>
      <w:r>
        <w:t>s.</w:t>
      </w:r>
    </w:p>
    <w:p w:rsidR="000F2BDD" w:rsidRPr="00EF396B" w:rsidRDefault="000F2BDD" w:rsidP="00EF396B">
      <w:pPr>
        <w:jc w:val="both"/>
      </w:pPr>
    </w:p>
    <w:p w:rsidR="000F2BDD" w:rsidRPr="00EF396B" w:rsidRDefault="000F2BDD" w:rsidP="00EF396B">
      <w:pPr>
        <w:jc w:val="both"/>
      </w:pPr>
      <w:r w:rsidRPr="00EF396B">
        <w:t>Nous remarquons aussi que, malgré le fait que plus de quatre années se so</w:t>
      </w:r>
      <w:r w:rsidR="00C27989">
        <w:t>n</w:t>
      </w:r>
      <w:r w:rsidRPr="00EF396B">
        <w:t xml:space="preserve">t écoulées après la mise en place de la </w:t>
      </w:r>
      <w:r w:rsidR="00C67BC8">
        <w:t>C</w:t>
      </w:r>
      <w:r w:rsidRPr="00EF396B">
        <w:t xml:space="preserve">onstitution le premier juillet 2011, l’État n’a pas encore mis en œuvre plusieurs de ses articles ni adopté toutes les lois organiques qu’elle prévoit dans les </w:t>
      </w:r>
      <w:r w:rsidR="005A363F">
        <w:t>cinq</w:t>
      </w:r>
      <w:r w:rsidRPr="00EF396B">
        <w:t>années suivantes, comme celle relative à la constitutionnalisation de </w:t>
      </w:r>
      <w:r w:rsidR="005A363F">
        <w:t xml:space="preserve">la </w:t>
      </w:r>
      <w:r w:rsidRPr="00EF396B">
        <w:t>langue amazighe. Par ailleurs, en lien avec l’élaboration de</w:t>
      </w:r>
      <w:r w:rsidR="003E406E">
        <w:t>s</w:t>
      </w:r>
      <w:r w:rsidRPr="00EF396B">
        <w:t xml:space="preserve"> nouveaux projets de loi</w:t>
      </w:r>
      <w:r w:rsidR="003E406E">
        <w:t>,</w:t>
      </w:r>
      <w:r w:rsidRPr="00EF396B">
        <w:t xml:space="preserve"> le gouvernement a continué à mener des processus qui ont pratiquement exclu la participation des organisations et </w:t>
      </w:r>
      <w:r w:rsidR="003E406E">
        <w:t xml:space="preserve">des </w:t>
      </w:r>
      <w:r w:rsidRPr="00EF396B">
        <w:t>mouvements de la société civile.</w:t>
      </w:r>
    </w:p>
    <w:p w:rsidR="000F2BDD" w:rsidRPr="00EF396B" w:rsidRDefault="000F2BDD" w:rsidP="00EF396B">
      <w:pPr>
        <w:jc w:val="both"/>
      </w:pPr>
    </w:p>
    <w:p w:rsidR="000F2BDD" w:rsidRPr="003F2A26" w:rsidRDefault="000F2BDD" w:rsidP="00EF396B">
      <w:pPr>
        <w:jc w:val="both"/>
      </w:pPr>
      <w:r w:rsidRPr="003F2A26">
        <w:t>La période entre 2004 et 2015 est marquée par trois changements importants qui ont influencé la politique de l’Etat en matière des droits et libertés : </w:t>
      </w:r>
    </w:p>
    <w:p w:rsidR="000F2BDD" w:rsidRDefault="000F2BDD" w:rsidP="00DD7B68">
      <w:pPr>
        <w:numPr>
          <w:ilvl w:val="0"/>
          <w:numId w:val="35"/>
        </w:numPr>
        <w:tabs>
          <w:tab w:val="left" w:pos="142"/>
        </w:tabs>
        <w:ind w:left="0" w:firstLine="0"/>
        <w:jc w:val="both"/>
        <w:rPr>
          <w:bCs/>
        </w:rPr>
      </w:pPr>
      <w:r>
        <w:t>L</w:t>
      </w:r>
      <w:r w:rsidRPr="003F2A26">
        <w:t>es attenta</w:t>
      </w:r>
      <w:r w:rsidR="003E406E">
        <w:t>t</w:t>
      </w:r>
      <w:r w:rsidRPr="003F2A26">
        <w:t xml:space="preserve">s terroristes de </w:t>
      </w:r>
      <w:r w:rsidRPr="003F2A26">
        <w:rPr>
          <w:bCs/>
        </w:rPr>
        <w:t>2003</w:t>
      </w:r>
      <w:r w:rsidRPr="003F2A26">
        <w:t xml:space="preserve"> et la recrudescence des arrestations arbitraires, de la torture, voire des enlèvements et violations du droit à la vie dans le cadre de la lutte antiterroriste. Ces violations ont été reconnues par une déclaration du Roi à la presse, et sont revenues dans des rapports internationaux, y compris du </w:t>
      </w:r>
      <w:r w:rsidR="003E406E">
        <w:t>C</w:t>
      </w:r>
      <w:r w:rsidRPr="003F2A26">
        <w:t xml:space="preserve">ongrès des États Unis. Le groupe de travail de l’ONU sur la détention arbitraire a émis des demandes de libération de 5 prisonniers dans ce cadre après </w:t>
      </w:r>
      <w:r w:rsidR="003E406E">
        <w:t>l’</w:t>
      </w:r>
      <w:r w:rsidRPr="003F2A26">
        <w:t xml:space="preserve">examen de leurs dossiers et </w:t>
      </w:r>
      <w:r w:rsidR="003E406E">
        <w:t>l’</w:t>
      </w:r>
      <w:r w:rsidRPr="003F2A26">
        <w:t>évaluation des conditions</w:t>
      </w:r>
      <w:r>
        <w:t xml:space="preserve"> de jugements : ce sont Mohamed Hajib, M</w:t>
      </w:r>
      <w:r w:rsidRPr="003F2A26">
        <w:t>ustapha Hasnaoui, Bdessamad Bettar, Ali Arras,  </w:t>
      </w:r>
      <w:r w:rsidRPr="003F2A26">
        <w:rPr>
          <w:bCs/>
        </w:rPr>
        <w:t>et le sahraoui Said D</w:t>
      </w:r>
      <w:r>
        <w:rPr>
          <w:bCs/>
        </w:rPr>
        <w:t>ihani</w:t>
      </w:r>
      <w:r w:rsidRPr="003F2A26">
        <w:rPr>
          <w:bCs/>
        </w:rPr>
        <w:t>.</w:t>
      </w:r>
    </w:p>
    <w:p w:rsidR="000F2BDD" w:rsidRPr="003F2A26" w:rsidRDefault="000F2BDD" w:rsidP="00DD7B68">
      <w:pPr>
        <w:ind w:left="720"/>
        <w:jc w:val="both"/>
      </w:pPr>
    </w:p>
    <w:p w:rsidR="000F2BDD" w:rsidRDefault="000F2BDD" w:rsidP="00411305">
      <w:pPr>
        <w:jc w:val="both"/>
      </w:pPr>
      <w:r w:rsidRPr="00411305">
        <w:t>- La mise en place de l’Instance de l’Equité et Réconciliation (IER)</w:t>
      </w:r>
      <w:r w:rsidR="003E406E">
        <w:t xml:space="preserve">, </w:t>
      </w:r>
      <w:r w:rsidRPr="00411305">
        <w:t xml:space="preserve">commission officielle </w:t>
      </w:r>
      <w:r w:rsidR="003E406E">
        <w:t>axée sur</w:t>
      </w:r>
      <w:r w:rsidRPr="00411305">
        <w:t xml:space="preserve"> les violations graves des années de plomb et qui a sorti plusieurs recommandations très importantes</w:t>
      </w:r>
      <w:r w:rsidR="003E406E">
        <w:t>.L</w:t>
      </w:r>
      <w:r w:rsidRPr="00411305">
        <w:t xml:space="preserve">a plupart et les plus importantes </w:t>
      </w:r>
      <w:r w:rsidR="003E406E">
        <w:t xml:space="preserve">de ces recommandations </w:t>
      </w:r>
      <w:r w:rsidRPr="00411305">
        <w:t>ne sont pas mises en œuvre, telles que l’abolition de la peine de mort, l’adhésion à la CPI, l’instauration de la bonne gouvernance sécuritaire, la mise en place d’une stratégie contre l’impunité, ni même la présentation des excuses de l’Etat, ou encore la réhabilitation collective des régions touchées par la marginalisation suite aux soulèvements politiques qu’elles ont connu</w:t>
      </w:r>
      <w:r w:rsidR="003E406E">
        <w:t>e</w:t>
      </w:r>
      <w:r w:rsidRPr="00411305">
        <w:t xml:space="preserve">. Les ONG de défense des droits de </w:t>
      </w:r>
      <w:r w:rsidR="002E10DF">
        <w:t xml:space="preserve">humains </w:t>
      </w:r>
      <w:r w:rsidRPr="00411305">
        <w:t>demandent encore l’application de ces recommandations sans exception.</w:t>
      </w:r>
    </w:p>
    <w:p w:rsidR="000F2BDD" w:rsidRPr="00411305" w:rsidRDefault="000F2BDD" w:rsidP="00411305">
      <w:pPr>
        <w:jc w:val="both"/>
      </w:pPr>
    </w:p>
    <w:p w:rsidR="000F2BDD" w:rsidRPr="00411305" w:rsidRDefault="000F2BDD" w:rsidP="00411305">
      <w:pPr>
        <w:jc w:val="both"/>
      </w:pPr>
      <w:r w:rsidRPr="00411305">
        <w:t xml:space="preserve">- Les grands mouvements protestataires de 2011 sortis dans les </w:t>
      </w:r>
      <w:r w:rsidRPr="00730A98">
        <w:t xml:space="preserve">grandes villes et dont la répression a causé la mort de jeunes activistes du mouvement du 20 </w:t>
      </w:r>
      <w:r w:rsidR="002E10DF">
        <w:t>F</w:t>
      </w:r>
      <w:r w:rsidRPr="00730A98">
        <w:t>évrier qui a appelé aux manifestations (dont, entre autres, Karim Chaib à Sefrou, de Kamal Ammari à Safi) en toute impunité. Ces mouvements ont revendiqué des changements politiques, économiques et sociaux. Les voix des couches diverses se sont élevé</w:t>
      </w:r>
      <w:r w:rsidR="002E10DF">
        <w:t>e</w:t>
      </w:r>
      <w:r w:rsidRPr="00730A98">
        <w:t xml:space="preserve">s pour revendiquer un niveau de vie suffisant qui garantisse la dignité humaine. Mais, aussi bien avant qu’après les révolutions au Moyen Orient et </w:t>
      </w:r>
      <w:r w:rsidR="002E10DF">
        <w:t xml:space="preserve">au </w:t>
      </w:r>
      <w:r w:rsidRPr="00730A98">
        <w:t>Nord de l’Afrique, le Maroc a connu des mouvements sociaux de protestation: à Imider (région minière du sud), à Bouarfa (</w:t>
      </w:r>
      <w:r w:rsidR="002E10DF">
        <w:t>ville d</w:t>
      </w:r>
      <w:r w:rsidRPr="00730A98">
        <w:t xml:space="preserve">u sud qui a connu des protestations entre 2005 et 2012), </w:t>
      </w:r>
      <w:r w:rsidR="002E10DF">
        <w:t xml:space="preserve">à </w:t>
      </w:r>
      <w:r w:rsidRPr="00730A98">
        <w:t xml:space="preserve">Sidi Ifni </w:t>
      </w:r>
      <w:r w:rsidR="002E10DF">
        <w:t>(</w:t>
      </w:r>
      <w:r w:rsidRPr="00730A98">
        <w:t>o</w:t>
      </w:r>
      <w:r w:rsidR="00C27989">
        <w:t>ù</w:t>
      </w:r>
      <w:r w:rsidR="002E10DF">
        <w:t xml:space="preserve">, </w:t>
      </w:r>
      <w:r w:rsidR="002E10DF" w:rsidRPr="00730A98">
        <w:t>en 2008</w:t>
      </w:r>
      <w:r w:rsidR="002E10DF">
        <w:t>,</w:t>
      </w:r>
      <w:r w:rsidRPr="00730A98">
        <w:t xml:space="preserve"> les forces de l’ordre ont commis des violences énormes soulevés dans les rapports d’enquêtes des ONG indépendantes), à Laa</w:t>
      </w:r>
      <w:r>
        <w:t>youne (</w:t>
      </w:r>
      <w:r w:rsidR="002E10DF">
        <w:t xml:space="preserve">ou, en 2005, </w:t>
      </w:r>
      <w:r>
        <w:t>a connu la mort de M</w:t>
      </w:r>
      <w:r w:rsidRPr="00730A98">
        <w:t>hamed Lambarkiet</w:t>
      </w:r>
      <w:r w:rsidR="002E10DF">
        <w:t xml:space="preserve">, pendantl’année </w:t>
      </w:r>
      <w:r w:rsidRPr="00730A98">
        <w:t xml:space="preserve">2010 </w:t>
      </w:r>
      <w:r w:rsidRPr="00411305">
        <w:t>a connu les évènements de Gdim Izik), à Taza</w:t>
      </w:r>
      <w:r w:rsidR="002E10DF">
        <w:t xml:space="preserve"> (2012)</w:t>
      </w:r>
      <w:r w:rsidRPr="00411305">
        <w:t>,  à Assa (</w:t>
      </w:r>
      <w:r w:rsidR="002E10DF">
        <w:t>ou, en 2013,</w:t>
      </w:r>
      <w:r w:rsidRPr="00411305">
        <w:t xml:space="preserve"> a connu la mort de Rachid Chine)</w:t>
      </w:r>
      <w:r>
        <w:t xml:space="preserve"> et à Azilal</w:t>
      </w:r>
      <w:r w:rsidRPr="00411305">
        <w:t xml:space="preserve">,  </w:t>
      </w:r>
      <w:r>
        <w:t xml:space="preserve">ainsi qu’à plusieurs autres régions du pays </w:t>
      </w:r>
      <w:r w:rsidRPr="00411305">
        <w:t xml:space="preserve">et </w:t>
      </w:r>
      <w:r>
        <w:t xml:space="preserve">qui </w:t>
      </w:r>
      <w:r w:rsidRPr="00411305">
        <w:t xml:space="preserve">ont très souvent réprimées avec une force disproportionnée par les forces de sécurité. </w:t>
      </w:r>
      <w:r>
        <w:t>L</w:t>
      </w:r>
      <w:r w:rsidRPr="00411305">
        <w:t>es mouvements des diplômés chômeurs revendiquant leur intégration dans le monde du travail</w:t>
      </w:r>
      <w:r>
        <w:t xml:space="preserve"> ont également été brutalisés et leurs activistes poursuivis et emprisonnés</w:t>
      </w:r>
      <w:r w:rsidRPr="00411305">
        <w:t xml:space="preserve">. C’est ainsi que la période concernée </w:t>
      </w:r>
      <w:r>
        <w:t xml:space="preserve">par ce rapport </w:t>
      </w:r>
      <w:r w:rsidRPr="00411305">
        <w:t xml:space="preserve">a connu une </w:t>
      </w:r>
      <w:r>
        <w:t>multiplication</w:t>
      </w:r>
      <w:r w:rsidRPr="00411305">
        <w:t xml:space="preserve"> des protestations revendicatives et l’accroissement de la tension populaire, </w:t>
      </w:r>
      <w:r>
        <w:t xml:space="preserve">accompagnés par le recours de </w:t>
      </w:r>
      <w:r w:rsidRPr="00411305">
        <w:t>l’État aux mêmes pratiques de contrôle sécuritaire</w:t>
      </w:r>
      <w:r w:rsidR="002E10DF">
        <w:t xml:space="preserve"> qu’auparavant</w:t>
      </w:r>
      <w:r w:rsidRPr="00411305">
        <w:t xml:space="preserve">, comme les arrestations </w:t>
      </w:r>
      <w:r>
        <w:t xml:space="preserve">arbitraires, la torture et les mauvais traitements envers les </w:t>
      </w:r>
      <w:r w:rsidRPr="00411305">
        <w:t>citoyens</w:t>
      </w:r>
      <w:r>
        <w:t>/citoyennes</w:t>
      </w:r>
      <w:r w:rsidRPr="00411305">
        <w:t xml:space="preserve"> et les procès inéquitables.</w:t>
      </w:r>
    </w:p>
    <w:p w:rsidR="000F2BDD" w:rsidRPr="00411305" w:rsidRDefault="000F2BDD" w:rsidP="00411305">
      <w:pPr>
        <w:jc w:val="both"/>
      </w:pPr>
    </w:p>
    <w:p w:rsidR="000F2BDD" w:rsidRDefault="000F2BDD" w:rsidP="00EF396B">
      <w:pPr>
        <w:jc w:val="both"/>
      </w:pPr>
      <w:r w:rsidRPr="00411305">
        <w:t xml:space="preserve">Les derniers mois, </w:t>
      </w:r>
      <w:r>
        <w:t xml:space="preserve">depuis Juillet 2014, déclenchées par un discours du </w:t>
      </w:r>
      <w:r w:rsidR="002E10DF">
        <w:t>M</w:t>
      </w:r>
      <w:r>
        <w:t xml:space="preserve">inistre de </w:t>
      </w:r>
      <w:r w:rsidR="002E10DF">
        <w:t>l’Intérieur</w:t>
      </w:r>
      <w:r>
        <w:t xml:space="preserve"> au </w:t>
      </w:r>
      <w:r w:rsidR="002E10DF">
        <w:t>P</w:t>
      </w:r>
      <w:r>
        <w:t xml:space="preserve">arlement accusant les ONG des droits </w:t>
      </w:r>
      <w:r w:rsidR="002E10DF">
        <w:t>humains</w:t>
      </w:r>
      <w:r>
        <w:t xml:space="preserve"> de servir un agenda étranger, d</w:t>
      </w:r>
      <w:r w:rsidRPr="00411305">
        <w:t xml:space="preserve">es pratiques d’intimidation et de répression </w:t>
      </w:r>
      <w:r>
        <w:t>de ces ONG</w:t>
      </w:r>
      <w:r w:rsidRPr="00411305">
        <w:t xml:space="preserve"> se sont accrues</w:t>
      </w:r>
      <w:r w:rsidR="002E10DF">
        <w:t>. M</w:t>
      </w:r>
      <w:r w:rsidRPr="00411305">
        <w:t>ême certaines grandes associations internationales des droits humains n’ont pas été épargnées par les exactions commises par l’État</w:t>
      </w:r>
      <w:r>
        <w:t xml:space="preserve"> (expulsion de deux enquêteurs de Amnesty International, de la représentante de l’Institut </w:t>
      </w:r>
      <w:r w:rsidR="002E10DF">
        <w:t xml:space="preserve">Intrenational pour </w:t>
      </w:r>
      <w:r>
        <w:t>l’</w:t>
      </w:r>
      <w:r w:rsidR="002E10DF">
        <w:t>A</w:t>
      </w:r>
      <w:r>
        <w:t xml:space="preserve">ction </w:t>
      </w:r>
      <w:r w:rsidR="002E10DF">
        <w:t>N</w:t>
      </w:r>
      <w:r>
        <w:t>onviolente de Barcelone</w:t>
      </w:r>
      <w:r w:rsidRPr="00411305">
        <w:t xml:space="preserve">, </w:t>
      </w:r>
      <w:r>
        <w:t>du responsable MENA de Human Rights Wa</w:t>
      </w:r>
      <w:r w:rsidR="002E10DF">
        <w:t>t</w:t>
      </w:r>
      <w:r>
        <w:t>ch…)</w:t>
      </w:r>
      <w:r w:rsidRPr="00411305">
        <w:t xml:space="preserve"> ce qu’il faut ajouter </w:t>
      </w:r>
      <w:r w:rsidR="00C27989">
        <w:t xml:space="preserve">à </w:t>
      </w:r>
      <w:r w:rsidRPr="00411305">
        <w:t xml:space="preserve">la recrudescence des campagnes de dénigrement </w:t>
      </w:r>
      <w:r w:rsidRPr="00730A98">
        <w:t xml:space="preserve">contre les instances de droits humains par des médias affidés au pouvoir. Le harcèlement politique et juridique des organisations de droits humains et de </w:t>
      </w:r>
      <w:r w:rsidR="00C27989">
        <w:t xml:space="preserve">leurs </w:t>
      </w:r>
      <w:r w:rsidRPr="00730A98">
        <w:t xml:space="preserve">membres s’est fait </w:t>
      </w:r>
      <w:r w:rsidR="002E10DF">
        <w:t xml:space="preserve">de manière directe, </w:t>
      </w:r>
      <w:r w:rsidRPr="00730A98">
        <w:t>à travers l’arrestation arbitraire et l’emprisonnement d’activistes, l’interdiction d’activités de la société civile ou, de manière indirecte, à travers de</w:t>
      </w:r>
      <w:r w:rsidR="00C27989">
        <w:t>s</w:t>
      </w:r>
      <w:r w:rsidRPr="00730A98">
        <w:t xml:space="preserve"> poursuites et des procès montés en toutes pièces. Une centaine de réunions publiques ont été interdites arbitrairement </w:t>
      </w:r>
      <w:r>
        <w:t xml:space="preserve">depuis cette date, </w:t>
      </w:r>
      <w:r w:rsidRPr="00730A98">
        <w:t xml:space="preserve">et </w:t>
      </w:r>
      <w:r>
        <w:t>des dizaines de</w:t>
      </w:r>
      <w:r w:rsidRPr="00730A98">
        <w:t xml:space="preserve"> cas de refus arbitraires </w:t>
      </w:r>
      <w:r>
        <w:t>d’enregistrer des associations ont</w:t>
      </w:r>
      <w:r w:rsidRPr="00730A98">
        <w:t xml:space="preserve"> été recensé</w:t>
      </w:r>
      <w:r>
        <w:t>s</w:t>
      </w:r>
      <w:r w:rsidRPr="00730A98">
        <w:t>.</w:t>
      </w:r>
    </w:p>
    <w:p w:rsidR="000F2BDD" w:rsidRPr="00411305" w:rsidRDefault="000F2BDD" w:rsidP="00EF396B">
      <w:pPr>
        <w:jc w:val="both"/>
      </w:pPr>
    </w:p>
    <w:p w:rsidR="000F2BDD" w:rsidRPr="00A20CE2" w:rsidRDefault="000F2BDD" w:rsidP="00EF396B">
      <w:pPr>
        <w:jc w:val="both"/>
      </w:pPr>
      <w:r w:rsidRPr="00A20CE2">
        <w:t xml:space="preserve">Des atteintes contre la liberté d’expression et de la presse se sont également produites de manière récurrente, visant non seulement des journalistes, des médias écrits et en ligne, mais aussi des artistes </w:t>
      </w:r>
      <w:r w:rsidRPr="00730A98">
        <w:t>qui ont traité des sujets qui demeurent des tabous et des lignes rouges limitant les libertés, ce qui explique le classement du Maroc par RSF et autres ONG spécialisé</w:t>
      </w:r>
      <w:r w:rsidR="002E10DF">
        <w:t>es</w:t>
      </w:r>
      <w:r w:rsidRPr="00730A98">
        <w:t xml:space="preserve"> dans les libertés de presse et d’expression</w:t>
      </w:r>
      <w:r w:rsidR="002E10DF">
        <w:t>,</w:t>
      </w:r>
      <w:r w:rsidRPr="00730A98">
        <w:t xml:space="preserve"> qui ne s’est pas amélioré</w:t>
      </w:r>
      <w:r w:rsidR="002E10DF">
        <w:t xml:space="preserve"> pendant cette période</w:t>
      </w:r>
      <w:r w:rsidRPr="00730A98">
        <w:t>.</w:t>
      </w:r>
    </w:p>
    <w:p w:rsidR="000F2BDD" w:rsidRPr="00EF396B" w:rsidRDefault="000F2BDD" w:rsidP="00EF396B">
      <w:pPr>
        <w:jc w:val="both"/>
      </w:pPr>
      <w:r w:rsidRPr="00EF396B">
        <w:t> </w:t>
      </w:r>
    </w:p>
    <w:p w:rsidR="000F2BDD" w:rsidRPr="00A20CE2" w:rsidRDefault="000F2BDD" w:rsidP="00EF396B">
      <w:pPr>
        <w:jc w:val="both"/>
      </w:pPr>
      <w:r w:rsidRPr="00A20CE2">
        <w:t>De même, malgré les fréquentes déclarations des différents responsables de l’Eta</w:t>
      </w:r>
      <w:r>
        <w:t>t</w:t>
      </w:r>
      <w:r w:rsidRPr="00A20CE2">
        <w:t xml:space="preserve"> niant la pratique de la torture et les représailles contre ceux qui en font état, les fréquents témoignages de plusieurs victimes ainsi que les rapports des organisations internationales et nationales et des mécanismes internationaux et régionaux continuent à indiquer que les actes de torture et les mauvais traitement</w:t>
      </w:r>
      <w:r w:rsidR="001B7520">
        <w:t>s</w:t>
      </w:r>
      <w:r w:rsidRPr="00A20CE2">
        <w:t xml:space="preserve"> commis par les forces de l’ordre persistent, voir</w:t>
      </w:r>
      <w:r w:rsidR="000D3FA3">
        <w:t>e</w:t>
      </w:r>
      <w:r w:rsidRPr="00A20CE2">
        <w:t xml:space="preserve"> se sont multipliés, allant jusqu’à l’atteinte au droit à la vie en toute impunité, </w:t>
      </w:r>
      <w:r>
        <w:t xml:space="preserve">(Rapport du </w:t>
      </w:r>
      <w:r w:rsidR="001B7520">
        <w:t>R</w:t>
      </w:r>
      <w:r>
        <w:t xml:space="preserve">apporteur </w:t>
      </w:r>
      <w:r w:rsidR="001B7520">
        <w:t>S</w:t>
      </w:r>
      <w:r>
        <w:t xml:space="preserve">pécial de l’ONU sur la torture en 2012, l’ancienne </w:t>
      </w:r>
      <w:r w:rsidR="001B7520">
        <w:t>H</w:t>
      </w:r>
      <w:r>
        <w:t xml:space="preserve">aut </w:t>
      </w:r>
      <w:r w:rsidR="001B7520">
        <w:t>C</w:t>
      </w:r>
      <w:r>
        <w:t xml:space="preserve">ommissaires des Droits de l’Homme en visite au Maroc en 2014,…). </w:t>
      </w:r>
    </w:p>
    <w:p w:rsidR="000F2BDD" w:rsidRDefault="000F2BDD" w:rsidP="0024317B">
      <w:pPr>
        <w:rPr>
          <w:i/>
          <w:iCs/>
        </w:rPr>
      </w:pPr>
    </w:p>
    <w:p w:rsidR="000F2BDD" w:rsidRPr="00F25A6A" w:rsidRDefault="000F2BDD" w:rsidP="00F25A6A">
      <w:pPr>
        <w:jc w:val="both"/>
        <w:rPr>
          <w:i/>
        </w:rPr>
      </w:pPr>
      <w:r w:rsidRPr="00650786">
        <w:rPr>
          <w:i/>
          <w:iCs/>
        </w:rPr>
        <w:t>« Chaque fois qu'il est question de sécurité nationale, il y a une tendance à</w:t>
      </w:r>
      <w:r w:rsidRPr="00F25A6A">
        <w:rPr>
          <w:i/>
        </w:rPr>
        <w:t> </w:t>
      </w:r>
      <w:hyperlink r:id="rId26" w:tgtFrame="_blank" w:tooltip="Conjugaison du verbe utiliser" w:history="1">
        <w:r w:rsidRPr="00F25A6A">
          <w:rPr>
            <w:i/>
          </w:rPr>
          <w:t>utiliser</w:t>
        </w:r>
      </w:hyperlink>
      <w:r w:rsidRPr="00F25A6A">
        <w:rPr>
          <w:i/>
        </w:rPr>
        <w:t> </w:t>
      </w:r>
      <w:r w:rsidRPr="00650786">
        <w:rPr>
          <w:i/>
          <w:iCs/>
        </w:rPr>
        <w:t>la torture dans les interrogatoires. Il est difficile de</w:t>
      </w:r>
      <w:r w:rsidRPr="00F25A6A">
        <w:rPr>
          <w:i/>
        </w:rPr>
        <w:t> </w:t>
      </w:r>
      <w:hyperlink r:id="rId27" w:tgtFrame="_blank" w:tooltip="Conjugaison du verbe dire" w:history="1">
        <w:r w:rsidRPr="00F25A6A">
          <w:rPr>
            <w:i/>
          </w:rPr>
          <w:t>dire</w:t>
        </w:r>
      </w:hyperlink>
      <w:r w:rsidRPr="00F25A6A">
        <w:rPr>
          <w:i/>
        </w:rPr>
        <w:t> </w:t>
      </w:r>
      <w:r w:rsidRPr="00650786">
        <w:rPr>
          <w:i/>
          <w:iCs/>
        </w:rPr>
        <w:t>si c'est très répandu ou si c'est systématique, mais cela arrive assez souvent pour que le gouvernement marocain ne puisse l'ignorer »</w:t>
      </w:r>
      <w:r w:rsidRPr="00F25A6A">
        <w:rPr>
          <w:rStyle w:val="FootnoteReference"/>
          <w:i/>
        </w:rPr>
        <w:footnoteReference w:customMarkFollows="1" w:id="2"/>
        <w:t>1</w:t>
      </w:r>
    </w:p>
    <w:p w:rsidR="000F2BDD" w:rsidRPr="00EF396B" w:rsidRDefault="000F2BDD" w:rsidP="00EF396B">
      <w:pPr>
        <w:jc w:val="both"/>
      </w:pPr>
    </w:p>
    <w:p w:rsidR="000F2BDD" w:rsidRDefault="000F2BDD" w:rsidP="00EF396B">
      <w:pPr>
        <w:jc w:val="both"/>
      </w:pPr>
      <w:r w:rsidRPr="00A20CE2">
        <w:t>La torture</w:t>
      </w:r>
      <w:r>
        <w:t>,</w:t>
      </w:r>
      <w:r w:rsidRPr="00A20CE2">
        <w:t xml:space="preserve"> ainsi que d’autres violations des normes universelles</w:t>
      </w:r>
      <w:r>
        <w:t xml:space="preserve"> dedétention sont des pratiques </w:t>
      </w:r>
      <w:r w:rsidRPr="00A20CE2">
        <w:t>fréquente</w:t>
      </w:r>
      <w:r>
        <w:t>s</w:t>
      </w:r>
      <w:r w:rsidRPr="00A20CE2">
        <w:t xml:space="preserve"> aussi à l’intérieur des prisons. Le Conseil National des Droits </w:t>
      </w:r>
      <w:r w:rsidR="000D3FA3">
        <w:t xml:space="preserve">de l’Homme </w:t>
      </w:r>
      <w:r w:rsidRPr="00A20CE2">
        <w:t>(CNDH)</w:t>
      </w:r>
      <w:r>
        <w:t xml:space="preserve"> l’a relevé</w:t>
      </w:r>
      <w:r w:rsidRPr="00A20CE2">
        <w:t xml:space="preserve"> dans son rapport sur les lieux de détention au Maroc publié en 2012. Les prisons connaissent également une surpopulation qui génère beaucoup de violations de droits des prisonniers et atteinte à leur dignité humaine. A noter que selon les chiffres officiels presque la moitié des prisonniers sont des prévenus en détention provisoire.</w:t>
      </w:r>
    </w:p>
    <w:p w:rsidR="000F2BDD" w:rsidRDefault="000F2BDD" w:rsidP="00EF396B">
      <w:pPr>
        <w:jc w:val="both"/>
      </w:pPr>
    </w:p>
    <w:p w:rsidR="000F2BDD" w:rsidRPr="00A20CE2" w:rsidRDefault="000F2BDD" w:rsidP="00647996">
      <w:pPr>
        <w:jc w:val="both"/>
      </w:pPr>
      <w:r>
        <w:t xml:space="preserve">Le changement de cette </w:t>
      </w:r>
      <w:r w:rsidRPr="00A20CE2">
        <w:t>situation</w:t>
      </w:r>
      <w:r>
        <w:t xml:space="preserve"> en vue de promouvoir les droits et libertés contenus dans le PIDCP </w:t>
      </w:r>
      <w:r w:rsidRPr="00A20CE2">
        <w:t>nécessite</w:t>
      </w:r>
      <w:r>
        <w:t>, entre autres :la</w:t>
      </w:r>
      <w:r w:rsidRPr="00A20CE2">
        <w:t xml:space="preserve"> rupture avec l’impunité,une profonde révision </w:t>
      </w:r>
      <w:r>
        <w:t xml:space="preserve">du code pénal et </w:t>
      </w:r>
      <w:r w:rsidR="00650786">
        <w:t xml:space="preserve">des </w:t>
      </w:r>
      <w:r>
        <w:t>autres législations en vue de leur harmonisation avec le PIDCP</w:t>
      </w:r>
      <w:r w:rsidRPr="00A20CE2">
        <w:t xml:space="preserve">, </w:t>
      </w:r>
      <w:r>
        <w:t>la mise en place de mesures efficaces pour garantir l’égalité de genre et l’arrêt de toutes formes de discrimination</w:t>
      </w:r>
      <w:r w:rsidR="00650786">
        <w:t xml:space="preserve"> à l’égard des femmes</w:t>
      </w:r>
      <w:r>
        <w:t>,</w:t>
      </w:r>
      <w:r w:rsidRPr="00A20CE2">
        <w:t xml:space="preserve"> une réforme </w:t>
      </w:r>
      <w:r>
        <w:t>réelle</w:t>
      </w:r>
      <w:r w:rsidRPr="00A20CE2">
        <w:t xml:space="preserve"> de la justice afin de garantir son indépendance, sa compétence et son impartialité</w:t>
      </w:r>
      <w:r>
        <w:t xml:space="preserve"> et l’exécution de ses décisions,ainsi que la supervisiondes lieux de détention et</w:t>
      </w:r>
      <w:r w:rsidRPr="00A20CE2">
        <w:t xml:space="preserve"> l’instauration d’un mécanisme national indépendant de prévention contre la torture.</w:t>
      </w:r>
    </w:p>
    <w:p w:rsidR="000F2BDD" w:rsidRDefault="000F2BDD" w:rsidP="00EF396B">
      <w:pPr>
        <w:jc w:val="both"/>
      </w:pPr>
    </w:p>
    <w:p w:rsidR="000F2BDD" w:rsidRDefault="000F2BDD" w:rsidP="00EF396B">
      <w:pPr>
        <w:jc w:val="both"/>
      </w:pPr>
    </w:p>
    <w:p w:rsidR="000F2BDD" w:rsidRDefault="000F2BDD" w:rsidP="00EF396B">
      <w:pPr>
        <w:jc w:val="both"/>
      </w:pPr>
    </w:p>
    <w:p w:rsidR="000F2BDD" w:rsidRDefault="000F2BDD" w:rsidP="00EF396B">
      <w:pPr>
        <w:jc w:val="both"/>
      </w:pPr>
    </w:p>
    <w:p w:rsidR="000F2BDD" w:rsidRDefault="000F2BDD" w:rsidP="00EF396B">
      <w:pPr>
        <w:jc w:val="both"/>
      </w:pPr>
    </w:p>
    <w:p w:rsidR="000F2BDD" w:rsidRDefault="000F2BDD" w:rsidP="00EF396B">
      <w:pPr>
        <w:jc w:val="both"/>
      </w:pPr>
    </w:p>
    <w:p w:rsidR="000F2BDD" w:rsidRDefault="000F2BDD" w:rsidP="00EF396B">
      <w:pPr>
        <w:jc w:val="both"/>
      </w:pPr>
    </w:p>
    <w:p w:rsidR="000F2BDD" w:rsidRDefault="000F2BDD" w:rsidP="00EF396B">
      <w:pPr>
        <w:jc w:val="both"/>
      </w:pPr>
    </w:p>
    <w:p w:rsidR="000F2BDD" w:rsidRDefault="000F2BDD" w:rsidP="00EF396B">
      <w:pPr>
        <w:jc w:val="both"/>
      </w:pPr>
    </w:p>
    <w:p w:rsidR="000F2BDD" w:rsidRDefault="000F2BDD" w:rsidP="00EF396B">
      <w:pPr>
        <w:jc w:val="both"/>
      </w:pPr>
    </w:p>
    <w:p w:rsidR="000F2BDD" w:rsidRDefault="000F2BDD" w:rsidP="00EF396B">
      <w:pPr>
        <w:jc w:val="both"/>
      </w:pPr>
    </w:p>
    <w:p w:rsidR="000F2BDD" w:rsidRDefault="000F2BDD" w:rsidP="00EF396B">
      <w:pPr>
        <w:jc w:val="both"/>
      </w:pPr>
    </w:p>
    <w:p w:rsidR="000F2BDD" w:rsidRDefault="000F2BDD" w:rsidP="00EF396B">
      <w:pPr>
        <w:jc w:val="both"/>
      </w:pPr>
    </w:p>
    <w:p w:rsidR="000F2BDD" w:rsidRDefault="000F2BDD" w:rsidP="00EF396B">
      <w:pPr>
        <w:jc w:val="both"/>
      </w:pPr>
    </w:p>
    <w:p w:rsidR="000F2BDD" w:rsidRDefault="000F2BDD" w:rsidP="00EF396B">
      <w:pPr>
        <w:jc w:val="both"/>
      </w:pPr>
    </w:p>
    <w:p w:rsidR="000F2BDD" w:rsidRDefault="000F2BDD"/>
    <w:p w:rsidR="000F2BDD" w:rsidRDefault="000F2BDD">
      <w:pPr>
        <w:pStyle w:val="Heading1"/>
        <w:rPr>
          <w:lang w:val="fr-FR"/>
        </w:rPr>
      </w:pPr>
      <w:bookmarkStart w:id="3" w:name="_Toc311886136"/>
      <w:r>
        <w:rPr>
          <w:lang w:val="fr-FR"/>
        </w:rPr>
        <w:t>ANALYSE ARTICLE PAR ARTICLE</w:t>
      </w:r>
      <w:bookmarkEnd w:id="3"/>
    </w:p>
    <w:p w:rsidR="000F2BDD" w:rsidRDefault="000F2BDD">
      <w:pPr>
        <w:jc w:val="both"/>
      </w:pPr>
    </w:p>
    <w:p w:rsidR="000F2BDD" w:rsidRDefault="000F2BDD">
      <w:pPr>
        <w:pStyle w:val="Heading2"/>
        <w:spacing w:after="0"/>
      </w:pPr>
      <w:bookmarkStart w:id="4" w:name="_Toc311886137"/>
      <w:r>
        <w:t>ARTICLE 2.- Mise en œuvre du Pacte dans le cadre national</w:t>
      </w:r>
      <w:bookmarkEnd w:id="4"/>
    </w:p>
    <w:p w:rsidR="000F2BDD" w:rsidRDefault="000F2BDD">
      <w:pPr>
        <w:jc w:val="both"/>
      </w:pPr>
    </w:p>
    <w:p w:rsidR="000F2BDD" w:rsidRDefault="000F2BDD">
      <w:pPr>
        <w:jc w:val="both"/>
      </w:pPr>
      <w:r>
        <w:t>Malgré les informations que le Maroc apporte dans les paragraphes 52 à 74 de son rapport, nous considérons qu’il manque des développements vu que, tel que l’établit le paragraphe 7 de l’Observation Générale (OG) n. 31</w:t>
      </w:r>
      <w:r>
        <w:rPr>
          <w:rStyle w:val="FootnoteReference"/>
        </w:rPr>
        <w:footnoteReference w:id="3"/>
      </w:r>
      <w:r>
        <w:t xml:space="preserve">, conformément à l’article 2 « les États parties doivent prendre des mesures d’ordre législatif, judiciaire, administratif, éducatif et autres appropriées pour s’acquitter de leurs obligations juridiques ». L’État n’a </w:t>
      </w:r>
      <w:r w:rsidR="007179EE">
        <w:t xml:space="preserve">pas </w:t>
      </w:r>
      <w:r>
        <w:t xml:space="preserve">apporté des informations que sur certaines mesures formelles introduites sans faire mention de la nécessité d’implémenter aussi des mesures pour éviter les inaccomplissements du Pacte créés par des personnes privées, physiques et morales, étant donné que cela impose aussi une responsabilité de l’État en cas d’omission de son devoir en tant que garant. Cette information est obligatoire vu que, comme le signale la même OG n.31, paragraphe 8, l’information fournie par l’État est incomplète dans la mesure où aucune référence n’est faite dans le rapport aux responsabilités par omission. </w:t>
      </w:r>
    </w:p>
    <w:p w:rsidR="000F2BDD" w:rsidRDefault="000F2BDD">
      <w:pPr>
        <w:pStyle w:val="BodyText"/>
        <w:rPr>
          <w:szCs w:val="24"/>
        </w:rPr>
      </w:pPr>
    </w:p>
    <w:p w:rsidR="000F2BDD" w:rsidRDefault="000F2BDD">
      <w:pPr>
        <w:pStyle w:val="BodyText"/>
        <w:rPr>
          <w:szCs w:val="24"/>
        </w:rPr>
      </w:pPr>
      <w:r>
        <w:rPr>
          <w:szCs w:val="24"/>
        </w:rPr>
        <w:t xml:space="preserve">Bien que nous notions que certains progrès ont été réalisés dans la mise en œuvre du Pacte, nous enregistrons des limites et des lacunes importantes : </w:t>
      </w:r>
    </w:p>
    <w:p w:rsidR="000F2BDD" w:rsidRDefault="000F2BDD">
      <w:pPr>
        <w:pStyle w:val="BodyText"/>
        <w:rPr>
          <w:szCs w:val="24"/>
        </w:rPr>
      </w:pPr>
    </w:p>
    <w:p w:rsidR="000F2BDD" w:rsidRDefault="000F2BDD">
      <w:pPr>
        <w:numPr>
          <w:ilvl w:val="0"/>
          <w:numId w:val="1"/>
        </w:numPr>
        <w:tabs>
          <w:tab w:val="clear" w:pos="720"/>
          <w:tab w:val="num" w:pos="180"/>
          <w:tab w:val="left" w:pos="360"/>
        </w:tabs>
        <w:ind w:left="0" w:firstLine="0"/>
        <w:jc w:val="both"/>
      </w:pPr>
      <w:r>
        <w:t>Le retard dans l’harmonisation du cadre législatif. Tout au long du rapport de l’État, des références sont faites à des projets de lois pour aligner la législation au Pacte, mais cela n’est pas une garantie suffisante, étant donné que l’entrée en vigueur desdites lois n’est pas assurée</w:t>
      </w:r>
      <w:r w:rsidR="00C27989">
        <w:t>. L</w:t>
      </w:r>
      <w:r>
        <w:t xml:space="preserve">’État a eu 7 ans pour promulguer ces lois ; d’autant plus que la référence à ces projets démontre en </w:t>
      </w:r>
      <w:r w:rsidR="000D3FA3">
        <w:t>elle</w:t>
      </w:r>
      <w:r>
        <w:t xml:space="preserve"> même une reconnaissance implicite de la non-conformité de la législation marocaine actuellement en vigueur avec le PIDCP. </w:t>
      </w:r>
    </w:p>
    <w:p w:rsidR="000F2BDD" w:rsidRDefault="000F2BDD">
      <w:pPr>
        <w:numPr>
          <w:ilvl w:val="0"/>
          <w:numId w:val="1"/>
        </w:numPr>
        <w:tabs>
          <w:tab w:val="clear" w:pos="720"/>
          <w:tab w:val="num" w:pos="180"/>
          <w:tab w:val="left" w:pos="360"/>
        </w:tabs>
        <w:ind w:left="0" w:firstLine="0"/>
        <w:jc w:val="both"/>
      </w:pPr>
      <w:r>
        <w:t>La non ratification du Statut de Rome relatif à la Cour Pénale Internationale.</w:t>
      </w:r>
    </w:p>
    <w:p w:rsidR="000F2BDD" w:rsidRDefault="000F2BDD">
      <w:pPr>
        <w:numPr>
          <w:ilvl w:val="0"/>
          <w:numId w:val="1"/>
        </w:numPr>
        <w:tabs>
          <w:tab w:val="clear" w:pos="720"/>
          <w:tab w:val="num" w:pos="180"/>
          <w:tab w:val="left" w:pos="360"/>
        </w:tabs>
        <w:ind w:left="0" w:firstLine="0"/>
        <w:jc w:val="both"/>
      </w:pPr>
      <w:r>
        <w:t>La non ratification du second protocole facultatif se rapportant au PIDCP concernant l’abolition de la peine de mort.</w:t>
      </w:r>
    </w:p>
    <w:p w:rsidR="000F2BDD" w:rsidRDefault="000F2BDD" w:rsidP="00DD5BFA">
      <w:pPr>
        <w:numPr>
          <w:ilvl w:val="0"/>
          <w:numId w:val="1"/>
        </w:numPr>
        <w:tabs>
          <w:tab w:val="clear" w:pos="720"/>
          <w:tab w:val="num" w:pos="180"/>
          <w:tab w:val="left" w:pos="360"/>
        </w:tabs>
        <w:ind w:left="0" w:firstLine="0"/>
        <w:jc w:val="both"/>
      </w:pPr>
      <w:r>
        <w:t>Le gel d’un projet de loi pour approuver le premier protocole facultatif se rapportant au PIDCP, et les deuxième et troisième protocoles se rapportant à la CDE.</w:t>
      </w:r>
    </w:p>
    <w:p w:rsidR="000F2BDD" w:rsidRDefault="000F2BDD" w:rsidP="00CF47B8">
      <w:pPr>
        <w:numPr>
          <w:ilvl w:val="0"/>
          <w:numId w:val="1"/>
        </w:numPr>
        <w:tabs>
          <w:tab w:val="clear" w:pos="720"/>
          <w:tab w:val="num" w:pos="180"/>
          <w:tab w:val="left" w:pos="360"/>
        </w:tabs>
        <w:ind w:left="0" w:firstLine="0"/>
      </w:pPr>
      <w:r>
        <w:t xml:space="preserve">Le refus de ratification du protocole facultatif se rapportant au PIDESC </w:t>
      </w:r>
    </w:p>
    <w:p w:rsidR="000F2BDD" w:rsidRDefault="000F2BDD" w:rsidP="00CF47B8">
      <w:pPr>
        <w:numPr>
          <w:ilvl w:val="0"/>
          <w:numId w:val="1"/>
        </w:numPr>
        <w:tabs>
          <w:tab w:val="clear" w:pos="720"/>
          <w:tab w:val="num" w:pos="284"/>
          <w:tab w:val="left" w:pos="360"/>
        </w:tabs>
        <w:ind w:left="0" w:firstLine="0"/>
        <w:jc w:val="both"/>
      </w:pPr>
      <w:r>
        <w:t xml:space="preserve">  Le Maroc a reçu </w:t>
      </w:r>
      <w:r w:rsidR="00C27989">
        <w:t>neuf</w:t>
      </w:r>
      <w:r>
        <w:t xml:space="preserve"> titulaires de mandats relevant des procédures spéciales du Conseil des Droits de l’Homme, mais il reconna</w:t>
      </w:r>
      <w:r w:rsidR="000D3FA3">
        <w:t>î</w:t>
      </w:r>
      <w:r>
        <w:t>t qu’il est en discussion avec d’autres titulaires de mandats sans expliquer les motifs de son objection à autoriser leurs visites sur le terrain.</w:t>
      </w:r>
    </w:p>
    <w:p w:rsidR="000F2BDD" w:rsidRDefault="000F2BDD">
      <w:pPr>
        <w:rPr>
          <w:highlight w:val="white"/>
        </w:rPr>
      </w:pPr>
    </w:p>
    <w:p w:rsidR="000F2BDD" w:rsidRDefault="000F2BDD">
      <w:pPr>
        <w:pStyle w:val="Heading3"/>
        <w:spacing w:after="0"/>
        <w:rPr>
          <w:highlight w:val="white"/>
        </w:rPr>
      </w:pPr>
      <w:r>
        <w:rPr>
          <w:highlight w:val="white"/>
        </w:rPr>
        <w:t xml:space="preserve">Recommandations en lien avec l’article 2: </w:t>
      </w:r>
    </w:p>
    <w:p w:rsidR="000F2BDD" w:rsidRDefault="000F2BDD">
      <w:pPr>
        <w:jc w:val="both"/>
      </w:pPr>
    </w:p>
    <w:p w:rsidR="000F2BDD" w:rsidRDefault="000F2BDD">
      <w:pPr>
        <w:numPr>
          <w:ilvl w:val="1"/>
          <w:numId w:val="1"/>
        </w:numPr>
        <w:tabs>
          <w:tab w:val="clear" w:pos="1440"/>
          <w:tab w:val="left" w:pos="284"/>
        </w:tabs>
        <w:ind w:left="0" w:firstLine="0"/>
        <w:jc w:val="both"/>
      </w:pPr>
      <w:r>
        <w:t>Ratifier les protocoles additionnels au PIDCP, au PIDESC et à la CDE, ainsi que le Statut de Rome.</w:t>
      </w:r>
    </w:p>
    <w:p w:rsidR="000F2BDD" w:rsidRDefault="000F2BDD">
      <w:pPr>
        <w:numPr>
          <w:ilvl w:val="1"/>
          <w:numId w:val="1"/>
        </w:numPr>
        <w:tabs>
          <w:tab w:val="clear" w:pos="1440"/>
          <w:tab w:val="left" w:pos="284"/>
        </w:tabs>
        <w:ind w:left="0" w:firstLine="0"/>
        <w:jc w:val="both"/>
      </w:pPr>
      <w:r>
        <w:t xml:space="preserve">Soumettre une invitation permanente à tous les titulaires de mandat des Procédures Spéciales du Conseil de Droits de l’Homme. </w:t>
      </w:r>
    </w:p>
    <w:p w:rsidR="000F2BDD" w:rsidRDefault="000F2BDD">
      <w:pPr>
        <w:numPr>
          <w:ilvl w:val="1"/>
          <w:numId w:val="1"/>
        </w:numPr>
        <w:tabs>
          <w:tab w:val="clear" w:pos="1440"/>
          <w:tab w:val="left" w:pos="284"/>
        </w:tabs>
        <w:ind w:left="0" w:firstLine="0"/>
        <w:jc w:val="both"/>
      </w:pPr>
      <w:r>
        <w:t>Fournir l’information demandée par le Comité dans son OG n. 31.</w:t>
      </w:r>
    </w:p>
    <w:p w:rsidR="000F2BDD" w:rsidRDefault="000F2BDD">
      <w:pPr>
        <w:jc w:val="both"/>
      </w:pPr>
    </w:p>
    <w:p w:rsidR="000F2BDD" w:rsidRDefault="000F2BDD">
      <w:pPr>
        <w:pStyle w:val="Heading2"/>
        <w:spacing w:after="0"/>
      </w:pPr>
    </w:p>
    <w:p w:rsidR="000F2BDD" w:rsidRDefault="000F2BDD">
      <w:pPr>
        <w:pStyle w:val="Heading2"/>
        <w:spacing w:after="0"/>
      </w:pPr>
    </w:p>
    <w:p w:rsidR="000F2BDD" w:rsidRDefault="000F2BDD">
      <w:pPr>
        <w:pStyle w:val="Heading2"/>
        <w:spacing w:after="0"/>
      </w:pPr>
      <w:bookmarkStart w:id="5" w:name="_Toc311886138"/>
      <w:r>
        <w:t>ARTICLE 3.- Égalité des hommes et des femmes</w:t>
      </w:r>
      <w:bookmarkEnd w:id="5"/>
    </w:p>
    <w:p w:rsidR="000F2BDD" w:rsidRDefault="000F2BDD">
      <w:pPr>
        <w:jc w:val="both"/>
      </w:pPr>
    </w:p>
    <w:p w:rsidR="000F2BDD" w:rsidRDefault="000F2BDD">
      <w:pPr>
        <w:jc w:val="both"/>
      </w:pPr>
      <w:r>
        <w:t xml:space="preserve">Nous considérons que dans les informations fournies à propos de cet article dans les paragraphes 75 à 100, le rapport de l’État omet une grande partie de l’information nécessaire pour que le CCPR puisse évaluer la situation. </w:t>
      </w:r>
    </w:p>
    <w:p w:rsidR="000F2BDD" w:rsidRDefault="000F2BDD">
      <w:pPr>
        <w:jc w:val="both"/>
      </w:pPr>
    </w:p>
    <w:p w:rsidR="000F2BDD" w:rsidRDefault="000F2BDD">
      <w:pPr>
        <w:jc w:val="both"/>
        <w:rPr>
          <w:szCs w:val="20"/>
        </w:rPr>
      </w:pPr>
      <w:r>
        <w:t>D’abord, nous pouvons signaler que le paragraphe 3 de l’OG n. 28</w:t>
      </w:r>
      <w:r>
        <w:rPr>
          <w:rStyle w:val="FootnoteReference"/>
        </w:rPr>
        <w:footnoteReference w:id="4"/>
      </w:r>
      <w:r>
        <w:t xml:space="preserve"> établit que « </w:t>
      </w:r>
      <w:r>
        <w:rPr>
          <w:szCs w:val="20"/>
        </w:rPr>
        <w:t>Les États parties doivent non seulement adopter des mesures de protection, mais aussi des mesures spécifiques dans tous les domaines de façon à assurer la réalisation du potentiel des femmes et leur garantir une égalité des chances dans la société. Les États parties doivent fournir des renseignements sur le rôle joué effectivement par les femmes». Du même, tel que le signale le paragraphe 5, « Les États parties devraient communiquer des renseignements sur les aspects des pratiques traditionnelles, historiques et culturelles ainsi que des attitudes religieuses qui compromettent ou risquent de compromettre l’application de l’article 3 et faire connaître les mesures qu’ils ont prises ou se proposent de prendre pour surmonter ces facteurs ». Le rapport de l’État n’inclut pas ces informations.</w:t>
      </w:r>
    </w:p>
    <w:p w:rsidR="000F2BDD" w:rsidRDefault="000F2BDD">
      <w:pPr>
        <w:jc w:val="both"/>
        <w:rPr>
          <w:szCs w:val="20"/>
        </w:rPr>
      </w:pPr>
    </w:p>
    <w:p w:rsidR="000F2BDD" w:rsidRDefault="000F2BDD">
      <w:pPr>
        <w:pStyle w:val="BodyText"/>
      </w:pPr>
      <w:r>
        <w:t>Ce manque d’information ne se réfère pas seulement à ce que l’article 3 dispose sur l’égalité entre hommes et femmes mais, dans une vision de corrélation des droits civils et politiques, il touche aussi d’autres droits garantis par le Pacte. Ainsi, par exemple, l’information sur l’égalité des droits entre homme</w:t>
      </w:r>
      <w:r w:rsidR="002A507E">
        <w:t>s</w:t>
      </w:r>
      <w:r>
        <w:t xml:space="preserve"> et femmes n’est pas fournie non plus en lien avec le droit à la vie énoncé dans l’article 6 du Pacte.  Tel que l’établit le Comité dans son OG n.28, paragraphe 10, les États parties devraient fournir des données sur les taux de natalité, sur le nombre de décès imputables à la fonction de procréation des femmes, ainsi que </w:t>
      </w:r>
      <w:r w:rsidR="000D3FA3">
        <w:t xml:space="preserve">des </w:t>
      </w:r>
      <w:r>
        <w:t xml:space="preserve">données ventilées par sexe sur les taux de mortalité infantile. Ils devraient également informer sur « toutes les mesures adoptées par eux pour aider les femmes à éviter les grossesses non désirées et à veiller à ce qu’elles ne doivent pas subir d’avortements clandestins mettant leur vie en danger ». </w:t>
      </w:r>
    </w:p>
    <w:p w:rsidR="000F2BDD" w:rsidRDefault="000F2BDD">
      <w:pPr>
        <w:pStyle w:val="BodyText"/>
      </w:pPr>
    </w:p>
    <w:p w:rsidR="000F2BDD" w:rsidRDefault="000F2BDD">
      <w:pPr>
        <w:jc w:val="both"/>
        <w:rPr>
          <w:szCs w:val="20"/>
        </w:rPr>
      </w:pPr>
      <w:r>
        <w:t>En ce qui concerne l’interdiction de la torture (article 7) et la protection des enfants (article 24), le paragraphe 11 de l‘OG 28 établit que « </w:t>
      </w:r>
      <w:r>
        <w:rPr>
          <w:szCs w:val="20"/>
        </w:rPr>
        <w:t>le Comité doit disposer d’informations sur les lois et la pratique nationale en ce qui concerne la violence dans la famille et d’autres types de violence à l’égard des femmes, dont le viol. Il doit aussi savoir si l’État partie offre aux femmes enceintes à la suite d’un viol la possibilité d’interrompre leur grossesse dans de bonnes conditions</w:t>
      </w:r>
      <w:r>
        <w:rPr>
          <w:rStyle w:val="CommentReference"/>
          <w:szCs w:val="18"/>
        </w:rPr>
        <w:t> »</w:t>
      </w:r>
      <w:r>
        <w:rPr>
          <w:szCs w:val="20"/>
        </w:rPr>
        <w:t xml:space="preserve">. </w:t>
      </w:r>
    </w:p>
    <w:p w:rsidR="000F2BDD" w:rsidRDefault="000F2BDD">
      <w:pPr>
        <w:jc w:val="both"/>
        <w:rPr>
          <w:szCs w:val="20"/>
        </w:rPr>
      </w:pPr>
    </w:p>
    <w:p w:rsidR="000F2BDD" w:rsidRDefault="000F2BDD">
      <w:pPr>
        <w:jc w:val="both"/>
        <w:rPr>
          <w:szCs w:val="20"/>
        </w:rPr>
      </w:pPr>
      <w:r>
        <w:rPr>
          <w:szCs w:val="20"/>
        </w:rPr>
        <w:t>Le rapport du Maroc n’inclut pas de référence en lien avec ce que signale l’OG 28, paragraphe 31, selon lequel le Comité a constaté « qu’une grande proportion des femmes étaient employées dans des domaines qui ne sont pas protégés par la législation du travail, que les coutumes et traditions en vigueur étaient discriminatoires à l’égard des femmes, en particulier pour ce qui est de l’accès à des emplois rémunérés et de l’égalité de salaire pour un travail de même valeur</w:t>
      </w:r>
      <w:r>
        <w:rPr>
          <w:rStyle w:val="CommentReference"/>
          <w:szCs w:val="18"/>
        </w:rPr>
        <w:t> »</w:t>
      </w:r>
      <w:r>
        <w:rPr>
          <w:szCs w:val="20"/>
        </w:rPr>
        <w:t xml:space="preserve">. C’est le cas du travail domestique au Maroc, qui n’est </w:t>
      </w:r>
      <w:r w:rsidR="002A507E">
        <w:rPr>
          <w:szCs w:val="20"/>
        </w:rPr>
        <w:t xml:space="preserve">pas </w:t>
      </w:r>
      <w:r>
        <w:rPr>
          <w:szCs w:val="20"/>
        </w:rPr>
        <w:t xml:space="preserve">jusqu’à ce jour protégé, et qui est réalisé par 92% de femmes, d’après les données du Haut Commissariat au Plan (HCP) de 2012. Nous reviendrons sur cela en lien avec l’interdiction de l’esclavage. </w:t>
      </w:r>
    </w:p>
    <w:p w:rsidR="000F2BDD" w:rsidRDefault="000F2BDD">
      <w:pPr>
        <w:jc w:val="both"/>
        <w:rPr>
          <w:szCs w:val="20"/>
        </w:rPr>
      </w:pPr>
    </w:p>
    <w:p w:rsidR="000F2BDD" w:rsidRDefault="000F2BDD">
      <w:pPr>
        <w:jc w:val="both"/>
        <w:rPr>
          <w:szCs w:val="20"/>
        </w:rPr>
      </w:pPr>
      <w:r>
        <w:rPr>
          <w:szCs w:val="20"/>
        </w:rPr>
        <w:t>Au Maroc, selon une enquête du HCP de 2010 sur la prévalence de la violence à l’égard des femmes, sur une population de 9,5 millions de femmes âgées de 18 à 64 ans, près de 6 millions, soit 62,8%, ont subi un acte de violence sous une forme ou une autre durant l’année précédant l’enquête. Une autre enquête du HCP de 2009 indique que près de 8,7% des femmes âgées de 18 à  64 ans (827 000 femmes) ont été exposées, au moins une fois, à  un acte de violence sexuelle avec attouchement au cours des 12 mois précédents. Dans sa forme la plus grave, à savoir le rapport sexuel forcé, cet acte de violence concerne près de 38.000 victimes, soit un taux de prévalence d</w:t>
      </w:r>
      <w:r w:rsidR="002A507E">
        <w:rPr>
          <w:szCs w:val="20"/>
        </w:rPr>
        <w:t>u</w:t>
      </w:r>
      <w:r>
        <w:rPr>
          <w:szCs w:val="20"/>
        </w:rPr>
        <w:t xml:space="preserve"> 0,4%, précise l’enquête. Dans le domicile conjugal, le taux de prévalence des violences sexuelles avec attouchement a touché </w:t>
      </w:r>
      <w:r w:rsidR="002A507E">
        <w:rPr>
          <w:szCs w:val="20"/>
        </w:rPr>
        <w:t xml:space="preserve">le </w:t>
      </w:r>
      <w:r>
        <w:rPr>
          <w:szCs w:val="20"/>
        </w:rPr>
        <w:t xml:space="preserve">6,6% des femmes, soit 444.000 femmes. Il est à signaler que </w:t>
      </w:r>
      <w:r w:rsidR="002A507E">
        <w:rPr>
          <w:szCs w:val="20"/>
        </w:rPr>
        <w:t xml:space="preserve">le </w:t>
      </w:r>
      <w:r>
        <w:rPr>
          <w:szCs w:val="20"/>
        </w:rPr>
        <w:t>45,1% de ces actes concernent des pratiques sexuelles imposées par l’époux et non désirées par la femme, soit 415.000 femmes.</w:t>
      </w:r>
    </w:p>
    <w:p w:rsidR="000F2BDD" w:rsidRDefault="000F2BDD">
      <w:pPr>
        <w:jc w:val="both"/>
        <w:rPr>
          <w:szCs w:val="20"/>
        </w:rPr>
      </w:pPr>
    </w:p>
    <w:p w:rsidR="000F2BDD" w:rsidRDefault="000F2BDD">
      <w:pPr>
        <w:jc w:val="both"/>
        <w:rPr>
          <w:szCs w:val="20"/>
        </w:rPr>
      </w:pPr>
      <w:r>
        <w:rPr>
          <w:szCs w:val="20"/>
        </w:rPr>
        <w:t xml:space="preserve">Dans les autres cadres de vie, autres que le domicile conjugal, 15.000 filles ont été </w:t>
      </w:r>
      <w:r w:rsidR="002A507E">
        <w:rPr>
          <w:szCs w:val="20"/>
        </w:rPr>
        <w:t xml:space="preserve">affectées </w:t>
      </w:r>
      <w:r>
        <w:rPr>
          <w:szCs w:val="20"/>
        </w:rPr>
        <w:t xml:space="preserve">par cette forme de violence dans </w:t>
      </w:r>
      <w:r w:rsidR="002A507E">
        <w:rPr>
          <w:szCs w:val="20"/>
        </w:rPr>
        <w:t>d</w:t>
      </w:r>
      <w:r>
        <w:rPr>
          <w:szCs w:val="20"/>
        </w:rPr>
        <w:t xml:space="preserve">es établissements d’enseignement et de formation, soit un taux de prévalence </w:t>
      </w:r>
      <w:r w:rsidR="002A507E">
        <w:rPr>
          <w:szCs w:val="20"/>
        </w:rPr>
        <w:t>du</w:t>
      </w:r>
      <w:r>
        <w:rPr>
          <w:szCs w:val="20"/>
        </w:rPr>
        <w:t xml:space="preserve"> 4,4%, 372.000 femmes dans les lieux publics, soit un taux de 3,9%, 32.000 femmes dans les lieux de travail, soit un taux de 1,8%, et 64.000 femmes dans le domicile familial, soit un taux de 0,7%. Si on ajoute également les femmes qui ont subi des actes à caractère sexuel mais sans attouchement (femme suivie dans la rue, etc.), le taux de prévalence de la violence sexuelle (avec ou sans attouchement) atteint </w:t>
      </w:r>
      <w:r w:rsidR="002A507E">
        <w:rPr>
          <w:szCs w:val="20"/>
        </w:rPr>
        <w:t xml:space="preserve">le </w:t>
      </w:r>
      <w:r>
        <w:rPr>
          <w:szCs w:val="20"/>
        </w:rPr>
        <w:t>25,5%, soit une femme sur quatre (2.433.000 femmes). Il est à signaler que les femmes les plus touchées par les violences sexuelles, avec ou sans attouchement, sont les jeunes de 18 à 24 ans (40,7%, soit 763.000 femmes).</w:t>
      </w:r>
    </w:p>
    <w:p w:rsidR="000F2BDD" w:rsidRDefault="000F2BDD">
      <w:pPr>
        <w:jc w:val="both"/>
        <w:rPr>
          <w:szCs w:val="20"/>
        </w:rPr>
      </w:pPr>
    </w:p>
    <w:p w:rsidR="000F2BDD" w:rsidRDefault="000F2BDD">
      <w:pPr>
        <w:jc w:val="both"/>
        <w:rPr>
          <w:szCs w:val="20"/>
        </w:rPr>
      </w:pPr>
      <w:r>
        <w:t>Comme l’ont constaté le Réseau Euro-</w:t>
      </w:r>
      <w:r w:rsidR="002A507E">
        <w:t>M</w:t>
      </w:r>
      <w:r>
        <w:t xml:space="preserve">éditerranéen des </w:t>
      </w:r>
      <w:r w:rsidR="002A507E">
        <w:t>D</w:t>
      </w:r>
      <w:r>
        <w:t>roits de l’</w:t>
      </w:r>
      <w:r w:rsidR="002A507E">
        <w:t>H</w:t>
      </w:r>
      <w:r>
        <w:t>omme et le CNDH, le Maroc n’offre pas une protection complète aux femmes contre les différents types de violences dont elles sont victimes</w:t>
      </w:r>
      <w:r w:rsidR="00F76849">
        <w:t>. E</w:t>
      </w:r>
      <w:r>
        <w:t xml:space="preserve">n effet, si la Constitution prohibe la discrimination et les « traitements cruels, inhumains, dégradants ou portant atteinte à la dignité », le </w:t>
      </w:r>
      <w:r w:rsidR="002A507E">
        <w:t>c</w:t>
      </w:r>
      <w:r>
        <w:t>ode pénal (CP), dont la réforme est en cours, n’assure pas la protection effective des femmes contre les violences et les discriminations spécifiquement dirigées contre elles en raison de leur sexe. Toutefois, les amendements successivement apportés au CP ont abouti d’une part à l’incrimination d</w:t>
      </w:r>
      <w:r w:rsidR="00F76849">
        <w:t>el’</w:t>
      </w:r>
      <w:r>
        <w:t xml:space="preserve">harcèlement sexuel, des violences conjugales physiques et de quelques aspects de la discrimination basée sur le genre, et d’autre part à l’aggravation de la sanction </w:t>
      </w:r>
      <w:r w:rsidR="00F76849">
        <w:t>des</w:t>
      </w:r>
      <w:r>
        <w:t xml:space="preserve"> crimes de viol et d’attentat à la pudeur visant les femmes. Néanmoins, en vertu des articles 486 et 488, le viol est considéré comme un crime contre la moralité et non comme un crime contre la personne. Le viol conjugal, ainsi que le harcèlement sexuel dans l’espace public et les violences psychologiques ne sont encore pas incriminés dans le CP. Cependant, le 31 mars 2015, le Ministère de la Justice et des Libertés (MJL) a publié un avant-projet de réforme de ce dernier criminalisant le mariage forcé et le harcèlement sexuel, que le délit soit commis dans l’espace public ou par lettres, e-mails ou SMS. Au-delà de ces développements positifs, le projet en question a été fortement critiqué par les associations actives dans le domaine des droits de femmes pour l’exclusion </w:t>
      </w:r>
      <w:r>
        <w:rPr>
          <w:szCs w:val="25"/>
        </w:rPr>
        <w:t>de cesdernières dans son élaboration ainsi que pour l’existence de</w:t>
      </w:r>
      <w:r w:rsidR="00F76849">
        <w:rPr>
          <w:szCs w:val="25"/>
        </w:rPr>
        <w:t>s</w:t>
      </w:r>
      <w:r>
        <w:rPr>
          <w:szCs w:val="25"/>
        </w:rPr>
        <w:t xml:space="preserve"> dispositions discriminatoires favorisant l’impunité dans les crimes de violences contre les femmes. A titre d’exemple, les articles 418 et 420 dudit projet de loi prévoient des circonstances atténuantes en cas de crime d’honneur.</w:t>
      </w:r>
    </w:p>
    <w:p w:rsidR="000F2BDD" w:rsidRDefault="000F2BDD">
      <w:pPr>
        <w:pStyle w:val="BodyText"/>
        <w:rPr>
          <w:szCs w:val="17"/>
        </w:rPr>
      </w:pPr>
      <w:r>
        <w:rPr>
          <w:szCs w:val="17"/>
        </w:rPr>
        <w:t xml:space="preserve">En 2014, suite à une lutte menée depuis 2012 par la société civile et certains groupes parlementaires, le Parlement marocain a adopté une modification législative portant abrogation de l’alinéa 2 de l’article 475 du CP aux termes de laquelle les violeurs ne peuvent plus se soustraire à des poursuites en épousant leur victime si celle-ci est âgée de moins de 18 ans. Bien que le Maroc soit un État partie à la CEDAW et, depuis juillet 2015, de son Protocole facultatif, le pays ne reconnaît </w:t>
      </w:r>
      <w:r w:rsidR="003A0935">
        <w:rPr>
          <w:szCs w:val="17"/>
        </w:rPr>
        <w:t xml:space="preserve">pas </w:t>
      </w:r>
      <w:r>
        <w:rPr>
          <w:szCs w:val="17"/>
        </w:rPr>
        <w:t>son obligation d’éliminer la discrimination à l’égard des femmes que dans la mesure où celle-ci n’est pas contradictoire avec la charia.</w:t>
      </w:r>
    </w:p>
    <w:p w:rsidR="000F2BDD" w:rsidRDefault="000F2BDD">
      <w:pPr>
        <w:jc w:val="both"/>
        <w:rPr>
          <w:szCs w:val="25"/>
        </w:rPr>
      </w:pPr>
    </w:p>
    <w:p w:rsidR="000F2BDD" w:rsidRDefault="000F2BDD">
      <w:pPr>
        <w:jc w:val="both"/>
        <w:rPr>
          <w:szCs w:val="17"/>
        </w:rPr>
      </w:pPr>
      <w:r>
        <w:rPr>
          <w:szCs w:val="17"/>
        </w:rPr>
        <w:t xml:space="preserve">Un projet de loi pour la lutte contre toutes les formes de violences à l’égard des femmes  attend toujours l’approbation du Parlement après avoir été déposé au Secrétariat Général du Gouvernement en septembre 2013 et soumis au Conseil de Gouvernement en novembre 2013. Son adoption a été reportée car une commission chargée d’analyser le texte a été nommée par le chef de gouvernement. Des associations de la société civile spécialisées dans ce domaine avaient par ailleurs regretté </w:t>
      </w:r>
      <w:r w:rsidR="00D8059D">
        <w:rPr>
          <w:szCs w:val="17"/>
        </w:rPr>
        <w:t xml:space="preserve">de </w:t>
      </w:r>
      <w:r>
        <w:rPr>
          <w:szCs w:val="17"/>
        </w:rPr>
        <w:t>ne pas avoir été consultées sur ce texte.</w:t>
      </w:r>
    </w:p>
    <w:p w:rsidR="000F2BDD" w:rsidRDefault="000F2BDD">
      <w:pPr>
        <w:jc w:val="both"/>
        <w:rPr>
          <w:szCs w:val="17"/>
        </w:rPr>
      </w:pPr>
    </w:p>
    <w:p w:rsidR="000F2BDD" w:rsidRDefault="000F2BDD">
      <w:pPr>
        <w:jc w:val="both"/>
        <w:rPr>
          <w:szCs w:val="17"/>
        </w:rPr>
      </w:pPr>
      <w:r>
        <w:rPr>
          <w:szCs w:val="17"/>
        </w:rPr>
        <w:t>Selon un nouveau projet de loi sur l’avortement proposé en 2015 par le MJL, le Ministère des Affaires Islamiques et le CNDH, les circonstances permettant l’avortement restent toujours très restrictives et limitées aux cas où la grossesse constitue un danger pour la vie et la santé de la mère, en cas de graves malformations et de maladies incurables que le fœtus pourrait contracter et enfin lorsque la grossesse résulte d’un viol ou d’un inceste.</w:t>
      </w:r>
    </w:p>
    <w:p w:rsidR="000F2BDD" w:rsidRDefault="000F2BDD">
      <w:pPr>
        <w:jc w:val="both"/>
        <w:rPr>
          <w:szCs w:val="20"/>
        </w:rPr>
      </w:pPr>
    </w:p>
    <w:p w:rsidR="000F2BDD" w:rsidRDefault="000F2BDD">
      <w:pPr>
        <w:jc w:val="both"/>
        <w:rPr>
          <w:kern w:val="1"/>
          <w:lang w:eastAsia="hi-IN" w:bidi="hi-IN"/>
        </w:rPr>
      </w:pPr>
      <w:r>
        <w:rPr>
          <w:szCs w:val="20"/>
        </w:rPr>
        <w:t xml:space="preserve">En ce qui concerne </w:t>
      </w:r>
      <w:r>
        <w:t xml:space="preserve">les régimes de sécurité sociale, fondés sur le modèle du salariat formel masculin et sur le postulat que toutes les femmes ont des époux pour les entretenir, </w:t>
      </w:r>
      <w:r w:rsidR="00D23FB2">
        <w:t xml:space="preserve">ceux-ci </w:t>
      </w:r>
      <w:r>
        <w:t>participent à l’exclusion de la majorité des travailleuses de la protection sociale.</w:t>
      </w:r>
      <w:r>
        <w:rPr>
          <w:bCs/>
        </w:rPr>
        <w:t xml:space="preserve">La Caisse Nationale de </w:t>
      </w:r>
      <w:r w:rsidR="00D8059D">
        <w:rPr>
          <w:bCs/>
        </w:rPr>
        <w:t>S</w:t>
      </w:r>
      <w:r>
        <w:rPr>
          <w:bCs/>
        </w:rPr>
        <w:t xml:space="preserve">écurité </w:t>
      </w:r>
      <w:r w:rsidR="00D8059D">
        <w:rPr>
          <w:bCs/>
        </w:rPr>
        <w:t>S</w:t>
      </w:r>
      <w:r>
        <w:rPr>
          <w:bCs/>
        </w:rPr>
        <w:t>ociale</w:t>
      </w:r>
      <w:r w:rsidR="00D8059D">
        <w:rPr>
          <w:bCs/>
        </w:rPr>
        <w:t>,</w:t>
      </w:r>
      <w:r>
        <w:rPr>
          <w:bCs/>
        </w:rPr>
        <w:t xml:space="preserve"> qui couvre les salariés du secteur privé</w:t>
      </w:r>
      <w:r w:rsidR="00D8059D">
        <w:rPr>
          <w:bCs/>
        </w:rPr>
        <w:t>,</w:t>
      </w:r>
      <w:r>
        <w:rPr>
          <w:bCs/>
        </w:rPr>
        <w:t xml:space="preserve"> et l’Etat en tant qu’employeur pour le secteur public</w:t>
      </w:r>
      <w:r w:rsidR="00D8059D">
        <w:rPr>
          <w:bCs/>
        </w:rPr>
        <w:t>,</w:t>
      </w:r>
      <w:r>
        <w:rPr>
          <w:bCs/>
        </w:rPr>
        <w:t xml:space="preserve"> paient les allocations familiales </w:t>
      </w:r>
      <w:r w:rsidR="00D23FB2">
        <w:rPr>
          <w:bCs/>
        </w:rPr>
        <w:t>aux</w:t>
      </w:r>
      <w:r>
        <w:rPr>
          <w:bCs/>
        </w:rPr>
        <w:t xml:space="preserve"> pères. Les mères salariées ne reçoivent</w:t>
      </w:r>
      <w:r w:rsidR="00E46070">
        <w:rPr>
          <w:bCs/>
        </w:rPr>
        <w:t xml:space="preserve"> pas</w:t>
      </w:r>
      <w:r>
        <w:rPr>
          <w:bCs/>
        </w:rPr>
        <w:t xml:space="preserve"> ces allocations qu’</w:t>
      </w:r>
      <w:r w:rsidR="00D23FB2">
        <w:rPr>
          <w:bCs/>
        </w:rPr>
        <w:t>au</w:t>
      </w:r>
      <w:r>
        <w:rPr>
          <w:bCs/>
        </w:rPr>
        <w:t xml:space="preserve"> cas o</w:t>
      </w:r>
      <w:r w:rsidR="00D23FB2">
        <w:rPr>
          <w:bCs/>
        </w:rPr>
        <w:t>ù</w:t>
      </w:r>
      <w:r>
        <w:rPr>
          <w:bCs/>
        </w:rPr>
        <w:t xml:space="preserve"> le père ne les reçoit (s’il est en chômage par exemple, ou si elle est divorcée et a la garde des enfants).</w:t>
      </w:r>
    </w:p>
    <w:p w:rsidR="000F2BDD" w:rsidRDefault="000F2BDD">
      <w:pPr>
        <w:pStyle w:val="BodyText"/>
      </w:pPr>
    </w:p>
    <w:p w:rsidR="000F2BDD" w:rsidRDefault="000F2BDD">
      <w:pPr>
        <w:jc w:val="both"/>
        <w:rPr>
          <w:color w:val="000000"/>
        </w:rPr>
      </w:pPr>
      <w:r>
        <w:rPr>
          <w:color w:val="000000"/>
        </w:rPr>
        <w:t>En lien avec la participation des femmes dans les affaires politiques du pays, il faut remarquer que la  loi  organique  n°  02.12  (2012)  relative  aux  nominations  aux  hautes  fonctions  ne comprend aucune disposition spécifique pour concrétiser la parité. Aussi, le respect de la représentation des femmes dans la désignation et l’élection des membres de</w:t>
      </w:r>
      <w:r w:rsidR="00E46070">
        <w:rPr>
          <w:color w:val="000000"/>
        </w:rPr>
        <w:t xml:space="preserve"> la</w:t>
      </w:r>
      <w:r>
        <w:rPr>
          <w:color w:val="000000"/>
        </w:rPr>
        <w:t xml:space="preserve"> Cour </w:t>
      </w:r>
      <w:r w:rsidR="00E46070">
        <w:rPr>
          <w:color w:val="000000"/>
        </w:rPr>
        <w:t>C</w:t>
      </w:r>
      <w:r>
        <w:rPr>
          <w:color w:val="000000"/>
        </w:rPr>
        <w:t xml:space="preserve">onstitutionnelle a été rejeté par le Conseil </w:t>
      </w:r>
      <w:r w:rsidR="00E46070">
        <w:rPr>
          <w:color w:val="000000"/>
        </w:rPr>
        <w:t>C</w:t>
      </w:r>
      <w:r>
        <w:rPr>
          <w:color w:val="000000"/>
        </w:rPr>
        <w:t>onstitutionnel à cause d’inconstitutionnalité (l’alinéa 4 de l’art. 1</w:t>
      </w:r>
      <w:r>
        <w:rPr>
          <w:color w:val="000000"/>
          <w:vertAlign w:val="superscript"/>
        </w:rPr>
        <w:t>er</w:t>
      </w:r>
      <w:r>
        <w:rPr>
          <w:color w:val="000000"/>
        </w:rPr>
        <w:t xml:space="preserve"> du projet de loi organique n° 66-13 relative à cette Cour). Ladécision n° 943/2014 CC du 27 ramadan 1435 (25 juin 2014) estime que l’établissement de quotas pour une discrimination positive de la femme va à l’encontre du principe de non-discrimination et serait difficilement applicable compte tenue des critères et</w:t>
      </w:r>
      <w:r w:rsidR="00D23FB2">
        <w:rPr>
          <w:color w:val="000000"/>
        </w:rPr>
        <w:t xml:space="preserve"> de</w:t>
      </w:r>
      <w:r>
        <w:rPr>
          <w:color w:val="000000"/>
        </w:rPr>
        <w:t xml:space="preserve"> la forme de désignation des membres de la cour.  </w:t>
      </w:r>
    </w:p>
    <w:p w:rsidR="000F2BDD" w:rsidRDefault="000F2BDD">
      <w:pPr>
        <w:jc w:val="both"/>
        <w:rPr>
          <w:szCs w:val="20"/>
        </w:rPr>
      </w:pPr>
    </w:p>
    <w:p w:rsidR="000F2BDD" w:rsidRDefault="000F2BDD">
      <w:pPr>
        <w:jc w:val="both"/>
        <w:rPr>
          <w:color w:val="FF0000"/>
        </w:rPr>
      </w:pPr>
      <w:r>
        <w:rPr>
          <w:szCs w:val="20"/>
        </w:rPr>
        <w:t>Il y a aussi une discrimination dans l’accès à l’héritage</w:t>
      </w:r>
      <w:r w:rsidR="00E46070">
        <w:rPr>
          <w:szCs w:val="20"/>
        </w:rPr>
        <w:t xml:space="preserve">. </w:t>
      </w:r>
      <w:r w:rsidR="00E46070">
        <w:t>L</w:t>
      </w:r>
      <w:r>
        <w:t xml:space="preserve">'Article 16 stipule pour sa part que les droits et les obligations au moment, pendant et après la dissolution du mariage sont basés sur le principe de l’égalité entre conjoints. Or, aux termes de la loi marocaine, il n'existe pas de véritable égalité entre eux en termes de soutien au ménage, qui relève uniquement des obligations de l'époux. Alors que la Constitution consacre le principe de non-discrimination et d’égalité hommes/femmes, l’héritage inégalitaire est produit et reproduit par le Code de la </w:t>
      </w:r>
      <w:r w:rsidR="00E46070">
        <w:t>F</w:t>
      </w:r>
      <w:r>
        <w:t xml:space="preserve">amille, faisant de telle sorte que les activités effectuées par les femmes (notamment dans la sphère domestique et au bénéfice de leur famille) sont, abstraction faite de leur valeur et de leur nature, considérées comme le juste prix que les femmes doivent payer en contrepartie de leur entretien par leurs époux, même si telle n’est </w:t>
      </w:r>
      <w:r w:rsidR="00E46070">
        <w:t xml:space="preserve">pas </w:t>
      </w:r>
      <w:r>
        <w:t>souvent la réalité. Partant du postulat qu’elles ne sont pas responsables de l’entretien financier du ménage, les femmes n’ont pas droit à l’égalité dans l’accès aux ressources économiques, sociales et politiques. Or, tant qu’elles n’ont pas un accès égalitaire à ces ressources, les femmes ne peuvent pas participer équitablement aux dépenses du ménage.</w:t>
      </w:r>
    </w:p>
    <w:p w:rsidR="000F2BDD" w:rsidRDefault="000F2BDD">
      <w:pPr>
        <w:jc w:val="both"/>
        <w:rPr>
          <w:szCs w:val="20"/>
        </w:rPr>
      </w:pPr>
    </w:p>
    <w:p w:rsidR="000F2BDD" w:rsidRDefault="000F2BDD">
      <w:pPr>
        <w:jc w:val="both"/>
        <w:rPr>
          <w:szCs w:val="20"/>
        </w:rPr>
      </w:pPr>
      <w:r>
        <w:rPr>
          <w:szCs w:val="20"/>
        </w:rPr>
        <w:t>Les règles successorales contribuent à augmenter la vulnérabilité des filles et des femmes à la pauvreté. Dépourvues de capacités sociales, de nombreuses femmes cèdent leur part de la succession à un parent de sexe masculin sous prétexte de conserver la propriété au sein de la famille, ou sont victimes de certaines pratiques coutumières visant à les déposséder de leur héritage ou de la terre, comme c’est le cas pour la pratique d</w:t>
      </w:r>
      <w:r w:rsidR="003D01FC">
        <w:rPr>
          <w:szCs w:val="20"/>
        </w:rPr>
        <w:t>es</w:t>
      </w:r>
      <w:r>
        <w:rPr>
          <w:szCs w:val="20"/>
        </w:rPr>
        <w:t xml:space="preserve"> Habous et pour les règles régissant les terres collectives. Face à cette situation, les familles ont de plus en plus recours à des stratégies de contournement de la législation successorale dans le but de préserver les intérêts de leur descendance de sexe féminin ou de rétablir l’équité entre leurs enfants des deux sexes.</w:t>
      </w:r>
    </w:p>
    <w:p w:rsidR="000F2BDD" w:rsidRDefault="000F2BDD">
      <w:pPr>
        <w:jc w:val="both"/>
        <w:rPr>
          <w:szCs w:val="20"/>
        </w:rPr>
      </w:pPr>
    </w:p>
    <w:p w:rsidR="000F2BDD" w:rsidRDefault="000F2BDD">
      <w:pPr>
        <w:jc w:val="both"/>
        <w:rPr>
          <w:szCs w:val="20"/>
        </w:rPr>
      </w:pPr>
      <w:r>
        <w:rPr>
          <w:szCs w:val="20"/>
        </w:rPr>
        <w:t>La r</w:t>
      </w:r>
      <w:r w:rsidR="00D23FB2">
        <w:rPr>
          <w:szCs w:val="20"/>
        </w:rPr>
        <w:t>é</w:t>
      </w:r>
      <w:r>
        <w:rPr>
          <w:szCs w:val="20"/>
        </w:rPr>
        <w:t xml:space="preserve">forme des mesures du recours à la polygamie est insuffisante.  </w:t>
      </w:r>
      <w:r>
        <w:rPr>
          <w:color w:val="000000"/>
        </w:rPr>
        <w:t xml:space="preserve">La polygamie dans la loi marocaine doit être objectivement motivée et faire l’objet d’une décision judiciaire préalable. Ce principe n’est pas toujours respecté. D’autant plus que le maintien de la polygamie est contraire au contenu de l’OG nº28 quiétablit </w:t>
      </w:r>
      <w:r w:rsidR="00D23FB2">
        <w:rPr>
          <w:color w:val="000000"/>
        </w:rPr>
        <w:t>d</w:t>
      </w:r>
      <w:r>
        <w:rPr>
          <w:color w:val="000000"/>
        </w:rPr>
        <w:t>ans son paragraphe 24 qu’« </w:t>
      </w:r>
      <w:r>
        <w:rPr>
          <w:szCs w:val="20"/>
        </w:rPr>
        <w:t>Il convient de noter que la polygamie est incompatible avec l’égalité de traitement en ce qui concerne le droit de se marier. La polygamie est attentatoire à la dignité de la femme. Elle constitue, en outre, une inadmissible discrimination à son égard. Elle doit être, en conséquence, définitivement abolie là où elle existe ».</w:t>
      </w:r>
    </w:p>
    <w:p w:rsidR="000F2BDD" w:rsidRDefault="000F2BDD">
      <w:pPr>
        <w:jc w:val="both"/>
        <w:rPr>
          <w:szCs w:val="20"/>
        </w:rPr>
      </w:pPr>
    </w:p>
    <w:p w:rsidR="000F2BDD" w:rsidRDefault="000F2BDD">
      <w:pPr>
        <w:pStyle w:val="NormalWeb"/>
        <w:spacing w:before="0" w:beforeAutospacing="0" w:after="0" w:afterAutospacing="0"/>
        <w:jc w:val="both"/>
      </w:pPr>
      <w:r>
        <w:t>Finalement, en ce qui concerne le marché du travail, l’inégalité́ en matière de salaires entre les hommes et les femmes est une donnée structurelle, mais impossible à caractériser en l’absence d’informations. Dans le secteur privé, les salaires des femmes sont inf</w:t>
      </w:r>
      <w:r w:rsidR="003D01FC">
        <w:t>é</w:t>
      </w:r>
      <w:r>
        <w:t xml:space="preserve">rieurs de 25% en moyenne à ceux des hommes. </w:t>
      </w:r>
    </w:p>
    <w:p w:rsidR="000F2BDD" w:rsidRDefault="000F2BDD">
      <w:pPr>
        <w:pStyle w:val="BodyText"/>
      </w:pPr>
    </w:p>
    <w:p w:rsidR="000F2BDD" w:rsidRDefault="000F2BDD">
      <w:pPr>
        <w:pStyle w:val="Heading3"/>
        <w:spacing w:after="0"/>
      </w:pPr>
      <w:r>
        <w:t>Recommandations en lien avec l’Article 3 </w:t>
      </w:r>
    </w:p>
    <w:p w:rsidR="000F2BDD" w:rsidRDefault="000F2BDD"/>
    <w:p w:rsidR="000F2BDD" w:rsidRDefault="000F2BDD" w:rsidP="00A933D3">
      <w:pPr>
        <w:jc w:val="both"/>
      </w:pPr>
      <w:r>
        <w:t xml:space="preserve">- </w:t>
      </w:r>
      <w:r w:rsidRPr="00A933D3">
        <w:t xml:space="preserve">Amender le </w:t>
      </w:r>
      <w:r w:rsidR="00E46070">
        <w:t>C</w:t>
      </w:r>
      <w:r w:rsidRPr="00A933D3">
        <w:t xml:space="preserve">ode de la </w:t>
      </w:r>
      <w:r w:rsidR="00E46070">
        <w:t>F</w:t>
      </w:r>
      <w:r w:rsidRPr="00A933D3">
        <w:t>amille de manière à accorder aux femmes les mêmes droits dans la formation du mariage, dans sa dissolution et dans les relations avec les enfants et appliquer avec rigueur les dis</w:t>
      </w:r>
      <w:r>
        <w:t xml:space="preserve">positions du Code de la </w:t>
      </w:r>
      <w:r w:rsidR="00E46070">
        <w:t>F</w:t>
      </w:r>
      <w:r>
        <w:t>amille.</w:t>
      </w:r>
    </w:p>
    <w:p w:rsidR="000F2BDD" w:rsidRDefault="000F2BDD">
      <w:pPr>
        <w:jc w:val="both"/>
      </w:pPr>
      <w:r>
        <w:t xml:space="preserve">-Amender la Constitution de sorte à autoriser l’introduction de mesures spécifiques permettant d’accorder, de manière provisoire, un traitement préférentiel aux femmes en vue de faire de l’égalité de droit une égalité de fait en matière d’accès aux hautes fonctions. </w:t>
      </w:r>
    </w:p>
    <w:p w:rsidR="000F2BDD" w:rsidRDefault="000F2BDD">
      <w:pPr>
        <w:jc w:val="both"/>
      </w:pPr>
      <w:r>
        <w:t>- Lever les réserves et les explications par rapport à la CEDAW.</w:t>
      </w:r>
    </w:p>
    <w:p w:rsidR="000F2BDD" w:rsidRDefault="000F2BDD">
      <w:pPr>
        <w:jc w:val="both"/>
        <w:rPr>
          <w:szCs w:val="17"/>
        </w:rPr>
      </w:pPr>
      <w:r>
        <w:t xml:space="preserve">- Ratifier </w:t>
      </w:r>
      <w:r>
        <w:rPr>
          <w:szCs w:val="17"/>
        </w:rPr>
        <w:t>la Convention d’Istanbul du Conseil d’Europe relative à la violence basée sur le genre.</w:t>
      </w:r>
    </w:p>
    <w:p w:rsidR="000F2BDD" w:rsidRDefault="000F2BDD">
      <w:pPr>
        <w:jc w:val="both"/>
      </w:pPr>
      <w:r>
        <w:t xml:space="preserve">- Promulguer une loi cadre et/ou une loi spécifique, </w:t>
      </w:r>
      <w:r w:rsidR="00D23FB2">
        <w:t>conformément</w:t>
      </w:r>
      <w:r>
        <w:t xml:space="preserve"> aux normes des Nations Unies en vigueur, pour lutter contre les violences à l’encontre des femmes; </w:t>
      </w:r>
    </w:p>
    <w:p w:rsidR="000F2BDD" w:rsidRDefault="000F2BDD">
      <w:pPr>
        <w:jc w:val="both"/>
        <w:rPr>
          <w:color w:val="FF0000"/>
        </w:rPr>
      </w:pPr>
      <w:r>
        <w:t xml:space="preserve">- </w:t>
      </w:r>
      <w:r w:rsidR="00D23FB2">
        <w:t>Ô</w:t>
      </w:r>
      <w:r>
        <w:t xml:space="preserve">ter de l’Article 19 de la Constitution les termes limitant l’égalité entre les hommes et les femmes, en la soumettant au respect « des constantes et des lois du Royaume », ce qui vide le principe d’égalité de son contenu. </w:t>
      </w:r>
    </w:p>
    <w:p w:rsidR="000F2BDD" w:rsidRDefault="000F2BDD">
      <w:pPr>
        <w:jc w:val="both"/>
      </w:pPr>
      <w:r>
        <w:t>- Abolir la polygamie.</w:t>
      </w:r>
    </w:p>
    <w:p w:rsidR="003D01FC" w:rsidRDefault="000F2BDD">
      <w:pPr>
        <w:jc w:val="both"/>
      </w:pPr>
      <w:r>
        <w:t>- Amender l’article 49 du Code de la Famille, relatif aux biens des époux, dont ceux acquis pendant le mariage</w:t>
      </w:r>
      <w:r w:rsidR="003D01FC">
        <w:t>. D</w:t>
      </w:r>
      <w:r>
        <w:t>'une part, adopter comme régime matrimonial de base (par défaut) «la participation aux acquêts», lequel permet à chaque époux de disposer de son propre patrimoine (conformément aux dispositions du Code de la Famille) et en cas de dissolution du mariage, stipule le partage à égalité́ de l’enrichissement des époux durant leur vie commune. D'autre part, autoriser le changement du régime matrimonial d’un commun accord entre les époux, par un acte séparé́, à tout moment et non plus uniquement préalablement à la conclusion de l’acte de mariage.</w:t>
      </w:r>
    </w:p>
    <w:p w:rsidR="000F2BDD" w:rsidRDefault="000F2BDD">
      <w:pPr>
        <w:jc w:val="both"/>
      </w:pPr>
      <w:r>
        <w:t xml:space="preserve">- Modifier la législation pénale pour répondre à trois impératifs, et ce conformément à l’article 22 de la Constitution: l’investigation des violences perpétrées, la sanction de ces violences afin de mettre fin à l’impunité dans le domaine et la réparation des préjudices subis par les victimes. </w:t>
      </w:r>
    </w:p>
    <w:p w:rsidR="000F2BDD" w:rsidRDefault="000F2BDD">
      <w:pPr>
        <w:jc w:val="both"/>
      </w:pPr>
      <w:r>
        <w:t xml:space="preserve">- Activer la Stratégie </w:t>
      </w:r>
      <w:r w:rsidR="003D01FC">
        <w:t>N</w:t>
      </w:r>
      <w:r>
        <w:t xml:space="preserve">ationale de </w:t>
      </w:r>
      <w:r w:rsidR="003D01FC">
        <w:t>L</w:t>
      </w:r>
      <w:r>
        <w:t xml:space="preserve">utte contre la </w:t>
      </w:r>
      <w:r w:rsidR="003D01FC">
        <w:t>V</w:t>
      </w:r>
      <w:r>
        <w:t xml:space="preserve">iolence à l’égard des </w:t>
      </w:r>
      <w:r w:rsidR="003D01FC">
        <w:t>F</w:t>
      </w:r>
      <w:r>
        <w:t xml:space="preserve">emmes, et procéder à l’amendement des dispositions du Code de la </w:t>
      </w:r>
      <w:r w:rsidR="003D01FC">
        <w:t>F</w:t>
      </w:r>
      <w:r>
        <w:t xml:space="preserve">amille incompatibles avec la CEDAW, notamment celles relatives à l’héritage, à la polygamie, à la parenté, </w:t>
      </w:r>
      <w:r w:rsidR="00D23FB2">
        <w:t xml:space="preserve">à </w:t>
      </w:r>
      <w:r>
        <w:t>la tutelle légale sur les enfants et au partage des biens.</w:t>
      </w:r>
    </w:p>
    <w:p w:rsidR="000F2BDD" w:rsidRDefault="000F2BDD">
      <w:pPr>
        <w:jc w:val="both"/>
        <w:rPr>
          <w:szCs w:val="17"/>
        </w:rPr>
      </w:pPr>
      <w:r>
        <w:t>-</w:t>
      </w:r>
      <w:r>
        <w:rPr>
          <w:szCs w:val="17"/>
        </w:rPr>
        <w:t xml:space="preserve"> Accélérer le processus de mise en place de l’Autorité pour la </w:t>
      </w:r>
      <w:r w:rsidR="003D01FC">
        <w:rPr>
          <w:szCs w:val="17"/>
        </w:rPr>
        <w:t>P</w:t>
      </w:r>
      <w:r>
        <w:rPr>
          <w:szCs w:val="17"/>
        </w:rPr>
        <w:t xml:space="preserve">arité et la </w:t>
      </w:r>
      <w:r w:rsidR="003D01FC">
        <w:rPr>
          <w:szCs w:val="17"/>
        </w:rPr>
        <w:t>L</w:t>
      </w:r>
      <w:r>
        <w:rPr>
          <w:szCs w:val="17"/>
        </w:rPr>
        <w:t xml:space="preserve">utte contre toutes les formes de </w:t>
      </w:r>
      <w:r w:rsidR="003D01FC">
        <w:rPr>
          <w:szCs w:val="17"/>
        </w:rPr>
        <w:t>D</w:t>
      </w:r>
      <w:r>
        <w:rPr>
          <w:szCs w:val="17"/>
        </w:rPr>
        <w:t>iscrimination (APALD)</w:t>
      </w:r>
      <w:r w:rsidRPr="006B3B03">
        <w:rPr>
          <w:szCs w:val="17"/>
        </w:rPr>
        <w:t xml:space="preserve">en assurant son indépendance, </w:t>
      </w:r>
      <w:r>
        <w:rPr>
          <w:szCs w:val="17"/>
        </w:rPr>
        <w:t xml:space="preserve">en </w:t>
      </w:r>
      <w:r w:rsidRPr="006B3B03">
        <w:rPr>
          <w:szCs w:val="17"/>
        </w:rPr>
        <w:t xml:space="preserve">lui donnant des attributions décisionnelles et </w:t>
      </w:r>
      <w:r>
        <w:rPr>
          <w:szCs w:val="17"/>
        </w:rPr>
        <w:t xml:space="preserve">en </w:t>
      </w:r>
      <w:r w:rsidRPr="006B3B03">
        <w:rPr>
          <w:szCs w:val="17"/>
        </w:rPr>
        <w:t>lui permett</w:t>
      </w:r>
      <w:r>
        <w:rPr>
          <w:szCs w:val="17"/>
        </w:rPr>
        <w:t>ant</w:t>
      </w:r>
      <w:r w:rsidRPr="006B3B03">
        <w:rPr>
          <w:szCs w:val="17"/>
        </w:rPr>
        <w:t xml:space="preserve"> d’avoir un droit de regard sur les politiques publiques </w:t>
      </w:r>
      <w:r>
        <w:rPr>
          <w:szCs w:val="17"/>
        </w:rPr>
        <w:t xml:space="preserve">pouvant avoir un impact sur </w:t>
      </w:r>
      <w:r w:rsidRPr="006B3B03">
        <w:rPr>
          <w:szCs w:val="17"/>
        </w:rPr>
        <w:t>la situation des femmes</w:t>
      </w:r>
      <w:r>
        <w:rPr>
          <w:szCs w:val="17"/>
        </w:rPr>
        <w:t>.</w:t>
      </w:r>
    </w:p>
    <w:p w:rsidR="000F2BDD" w:rsidRPr="006B3B03" w:rsidRDefault="000F2BDD">
      <w:pPr>
        <w:jc w:val="both"/>
        <w:rPr>
          <w:szCs w:val="17"/>
        </w:rPr>
      </w:pPr>
      <w:r>
        <w:rPr>
          <w:szCs w:val="17"/>
        </w:rPr>
        <w:t>-</w:t>
      </w:r>
      <w:r w:rsidRPr="006B3B03">
        <w:rPr>
          <w:szCs w:val="17"/>
        </w:rPr>
        <w:t>Accélérer la mise en place  du Conseil consultatif de la famille et de l’enfance.</w:t>
      </w:r>
    </w:p>
    <w:p w:rsidR="000F2BDD" w:rsidRDefault="000F2BDD">
      <w:pPr>
        <w:jc w:val="both"/>
        <w:rPr>
          <w:rFonts w:ascii=".Helvetica Neue DeskInterface" w:eastAsia=".Helvetica Neue DeskInterface"/>
          <w:sz w:val="20"/>
          <w:lang w:eastAsia="hi-IN" w:bidi="hi-IN"/>
        </w:rPr>
      </w:pPr>
      <w:r>
        <w:t>- Élargir les bénéfices du fonds de la solidarité familiale aux enfants nés hors mariage.</w:t>
      </w:r>
    </w:p>
    <w:p w:rsidR="000F2BDD" w:rsidRDefault="000F2BDD" w:rsidP="00F35788">
      <w:pPr>
        <w:jc w:val="both"/>
      </w:pPr>
      <w:r>
        <w:t>- Modifier le Code de la nationalité</w:t>
      </w:r>
      <w:r w:rsidR="003D01FC">
        <w:t xml:space="preserve"> marocaine</w:t>
      </w:r>
      <w:r>
        <w:t xml:space="preserve"> de manière à reconnaître aux femmes le droit de transmettre leur nationalité à leur</w:t>
      </w:r>
      <w:r w:rsidR="00D23FB2">
        <w:t>s</w:t>
      </w:r>
      <w:r>
        <w:t xml:space="preserve"> époux étranger</w:t>
      </w:r>
      <w:r w:rsidR="00D23FB2">
        <w:t>s</w:t>
      </w:r>
      <w:r>
        <w:t xml:space="preserve"> dans  les  mêmes  conditions  exigées pour  l’épouse étrangère.</w:t>
      </w:r>
    </w:p>
    <w:p w:rsidR="000F2BDD" w:rsidRDefault="000F2BDD" w:rsidP="00F35788">
      <w:pPr>
        <w:jc w:val="both"/>
      </w:pPr>
      <w:r>
        <w:t>- Mettre en œuvre l’article 4 du Code d</w:t>
      </w:r>
      <w:r w:rsidR="00426258">
        <w:t>u</w:t>
      </w:r>
      <w:r>
        <w:t xml:space="preserve"> travail qui prévoit la mise en place de la protection du travail domestique et dans le secteur agricol</w:t>
      </w:r>
      <w:r w:rsidR="00D23FB2">
        <w:t>e</w:t>
      </w:r>
      <w:r>
        <w:t xml:space="preserve"> et artisanal</w:t>
      </w:r>
    </w:p>
    <w:p w:rsidR="000F2BDD" w:rsidRDefault="000F2BDD">
      <w:pPr>
        <w:jc w:val="both"/>
      </w:pPr>
      <w:r>
        <w:t xml:space="preserve">- Prendre des mesures légales et politiques en vue de garantir </w:t>
      </w:r>
      <w:r>
        <w:rPr>
          <w:szCs w:val="20"/>
        </w:rPr>
        <w:t>l’égalité de salaire d’hommes et femmes pour un travail de même valeur.</w:t>
      </w:r>
      <w:r>
        <w:rPr>
          <w:rStyle w:val="CommentReference"/>
          <w:szCs w:val="18"/>
        </w:rPr>
        <w:t> </w:t>
      </w:r>
    </w:p>
    <w:p w:rsidR="000F2BDD" w:rsidRDefault="000F2BDD">
      <w:pPr>
        <w:jc w:val="both"/>
      </w:pPr>
      <w:r>
        <w:t xml:space="preserve">- Lutter contre les violences basées sur le genre par la mise en œuvre du Plan </w:t>
      </w:r>
      <w:r w:rsidR="003D01FC">
        <w:t>G</w:t>
      </w:r>
      <w:r>
        <w:t xml:space="preserve">ouvernemental </w:t>
      </w:r>
      <w:r w:rsidR="003D01FC">
        <w:t xml:space="preserve">pour </w:t>
      </w:r>
      <w:r>
        <w:t xml:space="preserve">l’Égalité </w:t>
      </w:r>
      <w:r w:rsidR="003D01FC">
        <w:t xml:space="preserve">(ICRAM) </w:t>
      </w:r>
      <w:r>
        <w:t>ainsi que par l’opérationnalisation réelle et coordonnée des stratégies des différents départements ministériels avec l’implication de l’ensemble des acteurs concernés.</w:t>
      </w:r>
    </w:p>
    <w:p w:rsidR="000F2BDD" w:rsidRDefault="000F2BDD">
      <w:pPr>
        <w:jc w:val="both"/>
      </w:pPr>
      <w:r>
        <w:t xml:space="preserve">- Renforcer la prise de conscience de l’opinion publique sur la question des violences basées sur le genre: intégration dans les manuels scolaires, dans le cursus de formation des juges, des médecins, </w:t>
      </w:r>
      <w:r w:rsidR="00D23FB2">
        <w:t xml:space="preserve">des </w:t>
      </w:r>
      <w:r>
        <w:t xml:space="preserve">infirmiers et </w:t>
      </w:r>
      <w:r w:rsidR="00D23FB2">
        <w:t xml:space="preserve">des </w:t>
      </w:r>
      <w:r>
        <w:t xml:space="preserve">policiers, diversification des canaux et supports de sensibilisation aux violences à l’encontre des femmes. </w:t>
      </w:r>
    </w:p>
    <w:p w:rsidR="000F2BDD" w:rsidRDefault="000F2BDD">
      <w:pPr>
        <w:jc w:val="both"/>
      </w:pPr>
      <w:r>
        <w:t xml:space="preserve">- Mettre en place une politique de sensibilisation aux droits des femmes et à la culture de l’égalité. </w:t>
      </w:r>
    </w:p>
    <w:p w:rsidR="000F2BDD" w:rsidRDefault="000F2BDD">
      <w:pPr>
        <w:jc w:val="both"/>
      </w:pPr>
      <w:r>
        <w:t>-Instaurer</w:t>
      </w:r>
      <w:r w:rsidRPr="00F35788">
        <w:t xml:space="preserve"> les </w:t>
      </w:r>
      <w:r>
        <w:t>cellules d’</w:t>
      </w:r>
      <w:r w:rsidRPr="00F35788">
        <w:t xml:space="preserve">accueil </w:t>
      </w:r>
      <w:r>
        <w:t>des femmes</w:t>
      </w:r>
      <w:r w:rsidRPr="00F35788">
        <w:t xml:space="preserve"> violen</w:t>
      </w:r>
      <w:r>
        <w:t>tée</w:t>
      </w:r>
      <w:r w:rsidRPr="00F35788">
        <w:t>s au niveau des tribunaux, des</w:t>
      </w:r>
      <w:r>
        <w:t xml:space="preserve"> centre</w:t>
      </w:r>
      <w:r w:rsidR="00D23FB2">
        <w:t>s</w:t>
      </w:r>
      <w:r>
        <w:t xml:space="preserve"> de</w:t>
      </w:r>
      <w:r w:rsidRPr="00F35788">
        <w:t xml:space="preserve"> police </w:t>
      </w:r>
      <w:r>
        <w:t xml:space="preserve">judiciaire, </w:t>
      </w:r>
      <w:r w:rsidRPr="00F35788">
        <w:t>des inspections de travai</w:t>
      </w:r>
      <w:r>
        <w:t>l, ainsi qu’</w:t>
      </w:r>
      <w:r w:rsidRPr="00F35788">
        <w:t xml:space="preserve">au sein des hôpitaux, </w:t>
      </w:r>
      <w:r>
        <w:t>et installer les centres d’</w:t>
      </w:r>
      <w:r w:rsidRPr="00F35788">
        <w:t>accueil</w:t>
      </w:r>
      <w:r>
        <w:t xml:space="preserve"> des femmes victimes de violence et leurs enfants dans toutes les </w:t>
      </w:r>
      <w:r w:rsidRPr="00F35788">
        <w:t>régions du Maroc</w:t>
      </w:r>
      <w:r>
        <w:t>.</w:t>
      </w:r>
    </w:p>
    <w:p w:rsidR="000F2BDD" w:rsidRDefault="000F2BDD">
      <w:pPr>
        <w:jc w:val="both"/>
      </w:pPr>
      <w:r>
        <w:t xml:space="preserve">- Consacrer un budget pour ces cellules et </w:t>
      </w:r>
      <w:r w:rsidR="00D23FB2">
        <w:t xml:space="preserve">pour </w:t>
      </w:r>
      <w:r>
        <w:t xml:space="preserve">les structures de prise en charge des femmes dans le cadre des budgets de chaque département gouvernemental concerné, ainsi que </w:t>
      </w:r>
      <w:r w:rsidR="00D23FB2">
        <w:t xml:space="preserve">dans </w:t>
      </w:r>
      <w:r>
        <w:t xml:space="preserve">chaque région et collectivité locale.  </w:t>
      </w:r>
    </w:p>
    <w:p w:rsidR="000F2BDD" w:rsidRDefault="000F2BDD">
      <w:pPr>
        <w:jc w:val="both"/>
      </w:pPr>
      <w:r>
        <w:t xml:space="preserve">- Amender la loi portant sur l’organisation des institutions de protection sociale conformément aux conditions d’hébergement des victimes de violences et à leurs besoins spécifiques. </w:t>
      </w:r>
    </w:p>
    <w:p w:rsidR="000F2BDD" w:rsidRDefault="000F2BDD">
      <w:pPr>
        <w:jc w:val="both"/>
      </w:pPr>
      <w:r>
        <w:t>- Fournir l’information demandée par le Comité dans son OG 28.</w:t>
      </w:r>
    </w:p>
    <w:p w:rsidR="000F2BDD" w:rsidRDefault="000F2BDD">
      <w:pPr>
        <w:jc w:val="both"/>
      </w:pPr>
    </w:p>
    <w:p w:rsidR="000F2BDD" w:rsidRDefault="000F2BDD">
      <w:pPr>
        <w:pStyle w:val="Heading2"/>
        <w:spacing w:after="0"/>
      </w:pPr>
      <w:bookmarkStart w:id="6" w:name="_Toc311886139"/>
      <w:r>
        <w:t>ARTICLE 5.- Interdiction d’une interprétation étroite du Pacte</w:t>
      </w:r>
      <w:bookmarkEnd w:id="6"/>
    </w:p>
    <w:p w:rsidR="000F2BDD" w:rsidRDefault="000F2BDD">
      <w:pPr>
        <w:jc w:val="both"/>
      </w:pPr>
    </w:p>
    <w:p w:rsidR="000F2BDD" w:rsidRDefault="000F2BDD">
      <w:pPr>
        <w:jc w:val="both"/>
      </w:pPr>
      <w:r>
        <w:t xml:space="preserve">À propos de cet article, les explications fournies par l’État dans les paragraphes 99 et 100 de son rapport sont clairement insuffisantes </w:t>
      </w:r>
      <w:r w:rsidR="00117C28">
        <w:t>vu</w:t>
      </w:r>
      <w:r w:rsidR="00D23FB2">
        <w:t>e</w:t>
      </w:r>
      <w:r>
        <w:t xml:space="preserve"> l’ambigüité dans la réponse du gouvernement quant </w:t>
      </w:r>
      <w:r w:rsidR="00D23FB2">
        <w:t>à</w:t>
      </w:r>
      <w:r>
        <w:t xml:space="preserve"> la primauté de la législation internationale sur la législation locale. On relève aussi que dans les procès, on ne se conforme qu</w:t>
      </w:r>
      <w:r w:rsidR="00D23FB2">
        <w:t>’</w:t>
      </w:r>
      <w:r>
        <w:t>exceptionnellement à la législation internationale mais on a recours toujours à la législation interne, ce qui va contre ce qu’établit l’OG n. 31</w:t>
      </w:r>
      <w:r>
        <w:rPr>
          <w:rStyle w:val="FootnoteReference"/>
        </w:rPr>
        <w:footnoteReference w:id="5"/>
      </w:r>
      <w:r>
        <w:t xml:space="preserve"> dans son paragraphe 13: « Il s’ensuit que si les droits énoncés dans le Pacte ne sont pas déjà protégés par les lois ou les pratiques internes, les États parties sont tenus, lorsqu’ils ont ratifié le Pacte, de modifier leurs lois et leurs pratiques de manière à les mettre en conformité avec le Pacte ». Dans ce sens, nous considérons qu’il est nécessaire non seulement de modifier les pratiques et lois internes conformément au Pacte et d’établir la primauté du </w:t>
      </w:r>
      <w:r w:rsidR="00117C28">
        <w:t>d</w:t>
      </w:r>
      <w:r>
        <w:t xml:space="preserve">roit international sur le droit interne comme le fait la Constitution de 2011(bien qu’incomplète), mais il est également fondamental que les juges et tribunaux respectent cette hiérarchie dans la résolution des conflits, ce qui n’est pas le cas actuellement, pour éviter de promouvoir une interprétation étroite du Pacte. </w:t>
      </w:r>
    </w:p>
    <w:p w:rsidR="000F2BDD" w:rsidRDefault="000F2BDD">
      <w:pPr>
        <w:jc w:val="both"/>
      </w:pPr>
    </w:p>
    <w:p w:rsidR="000F2BDD" w:rsidRDefault="000F2BDD">
      <w:pPr>
        <w:pStyle w:val="Heading3"/>
        <w:spacing w:after="0"/>
        <w:rPr>
          <w:highlight w:val="white"/>
        </w:rPr>
      </w:pPr>
      <w:r>
        <w:rPr>
          <w:highlight w:val="white"/>
        </w:rPr>
        <w:t xml:space="preserve">Recommandations en lien avec l’Article 5 du Pacte: </w:t>
      </w:r>
    </w:p>
    <w:p w:rsidR="000F2BDD" w:rsidRDefault="000F2BDD">
      <w:pPr>
        <w:jc w:val="both"/>
      </w:pPr>
    </w:p>
    <w:p w:rsidR="000F2BDD" w:rsidRDefault="000F2BDD">
      <w:pPr>
        <w:numPr>
          <w:ilvl w:val="1"/>
          <w:numId w:val="1"/>
        </w:numPr>
        <w:tabs>
          <w:tab w:val="clear" w:pos="1440"/>
          <w:tab w:val="num" w:pos="180"/>
        </w:tabs>
        <w:ind w:left="180" w:hanging="180"/>
        <w:jc w:val="both"/>
      </w:pPr>
      <w:r>
        <w:t>Prendre des mesures pour que les tribunaux respectent ce que dispose la Constitution de 2011 sur la primauté d</w:t>
      </w:r>
      <w:r w:rsidR="00117C28">
        <w:t>ud</w:t>
      </w:r>
      <w:r>
        <w:t xml:space="preserve">roit </w:t>
      </w:r>
      <w:r w:rsidR="00117C28">
        <w:t>i</w:t>
      </w:r>
      <w:r>
        <w:t>nternational sur le droit interne</w:t>
      </w:r>
    </w:p>
    <w:p w:rsidR="000F2BDD" w:rsidRDefault="000F2BDD">
      <w:pPr>
        <w:numPr>
          <w:ilvl w:val="1"/>
          <w:numId w:val="1"/>
        </w:numPr>
        <w:tabs>
          <w:tab w:val="clear" w:pos="1440"/>
          <w:tab w:val="num" w:pos="180"/>
        </w:tabs>
        <w:ind w:left="180" w:hanging="180"/>
        <w:jc w:val="both"/>
      </w:pPr>
      <w:r>
        <w:t xml:space="preserve">Harmoniser les lois nationales avec les conventions internationales ratifiées, notamment la Constitution, le CP et le Code du </w:t>
      </w:r>
      <w:r w:rsidR="00426258">
        <w:t>t</w:t>
      </w:r>
      <w:r>
        <w:t xml:space="preserve">ravail. </w:t>
      </w:r>
    </w:p>
    <w:p w:rsidR="000F2BDD" w:rsidRDefault="000F2BDD">
      <w:pPr>
        <w:jc w:val="both"/>
      </w:pPr>
    </w:p>
    <w:p w:rsidR="000F2BDD" w:rsidRDefault="000F2BDD">
      <w:pPr>
        <w:pStyle w:val="Heading2"/>
        <w:spacing w:after="0"/>
      </w:pPr>
      <w:bookmarkStart w:id="7" w:name="_Toc311886140"/>
      <w:r>
        <w:t>ARTICLE 6.- Droit à la vie.</w:t>
      </w:r>
      <w:bookmarkEnd w:id="7"/>
    </w:p>
    <w:p w:rsidR="000F2BDD" w:rsidRDefault="000F2BDD">
      <w:pPr>
        <w:jc w:val="both"/>
      </w:pPr>
    </w:p>
    <w:p w:rsidR="000F2BDD" w:rsidRDefault="000F2BDD">
      <w:pPr>
        <w:jc w:val="both"/>
      </w:pPr>
      <w:r>
        <w:t xml:space="preserve">Le rapport de l’État fournit des données sur les progrès dans la garantie du droit à la vie (paragraphes 101 à 112) que nous considérons insuffisantes, d’une part, du fait que les informations apportées sont incomplètes et, de l’autre, parce qu’elles ignorent les violations de ce droit qui se produisent au Maroc. </w:t>
      </w:r>
    </w:p>
    <w:p w:rsidR="000F2BDD" w:rsidRDefault="000F2BDD">
      <w:pPr>
        <w:jc w:val="both"/>
      </w:pPr>
    </w:p>
    <w:p w:rsidR="000F2BDD" w:rsidRDefault="000F2BDD">
      <w:pPr>
        <w:jc w:val="both"/>
      </w:pPr>
      <w:r>
        <w:t>En ce qui concerne le manque d’information, l’État ne fournit pas les informations, demandées dans l’OG n. 6</w:t>
      </w:r>
      <w:r>
        <w:rPr>
          <w:rStyle w:val="FootnoteReference"/>
        </w:rPr>
        <w:footnoteReference w:id="6"/>
      </w:r>
      <w:r>
        <w:t>, paragraphe 4, sur les mesures prises pour empêcher la disparition des individus. Du même, le rapport omet des informations sur les mesures prises pour diminuer la mortalité infantile et pour accroître l’espérance de vie, et en particulier des mesures permettant d’éliminer la malnutrition et les épidémies, demandées par la même OG (paragraphe 5).  </w:t>
      </w:r>
    </w:p>
    <w:p w:rsidR="000F2BDD" w:rsidRDefault="000F2BDD">
      <w:pPr>
        <w:jc w:val="both"/>
      </w:pPr>
    </w:p>
    <w:p w:rsidR="000F2BDD" w:rsidRDefault="000F2BDD">
      <w:pPr>
        <w:jc w:val="both"/>
      </w:pPr>
      <w:r>
        <w:t>En ce qui concerne la peine de mort, l’OG n. 6, paragraphe 6, dispose que « les États parties ne sont pas tenus d’abolir totalement la peine capitale, ils doivent en limiter l’application et, en particulier, l’abolir pour tout ce qui n’entre pas dans la catégorie des crimes les plus graves. D’une manière générale, l’abolition est évoquée dans cet article en des termes qui suggèrent sans ambiguïté (par. 2 et 6) que l’abolition est souhaitable ». Les mesures présentées dans le rapport de l’État comme des progrès sont donc insuffisantes. Et</w:t>
      </w:r>
      <w:r w:rsidR="00426258">
        <w:t>,</w:t>
      </w:r>
      <w:r>
        <w:t xml:space="preserve"> à ce titre</w:t>
      </w:r>
      <w:r w:rsidR="00426258">
        <w:t>,</w:t>
      </w:r>
      <w:r>
        <w:t xml:space="preserve"> on peut noter la mobilisation de la société civile par la création, le 10 octobre 2003, d’une Coalition </w:t>
      </w:r>
      <w:r w:rsidR="00426258">
        <w:t xml:space="preserve">nationale </w:t>
      </w:r>
      <w:r>
        <w:t xml:space="preserve">pour l’abolition de la peine de mort. </w:t>
      </w:r>
      <w:r>
        <w:rPr>
          <w:bCs/>
        </w:rPr>
        <w:t>On doit également rappeler que l’Etat s’est engagé dans le cadre des recommandations de l’Instance Equité et Réconciliation publiées en janvier 2006, de ratifier le 2ème protocole facultatif du pacte sur l’abolition, tandis que le Maroc a toujours opté pour l’abstention dans le vote sur le moratoire à l’ONU, alors qu’il est abolitionniste de fait.</w:t>
      </w:r>
    </w:p>
    <w:p w:rsidR="000F2BDD" w:rsidRDefault="000F2BDD">
      <w:pPr>
        <w:rPr>
          <w:b/>
          <w:bCs/>
          <w:color w:val="FF0000"/>
        </w:rPr>
      </w:pPr>
    </w:p>
    <w:p w:rsidR="000F2BDD" w:rsidRDefault="000F2BDD">
      <w:pPr>
        <w:rPr>
          <w:bCs/>
        </w:rPr>
      </w:pPr>
      <w:r>
        <w:rPr>
          <w:bCs/>
        </w:rPr>
        <w:t>Le droit à la vie est aussi bafoué suite à la violence des forces de l’ordre dans ces cas :</w:t>
      </w:r>
    </w:p>
    <w:p w:rsidR="000F2BDD" w:rsidRDefault="000F2BDD">
      <w:pPr>
        <w:numPr>
          <w:ilvl w:val="1"/>
          <w:numId w:val="1"/>
        </w:numPr>
        <w:tabs>
          <w:tab w:val="clear" w:pos="1440"/>
          <w:tab w:val="num" w:pos="360"/>
        </w:tabs>
        <w:ind w:left="180" w:hanging="180"/>
        <w:jc w:val="both"/>
        <w:rPr>
          <w:bCs/>
        </w:rPr>
      </w:pPr>
      <w:r>
        <w:rPr>
          <w:bCs/>
        </w:rPr>
        <w:t xml:space="preserve">Le cas de Kamal Ammari, du mouvement du 20 </w:t>
      </w:r>
      <w:r w:rsidR="00426258">
        <w:rPr>
          <w:bCs/>
        </w:rPr>
        <w:t>F</w:t>
      </w:r>
      <w:r>
        <w:rPr>
          <w:bCs/>
        </w:rPr>
        <w:t>évrier, mort suite aux coups des forces de l’ordre subis quelques jours avant le 22 mai 2011 à la ville de Safi au sud de Rabat. Le CNDH l’a rapporté dans son rapport annuel de 2014 en reconnaissant que sa mort était causée suite aux mauvais traitements de la police et que ce crime est resté impuni.</w:t>
      </w:r>
    </w:p>
    <w:p w:rsidR="000F2BDD" w:rsidRDefault="000F2BDD">
      <w:pPr>
        <w:numPr>
          <w:ilvl w:val="1"/>
          <w:numId w:val="1"/>
        </w:numPr>
        <w:tabs>
          <w:tab w:val="clear" w:pos="1440"/>
          <w:tab w:val="num" w:pos="360"/>
        </w:tabs>
        <w:ind w:left="180" w:hanging="180"/>
        <w:jc w:val="both"/>
        <w:rPr>
          <w:bCs/>
        </w:rPr>
      </w:pPr>
      <w:r>
        <w:rPr>
          <w:bCs/>
        </w:rPr>
        <w:t xml:space="preserve">Le cas de Karim Chaib, tabassé sous les yeux des passants. La scène était filmée et publiée sur </w:t>
      </w:r>
      <w:r w:rsidR="00426258">
        <w:rPr>
          <w:bCs/>
        </w:rPr>
        <w:t>Y</w:t>
      </w:r>
      <w:r>
        <w:rPr>
          <w:bCs/>
        </w:rPr>
        <w:t>outube sans que les autorités judiciaires ouvrentune enquête.</w:t>
      </w:r>
    </w:p>
    <w:p w:rsidR="000F2BDD" w:rsidRDefault="000F2BDD">
      <w:pPr>
        <w:numPr>
          <w:ilvl w:val="1"/>
          <w:numId w:val="1"/>
        </w:numPr>
        <w:tabs>
          <w:tab w:val="clear" w:pos="1440"/>
          <w:tab w:val="num" w:pos="360"/>
        </w:tabs>
        <w:ind w:left="180" w:hanging="180"/>
        <w:jc w:val="both"/>
        <w:rPr>
          <w:bCs/>
        </w:rPr>
      </w:pPr>
      <w:r>
        <w:t>Le cas de Rachid Chine de la ville d’Assa au sud</w:t>
      </w:r>
      <w:r w:rsidR="00426258">
        <w:t>,</w:t>
      </w:r>
      <w:r>
        <w:t xml:space="preserve"> qui est mort également suite à la brutalité policière et qui a été aussi inclus dans le rapport du CNDH.</w:t>
      </w:r>
    </w:p>
    <w:p w:rsidR="000F2BDD" w:rsidRDefault="000F2BDD">
      <w:pPr>
        <w:numPr>
          <w:ilvl w:val="1"/>
          <w:numId w:val="1"/>
        </w:numPr>
        <w:tabs>
          <w:tab w:val="clear" w:pos="1440"/>
          <w:tab w:val="num" w:pos="360"/>
        </w:tabs>
        <w:ind w:left="180" w:hanging="180"/>
        <w:jc w:val="both"/>
        <w:rPr>
          <w:bCs/>
        </w:rPr>
      </w:pPr>
      <w:r>
        <w:t xml:space="preserve">En 2005 les frontières de </w:t>
      </w:r>
      <w:r w:rsidR="00426258">
        <w:t xml:space="preserve">Ceuta </w:t>
      </w:r>
      <w:r>
        <w:t>et Melilla ont connu des attaques des forces de l’ordre contre les migrants qui ont essayé de franchir ces frontières, ce qui a fait une dizaine de morts (10 ou 14 selon les rapports). Aucune suite n’a été donnée et l’impunité règne en profit aussi bien des gardes marocains qu’espagnols</w:t>
      </w:r>
      <w:r w:rsidR="00426258">
        <w:t>,</w:t>
      </w:r>
      <w:r>
        <w:t xml:space="preserve"> responsables de cette attaque.</w:t>
      </w:r>
    </w:p>
    <w:p w:rsidR="000F2BDD" w:rsidRDefault="000F2BDD">
      <w:pPr>
        <w:jc w:val="both"/>
        <w:rPr>
          <w:bCs/>
        </w:rPr>
      </w:pPr>
    </w:p>
    <w:p w:rsidR="000F2BDD" w:rsidRDefault="000F2BDD">
      <w:pPr>
        <w:jc w:val="both"/>
        <w:rPr>
          <w:bCs/>
        </w:rPr>
      </w:pPr>
      <w:r>
        <w:t>Par rapport aux personnes disparues pendant les années de plomb, l’État ne peut ignorer l’identité</w:t>
      </w:r>
      <w:r w:rsidR="00426258">
        <w:t xml:space="preserve">, </w:t>
      </w:r>
      <w:r>
        <w:t xml:space="preserve">le nombre, les lieux des séquestrations et les circonstances de leurs disparitions. </w:t>
      </w:r>
      <w:r>
        <w:rPr>
          <w:bCs/>
        </w:rPr>
        <w:t xml:space="preserve">Les familles attendent toujours les informations sur leurs disparus pendant cette période. </w:t>
      </w:r>
      <w:r>
        <w:t>L’État devrait faire la lumière sur ces victimes de disparition sans recours à des prétendues investigations ou enquêtes du CCDH, ancienne version du CNDH, qui avait délivré des faux certificats de décès à certaines familles et fournit des informations fausses aussi en lien avec d’autres cas (</w:t>
      </w:r>
      <w:r w:rsidR="00426258">
        <w:t>d</w:t>
      </w:r>
      <w:r>
        <w:t xml:space="preserve">isparus Roussi Abdelhak, Mehdi Ben Barka, Manouzi Abdelhak,…). </w:t>
      </w:r>
    </w:p>
    <w:p w:rsidR="000F2BDD" w:rsidRDefault="000F2BDD">
      <w:pPr>
        <w:rPr>
          <w:highlight w:val="white"/>
        </w:rPr>
      </w:pPr>
    </w:p>
    <w:p w:rsidR="000F2BDD" w:rsidRDefault="000F2BDD">
      <w:pPr>
        <w:pStyle w:val="Heading3"/>
        <w:spacing w:after="0"/>
        <w:rPr>
          <w:highlight w:val="white"/>
        </w:rPr>
      </w:pPr>
      <w:r>
        <w:rPr>
          <w:highlight w:val="white"/>
        </w:rPr>
        <w:t xml:space="preserve">Recommandations en lien avec l’article 6 du Pacte: </w:t>
      </w:r>
    </w:p>
    <w:p w:rsidR="000F2BDD" w:rsidRDefault="000F2BDD">
      <w:pPr>
        <w:rPr>
          <w:highlight w:val="white"/>
        </w:rPr>
      </w:pPr>
    </w:p>
    <w:p w:rsidR="000F2BDD" w:rsidRDefault="000F2BDD">
      <w:pPr>
        <w:jc w:val="both"/>
      </w:pPr>
      <w:r>
        <w:rPr>
          <w:highlight w:val="white"/>
        </w:rPr>
        <w:t xml:space="preserve">-Amender le CP </w:t>
      </w:r>
      <w:r w:rsidR="00414088">
        <w:t xml:space="preserve">et </w:t>
      </w:r>
      <w:r w:rsidRPr="002255E1">
        <w:t>le co</w:t>
      </w:r>
      <w:r>
        <w:t>de de la justice militaire en</w:t>
      </w:r>
      <w:r w:rsidRPr="002255E1">
        <w:t xml:space="preserve"> vue d’abolir la peine de mort.</w:t>
      </w:r>
    </w:p>
    <w:p w:rsidR="000F2BDD" w:rsidRPr="0081632C" w:rsidRDefault="000F2BDD">
      <w:pPr>
        <w:jc w:val="both"/>
        <w:rPr>
          <w:bCs/>
        </w:rPr>
      </w:pPr>
      <w:r>
        <w:rPr>
          <w:shd w:val="clear" w:color="auto" w:fill="FFFFFF"/>
        </w:rPr>
        <w:t xml:space="preserve">- Mettre fin à l’impunité des responsables des violations du droit à la vie et prendre les mesures pour que des enquêtes soient réalisées sur les cas de violations du droit à la vie commises par des forces de l’ordre. </w:t>
      </w:r>
    </w:p>
    <w:p w:rsidR="000F2BDD" w:rsidRDefault="000F2BDD">
      <w:pPr>
        <w:jc w:val="both"/>
        <w:rPr>
          <w:bCs/>
        </w:rPr>
      </w:pPr>
      <w:r>
        <w:rPr>
          <w:bCs/>
        </w:rPr>
        <w:t>- Faire des enquêtes indépendantes et impartiales sur les cas de disparitions forcées évoqué</w:t>
      </w:r>
      <w:r w:rsidR="00414088">
        <w:rPr>
          <w:bCs/>
        </w:rPr>
        <w:t>e</w:t>
      </w:r>
      <w:r>
        <w:rPr>
          <w:bCs/>
        </w:rPr>
        <w:t xml:space="preserve">s dans le rapport de l’IER et qui n’ont </w:t>
      </w:r>
      <w:r w:rsidR="00414088">
        <w:rPr>
          <w:bCs/>
        </w:rPr>
        <w:t xml:space="preserve">pas </w:t>
      </w:r>
      <w:r>
        <w:rPr>
          <w:bCs/>
        </w:rPr>
        <w:t xml:space="preserve">connu aucune enquête sérieuse. </w:t>
      </w:r>
    </w:p>
    <w:p w:rsidR="000F2BDD" w:rsidRDefault="000F2BDD">
      <w:pPr>
        <w:jc w:val="both"/>
        <w:rPr>
          <w:bCs/>
        </w:rPr>
      </w:pPr>
      <w:r>
        <w:rPr>
          <w:bCs/>
        </w:rPr>
        <w:t>- Ouvrir une enquête sur les fosses communes découvertes les dix dernières années à Smara, à Nador, à Casablanca, etc.</w:t>
      </w:r>
    </w:p>
    <w:p w:rsidR="000F2BDD" w:rsidRDefault="000F2BDD">
      <w:pPr>
        <w:jc w:val="both"/>
        <w:rPr>
          <w:bCs/>
        </w:rPr>
      </w:pPr>
      <w:r>
        <w:rPr>
          <w:bCs/>
        </w:rPr>
        <w:t>- Prendre les mesures nécessaires pour réduire les taux de mortalité infantile et de</w:t>
      </w:r>
      <w:r w:rsidR="00BA19AA">
        <w:rPr>
          <w:bCs/>
        </w:rPr>
        <w:t xml:space="preserve"> la mortalité</w:t>
      </w:r>
      <w:r>
        <w:rPr>
          <w:bCs/>
        </w:rPr>
        <w:t xml:space="preserve"> femmes en couches.</w:t>
      </w:r>
    </w:p>
    <w:p w:rsidR="000F2BDD" w:rsidRDefault="000F2BDD">
      <w:pPr>
        <w:numPr>
          <w:ilvl w:val="1"/>
          <w:numId w:val="1"/>
        </w:numPr>
        <w:tabs>
          <w:tab w:val="clear" w:pos="1440"/>
          <w:tab w:val="num" w:pos="142"/>
        </w:tabs>
        <w:ind w:left="0" w:firstLine="0"/>
        <w:jc w:val="both"/>
      </w:pPr>
      <w:r>
        <w:t>Fournir les informations demandées par le Comité dans son OG n.6.</w:t>
      </w:r>
    </w:p>
    <w:p w:rsidR="000F2BDD" w:rsidRDefault="000F2BDD">
      <w:pPr>
        <w:jc w:val="both"/>
      </w:pPr>
    </w:p>
    <w:p w:rsidR="000F2BDD" w:rsidRDefault="000F2BDD">
      <w:pPr>
        <w:pStyle w:val="Heading2"/>
        <w:spacing w:after="0"/>
      </w:pPr>
      <w:bookmarkStart w:id="8" w:name="_Toc311886141"/>
      <w:r>
        <w:t>ARTICLE 7.- Interdiction de la torture</w:t>
      </w:r>
      <w:bookmarkEnd w:id="8"/>
    </w:p>
    <w:p w:rsidR="000F2BDD" w:rsidRDefault="000F2BDD">
      <w:pPr>
        <w:jc w:val="both"/>
      </w:pPr>
    </w:p>
    <w:p w:rsidR="000F2BDD" w:rsidRDefault="000F2BDD">
      <w:pPr>
        <w:jc w:val="both"/>
      </w:pPr>
      <w:r>
        <w:t>Nous constatons des omissions du rapport de l’État (paragraphes 113 à 133) en ce qui concerne les mesures d’extradition, d’expulsion ou de refoulement, à la diffusion des informations pertinentes concernant l’interdiction de la torture et des traitements prohibés par l’article 7 parmi le personnel médical et les agents de la force publique et sur les voi</w:t>
      </w:r>
      <w:r w:rsidR="00BA19AA">
        <w:t>e</w:t>
      </w:r>
      <w:r>
        <w:t>s de recours disponibles. Ainsi, tel que l’établit l’OG n. 20</w:t>
      </w:r>
      <w:r>
        <w:rPr>
          <w:rStyle w:val="FootnoteReference"/>
        </w:rPr>
        <w:footnoteReference w:id="7"/>
      </w:r>
      <w:r>
        <w:t>, dans son paragraphe 9, « les États parties ne doivent pas exposer des individus à un risque de torture ou de peines ou traitements cruels, inhumains ou dégradants en les renvoyant dans un autre pays en vertu d’une mesure d’extradition, d’expulsion ou de refoulement ». Également, en ce qui concerne les ressources disponibles, le CCPR précise dans le paragraphe 14 de ladite OG que « L’article 7 devrait être lu conjointement avec le paragraphe 3 de l’article 2 du Pacte... Les rapports des États parties devraient fournir des renseignements précis sur les voies de recours disponibles pour les victimes de mauvais traitements, les procédures à suivre par les plaignants ainsi que des données statistiques sur le nombre de plaintes et le sort qui leur a été réservé».</w:t>
      </w:r>
    </w:p>
    <w:p w:rsidR="000F2BDD" w:rsidRDefault="000F2BDD">
      <w:pPr>
        <w:jc w:val="both"/>
      </w:pPr>
    </w:p>
    <w:p w:rsidR="000F2BDD" w:rsidRDefault="000F2BDD">
      <w:pPr>
        <w:widowControl w:val="0"/>
        <w:autoSpaceDE w:val="0"/>
        <w:autoSpaceDN w:val="0"/>
        <w:adjustRightInd w:val="0"/>
        <w:jc w:val="both"/>
      </w:pPr>
      <w:r>
        <w:t>Au Maroc, un grand nombre de cas clairs de torture, traitements inhumains et dégradants se produisent sur le territoire sous sa juridiction</w:t>
      </w:r>
      <w:r w:rsidR="00EA742F">
        <w:t>. Ce fait est</w:t>
      </w:r>
      <w:r>
        <w:t xml:space="preserve"> signalé </w:t>
      </w:r>
      <w:r w:rsidR="00EA742F">
        <w:t xml:space="preserve">par </w:t>
      </w:r>
      <w:r>
        <w:t>des procédures spéciales en 2013 et 2014</w:t>
      </w:r>
      <w:r>
        <w:rPr>
          <w:rStyle w:val="FootnoteReference"/>
        </w:rPr>
        <w:footnoteReference w:id="8"/>
      </w:r>
      <w:r>
        <w:t xml:space="preserve">, et </w:t>
      </w:r>
      <w:r w:rsidR="00745E12">
        <w:t xml:space="preserve">par </w:t>
      </w:r>
      <w:r>
        <w:t>les ONG marocaines et internationales, notamment Amnesty International dans son rapport de 2015 sur la torture au Maroc</w:t>
      </w:r>
      <w:r>
        <w:rPr>
          <w:rStyle w:val="FootnoteReference"/>
        </w:rPr>
        <w:footnoteReference w:id="9"/>
      </w:r>
      <w:r>
        <w:t xml:space="preserve">, qui se fonde sur 173 cas de torture et autres mauvais traitements infligés à des hommes, des femmes et des mineurs par des policiers et des membres des forces de sécurité entre 2010 et 2014. Les rapports constatent que des cas de torture et d'autres mauvais traitements en détention commis par des officiers de la police, et notamment par des agents de la Direction générale de la Surveillance du Territoire (DST), persistent à travers tout le Maroc, tant dans les affaires de droit commun que, en plus grand nombre, dans les situations liées à des menaces à la sécurité nationale, </w:t>
      </w:r>
      <w:r w:rsidR="00745E12">
        <w:t xml:space="preserve">le </w:t>
      </w:r>
      <w:r>
        <w:t xml:space="preserve">terrorisme, </w:t>
      </w:r>
      <w:r w:rsidR="00745E12">
        <w:t>l’</w:t>
      </w:r>
      <w:r>
        <w:t xml:space="preserve">appartenance à des groupes islamistes, </w:t>
      </w:r>
      <w:r w:rsidR="00745E12">
        <w:t>l’</w:t>
      </w:r>
      <w:r>
        <w:t>activisme pro-indépendance du Sahara ou d</w:t>
      </w:r>
      <w:r w:rsidR="00745E12">
        <w:t>ans des</w:t>
      </w:r>
      <w:r>
        <w:t xml:space="preserve"> manifestation de masse. </w:t>
      </w:r>
    </w:p>
    <w:p w:rsidR="000F2BDD" w:rsidRDefault="000F2BDD">
      <w:pPr>
        <w:pStyle w:val="bodytext0"/>
        <w:spacing w:before="0" w:beforeAutospacing="0" w:after="0" w:afterAutospacing="0"/>
        <w:jc w:val="both"/>
        <w:rPr>
          <w:b/>
          <w:bCs/>
        </w:rPr>
      </w:pPr>
    </w:p>
    <w:p w:rsidR="000F2BDD" w:rsidRDefault="000F2BDD">
      <w:pPr>
        <w:widowControl w:val="0"/>
        <w:autoSpaceDE w:val="0"/>
        <w:autoSpaceDN w:val="0"/>
        <w:adjustRightInd w:val="0"/>
        <w:jc w:val="both"/>
        <w:rPr>
          <w:rFonts w:ascii="Times" w:hAnsi="Times" w:cs="Times"/>
        </w:rPr>
      </w:pPr>
      <w:r>
        <w:t xml:space="preserve">A cette persistance des cas de torture contribue la non-application des garanties existantes, notamment l'obligation d'enquêter sur les allégations de torture. </w:t>
      </w:r>
      <w:r>
        <w:rPr>
          <w:rFonts w:ascii="Times" w:hAnsi="Times" w:cs="Times"/>
        </w:rPr>
        <w:t xml:space="preserve">Bien que le Code de procédure pénale (CPP) donne aux procureurs et aux juges d'instruction les outils pour enquêter sur les allégations de torture ou d'autres mauvais traitements, et que le refus par un juge d’un examen médical demandé par un détenu doive être motivée, la pratique de non respect de l’obligation d’enquête persiste aussi. Le refus d’examen n’est généralement pas motivé et, quand des examens médicaux sont autorisés, ils sont souvent menés après une longue période, ou bien en présence des membres des forces de sécurité, donc dans des conditions d’intimidation </w:t>
      </w:r>
      <w:r w:rsidR="00745E12">
        <w:rPr>
          <w:rFonts w:ascii="Times" w:hAnsi="Times" w:cs="Times"/>
        </w:rPr>
        <w:t xml:space="preserve">bien que </w:t>
      </w:r>
      <w:r>
        <w:rPr>
          <w:rFonts w:ascii="Times" w:hAnsi="Times" w:cs="Times"/>
        </w:rPr>
        <w:t xml:space="preserve">du détenu que du médecin. </w:t>
      </w:r>
    </w:p>
    <w:p w:rsidR="000F2BDD" w:rsidRDefault="000F2BDD">
      <w:pPr>
        <w:widowControl w:val="0"/>
        <w:autoSpaceDE w:val="0"/>
        <w:autoSpaceDN w:val="0"/>
        <w:adjustRightInd w:val="0"/>
        <w:jc w:val="both"/>
        <w:rPr>
          <w:rFonts w:ascii="Times" w:hAnsi="Times" w:cs="Times"/>
        </w:rPr>
      </w:pPr>
    </w:p>
    <w:p w:rsidR="000F2BDD" w:rsidRDefault="000F2BDD">
      <w:pPr>
        <w:widowControl w:val="0"/>
        <w:autoSpaceDE w:val="0"/>
        <w:autoSpaceDN w:val="0"/>
        <w:adjustRightInd w:val="0"/>
        <w:jc w:val="both"/>
        <w:rPr>
          <w:sz w:val="22"/>
          <w:szCs w:val="22"/>
        </w:rPr>
      </w:pPr>
      <w:r>
        <w:t>Aussi,  malgré les dispositions légales existantes qui prévoient l’accès à un avocat pendant les premières 24 heures de détention, dans la pratique cette période n’est pas observée. Même si le CPP interdit l’admission d’aveux obtenus sous contrainte, l’utilisation de la torture par des autorités étatiques pour obtenir des confessions ou des preuves continue d’être signalée (notamment dans les cas liés au contre-terrorisme et à la sécurité interne), tandis que ces aveux ont servi comme seule base pour des condamnations même quand les prévenus les avaient contestés. Néanmoins, même si l’aveu devrait perdre toute valeur s’il est prouv</w:t>
      </w:r>
      <w:r w:rsidR="00745E12">
        <w:t>é</w:t>
      </w:r>
      <w:r>
        <w:t xml:space="preserve"> qu’il a été obtenu par la force, les ONG marocaines ont observ</w:t>
      </w:r>
      <w:r w:rsidR="00745E12">
        <w:t>é</w:t>
      </w:r>
      <w:r>
        <w:t xml:space="preserve"> beaucoup de cas dans lesquels les juges, usant de leur pouvoir discrétionnaire, ont accept</w:t>
      </w:r>
      <w:r w:rsidR="00745E12">
        <w:t>é</w:t>
      </w:r>
      <w:r>
        <w:t xml:space="preserve"> et utilis</w:t>
      </w:r>
      <w:r w:rsidR="00745E12">
        <w:t>é</w:t>
      </w:r>
      <w:r>
        <w:t xml:space="preserve"> des procès-verbaux contenant des aveux obtenus sous la contrainte, voire la torture. L’AMDH a document</w:t>
      </w:r>
      <w:r w:rsidR="00745E12">
        <w:t>é</w:t>
      </w:r>
      <w:r>
        <w:t xml:space="preserve"> de nombreux cas rapportés par des victimes, leur famille ou leur avocat, selon lesquels des déclarations avaient ét</w:t>
      </w:r>
      <w:r w:rsidR="00745E12">
        <w:t>é</w:t>
      </w:r>
      <w:r>
        <w:t xml:space="preserve"> obtenues par l’usage de la force dans le cadre d’affaires criminelles et des procès-verbaux vierges avaient été signés sous la contrainte.</w:t>
      </w:r>
    </w:p>
    <w:p w:rsidR="000F2BDD" w:rsidRDefault="000F2BDD">
      <w:pPr>
        <w:pStyle w:val="NormalWeb"/>
        <w:spacing w:before="0" w:beforeAutospacing="0" w:after="0" w:afterAutospacing="0"/>
        <w:jc w:val="both"/>
        <w:rPr>
          <w:sz w:val="20"/>
          <w:szCs w:val="20"/>
        </w:rPr>
      </w:pPr>
    </w:p>
    <w:p w:rsidR="000F2BDD" w:rsidRDefault="000F2BDD">
      <w:pPr>
        <w:widowControl w:val="0"/>
        <w:autoSpaceDE w:val="0"/>
        <w:autoSpaceDN w:val="0"/>
        <w:adjustRightInd w:val="0"/>
        <w:jc w:val="both"/>
      </w:pPr>
      <w:r>
        <w:t>A cela il faut ajouter que dans la pratique des tribunaux, la charge de la preuve dans les cas d’allégation de torture incombe au plaignant.</w:t>
      </w:r>
    </w:p>
    <w:p w:rsidR="000F2BDD" w:rsidRDefault="000F2BDD">
      <w:pPr>
        <w:widowControl w:val="0"/>
        <w:autoSpaceDE w:val="0"/>
        <w:autoSpaceDN w:val="0"/>
        <w:adjustRightInd w:val="0"/>
        <w:jc w:val="both"/>
      </w:pPr>
    </w:p>
    <w:p w:rsidR="000F2BDD" w:rsidRDefault="000F2BDD">
      <w:pPr>
        <w:jc w:val="both"/>
      </w:pPr>
      <w:r>
        <w:t xml:space="preserve">Nous devons aussi signaler que la durée de la garde à vue varie en fonction du type d’infraction. Sa prolongation doit être autorisée par écrit par le parquet et est conditionnée par la présentation du gardé à vue devant le parquet (sauf en cas de flagrance). La durée légale de la garde </w:t>
      </w:r>
      <w:r w:rsidR="00745E12">
        <w:t>à</w:t>
      </w:r>
      <w:r>
        <w:t xml:space="preserve"> vue est de 48 heures avec une possibilité de prolongation de 24 heures. Elle peut être de 96 heures avec une possibilité de prolongation de 96 autres heures pour les infractions contre la sûreté de l’État ou une prolongation de deux fois 96 heures pour les infractions terroristes. Ainsi, le CPP prévoit la possibilité de retenir un individu en garde </w:t>
      </w:r>
      <w:r w:rsidR="00745E12">
        <w:t>à</w:t>
      </w:r>
      <w:r>
        <w:t xml:space="preserve"> vue jusqu’</w:t>
      </w:r>
      <w:r w:rsidR="00745E12">
        <w:t>à</w:t>
      </w:r>
      <w:r>
        <w:t xml:space="preserve"> 12 jours lorsqu’il est suspecte d’actes terroristes. Au regard de la jurisprudence internationale</w:t>
      </w:r>
      <w:r>
        <w:rPr>
          <w:rStyle w:val="FootnoteReference"/>
        </w:rPr>
        <w:footnoteReference w:id="10"/>
      </w:r>
      <w:r>
        <w:t>, ces délais sont trop longs.</w:t>
      </w:r>
    </w:p>
    <w:p w:rsidR="000F2BDD" w:rsidRDefault="000F2BDD">
      <w:pPr>
        <w:widowControl w:val="0"/>
        <w:autoSpaceDE w:val="0"/>
        <w:autoSpaceDN w:val="0"/>
        <w:adjustRightInd w:val="0"/>
        <w:rPr>
          <w:color w:val="000000"/>
        </w:rPr>
      </w:pPr>
    </w:p>
    <w:p w:rsidR="000F2BDD" w:rsidRDefault="000F2BDD">
      <w:pPr>
        <w:pStyle w:val="Default"/>
        <w:jc w:val="both"/>
        <w:rPr>
          <w:rFonts w:ascii="Times New Roman" w:hAnsi="Times New Roman"/>
          <w:b/>
          <w:bCs/>
          <w:noProof w:val="0"/>
          <w:color w:val="FF0000"/>
          <w:szCs w:val="20"/>
          <w:lang w:val="fr-FR"/>
        </w:rPr>
      </w:pPr>
      <w:r>
        <w:rPr>
          <w:rFonts w:ascii="Times New Roman" w:hAnsi="Times New Roman"/>
          <w:noProof w:val="0"/>
          <w:lang w:val="fr-FR"/>
        </w:rPr>
        <w:t xml:space="preserve">Les associations marocaines relèvent les cas de procès contre des activistes ayant précisément dénoncé </w:t>
      </w:r>
      <w:r w:rsidR="00BB09EB">
        <w:rPr>
          <w:rFonts w:ascii="Times New Roman" w:hAnsi="Times New Roman"/>
          <w:noProof w:val="0"/>
          <w:lang w:val="fr-FR"/>
        </w:rPr>
        <w:t xml:space="preserve">des </w:t>
      </w:r>
      <w:r>
        <w:rPr>
          <w:rFonts w:ascii="Times New Roman" w:hAnsi="Times New Roman"/>
          <w:noProof w:val="0"/>
          <w:lang w:val="fr-FR"/>
        </w:rPr>
        <w:t xml:space="preserve">cas de torture. Il est devenu pratique habituelle des autorités marocaines d’utiliser la législation sur les «fausses dénonciations» ou la «dénonciation calomnieuse» afin de poursuivre des victimes de torture présumées qui portent plainte. </w:t>
      </w:r>
      <w:r>
        <w:rPr>
          <w:rFonts w:ascii="Times New Roman" w:hAnsi="Times New Roman"/>
          <w:noProof w:val="0"/>
          <w:szCs w:val="20"/>
          <w:lang w:val="fr-FR"/>
        </w:rPr>
        <w:t xml:space="preserve">Les plaintes de torture, même erronées ou exagérées, ne devraient pas être criminalisées. Personne ne devrait </w:t>
      </w:r>
      <w:r w:rsidR="00BB09EB">
        <w:rPr>
          <w:rFonts w:ascii="Times New Roman" w:hAnsi="Times New Roman"/>
          <w:noProof w:val="0"/>
          <w:szCs w:val="20"/>
          <w:lang w:val="fr-FR"/>
        </w:rPr>
        <w:t xml:space="preserve">pas </w:t>
      </w:r>
      <w:r>
        <w:rPr>
          <w:rFonts w:ascii="Times New Roman" w:hAnsi="Times New Roman"/>
          <w:noProof w:val="0"/>
          <w:szCs w:val="20"/>
          <w:lang w:val="fr-FR"/>
        </w:rPr>
        <w:t xml:space="preserve">être emprisonné pour avoir signalé des actes de torture. Au contraire, l’efficacité de la lutte contre la torture nécessite un </w:t>
      </w:r>
      <w:r>
        <w:rPr>
          <w:rFonts w:ascii="Times New Roman" w:hAnsi="Times New Roman"/>
          <w:noProof w:val="0"/>
          <w:color w:val="auto"/>
          <w:szCs w:val="20"/>
          <w:lang w:val="fr-FR"/>
        </w:rPr>
        <w:t xml:space="preserve">climat où les victimes et témoins peuvent signaler toute violation sans craindre de représailles. </w:t>
      </w:r>
      <w:r>
        <w:rPr>
          <w:rFonts w:ascii="Times New Roman" w:hAnsi="Times New Roman"/>
          <w:bCs/>
          <w:noProof w:val="0"/>
          <w:color w:val="auto"/>
          <w:szCs w:val="20"/>
          <w:lang w:val="fr-FR"/>
        </w:rPr>
        <w:t>Les articles 15 et 21 du protocole facultatif lié à la convention de la protection contre la torture le stipulent.</w:t>
      </w:r>
    </w:p>
    <w:p w:rsidR="000F2BDD" w:rsidRDefault="000F2BDD">
      <w:pPr>
        <w:pStyle w:val="Default"/>
        <w:rPr>
          <w:rFonts w:ascii="Times New Roman" w:hAnsi="Times New Roman"/>
          <w:b/>
          <w:bCs/>
          <w:noProof w:val="0"/>
          <w:lang w:val="fr-FR"/>
        </w:rPr>
      </w:pPr>
    </w:p>
    <w:p w:rsidR="000F2BDD" w:rsidRDefault="000F2BDD" w:rsidP="00FC3710">
      <w:pPr>
        <w:jc w:val="both"/>
      </w:pPr>
      <w:r>
        <w:t xml:space="preserve">Finalement, la formation de la commission indépendante pour la prévention de la torture conformément aux normes internationales est en cours, sans l’implication des associations de droits  humains dans le processus de  mise en place, ce qui limite son indépendance et son  efficacité. </w:t>
      </w:r>
    </w:p>
    <w:p w:rsidR="000F2BDD" w:rsidRDefault="000F2BDD">
      <w:pPr>
        <w:pStyle w:val="Heading3"/>
        <w:spacing w:after="0"/>
        <w:rPr>
          <w:highlight w:val="white"/>
        </w:rPr>
      </w:pPr>
    </w:p>
    <w:p w:rsidR="000F2BDD" w:rsidRDefault="000F2BDD">
      <w:pPr>
        <w:pStyle w:val="Heading3"/>
        <w:spacing w:after="0"/>
        <w:rPr>
          <w:highlight w:val="white"/>
        </w:rPr>
      </w:pPr>
      <w:r>
        <w:rPr>
          <w:highlight w:val="white"/>
        </w:rPr>
        <w:t>Recommandations en lien avec l’article 7 du Pacte:</w:t>
      </w:r>
    </w:p>
    <w:p w:rsidR="000F2BDD" w:rsidRDefault="000F2BDD">
      <w:pPr>
        <w:tabs>
          <w:tab w:val="left" w:pos="142"/>
        </w:tabs>
        <w:jc w:val="both"/>
      </w:pPr>
    </w:p>
    <w:p w:rsidR="000F2BDD" w:rsidRDefault="000F2BDD">
      <w:pPr>
        <w:numPr>
          <w:ilvl w:val="0"/>
          <w:numId w:val="19"/>
        </w:numPr>
        <w:tabs>
          <w:tab w:val="left" w:pos="142"/>
        </w:tabs>
        <w:ind w:left="0" w:firstLine="0"/>
        <w:jc w:val="both"/>
      </w:pPr>
      <w:r>
        <w:t>Amender la législation en vue d’assurer que l’accès effectif à un avocat choisi par le suspect dès le moment de l’arrestation, et pendant les interrogatoires de police, sans que l’autorisation du Procureur soit nécessaire, y compris pour les cas de terrorisme ou menaces à la sécurité nationale.</w:t>
      </w:r>
    </w:p>
    <w:p w:rsidR="000F2BDD" w:rsidRDefault="000F2BDD">
      <w:pPr>
        <w:numPr>
          <w:ilvl w:val="0"/>
          <w:numId w:val="19"/>
        </w:numPr>
        <w:tabs>
          <w:tab w:val="left" w:pos="142"/>
        </w:tabs>
        <w:ind w:left="0" w:firstLine="0"/>
        <w:jc w:val="both"/>
      </w:pPr>
      <w:r>
        <w:t>Assurer que les suspects peuvent accéder aux autres garanties prévues par la loi, tel que le droit à être examiné par un médecin indépendant, de prendre contact avec des membres de sa famille, d’être informé de leurs droits et des poursuites engagées contre eux et d'être présentés sans retard devant un juge.</w:t>
      </w:r>
    </w:p>
    <w:p w:rsidR="000F2BDD" w:rsidRDefault="000F2BDD">
      <w:pPr>
        <w:numPr>
          <w:ilvl w:val="0"/>
          <w:numId w:val="19"/>
        </w:numPr>
        <w:tabs>
          <w:tab w:val="left" w:pos="142"/>
        </w:tabs>
        <w:ind w:left="0" w:firstLine="0"/>
        <w:jc w:val="both"/>
      </w:pPr>
      <w:r>
        <w:t xml:space="preserve">Amender le Code de </w:t>
      </w:r>
      <w:r w:rsidR="00E305C0">
        <w:t>p</w:t>
      </w:r>
      <w:r>
        <w:t xml:space="preserve">rocédure </w:t>
      </w:r>
      <w:r w:rsidR="00E305C0">
        <w:t>p</w:t>
      </w:r>
      <w:r>
        <w:t xml:space="preserve">énal de sorte que, quand il y </w:t>
      </w:r>
      <w:r w:rsidR="00BA19AA">
        <w:t xml:space="preserve">aurait </w:t>
      </w:r>
      <w:r>
        <w:t>une allégation de torture ou mauvais traitement, la charge de la preuve incombe à l’accusation pour établir que, hors de tout doute raisonnable, l’aveu n’a pas été obtenu par des moyens illicites.</w:t>
      </w:r>
    </w:p>
    <w:p w:rsidR="000F2BDD" w:rsidRDefault="000F2BDD">
      <w:pPr>
        <w:numPr>
          <w:ilvl w:val="0"/>
          <w:numId w:val="19"/>
        </w:numPr>
        <w:tabs>
          <w:tab w:val="left" w:pos="142"/>
        </w:tabs>
        <w:ind w:left="0" w:firstLine="0"/>
        <w:jc w:val="both"/>
      </w:pPr>
      <w:r>
        <w:t xml:space="preserve">Prendre des mesures en vue d’assurer que les juges et procureurs mènent des enquêtes systématiques et indépendantes sur les cas de torture et d’autres mauvais traitements lors qu’ils sont en présence de signes ou allégations crédibles en ce sens et leur exiger de rendre compte pour tout manquement au devoir d’enquête. </w:t>
      </w:r>
    </w:p>
    <w:p w:rsidR="000F2BDD" w:rsidRDefault="000F2BDD">
      <w:pPr>
        <w:numPr>
          <w:ilvl w:val="0"/>
          <w:numId w:val="19"/>
        </w:numPr>
        <w:tabs>
          <w:tab w:val="left" w:pos="142"/>
        </w:tabs>
        <w:ind w:left="0" w:firstLine="0"/>
        <w:jc w:val="both"/>
      </w:pPr>
      <w:r>
        <w:t xml:space="preserve">Mettre fin aux représailles contre les personnes qui signalent de faits de torture. </w:t>
      </w:r>
    </w:p>
    <w:p w:rsidR="000F2BDD" w:rsidRDefault="000F2BDD">
      <w:pPr>
        <w:numPr>
          <w:ilvl w:val="0"/>
          <w:numId w:val="19"/>
        </w:numPr>
        <w:tabs>
          <w:tab w:val="left" w:pos="142"/>
        </w:tabs>
        <w:ind w:left="0" w:firstLine="0"/>
        <w:jc w:val="both"/>
      </w:pPr>
      <w:r>
        <w:t>Modifier la loi 03-03 contre le terrorisme pour réduire la durée de la garde-</w:t>
      </w:r>
      <w:r w:rsidR="00E305C0">
        <w:t>à</w:t>
      </w:r>
      <w:r>
        <w:t xml:space="preserve">-vue de façon </w:t>
      </w:r>
      <w:r w:rsidR="00E305C0">
        <w:t>à</w:t>
      </w:r>
      <w:r>
        <w:t xml:space="preserve"> être en conformité avec la jurisprudence internationale. Ainsi, la durée de la garde </w:t>
      </w:r>
      <w:r w:rsidR="00E305C0">
        <w:t>à</w:t>
      </w:r>
      <w:r>
        <w:t xml:space="preserve"> vue ne devrait pas dépasser quarante-huit heures et ne devrait pas être prolongée une fois que l’intéressé a été présenté </w:t>
      </w:r>
      <w:r w:rsidR="00E305C0">
        <w:t>à</w:t>
      </w:r>
      <w:r>
        <w:t xml:space="preserve"> un juge. </w:t>
      </w:r>
    </w:p>
    <w:p w:rsidR="000F2BDD" w:rsidRDefault="000F2BDD">
      <w:pPr>
        <w:numPr>
          <w:ilvl w:val="0"/>
          <w:numId w:val="19"/>
        </w:numPr>
        <w:tabs>
          <w:tab w:val="left" w:pos="142"/>
        </w:tabs>
        <w:ind w:left="0" w:firstLine="0"/>
        <w:jc w:val="both"/>
      </w:pPr>
      <w:r>
        <w:t xml:space="preserve">Impliquer la société civile dans la commission pour la prévention de la torture qui est en cours de formation. </w:t>
      </w:r>
    </w:p>
    <w:p w:rsidR="000F2BDD" w:rsidRDefault="000F2BDD">
      <w:pPr>
        <w:numPr>
          <w:ilvl w:val="0"/>
          <w:numId w:val="19"/>
        </w:numPr>
        <w:tabs>
          <w:tab w:val="left" w:pos="142"/>
        </w:tabs>
        <w:ind w:left="0" w:firstLine="0"/>
        <w:jc w:val="both"/>
      </w:pPr>
      <w:r>
        <w:t>Fournir l’information demandée par le Comité selon son OG n.20.</w:t>
      </w:r>
    </w:p>
    <w:p w:rsidR="000F2BDD" w:rsidRDefault="000F2BDD">
      <w:pPr>
        <w:tabs>
          <w:tab w:val="left" w:pos="142"/>
        </w:tabs>
      </w:pPr>
    </w:p>
    <w:p w:rsidR="000F2BDD" w:rsidRDefault="000F2BDD">
      <w:pPr>
        <w:pStyle w:val="Heading2"/>
        <w:spacing w:after="0"/>
      </w:pPr>
      <w:bookmarkStart w:id="9" w:name="_Toc311886142"/>
      <w:r>
        <w:t>ARTICLE 8.- Interdiction de l’esclavage</w:t>
      </w:r>
      <w:bookmarkEnd w:id="9"/>
    </w:p>
    <w:p w:rsidR="000F2BDD" w:rsidRDefault="000F2BDD"/>
    <w:p w:rsidR="000F2BDD" w:rsidRDefault="000F2BDD">
      <w:pPr>
        <w:keepNext/>
        <w:keepLines/>
        <w:jc w:val="both"/>
        <w:rPr>
          <w:color w:val="000000"/>
        </w:rPr>
      </w:pPr>
      <w:r>
        <w:rPr>
          <w:color w:val="000000"/>
        </w:rPr>
        <w:t>Le Maroc jusqu’à nos jours manque de loi contre l’esclavage, tandis que</w:t>
      </w:r>
      <w:r w:rsidRPr="003851E7">
        <w:rPr>
          <w:color w:val="000000"/>
        </w:rPr>
        <w:t xml:space="preserve"> 158</w:t>
      </w:r>
      <w:r w:rsidR="004B099D">
        <w:rPr>
          <w:color w:val="000000"/>
        </w:rPr>
        <w:t>.</w:t>
      </w:r>
      <w:r w:rsidRPr="003851E7">
        <w:rPr>
          <w:color w:val="000000"/>
        </w:rPr>
        <w:t>400 personnes sont concernées par l’esclavage moderne, d’après les estimations du</w:t>
      </w:r>
      <w:r w:rsidRPr="00FC3710">
        <w:rPr>
          <w:i/>
          <w:color w:val="000000"/>
        </w:rPr>
        <w:t>Global Slavery Index</w:t>
      </w:r>
      <w:r>
        <w:rPr>
          <w:color w:val="000000"/>
        </w:rPr>
        <w:t xml:space="preserve"> réalisé par l’ONG australienne Walk Free F</w:t>
      </w:r>
      <w:r w:rsidRPr="003851E7">
        <w:rPr>
          <w:color w:val="000000"/>
        </w:rPr>
        <w:t>oundation</w:t>
      </w:r>
      <w:r>
        <w:rPr>
          <w:color w:val="000000"/>
        </w:rPr>
        <w:t>,</w:t>
      </w:r>
      <w:r w:rsidRPr="003851E7">
        <w:rPr>
          <w:color w:val="000000"/>
        </w:rPr>
        <w:t xml:space="preserve"> publié le 13 novembre 2014. En prenant en compte le nombre de victimes, le taux de vulnérabilité et les réponses des autorités, le pays se trouve à la 55ème place du classement (proportionnellement au nombre d’habitants</w:t>
      </w:r>
      <w:r>
        <w:rPr>
          <w:color w:val="000000"/>
        </w:rPr>
        <w:t xml:space="preserve">). </w:t>
      </w:r>
    </w:p>
    <w:p w:rsidR="000F2BDD" w:rsidRDefault="000F2BDD">
      <w:pPr>
        <w:jc w:val="both"/>
        <w:rPr>
          <w:color w:val="000000"/>
        </w:rPr>
      </w:pPr>
    </w:p>
    <w:p w:rsidR="000F2BDD" w:rsidRDefault="000F2BDD">
      <w:pPr>
        <w:jc w:val="both"/>
        <w:rPr>
          <w:szCs w:val="20"/>
        </w:rPr>
      </w:pPr>
      <w:r>
        <w:rPr>
          <w:color w:val="000000"/>
        </w:rPr>
        <w:t>L’information fournie par le Maroc dans son rapport est à nouveau insuffisante, étant donné que rien n’est dit sur les exigences de l’OG 28</w:t>
      </w:r>
      <w:r>
        <w:rPr>
          <w:rStyle w:val="FootnoteReference"/>
        </w:rPr>
        <w:footnoteReference w:id="11"/>
      </w:r>
      <w:r>
        <w:rPr>
          <w:color w:val="000000"/>
        </w:rPr>
        <w:t xml:space="preserve">, paragraphe 12, selon lequel </w:t>
      </w:r>
      <w:r>
        <w:t>les États parties devraient informer le Comité sur les « mesures prises pour empêcher la traite des femmes et des enfants, tant sur le territoire qu’au-delà de leurs frontières, ainsi que la prostitution forcée. Ils doivent également fournir des informations sur les mesures prises pour protéger les femmes et les enfants, y compris les femmes et les enfants étrangers, contre l’esclavage, déguisé notamment sous la forme de certains types d’emploi de maison ou d’autres services»</w:t>
      </w:r>
      <w:r>
        <w:rPr>
          <w:szCs w:val="20"/>
        </w:rPr>
        <w:t>.</w:t>
      </w:r>
    </w:p>
    <w:p w:rsidR="000F2BDD" w:rsidRDefault="000F2BDD">
      <w:pPr>
        <w:jc w:val="both"/>
        <w:rPr>
          <w:szCs w:val="20"/>
        </w:rPr>
      </w:pPr>
    </w:p>
    <w:p w:rsidR="000F2BDD" w:rsidRDefault="000F2BDD">
      <w:pPr>
        <w:jc w:val="both"/>
      </w:pPr>
      <w:r>
        <w:t xml:space="preserve">Selon le « </w:t>
      </w:r>
      <w:r w:rsidR="00DA7FC7">
        <w:t>C</w:t>
      </w:r>
      <w:r>
        <w:t xml:space="preserve">ollectif pour l’éradication du travail des </w:t>
      </w:r>
      <w:r w:rsidR="00DA7FC7">
        <w:t>« </w:t>
      </w:r>
      <w:r>
        <w:t>petites bonnes</w:t>
      </w:r>
      <w:r w:rsidR="00DA7FC7">
        <w:t> »</w:t>
      </w:r>
      <w:r>
        <w:t xml:space="preserve"> », entre 60</w:t>
      </w:r>
      <w:r w:rsidR="004B099D">
        <w:t>.</w:t>
      </w:r>
      <w:r>
        <w:t>000 et 80</w:t>
      </w:r>
      <w:r w:rsidR="004B099D">
        <w:t>.</w:t>
      </w:r>
      <w:r>
        <w:t xml:space="preserve">000 fillettes de 8 à 15 ans sont exploitées comme domestiques au Maroc. Il s’agit d’une forme de traite humaine qui touche la majorité des pauvres. </w:t>
      </w:r>
      <w:r>
        <w:rPr>
          <w:szCs w:val="20"/>
        </w:rPr>
        <w:t xml:space="preserve">Le nombre d’enfants travailleurs domestiques a diminué ces dernières années, mais des filles dès l’âge de 8 ans continuent à travailler dans des domiciles privés jusqu’à 12 heures par jour pour des salaires infimes. Dans certains cas, les employeurs frappent les filles et les agressent verbalement, les empêchent de recevoir une éducation et ne les nourrissent pas correctement. En janvier 2014, un tribunal d’Agadir a condamné une employeuse à vingt ans de prison pour violence ayant entraîné la mort d’une enfant travailleuse domestique qu’elle employait. En septembre 2014, le Comité </w:t>
      </w:r>
      <w:r w:rsidR="004B099D">
        <w:rPr>
          <w:szCs w:val="20"/>
        </w:rPr>
        <w:t>sur les</w:t>
      </w:r>
      <w:r>
        <w:rPr>
          <w:szCs w:val="20"/>
        </w:rPr>
        <w:t xml:space="preserve"> droits de l’enfant a exprimé sa préoccupation quant au fait que le gouvernement n’avait pas pris de mesures efficaces pour retirer les enfants du travail domestique dangereux.</w:t>
      </w:r>
    </w:p>
    <w:p w:rsidR="000F2BDD" w:rsidRDefault="000F2BDD">
      <w:pPr>
        <w:jc w:val="both"/>
      </w:pPr>
    </w:p>
    <w:p w:rsidR="000F2BDD" w:rsidRDefault="000F2BDD">
      <w:pPr>
        <w:pStyle w:val="Heading3"/>
        <w:spacing w:after="0"/>
        <w:rPr>
          <w:highlight w:val="white"/>
        </w:rPr>
      </w:pPr>
      <w:r>
        <w:rPr>
          <w:highlight w:val="white"/>
        </w:rPr>
        <w:t xml:space="preserve">Recommandation en lien avec l’Article 8: </w:t>
      </w:r>
    </w:p>
    <w:p w:rsidR="000F2BDD" w:rsidRDefault="000F2BDD">
      <w:pPr>
        <w:tabs>
          <w:tab w:val="left" w:pos="180"/>
        </w:tabs>
        <w:jc w:val="both"/>
      </w:pPr>
    </w:p>
    <w:p w:rsidR="000F2BDD" w:rsidRDefault="000F2BDD" w:rsidP="00B35EDD">
      <w:pPr>
        <w:keepNext/>
        <w:keepLines/>
        <w:numPr>
          <w:ilvl w:val="0"/>
          <w:numId w:val="32"/>
        </w:numPr>
        <w:tabs>
          <w:tab w:val="left" w:pos="180"/>
        </w:tabs>
        <w:ind w:left="0" w:firstLine="0"/>
        <w:jc w:val="both"/>
      </w:pPr>
      <w:r w:rsidRPr="00B35EDD">
        <w:t xml:space="preserve">Adopter une loi générale contre toute forme d’esclavage. </w:t>
      </w:r>
    </w:p>
    <w:p w:rsidR="000F2BDD" w:rsidRDefault="000F2BDD" w:rsidP="00B35EDD">
      <w:pPr>
        <w:keepNext/>
        <w:keepLines/>
        <w:numPr>
          <w:ilvl w:val="0"/>
          <w:numId w:val="32"/>
        </w:numPr>
        <w:tabs>
          <w:tab w:val="left" w:pos="180"/>
        </w:tabs>
        <w:ind w:left="0" w:firstLine="0"/>
        <w:jc w:val="both"/>
      </w:pPr>
      <w:r w:rsidRPr="00B35EDD">
        <w:t xml:space="preserve">Adopter une loi sur le travail domestique qui établisse l’âge minimum pour ce travail à </w:t>
      </w:r>
      <w:r>
        <w:t xml:space="preserve">18 ans </w:t>
      </w:r>
      <w:r w:rsidRPr="00B35EDD">
        <w:t>et garanti</w:t>
      </w:r>
      <w:r>
        <w:t>ss</w:t>
      </w:r>
      <w:r w:rsidRPr="00B35EDD">
        <w:t>e le droit au travail conformément</w:t>
      </w:r>
      <w:r>
        <w:t xml:space="preserve"> aux conventions ratifiée</w:t>
      </w:r>
      <w:r w:rsidRPr="00B35EDD">
        <w:t>s par le Maroc</w:t>
      </w:r>
      <w:r>
        <w:t>.</w:t>
      </w:r>
    </w:p>
    <w:p w:rsidR="000F2BDD" w:rsidRPr="00F022CB" w:rsidRDefault="000F2BDD" w:rsidP="00B35EDD">
      <w:pPr>
        <w:keepNext/>
        <w:keepLines/>
        <w:numPr>
          <w:ilvl w:val="0"/>
          <w:numId w:val="32"/>
        </w:numPr>
        <w:tabs>
          <w:tab w:val="left" w:pos="180"/>
        </w:tabs>
        <w:ind w:left="0" w:firstLine="0"/>
        <w:jc w:val="both"/>
      </w:pPr>
      <w:r>
        <w:rPr>
          <w:color w:val="000000"/>
        </w:rPr>
        <w:t>R</w:t>
      </w:r>
      <w:r w:rsidRPr="00B35EDD">
        <w:rPr>
          <w:color w:val="000000"/>
        </w:rPr>
        <w:t>éviser tou</w:t>
      </w:r>
      <w:r>
        <w:rPr>
          <w:color w:val="000000"/>
        </w:rPr>
        <w:t>s les accords avec les pays du Golf, source de pratiques d’</w:t>
      </w:r>
      <w:r w:rsidRPr="00B35EDD">
        <w:rPr>
          <w:color w:val="000000"/>
        </w:rPr>
        <w:t>exploitation esclavagis</w:t>
      </w:r>
      <w:r>
        <w:rPr>
          <w:color w:val="000000"/>
        </w:rPr>
        <w:t>te des migrants marocains dans c</w:t>
      </w:r>
      <w:r w:rsidRPr="00B35EDD">
        <w:rPr>
          <w:color w:val="000000"/>
        </w:rPr>
        <w:t>es pays</w:t>
      </w:r>
      <w:r>
        <w:rPr>
          <w:color w:val="000000"/>
        </w:rPr>
        <w:t xml:space="preserve">, incarnées par la pratique </w:t>
      </w:r>
      <w:r w:rsidRPr="00B35EDD">
        <w:rPr>
          <w:color w:val="000000"/>
        </w:rPr>
        <w:t>de la Kafala</w:t>
      </w:r>
      <w:r>
        <w:rPr>
          <w:color w:val="000000"/>
        </w:rPr>
        <w:t>(</w:t>
      </w:r>
      <w:r w:rsidRPr="00B35EDD">
        <w:rPr>
          <w:color w:val="000000"/>
        </w:rPr>
        <w:t xml:space="preserve">mise </w:t>
      </w:r>
      <w:r>
        <w:rPr>
          <w:color w:val="000000"/>
        </w:rPr>
        <w:t>du migrant sous la tutelle de l’</w:t>
      </w:r>
      <w:r w:rsidRPr="00B35EDD">
        <w:rPr>
          <w:color w:val="000000"/>
        </w:rPr>
        <w:t>employeur</w:t>
      </w:r>
      <w:r>
        <w:rPr>
          <w:color w:val="000000"/>
        </w:rPr>
        <w:t>,</w:t>
      </w:r>
      <w:r w:rsidRPr="00B35EDD">
        <w:rPr>
          <w:color w:val="000000"/>
        </w:rPr>
        <w:t xml:space="preserve"> ce qui signifie restriction de circulation,  non application des règles de travail....</w:t>
      </w:r>
      <w:r>
        <w:rPr>
          <w:color w:val="000000"/>
        </w:rPr>
        <w:t>).</w:t>
      </w:r>
    </w:p>
    <w:p w:rsidR="000F2BDD" w:rsidRPr="00F022CB" w:rsidRDefault="000F2BDD" w:rsidP="00B35EDD">
      <w:pPr>
        <w:keepNext/>
        <w:keepLines/>
        <w:numPr>
          <w:ilvl w:val="0"/>
          <w:numId w:val="32"/>
        </w:numPr>
        <w:tabs>
          <w:tab w:val="left" w:pos="180"/>
        </w:tabs>
        <w:ind w:left="0" w:firstLine="0"/>
        <w:jc w:val="both"/>
      </w:pPr>
      <w:r>
        <w:rPr>
          <w:color w:val="000000"/>
        </w:rPr>
        <w:t>Mettre en place des politiques en matière d’enseignement en particulier dans les zones rurales afin de permettre aux petites filles de rejoindre l’école.</w:t>
      </w:r>
    </w:p>
    <w:p w:rsidR="000F2BDD" w:rsidRPr="00F022CB" w:rsidRDefault="000F2BDD" w:rsidP="00B35EDD">
      <w:pPr>
        <w:keepNext/>
        <w:keepLines/>
        <w:numPr>
          <w:ilvl w:val="0"/>
          <w:numId w:val="32"/>
        </w:numPr>
        <w:tabs>
          <w:tab w:val="left" w:pos="180"/>
        </w:tabs>
        <w:ind w:left="0" w:firstLine="0"/>
        <w:jc w:val="both"/>
      </w:pPr>
      <w:r>
        <w:rPr>
          <w:color w:val="000000"/>
        </w:rPr>
        <w:t>Elaborer des politiques de développement en vue d’éradiquer les causes de la pauvreté des familles qui mettent leurs enfants dans les champs de travail.</w:t>
      </w:r>
    </w:p>
    <w:p w:rsidR="000F2BDD" w:rsidRPr="00B35EDD" w:rsidRDefault="000F2BDD" w:rsidP="00B35EDD">
      <w:pPr>
        <w:keepNext/>
        <w:keepLines/>
        <w:numPr>
          <w:ilvl w:val="0"/>
          <w:numId w:val="32"/>
        </w:numPr>
        <w:tabs>
          <w:tab w:val="left" w:pos="180"/>
        </w:tabs>
        <w:ind w:left="0" w:firstLine="0"/>
        <w:jc w:val="both"/>
      </w:pPr>
      <w:r>
        <w:rPr>
          <w:color w:val="000000"/>
        </w:rPr>
        <w:t xml:space="preserve">Prendre les mesures nécessaires à intégrer dans le marché du travail, les femmes victimes de la traite des êtres humains. </w:t>
      </w:r>
    </w:p>
    <w:p w:rsidR="000F2BDD" w:rsidRDefault="000F2BDD">
      <w:pPr>
        <w:keepNext/>
        <w:keepLines/>
        <w:numPr>
          <w:ilvl w:val="0"/>
          <w:numId w:val="32"/>
        </w:numPr>
        <w:tabs>
          <w:tab w:val="left" w:pos="180"/>
        </w:tabs>
        <w:ind w:left="0" w:firstLine="0"/>
        <w:jc w:val="both"/>
      </w:pPr>
      <w:r>
        <w:t xml:space="preserve">Fournir l’information demandée par le Comité dans l’OG </w:t>
      </w:r>
      <w:r>
        <w:rPr>
          <w:color w:val="000000"/>
        </w:rPr>
        <w:t xml:space="preserve">28. </w:t>
      </w:r>
    </w:p>
    <w:p w:rsidR="000F2BDD" w:rsidRDefault="000F2BDD">
      <w:pPr>
        <w:keepNext/>
        <w:keepLines/>
        <w:tabs>
          <w:tab w:val="left" w:pos="180"/>
        </w:tabs>
        <w:jc w:val="both"/>
        <w:rPr>
          <w:color w:val="000000"/>
          <w:highlight w:val="yellow"/>
        </w:rPr>
      </w:pPr>
    </w:p>
    <w:p w:rsidR="000F2BDD" w:rsidRDefault="000F2BDD">
      <w:pPr>
        <w:pStyle w:val="Heading2"/>
        <w:spacing w:after="0"/>
      </w:pPr>
      <w:bookmarkStart w:id="10" w:name="_Toc311886143"/>
      <w:r>
        <w:t>ARTICLE 9.- Droit à la liberté et à la sécurité de la personne.</w:t>
      </w:r>
      <w:bookmarkEnd w:id="10"/>
    </w:p>
    <w:p w:rsidR="000F2BDD" w:rsidRDefault="000F2BDD">
      <w:pPr>
        <w:jc w:val="both"/>
        <w:rPr>
          <w:color w:val="000000"/>
        </w:rPr>
      </w:pPr>
    </w:p>
    <w:p w:rsidR="000F2BDD" w:rsidRDefault="000F2BDD">
      <w:pPr>
        <w:jc w:val="both"/>
        <w:rPr>
          <w:color w:val="000000"/>
        </w:rPr>
      </w:pPr>
      <w:r>
        <w:rPr>
          <w:color w:val="000000"/>
        </w:rPr>
        <w:t>Le rapport présenté par l’État ne répond pas à ce qu’établit le Comité dans son OG n.8</w:t>
      </w:r>
      <w:r>
        <w:rPr>
          <w:rStyle w:val="FootnoteReference"/>
        </w:rPr>
        <w:footnoteReference w:id="12"/>
      </w:r>
      <w:r>
        <w:rPr>
          <w:color w:val="000000"/>
        </w:rPr>
        <w:t>, paragraphe 1, selon lequel « </w:t>
      </w:r>
      <w:r>
        <w:t>s’applique à tous les cas de privation de liberté, qu’il s’agisse d’infractions pénales ou d’autres cas tels que, par exemple, les maladies mentales, le vagabondage, la toxicomanie, les mesures d’éducation, le contrôle de l’immigration, etc. » et, du même, aucune référence n’est faite à ce que demande la même Observation dans le paragraphe 3  à propos des «mesures prises en vue de réduire la durée de la détention provisoire ».</w:t>
      </w:r>
    </w:p>
    <w:p w:rsidR="000F2BDD" w:rsidRDefault="000F2BDD">
      <w:pPr>
        <w:jc w:val="both"/>
        <w:rPr>
          <w:color w:val="000000"/>
        </w:rPr>
      </w:pPr>
    </w:p>
    <w:p w:rsidR="000F2BDD" w:rsidRDefault="000F2BDD">
      <w:pPr>
        <w:widowControl w:val="0"/>
        <w:autoSpaceDE w:val="0"/>
        <w:autoSpaceDN w:val="0"/>
        <w:adjustRightInd w:val="0"/>
        <w:jc w:val="both"/>
      </w:pPr>
      <w:r>
        <w:rPr>
          <w:color w:val="000000"/>
        </w:rPr>
        <w:t>Bien que l’État ait tenté d’adapter son rapport aux dispositions de l’OG n.35</w:t>
      </w:r>
      <w:r>
        <w:rPr>
          <w:rStyle w:val="FootnoteReference"/>
        </w:rPr>
        <w:footnoteReference w:id="13"/>
      </w:r>
      <w:r>
        <w:rPr>
          <w:color w:val="000000"/>
        </w:rPr>
        <w:t xml:space="preserve">, beaucoup de cas d’inaccomplissements pratiques de ce que le CCPR établit demeurent encore. </w:t>
      </w:r>
      <w:r>
        <w:t xml:space="preserve">On relève tout d’abord des insuffisances dans le cas des migrants en relation </w:t>
      </w:r>
      <w:r w:rsidR="00BA19AA">
        <w:t>avec</w:t>
      </w:r>
      <w:r>
        <w:t xml:space="preserve"> l’article 26 de la loi 02-03, les personnes protégées contre l’expulsion sont énumérées, notamment les femmes enceintes et les enfants mineurs d’où la limite des protections contre les expulsions.</w:t>
      </w:r>
    </w:p>
    <w:p w:rsidR="000F2BDD" w:rsidRDefault="000F2BDD">
      <w:pPr>
        <w:widowControl w:val="0"/>
        <w:autoSpaceDE w:val="0"/>
        <w:autoSpaceDN w:val="0"/>
        <w:adjustRightInd w:val="0"/>
        <w:jc w:val="both"/>
      </w:pPr>
      <w:r>
        <w:t>En lien avec la détention préventive, comme le souligne un rapport de la Fédération Internationale des Droits de l’Homme de 2014</w:t>
      </w:r>
      <w:r>
        <w:rPr>
          <w:rStyle w:val="FootnoteReference"/>
        </w:rPr>
        <w:footnoteReference w:id="14"/>
      </w:r>
      <w:r>
        <w:t>, la population carcérale au Maroc est composée par un 50% de détenus en cette forme de détention.  La détention préventive peut durer un an, selon le CP, mais est souvent prolongée</w:t>
      </w:r>
      <w:r w:rsidR="000D3FA3">
        <w:t>.</w:t>
      </w:r>
      <w:r>
        <w:t xml:space="preserve">  </w:t>
      </w:r>
      <w:r w:rsidR="000D3FA3">
        <w:t>L</w:t>
      </w:r>
      <w:r>
        <w:t>e CP ne prévoit pas de limitations de la même pour, par exemple, ne pas l’appliquer à des délits. Le recours systématique à la détention préventive est un des facteurs principaux expliquant la surpopulation carcérale que nous traitons en lien avec l’Article 10.</w:t>
      </w:r>
    </w:p>
    <w:p w:rsidR="000F2BDD" w:rsidRDefault="000F2BDD">
      <w:pPr>
        <w:jc w:val="both"/>
        <w:rPr>
          <w:color w:val="000000"/>
        </w:rPr>
      </w:pPr>
    </w:p>
    <w:p w:rsidR="000F2BDD" w:rsidRDefault="000F2BDD" w:rsidP="00104749">
      <w:pPr>
        <w:tabs>
          <w:tab w:val="left" w:pos="284"/>
        </w:tabs>
        <w:jc w:val="both"/>
      </w:pPr>
      <w:r>
        <w:rPr>
          <w:color w:val="000000"/>
        </w:rPr>
        <w:t>Aussi, l’arrestation arbitraire reste une application relevée par les associations, notamment dans les cas d’activistes d</w:t>
      </w:r>
      <w:r w:rsidR="009A3D52">
        <w:rPr>
          <w:color w:val="000000"/>
        </w:rPr>
        <w:t>u</w:t>
      </w:r>
      <w:r>
        <w:rPr>
          <w:color w:val="000000"/>
        </w:rPr>
        <w:t xml:space="preserve"> 20 février, de leaders de masses, d’activistes de droits humains. Dans ces cas, leur</w:t>
      </w:r>
      <w:r w:rsidR="00BA19AA">
        <w:rPr>
          <w:color w:val="000000"/>
        </w:rPr>
        <w:t>s</w:t>
      </w:r>
      <w:r>
        <w:rPr>
          <w:color w:val="000000"/>
        </w:rPr>
        <w:t xml:space="preserve"> procè</w:t>
      </w:r>
      <w:r w:rsidRPr="00214A93">
        <w:rPr>
          <w:color w:val="000000"/>
        </w:rPr>
        <w:t>s</w:t>
      </w:r>
      <w:r>
        <w:rPr>
          <w:color w:val="000000"/>
        </w:rPr>
        <w:t xml:space="preserve"> étaient basés sur d</w:t>
      </w:r>
      <w:r w:rsidRPr="00214A93">
        <w:rPr>
          <w:color w:val="000000"/>
        </w:rPr>
        <w:t>es faits non tangibles</w:t>
      </w:r>
      <w:r>
        <w:rPr>
          <w:color w:val="000000"/>
        </w:rPr>
        <w:t>,</w:t>
      </w:r>
      <w:r w:rsidRPr="00214A93">
        <w:rPr>
          <w:color w:val="000000"/>
        </w:rPr>
        <w:t xml:space="preserve"> surtout dans les cas d</w:t>
      </w:r>
      <w:r>
        <w:rPr>
          <w:color w:val="000000"/>
        </w:rPr>
        <w:t>’</w:t>
      </w:r>
      <w:r w:rsidRPr="00214A93">
        <w:rPr>
          <w:color w:val="000000"/>
        </w:rPr>
        <w:t>accrocha</w:t>
      </w:r>
      <w:r>
        <w:rPr>
          <w:color w:val="000000"/>
        </w:rPr>
        <w:t>ges avec les forces de l’</w:t>
      </w:r>
      <w:r w:rsidRPr="00214A93">
        <w:rPr>
          <w:color w:val="000000"/>
        </w:rPr>
        <w:t>ordre durant les marches du 20 février en 2011,</w:t>
      </w:r>
      <w:r>
        <w:rPr>
          <w:color w:val="000000"/>
        </w:rPr>
        <w:t xml:space="preserve"> le cas de partisans de partis ayant distribué leur appel aux bo</w:t>
      </w:r>
      <w:r w:rsidRPr="00214A93">
        <w:rPr>
          <w:color w:val="000000"/>
        </w:rPr>
        <w:t>ycott des élections</w:t>
      </w:r>
      <w:r>
        <w:rPr>
          <w:color w:val="000000"/>
        </w:rPr>
        <w:t xml:space="preserve"> communales de 2015, ou l’utilisation de l’article 288 du CP pour poursuivre </w:t>
      </w:r>
      <w:r w:rsidRPr="00214A93">
        <w:rPr>
          <w:color w:val="000000"/>
        </w:rPr>
        <w:t>les syndicaliste</w:t>
      </w:r>
      <w:r>
        <w:rPr>
          <w:color w:val="000000"/>
        </w:rPr>
        <w:t>s, article</w:t>
      </w:r>
      <w:r>
        <w:t xml:space="preserve">qui prévoit l’emprisonnement et/ou des amendes pour «quiconque, à l'aide de violences, voies de fait, menaces ou </w:t>
      </w:r>
      <w:r w:rsidR="00BA19AA">
        <w:t>manœuvres</w:t>
      </w:r>
      <w:r>
        <w:t xml:space="preserve"> frauduleuses, a amené ou maintenu, tenté d'amener ou de maintenir, une cessation concertée du travail, dans le but de forcer la hausse ou la baisse des salaires ou de porter atteinte au libre exercice de l'industrie ou du travail ». </w:t>
      </w:r>
      <w:r>
        <w:rPr>
          <w:color w:val="000000"/>
        </w:rPr>
        <w:t>D</w:t>
      </w:r>
      <w:r>
        <w:t>e même, la loi anti-terroriste, dont les termes sont aussi très vagues, a été appliquée dans le cadre de poursuites contre des activistes et de</w:t>
      </w:r>
      <w:r w:rsidR="00BA19AA">
        <w:t>s</w:t>
      </w:r>
      <w:r>
        <w:t xml:space="preserve"> journalistes. </w:t>
      </w:r>
    </w:p>
    <w:p w:rsidR="000F2BDD" w:rsidRDefault="000F2BDD">
      <w:pPr>
        <w:rPr>
          <w:highlight w:val="white"/>
        </w:rPr>
      </w:pPr>
    </w:p>
    <w:p w:rsidR="000F2BDD" w:rsidRDefault="000F2BDD">
      <w:pPr>
        <w:pStyle w:val="Heading3"/>
        <w:spacing w:after="0"/>
        <w:rPr>
          <w:highlight w:val="white"/>
        </w:rPr>
      </w:pPr>
      <w:r>
        <w:rPr>
          <w:highlight w:val="white"/>
        </w:rPr>
        <w:t xml:space="preserve">Recommandations en lien avec l’Article 9 du Pacte: </w:t>
      </w:r>
    </w:p>
    <w:p w:rsidR="000F2BDD" w:rsidRDefault="000F2BDD">
      <w:pPr>
        <w:jc w:val="both"/>
        <w:rPr>
          <w:highlight w:val="yellow"/>
        </w:rPr>
      </w:pPr>
    </w:p>
    <w:p w:rsidR="000F2BDD" w:rsidRDefault="000F2BDD" w:rsidP="009B2EFA">
      <w:pPr>
        <w:tabs>
          <w:tab w:val="left" w:pos="284"/>
        </w:tabs>
        <w:jc w:val="both"/>
      </w:pPr>
      <w:r>
        <w:t>- Utiliser des alternatives à la détention préventive et analyser la possibilité de dépénaliser certaines infractions et de réduire les peines de prison, en vue de réduire la surpopulation carcérale. Dans ce sens, amender les dispositions de l'article 35 confirmant que pour les délits où la peine ne dépasse pas deux ans d’emprisonnement, le tribunal peut après fixation de la peine privative de liberté la remplacer par des peines alternatives avec consentement de l'accusé.</w:t>
      </w:r>
    </w:p>
    <w:p w:rsidR="000F2BDD" w:rsidRDefault="000F2BDD" w:rsidP="009B2EFA">
      <w:pPr>
        <w:tabs>
          <w:tab w:val="left" w:pos="284"/>
        </w:tabs>
        <w:jc w:val="both"/>
      </w:pPr>
      <w:r>
        <w:t>- Enregistrer systématiquement les personnes détenues et informer tant leurs familles / personnes proches que leur avocat.</w:t>
      </w:r>
    </w:p>
    <w:p w:rsidR="000F2BDD" w:rsidRDefault="000F2BDD" w:rsidP="009B2EFA">
      <w:pPr>
        <w:tabs>
          <w:tab w:val="left" w:pos="284"/>
        </w:tabs>
        <w:jc w:val="both"/>
      </w:pPr>
      <w:r>
        <w:t xml:space="preserve">- </w:t>
      </w:r>
      <w:r w:rsidRPr="009B2EFA">
        <w:t>Garantir que toute personne placée en garde à vue soit informée immédiatement de son droit aux services d’un avocat, notamment à recevoir r</w:t>
      </w:r>
      <w:r>
        <w:t>apidement la visite d’un avocat, y compris pour une consultation confidentielle, conformément aux Principes des Nations Unies sur le rôle des avocats.</w:t>
      </w:r>
    </w:p>
    <w:p w:rsidR="000F2BDD" w:rsidRDefault="000F2BDD" w:rsidP="009B2EFA">
      <w:pPr>
        <w:tabs>
          <w:tab w:val="left" w:pos="284"/>
        </w:tabs>
        <w:jc w:val="both"/>
      </w:pPr>
      <w:r>
        <w:t xml:space="preserve">- Réviser les procès inéquitables dont sont victimes les défenseurs, des activistes du mouvement du 20 </w:t>
      </w:r>
      <w:r w:rsidR="000D3FA3">
        <w:t>F</w:t>
      </w:r>
      <w:r>
        <w:t>évrier, des détenus dans le cadre de la lutte antiterroriste, et garantir les normes des procès équitables.</w:t>
      </w:r>
    </w:p>
    <w:p w:rsidR="000F2BDD" w:rsidRDefault="000F2BDD" w:rsidP="009B2EFA">
      <w:pPr>
        <w:tabs>
          <w:tab w:val="left" w:pos="284"/>
        </w:tabs>
        <w:jc w:val="both"/>
      </w:pPr>
      <w:r>
        <w:t xml:space="preserve">- </w:t>
      </w:r>
      <w:r w:rsidR="000D3FA3">
        <w:t>L</w:t>
      </w:r>
      <w:r>
        <w:t xml:space="preserve">ibérer les prisonniers dont les dossiers ont été examiné par le </w:t>
      </w:r>
      <w:r w:rsidR="009A3D52">
        <w:t>G</w:t>
      </w:r>
      <w:r>
        <w:t>roupe de travail de l’ONU sur la détention arbitraire et a recommandé leur libération (Mohamed Hajib, Mustapha Elhasnaoui, Abdessamad Elbattar, Ali Arras et Mohamed Dihani)</w:t>
      </w:r>
    </w:p>
    <w:p w:rsidR="000F2BDD" w:rsidRDefault="000F2BDD" w:rsidP="009B2EFA">
      <w:pPr>
        <w:tabs>
          <w:tab w:val="left" w:pos="284"/>
        </w:tabs>
        <w:jc w:val="both"/>
      </w:pPr>
      <w:r>
        <w:t>- Enquêter sur les cas d’enlèvement et de séquestration, notamment dans les lieux de détention non conventionnels déclarés par les victimes et rapportés dans les rapports internationaux des ONG et des institutions officielles.</w:t>
      </w:r>
    </w:p>
    <w:p w:rsidR="000F2BDD" w:rsidRDefault="000F2BDD">
      <w:pPr>
        <w:jc w:val="both"/>
      </w:pPr>
      <w:r>
        <w:t>- Fournir l’information demandée par le Comité dans son OG</w:t>
      </w:r>
      <w:r>
        <w:rPr>
          <w:color w:val="000000"/>
        </w:rPr>
        <w:t xml:space="preserve"> 8.</w:t>
      </w:r>
    </w:p>
    <w:p w:rsidR="000F2BDD" w:rsidRDefault="000F2BDD">
      <w:pPr>
        <w:jc w:val="both"/>
        <w:rPr>
          <w:b/>
          <w:bCs/>
        </w:rPr>
      </w:pPr>
    </w:p>
    <w:p w:rsidR="000F2BDD" w:rsidRDefault="000F2BDD">
      <w:pPr>
        <w:pStyle w:val="Heading2"/>
        <w:spacing w:after="0"/>
      </w:pPr>
      <w:bookmarkStart w:id="11" w:name="_Toc311886144"/>
      <w:r>
        <w:t>ARTICLE 10.- Droits des détenus et traitement des personnes privées de leur liberté</w:t>
      </w:r>
      <w:bookmarkEnd w:id="11"/>
    </w:p>
    <w:p w:rsidR="000F2BDD" w:rsidRDefault="000F2BDD">
      <w:pPr>
        <w:jc w:val="both"/>
        <w:rPr>
          <w:b/>
          <w:bCs/>
        </w:rPr>
      </w:pPr>
    </w:p>
    <w:p w:rsidR="000F2BDD" w:rsidRDefault="000F2BDD">
      <w:pPr>
        <w:jc w:val="both"/>
      </w:pPr>
      <w:r>
        <w:t>Dans les paragraphes 154 à 167 du rapport de l’État, des informations considérées essentielles par le Comité dans son OG n. 21</w:t>
      </w:r>
      <w:r>
        <w:rPr>
          <w:rStyle w:val="FootnoteReference"/>
        </w:rPr>
        <w:footnoteReference w:id="15"/>
      </w:r>
      <w:r>
        <w:t>, paragraphe 5, sont omises, comme les explications indiquant dans quelle mesure ils se conforment aux normes des Nations Unies applicables au traitement des détenus</w:t>
      </w:r>
      <w:r>
        <w:rPr>
          <w:rStyle w:val="FootnoteReference"/>
        </w:rPr>
        <w:footnoteReference w:id="16"/>
      </w:r>
      <w:r>
        <w:t>. Également, aucune référence n’est faite à ce que l’OG 21 indique dans son paragraphe 6 à propos des «structures de supervision des établissements pénitentiaires ». En ce qui concerne les connaissances des personnes chargées d’exercer l’autorité, le rapport de l’État ne donne pas non plus de réponses en lien avec le paragraphe 7 de la même Observation.</w:t>
      </w:r>
    </w:p>
    <w:p w:rsidR="000F2BDD" w:rsidRDefault="000F2BDD">
      <w:pPr>
        <w:jc w:val="both"/>
      </w:pPr>
    </w:p>
    <w:p w:rsidR="000F2BDD" w:rsidRDefault="000F2BDD">
      <w:pPr>
        <w:jc w:val="both"/>
      </w:pPr>
      <w:r>
        <w:t>À ce manque d’information</w:t>
      </w:r>
      <w:r w:rsidR="009A3D52">
        <w:t>,</w:t>
      </w:r>
      <w:r>
        <w:t xml:space="preserve"> il faut ajouter la non incorporation des informations demandées dans le paragraphe 10, relatif au système pénitentiaire, sur lequel le Comité souhaite recevoir des informations détaillées. Aucune information n’est fournie non plus en lien avec le paragraphe 11, qui demande des informations sur  « des mesures prises pour assurer l’instruction, l’éducation et la rééducation, l’orientation et la formation professionnelle, ainsi que des programmes de travail destinés aux détenus à l’intérieur de l’établissement pénitentiaire et à l’extérieur », ni en lien avec le paragraphe 12, sur « les mesures spécifiques appliquées durant la détention, par exemple l’individualisation et la classification des condamnés, le régime disciplinaire, l’isolement cellulaire et la détention sous le régime de haute sécurité ainsi que les conditions dans lesquelles sont assurés les contacts du condamné avec le monde extérieur», ni avec le paragraphe 13, sur la détention des mineurs.</w:t>
      </w:r>
    </w:p>
    <w:p w:rsidR="000F2BDD" w:rsidRDefault="000F2BDD">
      <w:pPr>
        <w:jc w:val="both"/>
      </w:pPr>
    </w:p>
    <w:p w:rsidR="000F2BDD" w:rsidRDefault="000F2BDD">
      <w:pPr>
        <w:jc w:val="both"/>
        <w:rPr>
          <w:szCs w:val="20"/>
        </w:rPr>
      </w:pPr>
      <w:r>
        <w:t>Finalement, en lien avec les articles 7 et 10, sur la protection des personnes privées de liberté, le Comité signale dans son OG n.28, paragraphe 15, que « </w:t>
      </w:r>
      <w:r>
        <w:rPr>
          <w:szCs w:val="20"/>
        </w:rPr>
        <w:t>les États doivent indiquer si les droits des personnes privées de liberté sont protégés de la même manière pour les hommes et les femmes... faire rapport sur le respect de la règle selon laquelle les jeunes délinquantes doivent être détenues séparément des adultes et sur toutes différences de traitement entre hommes et femmes privés de liberté ».</w:t>
      </w:r>
    </w:p>
    <w:p w:rsidR="000F2BDD" w:rsidRDefault="000F2BDD">
      <w:pPr>
        <w:jc w:val="both"/>
        <w:rPr>
          <w:szCs w:val="20"/>
        </w:rPr>
      </w:pPr>
    </w:p>
    <w:p w:rsidR="000F2BDD" w:rsidRDefault="000F2BDD">
      <w:pPr>
        <w:jc w:val="both"/>
      </w:pPr>
      <w:r>
        <w:t>Les avancées présentées par le Maroc dans son rapport se réf</w:t>
      </w:r>
      <w:r w:rsidR="00BA19AA">
        <w:t>è</w:t>
      </w:r>
      <w:r>
        <w:t>rent à des mesures strictement formelles qui n’empêchent pas que les manquements dans la garantie des droits de détenus continuent à se produire.</w:t>
      </w:r>
    </w:p>
    <w:p w:rsidR="000F2BDD" w:rsidRDefault="000F2BDD">
      <w:pPr>
        <w:widowControl w:val="0"/>
        <w:autoSpaceDE w:val="0"/>
        <w:autoSpaceDN w:val="0"/>
        <w:adjustRightInd w:val="0"/>
        <w:rPr>
          <w:rFonts w:ascii="Times" w:hAnsi="Times" w:cs="Times"/>
          <w:highlight w:val="cyan"/>
        </w:rPr>
      </w:pPr>
    </w:p>
    <w:p w:rsidR="000F2BDD" w:rsidRDefault="000F2BDD">
      <w:pPr>
        <w:widowControl w:val="0"/>
        <w:autoSpaceDE w:val="0"/>
        <w:autoSpaceDN w:val="0"/>
        <w:adjustRightInd w:val="0"/>
        <w:jc w:val="both"/>
      </w:pPr>
      <w:r>
        <w:t xml:space="preserve">Les garanties essentielles sont régulièrement bafouées pendant la garde à vue, comme le manque d’information sur les droits des détenus et sur les charges retenues contre eux, ainsi que le manquement à l'obligation d'informer la famille dès l'arrestation, aux droits à la présence d’un avocat, au droit de garder le silence pendant l'interrogatoire et de ne pas être forcé de témoigner contre soi-même, qui s’ajoutent aux cas de mauvais traitements et de torture que nous signalions en lien avec l’Article 7. </w:t>
      </w:r>
    </w:p>
    <w:p w:rsidR="000F2BDD" w:rsidRDefault="000F2BDD">
      <w:pPr>
        <w:widowControl w:val="0"/>
        <w:autoSpaceDE w:val="0"/>
        <w:autoSpaceDN w:val="0"/>
        <w:adjustRightInd w:val="0"/>
        <w:jc w:val="both"/>
      </w:pPr>
    </w:p>
    <w:p w:rsidR="000F2BDD" w:rsidRDefault="000F2BDD">
      <w:pPr>
        <w:widowControl w:val="0"/>
        <w:autoSpaceDE w:val="0"/>
        <w:autoSpaceDN w:val="0"/>
        <w:adjustRightInd w:val="0"/>
        <w:jc w:val="both"/>
      </w:pPr>
      <w:r>
        <w:t xml:space="preserve">Dans le cadre d’un système pénal comme le marocain, dans lequel la preuve par l’aveu est importante et peut être la seule base d’une condamnation (sans aucun autre élément de preuve), sont encouragées des comportements relevés dans un bon nombre de cas où les officiers de police judiciaire « s’efforcent » </w:t>
      </w:r>
      <w:r w:rsidR="00BA19AA">
        <w:t>d’</w:t>
      </w:r>
      <w:r>
        <w:t xml:space="preserve">obtenir des tels aveux, en produisant des procès-verbaux mensongers qui sont signés sous la contrainte, même sans avoir été lus, comme était le cas de </w:t>
      </w:r>
      <w:r w:rsidR="009A3D52">
        <w:t xml:space="preserve">neuf </w:t>
      </w:r>
      <w:r>
        <w:t xml:space="preserve">jeunes du </w:t>
      </w:r>
      <w:r w:rsidR="009A3D52">
        <w:t>M</w:t>
      </w:r>
      <w:r>
        <w:t>ouvement 20 février (mouvement né lors du « printemps arabe » pour contester les politiques sociales et économiques du Maroc), qui ont été condamnés sur la base de procès-verbaux de la police contraires à leurs déclarations.</w:t>
      </w:r>
    </w:p>
    <w:p w:rsidR="000F2BDD" w:rsidRDefault="000F2BDD">
      <w:pPr>
        <w:widowControl w:val="0"/>
        <w:autoSpaceDE w:val="0"/>
        <w:autoSpaceDN w:val="0"/>
        <w:adjustRightInd w:val="0"/>
        <w:jc w:val="both"/>
        <w:rPr>
          <w:rFonts w:ascii="Times" w:hAnsi="Times" w:cs="Times"/>
        </w:rPr>
      </w:pPr>
    </w:p>
    <w:p w:rsidR="000F2BDD" w:rsidRDefault="000F2BDD">
      <w:pPr>
        <w:widowControl w:val="0"/>
        <w:autoSpaceDE w:val="0"/>
        <w:autoSpaceDN w:val="0"/>
        <w:adjustRightInd w:val="0"/>
        <w:jc w:val="both"/>
        <w:rPr>
          <w:rFonts w:ascii="Times" w:hAnsi="Times" w:cs="Times"/>
        </w:rPr>
      </w:pPr>
      <w:r>
        <w:rPr>
          <w:rFonts w:ascii="Times" w:hAnsi="Times" w:cs="Times"/>
        </w:rPr>
        <w:t xml:space="preserve">Le cadre législatif régissant les prisons, avec des textes juridiques régis par la loi de 1935, n'a pas changé, donnant lieu à une page noire dans l'histoire et une époque marquée par les violations et les régressions en matière des droits </w:t>
      </w:r>
      <w:r w:rsidR="009A3D52">
        <w:rPr>
          <w:rFonts w:ascii="Times" w:hAnsi="Times" w:cs="Times"/>
        </w:rPr>
        <w:t>humains</w:t>
      </w:r>
      <w:r>
        <w:rPr>
          <w:rFonts w:ascii="Times" w:hAnsi="Times" w:cs="Times"/>
        </w:rPr>
        <w:t xml:space="preserve"> au sein des prisons. Il en résulte que la prison ne peut être un lieu d'éducation à la citoyenneté, au respect de la loi et de la légitimité, ainsi que de l'aide à la réinsertion qu'à travers une relecture scientifique et juridique du CP et du CPP ainsi que la loi sur les prisons. La situation actuelle est marquée par le manque et défaillance des capacités matérielles, humaines et médicales</w:t>
      </w:r>
      <w:r w:rsidR="009A3D52">
        <w:rPr>
          <w:rFonts w:ascii="Times" w:hAnsi="Times" w:cs="Times"/>
        </w:rPr>
        <w:t xml:space="preserve"> et </w:t>
      </w:r>
      <w:r>
        <w:rPr>
          <w:rFonts w:ascii="Times" w:hAnsi="Times" w:cs="Times"/>
        </w:rPr>
        <w:t>le faible intérêt des parties prenantes concernées directement par la santé (</w:t>
      </w:r>
      <w:r w:rsidR="009A3D52">
        <w:rPr>
          <w:rFonts w:ascii="Times" w:hAnsi="Times" w:cs="Times"/>
        </w:rPr>
        <w:t>M</w:t>
      </w:r>
      <w:r>
        <w:rPr>
          <w:rFonts w:ascii="Times" w:hAnsi="Times" w:cs="Times"/>
        </w:rPr>
        <w:t xml:space="preserve">inistère de la </w:t>
      </w:r>
      <w:r w:rsidR="009A3D52">
        <w:rPr>
          <w:rFonts w:ascii="Times" w:hAnsi="Times" w:cs="Times"/>
        </w:rPr>
        <w:t>S</w:t>
      </w:r>
      <w:r>
        <w:rPr>
          <w:rFonts w:ascii="Times" w:hAnsi="Times" w:cs="Times"/>
        </w:rPr>
        <w:t xml:space="preserve">anté, hôpitaux spécialisés, …).  </w:t>
      </w:r>
    </w:p>
    <w:p w:rsidR="000F2BDD" w:rsidRDefault="000F2BDD">
      <w:pPr>
        <w:widowControl w:val="0"/>
        <w:autoSpaceDE w:val="0"/>
        <w:autoSpaceDN w:val="0"/>
        <w:adjustRightInd w:val="0"/>
        <w:jc w:val="both"/>
      </w:pPr>
    </w:p>
    <w:p w:rsidR="000F2BDD" w:rsidRDefault="000F2BDD">
      <w:pPr>
        <w:widowControl w:val="0"/>
        <w:autoSpaceDE w:val="0"/>
        <w:autoSpaceDN w:val="0"/>
        <w:adjustRightInd w:val="0"/>
        <w:jc w:val="both"/>
      </w:pPr>
      <w:r>
        <w:t>En ce qui concerne les conditions de détention, elles sont marquées par la surpopulation carcérale, qui les rend inhumaines</w:t>
      </w:r>
      <w:r w:rsidR="009A3D52">
        <w:t xml:space="preserve">, </w:t>
      </w:r>
      <w:r>
        <w:t>caus</w:t>
      </w:r>
      <w:r w:rsidR="009A3D52">
        <w:t>ant</w:t>
      </w:r>
      <w:r>
        <w:t xml:space="preserve"> des problèmes graves d’hygiène, la nourriture qui est fournie est inadéquate et l’accès aux soins de santé reste limité. Les mauvais traitements et les mesures disciplinaires abusives, comme l’isolement pendant des longues périodes par des décisions difficilement contestables, son récurrents. </w:t>
      </w:r>
    </w:p>
    <w:p w:rsidR="000F2BDD" w:rsidRDefault="000F2BDD">
      <w:pPr>
        <w:widowControl w:val="0"/>
        <w:autoSpaceDE w:val="0"/>
        <w:autoSpaceDN w:val="0"/>
        <w:adjustRightInd w:val="0"/>
        <w:jc w:val="both"/>
      </w:pPr>
    </w:p>
    <w:p w:rsidR="000F2BDD" w:rsidRDefault="000F2BDD">
      <w:pPr>
        <w:widowControl w:val="0"/>
        <w:autoSpaceDE w:val="0"/>
        <w:autoSpaceDN w:val="0"/>
        <w:adjustRightInd w:val="0"/>
        <w:jc w:val="both"/>
      </w:pPr>
      <w:r>
        <w:t xml:space="preserve">Le Rapport du Groupe de </w:t>
      </w:r>
      <w:r w:rsidR="009A3D52">
        <w:t>t</w:t>
      </w:r>
      <w:r>
        <w:t xml:space="preserve">ravail sur la </w:t>
      </w:r>
      <w:r w:rsidR="009A3D52">
        <w:t>d</w:t>
      </w:r>
      <w:r>
        <w:t xml:space="preserve">étention </w:t>
      </w:r>
      <w:r w:rsidR="00C814FB">
        <w:t>a</w:t>
      </w:r>
      <w:r>
        <w:t>rbitraire a remarqué la présence d’un nombre significatif d’enfants de jusqu’à 14 ans dans les prisons ordinaires</w:t>
      </w:r>
      <w:r w:rsidR="009A3D52">
        <w:t>. S</w:t>
      </w:r>
      <w:r>
        <w:t xml:space="preserve">ouvent, ces enfants restent détenus pendant une longue période avant d’être admis dans des centres de protection des enfants.  </w:t>
      </w:r>
    </w:p>
    <w:p w:rsidR="000F2BDD" w:rsidRDefault="000F2BDD">
      <w:pPr>
        <w:widowControl w:val="0"/>
        <w:autoSpaceDE w:val="0"/>
        <w:autoSpaceDN w:val="0"/>
        <w:adjustRightInd w:val="0"/>
        <w:jc w:val="both"/>
      </w:pPr>
    </w:p>
    <w:p w:rsidR="000F2BDD" w:rsidRDefault="000F2BDD">
      <w:pPr>
        <w:widowControl w:val="0"/>
        <w:autoSpaceDE w:val="0"/>
        <w:autoSpaceDN w:val="0"/>
        <w:adjustRightInd w:val="0"/>
        <w:jc w:val="both"/>
        <w:rPr>
          <w:rFonts w:ascii="Times" w:hAnsi="Times" w:cs="Times"/>
        </w:rPr>
      </w:pPr>
      <w:r>
        <w:rPr>
          <w:rFonts w:ascii="Times" w:hAnsi="Times" w:cs="Times"/>
        </w:rPr>
        <w:t>Finalement, nous signalons aussi la contradiction suscitée par la détention des malades psychiques et mentaux par rapport aux règles de la justice et principes de la responsabilité pénale, et par rapport aux principes directeurs relatifs au traitement des détenus, notamment les principes de la Convention des Nations Unies contre la torture et autres peines ou traitements cruels, inhumains ou dégradants</w:t>
      </w:r>
      <w:r w:rsidR="009A3D52">
        <w:rPr>
          <w:rFonts w:ascii="Times" w:hAnsi="Times" w:cs="Times"/>
        </w:rPr>
        <w:t xml:space="preserve"> ou </w:t>
      </w:r>
      <w:r>
        <w:rPr>
          <w:rFonts w:ascii="Times" w:hAnsi="Times" w:cs="Times"/>
        </w:rPr>
        <w:t xml:space="preserve">la jurisprudence de la Cour </w:t>
      </w:r>
      <w:r w:rsidR="009A3D52">
        <w:rPr>
          <w:rFonts w:ascii="Times" w:hAnsi="Times" w:cs="Times"/>
        </w:rPr>
        <w:t>E</w:t>
      </w:r>
      <w:r>
        <w:rPr>
          <w:rFonts w:ascii="Times" w:hAnsi="Times" w:cs="Times"/>
        </w:rPr>
        <w:t>uropéenne des droits de l'homme.</w:t>
      </w:r>
    </w:p>
    <w:p w:rsidR="000F2BDD" w:rsidRDefault="000F2BDD">
      <w:pPr>
        <w:rPr>
          <w:highlight w:val="white"/>
        </w:rPr>
      </w:pPr>
    </w:p>
    <w:p w:rsidR="000F2BDD" w:rsidRDefault="000F2BDD">
      <w:pPr>
        <w:pStyle w:val="Heading3"/>
        <w:spacing w:after="0"/>
        <w:rPr>
          <w:highlight w:val="white"/>
        </w:rPr>
      </w:pPr>
      <w:r>
        <w:rPr>
          <w:highlight w:val="white"/>
        </w:rPr>
        <w:t xml:space="preserve">Recommandations en lien avec l’article 10 : </w:t>
      </w:r>
    </w:p>
    <w:p w:rsidR="000F2BDD" w:rsidRDefault="000F2BDD">
      <w:pPr>
        <w:rPr>
          <w:highlight w:val="white"/>
        </w:rPr>
      </w:pPr>
    </w:p>
    <w:p w:rsidR="000F2BDD" w:rsidRDefault="000F2BDD">
      <w:pPr>
        <w:numPr>
          <w:ilvl w:val="1"/>
          <w:numId w:val="1"/>
        </w:numPr>
        <w:tabs>
          <w:tab w:val="clear" w:pos="1440"/>
          <w:tab w:val="left" w:pos="284"/>
        </w:tabs>
        <w:ind w:left="0" w:firstLine="0"/>
        <w:jc w:val="both"/>
      </w:pPr>
      <w:r>
        <w:t>Prendre les mesures nécessaires pour assurer que les détenus bénéficient des garanties minima.</w:t>
      </w:r>
    </w:p>
    <w:p w:rsidR="000F2BDD" w:rsidRDefault="000F2BDD">
      <w:pPr>
        <w:numPr>
          <w:ilvl w:val="1"/>
          <w:numId w:val="1"/>
        </w:numPr>
        <w:tabs>
          <w:tab w:val="clear" w:pos="1440"/>
          <w:tab w:val="left" w:pos="284"/>
        </w:tabs>
        <w:ind w:left="0" w:firstLine="0"/>
        <w:jc w:val="both"/>
      </w:pPr>
      <w:r>
        <w:t xml:space="preserve">Reformer le système judiciaire en vue d’assurer que les détenus en détention préventive soient jugés rapidement et de manière équitable. </w:t>
      </w:r>
    </w:p>
    <w:p w:rsidR="000F2BDD" w:rsidRDefault="000F2BDD" w:rsidP="00BA3229">
      <w:pPr>
        <w:tabs>
          <w:tab w:val="left" w:pos="284"/>
        </w:tabs>
        <w:jc w:val="both"/>
      </w:pPr>
      <w:r>
        <w:t xml:space="preserve">- Ouvrir les établissements carcéraux devant la société civile, spécialement les associations de droits </w:t>
      </w:r>
      <w:r w:rsidR="005471B6">
        <w:t>humains,</w:t>
      </w:r>
      <w:r>
        <w:t xml:space="preserve"> et leur permettre de les contrôler constamment</w:t>
      </w:r>
    </w:p>
    <w:p w:rsidR="000F2BDD" w:rsidRDefault="000F2BDD">
      <w:pPr>
        <w:pStyle w:val="BodyText"/>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Pr>
          <w:szCs w:val="24"/>
        </w:rPr>
        <w:t xml:space="preserve">- Mettre en œuvre, appliquer et revoir le rôle des commissions provinciales de surveillance des prisons prévues par les articles 620 et 621 du CPP, en vue de </w:t>
      </w:r>
      <w:r w:rsidRPr="00D92857">
        <w:rPr>
          <w:szCs w:val="24"/>
        </w:rPr>
        <w:t xml:space="preserve">permettre le droit de visite </w:t>
      </w:r>
      <w:r>
        <w:rPr>
          <w:szCs w:val="24"/>
        </w:rPr>
        <w:t>aux associations des centres d’</w:t>
      </w:r>
      <w:r w:rsidRPr="00D92857">
        <w:rPr>
          <w:szCs w:val="24"/>
        </w:rPr>
        <w:t>incarcération</w:t>
      </w:r>
      <w:r>
        <w:rPr>
          <w:szCs w:val="24"/>
        </w:rPr>
        <w:t>,</w:t>
      </w:r>
      <w:r w:rsidRPr="00D92857">
        <w:rPr>
          <w:szCs w:val="24"/>
        </w:rPr>
        <w:t xml:space="preserve"> de manière systématique et règlementée</w:t>
      </w:r>
      <w:r>
        <w:rPr>
          <w:szCs w:val="24"/>
        </w:rPr>
        <w:t>.</w:t>
      </w:r>
    </w:p>
    <w:p w:rsidR="000F2BDD" w:rsidRDefault="000F2BDD">
      <w:pPr>
        <w:pStyle w:val="BodyText"/>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Pr>
          <w:szCs w:val="24"/>
        </w:rPr>
        <w:t>- Désigner une police spéciale pour les mineurs et le renforcement de la justice des mineurs (juridictions des mineurs)</w:t>
      </w:r>
    </w:p>
    <w:p w:rsidR="00FE2F8A" w:rsidRDefault="000F2BDD">
      <w:pPr>
        <w:tabs>
          <w:tab w:val="left" w:pos="284"/>
        </w:tabs>
        <w:jc w:val="both"/>
      </w:pPr>
      <w:r>
        <w:t>-Développer l’éducation informelle et la formation professionnelle pour les mineurs au sein des institutions carcérales.</w:t>
      </w:r>
    </w:p>
    <w:p w:rsidR="000F2BDD" w:rsidRDefault="000F2BDD">
      <w:pPr>
        <w:tabs>
          <w:tab w:val="left" w:pos="284"/>
        </w:tabs>
        <w:jc w:val="both"/>
      </w:pPr>
      <w:r>
        <w:t xml:space="preserve">- Renforcer l’éducation des droits </w:t>
      </w:r>
      <w:r w:rsidR="00FE2F8A">
        <w:t>humains</w:t>
      </w:r>
      <w:r>
        <w:t xml:space="preserve"> pour les agents de sécurité dans les prisons.</w:t>
      </w:r>
    </w:p>
    <w:p w:rsidR="000F2BDD" w:rsidRDefault="000F2BDD">
      <w:pPr>
        <w:tabs>
          <w:tab w:val="left" w:pos="284"/>
        </w:tabs>
        <w:jc w:val="both"/>
      </w:pPr>
      <w:r>
        <w:t xml:space="preserve">- Enquêter dans les cas des mauvais traitements dans les centres d’incarcération et mettre fin à l’impunité lesdits crimes. </w:t>
      </w:r>
    </w:p>
    <w:p w:rsidR="000F2BDD" w:rsidRDefault="000F2BDD" w:rsidP="00D92857">
      <w:pPr>
        <w:jc w:val="both"/>
      </w:pPr>
      <w:r>
        <w:t xml:space="preserve"> -Fournir l’information demandée par le Comité dans son OG 21.</w:t>
      </w:r>
    </w:p>
    <w:p w:rsidR="000F2BDD" w:rsidRDefault="000F2BDD"/>
    <w:p w:rsidR="000F2BDD" w:rsidRDefault="000F2BDD">
      <w:pPr>
        <w:pStyle w:val="Heading2"/>
        <w:spacing w:after="0"/>
      </w:pPr>
      <w:bookmarkStart w:id="12" w:name="_Toc311886145"/>
      <w:r>
        <w:t>ARTICLE 13.- Interdiction des expulsions des étrangers sans garanties juridiques</w:t>
      </w:r>
      <w:bookmarkEnd w:id="12"/>
    </w:p>
    <w:p w:rsidR="000F2BDD" w:rsidRDefault="000F2BDD"/>
    <w:p w:rsidR="000F2BDD" w:rsidRDefault="000F2BDD">
      <w:pPr>
        <w:autoSpaceDE w:val="0"/>
        <w:autoSpaceDN w:val="0"/>
        <w:adjustRightInd w:val="0"/>
        <w:jc w:val="both"/>
      </w:pPr>
      <w:r>
        <w:rPr>
          <w:szCs w:val="20"/>
        </w:rPr>
        <w:t>L’information, de caractère statistique et formel</w:t>
      </w:r>
      <w:r w:rsidR="00565B1E">
        <w:rPr>
          <w:szCs w:val="20"/>
        </w:rPr>
        <w:t>le</w:t>
      </w:r>
      <w:r>
        <w:rPr>
          <w:szCs w:val="20"/>
        </w:rPr>
        <w:t>, incluse dans les paragraphes 174 à 190 du rapport de l’État, semble insuffisante tenant compte de ce que le Comité signale dans son OG n.15</w:t>
      </w:r>
      <w:r>
        <w:rPr>
          <w:rStyle w:val="FootnoteReference"/>
          <w:szCs w:val="20"/>
        </w:rPr>
        <w:footnoteReference w:id="17"/>
      </w:r>
      <w:r>
        <w:rPr>
          <w:szCs w:val="20"/>
        </w:rPr>
        <w:t>, parce qu’il ignore ce que le paragraphe 9 établit : « </w:t>
      </w:r>
      <w:r>
        <w:t>Cet article est applicable à toutes les procédures tendant à contraindre un étranger à quitter un pays, que la législation nationale qualifie ce départ d’expulsion ou qu’elle emploie un autre terme... Il appartient aux autorités compétentes de l’État partie d’appliquer et d’interpréter le droit national de bonne foi, dans l’exercice de leurs pouvoirs, tout en respectant les obligations prévues par le Pacte, et notamment le principe de l’égalité devant la loi (art. 26)».</w:t>
      </w:r>
    </w:p>
    <w:p w:rsidR="000F2BDD" w:rsidRDefault="000F2BDD">
      <w:pPr>
        <w:autoSpaceDE w:val="0"/>
        <w:autoSpaceDN w:val="0"/>
        <w:adjustRightInd w:val="0"/>
        <w:jc w:val="both"/>
      </w:pPr>
    </w:p>
    <w:p w:rsidR="000F2BDD" w:rsidRDefault="000F2BDD">
      <w:pPr>
        <w:autoSpaceDE w:val="0"/>
        <w:autoSpaceDN w:val="0"/>
        <w:adjustRightInd w:val="0"/>
        <w:jc w:val="both"/>
      </w:pPr>
      <w:r>
        <w:t xml:space="preserve">En ce qui concerne le respect de ce que cette disposition établit, nous apprécions que </w:t>
      </w:r>
      <w:r>
        <w:rPr>
          <w:color w:val="000000"/>
        </w:rPr>
        <w:t>des reconduites massives aux frontières ont été pratiquées sans aucune décision judiciaire  et dans des conditions inhumaines en les rejetant á la frontière Algérienne ou au Sahara Mauritanien</w:t>
      </w:r>
      <w:r w:rsidR="00C814FB">
        <w:rPr>
          <w:color w:val="000000"/>
        </w:rPr>
        <w:t>. De plus, m</w:t>
      </w:r>
      <w:r>
        <w:rPr>
          <w:color w:val="000000"/>
        </w:rPr>
        <w:t xml:space="preserve">ême si les cas ont diminué après l’annonce de la régularisation, les déplacements des migrants sont faits d’une région </w:t>
      </w:r>
      <w:r w:rsidR="00C814FB">
        <w:rPr>
          <w:color w:val="000000"/>
        </w:rPr>
        <w:t>à</w:t>
      </w:r>
      <w:r>
        <w:rPr>
          <w:color w:val="000000"/>
        </w:rPr>
        <w:t xml:space="preserve"> une autre sans justification légale. Ces pratiques vont à l’encontre de l’OG 15, paragraphe 10, selon lequel « </w:t>
      </w:r>
      <w:r w:rsidR="00C814FB">
        <w:t>l</w:t>
      </w:r>
      <w:r>
        <w:t>’étranger doit recevoir tous les moyens d’exercer son recours contre l’expulsion, de manière à être en toutes circonstances à même d’exercer effectivement son droit. Les principes énoncés par l’article 13 au sujet du recours contre la décision d’expulsion ou du droit à un nouvel examen par une autorité compétente ne peuvent souffrir d’exception que si «des raisons impérieuses de sécurité nationale l’exigent». Aucune discrimination ne peut être opérée entre différentes catégories d’étrangers dans l’application de l’article 13 ».</w:t>
      </w:r>
    </w:p>
    <w:p w:rsidR="000F2BDD" w:rsidRDefault="000F2BDD">
      <w:pPr>
        <w:autoSpaceDE w:val="0"/>
        <w:autoSpaceDN w:val="0"/>
        <w:adjustRightInd w:val="0"/>
        <w:jc w:val="both"/>
      </w:pPr>
    </w:p>
    <w:p w:rsidR="000F2BDD" w:rsidRDefault="000F2BDD">
      <w:pPr>
        <w:jc w:val="both"/>
        <w:rPr>
          <w:color w:val="000000"/>
          <w:szCs w:val="28"/>
        </w:rPr>
      </w:pPr>
      <w:r>
        <w:rPr>
          <w:color w:val="000000"/>
          <w:szCs w:val="28"/>
        </w:rPr>
        <w:t>Malgré le fait que le Maroc a ratifié ou adhéré à plusieurs traités internationaux des droits de l’homme</w:t>
      </w:r>
      <w:r>
        <w:rPr>
          <w:rStyle w:val="FootnoteReference"/>
          <w:szCs w:val="28"/>
        </w:rPr>
        <w:footnoteReference w:id="18"/>
      </w:r>
      <w:r>
        <w:rPr>
          <w:color w:val="000000"/>
          <w:szCs w:val="28"/>
        </w:rPr>
        <w:t>, y compris la Convention Internationale sur la Protection des Droits de tous les Travailleurs Migrants et des Membres de leur Famille, la Convention de Genève  sur le statut des r</w:t>
      </w:r>
      <w:r w:rsidR="00565B1E">
        <w:rPr>
          <w:color w:val="000000"/>
          <w:szCs w:val="28"/>
        </w:rPr>
        <w:t>é</w:t>
      </w:r>
      <w:r>
        <w:rPr>
          <w:color w:val="000000"/>
          <w:szCs w:val="28"/>
        </w:rPr>
        <w:t xml:space="preserve">fugiés et plusieurs autres conventions, les autorités marocaines ont systématiquement procédé à des rafles massives de </w:t>
      </w:r>
      <w:r w:rsidR="00565B1E">
        <w:rPr>
          <w:color w:val="000000"/>
          <w:szCs w:val="28"/>
        </w:rPr>
        <w:t>s</w:t>
      </w:r>
      <w:r>
        <w:rPr>
          <w:color w:val="000000"/>
          <w:szCs w:val="28"/>
        </w:rPr>
        <w:t xml:space="preserve">ubsahariens dont des femmes enceintes et des enfants. </w:t>
      </w:r>
      <w:r>
        <w:t>Les persécutions et harcèlements, les poursuites menées par les autorités marocaines, au cours des rafles et des détentions massives, constituent des atteintes graves aux obligations imposées par les traités internationaux ratifiés par le Maroc.</w:t>
      </w:r>
    </w:p>
    <w:p w:rsidR="000F2BDD" w:rsidRDefault="000F2BDD">
      <w:pPr>
        <w:jc w:val="both"/>
        <w:rPr>
          <w:color w:val="000000"/>
          <w:szCs w:val="28"/>
        </w:rPr>
      </w:pPr>
    </w:p>
    <w:p w:rsidR="000F2BDD" w:rsidRDefault="000F2BDD">
      <w:pPr>
        <w:jc w:val="both"/>
        <w:rPr>
          <w:color w:val="000000"/>
          <w:szCs w:val="28"/>
        </w:rPr>
      </w:pPr>
      <w:r>
        <w:rPr>
          <w:color w:val="000000"/>
          <w:szCs w:val="28"/>
        </w:rPr>
        <w:t xml:space="preserve">Généralement, les </w:t>
      </w:r>
      <w:r w:rsidR="00565B1E">
        <w:rPr>
          <w:color w:val="000000"/>
          <w:szCs w:val="28"/>
        </w:rPr>
        <w:t>s</w:t>
      </w:r>
      <w:r>
        <w:rPr>
          <w:color w:val="000000"/>
          <w:szCs w:val="28"/>
        </w:rPr>
        <w:t>ubsahariens sont détenus dans des commissariats et parfois dans des casernes militaires dans des conditions inhumaines et sans nourriture pendant plusieurs jours, ce qui constitue une violation grave aux normes nationales et internationales compte tenu du fait que l’article 10 du PIDCP stipule que « toute personne privée de sa liberté est traitée avec humanité et avec le respect de la dignité inhérente à la personne humaine ».</w:t>
      </w:r>
    </w:p>
    <w:p w:rsidR="000F2BDD" w:rsidRDefault="000F2BDD">
      <w:pPr>
        <w:jc w:val="both"/>
      </w:pPr>
    </w:p>
    <w:p w:rsidR="000F2BDD" w:rsidRDefault="000F2BDD">
      <w:pPr>
        <w:jc w:val="both"/>
        <w:rPr>
          <w:rFonts w:cs="Calibri"/>
          <w:color w:val="000000"/>
          <w:szCs w:val="28"/>
        </w:rPr>
      </w:pPr>
      <w:r>
        <w:rPr>
          <w:rFonts w:cs="Calibri"/>
          <w:color w:val="000000"/>
          <w:szCs w:val="28"/>
        </w:rPr>
        <w:t>Les forces de l’ordre recourent à la violence, à la violation de domicile, au harcèlement, aux refoulements collectifsdu Maroc vers l’Algérie, y compris de mineurs et de femmes enceintes, ainsi que de demandeurs d’asile et réfugiés pourtant protégés par la législation marocaine, et recourent à des civils pour agresser les migrants.</w:t>
      </w:r>
    </w:p>
    <w:p w:rsidR="000F2BDD" w:rsidRDefault="000F2BDD">
      <w:pPr>
        <w:pStyle w:val="BodyText"/>
        <w:rPr>
          <w:rFonts w:cs="Cambria"/>
        </w:rPr>
      </w:pPr>
    </w:p>
    <w:p w:rsidR="000F2BDD" w:rsidRDefault="000F2BDD">
      <w:pPr>
        <w:pStyle w:val="BodyText"/>
        <w:rPr>
          <w:rFonts w:cs="Cambria"/>
        </w:rPr>
      </w:pPr>
      <w:r>
        <w:rPr>
          <w:rFonts w:cs="Cambria"/>
        </w:rPr>
        <w:t>La loi marocaine concernant les étrangers prévoit deux mesures administratives: la reconduite à la frontière ou l’expulsion (lorsque le détenu est une éventuelle menace grave pour l’ordre public). L’étape suivant</w:t>
      </w:r>
      <w:r w:rsidR="007D25ED">
        <w:rPr>
          <w:rFonts w:cs="Cambria"/>
        </w:rPr>
        <w:t xml:space="preserve">eà </w:t>
      </w:r>
      <w:r>
        <w:rPr>
          <w:rFonts w:cs="Cambria"/>
        </w:rPr>
        <w:t xml:space="preserve">la détention est la « reconduite à la frontière », régie par la loi 02-03 et appliquée aux </w:t>
      </w:r>
      <w:r w:rsidR="007D25ED">
        <w:rPr>
          <w:rFonts w:cs="Cambria"/>
        </w:rPr>
        <w:t>s</w:t>
      </w:r>
      <w:r>
        <w:rPr>
          <w:rFonts w:cs="Cambria"/>
        </w:rPr>
        <w:t>ubsahariens irréguliers. Cette loi</w:t>
      </w:r>
      <w:r>
        <w:rPr>
          <w:rFonts w:cs="Cambria"/>
          <w:color w:val="000000"/>
          <w:szCs w:val="28"/>
        </w:rPr>
        <w:t xml:space="preserve"> stipule dans son article 29  que: « aucun étranger ne peut être éloigné à destination d’un pays s’il établit que sa vie ou sa liberté y sont menacées ou qu’il y est exposé à des traitements inhumains, cruels ou dégradants ». De même, aucune femme étrangère enceinte et aucun mineur étranger ne peuvent être éloignés.</w:t>
      </w:r>
    </w:p>
    <w:p w:rsidR="000F2BDD" w:rsidRDefault="000F2BDD">
      <w:pPr>
        <w:jc w:val="both"/>
        <w:rPr>
          <w:rFonts w:cs="Cambria"/>
          <w:color w:val="000000"/>
          <w:szCs w:val="28"/>
        </w:rPr>
      </w:pPr>
    </w:p>
    <w:p w:rsidR="000F2BDD" w:rsidRDefault="000F2BDD">
      <w:pPr>
        <w:jc w:val="both"/>
        <w:rPr>
          <w:rFonts w:cs="Cambria"/>
          <w:color w:val="000000"/>
          <w:szCs w:val="28"/>
        </w:rPr>
      </w:pPr>
      <w:r>
        <w:rPr>
          <w:rFonts w:cs="Cambria"/>
          <w:color w:val="000000"/>
          <w:szCs w:val="28"/>
        </w:rPr>
        <w:t xml:space="preserve">Chaque fois qu’un </w:t>
      </w:r>
      <w:r w:rsidR="007D25ED">
        <w:rPr>
          <w:rFonts w:cs="Cambria"/>
          <w:color w:val="000000"/>
          <w:szCs w:val="28"/>
        </w:rPr>
        <w:t>s</w:t>
      </w:r>
      <w:r>
        <w:rPr>
          <w:rFonts w:cs="Cambria"/>
          <w:color w:val="000000"/>
          <w:szCs w:val="28"/>
        </w:rPr>
        <w:t>ubsaharien est envoyé à la frontière algérienne, ces dispositions sont violées par les autorités marocaines. La reconduite à la frontière algéro-marocaine de femmes enceintes</w:t>
      </w:r>
      <w:r w:rsidR="007D25ED">
        <w:rPr>
          <w:rFonts w:cs="Cambria"/>
          <w:color w:val="000000"/>
          <w:szCs w:val="28"/>
        </w:rPr>
        <w:t xml:space="preserve"> et </w:t>
      </w:r>
      <w:r>
        <w:rPr>
          <w:rFonts w:cs="Cambria"/>
          <w:color w:val="000000"/>
          <w:szCs w:val="28"/>
        </w:rPr>
        <w:t>de mineurs</w:t>
      </w:r>
      <w:r w:rsidR="007D25ED">
        <w:rPr>
          <w:rFonts w:cs="Cambria"/>
          <w:color w:val="000000"/>
          <w:szCs w:val="28"/>
        </w:rPr>
        <w:t>,</w:t>
      </w:r>
      <w:r>
        <w:rPr>
          <w:rFonts w:cs="Cambria"/>
          <w:color w:val="000000"/>
          <w:szCs w:val="28"/>
        </w:rPr>
        <w:t xml:space="preserve"> dont des personnes gravement malades est monnaie courante. Ils y sont abandonnés.</w:t>
      </w:r>
    </w:p>
    <w:p w:rsidR="000F2BDD" w:rsidRDefault="000F2BDD">
      <w:pPr>
        <w:jc w:val="both"/>
      </w:pPr>
    </w:p>
    <w:p w:rsidR="000F2BDD" w:rsidRDefault="000F2BDD">
      <w:pPr>
        <w:pStyle w:val="Paragraphedeliste1"/>
        <w:ind w:left="0"/>
        <w:jc w:val="both"/>
        <w:rPr>
          <w:color w:val="000000"/>
          <w:szCs w:val="28"/>
        </w:rPr>
      </w:pPr>
      <w:r>
        <w:rPr>
          <w:color w:val="000000"/>
          <w:szCs w:val="28"/>
        </w:rPr>
        <w:t xml:space="preserve">Bien que signataire de la Convention des Nations Unies sur les Réfugiés, le Gouvernement marocain n'accorde plus le statut de réfugié. </w:t>
      </w:r>
    </w:p>
    <w:p w:rsidR="000F2BDD" w:rsidRDefault="000F2BDD">
      <w:pPr>
        <w:autoSpaceDE w:val="0"/>
        <w:autoSpaceDN w:val="0"/>
        <w:adjustRightInd w:val="0"/>
        <w:jc w:val="both"/>
      </w:pPr>
    </w:p>
    <w:p w:rsidR="000F2BDD" w:rsidRDefault="000F2BDD">
      <w:pPr>
        <w:pStyle w:val="Heading3"/>
        <w:spacing w:after="0"/>
      </w:pPr>
      <w:r>
        <w:t xml:space="preserve">Recommandations en lien avec l’article 13 : </w:t>
      </w:r>
    </w:p>
    <w:p w:rsidR="000F2BDD" w:rsidRDefault="000F2BDD">
      <w:pPr>
        <w:jc w:val="both"/>
        <w:rPr>
          <w:bCs/>
        </w:rPr>
      </w:pPr>
    </w:p>
    <w:p w:rsidR="000F2BDD" w:rsidRDefault="000F2BDD">
      <w:pPr>
        <w:numPr>
          <w:ilvl w:val="1"/>
          <w:numId w:val="1"/>
        </w:numPr>
        <w:tabs>
          <w:tab w:val="clear" w:pos="1440"/>
          <w:tab w:val="num" w:pos="142"/>
        </w:tabs>
        <w:ind w:left="142" w:hanging="142"/>
        <w:jc w:val="both"/>
        <w:rPr>
          <w:bCs/>
        </w:rPr>
      </w:pPr>
      <w:r>
        <w:t xml:space="preserve">Mettre fin à la pratique des </w:t>
      </w:r>
      <w:r>
        <w:rPr>
          <w:color w:val="000000"/>
        </w:rPr>
        <w:t>reconduites massives aux frontières sans aucune décision judiciaire et dans des conditions inhumaines</w:t>
      </w:r>
      <w:r w:rsidR="001D52F3">
        <w:rPr>
          <w:color w:val="000000"/>
        </w:rPr>
        <w:t>,</w:t>
      </w:r>
      <w:r>
        <w:rPr>
          <w:color w:val="000000"/>
        </w:rPr>
        <w:t xml:space="preserve"> en les rejetant </w:t>
      </w:r>
      <w:r w:rsidR="001D52F3">
        <w:rPr>
          <w:color w:val="000000"/>
        </w:rPr>
        <w:t>à</w:t>
      </w:r>
      <w:r>
        <w:rPr>
          <w:color w:val="000000"/>
        </w:rPr>
        <w:t xml:space="preserve"> la frontière Algérienne ou au Sahara Mauritanien</w:t>
      </w:r>
      <w:r w:rsidR="001D52F3">
        <w:rPr>
          <w:color w:val="000000"/>
        </w:rPr>
        <w:t>,</w:t>
      </w:r>
      <w:r>
        <w:rPr>
          <w:color w:val="000000"/>
        </w:rPr>
        <w:t xml:space="preserve"> et les déplacements des migrants d’une région </w:t>
      </w:r>
      <w:r w:rsidR="001D52F3">
        <w:rPr>
          <w:color w:val="000000"/>
        </w:rPr>
        <w:t>à</w:t>
      </w:r>
      <w:r>
        <w:rPr>
          <w:color w:val="000000"/>
        </w:rPr>
        <w:t xml:space="preserve"> une autre sans justification légale.</w:t>
      </w:r>
    </w:p>
    <w:p w:rsidR="000F2BDD" w:rsidRDefault="000F2BDD">
      <w:pPr>
        <w:numPr>
          <w:ilvl w:val="1"/>
          <w:numId w:val="1"/>
        </w:numPr>
        <w:tabs>
          <w:tab w:val="clear" w:pos="1440"/>
          <w:tab w:val="num" w:pos="142"/>
        </w:tabs>
        <w:ind w:left="142" w:hanging="142"/>
        <w:jc w:val="both"/>
        <w:rPr>
          <w:bCs/>
        </w:rPr>
      </w:pPr>
      <w:r>
        <w:rPr>
          <w:color w:val="000000"/>
        </w:rPr>
        <w:t xml:space="preserve">Pénaliser les arrestations de mineurs et interdire leur rapatriement. </w:t>
      </w:r>
    </w:p>
    <w:p w:rsidR="000F2BDD" w:rsidRDefault="000F2BDD">
      <w:pPr>
        <w:numPr>
          <w:ilvl w:val="1"/>
          <w:numId w:val="1"/>
        </w:numPr>
        <w:tabs>
          <w:tab w:val="clear" w:pos="1440"/>
          <w:tab w:val="num" w:pos="142"/>
        </w:tabs>
        <w:ind w:left="142" w:hanging="142"/>
        <w:jc w:val="both"/>
        <w:rPr>
          <w:bCs/>
        </w:rPr>
      </w:pPr>
      <w:r>
        <w:rPr>
          <w:color w:val="000000"/>
        </w:rPr>
        <w:t xml:space="preserve">Interdire les expulsions de malades. </w:t>
      </w:r>
    </w:p>
    <w:p w:rsidR="000F2BDD" w:rsidRDefault="000F2BDD">
      <w:pPr>
        <w:pStyle w:val="Paragraphedeliste1"/>
        <w:shd w:val="clear" w:color="auto" w:fill="FFFFFF"/>
        <w:ind w:left="0"/>
        <w:jc w:val="both"/>
        <w:rPr>
          <w:rStyle w:val="Strong"/>
          <w:b w:val="0"/>
          <w:color w:val="000000"/>
          <w:szCs w:val="28"/>
        </w:rPr>
      </w:pPr>
      <w:r>
        <w:rPr>
          <w:rStyle w:val="Strong"/>
          <w:b w:val="0"/>
          <w:color w:val="000000"/>
          <w:szCs w:val="28"/>
        </w:rPr>
        <w:t xml:space="preserve">- Arrêter les expulsions et toutes les formes de violences à l’encontre des </w:t>
      </w:r>
      <w:r w:rsidR="001D52F3">
        <w:rPr>
          <w:rStyle w:val="Strong"/>
          <w:b w:val="0"/>
          <w:color w:val="000000"/>
          <w:szCs w:val="28"/>
        </w:rPr>
        <w:t>m</w:t>
      </w:r>
      <w:r>
        <w:rPr>
          <w:rStyle w:val="Strong"/>
          <w:b w:val="0"/>
          <w:color w:val="000000"/>
          <w:szCs w:val="28"/>
        </w:rPr>
        <w:t xml:space="preserve">igrants subsahariens qui s’effectuent en violation de l’article 3 de la Convention des Nations </w:t>
      </w:r>
      <w:r w:rsidR="001D52F3">
        <w:rPr>
          <w:rStyle w:val="Strong"/>
          <w:b w:val="0"/>
          <w:color w:val="000000"/>
          <w:szCs w:val="28"/>
        </w:rPr>
        <w:t>U</w:t>
      </w:r>
      <w:r>
        <w:rPr>
          <w:rStyle w:val="Strong"/>
          <w:b w:val="0"/>
          <w:color w:val="000000"/>
          <w:szCs w:val="28"/>
        </w:rPr>
        <w:t xml:space="preserve">nies contre la </w:t>
      </w:r>
      <w:r w:rsidR="001D52F3">
        <w:rPr>
          <w:rStyle w:val="Strong"/>
          <w:b w:val="0"/>
          <w:color w:val="000000"/>
          <w:szCs w:val="28"/>
        </w:rPr>
        <w:t>t</w:t>
      </w:r>
      <w:r>
        <w:rPr>
          <w:rStyle w:val="Strong"/>
          <w:b w:val="0"/>
          <w:color w:val="000000"/>
          <w:szCs w:val="28"/>
        </w:rPr>
        <w:t>orture.</w:t>
      </w:r>
    </w:p>
    <w:p w:rsidR="000F2BDD" w:rsidRDefault="000F2BDD">
      <w:pPr>
        <w:pStyle w:val="Paragraphedeliste1"/>
        <w:shd w:val="clear" w:color="auto" w:fill="FFFFFF"/>
        <w:ind w:left="0"/>
        <w:jc w:val="both"/>
        <w:rPr>
          <w:rStyle w:val="Strong"/>
          <w:bCs/>
          <w:color w:val="000000"/>
          <w:szCs w:val="28"/>
          <w:u w:val="single"/>
        </w:rPr>
      </w:pPr>
      <w:r>
        <w:rPr>
          <w:rStyle w:val="Strong"/>
          <w:b w:val="0"/>
          <w:color w:val="000000"/>
          <w:szCs w:val="28"/>
        </w:rPr>
        <w:t xml:space="preserve">- Adopter une législation nationale sur l’asile </w:t>
      </w:r>
      <w:r w:rsidR="001D52F3">
        <w:rPr>
          <w:rStyle w:val="Strong"/>
          <w:b w:val="0"/>
          <w:color w:val="000000"/>
          <w:szCs w:val="28"/>
        </w:rPr>
        <w:t>conformément</w:t>
      </w:r>
      <w:r>
        <w:rPr>
          <w:rStyle w:val="Strong"/>
          <w:b w:val="0"/>
          <w:color w:val="000000"/>
          <w:szCs w:val="28"/>
        </w:rPr>
        <w:t xml:space="preserve"> à la convention de Genève de 1951 ratifié</w:t>
      </w:r>
      <w:r w:rsidR="001D52F3">
        <w:rPr>
          <w:rStyle w:val="Strong"/>
          <w:b w:val="0"/>
          <w:color w:val="000000"/>
          <w:szCs w:val="28"/>
        </w:rPr>
        <w:t>e</w:t>
      </w:r>
      <w:r>
        <w:rPr>
          <w:rStyle w:val="Strong"/>
          <w:b w:val="0"/>
          <w:color w:val="000000"/>
          <w:szCs w:val="28"/>
        </w:rPr>
        <w:t xml:space="preserve"> par le Maroc.</w:t>
      </w:r>
    </w:p>
    <w:p w:rsidR="000F2BDD" w:rsidRDefault="000F2BDD">
      <w:pPr>
        <w:pStyle w:val="Paragraphedeliste1"/>
        <w:shd w:val="clear" w:color="auto" w:fill="FFFFFF"/>
        <w:ind w:left="0"/>
        <w:jc w:val="both"/>
        <w:rPr>
          <w:b/>
          <w:bCs/>
          <w:color w:val="000000"/>
          <w:szCs w:val="28"/>
          <w:u w:val="single"/>
        </w:rPr>
      </w:pPr>
      <w:r>
        <w:rPr>
          <w:rStyle w:val="Strong"/>
          <w:b w:val="0"/>
          <w:color w:val="000000"/>
          <w:szCs w:val="28"/>
        </w:rPr>
        <w:t>- Respecter l’obligation de non refoulement des réfugiés et des demandeurs d’asile et aucun d’entre eux ne devra être arrêté, détenu ou expulsé.</w:t>
      </w:r>
    </w:p>
    <w:p w:rsidR="000F2BDD" w:rsidRDefault="000F2BDD">
      <w:pPr>
        <w:numPr>
          <w:ilvl w:val="1"/>
          <w:numId w:val="1"/>
        </w:numPr>
        <w:tabs>
          <w:tab w:val="clear" w:pos="1440"/>
          <w:tab w:val="num" w:pos="142"/>
        </w:tabs>
        <w:ind w:left="142" w:hanging="142"/>
        <w:jc w:val="both"/>
        <w:rPr>
          <w:bCs/>
        </w:rPr>
      </w:pPr>
      <w:r>
        <w:t xml:space="preserve">Fournir l’information demandée par le Comité dans son OG </w:t>
      </w:r>
      <w:r>
        <w:rPr>
          <w:szCs w:val="20"/>
        </w:rPr>
        <w:t xml:space="preserve"> n. 15.</w:t>
      </w:r>
    </w:p>
    <w:p w:rsidR="000F2BDD" w:rsidRDefault="000F2BDD">
      <w:pPr>
        <w:autoSpaceDE w:val="0"/>
        <w:autoSpaceDN w:val="0"/>
        <w:adjustRightInd w:val="0"/>
        <w:jc w:val="both"/>
      </w:pPr>
    </w:p>
    <w:p w:rsidR="000F2BDD" w:rsidRDefault="000F2BDD">
      <w:pPr>
        <w:pStyle w:val="Heading2"/>
        <w:spacing w:after="0"/>
      </w:pPr>
      <w:bookmarkStart w:id="13" w:name="_Toc311886146"/>
      <w:r>
        <w:t>ARTICLE 14.- Egalité devant la loi et droit à un procès équitable.</w:t>
      </w:r>
      <w:bookmarkEnd w:id="13"/>
    </w:p>
    <w:p w:rsidR="000F2BDD" w:rsidRDefault="000F2BDD">
      <w:pPr>
        <w:autoSpaceDE w:val="0"/>
        <w:autoSpaceDN w:val="0"/>
        <w:adjustRightInd w:val="0"/>
        <w:jc w:val="both"/>
      </w:pPr>
    </w:p>
    <w:p w:rsidR="000F2BDD" w:rsidRDefault="000F2BDD">
      <w:pPr>
        <w:autoSpaceDE w:val="0"/>
        <w:autoSpaceDN w:val="0"/>
        <w:adjustRightInd w:val="0"/>
        <w:jc w:val="both"/>
      </w:pPr>
      <w:r>
        <w:t>Les informations sur l’adaptation de la législation marocaine au Pacte en lien avec ce droit fournies dans les paragraphes 191 à 200 du rapport de l’État consistent en une liste de lois sans explications ou d’annonces de projets de loi qui ne sont toujours pas en vigueur (et pour lesquelles aucune garantie n’existe de leur future entrée en vigueur). Dans ce sens, nous identifions à nouveau un inaccomplissement de ce que le Comité demande, en particulier dans l’OG n.13</w:t>
      </w:r>
      <w:r>
        <w:rPr>
          <w:rStyle w:val="FootnoteReference"/>
        </w:rPr>
        <w:footnoteReference w:id="19"/>
      </w:r>
      <w:r>
        <w:t>, étant donné que « les États parties ne reconnaissent pas dans leurs rapports que l’article 14 s’applique non seulement aux procédures de détermination du bien</w:t>
      </w:r>
      <w:r>
        <w:noBreakHyphen/>
        <w:t xml:space="preserve">fondé des accusations en matière pénale portées contre des individus, mais aussi aux contestations relatives aux droits et obligations de caractère civil». </w:t>
      </w:r>
    </w:p>
    <w:p w:rsidR="000F2BDD" w:rsidRDefault="000F2BDD">
      <w:pPr>
        <w:autoSpaceDE w:val="0"/>
        <w:autoSpaceDN w:val="0"/>
        <w:adjustRightInd w:val="0"/>
        <w:jc w:val="both"/>
      </w:pPr>
    </w:p>
    <w:p w:rsidR="000F2BDD" w:rsidRDefault="000F2BDD">
      <w:pPr>
        <w:autoSpaceDE w:val="0"/>
        <w:autoSpaceDN w:val="0"/>
        <w:adjustRightInd w:val="0"/>
        <w:jc w:val="both"/>
        <w:rPr>
          <w:color w:val="000000"/>
        </w:rPr>
      </w:pPr>
      <w:r>
        <w:t xml:space="preserve">Également, le rapport ne répond pas à ce qui est signalé dans le paragraphe 3 de la même Observation, à savoir, «les États parties devraient indiquer avec précision les textes constitutionnels et législatifs qui prévoient la </w:t>
      </w:r>
      <w:r w:rsidR="00C67BC8">
        <w:t>C</w:t>
      </w:r>
      <w:r>
        <w:t>onstitution des tribunaux et en garantissent l’indépendance, l’impartialité et la compétence, pour ce qui est en particulier de la manière dont les juges sont nommés, des qualifications qui leur sont demandées, de la durée de leur mandat, des conditions régissant l’avancement, les mutations et la cessation de fonctions ainsi que de l’indépendance effective des juridictions par rapport à l’exécutif et au législatif ». Il manque aussi des renseignements en lien avec ce que le Comité demande dans le paragraphe 11 de la même Observation sur « la protection du droit de l’accusé d’être présent lorsque l’on se prononce sur le bien</w:t>
      </w:r>
      <w:r>
        <w:noBreakHyphen/>
        <w:t>fondé d’une accusation portée contre lui, et sur la façon dont le système juridique lui assure le droit soit de se défendre lui-même en personne soit de bénéficier de l’assistance d’un défenseur de son choix ». Finalement, aucune référence n’est faite non plus aux renseignements demandés dans le paragraphe 16 « sur les questions pertinentes, telles que l’âge minimum auquel un jeune peut être accusé d’une infraction, l’âge de la majorité pénale, l’existence de tribunaux et de procédures spéciaux, la législation définissant les procédures à l’encontre des jeunes et la façon dont l’ensemble de ces dispositions spéciales concernant les jeunes tiennent compte de «l’intérêt que présente leur rééducation» ».</w:t>
      </w:r>
    </w:p>
    <w:p w:rsidR="000F2BDD" w:rsidRDefault="000F2BDD">
      <w:pPr>
        <w:autoSpaceDE w:val="0"/>
        <w:autoSpaceDN w:val="0"/>
        <w:adjustRightInd w:val="0"/>
        <w:jc w:val="both"/>
        <w:rPr>
          <w:color w:val="000000"/>
        </w:rPr>
      </w:pPr>
    </w:p>
    <w:p w:rsidR="000F2BDD" w:rsidRDefault="000F2BDD">
      <w:pPr>
        <w:autoSpaceDE w:val="0"/>
        <w:autoSpaceDN w:val="0"/>
        <w:adjustRightInd w:val="0"/>
        <w:jc w:val="both"/>
      </w:pPr>
      <w:r>
        <w:rPr>
          <w:color w:val="000000"/>
        </w:rPr>
        <w:t>Au Maroc, nous constatons la persistance des violacions comme la constante a</w:t>
      </w:r>
      <w:r>
        <w:t>bsence d’un procès équitable, le non respect du principe de la présomption d’innocence et le fait que plus de la moitié des détenus sont non encore jugés.</w:t>
      </w:r>
    </w:p>
    <w:p w:rsidR="000F2BDD" w:rsidRDefault="000F2BDD">
      <w:pPr>
        <w:jc w:val="both"/>
        <w:rPr>
          <w:szCs w:val="20"/>
        </w:rPr>
      </w:pPr>
    </w:p>
    <w:p w:rsidR="000F2BDD" w:rsidRDefault="000F2BDD">
      <w:pPr>
        <w:pStyle w:val="Heading3"/>
        <w:spacing w:after="0"/>
      </w:pPr>
      <w:r>
        <w:t>Recommandations en lien avec l’article 14:</w:t>
      </w:r>
    </w:p>
    <w:p w:rsidR="000F2BDD" w:rsidRDefault="000F2BDD">
      <w:pPr>
        <w:jc w:val="both"/>
        <w:rPr>
          <w:bCs/>
          <w:highlight w:val="yellow"/>
        </w:rPr>
      </w:pPr>
    </w:p>
    <w:p w:rsidR="000F2BDD" w:rsidRPr="000C6DB0" w:rsidRDefault="000F2BDD">
      <w:pPr>
        <w:pStyle w:val="ListParagraph"/>
        <w:numPr>
          <w:ilvl w:val="1"/>
          <w:numId w:val="1"/>
        </w:numPr>
        <w:tabs>
          <w:tab w:val="clear" w:pos="1440"/>
          <w:tab w:val="num" w:pos="142"/>
        </w:tabs>
        <w:autoSpaceDE w:val="0"/>
        <w:autoSpaceDN w:val="0"/>
        <w:adjustRightInd w:val="0"/>
        <w:ind w:left="142" w:hanging="142"/>
        <w:jc w:val="both"/>
      </w:pPr>
      <w:r w:rsidRPr="000C6DB0">
        <w:t>Garantir dans tout procès la présomption d’innocence</w:t>
      </w:r>
      <w:r>
        <w:t xml:space="preserve">, le droit </w:t>
      </w:r>
      <w:r w:rsidR="001D52F3">
        <w:t xml:space="preserve">à </w:t>
      </w:r>
      <w:r>
        <w:t>ne pas être forcé de s’incriminer soi-même,  ainsi que l’exclusion des éléments de preuve obtenus en violation des normes internationales.</w:t>
      </w:r>
    </w:p>
    <w:p w:rsidR="000F2BDD" w:rsidRDefault="000F2BDD">
      <w:pPr>
        <w:pStyle w:val="ListParagraph"/>
        <w:numPr>
          <w:ilvl w:val="1"/>
          <w:numId w:val="1"/>
        </w:numPr>
        <w:tabs>
          <w:tab w:val="clear" w:pos="1440"/>
          <w:tab w:val="num" w:pos="142"/>
        </w:tabs>
        <w:autoSpaceDE w:val="0"/>
        <w:autoSpaceDN w:val="0"/>
        <w:adjustRightInd w:val="0"/>
        <w:ind w:left="142" w:hanging="142"/>
        <w:jc w:val="both"/>
      </w:pPr>
      <w:r>
        <w:t>Implémenter des lois qui requièrent que les procès se complètent dans des délais raisonnables, conformément à l’article 120 de la Constitution qui dispose que « </w:t>
      </w:r>
      <w:r w:rsidR="00AC055A">
        <w:t>t</w:t>
      </w:r>
      <w:r>
        <w:t>oute personne a droit à un procès équitable et à un jugement rendu dans un délai raisonnable ».</w:t>
      </w:r>
    </w:p>
    <w:p w:rsidR="000F2BDD" w:rsidRDefault="000F2BDD">
      <w:pPr>
        <w:pStyle w:val="ListParagraph"/>
        <w:numPr>
          <w:ilvl w:val="1"/>
          <w:numId w:val="1"/>
        </w:numPr>
        <w:tabs>
          <w:tab w:val="clear" w:pos="1440"/>
          <w:tab w:val="num" w:pos="142"/>
        </w:tabs>
        <w:autoSpaceDE w:val="0"/>
        <w:autoSpaceDN w:val="0"/>
        <w:adjustRightInd w:val="0"/>
        <w:ind w:left="142" w:hanging="142"/>
        <w:jc w:val="both"/>
      </w:pPr>
      <w:r>
        <w:t xml:space="preserve">Amender le CPP de sorte à requérir des révisions judiciaires régulières et substantives de tous les cas de détention provisoire, de sorte que les autorités chargent avec la responsabilité de justifier la détention provisoire et montrent les démarches entreprises pour assurer le un jugement rapide.  </w:t>
      </w:r>
    </w:p>
    <w:p w:rsidR="000F2BDD" w:rsidRDefault="000F2BDD">
      <w:pPr>
        <w:pStyle w:val="ListParagraph"/>
        <w:numPr>
          <w:ilvl w:val="1"/>
          <w:numId w:val="1"/>
        </w:numPr>
        <w:tabs>
          <w:tab w:val="clear" w:pos="1440"/>
          <w:tab w:val="num" w:pos="142"/>
        </w:tabs>
        <w:autoSpaceDE w:val="0"/>
        <w:autoSpaceDN w:val="0"/>
        <w:adjustRightInd w:val="0"/>
        <w:ind w:left="142" w:hanging="142"/>
        <w:jc w:val="both"/>
      </w:pPr>
      <w:r>
        <w:t xml:space="preserve"> Adopter une loi qui mette en œuvre le droit de pétition, conformément à l’article 133 de la Constitution. </w:t>
      </w:r>
    </w:p>
    <w:p w:rsidR="000F2BDD" w:rsidRPr="000C6DB0" w:rsidRDefault="000F2BDD">
      <w:pPr>
        <w:pStyle w:val="ListParagraph"/>
        <w:numPr>
          <w:ilvl w:val="1"/>
          <w:numId w:val="1"/>
        </w:numPr>
        <w:tabs>
          <w:tab w:val="clear" w:pos="1440"/>
          <w:tab w:val="num" w:pos="142"/>
        </w:tabs>
        <w:autoSpaceDE w:val="0"/>
        <w:autoSpaceDN w:val="0"/>
        <w:adjustRightInd w:val="0"/>
        <w:ind w:left="142" w:hanging="142"/>
        <w:jc w:val="both"/>
      </w:pPr>
      <w:r>
        <w:t xml:space="preserve">Enquêter sur les cas des procès inéquitables et garantir aux victimes qu’ils soient jugés devant un tribunal indépendant et une justice impartiale. </w:t>
      </w:r>
    </w:p>
    <w:p w:rsidR="000F2BDD" w:rsidRDefault="000F2BDD">
      <w:pPr>
        <w:numPr>
          <w:ilvl w:val="1"/>
          <w:numId w:val="1"/>
        </w:numPr>
        <w:tabs>
          <w:tab w:val="clear" w:pos="1440"/>
          <w:tab w:val="num" w:pos="180"/>
        </w:tabs>
        <w:ind w:left="180" w:hanging="180"/>
        <w:jc w:val="both"/>
      </w:pPr>
      <w:r>
        <w:t xml:space="preserve">Appliquer les jugements prononcés contre l’État. </w:t>
      </w:r>
    </w:p>
    <w:p w:rsidR="000F2BDD" w:rsidRDefault="000F2BDD" w:rsidP="00B5767B">
      <w:pPr>
        <w:pStyle w:val="ListParagraph"/>
        <w:tabs>
          <w:tab w:val="num" w:pos="142"/>
        </w:tabs>
        <w:autoSpaceDE w:val="0"/>
        <w:autoSpaceDN w:val="0"/>
        <w:adjustRightInd w:val="0"/>
        <w:ind w:left="142" w:hanging="142"/>
        <w:jc w:val="both"/>
      </w:pPr>
      <w:r>
        <w:t>- Fournir l’information demandée par le Comité dans son OG n. 13.</w:t>
      </w:r>
    </w:p>
    <w:p w:rsidR="000F2BDD" w:rsidRDefault="000F2BDD">
      <w:pPr>
        <w:pStyle w:val="Heading2"/>
        <w:spacing w:after="0"/>
      </w:pPr>
    </w:p>
    <w:p w:rsidR="000F2BDD" w:rsidRDefault="000F2BDD">
      <w:pPr>
        <w:pStyle w:val="Heading2"/>
        <w:spacing w:after="0"/>
      </w:pPr>
      <w:bookmarkStart w:id="14" w:name="_Toc311886147"/>
      <w:r>
        <w:t>ARTICLE 15.- Principe de non rétroactivité de la loi</w:t>
      </w:r>
      <w:bookmarkEnd w:id="14"/>
    </w:p>
    <w:p w:rsidR="000F2BDD" w:rsidRDefault="000F2BDD"/>
    <w:p w:rsidR="000F2BDD" w:rsidRDefault="000F2BDD">
      <w:pPr>
        <w:autoSpaceDE w:val="0"/>
        <w:autoSpaceDN w:val="0"/>
        <w:adjustRightInd w:val="0"/>
        <w:jc w:val="both"/>
        <w:rPr>
          <w:szCs w:val="20"/>
        </w:rPr>
      </w:pPr>
      <w:r>
        <w:t xml:space="preserve">Le rapport du Maroc fournit à ce sujet très peu d’information (paragraphe 201) et n’offre aucune explication sur le cas du groupe du 16 mai qui a été jugé dans le non respect de ce principe. Ils ont été jugés dans le cadre d’une procédure pénale douteuse car expéditive, conduite à la suite des attentats de Casablanca du 16 mai 2003, dans laquelle a été faite une application rétroactive de loi pénale marocaine antiterroriste. Il y a eu une condamnation pour des faits commis le 16 mai 2003 sur la base d’une loi votée le 28 mai 2003. </w:t>
      </w:r>
      <w:r>
        <w:rPr>
          <w:szCs w:val="20"/>
        </w:rPr>
        <w:t xml:space="preserve">Les personnes appartenant à ce groupe auraient été entendues ou condamnées à l’issue d’un procès expéditif pour avoir participé aux attentats de Casablanca sur la base d’une loi marocaine du 28 mai 2003 relative à la lutte contre le terrorisme appliquée rétroactivement en violation tant de l’article 4 du CP marocain que du principe général de la non-rétroactivité de la loi pénale. </w:t>
      </w:r>
    </w:p>
    <w:p w:rsidR="000F2BDD" w:rsidRDefault="000F2BDD">
      <w:pPr>
        <w:autoSpaceDE w:val="0"/>
        <w:autoSpaceDN w:val="0"/>
        <w:adjustRightInd w:val="0"/>
        <w:jc w:val="both"/>
      </w:pPr>
    </w:p>
    <w:p w:rsidR="000F2BDD" w:rsidRDefault="000F2BDD">
      <w:pPr>
        <w:pStyle w:val="Heading3"/>
        <w:spacing w:after="0"/>
        <w:rPr>
          <w:highlight w:val="white"/>
        </w:rPr>
      </w:pPr>
      <w:r>
        <w:rPr>
          <w:highlight w:val="white"/>
        </w:rPr>
        <w:t xml:space="preserve">Recommandations en lien avec l’article 15 : </w:t>
      </w:r>
    </w:p>
    <w:p w:rsidR="000F2BDD" w:rsidRDefault="000F2BDD"/>
    <w:p w:rsidR="000F2BDD" w:rsidRDefault="000F2BDD">
      <w:pPr>
        <w:autoSpaceDE w:val="0"/>
        <w:autoSpaceDN w:val="0"/>
        <w:adjustRightInd w:val="0"/>
        <w:jc w:val="both"/>
      </w:pPr>
      <w:r>
        <w:t xml:space="preserve">- Le Maroc devrait fournir des explications sur l’application rétroactive de la loi anti-terroriste aux détenus suite aux fais du 16 mai 2003. </w:t>
      </w:r>
    </w:p>
    <w:p w:rsidR="000F2BDD" w:rsidRDefault="000F2BDD">
      <w:pPr>
        <w:autoSpaceDE w:val="0"/>
        <w:autoSpaceDN w:val="0"/>
        <w:adjustRightInd w:val="0"/>
        <w:jc w:val="both"/>
      </w:pPr>
    </w:p>
    <w:p w:rsidR="000F2BDD" w:rsidRDefault="000F2BDD">
      <w:pPr>
        <w:pStyle w:val="Heading2"/>
        <w:spacing w:after="0"/>
      </w:pPr>
      <w:bookmarkStart w:id="15" w:name="_Toc311886148"/>
      <w:r>
        <w:t xml:space="preserve">ARTICLE 17.- Droit </w:t>
      </w:r>
      <w:r w:rsidR="00C27989">
        <w:t>à</w:t>
      </w:r>
      <w:r>
        <w:t xml:space="preserve"> la vie privée</w:t>
      </w:r>
      <w:bookmarkEnd w:id="15"/>
    </w:p>
    <w:p w:rsidR="000F2BDD" w:rsidRDefault="000F2BDD">
      <w:pPr>
        <w:autoSpaceDE w:val="0"/>
        <w:autoSpaceDN w:val="0"/>
        <w:adjustRightInd w:val="0"/>
        <w:jc w:val="both"/>
      </w:pPr>
    </w:p>
    <w:p w:rsidR="000F2BDD" w:rsidRDefault="000F2BDD">
      <w:pPr>
        <w:autoSpaceDE w:val="0"/>
        <w:autoSpaceDN w:val="0"/>
        <w:adjustRightInd w:val="0"/>
        <w:jc w:val="both"/>
      </w:pPr>
      <w:r>
        <w:t>L’information sur la conformité du cadre juridique marocain avec les dispositions de cet article, contenue dans les paragraphes 203 à 206 du rapport de l’État, est clairement insuffisante et ne répond pas aux recommandations du Comité reprises dans l’OG n.16</w:t>
      </w:r>
      <w:r>
        <w:rPr>
          <w:rStyle w:val="FootnoteReference"/>
        </w:rPr>
        <w:footnoteReference w:id="20"/>
      </w:r>
      <w:r>
        <w:t>, qui</w:t>
      </w:r>
      <w:r w:rsidR="00C814FB">
        <w:t>,</w:t>
      </w:r>
      <w:r>
        <w:t xml:space="preserve"> dans son paragraphe 2 indique qu’une attention doit être accordée « aux renseignements sur la façon dont le respect de ce droit est garanti par les autorités législatives, administratives ou judiciaires, et en général par les organes compétents institués par l’État » et, en particulier, à « la protection contre les immixtions illégales et arbitraires ».</w:t>
      </w:r>
    </w:p>
    <w:p w:rsidR="000F2BDD" w:rsidRDefault="000F2BDD">
      <w:pPr>
        <w:autoSpaceDE w:val="0"/>
        <w:autoSpaceDN w:val="0"/>
        <w:adjustRightInd w:val="0"/>
        <w:jc w:val="both"/>
      </w:pPr>
      <w:r>
        <w:t> </w:t>
      </w:r>
    </w:p>
    <w:p w:rsidR="000F2BDD" w:rsidRDefault="000F2BDD">
      <w:pPr>
        <w:autoSpaceDE w:val="0"/>
        <w:autoSpaceDN w:val="0"/>
        <w:adjustRightInd w:val="0"/>
        <w:jc w:val="both"/>
      </w:pPr>
      <w:r>
        <w:t xml:space="preserve">En termes de violations de l’article qui se produisent au Maroc, nous devons signaler l’inaccomplissement par le projet de code numérique de ce que le paragraphe 10 dispose : « Le rassemblement et la conservation, par des autorités publiques, des particuliers ou des organismes privés, de renseignements concernant la vie privée d’individus sur des ordinateurs, dans des banques de données et selon d’autres procédés, doivent être réglementés par la loi. L’État doit prendre des mesures efficaces afin d’assurer que ces renseignements ne tombent pas entre les mains de personnes non autorisées par la loi à les recevoir, les traiter et les exploiter, et ne soient jamais utilisés à des fins incompatibles avec le Pacte. Il serait souhaitable, pour assurer la protection la plus efficace de sa vie privée, que chaque individu ait le droit de déterminer, sous une forme intelligible, si des données personnelles le concernant et, dans l’affirmative, lesquelles, sont stockées dans des fichiers automatiques de données, et à quelles fins ». Dans ce sens, il existe une lacune importante. Le projet de code numérique présenté par le gouvernement tente d’instaurer un système de contrôle administratif sur les communications en ligne, ce qui risque d’entrainer une situation d’inconstitutionnalité avec l’article 24, selon lequel le domicile est inviolable et les communications privées sont </w:t>
      </w:r>
      <w:r w:rsidR="00C814FB">
        <w:t>secrètes. »</w:t>
      </w:r>
    </w:p>
    <w:p w:rsidR="000F2BDD" w:rsidRDefault="000F2BDD">
      <w:pPr>
        <w:autoSpaceDE w:val="0"/>
        <w:autoSpaceDN w:val="0"/>
        <w:adjustRightInd w:val="0"/>
        <w:jc w:val="both"/>
      </w:pPr>
      <w:r>
        <w:t xml:space="preserve"> Par ailleurs, la réglementation instituant la Commission Nationale de contrôle de la protection des Données à caractère Personnel (CNDP) comporte quelques écueils, notamment la non prévision d’un délai de conservation des données par les responsables de traitement. De plus, la CNDP ne communique pas sur les déclarations faites par les différentes administrations étatiques usant d’outils de traitements des données personnelles. Cette situation participe à développer une opacité notamment sur l’importation des technologies civiles par les services marocains de sécurité avec le risque d’une surveillance des communications en ligne en dehors de tout contrôle judiciaire. </w:t>
      </w:r>
    </w:p>
    <w:p w:rsidR="000F2BDD" w:rsidRDefault="000F2BDD">
      <w:pPr>
        <w:autoSpaceDE w:val="0"/>
        <w:autoSpaceDN w:val="0"/>
        <w:adjustRightInd w:val="0"/>
        <w:jc w:val="both"/>
      </w:pPr>
      <w:r>
        <w:t>Jusqu’à ce jour, la CNDP n’a diligenté aucune enquête pour mettre la lumière sur la situation de la surveillance au Maroc, ce qui aurait eu l’avantage d’instaurer un débat serein au sein de la société marocaine sur les nouveaux défis posés par l’usage des nouvelles technologies de communication et les impératifs de sécurité légitimes pour l’Etat dans un cadre garantissant la protection de la vie privée contre toutes les formes d’abus qu’elles émanent de l’Etat lui-même ou d’autres parties (particuliers ou sociétés commerciales).Par ailleurs, la législation marocaine ne permet pas le chiffrement des données entre particuliers sans autorisation gouvernementale sous peine de lourdes sanctions pénales. Cette situation est préjudiciable au droit à l’anonymat et au chiffrement des données numériques défendu par plusieurs mécanismes internationaux protecteurs des droits.</w:t>
      </w:r>
    </w:p>
    <w:p w:rsidR="000F2BDD" w:rsidRDefault="000F2BDD">
      <w:pPr>
        <w:autoSpaceDE w:val="0"/>
        <w:autoSpaceDN w:val="0"/>
        <w:adjustRightInd w:val="0"/>
        <w:jc w:val="both"/>
      </w:pPr>
      <w:r>
        <w:t>Sur un autre volet on assiste à des interventions policières aux domiciles des particuliers sans autorisation du ministère publique.</w:t>
      </w:r>
    </w:p>
    <w:p w:rsidR="000F2BDD" w:rsidRDefault="000F2BDD">
      <w:pPr>
        <w:autoSpaceDE w:val="0"/>
        <w:autoSpaceDN w:val="0"/>
        <w:adjustRightInd w:val="0"/>
        <w:jc w:val="both"/>
        <w:rPr>
          <w:szCs w:val="20"/>
        </w:rPr>
      </w:pPr>
    </w:p>
    <w:p w:rsidR="000F2BDD" w:rsidRDefault="000F2BDD">
      <w:pPr>
        <w:pStyle w:val="Heading3"/>
        <w:spacing w:after="0"/>
        <w:rPr>
          <w:highlight w:val="white"/>
        </w:rPr>
      </w:pPr>
      <w:r>
        <w:rPr>
          <w:highlight w:val="white"/>
        </w:rPr>
        <w:t xml:space="preserve">Recommandations en lien avec l’article 17: </w:t>
      </w:r>
    </w:p>
    <w:p w:rsidR="000F2BDD" w:rsidRDefault="000F2BDD">
      <w:pPr>
        <w:jc w:val="both"/>
      </w:pPr>
    </w:p>
    <w:p w:rsidR="000F2BDD" w:rsidRDefault="000F2BDD">
      <w:pPr>
        <w:autoSpaceDE w:val="0"/>
        <w:autoSpaceDN w:val="0"/>
        <w:adjustRightInd w:val="0"/>
        <w:jc w:val="both"/>
      </w:pPr>
      <w:r>
        <w:t>- Enquêter sur les cas des violations des domiciles par les forces de l’ordre en infraction des lois en vigueur et des garanties contenues dans ce pacte, rapportés par les rapports des ONG indépendantes ou filmés et publiés sur youtube (le cas de Hicham Mansouri, les évènements de Sidi Ifni en 2008, de Taza en 2012, de Beni Bouayach en 2011, l’invasion brutale et illégale du local de l’AMDH le 15 février 2015 par 40 policiers…).</w:t>
      </w:r>
    </w:p>
    <w:p w:rsidR="000F2BDD" w:rsidRDefault="000F2BDD">
      <w:pPr>
        <w:autoSpaceDE w:val="0"/>
        <w:autoSpaceDN w:val="0"/>
        <w:adjustRightInd w:val="0"/>
        <w:jc w:val="both"/>
      </w:pPr>
      <w:r>
        <w:t>-  Modifier la législation en vue de permettre le chiffrement des données entre particuliers sans autorisation gouvernementale.</w:t>
      </w:r>
    </w:p>
    <w:p w:rsidR="000F2BDD" w:rsidRDefault="000F2BDD">
      <w:pPr>
        <w:autoSpaceDE w:val="0"/>
        <w:autoSpaceDN w:val="0"/>
        <w:adjustRightInd w:val="0"/>
        <w:jc w:val="both"/>
      </w:pPr>
      <w:r>
        <w:t>- Fournir l’information demandée par le Comité dans son OG n. 16.</w:t>
      </w:r>
    </w:p>
    <w:p w:rsidR="000F2BDD" w:rsidRDefault="000F2BDD">
      <w:pPr>
        <w:autoSpaceDE w:val="0"/>
        <w:autoSpaceDN w:val="0"/>
        <w:adjustRightInd w:val="0"/>
        <w:jc w:val="both"/>
        <w:rPr>
          <w:szCs w:val="20"/>
        </w:rPr>
      </w:pPr>
    </w:p>
    <w:p w:rsidR="000F2BDD" w:rsidRDefault="000F2BDD">
      <w:pPr>
        <w:pStyle w:val="Heading2"/>
        <w:spacing w:after="0"/>
      </w:pPr>
      <w:bookmarkStart w:id="16" w:name="_Toc311886149"/>
      <w:r>
        <w:t>ARTICLE 18.- Liberté de pensée, de conscience et de religion</w:t>
      </w:r>
      <w:bookmarkEnd w:id="16"/>
    </w:p>
    <w:p w:rsidR="000F2BDD" w:rsidRDefault="000F2BDD">
      <w:pPr>
        <w:autoSpaceDE w:val="0"/>
        <w:autoSpaceDN w:val="0"/>
        <w:adjustRightInd w:val="0"/>
        <w:jc w:val="both"/>
        <w:rPr>
          <w:szCs w:val="20"/>
        </w:rPr>
      </w:pPr>
    </w:p>
    <w:p w:rsidR="000F2BDD" w:rsidRDefault="000F2BDD">
      <w:pPr>
        <w:pStyle w:val="BodyText"/>
        <w:autoSpaceDE w:val="0"/>
        <w:autoSpaceDN w:val="0"/>
        <w:adjustRightInd w:val="0"/>
      </w:pPr>
      <w:r>
        <w:t>L’information fournie dans le rapport de l’État dans les paragraphes 207 à 209 est insuffisante, compte tenu de ce que le paragraphe 9 de l’OG n. 22</w:t>
      </w:r>
      <w:r>
        <w:rPr>
          <w:rStyle w:val="FootnoteReference"/>
        </w:rPr>
        <w:footnoteReference w:id="21"/>
      </w:r>
      <w:r>
        <w:t xml:space="preserve"> demande en termes de renseignements sur « des mesures prises par les États parties concernés pour protéger la pratique de toutes les religions ou convictions contre toute atteinte, et pour protéger leurs adeptes contre la discrimination».</w:t>
      </w:r>
    </w:p>
    <w:p w:rsidR="000F2BDD" w:rsidRDefault="000F2BDD">
      <w:pPr>
        <w:pStyle w:val="BodyText"/>
        <w:autoSpaceDE w:val="0"/>
        <w:autoSpaceDN w:val="0"/>
        <w:adjustRightInd w:val="0"/>
      </w:pPr>
    </w:p>
    <w:p w:rsidR="000F2BDD" w:rsidRDefault="000F2BDD">
      <w:pPr>
        <w:pStyle w:val="BodyText"/>
        <w:autoSpaceDE w:val="0"/>
        <w:autoSpaceDN w:val="0"/>
        <w:adjustRightInd w:val="0"/>
      </w:pPr>
      <w:r>
        <w:t>En ce qui concerne l’incompatibilité des dispositions du Pacte avec la pratique des autorités et institutions marocaines, nous devons remarquer, d’une part, l’expulsion en 2010 de nombreux religieux protestants de différentes nationalités, dont certains résidant légalement au Maroc, sous prétexte de violation des lois contre le prosélytisme, en l’absence de procès et, de l’autre, la restriction à la liberté de culte, sous prétexte de l’unicité de la doctrine malékite, en tant qu’option unique.</w:t>
      </w:r>
    </w:p>
    <w:p w:rsidR="000F2BDD" w:rsidRDefault="000F2BDD">
      <w:pPr>
        <w:pStyle w:val="BodyText"/>
        <w:autoSpaceDE w:val="0"/>
        <w:autoSpaceDN w:val="0"/>
        <w:adjustRightInd w:val="0"/>
      </w:pPr>
      <w:r>
        <w:t xml:space="preserve">On assiste aussi à l’arrestation et la condamnation des personnes pour des crimes de culte et crimes d’honneur (dont </w:t>
      </w:r>
      <w:r w:rsidR="00C814FB">
        <w:t>cinq</w:t>
      </w:r>
      <w:r>
        <w:t xml:space="preserve"> cas reconnus par le Groupe de Travail sur la Détention Arbitraire. Le CP marocain interdit pour les marocains « connus de culte musulman » le fait de manger en public le jour en Ramadan, le fait de consommer de l’alcool en public, de changer leur religion ou d’inciter un musulman à la changer (ébranlement de la foi des musulmans).</w:t>
      </w:r>
    </w:p>
    <w:p w:rsidR="000F2BDD" w:rsidRDefault="000F2BDD">
      <w:pPr>
        <w:pStyle w:val="BodyText"/>
        <w:autoSpaceDE w:val="0"/>
        <w:autoSpaceDN w:val="0"/>
        <w:adjustRightInd w:val="0"/>
      </w:pPr>
    </w:p>
    <w:p w:rsidR="000F2BDD" w:rsidRDefault="000F2BDD">
      <w:pPr>
        <w:pStyle w:val="Heading3"/>
        <w:spacing w:after="0"/>
        <w:rPr>
          <w:highlight w:val="white"/>
        </w:rPr>
      </w:pPr>
      <w:r>
        <w:rPr>
          <w:highlight w:val="white"/>
        </w:rPr>
        <w:t xml:space="preserve">Recommandations en lien avec l’article 18 : </w:t>
      </w:r>
    </w:p>
    <w:p w:rsidR="000F2BDD" w:rsidRDefault="000F2BDD">
      <w:pPr>
        <w:jc w:val="both"/>
      </w:pPr>
    </w:p>
    <w:p w:rsidR="000F2BDD" w:rsidRDefault="000F2BDD">
      <w:pPr>
        <w:pStyle w:val="BodyText"/>
        <w:numPr>
          <w:ilvl w:val="1"/>
          <w:numId w:val="1"/>
        </w:numPr>
        <w:tabs>
          <w:tab w:val="clear" w:pos="1440"/>
          <w:tab w:val="num" w:pos="142"/>
        </w:tabs>
        <w:autoSpaceDE w:val="0"/>
        <w:autoSpaceDN w:val="0"/>
        <w:adjustRightInd w:val="0"/>
        <w:ind w:left="142" w:hanging="142"/>
      </w:pPr>
      <w:r>
        <w:t>L’Etat doit reconnaître la pluralité religieuse et doctrinale, respecter la liberté d’opinion et de pensée, et adopter des règles juridiques garantissant le respect de la pluralité intellectuelle et politique dans les secteurs public et privé et prendre des sanctions contre les institutions contrevenantes.</w:t>
      </w:r>
    </w:p>
    <w:p w:rsidR="000F2BDD" w:rsidRDefault="000F2BDD">
      <w:pPr>
        <w:pStyle w:val="BodyText"/>
        <w:numPr>
          <w:ilvl w:val="1"/>
          <w:numId w:val="1"/>
        </w:numPr>
        <w:tabs>
          <w:tab w:val="clear" w:pos="1440"/>
          <w:tab w:val="num" w:pos="142"/>
        </w:tabs>
        <w:autoSpaceDE w:val="0"/>
        <w:autoSpaceDN w:val="0"/>
        <w:adjustRightInd w:val="0"/>
        <w:ind w:left="142" w:hanging="142"/>
      </w:pPr>
      <w:r>
        <w:t>Arrêter la criminalisation de personnes a</w:t>
      </w:r>
      <w:r w:rsidR="00B828FF">
        <w:t>y</w:t>
      </w:r>
      <w:r>
        <w:t>ant changé de religion ou de cultes.</w:t>
      </w:r>
    </w:p>
    <w:p w:rsidR="000F2BDD" w:rsidRDefault="000F2BDD">
      <w:pPr>
        <w:pStyle w:val="BodyText"/>
        <w:numPr>
          <w:ilvl w:val="1"/>
          <w:numId w:val="1"/>
        </w:numPr>
        <w:tabs>
          <w:tab w:val="clear" w:pos="1440"/>
          <w:tab w:val="num" w:pos="142"/>
        </w:tabs>
        <w:autoSpaceDE w:val="0"/>
        <w:autoSpaceDN w:val="0"/>
        <w:adjustRightInd w:val="0"/>
        <w:ind w:left="142" w:hanging="142"/>
      </w:pPr>
      <w:r>
        <w:t xml:space="preserve">Appliquer l’article 25 de la </w:t>
      </w:r>
      <w:r w:rsidR="00C67BC8">
        <w:t>C</w:t>
      </w:r>
      <w:r>
        <w:t>onstitution qui reconnaît les libertés de pensée et opinion et l’appliquer quelque soit la religion adoptée et l’opinion exprimée.</w:t>
      </w:r>
    </w:p>
    <w:p w:rsidR="000F2BDD" w:rsidRDefault="000F2BDD">
      <w:pPr>
        <w:pStyle w:val="BodyText"/>
        <w:numPr>
          <w:ilvl w:val="1"/>
          <w:numId w:val="1"/>
        </w:numPr>
        <w:tabs>
          <w:tab w:val="clear" w:pos="1440"/>
          <w:tab w:val="num" w:pos="142"/>
        </w:tabs>
        <w:autoSpaceDE w:val="0"/>
        <w:autoSpaceDN w:val="0"/>
        <w:adjustRightInd w:val="0"/>
        <w:ind w:left="142" w:hanging="142"/>
      </w:pPr>
      <w:r>
        <w:t>Fournir l’information demandée par le Comité dans son OG n. 22.</w:t>
      </w:r>
    </w:p>
    <w:p w:rsidR="000F2BDD" w:rsidRDefault="000F2BDD">
      <w:pPr>
        <w:pStyle w:val="BodyText"/>
        <w:autoSpaceDE w:val="0"/>
        <w:autoSpaceDN w:val="0"/>
        <w:adjustRightInd w:val="0"/>
      </w:pPr>
    </w:p>
    <w:p w:rsidR="000F2BDD" w:rsidRDefault="000F2BDD">
      <w:pPr>
        <w:pStyle w:val="Heading2"/>
        <w:spacing w:after="0"/>
      </w:pPr>
      <w:bookmarkStart w:id="17" w:name="_Toc311886150"/>
      <w:r>
        <w:t>ARTICLE 19.- Liberté d’opinion et d’expression et liberté de la presse</w:t>
      </w:r>
      <w:bookmarkEnd w:id="17"/>
    </w:p>
    <w:p w:rsidR="000F2BDD" w:rsidRDefault="000F2BDD"/>
    <w:p w:rsidR="000F2BDD" w:rsidRDefault="000F2BDD">
      <w:pPr>
        <w:pStyle w:val="BodyText"/>
        <w:autoSpaceDE w:val="0"/>
        <w:autoSpaceDN w:val="0"/>
        <w:adjustRightInd w:val="0"/>
      </w:pPr>
      <w:r>
        <w:rPr>
          <w:color w:val="000000"/>
        </w:rPr>
        <w:t>L’information fournie dans le rapport du Maroc (paragraphes 210 à 229) omet, entre autres, des références à ce que l’OG n.19</w:t>
      </w:r>
      <w:r>
        <w:rPr>
          <w:rStyle w:val="FootnoteReference"/>
        </w:rPr>
        <w:footnoteReference w:id="22"/>
      </w:r>
      <w:r>
        <w:rPr>
          <w:color w:val="000000"/>
        </w:rPr>
        <w:t xml:space="preserve"> indique dans son paragraphe 15 sur « </w:t>
      </w:r>
      <w:r>
        <w:t>l’évolution des techniques de l’information et de la communication, comme l’Internet et les systèmes de diffusion électronique de l’information utilisant la technologie mobile (…). Il existe maintenant un réseau mondial où s’échangent des idées et des opinions, qui n’a pas nécessairement besoin de l’intermédiaire des moyens d’information de masse traditionnels. Les États parties devraient prendre toutes les mesures voulues pour favoriser l’indépendance de ces nouveaux moyens et garantir l’accès des particuliers à ceux-ci ».</w:t>
      </w:r>
    </w:p>
    <w:p w:rsidR="000F2BDD" w:rsidRDefault="000F2BDD">
      <w:pPr>
        <w:pStyle w:val="BodyText"/>
        <w:autoSpaceDE w:val="0"/>
        <w:autoSpaceDN w:val="0"/>
        <w:adjustRightInd w:val="0"/>
        <w:rPr>
          <w:highlight w:val="cyan"/>
        </w:rPr>
      </w:pPr>
    </w:p>
    <w:p w:rsidR="000F2BDD" w:rsidRDefault="000F2BDD">
      <w:pPr>
        <w:pStyle w:val="para"/>
        <w:shd w:val="clear" w:color="auto" w:fill="FFFFFF"/>
        <w:spacing w:before="0" w:beforeAutospacing="0" w:after="0" w:afterAutospacing="0"/>
        <w:jc w:val="both"/>
        <w:rPr>
          <w:lang w:val="fr-FR"/>
        </w:rPr>
      </w:pPr>
      <w:r>
        <w:rPr>
          <w:lang w:val="fr-FR"/>
        </w:rPr>
        <w:t xml:space="preserve">Il existe au Maroc un grand nombre de lois et pratiques qui portent atteinte aux dispositions de l’article 19. Tant la presse que les médias en ligne sont confrontés au harcèlement politique et judiciaire, notamment quand sont données des visions critiques des sujets particulièrement sensibles tels que l’islam, l’intégrité territoriale et la monarchie. </w:t>
      </w:r>
    </w:p>
    <w:p w:rsidR="000F2BDD" w:rsidRDefault="000F2BDD">
      <w:pPr>
        <w:pStyle w:val="para"/>
        <w:shd w:val="clear" w:color="auto" w:fill="FFFFFF"/>
        <w:spacing w:before="0" w:beforeAutospacing="0" w:after="0" w:afterAutospacing="0"/>
        <w:jc w:val="both"/>
        <w:rPr>
          <w:rFonts w:ascii="Verdana" w:hAnsi="Verdana"/>
          <w:lang w:val="fr-FR"/>
        </w:rPr>
      </w:pPr>
    </w:p>
    <w:p w:rsidR="000F2BDD" w:rsidRDefault="000F2BDD" w:rsidP="004763AA">
      <w:pPr>
        <w:pStyle w:val="para"/>
        <w:shd w:val="clear" w:color="auto" w:fill="FFFFFF"/>
        <w:spacing w:before="0" w:beforeAutospacing="0" w:after="0" w:afterAutospacing="0"/>
        <w:jc w:val="both"/>
        <w:rPr>
          <w:lang w:val="fr-FR"/>
        </w:rPr>
      </w:pPr>
      <w:r>
        <w:rPr>
          <w:lang w:val="fr-FR"/>
        </w:rPr>
        <w:t>D’après l’AMDH</w:t>
      </w:r>
      <w:r w:rsidR="004763AA">
        <w:rPr>
          <w:lang w:val="fr-FR"/>
        </w:rPr>
        <w:t xml:space="preserve"> et</w:t>
      </w:r>
      <w:r>
        <w:rPr>
          <w:lang w:val="fr-FR"/>
        </w:rPr>
        <w:t xml:space="preserve"> Freedom Now, plus de 40 journalistes ont été poursuivis en justice en 2015.Des poursuites sur la base de dispositions du CP, telles que l’« atteinte à la sécurité et à l’intégrité de l’État » ou de « diffusion de fausse nouvelle » sont actuellement en cours contre des journalistes et des collaborateurs des médias critiques avec les politiques gouvernementales. Sur Internet, les journalistes, professionnels ou non, sont également surveillés.La censure et les pressions des autorités s’abattent également sur la presse étrangère. En janvier et février derniers, de</w:t>
      </w:r>
      <w:r w:rsidR="00B828FF">
        <w:rPr>
          <w:lang w:val="fr-FR"/>
        </w:rPr>
        <w:t>ux</w:t>
      </w:r>
      <w:r>
        <w:rPr>
          <w:lang w:val="fr-FR"/>
        </w:rPr>
        <w:t xml:space="preserve"> journalistes français de France Télévision et France 24 ont été</w:t>
      </w:r>
      <w:r>
        <w:rPr>
          <w:rStyle w:val="apple-converted-space"/>
          <w:lang w:val="fr-FR"/>
        </w:rPr>
        <w:t> </w:t>
      </w:r>
      <w:hyperlink r:id="rId28" w:history="1">
        <w:r>
          <w:rPr>
            <w:rStyle w:val="Hyperlink"/>
            <w:color w:val="auto"/>
            <w:u w:val="none"/>
            <w:lang w:val="fr-FR"/>
          </w:rPr>
          <w:t>expulsés</w:t>
        </w:r>
      </w:hyperlink>
      <w:r>
        <w:rPr>
          <w:rStyle w:val="apple-converted-space"/>
          <w:lang w:val="fr-FR"/>
        </w:rPr>
        <w:t> </w:t>
      </w:r>
      <w:r>
        <w:rPr>
          <w:lang w:val="fr-FR"/>
        </w:rPr>
        <w:t>du pays pour avoir voulu travailler sans autorisation. Ces derniers avaient pourtant tenté d’obtenir au préalable ces documents auprès des autorités, en vain. Le Maroc occupe la position 130 sur 180 dans le classement mondial de la liberté de la presse de RSF.</w:t>
      </w:r>
    </w:p>
    <w:p w:rsidR="00B828FF" w:rsidRDefault="00B828FF">
      <w:pPr>
        <w:pStyle w:val="para"/>
        <w:shd w:val="clear" w:color="auto" w:fill="FFFFFF"/>
        <w:spacing w:before="0" w:beforeAutospacing="0" w:after="0" w:afterAutospacing="0"/>
        <w:jc w:val="both"/>
        <w:rPr>
          <w:lang w:val="fr-FR"/>
        </w:rPr>
      </w:pPr>
    </w:p>
    <w:p w:rsidR="000F2BDD" w:rsidRDefault="000F2BDD">
      <w:pPr>
        <w:shd w:val="clear" w:color="auto" w:fill="FFFFFF"/>
        <w:jc w:val="both"/>
      </w:pPr>
      <w:r>
        <w:t xml:space="preserve">Le Code de la presse, dans sa version actuelle, prévoit vingt deux infractions pour lesquels un journaliste ou l'auteur d'une publication peuvent être poursuivis. Les plus notables étant la « diffamation », le « trouble à l'ordre public », le fait de « susciter la frayeur parmi la population » et le « manquement au respect dû au Roi ». Les éléments constitutifs de ces infractions sont parfois absents dans certains procès. C'est pour cela qu'un nouveau projet a été proposé pour remplacer les peines privatives de liberté par une augmentation du montant des amendes, afin de dissuader les journalistes de commettre ce type de délits. </w:t>
      </w:r>
    </w:p>
    <w:p w:rsidR="000F2BDD" w:rsidRDefault="000F2BDD">
      <w:pPr>
        <w:shd w:val="clear" w:color="auto" w:fill="FFFFFF"/>
        <w:jc w:val="both"/>
      </w:pPr>
    </w:p>
    <w:p w:rsidR="000F2BDD" w:rsidRDefault="000F2BDD">
      <w:pPr>
        <w:shd w:val="clear" w:color="auto" w:fill="FFFFFF"/>
        <w:jc w:val="both"/>
      </w:pPr>
      <w:r>
        <w:rPr>
          <w:bCs/>
        </w:rPr>
        <w:t>Concernant ce nouveau projet de loi relatif à la presse et à l'édition, il</w:t>
      </w:r>
      <w:r>
        <w:t xml:space="preserve"> dresse toujours des obstacles devant cette liberté, dont les plus notables sont: la lourdeur des formalités auxquelles il faudrait se soumettre pour créer un journal (Art.20) ; le requis d'autorisation du Chef du gouvernement ou de son représentant pour la création, la publication et l'impression de journaux étrangers (article 30) ; la persistance des lignes rouges: atteinte à la religion, à la monarchie et/ou à l'intégrité territoriale, de même que les termes vagues utilisés peuvent donner lieu à plus d'une interprétation, comme «l’atteinte à la religion musulmane» ou «incitation à porter atteinte à l'intégrité territoriale» (Art.32) ; le manque d’exclusion d’un éventuel recours au CP ou à des lois antiterroristes dans des procès visant les organes de presse et les journalistes ; le manque de mention explicite sur l'absence des peines privatives de liberté ou l'impossibilité d'appliquer le CP dans les affaires de journalisme ; l'élargissement du champ d'application des sanctions dans le domaine du journalisme et de l'édition, qui incluent, en plus</w:t>
      </w:r>
      <w:r w:rsidR="00664263">
        <w:t>,</w:t>
      </w:r>
      <w:r>
        <w:t xml:space="preserve"> des responsables d'édition et de rédaction, les responsables de publication et de distribution ainsi que les vendeur</w:t>
      </w:r>
      <w:r w:rsidR="00664263">
        <w:t>s</w:t>
      </w:r>
      <w:r>
        <w:t> ; l'attribution de pouvoirs disciplinaires au Conseil national de la presse pouvant en faire un «nouvel organe de censure » ;  les sanctions privatives de liberté ont été supplantées par des amendes, qui sont encore bien élevées , ce qui peut menacer l'existence même des journaux et mettre les personnes condamnées dans l'incapacité de s'en acquitter en risque de telles peines;  la presse électronique est soumise à la même lourdeur que l’écrite pour sa création, tandis que la définition de la « presse électronique » prête à confusion en termes des types de publications considérées comme tels.</w:t>
      </w:r>
    </w:p>
    <w:p w:rsidR="000F2BDD" w:rsidRDefault="000F2BDD">
      <w:pPr>
        <w:shd w:val="clear" w:color="auto" w:fill="FFFFFF"/>
        <w:jc w:val="both"/>
        <w:rPr>
          <w:b/>
          <w:bCs/>
        </w:rPr>
      </w:pPr>
    </w:p>
    <w:p w:rsidR="000F2BDD" w:rsidRDefault="000F2BDD">
      <w:pPr>
        <w:shd w:val="clear" w:color="auto" w:fill="FFFFFF"/>
        <w:jc w:val="both"/>
      </w:pPr>
      <w:r>
        <w:rPr>
          <w:bCs/>
        </w:rPr>
        <w:t xml:space="preserve">Concernant le projet de création d'un Conseil national de la presse, nous </w:t>
      </w:r>
      <w:r>
        <w:t>craignons qu'un tel Conseil ne se transforme en autorité de surveillance des journalistes, au service du pouvoir; plus particulièrement si c'est ce dernier qui décide de son budget. Le projet de loi ne fait effectivement pas mention du mode de financement de ce Conseil, point dont la clarification est vitale pour garantir de son indépendance et accomplir sa mission en parfaite conformité avec les pratiques journalistiques.</w:t>
      </w:r>
    </w:p>
    <w:p w:rsidR="000F2BDD" w:rsidRDefault="000F2BDD">
      <w:pPr>
        <w:shd w:val="clear" w:color="auto" w:fill="FFFFFF"/>
        <w:jc w:val="both"/>
      </w:pPr>
    </w:p>
    <w:p w:rsidR="000F2BDD" w:rsidRDefault="000F2BDD">
      <w:pPr>
        <w:shd w:val="clear" w:color="auto" w:fill="FFFFFF"/>
        <w:jc w:val="both"/>
      </w:pPr>
      <w:r>
        <w:t xml:space="preserve">Finalement, sur le </w:t>
      </w:r>
      <w:r>
        <w:rPr>
          <w:bCs/>
        </w:rPr>
        <w:t>projet de loi 31.13 relatif au droit d'accès à l'information, un bon nombre d’atteintes à l’article 19 sont aussi identifiées </w:t>
      </w:r>
      <w:r>
        <w:rPr>
          <w:b/>
          <w:bCs/>
        </w:rPr>
        <w:t xml:space="preserve">: </w:t>
      </w:r>
      <w:r>
        <w:rPr>
          <w:bCs/>
        </w:rPr>
        <w:t>la prévision de nouvelles sanctions pénales pour tout individu qui ferait une déclaration « incorrecte » en demandant des informations, utiliserait ou réutiliserait des informations sans y être autorisé, ou modifierait des informations une fois publiées ;</w:t>
      </w:r>
      <w:r>
        <w:t>la privation des étrangers et des personnes moralesde ce droit; l'obligation pour le demandeur de préciser le type d'usage qui sera fait des informations dans une requête écrite, adressée à l'instance administrative concernée; les longs délais de traitement des demandes, qui peuvent atteindre parfois 75 jours; ainsi que l’étendue du champ des exceptions au DAI. Tout cela est en contradiction avec les règles générales déterminées par les bonnes pratiques internationales.</w:t>
      </w:r>
    </w:p>
    <w:p w:rsidR="000F2BDD" w:rsidRDefault="000F2BDD">
      <w:pPr>
        <w:shd w:val="clear" w:color="auto" w:fill="FFFFFF"/>
        <w:jc w:val="both"/>
      </w:pPr>
    </w:p>
    <w:p w:rsidR="000F2BDD" w:rsidRDefault="000F2BDD" w:rsidP="000C7D4E">
      <w:pPr>
        <w:shd w:val="clear" w:color="auto" w:fill="FFFFFF"/>
        <w:jc w:val="both"/>
      </w:pPr>
      <w:r>
        <w:t xml:space="preserve">A noter également que le code pénal est aussi utilisé dans la poursuite des journalistes devant la justice pour des délits de presse ; ceci réduit l’impact de l’élimination des peines privatives de liberté du code de la presse tant que le juge possède le pouvoir discrétionnaire à ce niveau.  </w:t>
      </w:r>
    </w:p>
    <w:p w:rsidR="000F2BDD" w:rsidRDefault="000F2BDD" w:rsidP="000C7D4E">
      <w:pPr>
        <w:shd w:val="clear" w:color="auto" w:fill="FFFFFF"/>
        <w:jc w:val="both"/>
      </w:pPr>
    </w:p>
    <w:p w:rsidR="000F2BDD" w:rsidRDefault="000F2BDD" w:rsidP="000C7D4E">
      <w:pPr>
        <w:shd w:val="clear" w:color="auto" w:fill="FFFFFF"/>
        <w:jc w:val="both"/>
      </w:pPr>
      <w:r>
        <w:t>On relève aussi des cas d’interdiction de</w:t>
      </w:r>
      <w:r w:rsidR="00664263">
        <w:t>s</w:t>
      </w:r>
      <w:r>
        <w:t xml:space="preserve"> chansons, de</w:t>
      </w:r>
      <w:r w:rsidR="00664263">
        <w:t>s</w:t>
      </w:r>
      <w:r>
        <w:t xml:space="preserve"> pièces théâtrales, films, même de certains débats, notamment sur les libertés. Dans ce sens, nous pouvons signaler aussi les cas de l’interdiction aux membres de l’Association Marocaine du Journalisme d’Investigation (AMJI) d’organiser des débats publics. Par ailleurs, l’abus du pouvoir ne s’est pas limité à l’interdiction des activités d’AMJI, mais il s’est élargi à la répression des responsables et des employés de l’association qui ont été convoqués par la  Brigade Nationale de la Police </w:t>
      </w:r>
      <w:r w:rsidR="00664263">
        <w:t>J</w:t>
      </w:r>
      <w:r>
        <w:t>udiciaire (PJ).</w:t>
      </w:r>
    </w:p>
    <w:p w:rsidR="000F2BDD" w:rsidRDefault="000F2BDD" w:rsidP="000C7D4E">
      <w:pPr>
        <w:shd w:val="clear" w:color="auto" w:fill="FFFFFF"/>
        <w:jc w:val="both"/>
      </w:pPr>
    </w:p>
    <w:p w:rsidR="000F2BDD" w:rsidRDefault="000F2BDD">
      <w:pPr>
        <w:pStyle w:val="BodyText"/>
        <w:autoSpaceDE w:val="0"/>
        <w:autoSpaceDN w:val="0"/>
        <w:adjustRightInd w:val="0"/>
      </w:pPr>
      <w:r>
        <w:t>Le harcèlement sécuritaire ne s’est pas limité à l’interrogatoire des membres précités, mais à l’interdiction  de  quitter le territoire, ce qui porte atteinte aussi aux dispositions de l’Article 12 du Pacte. En effet, Abdessamad AYACH à été interdit d’aller à Tunis le 25 août 2015, Maâti Monjib a été aussi interdit d’aller à Barcelone le 16 septembre 2015. M. Monjib a été interdit de nouveau de quitter le territoire pour  participer à la Conférence internationale du journalisme d’investigation en octobre 2015. Ces interdictions de quitter le territoire l’ont obligé à entamer une grève de la faim de 24 jours. Ces mesures sont clairement contraires à ce que le paragraphe 45 de l’OG n.34 dispose, à savoir, «Il est normalement incompatible avec le paragraphe 3 de restreindre le droit des journalistes et d’autres personnes qui veulent exercer leur liberté d’expression (comme des personnes qui veulent se rendre à l’étranger pour assister à une réunion consacrée aux droits de l’homme) de voyager hors de l’État partie, de n’autoriser à entrer dans l’État partie que les journalistes étrangers qui viennent de pays précisou de restreindre la liberté de circulation des journalistes et des personnes qui enquêtent sur la situation des droits de l’homme à l’intérieur de l’État partie (y compris dans les zones touchées par un conflit, les sites de catastrophes naturelles et les endroits où des violations des droits de l’homme sont dénoncées). Les États parties devraient reconnaître et respecter l’élément du droit à la liberté d’expression qui recouvre le privilège limité qu’a tout journaliste de ne pas révéler ses sources d’information ».</w:t>
      </w:r>
    </w:p>
    <w:p w:rsidR="000F2BDD" w:rsidRDefault="000F2BDD">
      <w:pPr>
        <w:pStyle w:val="BodyText"/>
        <w:autoSpaceDE w:val="0"/>
        <w:autoSpaceDN w:val="0"/>
        <w:adjustRightInd w:val="0"/>
      </w:pPr>
    </w:p>
    <w:p w:rsidR="000F2BDD" w:rsidRDefault="000F2BDD">
      <w:pPr>
        <w:pStyle w:val="BodyText"/>
        <w:autoSpaceDE w:val="0"/>
        <w:autoSpaceDN w:val="0"/>
        <w:adjustRightInd w:val="0"/>
      </w:pPr>
      <w:r>
        <w:t>Enfin, toutes ces exactions ont abouti aux poursuites judiciaires de cinq membres d’AMJI  et dont le procès devant la Première Chambre du Tribunal de Rabat (Voir les précisions dans l'Annexe 1).</w:t>
      </w:r>
    </w:p>
    <w:p w:rsidR="000F2BDD" w:rsidRDefault="000F2BDD">
      <w:pPr>
        <w:pStyle w:val="BodyText"/>
        <w:autoSpaceDE w:val="0"/>
        <w:autoSpaceDN w:val="0"/>
        <w:adjustRightInd w:val="0"/>
        <w:rPr>
          <w:color w:val="000000"/>
        </w:rPr>
      </w:pPr>
    </w:p>
    <w:p w:rsidR="000F2BDD" w:rsidRDefault="000F2BDD" w:rsidP="00FC3710">
      <w:pPr>
        <w:pStyle w:val="BodyText"/>
        <w:autoSpaceDE w:val="0"/>
        <w:autoSpaceDN w:val="0"/>
        <w:adjustRightInd w:val="0"/>
        <w:rPr>
          <w:u w:color="A072FD"/>
        </w:rPr>
      </w:pPr>
      <w:r>
        <w:t xml:space="preserve">À ces cas de restrictions de la liberté d’expression, qui constituent de pratiques systématiques, nous devons ajouter d’autres cas. </w:t>
      </w:r>
      <w:r>
        <w:rPr>
          <w:u w:color="A072FD"/>
        </w:rPr>
        <w:t>Les violations au cours des dernières élections du 4 septembre 2015, telles que la violence, les arrestations pendant quelques heures, la brutalité des forces de l’ordre, les arrachements des tracts, etc. perpétrés contre les activistes du parti politique qui a appelé au boycott (Annahj Addimocrati, Voie Démocratique) dans plusieurs villes (en particulier à Rabat 13 personnes, à Kénitra 11 personnes, Casablanca plusieurs cas, Eljadida). Ce même groupe politique n’a pas eu accès à la TV officielle (</w:t>
      </w:r>
      <w:r w:rsidR="00715AE5">
        <w:rPr>
          <w:u w:color="A072FD"/>
        </w:rPr>
        <w:t>i</w:t>
      </w:r>
      <w:r>
        <w:rPr>
          <w:u w:color="A072FD"/>
        </w:rPr>
        <w:t xml:space="preserve">l </w:t>
      </w:r>
      <w:r w:rsidR="00715AE5">
        <w:rPr>
          <w:u w:color="A072FD"/>
        </w:rPr>
        <w:t xml:space="preserve">n’existe </w:t>
      </w:r>
      <w:r>
        <w:rPr>
          <w:u w:color="A072FD"/>
        </w:rPr>
        <w:t>pas de</w:t>
      </w:r>
      <w:r w:rsidR="00715AE5">
        <w:rPr>
          <w:u w:color="A072FD"/>
        </w:rPr>
        <w:t>s</w:t>
      </w:r>
      <w:r>
        <w:rPr>
          <w:u w:color="A072FD"/>
        </w:rPr>
        <w:t xml:space="preserve"> cha</w:t>
      </w:r>
      <w:r w:rsidR="00715AE5">
        <w:rPr>
          <w:u w:color="A072FD"/>
        </w:rPr>
        <w:t>î</w:t>
      </w:r>
      <w:r>
        <w:rPr>
          <w:u w:color="A072FD"/>
        </w:rPr>
        <w:t>ne</w:t>
      </w:r>
      <w:r w:rsidR="00715AE5">
        <w:rPr>
          <w:u w:color="A072FD"/>
        </w:rPr>
        <w:t>s de</w:t>
      </w:r>
      <w:r>
        <w:rPr>
          <w:u w:color="A072FD"/>
        </w:rPr>
        <w:t xml:space="preserve"> TV privée</w:t>
      </w:r>
      <w:r w:rsidR="00715AE5">
        <w:rPr>
          <w:u w:color="A072FD"/>
        </w:rPr>
        <w:t>sau Maroc</w:t>
      </w:r>
      <w:r>
        <w:rPr>
          <w:u w:color="A072FD"/>
        </w:rPr>
        <w:t xml:space="preserve">) pour exprimer son point de vue à l’égard des autres partis qui ont participé aux élections. </w:t>
      </w:r>
    </w:p>
    <w:p w:rsidR="000F2BDD" w:rsidRDefault="000F2BDD" w:rsidP="00FC3710">
      <w:pPr>
        <w:pStyle w:val="BodyText"/>
        <w:autoSpaceDE w:val="0"/>
        <w:autoSpaceDN w:val="0"/>
        <w:adjustRightInd w:val="0"/>
        <w:rPr>
          <w:u w:color="A072FD"/>
        </w:rPr>
      </w:pPr>
    </w:p>
    <w:p w:rsidR="000F2BDD" w:rsidRDefault="000F2BDD" w:rsidP="00FC3710">
      <w:pPr>
        <w:pStyle w:val="BodyText"/>
        <w:autoSpaceDE w:val="0"/>
        <w:autoSpaceDN w:val="0"/>
        <w:adjustRightInd w:val="0"/>
        <w:rPr>
          <w:u w:color="A072FD"/>
        </w:rPr>
      </w:pPr>
      <w:r>
        <w:rPr>
          <w:u w:color="A072FD"/>
        </w:rPr>
        <w:t xml:space="preserve">Des violations se sont aussi produites pendant la campagne sur le référendum de la </w:t>
      </w:r>
      <w:r w:rsidR="00C67BC8">
        <w:rPr>
          <w:u w:color="A072FD"/>
        </w:rPr>
        <w:t>C</w:t>
      </w:r>
      <w:r>
        <w:rPr>
          <w:u w:color="A072FD"/>
        </w:rPr>
        <w:t xml:space="preserve">onstitution, du 19 au 30 juin 2011, telles que l’interdiction de salles publiques aux partis qui ont appelé au boycott, la pression sur les imprimeries pour ne pas imprimer les tracts du </w:t>
      </w:r>
      <w:r w:rsidR="00715AE5">
        <w:rPr>
          <w:u w:color="A072FD"/>
        </w:rPr>
        <w:t>M</w:t>
      </w:r>
      <w:r>
        <w:rPr>
          <w:u w:color="A072FD"/>
        </w:rPr>
        <w:t>ouvement du 20 février (reportage de TV5 à Rabat pendant la campagne, et déclarations enregistrées à l’insu des concernés).</w:t>
      </w:r>
    </w:p>
    <w:p w:rsidR="000F2BDD" w:rsidRPr="00FC3710" w:rsidRDefault="000F2BDD" w:rsidP="00FC3710">
      <w:pPr>
        <w:pStyle w:val="BodyText"/>
        <w:autoSpaceDE w:val="0"/>
        <w:autoSpaceDN w:val="0"/>
        <w:adjustRightInd w:val="0"/>
        <w:rPr>
          <w:u w:color="A072FD"/>
        </w:rPr>
      </w:pPr>
    </w:p>
    <w:p w:rsidR="000F2BDD" w:rsidRDefault="000F2BDD">
      <w:pPr>
        <w:pStyle w:val="Heading3"/>
        <w:spacing w:after="0"/>
        <w:rPr>
          <w:highlight w:val="white"/>
        </w:rPr>
      </w:pPr>
      <w:r>
        <w:rPr>
          <w:highlight w:val="white"/>
        </w:rPr>
        <w:t xml:space="preserve">Recommandations en lien avec l’Article 19: </w:t>
      </w:r>
    </w:p>
    <w:p w:rsidR="000F2BDD" w:rsidRDefault="000F2BDD">
      <w:pPr>
        <w:jc w:val="both"/>
      </w:pPr>
    </w:p>
    <w:p w:rsidR="000F2BDD" w:rsidRDefault="000F2BDD">
      <w:pPr>
        <w:autoSpaceDE w:val="0"/>
        <w:autoSpaceDN w:val="0"/>
        <w:adjustRightInd w:val="0"/>
        <w:jc w:val="both"/>
      </w:pPr>
      <w:r>
        <w:t xml:space="preserve">- Mettre en place un nouveau </w:t>
      </w:r>
      <w:r w:rsidR="00155A6F">
        <w:t>C</w:t>
      </w:r>
      <w:r>
        <w:t xml:space="preserve">ode de </w:t>
      </w:r>
      <w:r w:rsidR="00155A6F">
        <w:t>P</w:t>
      </w:r>
      <w:r>
        <w:t>resse consensuel et conforme aux dispositions du PIDCP qui évite d’imposer la censure, ainsi que  les obstacles abusifs au droit de filmer et de diffuser des contenus audiovisuels sur internet, qui ne limite les contenus des médias que</w:t>
      </w:r>
      <w:r w:rsidR="00155A6F">
        <w:t>,</w:t>
      </w:r>
      <w:r>
        <w:t xml:space="preserve"> conformément à ce qui est propre à un société démocratique, qui élimine les peines privatives de liberté contre les journalistes et clarifie les concepts pour lesquels de sanctions peuvent être imposés pour des délits de presse. </w:t>
      </w:r>
    </w:p>
    <w:p w:rsidR="000F2BDD" w:rsidRDefault="000F2BDD">
      <w:pPr>
        <w:autoSpaceDE w:val="0"/>
        <w:autoSpaceDN w:val="0"/>
        <w:adjustRightInd w:val="0"/>
        <w:jc w:val="both"/>
      </w:pPr>
      <w:r>
        <w:t xml:space="preserve">- Adopter et mettre en œuvre la loi sur le droit </w:t>
      </w:r>
      <w:r w:rsidR="00155A6F">
        <w:t>d</w:t>
      </w:r>
      <w:r>
        <w:t>'accès à l'information</w:t>
      </w:r>
      <w:r w:rsidR="00D0406E">
        <w:t>, laquelles’</w:t>
      </w:r>
      <w:r>
        <w:t>inscrit à la Constitution</w:t>
      </w:r>
      <w:r w:rsidR="00D0406E">
        <w:t>, respectant</w:t>
      </w:r>
      <w:r>
        <w:t xml:space="preserve">  les normes internationales pour assurer un accès à l'information efficace et la liberté d’expression.</w:t>
      </w:r>
    </w:p>
    <w:p w:rsidR="000F2BDD" w:rsidRDefault="000F2BDD">
      <w:pPr>
        <w:autoSpaceDE w:val="0"/>
        <w:autoSpaceDN w:val="0"/>
        <w:adjustRightInd w:val="0"/>
        <w:jc w:val="both"/>
      </w:pPr>
      <w:r>
        <w:t xml:space="preserve">- Mettre fin aux poursuites de journalistes pour avoir exprimé leur opinion et </w:t>
      </w:r>
      <w:r w:rsidR="00D0406E">
        <w:t xml:space="preserve"> à </w:t>
      </w:r>
      <w:r>
        <w:t>l’instrumentalisation de la justice à ce niveau</w:t>
      </w:r>
      <w:r w:rsidR="00D0406E">
        <w:t> ;</w:t>
      </w:r>
      <w:r>
        <w:t xml:space="preserve"> et lever l’interdiction arbitraire sur les journaux.</w:t>
      </w:r>
    </w:p>
    <w:p w:rsidR="000F2BDD" w:rsidRDefault="000F2BDD">
      <w:pPr>
        <w:autoSpaceDE w:val="0"/>
        <w:autoSpaceDN w:val="0"/>
        <w:adjustRightInd w:val="0"/>
        <w:jc w:val="both"/>
      </w:pPr>
      <w:r>
        <w:t>- Arrêter les procès contre les journaux ayant exprimé des opinions critiques envers le Gouvernement et ses politiques.</w:t>
      </w:r>
    </w:p>
    <w:p w:rsidR="000F2BDD" w:rsidRDefault="000F2BDD">
      <w:pPr>
        <w:autoSpaceDE w:val="0"/>
        <w:autoSpaceDN w:val="0"/>
        <w:adjustRightInd w:val="0"/>
        <w:jc w:val="both"/>
      </w:pPr>
      <w:r>
        <w:t>- Reconnaitre aux journalistes explicitement la liberté d</w:t>
      </w:r>
      <w:r w:rsidR="00D0406E">
        <w:t>’</w:t>
      </w:r>
      <w:r>
        <w:t xml:space="preserve">exprimer leur opinion  </w:t>
      </w:r>
    </w:p>
    <w:p w:rsidR="000F2BDD" w:rsidRDefault="000F2BDD">
      <w:pPr>
        <w:autoSpaceDE w:val="0"/>
        <w:autoSpaceDN w:val="0"/>
        <w:adjustRightInd w:val="0"/>
        <w:jc w:val="both"/>
        <w:rPr>
          <w:highlight w:val="yellow"/>
        </w:rPr>
      </w:pPr>
      <w:r>
        <w:t>- Mettre fin à la discrimination sur la base de l’opinion politique par rapport aux élections (droit de s’exprimer dans les médias publics appliqué équitablement entre les différents partis, y compris ceux qui appellent au boycott des élections).</w:t>
      </w:r>
    </w:p>
    <w:p w:rsidR="000F2BDD" w:rsidRDefault="000F2BDD">
      <w:pPr>
        <w:autoSpaceDE w:val="0"/>
        <w:autoSpaceDN w:val="0"/>
        <w:adjustRightInd w:val="0"/>
        <w:jc w:val="both"/>
      </w:pPr>
      <w:r>
        <w:t xml:space="preserve">- Rendre les médias audiovisuels officiels respectueux des normes des médias de presse professionnels (diversité, pluralisme, non stigmatisant la femme, </w:t>
      </w:r>
      <w:r w:rsidR="00D0406E">
        <w:t>ouverture)</w:t>
      </w:r>
      <w:r>
        <w:t>.</w:t>
      </w:r>
    </w:p>
    <w:p w:rsidR="000F2BDD" w:rsidRDefault="000F2BDD" w:rsidP="005C7406">
      <w:pPr>
        <w:autoSpaceDE w:val="0"/>
        <w:autoSpaceDN w:val="0"/>
        <w:adjustRightInd w:val="0"/>
        <w:jc w:val="both"/>
      </w:pPr>
      <w:r>
        <w:t>- Fournir l’information demandée par le Comité dans son OG</w:t>
      </w:r>
      <w:r>
        <w:rPr>
          <w:color w:val="000000"/>
        </w:rPr>
        <w:t xml:space="preserve"> n. 19.</w:t>
      </w:r>
    </w:p>
    <w:p w:rsidR="000F2BDD" w:rsidRDefault="000F2BDD">
      <w:pPr>
        <w:autoSpaceDE w:val="0"/>
        <w:autoSpaceDN w:val="0"/>
        <w:adjustRightInd w:val="0"/>
        <w:jc w:val="both"/>
      </w:pPr>
    </w:p>
    <w:p w:rsidR="000F2BDD" w:rsidRDefault="000F2BDD">
      <w:pPr>
        <w:pStyle w:val="Heading2"/>
        <w:spacing w:after="0"/>
      </w:pPr>
      <w:bookmarkStart w:id="18" w:name="_Toc311886151"/>
      <w:r>
        <w:t>ARTICLE 21.- Droit de réunion pacifique</w:t>
      </w:r>
      <w:bookmarkEnd w:id="18"/>
    </w:p>
    <w:p w:rsidR="000F2BDD" w:rsidRDefault="000F2BDD">
      <w:pPr>
        <w:pStyle w:val="BodyText"/>
        <w:autoSpaceDE w:val="0"/>
        <w:autoSpaceDN w:val="0"/>
        <w:adjustRightInd w:val="0"/>
      </w:pPr>
    </w:p>
    <w:p w:rsidR="000F2BDD" w:rsidRDefault="000F2BDD">
      <w:pPr>
        <w:pStyle w:val="BodyText"/>
        <w:autoSpaceDE w:val="0"/>
        <w:autoSpaceDN w:val="0"/>
        <w:adjustRightInd w:val="0"/>
      </w:pPr>
      <w:r>
        <w:t>Depuis juillet 2014, presque 100 activités (réunions et rassemblements pacifiques dont la liste est en annexe) organisés par l’AMDH ont été arbitrairement interdit</w:t>
      </w:r>
      <w:r w:rsidR="00D0406E">
        <w:t>e</w:t>
      </w:r>
      <w:r>
        <w:t xml:space="preserve">s. Le tribunal administratif s’est prononcé en faveur de l’AMDH dans tous les cas ou elle a déposé plainte contre ces interdictions. Ces jugements dénonçant les décisions arbitraires des autorités ne les ont pas dissuadés et les interdictions arbitraires se perpétuent. </w:t>
      </w:r>
    </w:p>
    <w:p w:rsidR="000F2BDD" w:rsidRDefault="000F2BDD">
      <w:pPr>
        <w:pStyle w:val="BodyText"/>
        <w:autoSpaceDE w:val="0"/>
        <w:autoSpaceDN w:val="0"/>
        <w:adjustRightInd w:val="0"/>
      </w:pPr>
    </w:p>
    <w:p w:rsidR="000F2BDD" w:rsidRDefault="000F2BDD">
      <w:pPr>
        <w:pStyle w:val="BodyText"/>
        <w:autoSpaceDE w:val="0"/>
        <w:autoSpaceDN w:val="0"/>
        <w:adjustRightInd w:val="0"/>
      </w:pPr>
      <w:r>
        <w:t xml:space="preserve">Des cas de restrictions injustifiées de la liberté de réunion et de manifestation dans lesquels les autorités ont continué à utiliser la force excessive et la violence à l’égard des manifestants/tes pacifiques et à interdire des sit-in de manière illégale se sont produits constamment pendant les dernières années. </w:t>
      </w:r>
    </w:p>
    <w:p w:rsidR="000F2BDD" w:rsidRDefault="000F2BDD">
      <w:pPr>
        <w:pStyle w:val="BodyText"/>
        <w:autoSpaceDE w:val="0"/>
        <w:autoSpaceDN w:val="0"/>
        <w:adjustRightInd w:val="0"/>
      </w:pPr>
    </w:p>
    <w:p w:rsidR="000F2BDD" w:rsidRDefault="000F2BDD">
      <w:pPr>
        <w:pStyle w:val="BodyText"/>
        <w:rPr>
          <w:bCs/>
          <w:szCs w:val="24"/>
        </w:rPr>
      </w:pPr>
      <w:r>
        <w:rPr>
          <w:bCs/>
          <w:szCs w:val="24"/>
        </w:rPr>
        <w:t xml:space="preserve">Le 2 aout 2013, des manifestants pacifiques ont manifesté dans le cadre de la loi marocaine pour protester contre la grâce royale au pédophile espagnol Daniel Galvin. Les forces de l’ordre sont intervenues brutalement sans respect des procédures de dispersion des rassemblements, et sans respect des normes universelles de l’utilisation de la force publique (l’intervention n’était pas nécessaire pour la préservation de l’ordre publique et la force utilisée était disproportionnée) ; plusieurs blessées ont été transportés à l’hôpital. Le </w:t>
      </w:r>
      <w:r w:rsidR="006139FD">
        <w:rPr>
          <w:bCs/>
          <w:szCs w:val="24"/>
        </w:rPr>
        <w:t>M</w:t>
      </w:r>
      <w:r>
        <w:rPr>
          <w:bCs/>
          <w:szCs w:val="24"/>
        </w:rPr>
        <w:t>inistre de l’</w:t>
      </w:r>
      <w:r w:rsidR="006139FD">
        <w:rPr>
          <w:bCs/>
          <w:szCs w:val="24"/>
        </w:rPr>
        <w:t>I</w:t>
      </w:r>
      <w:r>
        <w:rPr>
          <w:bCs/>
          <w:szCs w:val="24"/>
        </w:rPr>
        <w:t xml:space="preserve">ntérieur a déclaré qu’il ouvrirait une enquête mais sans suite. </w:t>
      </w:r>
      <w:r w:rsidR="006139FD">
        <w:rPr>
          <w:bCs/>
          <w:szCs w:val="24"/>
        </w:rPr>
        <w:t>T</w:t>
      </w:r>
      <w:r>
        <w:rPr>
          <w:bCs/>
          <w:szCs w:val="24"/>
        </w:rPr>
        <w:t xml:space="preserve">rois ONG ayant l’utilité publique (AMDH, LMDDH et Transparency-Maroc) ont déposé une plainte au nom du </w:t>
      </w:r>
      <w:r w:rsidR="006139FD">
        <w:rPr>
          <w:bCs/>
          <w:szCs w:val="24"/>
        </w:rPr>
        <w:t>C</w:t>
      </w:r>
      <w:r>
        <w:rPr>
          <w:bCs/>
          <w:szCs w:val="24"/>
        </w:rPr>
        <w:t xml:space="preserve">ollectif </w:t>
      </w:r>
      <w:r w:rsidR="006139FD">
        <w:rPr>
          <w:bCs/>
          <w:szCs w:val="24"/>
        </w:rPr>
        <w:t>M</w:t>
      </w:r>
      <w:r>
        <w:rPr>
          <w:bCs/>
          <w:szCs w:val="24"/>
        </w:rPr>
        <w:t xml:space="preserve">arocain des </w:t>
      </w:r>
      <w:r w:rsidR="006139FD">
        <w:rPr>
          <w:bCs/>
          <w:szCs w:val="24"/>
        </w:rPr>
        <w:t>I</w:t>
      </w:r>
      <w:r>
        <w:rPr>
          <w:bCs/>
          <w:szCs w:val="24"/>
        </w:rPr>
        <w:t xml:space="preserve">nstances des </w:t>
      </w:r>
      <w:r w:rsidR="006139FD">
        <w:rPr>
          <w:bCs/>
          <w:szCs w:val="24"/>
        </w:rPr>
        <w:t>D</w:t>
      </w:r>
      <w:r>
        <w:rPr>
          <w:bCs/>
          <w:szCs w:val="24"/>
        </w:rPr>
        <w:t xml:space="preserve">roits </w:t>
      </w:r>
      <w:r w:rsidR="006139FD">
        <w:rPr>
          <w:bCs/>
          <w:szCs w:val="24"/>
        </w:rPr>
        <w:t>H</w:t>
      </w:r>
      <w:r>
        <w:rPr>
          <w:bCs/>
          <w:szCs w:val="24"/>
        </w:rPr>
        <w:t xml:space="preserve">umains le 8 aout 2013, devant la cour de cassation. Aucune mesure n’a été prise jusqu’à maintenant. Le tribunal n’a pas traité la plainte. Une lettre a été envoyée par le </w:t>
      </w:r>
      <w:r w:rsidR="006139FD">
        <w:rPr>
          <w:bCs/>
          <w:szCs w:val="24"/>
        </w:rPr>
        <w:t>C</w:t>
      </w:r>
      <w:r>
        <w:rPr>
          <w:bCs/>
          <w:szCs w:val="24"/>
        </w:rPr>
        <w:t xml:space="preserve">ollectif </w:t>
      </w:r>
      <w:r w:rsidR="006139FD">
        <w:rPr>
          <w:bCs/>
          <w:szCs w:val="24"/>
        </w:rPr>
        <w:t>M</w:t>
      </w:r>
      <w:r>
        <w:rPr>
          <w:bCs/>
          <w:szCs w:val="24"/>
        </w:rPr>
        <w:t xml:space="preserve">arocain des Instances des </w:t>
      </w:r>
      <w:r w:rsidR="006139FD">
        <w:rPr>
          <w:bCs/>
          <w:szCs w:val="24"/>
        </w:rPr>
        <w:t>D</w:t>
      </w:r>
      <w:r>
        <w:rPr>
          <w:bCs/>
          <w:szCs w:val="24"/>
        </w:rPr>
        <w:t xml:space="preserve">roits </w:t>
      </w:r>
      <w:r w:rsidR="006139FD">
        <w:rPr>
          <w:bCs/>
          <w:szCs w:val="24"/>
        </w:rPr>
        <w:t>H</w:t>
      </w:r>
      <w:r>
        <w:rPr>
          <w:bCs/>
          <w:szCs w:val="24"/>
        </w:rPr>
        <w:t xml:space="preserve">umains au </w:t>
      </w:r>
      <w:r w:rsidR="006139FD">
        <w:rPr>
          <w:bCs/>
          <w:szCs w:val="24"/>
        </w:rPr>
        <w:t>M</w:t>
      </w:r>
      <w:r>
        <w:rPr>
          <w:bCs/>
          <w:szCs w:val="24"/>
        </w:rPr>
        <w:t xml:space="preserve">inistre de la </w:t>
      </w:r>
      <w:r w:rsidR="006139FD">
        <w:rPr>
          <w:bCs/>
          <w:szCs w:val="24"/>
        </w:rPr>
        <w:t>J</w:t>
      </w:r>
      <w:r>
        <w:rPr>
          <w:bCs/>
          <w:szCs w:val="24"/>
        </w:rPr>
        <w:t>ustice en août 2015 à ce sujet sans réponse, et les crimes de violence et mauvais traitements ont restés impunis.</w:t>
      </w:r>
    </w:p>
    <w:p w:rsidR="000F2BDD" w:rsidRDefault="000F2BDD">
      <w:pPr>
        <w:pStyle w:val="BodyText"/>
        <w:autoSpaceDE w:val="0"/>
        <w:autoSpaceDN w:val="0"/>
        <w:adjustRightInd w:val="0"/>
      </w:pPr>
    </w:p>
    <w:p w:rsidR="000F2BDD" w:rsidRDefault="000F2BDD">
      <w:pPr>
        <w:pStyle w:val="BodyText"/>
        <w:autoSpaceDE w:val="0"/>
        <w:autoSpaceDN w:val="0"/>
        <w:adjustRightInd w:val="0"/>
      </w:pPr>
      <w:r>
        <w:t xml:space="preserve">D’autres cas à signaler de répression, agressions et arrestations arbitraires de personnes participant à des manifestations pacifiques de protestation sociale et politique, sont la répression et interdiction du sit-in de solidarité à Rabat avec le peuple yéménite en avril 2015; l’agression - le 14 avril - des protestataires à Smara et Laayoune par les autorités publiques suite à la visite de la haute délégation des droits de l’homme dans la région, la répression des chômeurs et l’arrestation et traduction devant le tribunal de </w:t>
      </w:r>
      <w:r w:rsidR="006139FD">
        <w:t xml:space="preserve">huit </w:t>
      </w:r>
      <w:r>
        <w:t xml:space="preserve">d’entre eux à Nador suite à leur revendication d’un emploi; l’arrestation de plusieurs vendeurs ambulants dans différents points à Casablanca avec usage de la violence (une femme et ses trois enfants ont été arrêtés); l’interdiction d’un sit-in le premier mai à Tanger ; la répression des chômeurs à Rabat et l’arrestation de deux cadres en chômage lors d’un sit-in pacifique devant le ministère de l’intérieur, la répression et arrestation des chômeurs handicapés devant le parlement à Rabat,  lors d’un sit-in pacifique ; la répression des cadres chômeurs et de l’activiste des droits humains l’avocate Naima El Gallaf ; l’intervention des autorités à Imzouren  pour réprimer un sit-in organisé par l’association « barkam » ; la répression d’un sit-in des personnes en situation d’handicap à Rabat le 2 avril ; la répression de personnes qui ont participé à l’enterrement de feu Khadija El Malki, veuve d’Abdeslam Yassine, fondateur d’Al Adl Walihssane, au cimetière Acchouhada à Rabat.  </w:t>
      </w:r>
    </w:p>
    <w:p w:rsidR="000F2BDD" w:rsidRDefault="000F2BDD">
      <w:pPr>
        <w:pStyle w:val="BodyText"/>
        <w:autoSpaceDE w:val="0"/>
        <w:autoSpaceDN w:val="0"/>
        <w:adjustRightInd w:val="0"/>
      </w:pPr>
    </w:p>
    <w:p w:rsidR="000F2BDD" w:rsidRDefault="000F2BDD">
      <w:pPr>
        <w:pStyle w:val="BodyText3"/>
        <w:jc w:val="both"/>
        <w:rPr>
          <w:sz w:val="24"/>
        </w:rPr>
      </w:pPr>
      <w:r>
        <w:rPr>
          <w:sz w:val="24"/>
        </w:rPr>
        <w:t>Au Sahara, les autorités ont interdit tout rassemblement public considéré comme hostile à la souveraineté contestée du Maroc sur ce territoire et ont déployés les forces de police qui ont souvent dispersé violemment les Sahraouis cherchant à se rassembler.</w:t>
      </w:r>
    </w:p>
    <w:p w:rsidR="000F2BDD" w:rsidRDefault="000F2BDD">
      <w:pPr>
        <w:pStyle w:val="BodyText3"/>
        <w:jc w:val="both"/>
        <w:rPr>
          <w:sz w:val="24"/>
        </w:rPr>
      </w:pPr>
    </w:p>
    <w:p w:rsidR="000F2BDD" w:rsidRDefault="000F2BDD">
      <w:pPr>
        <w:pStyle w:val="BodyText"/>
        <w:autoSpaceDE w:val="0"/>
        <w:autoSpaceDN w:val="0"/>
        <w:adjustRightInd w:val="0"/>
        <w:rPr>
          <w:u w:color="A072FD"/>
        </w:rPr>
      </w:pPr>
      <w:r>
        <w:rPr>
          <w:u w:color="A072FD"/>
        </w:rPr>
        <w:t>Le renforcement des restrictions contre les rassemblements publics est également démontré par la circulaire du Ministère de l’</w:t>
      </w:r>
      <w:r w:rsidR="006139FD">
        <w:rPr>
          <w:u w:color="A072FD"/>
        </w:rPr>
        <w:t>I</w:t>
      </w:r>
      <w:r>
        <w:rPr>
          <w:u w:color="A072FD"/>
        </w:rPr>
        <w:t>ntérieur envers les associations de</w:t>
      </w:r>
      <w:r w:rsidR="001B7D70">
        <w:rPr>
          <w:u w:color="A072FD"/>
        </w:rPr>
        <w:t>s</w:t>
      </w:r>
      <w:r>
        <w:rPr>
          <w:u w:color="A072FD"/>
        </w:rPr>
        <w:t xml:space="preserve"> droits humains.</w:t>
      </w:r>
    </w:p>
    <w:p w:rsidR="000F2BDD" w:rsidRDefault="000F2BDD">
      <w:pPr>
        <w:pStyle w:val="BodyText3"/>
        <w:jc w:val="both"/>
        <w:rPr>
          <w:sz w:val="24"/>
        </w:rPr>
      </w:pPr>
    </w:p>
    <w:p w:rsidR="000F2BDD" w:rsidRDefault="000F2BDD">
      <w:pPr>
        <w:pStyle w:val="Heading3"/>
        <w:spacing w:after="0"/>
        <w:rPr>
          <w:highlight w:val="white"/>
        </w:rPr>
      </w:pPr>
      <w:r>
        <w:rPr>
          <w:highlight w:val="white"/>
        </w:rPr>
        <w:t xml:space="preserve">Recommandations en lien avec l’article 21: </w:t>
      </w:r>
    </w:p>
    <w:p w:rsidR="000F2BDD" w:rsidRDefault="000F2BDD">
      <w:pPr>
        <w:autoSpaceDE w:val="0"/>
        <w:autoSpaceDN w:val="0"/>
        <w:adjustRightInd w:val="0"/>
        <w:jc w:val="both"/>
      </w:pPr>
    </w:p>
    <w:p w:rsidR="000F2BDD" w:rsidRDefault="000F2BDD" w:rsidP="00FC3710">
      <w:pPr>
        <w:autoSpaceDE w:val="0"/>
        <w:jc w:val="both"/>
      </w:pPr>
      <w:r w:rsidRPr="005C7406">
        <w:t>-</w:t>
      </w:r>
      <w:r>
        <w:t xml:space="preserve"> Mettre fin aux interdictions systématiques infligées à quelques ONG critiques envers les politiques et les pratiques de l’Etat (AMDH, AMJI, Freedom Now, ADN, Forum </w:t>
      </w:r>
      <w:r w:rsidR="001B7D70">
        <w:t>C</w:t>
      </w:r>
      <w:r>
        <w:t>itoyen, Centre  Ibnrochd…) et répétitives contre d’autres (IMDH, LMDDH, Amnesty, Racines, …)</w:t>
      </w:r>
    </w:p>
    <w:p w:rsidR="000F2BDD" w:rsidRDefault="000F2BDD" w:rsidP="00FC3710">
      <w:pPr>
        <w:autoSpaceDE w:val="0"/>
        <w:jc w:val="both"/>
      </w:pPr>
      <w:r>
        <w:t xml:space="preserve">- </w:t>
      </w:r>
      <w:r w:rsidRPr="005C7406">
        <w:t>Mener des enquêtes impartiales sur l’utilisation de la force par les forces de l’ordre envers des manifestants pacifiques</w:t>
      </w:r>
      <w:r>
        <w:t xml:space="preserve"> et </w:t>
      </w:r>
      <w:r w:rsidRPr="00712907">
        <w:t xml:space="preserve">ce, notamment dans le cas </w:t>
      </w:r>
      <w:r>
        <w:t xml:space="preserve">de décès impunis, les cas </w:t>
      </w:r>
      <w:r w:rsidRPr="00712907">
        <w:t>des violences contre les diplômés chômeur</w:t>
      </w:r>
      <w:r>
        <w:t>s</w:t>
      </w:r>
      <w:r w:rsidR="001B7D70">
        <w:t xml:space="preserve"> et d</w:t>
      </w:r>
      <w:r>
        <w:t>es populations qui s’exprim</w:t>
      </w:r>
      <w:r w:rsidRPr="00712907">
        <w:t>ent contre les conditions de</w:t>
      </w:r>
      <w:r>
        <w:t xml:space="preserve"> vie </w:t>
      </w:r>
    </w:p>
    <w:p w:rsidR="000F2BDD" w:rsidRDefault="000F2BDD" w:rsidP="00FC3710">
      <w:pPr>
        <w:widowControl w:val="0"/>
        <w:tabs>
          <w:tab w:val="left" w:pos="220"/>
          <w:tab w:val="left" w:pos="720"/>
        </w:tabs>
        <w:autoSpaceDE w:val="0"/>
        <w:autoSpaceDN w:val="0"/>
        <w:adjustRightInd w:val="0"/>
        <w:jc w:val="both"/>
      </w:pPr>
      <w:r>
        <w:t>- Mettre fin au blocage de la plainte déposée par 3 ONG (AMDH, LMDDH, et Transparency-Maroc) contre le Ministre de l’Intérieur en août 2013 suite à l’intervention brutale contre les manifestants pacifiques du 3 août 2013 à Rabat.</w:t>
      </w:r>
    </w:p>
    <w:p w:rsidR="000F2BDD" w:rsidRDefault="000F2BDD" w:rsidP="00FC3710">
      <w:pPr>
        <w:widowControl w:val="0"/>
        <w:tabs>
          <w:tab w:val="left" w:pos="220"/>
          <w:tab w:val="left" w:pos="720"/>
        </w:tabs>
        <w:autoSpaceDE w:val="0"/>
        <w:autoSpaceDN w:val="0"/>
        <w:adjustRightInd w:val="0"/>
        <w:jc w:val="both"/>
      </w:pPr>
      <w:r>
        <w:t>- Se conformer aux normes universelles d’utilisation de la force publique au moment de dispersions des rassemblements.</w:t>
      </w:r>
    </w:p>
    <w:p w:rsidR="000F2BDD" w:rsidRPr="00A108EE" w:rsidRDefault="000F2BDD" w:rsidP="00FC3710">
      <w:pPr>
        <w:widowControl w:val="0"/>
        <w:tabs>
          <w:tab w:val="left" w:pos="220"/>
          <w:tab w:val="left" w:pos="720"/>
        </w:tabs>
        <w:autoSpaceDE w:val="0"/>
        <w:autoSpaceDN w:val="0"/>
        <w:adjustRightInd w:val="0"/>
        <w:jc w:val="both"/>
      </w:pPr>
      <w:r>
        <w:t xml:space="preserve">- </w:t>
      </w:r>
      <w:r w:rsidRPr="00A108EE">
        <w:t>Respecter le droit de manifestation</w:t>
      </w:r>
      <w:r>
        <w:t xml:space="preserve"> pacifique.</w:t>
      </w:r>
    </w:p>
    <w:p w:rsidR="000F2BDD" w:rsidRDefault="000F2BDD">
      <w:pPr>
        <w:pStyle w:val="BodyText3"/>
        <w:jc w:val="both"/>
        <w:rPr>
          <w:sz w:val="24"/>
        </w:rPr>
      </w:pPr>
    </w:p>
    <w:p w:rsidR="000F2BDD" w:rsidRDefault="000F2BDD">
      <w:pPr>
        <w:pStyle w:val="Heading2"/>
        <w:spacing w:after="0"/>
      </w:pPr>
      <w:bookmarkStart w:id="19" w:name="_Toc311886152"/>
      <w:r>
        <w:t>ARTICLE 22.- Liberté d’association et liberté syndicale</w:t>
      </w:r>
      <w:bookmarkEnd w:id="19"/>
    </w:p>
    <w:p w:rsidR="000F2BDD" w:rsidRDefault="000F2BDD"/>
    <w:p w:rsidR="000F2BDD" w:rsidRDefault="000F2BDD">
      <w:pPr>
        <w:pStyle w:val="BodyText"/>
        <w:autoSpaceDE w:val="0"/>
        <w:autoSpaceDN w:val="0"/>
        <w:adjustRightInd w:val="0"/>
      </w:pPr>
      <w:r>
        <w:t>Malgré l’aspect déclaratif de la loi des associations, et l’amendement de la législation régissant la création des associations assouplissant les procédures de dépôt de dossiers légaux d’associations, les restrictions restent fortes, surtout au niveau de la pratique, notamment le refus de réceptionner les dossiers de création ou de renouvellement d’associations, ou le refus de délivrer les récépissé de dépôt, provisoire ou définitif.</w:t>
      </w:r>
    </w:p>
    <w:p w:rsidR="000F2BDD" w:rsidRDefault="000F2BDD">
      <w:pPr>
        <w:pStyle w:val="BodyText"/>
        <w:autoSpaceDE w:val="0"/>
        <w:autoSpaceDN w:val="0"/>
        <w:adjustRightInd w:val="0"/>
      </w:pPr>
    </w:p>
    <w:p w:rsidR="000F2BDD" w:rsidRDefault="000F2BDD" w:rsidP="0084320B">
      <w:pPr>
        <w:pStyle w:val="BodyText"/>
        <w:autoSpaceDE w:val="0"/>
        <w:autoSpaceDN w:val="0"/>
        <w:adjustRightInd w:val="0"/>
      </w:pPr>
      <w:r>
        <w:t>Depuis juillet 2014, 50 sections de l’AMDH, presque toutes celles ayant renouvelé leurs bureau en cette période, se sont vu refuser le dépôt ou la délivrance du récépissé, et ce, même contre des décisions administratives de tribunaux qui confirmaient le droit de s’enregistrer aux sections ayant fait recours à la justice.</w:t>
      </w:r>
    </w:p>
    <w:p w:rsidR="000F2BDD" w:rsidRDefault="000F2BDD">
      <w:pPr>
        <w:pStyle w:val="BodyText"/>
        <w:autoSpaceDE w:val="0"/>
        <w:autoSpaceDN w:val="0"/>
        <w:adjustRightInd w:val="0"/>
      </w:pPr>
    </w:p>
    <w:p w:rsidR="000F2BDD" w:rsidRDefault="000F2BDD">
      <w:pPr>
        <w:pStyle w:val="BodyText"/>
        <w:autoSpaceDE w:val="0"/>
        <w:autoSpaceDN w:val="0"/>
        <w:adjustRightInd w:val="0"/>
      </w:pPr>
      <w:r>
        <w:t xml:space="preserve">Parmi les associations qui se sont vu aussi refuser leur enregistrement légal, l’association  « Freedom Now » créée en avril 2014, </w:t>
      </w:r>
      <w:r w:rsidR="001B7D70">
        <w:t>l’</w:t>
      </w:r>
      <w:r>
        <w:t>AMJI après renouvellement de son bureau en 2015, plusieurs syndicats, des associations caritatives, culturelles et éducatives dont les dirigeants comprennent des membres d'Al-Adl wal-Ihsan (groupe politique : Justice et spiritualité</w:t>
      </w:r>
      <w:r w:rsidR="001B7D70">
        <w:t>,</w:t>
      </w:r>
      <w:r>
        <w:t xml:space="preserve"> un mouvement national qui milite pour un État </w:t>
      </w:r>
      <w:r w:rsidR="001B7D70">
        <w:t>I</w:t>
      </w:r>
      <w:r>
        <w:t>slamique et conteste l’autorité spirituelle du roi</w:t>
      </w:r>
      <w:r w:rsidR="001B7D70">
        <w:t>)</w:t>
      </w:r>
      <w:r>
        <w:t>.</w:t>
      </w:r>
    </w:p>
    <w:p w:rsidR="000F2BDD" w:rsidRDefault="000F2BDD">
      <w:pPr>
        <w:pStyle w:val="BodyText"/>
        <w:autoSpaceDE w:val="0"/>
        <w:autoSpaceDN w:val="0"/>
        <w:adjustRightInd w:val="0"/>
      </w:pPr>
    </w:p>
    <w:p w:rsidR="000F2BDD" w:rsidRDefault="000F2BDD">
      <w:pPr>
        <w:pStyle w:val="BodyText"/>
        <w:autoSpaceDE w:val="0"/>
        <w:autoSpaceDN w:val="0"/>
        <w:adjustRightInd w:val="0"/>
      </w:pPr>
      <w:r>
        <w:t xml:space="preserve">Au Sahara, la reconnaissance juridique a été niée à presque toutes les organisations locales de droits humains dont les dirigeants soutiennent l'indépendance de ce territoire. Toutefois, l’association Association Sahraouie des Victimes des Violations Graves des Droits de l’Homme commises par le Maroc (ASVDH) a reçu dernièrement, après une longue période de revendication approuvée par un jugement du tribunal administratif, le récépissé de dépôt du dossier légal. </w:t>
      </w:r>
    </w:p>
    <w:p w:rsidR="000F2BDD" w:rsidRDefault="000F2BDD">
      <w:pPr>
        <w:pStyle w:val="BodyText"/>
        <w:autoSpaceDE w:val="0"/>
        <w:autoSpaceDN w:val="0"/>
        <w:adjustRightInd w:val="0"/>
      </w:pPr>
    </w:p>
    <w:p w:rsidR="000F2BDD" w:rsidRDefault="000F2BDD">
      <w:pPr>
        <w:pStyle w:val="BodyText"/>
        <w:autoSpaceDE w:val="0"/>
        <w:autoSpaceDN w:val="0"/>
        <w:adjustRightInd w:val="0"/>
      </w:pPr>
      <w:r>
        <w:t xml:space="preserve">Depuis 2014, la campagne menée contre le mouvement de droits humains a été renforcée. Un bon nombre d’organisations tant locales qu’internationales on vu interdites des dizaines d’activités publiques ou internes, ainsi que de nombreuses conférences, sessions de formation et activités destinées à la jeunesse. Cette situation a mené les ONG locales visées par le harcèlement des autorités à former, en juin 2015, le Réseau des associations victimes d’interdiction (RAVI), qui regroupe 14 structures et a pour but de plaider pour le respect de la loi marocaine et internationale à travers des recours à ces deux niveaux. Le RAVI a recensé entre juillet 2014 et l’été 2015 150 cas d’interdiction de salle publique et d’activité dans les espaces publiques et au moins 60 cas de refus d’enregistrer des associations ou sections d’associations. Ces associations ou sections se voient refuser soit carrément la réception du dossier par l’administration, soit la délivrance du récépissé justifiant le dépôt (le dépôt de dossier d’association et le renouvellement pour l’association ou ses sections sont gérés par la même loi).  </w:t>
      </w:r>
    </w:p>
    <w:p w:rsidR="000F2BDD" w:rsidRDefault="000F2BDD">
      <w:pPr>
        <w:pStyle w:val="BodyText"/>
        <w:autoSpaceDE w:val="0"/>
        <w:autoSpaceDN w:val="0"/>
        <w:adjustRightInd w:val="0"/>
      </w:pPr>
    </w:p>
    <w:p w:rsidR="000F2BDD" w:rsidRDefault="000F2BDD">
      <w:pPr>
        <w:pStyle w:val="BodyText"/>
        <w:autoSpaceDE w:val="0"/>
        <w:autoSpaceDN w:val="0"/>
        <w:adjustRightInd w:val="0"/>
      </w:pPr>
      <w:r>
        <w:t>Cela s’ajoute aux arrestations, de plus en plus nombreuses depuis 2015, d’activistes des droits humains, qui sont accusés de « menace à l’ordre public » ou « insulte envers un agent public ».</w:t>
      </w:r>
    </w:p>
    <w:p w:rsidR="000F2BDD" w:rsidRDefault="000F2BDD">
      <w:pPr>
        <w:pStyle w:val="BodyText"/>
        <w:autoSpaceDE w:val="0"/>
        <w:autoSpaceDN w:val="0"/>
        <w:adjustRightInd w:val="0"/>
      </w:pPr>
    </w:p>
    <w:p w:rsidR="000F2BDD" w:rsidRDefault="000F2BDD">
      <w:pPr>
        <w:pStyle w:val="BodyText"/>
        <w:autoSpaceDE w:val="0"/>
        <w:autoSpaceDN w:val="0"/>
        <w:adjustRightInd w:val="0"/>
      </w:pPr>
      <w:r>
        <w:t>Les syndicalistes sont également victimes de répression et d’intimidation, entravant la liberté syndicale. L’article 288 du code pénal est souvent utilisé pour arrêter les activistes syndicaux et les juger de peine de prison ferme. Tous les syndicats et les ONG de défense des droits humains revendiquent son abrogation. Le comité de l’ONU sur la liberté syndicale également, ainsi que la commission des droits économiques, sociaux et culturels.</w:t>
      </w:r>
    </w:p>
    <w:p w:rsidR="000F2BDD" w:rsidRDefault="000F2BDD">
      <w:pPr>
        <w:pStyle w:val="BodyText"/>
        <w:autoSpaceDE w:val="0"/>
        <w:autoSpaceDN w:val="0"/>
        <w:adjustRightInd w:val="0"/>
      </w:pPr>
    </w:p>
    <w:p w:rsidR="000F2BDD" w:rsidRDefault="000F2BDD">
      <w:pPr>
        <w:pStyle w:val="Heading3"/>
        <w:spacing w:after="0"/>
        <w:rPr>
          <w:highlight w:val="white"/>
        </w:rPr>
      </w:pPr>
      <w:r>
        <w:rPr>
          <w:highlight w:val="white"/>
        </w:rPr>
        <w:t xml:space="preserve">Recommandations en lien avec l’article 22: </w:t>
      </w:r>
    </w:p>
    <w:p w:rsidR="000F2BDD" w:rsidRPr="00712907" w:rsidRDefault="000F2BDD" w:rsidP="00712907">
      <w:pPr>
        <w:rPr>
          <w:highlight w:val="white"/>
        </w:rPr>
      </w:pPr>
    </w:p>
    <w:p w:rsidR="000F2BDD" w:rsidRDefault="000F2BDD" w:rsidP="00FC3710">
      <w:pPr>
        <w:autoSpaceDE w:val="0"/>
        <w:autoSpaceDN w:val="0"/>
        <w:adjustRightInd w:val="0"/>
        <w:jc w:val="both"/>
      </w:pPr>
      <w:r>
        <w:t>- Mettre fin aux refus de recevoir les dossiers de création ou de renouvellement d’associations et aux restrictions injustifiées de la liberté de réunion et de manifestation.</w:t>
      </w:r>
    </w:p>
    <w:p w:rsidR="000F2BDD" w:rsidRDefault="000F2BDD" w:rsidP="00FC3710">
      <w:pPr>
        <w:autoSpaceDE w:val="0"/>
        <w:autoSpaceDN w:val="0"/>
        <w:adjustRightInd w:val="0"/>
        <w:jc w:val="both"/>
      </w:pPr>
      <w:r>
        <w:t>- Enquêter et mettre fin à l’impunité des autorités qui enfreignent la loi en matière de droit d’association en refusant de recevoir les dossiers et/ou de délivrer le récépissé.</w:t>
      </w:r>
    </w:p>
    <w:p w:rsidR="000F2BDD" w:rsidRDefault="000F2BDD" w:rsidP="00FC3710">
      <w:pPr>
        <w:jc w:val="both"/>
      </w:pPr>
      <w:r>
        <w:t>-Révision de la nouvelle loi d’association dans le sens de la facilitation des conditions de création, de renouvellement (dépôt électronique, réduction des documents, exonération des timbres…)</w:t>
      </w:r>
    </w:p>
    <w:p w:rsidR="000F2BDD" w:rsidRDefault="000F2BDD" w:rsidP="00FC3710">
      <w:pPr>
        <w:jc w:val="both"/>
      </w:pPr>
      <w:r>
        <w:t>- Retirer toutes réglementations permettant l’interdiction d’activités pacifiques d’associations.</w:t>
      </w:r>
    </w:p>
    <w:p w:rsidR="000F2BDD" w:rsidRDefault="000F2BDD" w:rsidP="00FC3710">
      <w:pPr>
        <w:jc w:val="both"/>
      </w:pPr>
      <w:r>
        <w:t>- Respecter le droit de grève.</w:t>
      </w:r>
    </w:p>
    <w:p w:rsidR="000F2BDD" w:rsidRDefault="000F2BDD" w:rsidP="00FC3710">
      <w:pPr>
        <w:jc w:val="both"/>
      </w:pPr>
      <w:r>
        <w:t>- Abroger l’article 288 du code pénal.</w:t>
      </w:r>
    </w:p>
    <w:p w:rsidR="000F2BDD" w:rsidRDefault="000F2BDD" w:rsidP="00FC3710">
      <w:pPr>
        <w:jc w:val="both"/>
      </w:pPr>
      <w:r>
        <w:t>- Ratifier la convention 87 de l OIT sur les libertés syndicales.</w:t>
      </w:r>
    </w:p>
    <w:p w:rsidR="000F2BDD" w:rsidRDefault="000F2BDD">
      <w:pPr>
        <w:jc w:val="both"/>
        <w:rPr>
          <w:color w:val="000000"/>
        </w:rPr>
      </w:pPr>
    </w:p>
    <w:p w:rsidR="000F2BDD" w:rsidRDefault="000F2BDD">
      <w:pPr>
        <w:pStyle w:val="Heading2"/>
        <w:spacing w:after="0"/>
      </w:pPr>
      <w:bookmarkStart w:id="20" w:name="_Toc311886153"/>
      <w:r>
        <w:t>ARTICLE 24.- Protection de l’enfant</w:t>
      </w:r>
      <w:bookmarkEnd w:id="20"/>
    </w:p>
    <w:p w:rsidR="000F2BDD" w:rsidRDefault="000F2BDD"/>
    <w:p w:rsidR="000F2BDD" w:rsidRDefault="000F2BDD">
      <w:pPr>
        <w:jc w:val="both"/>
      </w:pPr>
      <w:r>
        <w:rPr>
          <w:color w:val="000000"/>
        </w:rPr>
        <w:t>Les informations sur la protection de l’enfance fournies dans le rapport de l’Etat (paragraphes 276 à 294) sont insuffisantes par rapport à quatre aspects, conformément aux dispositions de l’OG n.17</w:t>
      </w:r>
      <w:r>
        <w:rPr>
          <w:rStyle w:val="FootnoteReference"/>
        </w:rPr>
        <w:footnoteReference w:id="23"/>
      </w:r>
      <w:r>
        <w:rPr>
          <w:color w:val="000000"/>
        </w:rPr>
        <w:t>. En premier lieu, le paragraphe 2 recommande que « </w:t>
      </w:r>
      <w:r>
        <w:t>les jeunes délinquants condamnés doivent être soumis à un régime pénitentiaire où ils sont séparés des adultes et qui est approprié à leur âge et à leur statut légal, le but étant de les amener à se réformer et de favoriser leur réinsertion sociale ». Deuxièmement, le paragraphe 5 indique que «Les États devraient indiquer dans leurs rapports comment leur législation et leur pratique assurent que les mesures de protection tendent à abolir toute discrimination dans tous les domaines, y compris en matière successorale, et notamment toute discrimination entre les enfants qui sont des nationaux de l’État et les enfants étrangers, et entre enfants légitimes et enfants nés hors mariage ». En troisième lieu, le paragraphe 6 signale que « puisqu’il est courant que le père et la mère aient une activité professionnelle hors du foyer, les États parties devraient préciser dans leurs rapports comment la société, ses institutions et l’État font face à leurs responsabilités et aident la famille à assurer la protection de l’enfant ». Finalement, aussi le paragraphe 6 établit que dans leurs rapports, les États devraient fournir « des renseignements sur les mesures spécialement adoptées pour protéger les enfants abandonnés ou séparés de leur milieu familial et pour leur permettre de se développer dans des conditions analogues à celles qu’offre le milieu familial ».</w:t>
      </w:r>
    </w:p>
    <w:p w:rsidR="000F2BDD" w:rsidRDefault="000F2BDD">
      <w:pPr>
        <w:jc w:val="both"/>
      </w:pPr>
    </w:p>
    <w:p w:rsidR="000F2BDD" w:rsidRDefault="000F2BDD">
      <w:pPr>
        <w:jc w:val="both"/>
      </w:pPr>
      <w:r>
        <w:t xml:space="preserve">En ce qui concerne les violations de ce droit, le travail des enfants reste répandu au Maroc, malgré l’interdiction de travail </w:t>
      </w:r>
      <w:r w:rsidR="001B7D70">
        <w:t xml:space="preserve">à </w:t>
      </w:r>
      <w:r>
        <w:t>des personnes âgées de moins de 15 ans par le nouveau Code du travail. A ce titre,  le nombre des enfants qui travaillent d’après une enquête du HCP est de 147.000 en 2010 de 7 à 15 ans, ce qui représente 3% de l’ensemble des enfants de cette tranche d’âge. Nous signalons aussi, l’exclusion des enfants des mères célibataires de la pension alimentaire dispensée par le Fonds d’</w:t>
      </w:r>
      <w:r w:rsidR="001B7D70">
        <w:t>E</w:t>
      </w:r>
      <w:r>
        <w:t xml:space="preserve">ntraide </w:t>
      </w:r>
      <w:r w:rsidR="001B7D70">
        <w:t>F</w:t>
      </w:r>
      <w:r>
        <w:t>amiliale. En outre, ces enfants n’ont pas droit au nom de leur père même s’il est connu et ne peuvent être enregistrés à l’état civil sous le nom de famille de leur mère, que si le père/frère de cette dernière l’y autorisent et sous un prénom commençant par « Abd ».</w:t>
      </w:r>
    </w:p>
    <w:p w:rsidR="000F2BDD" w:rsidRDefault="000F2BDD">
      <w:pPr>
        <w:jc w:val="both"/>
      </w:pPr>
    </w:p>
    <w:p w:rsidR="000F2BDD" w:rsidRDefault="000F2BDD">
      <w:pPr>
        <w:jc w:val="both"/>
        <w:rPr>
          <w:szCs w:val="20"/>
        </w:rPr>
      </w:pPr>
      <w:r>
        <w:rPr>
          <w:szCs w:val="20"/>
        </w:rPr>
        <w:t>D’autre part, selon une étude menée par UNICEF, le CNDH et l’ONG Amane</w:t>
      </w:r>
      <w:r>
        <w:rPr>
          <w:rStyle w:val="FootnoteReference"/>
          <w:szCs w:val="20"/>
        </w:rPr>
        <w:footnoteReference w:id="24"/>
      </w:r>
      <w:r>
        <w:rPr>
          <w:szCs w:val="20"/>
        </w:rPr>
        <w:t>, les mariages précoces, qui constituent une forme de violence sexuelle, enregistrent une nette progression au Maroc. En 2013, 35 152 actes de mariage ont été́ conclus contre 18 341 actes en 2004, soit une progression de 91,6%. Cependant, ces proportions ne rendent pas compte de la réalité́ dans la mesure où beaucoup de mariages se font encore par la Fatihaet concernent des filles âgées de moins de 11 ans.</w:t>
      </w:r>
    </w:p>
    <w:p w:rsidR="000F2BDD" w:rsidRDefault="000F2BDD">
      <w:pPr>
        <w:jc w:val="both"/>
        <w:rPr>
          <w:szCs w:val="20"/>
        </w:rPr>
      </w:pPr>
    </w:p>
    <w:p w:rsidR="000F2BDD" w:rsidRDefault="000F2BDD">
      <w:pPr>
        <w:jc w:val="both"/>
        <w:rPr>
          <w:szCs w:val="20"/>
        </w:rPr>
      </w:pPr>
      <w:r>
        <w:rPr>
          <w:szCs w:val="20"/>
        </w:rPr>
        <w:t>D’autres manifestations de l’exploitation sexuelle à des fins commerciales, à savoir la traite des enfants à des fins d’exploitation sexuelle, la prostitution des enfants, l’exploitation sexuelle des enfants dans le tourisme et le voyage et la pornographie mettant en scène les enfants sont également représentées mais très peu documentées. La violence sexuelle touche davantage les filles. Selon les données de la Direction Générale de la Sûreté Nationale, 11 599 cas de violence sexuelle sur mineurs ont été́ enregistrés de 2007 à 2012, dont 8 129 filles concernées (70%) contre 3 470 garçons (30%).</w:t>
      </w:r>
    </w:p>
    <w:p w:rsidR="000F2BDD" w:rsidRDefault="000F2BDD">
      <w:pPr>
        <w:jc w:val="both"/>
      </w:pPr>
    </w:p>
    <w:p w:rsidR="000F2BDD" w:rsidRDefault="000F2BDD">
      <w:pPr>
        <w:jc w:val="both"/>
      </w:pPr>
      <w:r>
        <w:t xml:space="preserve">Nous signalons aussi l'aggravation des conditions et de la situation des enfants des rues, qui sont souvent victimes d'exploitation sexuelle et de toutes formes de violence. Du même, on constate une aggravation de la violence scolaire (punition, discriminations envers les enfants suite aux systèmes des heures privées de soutien payantes, harcèlement sexuel…). D'ailleurs, il y a une persistance de comportements et de valeurs contraires aux droits de </w:t>
      </w:r>
      <w:r w:rsidR="001B7D70">
        <w:t xml:space="preserve">humains </w:t>
      </w:r>
      <w:r>
        <w:t xml:space="preserve">en milieu scolaire et manuels scolaires d’après le rapport CNDH  de 2014. Nous soulignons également la non application de la loi concernant la scolarisation obligatoire (140.000 enfants sont touchés par la déperdition scolaire selon le conseil supérieur de l’enseignement en 2009). </w:t>
      </w:r>
    </w:p>
    <w:p w:rsidR="000F2BDD" w:rsidRDefault="000F2BDD">
      <w:pPr>
        <w:rPr>
          <w:highlight w:val="white"/>
        </w:rPr>
      </w:pPr>
    </w:p>
    <w:p w:rsidR="000F2BDD" w:rsidRDefault="000F2BDD">
      <w:pPr>
        <w:pStyle w:val="Heading3"/>
        <w:spacing w:after="0"/>
        <w:rPr>
          <w:highlight w:val="white"/>
        </w:rPr>
      </w:pPr>
      <w:r>
        <w:rPr>
          <w:highlight w:val="white"/>
        </w:rPr>
        <w:t xml:space="preserve">Recommandations en lien avec l’Article 24 : </w:t>
      </w:r>
    </w:p>
    <w:p w:rsidR="000F2BDD" w:rsidRDefault="000F2BDD">
      <w:pPr>
        <w:rPr>
          <w:highlight w:val="white"/>
        </w:rPr>
      </w:pPr>
    </w:p>
    <w:p w:rsidR="000F2BDD" w:rsidRDefault="000F2BDD" w:rsidP="00210AD7">
      <w:pPr>
        <w:pStyle w:val="BodyText"/>
        <w:numPr>
          <w:ilvl w:val="1"/>
          <w:numId w:val="1"/>
        </w:numPr>
        <w:tabs>
          <w:tab w:val="clear" w:pos="1440"/>
          <w:tab w:val="num" w:pos="142"/>
        </w:tabs>
        <w:ind w:left="142" w:hanging="142"/>
        <w:rPr>
          <w:szCs w:val="24"/>
        </w:rPr>
      </w:pPr>
      <w:r>
        <w:rPr>
          <w:szCs w:val="24"/>
        </w:rPr>
        <w:t xml:space="preserve">Veiller à accélérer la création du Conseil consultatif de la famille et de l’enfance malgré que son travail se limite à la présentation des avis, des propositions et des recommandations. </w:t>
      </w:r>
    </w:p>
    <w:p w:rsidR="000F2BDD" w:rsidRDefault="000F2BDD" w:rsidP="004D048D">
      <w:pPr>
        <w:pStyle w:val="BodyText"/>
        <w:rPr>
          <w:szCs w:val="24"/>
        </w:rPr>
      </w:pPr>
      <w:r>
        <w:rPr>
          <w:szCs w:val="24"/>
        </w:rPr>
        <w:t xml:space="preserve">- Mettre fin au travail des enfants. </w:t>
      </w:r>
    </w:p>
    <w:p w:rsidR="000F2BDD" w:rsidRPr="004D048D" w:rsidRDefault="000F2BDD" w:rsidP="004D048D">
      <w:pPr>
        <w:pStyle w:val="BodyText"/>
        <w:rPr>
          <w:szCs w:val="24"/>
        </w:rPr>
      </w:pPr>
      <w:r>
        <w:rPr>
          <w:szCs w:val="24"/>
        </w:rPr>
        <w:t xml:space="preserve">- </w:t>
      </w:r>
      <w:r w:rsidRPr="004D048D">
        <w:rPr>
          <w:szCs w:val="24"/>
        </w:rPr>
        <w:t>Garantir un enseignement public de qualité et assurer la pr</w:t>
      </w:r>
      <w:r>
        <w:rPr>
          <w:szCs w:val="24"/>
        </w:rPr>
        <w:t>oximité de l’école dans les zon</w:t>
      </w:r>
      <w:r w:rsidRPr="004D048D">
        <w:rPr>
          <w:szCs w:val="24"/>
        </w:rPr>
        <w:t>es rurales</w:t>
      </w:r>
      <w:r>
        <w:rPr>
          <w:szCs w:val="24"/>
        </w:rPr>
        <w:t>.</w:t>
      </w:r>
    </w:p>
    <w:p w:rsidR="000F2BDD" w:rsidRDefault="000F2BDD" w:rsidP="004D048D">
      <w:pPr>
        <w:pStyle w:val="BodyText"/>
        <w:rPr>
          <w:szCs w:val="24"/>
        </w:rPr>
      </w:pPr>
      <w:r>
        <w:rPr>
          <w:szCs w:val="24"/>
        </w:rPr>
        <w:t>- Amé</w:t>
      </w:r>
      <w:r w:rsidRPr="004D048D">
        <w:rPr>
          <w:szCs w:val="24"/>
        </w:rPr>
        <w:t>liorer les infrastructures de base</w:t>
      </w:r>
      <w:r>
        <w:rPr>
          <w:szCs w:val="24"/>
        </w:rPr>
        <w:t xml:space="preserve"> dans les zones rurales, source de</w:t>
      </w:r>
      <w:r w:rsidRPr="004D048D">
        <w:rPr>
          <w:szCs w:val="24"/>
        </w:rPr>
        <w:t xml:space="preserve"> la non scolarisation des filles</w:t>
      </w:r>
      <w:r>
        <w:rPr>
          <w:szCs w:val="24"/>
        </w:rPr>
        <w:t>.</w:t>
      </w:r>
    </w:p>
    <w:p w:rsidR="000F2BDD" w:rsidRDefault="000F2BDD">
      <w:pPr>
        <w:autoSpaceDE w:val="0"/>
        <w:autoSpaceDN w:val="0"/>
        <w:adjustRightInd w:val="0"/>
        <w:jc w:val="both"/>
      </w:pPr>
      <w:r>
        <w:t xml:space="preserve">- Fournir l’information demandée par le Comité dans son l’OG </w:t>
      </w:r>
      <w:r>
        <w:rPr>
          <w:color w:val="000000"/>
        </w:rPr>
        <w:t>17.</w:t>
      </w:r>
    </w:p>
    <w:p w:rsidR="000F2BDD" w:rsidRDefault="000F2BDD">
      <w:pPr>
        <w:jc w:val="both"/>
      </w:pPr>
    </w:p>
    <w:p w:rsidR="000F2BDD" w:rsidRDefault="000F2BDD">
      <w:pPr>
        <w:pStyle w:val="Heading2"/>
        <w:spacing w:after="0"/>
      </w:pPr>
      <w:bookmarkStart w:id="21" w:name="_Toc311886154"/>
      <w:r>
        <w:t>ARTICLE 25.- Droit de participer aux affaires publiques</w:t>
      </w:r>
      <w:bookmarkEnd w:id="21"/>
    </w:p>
    <w:p w:rsidR="000F2BDD" w:rsidRDefault="000F2BDD"/>
    <w:p w:rsidR="000F2BDD" w:rsidRDefault="000F2BDD">
      <w:pPr>
        <w:autoSpaceDE w:val="0"/>
        <w:autoSpaceDN w:val="0"/>
        <w:adjustRightInd w:val="0"/>
        <w:jc w:val="both"/>
      </w:pPr>
      <w:r>
        <w:t>Les informations s</w:t>
      </w:r>
      <w:r w:rsidR="001B7D70">
        <w:t>ont</w:t>
      </w:r>
      <w:r>
        <w:t xml:space="preserve"> fournies dans le rapport du Maroc (paragraphes 295 à 302), et malgré les nouveautés constitutionnelles introduites dans le pays, demeurent insuffisantes compte tenue de ce que le Comité établit dans l’OG n. 25</w:t>
      </w:r>
      <w:r>
        <w:rPr>
          <w:rStyle w:val="FootnoteReference"/>
        </w:rPr>
        <w:footnoteReference w:id="25"/>
      </w:r>
      <w:r>
        <w:t>. Dans le paragraphe 3, le comité précise que « </w:t>
      </w:r>
      <w:r>
        <w:rPr>
          <w:szCs w:val="20"/>
        </w:rPr>
        <w:t>les Etats devraient décrire les dispositions législatives définissant la citoyenneté aux fins de l'exercice des droits protégés par l'article 25. Dans leurs rapports, les Etats devraient préciser s'il existe des groupes, tels que les résidents permanents, qui ne jouissent que de certains droits connexes, par exemple celui de voter lors d'élections locales ou d'occuper certains postes dans la fonction publique ». Du même, des renseignements manquent dans le rapport de l’État en lien avec les indications du paragraphe 12, sur les «mesures positives qui devraient être prises pour surmonter certaines difficultés telles que l'analphabétisme, les obstacles linguistiques, la pauvreté ou les entraves à la liberté de circulation, qui empêchent les détenteurs du droit de vote de se prévaloir effectivement de leurs droits». En ce qui concerne les conditions exigées pour occuper des fonctions publiques, le paragraphe 18 établit que « les Etats devraient exposer les dispositions législatives fixant les conditions à remplir pour occuper une charge publique élective, ainsi que toutes les restrictions et conditions qui s'appliquent à des charges particulières».</w:t>
      </w:r>
    </w:p>
    <w:p w:rsidR="000F2BDD" w:rsidRDefault="000F2BDD">
      <w:pPr>
        <w:autoSpaceDE w:val="0"/>
        <w:autoSpaceDN w:val="0"/>
        <w:adjustRightInd w:val="0"/>
        <w:jc w:val="both"/>
      </w:pPr>
    </w:p>
    <w:p w:rsidR="000F2BDD" w:rsidRDefault="000F2BDD">
      <w:pPr>
        <w:autoSpaceDE w:val="0"/>
        <w:autoSpaceDN w:val="0"/>
        <w:adjustRightInd w:val="0"/>
        <w:jc w:val="both"/>
        <w:rPr>
          <w:szCs w:val="20"/>
        </w:rPr>
      </w:pPr>
      <w:r>
        <w:t xml:space="preserve">D’autres lacunes dans le rapport du Maroc sont liées au paragraphe 22, qui demande de fournir des renseignements sur « les </w:t>
      </w:r>
      <w:r>
        <w:rPr>
          <w:szCs w:val="20"/>
        </w:rPr>
        <w:t>mesures qu'ils ont adoptées pour garantir l'organisation d'élections honnêtes, libres et périodiques et comment leur système électoral garantit effectivement la libre expression de la volonté des électeurs. Ils devraient décrire le système électoral et expliquer de quelle manière les différentes opinions politiques de la communauté sont représentées dans les organes élus ». Des omissions existent aussi par rapport aux « conditions d'accès à la fonction publique, les restrictions prévues et les procédures de nomination, de promotion, de suspension et de révocation ou de destitution ainsi que les mécanismes judiciaires et autres mécanismes de révision qui s'appliquent à ces procédures» (paragraphe 24).</w:t>
      </w:r>
    </w:p>
    <w:p w:rsidR="000F2BDD" w:rsidRDefault="000F2BDD">
      <w:pPr>
        <w:autoSpaceDE w:val="0"/>
        <w:autoSpaceDN w:val="0"/>
        <w:adjustRightInd w:val="0"/>
        <w:jc w:val="both"/>
        <w:rPr>
          <w:szCs w:val="20"/>
        </w:rPr>
      </w:pPr>
    </w:p>
    <w:p w:rsidR="000F2BDD" w:rsidRDefault="000F2BDD">
      <w:pPr>
        <w:autoSpaceDE w:val="0"/>
        <w:autoSpaceDN w:val="0"/>
        <w:adjustRightInd w:val="0"/>
        <w:jc w:val="both"/>
        <w:rPr>
          <w:szCs w:val="20"/>
        </w:rPr>
      </w:pPr>
      <w:r>
        <w:rPr>
          <w:szCs w:val="20"/>
        </w:rPr>
        <w:t xml:space="preserve">D’après les données du Conseil Économique, Social et Environnemental de 2014, les femmes fonctionnaires (40% des effectifs) n’occupent que 16% des postes de responsabilité́. Ce taux évolue d’année en année, mais faiblement (+6 points en 11 ans). L’examen des dernières nominations dans la fonction publique, suite à l’adoption du décret des nominations dans les hauts postes de responsabilité́, montre une sous représentativité́ des femmes en dépit du potentiel existant dans les ministères. </w:t>
      </w:r>
    </w:p>
    <w:p w:rsidR="000F2BDD" w:rsidRDefault="000F2BDD">
      <w:pPr>
        <w:autoSpaceDE w:val="0"/>
        <w:autoSpaceDN w:val="0"/>
        <w:adjustRightInd w:val="0"/>
        <w:jc w:val="both"/>
        <w:rPr>
          <w:szCs w:val="20"/>
        </w:rPr>
      </w:pPr>
    </w:p>
    <w:p w:rsidR="000F2BDD" w:rsidRDefault="000F2BDD">
      <w:pPr>
        <w:pStyle w:val="Heading3"/>
        <w:spacing w:after="0"/>
        <w:rPr>
          <w:highlight w:val="white"/>
        </w:rPr>
      </w:pPr>
      <w:r>
        <w:rPr>
          <w:highlight w:val="white"/>
        </w:rPr>
        <w:t>Recommandations en lien avec l’article 25:</w:t>
      </w:r>
    </w:p>
    <w:p w:rsidR="000F2BDD" w:rsidRDefault="000F2BDD">
      <w:pPr>
        <w:jc w:val="both"/>
      </w:pPr>
    </w:p>
    <w:p w:rsidR="000F2BDD" w:rsidRPr="00A108EE" w:rsidRDefault="000F2BDD" w:rsidP="00A108EE">
      <w:pPr>
        <w:widowControl w:val="0"/>
        <w:numPr>
          <w:ilvl w:val="0"/>
          <w:numId w:val="18"/>
        </w:numPr>
        <w:tabs>
          <w:tab w:val="left" w:pos="220"/>
          <w:tab w:val="left" w:pos="284"/>
        </w:tabs>
        <w:autoSpaceDE w:val="0"/>
        <w:autoSpaceDN w:val="0"/>
        <w:adjustRightInd w:val="0"/>
        <w:ind w:left="142" w:hanging="142"/>
      </w:pPr>
      <w:r>
        <w:t>Mettre en place de mé</w:t>
      </w:r>
      <w:r w:rsidRPr="00A108EE">
        <w:t>canismes garantissant la transparence des processus électoraux et les libertés de choix </w:t>
      </w:r>
    </w:p>
    <w:p w:rsidR="000F2BDD" w:rsidRPr="00A108EE" w:rsidRDefault="000F2BDD" w:rsidP="00A108EE">
      <w:pPr>
        <w:widowControl w:val="0"/>
        <w:numPr>
          <w:ilvl w:val="0"/>
          <w:numId w:val="18"/>
        </w:numPr>
        <w:tabs>
          <w:tab w:val="left" w:pos="220"/>
          <w:tab w:val="left" w:pos="284"/>
        </w:tabs>
        <w:autoSpaceDE w:val="0"/>
        <w:autoSpaceDN w:val="0"/>
        <w:adjustRightInd w:val="0"/>
        <w:ind w:left="142" w:hanging="142"/>
      </w:pPr>
      <w:r w:rsidRPr="00A108EE">
        <w:t>Mise en application des lois constitutionnelles qui garantissent la partic</w:t>
      </w:r>
      <w:r>
        <w:t>i</w:t>
      </w:r>
      <w:r w:rsidRPr="00A108EE">
        <w:t>pation des citoyens(nes) dans la gestion de leur</w:t>
      </w:r>
      <w:r>
        <w:t>s</w:t>
      </w:r>
      <w:r w:rsidRPr="00A108EE">
        <w:t xml:space="preserve"> affaires publiques</w:t>
      </w:r>
      <w:r>
        <w:t xml:space="preserve"> notamment l’article 13</w:t>
      </w:r>
      <w:r w:rsidRPr="00A108EE">
        <w:t>, 14 et 133 </w:t>
      </w:r>
    </w:p>
    <w:p w:rsidR="000F2BDD" w:rsidRPr="00A108EE" w:rsidRDefault="000F2BDD" w:rsidP="00A108EE">
      <w:pPr>
        <w:numPr>
          <w:ilvl w:val="0"/>
          <w:numId w:val="18"/>
        </w:numPr>
        <w:tabs>
          <w:tab w:val="left" w:pos="284"/>
        </w:tabs>
        <w:autoSpaceDE w:val="0"/>
        <w:autoSpaceDN w:val="0"/>
        <w:adjustRightInd w:val="0"/>
        <w:ind w:left="142" w:hanging="142"/>
        <w:jc w:val="both"/>
      </w:pPr>
      <w:r>
        <w:t>G</w:t>
      </w:r>
      <w:r w:rsidRPr="00A108EE">
        <w:t>arantir la promotion de la place de la femme dans la parti</w:t>
      </w:r>
      <w:r>
        <w:t>ci</w:t>
      </w:r>
      <w:r w:rsidRPr="00A108EE">
        <w:t>pation dans les postes de d</w:t>
      </w:r>
      <w:r>
        <w:t>é</w:t>
      </w:r>
      <w:r w:rsidRPr="00A108EE">
        <w:t>cisions</w:t>
      </w:r>
      <w:r>
        <w:t>.</w:t>
      </w:r>
    </w:p>
    <w:p w:rsidR="000F2BDD" w:rsidRDefault="000F2BDD">
      <w:pPr>
        <w:numPr>
          <w:ilvl w:val="0"/>
          <w:numId w:val="18"/>
        </w:numPr>
        <w:tabs>
          <w:tab w:val="left" w:pos="142"/>
        </w:tabs>
        <w:autoSpaceDE w:val="0"/>
        <w:autoSpaceDN w:val="0"/>
        <w:adjustRightInd w:val="0"/>
        <w:ind w:left="0" w:firstLine="0"/>
        <w:jc w:val="both"/>
        <w:rPr>
          <w:color w:val="000000"/>
        </w:rPr>
      </w:pPr>
      <w:r>
        <w:t>Fournir l’information demandée par le Comité dans son OG 25.</w:t>
      </w:r>
    </w:p>
    <w:p w:rsidR="000F2BDD" w:rsidRDefault="000F2BDD">
      <w:pPr>
        <w:autoSpaceDE w:val="0"/>
        <w:autoSpaceDN w:val="0"/>
        <w:adjustRightInd w:val="0"/>
        <w:jc w:val="both"/>
        <w:rPr>
          <w:szCs w:val="20"/>
        </w:rPr>
      </w:pPr>
    </w:p>
    <w:p w:rsidR="000F2BDD" w:rsidRDefault="000F2BDD">
      <w:pPr>
        <w:pStyle w:val="Heading2"/>
        <w:spacing w:after="0"/>
      </w:pPr>
      <w:bookmarkStart w:id="22" w:name="_Toc311886155"/>
      <w:r>
        <w:t>ARTICLE 26.- Interdiction de la discrimination</w:t>
      </w:r>
      <w:bookmarkEnd w:id="22"/>
    </w:p>
    <w:p w:rsidR="000F2BDD" w:rsidRDefault="000F2BDD">
      <w:pPr>
        <w:autoSpaceDE w:val="0"/>
        <w:autoSpaceDN w:val="0"/>
        <w:adjustRightInd w:val="0"/>
        <w:jc w:val="both"/>
        <w:rPr>
          <w:szCs w:val="20"/>
        </w:rPr>
      </w:pPr>
    </w:p>
    <w:p w:rsidR="000F2BDD" w:rsidRDefault="000F2BDD">
      <w:pPr>
        <w:autoSpaceDE w:val="0"/>
        <w:autoSpaceDN w:val="0"/>
        <w:adjustRightInd w:val="0"/>
        <w:jc w:val="both"/>
      </w:pPr>
      <w:r>
        <w:t>La référence aux mesures adoptées par le Maroc en lien avec l’interdiction de la discrimination, encore une fois est insuffisante. Nous identifions des lacunes par rapport à ce qu’établit l’OG n. 18</w:t>
      </w:r>
      <w:r>
        <w:rPr>
          <w:rStyle w:val="FootnoteReference"/>
        </w:rPr>
        <w:footnoteReference w:id="26"/>
      </w:r>
      <w:r>
        <w:t>, dans le paragraphe 9, à propos des « renseignements sur les mesures législatives et administratives et sur les décisions judiciaires relatives à la discrimination en droit, mais manquent très souvent de renseignements sur la discrimination dans les faits...le Comité souhaiterait savoir s’il se pose encore des problèmes liés à une discrimination de fait, de la part, soit des pouvoirs publics ou de la communauté, soit des particuliers ou des organismes privés ». Également, dans le paragraphe 11, le Comité constate que « les motifs de discrimination faisant l’objet d’une interdiction dans le Pacte, tels qu’ils figurent au paragraphe 1 de l’article 2, ne sont pas tous mentionnés dans certaines constitutions et législations. Il souhaiterait donc que les États parties lui fassent savoir comment il convient d’interpréter de telles omissions ».</w:t>
      </w:r>
    </w:p>
    <w:p w:rsidR="000F2BDD" w:rsidRDefault="000F2BDD">
      <w:pPr>
        <w:autoSpaceDE w:val="0"/>
        <w:autoSpaceDN w:val="0"/>
        <w:adjustRightInd w:val="0"/>
        <w:jc w:val="both"/>
      </w:pPr>
    </w:p>
    <w:p w:rsidR="000F2BDD" w:rsidRDefault="000F2BDD">
      <w:pPr>
        <w:autoSpaceDE w:val="0"/>
        <w:autoSpaceDN w:val="0"/>
        <w:adjustRightInd w:val="0"/>
        <w:jc w:val="both"/>
      </w:pPr>
      <w:r>
        <w:t xml:space="preserve">En ce qui concerne les violations de l’article par des politiques et lois au Maroc, nous remarquons plusieurs problématiques.  </w:t>
      </w:r>
    </w:p>
    <w:p w:rsidR="000F2BDD" w:rsidRDefault="000F2BDD">
      <w:pPr>
        <w:autoSpaceDE w:val="0"/>
        <w:autoSpaceDN w:val="0"/>
        <w:adjustRightInd w:val="0"/>
        <w:jc w:val="both"/>
      </w:pPr>
    </w:p>
    <w:p w:rsidR="000F2BDD" w:rsidRDefault="000F2BDD">
      <w:pPr>
        <w:jc w:val="both"/>
        <w:rPr>
          <w:color w:val="000000"/>
        </w:rPr>
      </w:pPr>
      <w:r>
        <w:rPr>
          <w:color w:val="000000"/>
        </w:rPr>
        <w:t>Le code de la nationalité reconnaît aux hommes le droit de transmettre leur nationalité à leur épouse étrangère (acquisition de la nationalité par le mariage) alors que ce droit est dénié aux femmes.</w:t>
      </w:r>
    </w:p>
    <w:p w:rsidR="000F2BDD" w:rsidRDefault="000F2BDD">
      <w:pPr>
        <w:jc w:val="both"/>
        <w:rPr>
          <w:color w:val="000000"/>
        </w:rPr>
      </w:pPr>
    </w:p>
    <w:p w:rsidR="000F2BDD" w:rsidRDefault="000F2BDD">
      <w:pPr>
        <w:jc w:val="both"/>
        <w:rPr>
          <w:color w:val="000000"/>
        </w:rPr>
      </w:pPr>
      <w:r>
        <w:rPr>
          <w:color w:val="000000"/>
        </w:rPr>
        <w:t xml:space="preserve">La législation marocaine consacre la discrimination envers les Amazighs dans les domaines administratif, socioéconomique et culturel, en se fondant sur des lois qui prônent expressément la discrimination contre la langue et la culture amazighes. On en cite l’usage obligatoire de la seule langue arabe par le juge dans les procès, la partie amazighe au conflit étant contrainte de faire toutes les formalités judiciaires en arabe. </w:t>
      </w:r>
    </w:p>
    <w:p w:rsidR="000F2BDD" w:rsidRDefault="000F2BDD">
      <w:pPr>
        <w:jc w:val="both"/>
        <w:rPr>
          <w:color w:val="000000"/>
        </w:rPr>
      </w:pPr>
    </w:p>
    <w:p w:rsidR="000F2BDD" w:rsidRDefault="000F2BDD">
      <w:pPr>
        <w:jc w:val="both"/>
        <w:rPr>
          <w:color w:val="000000"/>
        </w:rPr>
      </w:pPr>
      <w:r>
        <w:rPr>
          <w:color w:val="000000"/>
        </w:rPr>
        <w:t>Nous signalons la lenteur dans l’application des dispositions de l’Article 11 et de l’Alinéa 2 de l’Article 14 de la Convention sur l’élimination de toutes les formes de discrimination raciale, qui stipule la création d’un organisme national qui aura compétence de recevoir et examiner les pétitions individuelles ou de groupes de victimes de discrimination, ce qui empêche l’application globale de la Convention et vide quelques dispositions de leur contenu juridique et institutionnel.</w:t>
      </w:r>
    </w:p>
    <w:p w:rsidR="000F2BDD" w:rsidRDefault="000F2BDD">
      <w:pPr>
        <w:pStyle w:val="BodyText2"/>
        <w:spacing w:after="0" w:line="240" w:lineRule="auto"/>
      </w:pPr>
    </w:p>
    <w:p w:rsidR="000F2BDD" w:rsidRDefault="000F2BDD">
      <w:pPr>
        <w:pStyle w:val="BodyText2"/>
        <w:spacing w:after="0" w:line="240" w:lineRule="auto"/>
      </w:pPr>
      <w:r>
        <w:t>Le Maroc est toujours dans l’incapacité de concrétiser ces engagements à la fois dans son cadre juridique et dans ses politiques sectorielles concernant les droits des personnes handicapées. Le gouvernement marocain n’a pas présenté le rapport (prévu en 2011) sur la mise en œuvre de la Convention ratifiée, soit deux années après la ratification. Par ailleurs, nous remarquons le gel de la loi sur les personnes en situation de handicap, élaborée après de larges consultations entre le gouvernement et la société civile spécialisée. Il faut également signaler l’absence des documents officiels sur la mise en œuvre des droits fondamentaux des handicapés, tels que l’accès à l’enseignement, la formation professionnelle, la qualification, l’emploi, la santé et la couverture sociale.</w:t>
      </w:r>
    </w:p>
    <w:p w:rsidR="000F2BDD" w:rsidRDefault="000F2BDD">
      <w:pPr>
        <w:pStyle w:val="BodyText2"/>
        <w:spacing w:after="0" w:line="240" w:lineRule="auto"/>
        <w:rPr>
          <w:color w:val="auto"/>
        </w:rPr>
      </w:pPr>
    </w:p>
    <w:p w:rsidR="000F2BDD" w:rsidRDefault="000F2BDD">
      <w:pPr>
        <w:pStyle w:val="BodyText2"/>
        <w:spacing w:after="0" w:line="240" w:lineRule="auto"/>
        <w:rPr>
          <w:color w:val="auto"/>
        </w:rPr>
      </w:pPr>
    </w:p>
    <w:p w:rsidR="000F2BDD" w:rsidRDefault="000F2BDD">
      <w:pPr>
        <w:pStyle w:val="Heading3"/>
        <w:spacing w:after="0"/>
        <w:rPr>
          <w:highlight w:val="white"/>
        </w:rPr>
      </w:pPr>
      <w:r>
        <w:rPr>
          <w:highlight w:val="white"/>
        </w:rPr>
        <w:t xml:space="preserve">Recommandations en lien avec l’Article 26: </w:t>
      </w:r>
    </w:p>
    <w:p w:rsidR="000F2BDD" w:rsidRDefault="000F2BDD"/>
    <w:p w:rsidR="000F2BDD" w:rsidRPr="00C344E7" w:rsidRDefault="000F2BDD" w:rsidP="00C344E7">
      <w:pPr>
        <w:pStyle w:val="NormalWeb"/>
        <w:spacing w:before="0" w:beforeAutospacing="0" w:after="0" w:afterAutospacing="0"/>
        <w:jc w:val="lowKashida"/>
        <w:rPr>
          <w:color w:val="000000"/>
        </w:rPr>
      </w:pPr>
      <w:r>
        <w:rPr>
          <w:color w:val="000000"/>
        </w:rPr>
        <w:t xml:space="preserve">- Modifier </w:t>
      </w:r>
      <w:r w:rsidRPr="00C344E7">
        <w:rPr>
          <w:color w:val="000000"/>
        </w:rPr>
        <w:t xml:space="preserve">la loi de la marocanisation et de l’unification promulguée en 1965 </w:t>
      </w:r>
      <w:r>
        <w:rPr>
          <w:color w:val="000000"/>
        </w:rPr>
        <w:t>qui</w:t>
      </w:r>
      <w:r w:rsidRPr="00C344E7">
        <w:rPr>
          <w:color w:val="000000"/>
        </w:rPr>
        <w:t xml:space="preserve"> ne permet aucune pratique publique ou officielle pour n’importe quelle langue autre que l’arabe</w:t>
      </w:r>
      <w:r>
        <w:rPr>
          <w:color w:val="000000"/>
        </w:rPr>
        <w:t>.</w:t>
      </w:r>
    </w:p>
    <w:p w:rsidR="000F2BDD" w:rsidRDefault="000F2BDD">
      <w:pPr>
        <w:jc w:val="both"/>
        <w:rPr>
          <w:color w:val="000000"/>
        </w:rPr>
      </w:pPr>
      <w:r>
        <w:rPr>
          <w:color w:val="000000"/>
        </w:rPr>
        <w:t xml:space="preserve">- Amender toutes les dispositions du CPP entravant l’emploi de l’amazigh dans les tribunaux et son usage dans les instituts de formation, dont l’Institut supérieur de la magistrature. </w:t>
      </w:r>
    </w:p>
    <w:p w:rsidR="000F2BDD" w:rsidRDefault="000F2BDD">
      <w:pPr>
        <w:jc w:val="both"/>
      </w:pPr>
      <w:r>
        <w:t xml:space="preserve"> - Amender l’article 431-1 du CP actuel, qui traite des discriminations, afin d’y ajouter les « </w:t>
      </w:r>
      <w:r>
        <w:rPr>
          <w:i/>
          <w:iCs/>
        </w:rPr>
        <w:t xml:space="preserve"> notions de discriminations basées sur le genre et la sexualité</w:t>
      </w:r>
      <w:r>
        <w:t> ».</w:t>
      </w:r>
    </w:p>
    <w:p w:rsidR="000F2BDD" w:rsidRDefault="000F2BDD">
      <w:pPr>
        <w:jc w:val="both"/>
        <w:rPr>
          <w:rFonts w:cs="Cambria"/>
          <w:color w:val="000000"/>
          <w:szCs w:val="28"/>
        </w:rPr>
      </w:pPr>
      <w:r>
        <w:rPr>
          <w:rFonts w:cs="Cambria"/>
          <w:color w:val="000000"/>
          <w:szCs w:val="28"/>
        </w:rPr>
        <w:t>- Réaliser la formation des fonctionnaires impliqués dans la mise en œuvre de la loi sur les principes des droits de l'homme et la non-discrimination.</w:t>
      </w:r>
    </w:p>
    <w:p w:rsidR="000F2BDD" w:rsidRDefault="000F2BDD">
      <w:pPr>
        <w:pStyle w:val="Paragraphedeliste1"/>
        <w:shd w:val="clear" w:color="auto" w:fill="FFFFFF"/>
        <w:ind w:left="0"/>
        <w:jc w:val="both"/>
        <w:rPr>
          <w:color w:val="000000"/>
          <w:szCs w:val="28"/>
        </w:rPr>
      </w:pPr>
      <w:r>
        <w:t>- A</w:t>
      </w:r>
      <w:r>
        <w:rPr>
          <w:color w:val="000000"/>
          <w:szCs w:val="28"/>
        </w:rPr>
        <w:t xml:space="preserve">ssurer la protection des droits des femmes et des mineurs </w:t>
      </w:r>
      <w:r>
        <w:rPr>
          <w:color w:val="000000"/>
          <w:szCs w:val="28"/>
          <w:lang w:eastAsia="fr-FR"/>
        </w:rPr>
        <w:t>et mettre un terme à toutes les agressions et aux détentions arbitraires.</w:t>
      </w:r>
    </w:p>
    <w:p w:rsidR="000F2BDD" w:rsidRDefault="000F2BDD">
      <w:pPr>
        <w:pStyle w:val="Paragraphedeliste1"/>
        <w:ind w:left="0"/>
        <w:jc w:val="both"/>
        <w:rPr>
          <w:color w:val="000000"/>
          <w:szCs w:val="28"/>
          <w:shd w:val="clear" w:color="auto" w:fill="FFFFFF"/>
        </w:rPr>
      </w:pPr>
      <w:r>
        <w:rPr>
          <w:color w:val="000000"/>
          <w:szCs w:val="28"/>
          <w:shd w:val="clear" w:color="auto" w:fill="FFFFFF"/>
        </w:rPr>
        <w:t>- Mettre fin à la violence, faciliter l’accès aux soins de santé pour les femmes et les mineurs, protéger et assister les victimes de violences sexuelles et de la traite d’être humains.</w:t>
      </w:r>
    </w:p>
    <w:p w:rsidR="000F2BDD" w:rsidRDefault="000F2BDD">
      <w:pPr>
        <w:autoSpaceDE w:val="0"/>
        <w:autoSpaceDN w:val="0"/>
        <w:adjustRightInd w:val="0"/>
        <w:jc w:val="both"/>
        <w:rPr>
          <w:bCs/>
        </w:rPr>
      </w:pPr>
      <w:r>
        <w:t xml:space="preserve">- Fournir l’information demandée par le Comité dans son OG n. 18. </w:t>
      </w:r>
    </w:p>
    <w:p w:rsidR="000F2BDD" w:rsidRDefault="000F2BDD">
      <w:pPr>
        <w:jc w:val="both"/>
      </w:pPr>
    </w:p>
    <w:p w:rsidR="000F2BDD" w:rsidRDefault="000F2BDD">
      <w:pPr>
        <w:jc w:val="both"/>
      </w:pPr>
    </w:p>
    <w:p w:rsidR="000F2BDD" w:rsidRDefault="000F2BDD" w:rsidP="00E25ED8">
      <w:pPr>
        <w:pStyle w:val="Heading2"/>
        <w:spacing w:after="0"/>
      </w:pPr>
      <w:bookmarkStart w:id="23" w:name="_Toc311886156"/>
      <w:r>
        <w:t>ARTICLE 27.- Droit des minorités</w:t>
      </w:r>
      <w:bookmarkEnd w:id="23"/>
      <w:r w:rsidR="00E25ED8">
        <w:t xml:space="preserve"> (et autres populations subissant la discrimination)</w:t>
      </w:r>
    </w:p>
    <w:p w:rsidR="000F2BDD" w:rsidRDefault="000F2BDD">
      <w:pPr>
        <w:autoSpaceDE w:val="0"/>
        <w:autoSpaceDN w:val="0"/>
        <w:adjustRightInd w:val="0"/>
        <w:jc w:val="both"/>
      </w:pPr>
    </w:p>
    <w:p w:rsidR="000F2BDD" w:rsidRDefault="000F2BDD">
      <w:pPr>
        <w:autoSpaceDE w:val="0"/>
        <w:autoSpaceDN w:val="0"/>
        <w:adjustRightInd w:val="0"/>
        <w:jc w:val="both"/>
      </w:pPr>
      <w:r>
        <w:t>Le rapport présenté par le Maroc inclut dans les paragraphes 209 à 314 des informations insuffisantes, conformément à aux dispositions du paragraphe 5.2 de l’OG n.23</w:t>
      </w:r>
      <w:r>
        <w:rPr>
          <w:rStyle w:val="FootnoteReference"/>
        </w:rPr>
        <w:footnoteReference w:id="27"/>
      </w:r>
      <w:r>
        <w:t xml:space="preserve"> selon lequel les personnes appartenant aux minorités «</w:t>
      </w:r>
      <w:r>
        <w:rPr>
          <w:szCs w:val="20"/>
        </w:rPr>
        <w:t>ne doivent pas nécessairement être des nationaux ou des ressortissants, ils ne doivent pas non plus nécessairement être des résidents permanents. Ainsi, les travailleurs migrants ou même les personnes de passage dans un Etat partie qui constituent pareilles minorités ont le droit de ne pas être privés de l’exercice de ces droits. Comme tous les autres individus se trouvant sur le territoire de l’Etat partie, ils devraient également, à cette fin, pouvoir jouir normalement de la liberté d’association, de réunion et d’expression».</w:t>
      </w:r>
    </w:p>
    <w:p w:rsidR="000F2BDD" w:rsidRDefault="000F2BDD">
      <w:pPr>
        <w:autoSpaceDE w:val="0"/>
        <w:autoSpaceDN w:val="0"/>
        <w:adjustRightInd w:val="0"/>
        <w:jc w:val="both"/>
        <w:rPr>
          <w:szCs w:val="20"/>
        </w:rPr>
      </w:pPr>
    </w:p>
    <w:p w:rsidR="000F2BDD" w:rsidRDefault="000F2BDD" w:rsidP="00E25ED8">
      <w:pPr>
        <w:pStyle w:val="BodyText"/>
        <w:autoSpaceDE w:val="0"/>
        <w:autoSpaceDN w:val="0"/>
        <w:adjustRightInd w:val="0"/>
      </w:pPr>
      <w:r>
        <w:t>Dans le rapport du Maroc il n’y a pas de références aux amazighs, qui continuent à s</w:t>
      </w:r>
      <w:r w:rsidR="00E25ED8">
        <w:t>ubir des graves discriminations</w:t>
      </w:r>
      <w:r>
        <w:t xml:space="preserve">. Cette omission obéit clairement à l’intention de laisser sans effet les dispositions du paraphe 6.1. de la même observation, selon lequel « il faut prendre des mesures positives de protection, non seulement contre les actes commis par l’Etat partie lui-même, par l’entremise de ses autorités législatives judiciaires ou administratives, mais également contre les actes commis par d’autres personnes se trouvant sur le territoire de l’Etat partie ». </w:t>
      </w:r>
    </w:p>
    <w:p w:rsidR="000F2BDD" w:rsidRDefault="000F2BDD">
      <w:pPr>
        <w:pStyle w:val="BodyText"/>
        <w:autoSpaceDE w:val="0"/>
        <w:autoSpaceDN w:val="0"/>
        <w:adjustRightInd w:val="0"/>
      </w:pPr>
    </w:p>
    <w:p w:rsidR="000F2BDD" w:rsidRDefault="000F2BDD">
      <w:pPr>
        <w:pStyle w:val="BodyText"/>
      </w:pPr>
      <w:r>
        <w:t>Les droits des Migrants doivent être considérés au même niveau que les droits civils et politiques en tant que droits humains universels, indivisibles et interdépendants. Privés de plusieurs de leurs droits, les Migrants subsahariens au Maroc, se retrouvent enfermés dans un cercle vicieux où une violation d’un droit en entraine une autre, conduisant ainsi à une dévalorisation de la personne et la rendant plus vulnérable ce qui exige l’élaboration d’une stratégie basée sur l’analyse de la série des violations de leurs droits et non pas sur une action sectorisée ne s’en occupant que d’un seul.</w:t>
      </w:r>
    </w:p>
    <w:p w:rsidR="000F2BDD" w:rsidRDefault="000F2BDD">
      <w:pPr>
        <w:pStyle w:val="BodyText"/>
      </w:pPr>
    </w:p>
    <w:p w:rsidR="000F2BDD" w:rsidRDefault="000F2BDD">
      <w:pPr>
        <w:pStyle w:val="BodyText"/>
      </w:pPr>
      <w:r>
        <w:t>La réglementation spécifique à la migration a connu un grand changement avec la promulgation, le 11 novembre 2003, de la loi 02-03 relative à l’entrée et au séjour des étrangers au Maroc. Cette loi réglemente l’entrée, le séjour, l’établissement dans le pays et réprime la migration  irrégulière en général. Elle est non seulement non conforme aux normes internationales, mais elle n’est plutôt pas appliquée dans la pratique courante.</w:t>
      </w:r>
    </w:p>
    <w:p w:rsidR="000F2BDD" w:rsidRDefault="000F2BDD">
      <w:pPr>
        <w:pStyle w:val="BodyText"/>
      </w:pPr>
    </w:p>
    <w:p w:rsidR="000F2BDD" w:rsidRDefault="000F2BDD">
      <w:pPr>
        <w:pStyle w:val="BodyText"/>
      </w:pPr>
      <w:r>
        <w:rPr>
          <w:shd w:val="clear" w:color="auto" w:fill="FFFFFF"/>
        </w:rPr>
        <w:t>Du fait de sa proximité géographique, le Maroc est devenu un point de départ et de passage en masse de Migrants, vers l’Espagne comme destination privilégiée. Enfin, depuis peu, le Maroc semble être devenu un pays d’immigration, dans la mesure où les Migrants en provenance de l’Afrique subsaharienne transitent par le Maroc dans l’espoir de rejoindre l’Europe. Beaucoup de ces migrants, confrontés aux mesures restrictives des politiques européennes, sont contraints de rester au Maroc pour une période relativement longue.</w:t>
      </w:r>
    </w:p>
    <w:p w:rsidR="000F2BDD" w:rsidRDefault="000F2BDD">
      <w:pPr>
        <w:jc w:val="both"/>
      </w:pPr>
    </w:p>
    <w:p w:rsidR="000F2BDD" w:rsidRDefault="000F2BDD">
      <w:pPr>
        <w:pStyle w:val="BodyText"/>
      </w:pPr>
      <w:r>
        <w:rPr>
          <w:rFonts w:eastAsia="BellMSFE-Light" w:cs="Arial"/>
        </w:rPr>
        <w:t>L</w:t>
      </w:r>
      <w:r>
        <w:rPr>
          <w:rFonts w:eastAsia="BellMSFE-Light" w:cs="Cambria"/>
        </w:rPr>
        <w:t>a grande majorité des Migrants subsahariens vivent dans des conditions précaires, en plein air, dans des forêts ou dans des bâtiments abandonnés, dans des abris médiocres et ont un accès limité à l’eau et aux services sanitaires. Ceux qui peuvent louer un logement sont souvent obligés de vivre entassés à plusieurs, dans des conditions insalubres et d’insécurité. Ces conditions de vie ont un impact négatif sur leur bien-être mental et physique.</w:t>
      </w:r>
    </w:p>
    <w:p w:rsidR="000F2BDD" w:rsidRDefault="000F2BDD"/>
    <w:p w:rsidR="000F2BDD" w:rsidRDefault="000F2BDD">
      <w:pPr>
        <w:jc w:val="both"/>
      </w:pPr>
      <w:r>
        <w:rPr>
          <w:rFonts w:cs="Cambria"/>
          <w:color w:val="000000"/>
          <w:szCs w:val="28"/>
        </w:rPr>
        <w:t>Les Migrants d'Afrique subsaharienne font régulièrement l'objet de harcèlement verbal et de violence physique dans les rues soit par des gens ordinaires ou par les agents de sécurité au Maroc. La répression de l’Etat est  parfois légitimée par des campagnes médiatiques stigmatisant et criminalisant les Migrants. Plusieurs articles publiés dans la presse marocaine expriment des opinions racistes envers les Subsahariens et les accusent souvent de propagation de maladies et de la prostitution, et qu’ils constituent une menace pour la sécurité et la stabilité du Maroc. Ces tendances discriminatoires se nourrissent non seulement de l'incapacité du Gouvernement à sensibiliser et à fournir des informations sur les Migrants qui vivent au Maroc et de clarifier le rôle économique positif qu'ils peuvent jouer dans le pays, mais aussi de l'implication de certains fonctionnaires et hauts responsables de l’Etat  dans certaines déclarations racistes.</w:t>
      </w:r>
    </w:p>
    <w:p w:rsidR="000F2BDD" w:rsidRDefault="000F2BDD">
      <w:pPr>
        <w:jc w:val="both"/>
      </w:pPr>
    </w:p>
    <w:p w:rsidR="000F2BDD" w:rsidRDefault="000F2BDD">
      <w:pPr>
        <w:jc w:val="both"/>
      </w:pPr>
      <w:r>
        <w:t xml:space="preserve">Aussi, </w:t>
      </w:r>
      <w:r>
        <w:rPr>
          <w:rFonts w:cs="Cambria"/>
          <w:iCs/>
          <w:color w:val="000000"/>
          <w:szCs w:val="28"/>
        </w:rPr>
        <w:t xml:space="preserve">le Réseau Euro-méditerranéen des droits de l’homme et d’autres associations ont constaté avec inquiétude que les femmes et les mineurs non accompagnés sont les plus vulnérables, dans la mesure où ils ne bénéficient d’aucune protection contre les violences domestiques et sexistes. </w:t>
      </w:r>
    </w:p>
    <w:p w:rsidR="000F2BDD" w:rsidRDefault="000F2BDD">
      <w:pPr>
        <w:pStyle w:val="BodyText"/>
        <w:autoSpaceDE w:val="0"/>
        <w:autoSpaceDN w:val="0"/>
        <w:adjustRightInd w:val="0"/>
        <w:rPr>
          <w:szCs w:val="24"/>
        </w:rPr>
      </w:pPr>
    </w:p>
    <w:p w:rsidR="000F2BDD" w:rsidRDefault="000F2BDD">
      <w:pPr>
        <w:pStyle w:val="Heading3"/>
        <w:spacing w:after="0"/>
        <w:rPr>
          <w:highlight w:val="white"/>
        </w:rPr>
      </w:pPr>
      <w:r>
        <w:rPr>
          <w:highlight w:val="white"/>
        </w:rPr>
        <w:t xml:space="preserve">Recommandations en lien avec l’Article 27: </w:t>
      </w:r>
    </w:p>
    <w:p w:rsidR="000F2BDD" w:rsidRPr="00B5767B" w:rsidRDefault="000F2BDD">
      <w:pPr>
        <w:pStyle w:val="ListParagraph"/>
        <w:numPr>
          <w:ilvl w:val="0"/>
          <w:numId w:val="17"/>
        </w:numPr>
        <w:tabs>
          <w:tab w:val="left" w:pos="142"/>
        </w:tabs>
        <w:ind w:left="0" w:firstLine="0"/>
      </w:pPr>
      <w:r w:rsidRPr="00B5767B">
        <w:t>Mettre en œuvre l’institutionnalisation de la langue Amazighe.</w:t>
      </w:r>
    </w:p>
    <w:p w:rsidR="000F2BDD" w:rsidRDefault="000F2BDD">
      <w:pPr>
        <w:numPr>
          <w:ilvl w:val="0"/>
          <w:numId w:val="17"/>
        </w:numPr>
        <w:tabs>
          <w:tab w:val="left" w:pos="142"/>
        </w:tabs>
        <w:autoSpaceDE w:val="0"/>
        <w:autoSpaceDN w:val="0"/>
        <w:adjustRightInd w:val="0"/>
        <w:ind w:left="0" w:firstLine="0"/>
        <w:jc w:val="both"/>
        <w:rPr>
          <w:color w:val="000000"/>
        </w:rPr>
      </w:pPr>
      <w:r>
        <w:t xml:space="preserve">Fournir l’information demandée par le Comité dans son OG n. 23. </w:t>
      </w:r>
    </w:p>
    <w:p w:rsidR="000F2BDD" w:rsidRDefault="000F2BDD">
      <w:pPr>
        <w:pStyle w:val="ListParagraph"/>
        <w:numPr>
          <w:ilvl w:val="0"/>
          <w:numId w:val="17"/>
        </w:numPr>
        <w:tabs>
          <w:tab w:val="left" w:pos="142"/>
        </w:tabs>
        <w:ind w:left="0" w:firstLine="0"/>
        <w:jc w:val="both"/>
        <w:rPr>
          <w:color w:val="000000"/>
        </w:rPr>
      </w:pPr>
      <w:r>
        <w:rPr>
          <w:color w:val="000000"/>
        </w:rPr>
        <w:t xml:space="preserve">Réviser  la loi sur l’émigration à la faveur du renforcement des garanties relatives aux recours en annulation des décisions administratives et levée du caractère de crime attaché à l’émigration. </w:t>
      </w:r>
    </w:p>
    <w:p w:rsidR="000F2BDD" w:rsidRDefault="000F2BDD">
      <w:pPr>
        <w:pStyle w:val="ListParagraph"/>
        <w:shd w:val="clear" w:color="auto" w:fill="FFFFFF"/>
        <w:tabs>
          <w:tab w:val="left" w:pos="142"/>
        </w:tabs>
        <w:ind w:left="0"/>
        <w:jc w:val="both"/>
        <w:rPr>
          <w:rStyle w:val="Strong"/>
          <w:b w:val="0"/>
          <w:szCs w:val="28"/>
        </w:rPr>
      </w:pPr>
      <w:r>
        <w:rPr>
          <w:color w:val="000000"/>
        </w:rPr>
        <w:t xml:space="preserve">- Activer le bureau des réfugiés et des apatrides relevant du Ministère des Affaires étrangères.- </w:t>
      </w:r>
      <w:r>
        <w:rPr>
          <w:rStyle w:val="Strong"/>
          <w:b w:val="0"/>
          <w:szCs w:val="28"/>
        </w:rPr>
        <w:t>Adopter un cadre législatif et réglementaire relatif à l’entrée et au séjour des étrangers qui ne soit pas axé sur la répression mais qui prévoit un  ensemble de garanties pour les migrants et de ce fait il est appelé à réviser la loi 02-03.</w:t>
      </w:r>
    </w:p>
    <w:p w:rsidR="000F2BDD" w:rsidRDefault="000F2BDD">
      <w:pPr>
        <w:pStyle w:val="Paragraphedeliste1"/>
        <w:numPr>
          <w:ilvl w:val="0"/>
          <w:numId w:val="17"/>
        </w:numPr>
        <w:tabs>
          <w:tab w:val="left" w:pos="142"/>
        </w:tabs>
        <w:ind w:left="0" w:firstLine="0"/>
        <w:jc w:val="both"/>
        <w:rPr>
          <w:color w:val="000000"/>
          <w:szCs w:val="28"/>
        </w:rPr>
      </w:pPr>
      <w:r>
        <w:rPr>
          <w:color w:val="000000"/>
          <w:szCs w:val="28"/>
        </w:rPr>
        <w:t>Respecter strictement ses obligations internationales de protéger et de promouvoir, au niveau de la loi comme dans  la pratique, les droits humains des Migrants.</w:t>
      </w:r>
    </w:p>
    <w:p w:rsidR="000F2BDD" w:rsidRDefault="000F2BDD">
      <w:pPr>
        <w:pStyle w:val="ListParagraph"/>
        <w:numPr>
          <w:ilvl w:val="0"/>
          <w:numId w:val="17"/>
        </w:numPr>
        <w:tabs>
          <w:tab w:val="left" w:pos="142"/>
        </w:tabs>
        <w:ind w:left="0" w:firstLine="0"/>
        <w:jc w:val="both"/>
        <w:rPr>
          <w:rFonts w:cs="Cambria"/>
          <w:color w:val="000000"/>
          <w:szCs w:val="28"/>
        </w:rPr>
      </w:pPr>
      <w:r>
        <w:t xml:space="preserve">Prendre </w:t>
      </w:r>
      <w:r>
        <w:rPr>
          <w:rFonts w:cs="Cambria"/>
          <w:color w:val="000000"/>
          <w:szCs w:val="28"/>
        </w:rPr>
        <w:t xml:space="preserve">toutes les mesures nécessaires pour lutter contre les tendances racistes envers les Migrants subsahariens. </w:t>
      </w:r>
    </w:p>
    <w:p w:rsidR="000F2BDD" w:rsidRDefault="000F2BDD"/>
    <w:p w:rsidR="000F2BDD" w:rsidRDefault="000F2BDD"/>
    <w:p w:rsidR="000F2BDD" w:rsidRDefault="000F2BDD"/>
    <w:p w:rsidR="000F2BDD" w:rsidRDefault="000F2BDD"/>
    <w:p w:rsidR="000F2BDD" w:rsidRDefault="000F2BDD"/>
    <w:p w:rsidR="000F2BDD" w:rsidRPr="00A606C5" w:rsidRDefault="000F2BDD">
      <w:pPr>
        <w:rPr>
          <w:b/>
          <w:bCs/>
        </w:rPr>
      </w:pPr>
      <w:r>
        <w:br w:type="page"/>
      </w:r>
    </w:p>
    <w:p w:rsidR="000F2BDD" w:rsidRPr="00A606C5" w:rsidRDefault="000F2BDD" w:rsidP="007A03EE">
      <w:pPr>
        <w:pStyle w:val="Heading1"/>
        <w:jc w:val="center"/>
        <w:rPr>
          <w:lang w:val="fr-FR"/>
        </w:rPr>
      </w:pPr>
      <w:bookmarkStart w:id="24" w:name="_Toc311886157"/>
      <w:r w:rsidRPr="00A606C5">
        <w:rPr>
          <w:lang w:val="fr-FR"/>
        </w:rPr>
        <w:t>ANNEXE I</w:t>
      </w:r>
      <w:bookmarkEnd w:id="24"/>
    </w:p>
    <w:p w:rsidR="000F2BDD" w:rsidRDefault="000F2BDD" w:rsidP="004D1978">
      <w:pPr>
        <w:jc w:val="center"/>
        <w:rPr>
          <w:b/>
          <w:sz w:val="28"/>
          <w:szCs w:val="28"/>
        </w:rPr>
      </w:pPr>
    </w:p>
    <w:p w:rsidR="000F2BDD" w:rsidRPr="007A03EE" w:rsidRDefault="000F2BDD" w:rsidP="004D1978">
      <w:pPr>
        <w:jc w:val="center"/>
        <w:rPr>
          <w:b/>
        </w:rPr>
      </w:pPr>
      <w:r w:rsidRPr="007A03EE">
        <w:rPr>
          <w:b/>
        </w:rPr>
        <w:t>CAS DE VIOLATIONS DES DISPOSITIONS DU PIDCP</w:t>
      </w:r>
    </w:p>
    <w:p w:rsidR="000F2BDD" w:rsidRDefault="000F2BDD" w:rsidP="004D197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8"/>
      </w:tblGrid>
      <w:tr w:rsidR="000F2BDD" w:rsidTr="00B33DAD">
        <w:tc>
          <w:tcPr>
            <w:tcW w:w="8638" w:type="dxa"/>
          </w:tcPr>
          <w:p w:rsidR="000F2BDD" w:rsidRDefault="000F2BDD" w:rsidP="00B33DAD">
            <w:pPr>
              <w:rPr>
                <w:sz w:val="20"/>
                <w:szCs w:val="20"/>
              </w:rPr>
            </w:pPr>
          </w:p>
          <w:p w:rsidR="000F2BDD" w:rsidRDefault="000F2BDD" w:rsidP="00B33DAD">
            <w:pPr>
              <w:jc w:val="center"/>
            </w:pPr>
            <w:r>
              <w:t>ARTICLE 3</w:t>
            </w:r>
          </w:p>
          <w:p w:rsidR="000F2BDD" w:rsidRDefault="000F2BDD" w:rsidP="00B33DAD">
            <w:pPr>
              <w:rPr>
                <w:sz w:val="20"/>
                <w:szCs w:val="20"/>
              </w:rPr>
            </w:pPr>
          </w:p>
        </w:tc>
      </w:tr>
    </w:tbl>
    <w:p w:rsidR="000F2BDD" w:rsidRDefault="000F2BDD" w:rsidP="004D1978"/>
    <w:p w:rsidR="000F2BDD" w:rsidRPr="007A03EE" w:rsidRDefault="000F2BDD" w:rsidP="007A03EE">
      <w:pPr>
        <w:rPr>
          <w:b/>
        </w:rPr>
      </w:pPr>
      <w:r w:rsidRPr="007A03EE">
        <w:rPr>
          <w:b/>
        </w:rPr>
        <w:t>SUICIDE D’AMINA EL FIALI</w:t>
      </w:r>
    </w:p>
    <w:p w:rsidR="000F2BDD" w:rsidRDefault="000F2BDD" w:rsidP="004D1978">
      <w:pPr>
        <w:jc w:val="both"/>
      </w:pPr>
    </w:p>
    <w:p w:rsidR="000F2BDD" w:rsidRDefault="000F2BDD" w:rsidP="004D1978">
      <w:pPr>
        <w:jc w:val="both"/>
      </w:pPr>
      <w:r>
        <w:t xml:space="preserve">Il a fallu qu’une fillette de 16 ans se suicide, et que cela apparaisse dans tous les médias internationaux, pour que le Maroc considère de modifier l’article du code pénal qui permet aux responsables de viols d’échapper la prison en se mariant avec la victime à qui, bien entendu, le consentement n’est pas demandé. Il s’agit d’un « rabibochage » entre familles, comme tant d’autres mariages forcés. </w:t>
      </w:r>
    </w:p>
    <w:p w:rsidR="000F2BDD" w:rsidRDefault="000F2BDD" w:rsidP="004D1978">
      <w:pPr>
        <w:pStyle w:val="BodyText"/>
        <w:rPr>
          <w:szCs w:val="24"/>
        </w:rPr>
      </w:pPr>
    </w:p>
    <w:p w:rsidR="000F2BDD" w:rsidRDefault="000F2BDD" w:rsidP="004D1978">
      <w:pPr>
        <w:pStyle w:val="BodyText"/>
        <w:rPr>
          <w:szCs w:val="24"/>
        </w:rPr>
      </w:pPr>
      <w:r>
        <w:rPr>
          <w:szCs w:val="24"/>
        </w:rPr>
        <w:t xml:space="preserve">Amina Al Filali s’est suicidée le samedi 10 mars 2012 à Larache après avoir été obligée à se marier avec l’homme qui l’avait violée quand elle avait 15 ans. Il s’agit d’une violation qui aurait été considérée « ordinaire », voir banale au Maroc, où ce type d’agression est habituel et peu de statistiques existent qui montrent son envergure, si elle ne s’était pas suicidée. En partie cela est dû à l’ambigüité du code pénal marocain qui, dans son article 475, évite expressément d’appeler le crime de viol par son nom et punit le « ravisseur », à moins qu’il ne se marie avec la victime. </w:t>
      </w:r>
    </w:p>
    <w:p w:rsidR="000F2BDD" w:rsidRDefault="000F2BDD" w:rsidP="004D1978">
      <w:pPr>
        <w:jc w:val="both"/>
      </w:pPr>
    </w:p>
    <w:p w:rsidR="000F2BDD" w:rsidRDefault="000F2BDD" w:rsidP="004D1978">
      <w:pPr>
        <w:jc w:val="both"/>
      </w:pPr>
      <w:r>
        <w:t xml:space="preserve">C’est un « tribunal de la famille » de Larache qui a conclut le mariage, suite à la « réconciliation » entre les familles et une fois que les parents de la victime, mineur qui se trouvait sous leur tutelle, retire la plainte portée contre l’agresseur initialement. </w:t>
      </w:r>
    </w:p>
    <w:p w:rsidR="000F2BDD" w:rsidRDefault="000F2BDD" w:rsidP="004D1978">
      <w:pPr>
        <w:jc w:val="both"/>
      </w:pPr>
    </w:p>
    <w:p w:rsidR="000F2BDD" w:rsidRDefault="000F2BDD" w:rsidP="004D1978">
      <w:pPr>
        <w:jc w:val="both"/>
      </w:pPr>
      <w:r>
        <w:t xml:space="preserve">Le tabou existant sur ce type d’agressions, les difficultés des victimes pour les dénoncer et les accords familiaux cachent l’ampleur du phénomène du viol au Maroc, dont on parle à peine publiquement. Le geste désespéré d’Amina l’a exposé. Pour beaucoup de familles marocaines, pour lesquelles la tradition et la religion ont un poids très important, la perte de la virginité hors mariage est considérée </w:t>
      </w:r>
      <w:r w:rsidR="001B7D70">
        <w:t xml:space="preserve">comme </w:t>
      </w:r>
      <w:r>
        <w:t xml:space="preserve">un déshonneur.  Il est habituel que, avec l’aide de l’administration de la justice, les familles arrivent à des accords pour que les filles violées se marient avec leur agresseur, qui évite ainsi une peine de 20 ans de prison. </w:t>
      </w:r>
    </w:p>
    <w:p w:rsidR="000F2BDD" w:rsidRDefault="000F2BDD" w:rsidP="004D1978">
      <w:pPr>
        <w:jc w:val="both"/>
      </w:pPr>
    </w:p>
    <w:p w:rsidR="000F2BDD" w:rsidRDefault="000F2BDD" w:rsidP="004D1978">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8"/>
      </w:tblGrid>
      <w:tr w:rsidR="000F2BDD" w:rsidTr="00B33DAD">
        <w:tc>
          <w:tcPr>
            <w:tcW w:w="8638" w:type="dxa"/>
          </w:tcPr>
          <w:p w:rsidR="000F2BDD" w:rsidRDefault="000F2BDD" w:rsidP="00B33DAD">
            <w:pPr>
              <w:jc w:val="both"/>
            </w:pPr>
          </w:p>
          <w:p w:rsidR="000F2BDD" w:rsidRDefault="000F2BDD" w:rsidP="00B33DAD">
            <w:pPr>
              <w:jc w:val="center"/>
            </w:pPr>
            <w:r>
              <w:t>ARTICLE 7</w:t>
            </w:r>
          </w:p>
          <w:p w:rsidR="000F2BDD" w:rsidRDefault="000F2BDD" w:rsidP="00B33DAD">
            <w:pPr>
              <w:jc w:val="both"/>
              <w:rPr>
                <w:sz w:val="20"/>
                <w:szCs w:val="20"/>
              </w:rPr>
            </w:pPr>
          </w:p>
        </w:tc>
      </w:tr>
    </w:tbl>
    <w:p w:rsidR="000F2BDD" w:rsidRDefault="000F2BDD" w:rsidP="004D1978">
      <w:pPr>
        <w:jc w:val="both"/>
      </w:pPr>
    </w:p>
    <w:p w:rsidR="000F2BDD" w:rsidRDefault="000F2BDD" w:rsidP="004D1978">
      <w:pPr>
        <w:pStyle w:val="bodytext0"/>
        <w:spacing w:before="0" w:beforeAutospacing="0" w:after="0" w:afterAutospacing="0"/>
        <w:jc w:val="both"/>
        <w:rPr>
          <w:b/>
          <w:bCs/>
        </w:rPr>
      </w:pPr>
      <w:r>
        <w:rPr>
          <w:b/>
          <w:bCs/>
        </w:rPr>
        <w:t xml:space="preserve">TORTURES À ALI AARRASS </w:t>
      </w:r>
    </w:p>
    <w:p w:rsidR="000F2BDD" w:rsidRDefault="000F2BDD" w:rsidP="004D1978">
      <w:pPr>
        <w:pStyle w:val="bodytext0"/>
        <w:spacing w:before="0" w:beforeAutospacing="0" w:after="0" w:afterAutospacing="0"/>
        <w:jc w:val="both"/>
      </w:pPr>
    </w:p>
    <w:p w:rsidR="000F2BDD" w:rsidRDefault="000F2BDD" w:rsidP="004D1978">
      <w:pPr>
        <w:pStyle w:val="bodytext0"/>
        <w:spacing w:before="0" w:beforeAutospacing="0" w:after="0" w:afterAutospacing="0"/>
        <w:jc w:val="both"/>
      </w:pPr>
      <w:r>
        <w:t xml:space="preserve">Ali Aarrass a fait l’objet d’une enquête de l’Audience Nationale espagnole  (la haute cour de justice espagnole) pour des accusations en rapport avec le terrorisme entre 2006 et 2009, quand le dossier a été provisoirement classé dû au manque de preuves. Malgré cela, le Conseil de Ministres espagnol a approuvé peu après son extradition au Maroc. Les avertissements provenant tant des Nations Unies que d’Amnesty International sur les risques de torture ou traitements dégradants, ainsi que de procès non équitable, n’ont pas été écoutés. </w:t>
      </w:r>
    </w:p>
    <w:p w:rsidR="000F2BDD" w:rsidRDefault="000F2BDD" w:rsidP="004D1978">
      <w:pPr>
        <w:pStyle w:val="bodytext0"/>
        <w:spacing w:before="0" w:beforeAutospacing="0" w:after="0" w:afterAutospacing="0"/>
        <w:jc w:val="both"/>
      </w:pPr>
    </w:p>
    <w:p w:rsidR="000F2BDD" w:rsidRPr="006B3B03" w:rsidRDefault="000F2BDD" w:rsidP="007A03EE">
      <w:r w:rsidRPr="006B3B03">
        <w:t xml:space="preserve">En 2012, le Rapporteur Spécial sur la Torture, Juan E. Méndez, a visité Ali Aarrass dans la prison où il se trouvait, accompagné d’un expert médical indépendant. Les deux ont confirmé qu’ils avaient observé des signes de tortures compatibles avec son témoignage. Ali a dit qu’il était battu sur la plante des pieds, qu’il avait été suspendu par les poignets pendant de longues périodes, reçu des décharges électriques et brûlé avec des cigarettes. Ses aveux ont été faits sous la torture. Il s’est même vu obligé de signer des documents qu’il ne comprenait pas. </w:t>
      </w:r>
    </w:p>
    <w:p w:rsidR="000F2BDD" w:rsidRDefault="000F2BDD" w:rsidP="004D1978">
      <w:pPr>
        <w:pStyle w:val="bodytext0"/>
        <w:spacing w:before="0" w:beforeAutospacing="0" w:after="0" w:afterAutospacing="0"/>
        <w:jc w:val="both"/>
      </w:pPr>
    </w:p>
    <w:p w:rsidR="000F2BDD" w:rsidRDefault="000F2BDD" w:rsidP="004D1978">
      <w:pPr>
        <w:pStyle w:val="bodytext0"/>
        <w:spacing w:before="0" w:beforeAutospacing="0" w:after="0" w:afterAutospacing="0"/>
        <w:jc w:val="both"/>
      </w:pPr>
      <w:r>
        <w:t>En juillet 2014, le CCPR a décidé que l’Espagne avait violé le PIDCP avec l’extradition d’Ali Aarrass et a demandé à l’Espagne de le compenser, de coopérer avec les autorités marocaines afin qu’il reçoi</w:t>
      </w:r>
      <w:r w:rsidR="001B7D70">
        <w:t>ve</w:t>
      </w:r>
      <w:r>
        <w:t xml:space="preserve"> un bon traitement et que des mesures soient prises afin d’éviter des situations similaires dans le futur. </w:t>
      </w:r>
    </w:p>
    <w:p w:rsidR="000F2BDD" w:rsidRDefault="000F2BDD" w:rsidP="004D1978">
      <w:pPr>
        <w:widowControl w:val="0"/>
        <w:autoSpaceDE w:val="0"/>
        <w:autoSpaceDN w:val="0"/>
        <w:adjustRightInd w:val="0"/>
        <w:jc w:val="both"/>
      </w:pPr>
    </w:p>
    <w:p w:rsidR="000F2BDD" w:rsidRDefault="000F2BDD" w:rsidP="004D1978">
      <w:pPr>
        <w:widowControl w:val="0"/>
        <w:autoSpaceDE w:val="0"/>
        <w:autoSpaceDN w:val="0"/>
        <w:adjustRightInd w:val="0"/>
        <w:jc w:val="both"/>
      </w:pPr>
      <w:r>
        <w:t xml:space="preserve">Le ministre de la Justice et les Libertés marocain, dans une réunion avec la délégation d’Amnesty International, a confirmé que son audience ne serait pas publique. La délégation lui a alors demandé de garantir une enquête indépendante et impartiale qui devait aussi inclure un examen médicale conformément aux normes internationales. Il </w:t>
      </w:r>
      <w:r w:rsidR="001B7D70">
        <w:t xml:space="preserve">lui </w:t>
      </w:r>
      <w:r>
        <w:t xml:space="preserve">a aussi été demandé de donner suite à la pétition du Groupe de Travail des Nations Unies sur la Détention Arbitraire, qui demandait la libération immédiate d’Ali Aarrass et une indemnisation appropriée. Pour appuyer ces demandes, 216.450 signatures provenant de 120 pays ont été apportées et une chaîne humaine a été organisée en face du Parlement avec la participation de plus de 100 personnes. </w:t>
      </w:r>
    </w:p>
    <w:p w:rsidR="000F2BDD" w:rsidRDefault="000F2BDD" w:rsidP="004D1978">
      <w:pPr>
        <w:jc w:val="both"/>
      </w:pPr>
    </w:p>
    <w:p w:rsidR="000F2BDD" w:rsidRDefault="000F2BDD" w:rsidP="004D1978">
      <w:pPr>
        <w:pStyle w:val="Default"/>
        <w:jc w:val="both"/>
        <w:rPr>
          <w:rFonts w:ascii="Times New Roman" w:hAnsi="Times New Roman"/>
          <w:b/>
          <w:bCs/>
          <w:noProof w:val="0"/>
          <w:lang w:val="fr-FR"/>
        </w:rPr>
      </w:pPr>
      <w:r>
        <w:rPr>
          <w:rFonts w:ascii="Times New Roman" w:hAnsi="Times New Roman"/>
          <w:b/>
          <w:bCs/>
          <w:noProof w:val="0"/>
          <w:lang w:val="fr-FR"/>
        </w:rPr>
        <w:t>Emprisonnés pour avoir dénoncé des actes de torture (Articles 7 et 14)</w:t>
      </w:r>
    </w:p>
    <w:p w:rsidR="000F2BDD" w:rsidRDefault="000F2BDD" w:rsidP="004D1978">
      <w:pPr>
        <w:pStyle w:val="Default"/>
        <w:jc w:val="both"/>
        <w:rPr>
          <w:rFonts w:ascii="Times New Roman" w:hAnsi="Times New Roman"/>
          <w:noProof w:val="0"/>
          <w:lang w:val="fr-FR"/>
        </w:rPr>
      </w:pPr>
    </w:p>
    <w:p w:rsidR="000F2BDD" w:rsidRDefault="000F2BDD" w:rsidP="004D1978">
      <w:pPr>
        <w:pStyle w:val="Default"/>
        <w:jc w:val="both"/>
        <w:rPr>
          <w:rFonts w:ascii="Times New Roman" w:hAnsi="Times New Roman"/>
          <w:noProof w:val="0"/>
          <w:lang w:val="fr-FR"/>
        </w:rPr>
      </w:pPr>
      <w:r>
        <w:rPr>
          <w:rFonts w:ascii="Times New Roman" w:hAnsi="Times New Roman"/>
          <w:noProof w:val="0"/>
          <w:lang w:val="fr-FR"/>
        </w:rPr>
        <w:t xml:space="preserve">Oussama Housne, jeune activiste, membre du Mouvement 20 février et de l’Association marocaine des droits humains (AMDH), purge actuellement une peine de prison de trois ans à la Prison Locale d’Oukacha. Le 23 juillet 2014, il avait été condamné pour dénonciation calomnieuse et pour avoir fourni un faux témoignage faisant état de torture. Le tribunal l’a aussi condamné à verser 100 000 dirhams (environ 12 000 USD) de dommages et intérêts à la police marocaine pour dénonciation calomnieuse, alors qu'il n'avait pas accusé les forces de sécurité marocaines. </w:t>
      </w:r>
    </w:p>
    <w:p w:rsidR="000F2BDD" w:rsidRDefault="000F2BDD" w:rsidP="004D1978">
      <w:pPr>
        <w:pStyle w:val="Default"/>
        <w:jc w:val="both"/>
        <w:rPr>
          <w:rFonts w:ascii="Times New Roman" w:hAnsi="Times New Roman"/>
          <w:noProof w:val="0"/>
          <w:lang w:val="fr-FR"/>
        </w:rPr>
      </w:pPr>
    </w:p>
    <w:p w:rsidR="000F2BDD" w:rsidRDefault="000F2BDD" w:rsidP="004D1978">
      <w:pPr>
        <w:pStyle w:val="Default"/>
        <w:jc w:val="both"/>
        <w:rPr>
          <w:rFonts w:ascii="Times New Roman" w:hAnsi="Times New Roman"/>
          <w:noProof w:val="0"/>
          <w:lang w:val="fr-FR"/>
        </w:rPr>
      </w:pPr>
      <w:r>
        <w:rPr>
          <w:rFonts w:ascii="Times New Roman" w:hAnsi="Times New Roman"/>
          <w:noProof w:val="0"/>
          <w:lang w:val="fr-FR"/>
        </w:rPr>
        <w:t xml:space="preserve">Oussama Housne avait affirmé avoir été enlevé et violenté par des inconnus le 2 mai 2014, alors qu’il quittait une manifestation organisée en solidarité avec des activistes du Mouvement 20 février détenus suite à une manifestation syndicale à Casablanca. Les autorités avaient d’abord enquêté sur ses allégations avant de le mettre en examen. </w:t>
      </w:r>
    </w:p>
    <w:p w:rsidR="000F2BDD" w:rsidRDefault="000F2BDD" w:rsidP="004D1978">
      <w:pPr>
        <w:pStyle w:val="Default"/>
        <w:jc w:val="both"/>
        <w:rPr>
          <w:rFonts w:ascii="Times New Roman" w:hAnsi="Times New Roman"/>
          <w:noProof w:val="0"/>
          <w:lang w:val="fr-FR"/>
        </w:rPr>
      </w:pPr>
    </w:p>
    <w:p w:rsidR="000F2BDD" w:rsidRDefault="000F2BDD" w:rsidP="004D1978">
      <w:pPr>
        <w:pStyle w:val="Default"/>
        <w:jc w:val="both"/>
        <w:rPr>
          <w:rFonts w:ascii="Times New Roman" w:hAnsi="Times New Roman"/>
          <w:noProof w:val="0"/>
          <w:lang w:val="fr-FR"/>
        </w:rPr>
      </w:pPr>
      <w:r>
        <w:rPr>
          <w:rFonts w:ascii="Times New Roman" w:hAnsi="Times New Roman"/>
          <w:noProof w:val="0"/>
          <w:lang w:val="fr-FR"/>
        </w:rPr>
        <w:t xml:space="preserve">Wafaa Charaf, 27 ans, purge aussi actuellement une peine de deux ans de prison après avoir déposé plainte contre un agent de l’autorité pour enlèvement et torture alors qu’elle quittait une manifestation ouvrière à Tanger en avril 2014. La jeune femme, membre de l’AMDH et militante au sein du parti de la Voie démocratique, a été condamnée pour dénonciation calomnieuse, faux témoignage et outrage à un fonctionnaire le 12 août 2014. Le tribunal lui a également ordonné de verser 50 000 dirhams (environ 6 000 USD) de dommages et intérêts à la police marocaine pour dénonciation calomnieuse, bien qu’elle n’ait pas accusé les forces de l’ordre. </w:t>
      </w:r>
    </w:p>
    <w:p w:rsidR="000F2BDD" w:rsidRDefault="000F2BDD" w:rsidP="004D1978">
      <w:pPr>
        <w:pStyle w:val="Default"/>
        <w:jc w:val="both"/>
        <w:rPr>
          <w:rFonts w:ascii="Times New Roman" w:hAnsi="Times New Roman"/>
          <w:noProof w:val="0"/>
          <w:lang w:val="fr-FR"/>
        </w:rPr>
      </w:pPr>
    </w:p>
    <w:p w:rsidR="000F2BDD" w:rsidRDefault="000F2BDD" w:rsidP="004D1978">
      <w:pPr>
        <w:jc w:val="both"/>
      </w:pPr>
      <w:r>
        <w:t xml:space="preserve">La démarche des autorités marocaines à l’encontre d’Oussama Housne et de Wafaa Charaf, ainsi que les récentes poursuites pénales par le Maroc contre l’Action des Chrétiens pour l’abolition de la torture (ACAT) pour « diffamation, outrage envers les corps constitués, utilisation de manœuvre et de fraude pour inciter à faire de faux témoignages, complicité et injure publique » suite au dépôt par l’ACAT en France de plusieurs plaintes pour torture contre des agents publics marocains, constituent des précédents graves et remettent en cause la réalité de la détermination des autorités marocaines à éradiquer la torture et les mauvais traitements. </w:t>
      </w:r>
    </w:p>
    <w:p w:rsidR="000F2BDD" w:rsidRDefault="000F2BDD" w:rsidP="004D1978">
      <w:pPr>
        <w:jc w:val="both"/>
      </w:pPr>
    </w:p>
    <w:p w:rsidR="000F2BDD" w:rsidRDefault="000F2BDD" w:rsidP="004D1978">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78"/>
      </w:tblGrid>
      <w:tr w:rsidR="000F2BDD" w:rsidTr="00580C0C">
        <w:tc>
          <w:tcPr>
            <w:tcW w:w="8978" w:type="dxa"/>
          </w:tcPr>
          <w:p w:rsidR="000F2BDD" w:rsidRDefault="000F2BDD" w:rsidP="00580C0C">
            <w:pPr>
              <w:jc w:val="both"/>
            </w:pPr>
          </w:p>
          <w:p w:rsidR="000F2BDD" w:rsidRDefault="000F2BDD" w:rsidP="00580C0C">
            <w:pPr>
              <w:jc w:val="center"/>
            </w:pPr>
            <w:r>
              <w:t>ARTICLE 14</w:t>
            </w:r>
          </w:p>
          <w:p w:rsidR="000F2BDD" w:rsidRDefault="000F2BDD" w:rsidP="00580C0C">
            <w:pPr>
              <w:jc w:val="both"/>
            </w:pPr>
          </w:p>
        </w:tc>
      </w:tr>
    </w:tbl>
    <w:p w:rsidR="000F2BDD" w:rsidRDefault="000F2BDD" w:rsidP="004D1978">
      <w:pPr>
        <w:jc w:val="both"/>
      </w:pPr>
    </w:p>
    <w:p w:rsidR="000F2BDD" w:rsidRDefault="000F2BDD" w:rsidP="004D1978">
      <w:pPr>
        <w:jc w:val="both"/>
      </w:pPr>
    </w:p>
    <w:p w:rsidR="000F2BDD" w:rsidRPr="007A03EE" w:rsidRDefault="000F2BDD" w:rsidP="007A03EE">
      <w:pPr>
        <w:rPr>
          <w:rStyle w:val="figure-caption"/>
          <w:b/>
        </w:rPr>
      </w:pPr>
      <w:r w:rsidRPr="007A03EE">
        <w:rPr>
          <w:b/>
        </w:rPr>
        <w:t xml:space="preserve">Aveux contestés, procès contestables. </w:t>
      </w:r>
      <w:r w:rsidRPr="007A03EE">
        <w:rPr>
          <w:rStyle w:val="figure-caption"/>
          <w:b/>
        </w:rPr>
        <w:t>Cinq hommes condamnés à des peines de prison par des tribunaux marocains.</w:t>
      </w:r>
    </w:p>
    <w:p w:rsidR="000F2BDD" w:rsidRDefault="000F2BDD" w:rsidP="006B3B03">
      <w:pPr>
        <w:pStyle w:val="NormalWeb"/>
        <w:jc w:val="both"/>
        <w:rPr>
          <w:rStyle w:val="figure-caption"/>
        </w:rPr>
      </w:pPr>
      <w:r>
        <w:rPr>
          <w:rStyle w:val="figure-caption"/>
        </w:rPr>
        <w:t xml:space="preserve">HRW, Juin 2013, disponible sur </w:t>
      </w:r>
      <w:hyperlink r:id="rId29" w:tgtFrame="_blank" w:history="1">
        <w:r>
          <w:rPr>
            <w:rStyle w:val="Hyperlink"/>
            <w:sz w:val="27"/>
            <w:szCs w:val="27"/>
          </w:rPr>
          <w:t>https://shar.es/1Gtiym</w:t>
        </w:r>
      </w:hyperlink>
    </w:p>
    <w:p w:rsidR="000F2BDD" w:rsidRDefault="000F2BDD" w:rsidP="006B3B03">
      <w:pPr>
        <w:pStyle w:val="NormalWeb"/>
        <w:jc w:val="both"/>
      </w:pPr>
      <w:r>
        <w:t xml:space="preserve">Rabat –Les tribunaux </w:t>
      </w:r>
      <w:hyperlink r:id="rId30" w:tgtFrame="_blank" w:history="1">
        <w:r>
          <w:rPr>
            <w:rStyle w:val="Hyperlink"/>
          </w:rPr>
          <w:t>marocains</w:t>
        </w:r>
      </w:hyperlink>
      <w:r>
        <w:t xml:space="preserve"> condamnent certains accusés en se fondant sur des aveux qui selon ces derniers ont été obtenus sous la torture ou falsifiés par la police, a déclaré Human Rights Watch dans un rapport publié aujourd’hui. La réforme de la justice planifiée par le pays doit prévoir de meilleures protections pour veiller à ce que les tribunaux écartent des preuves utilisables toute déclaration faite aux policiers sous la torture ou les mauvais traitements.</w:t>
      </w:r>
    </w:p>
    <w:p w:rsidR="000F2BDD" w:rsidRDefault="000F2BDD" w:rsidP="006B3B03">
      <w:pPr>
        <w:pStyle w:val="NormalWeb"/>
        <w:jc w:val="both"/>
      </w:pPr>
      <w:r>
        <w:t>Le rapport de 100 pages, « </w:t>
      </w:r>
      <w:hyperlink r:id="rId31" w:tgtFrame="_blank" w:history="1">
        <w:r>
          <w:rPr>
            <w:rStyle w:val="Hyperlink"/>
          </w:rPr>
          <w:t>‘Tu signes ici, c’est tout’ : Procès injustes au Maroc fondés sur des aveux à la police </w:t>
        </w:r>
      </w:hyperlink>
      <w:r>
        <w:t>», étudie en détail cinq procès qui ont eu lieu entre 2009 et 2013 et qui ont concerné en tout 77 personnes – notamment des manifestants réclamant des réformes, des activistes du Sahara et des personnes accusées de complot terroriste. Human Rights Watch a découvert que dans les affaires étudiées, les juges avaient manqué d’examiner sérieusement les affirmations des accusés selon lesquelles leurs aveux avaient été obtenus par des moyens illégaux avant d’être utilisés comme le fondement principal pour les condamner, voire le seul. Ce manquement des tribunaux encourage de fait les policiers à utiliser la torture, les mauvais traitements et les faux pour obtenir des déclarations, a déclaré Human Rights Watch.</w:t>
      </w:r>
    </w:p>
    <w:p w:rsidR="000F2BDD" w:rsidRDefault="000F2BDD" w:rsidP="006B3B03">
      <w:pPr>
        <w:pStyle w:val="NormalWeb"/>
        <w:jc w:val="both"/>
      </w:pPr>
      <w:r>
        <w:t>« </w:t>
      </w:r>
      <w:r>
        <w:rPr>
          <w:rStyle w:val="Emphasis"/>
          <w:iCs/>
        </w:rPr>
        <w:t>Une fois que les policiers marocains ont votre déclaration en main, ce n’est pas pour vous le commencement d’un procès impartial qui cherche à découvrir la vérité</w:t>
      </w:r>
      <w:r>
        <w:t xml:space="preserve"> », a déclaré </w:t>
      </w:r>
      <w:hyperlink r:id="rId32" w:tgtFrame="_blank" w:history="1">
        <w:r>
          <w:rPr>
            <w:rStyle w:val="Hyperlink"/>
          </w:rPr>
          <w:t>Sarah Leah Whitson</w:t>
        </w:r>
      </w:hyperlink>
      <w:r>
        <w:t>, directrice de la division Moyen-Orient et Afrique du Nord à Human Rights Watch. « </w:t>
      </w:r>
      <w:r>
        <w:rPr>
          <w:rStyle w:val="Emphasis"/>
          <w:iCs/>
        </w:rPr>
        <w:t>Vous êtes à bord d’un train qui fonce vers le verdict de culpabilité.</w:t>
      </w:r>
      <w:r>
        <w:t> »</w:t>
      </w:r>
    </w:p>
    <w:p w:rsidR="000F2BDD" w:rsidRDefault="000F2BDD" w:rsidP="006B3B03">
      <w:pPr>
        <w:pStyle w:val="NormalWeb"/>
        <w:jc w:val="both"/>
      </w:pPr>
      <w:r>
        <w:t>La loi marocaine pénalise la torture et interdit aux tribunaux d’utiliser toute déclaration qui aurait été obtenue par « </w:t>
      </w:r>
      <w:r>
        <w:rPr>
          <w:rStyle w:val="Emphasis"/>
          <w:iCs/>
        </w:rPr>
        <w:t>la violence ou la contrainte</w:t>
      </w:r>
      <w:r>
        <w:t> ». Pourtant, dans les cinq procès étudiés par Human Rights Watch, les tribunaux n’ont pas examiné consciencieusement les allégations d’abus policiers émises par les accusés avant d’accepter leurs aveux comme preuve à charge principale. Les tribunaux ont condamné 76 des 77 accusés, dont 38 sont toujours en prison.    </w:t>
      </w:r>
    </w:p>
    <w:p w:rsidR="000F2BDD" w:rsidRDefault="000F2BDD" w:rsidP="006B3B03">
      <w:pPr>
        <w:pStyle w:val="NormalWeb"/>
        <w:jc w:val="both"/>
      </w:pPr>
      <w:r>
        <w:t xml:space="preserve">Human Rights Watch a observé le déroulement des procès, étudié des documents officiels des tribunaux, s’est entretenue avec des avocats de la défense et a inclus dans le rapport </w:t>
      </w:r>
      <w:r w:rsidR="009A4486">
        <w:t xml:space="preserve">une </w:t>
      </w:r>
      <w:r>
        <w:t>quantité d’informations reçues de la part des autorités marocaines.</w:t>
      </w:r>
    </w:p>
    <w:p w:rsidR="000F2BDD" w:rsidRDefault="000F2BDD" w:rsidP="006B3B03">
      <w:pPr>
        <w:pStyle w:val="NormalWeb"/>
        <w:jc w:val="both"/>
      </w:pPr>
      <w:r>
        <w:t>Plusieurs accusés ont décrit à Human Rights Watch comment ils avaient été frappés, bourrés de coups de pieds, giflés et menacés par la police pendant leur interrogatoire, et comment ils avaient été forcés à signer des déclarations qu’on ne leur laissait pas lire et qu’ils ont plus tard récusées au tribunal. D’autres, qui avaient pu lire et signer leurs déclarations, ont déclaré que les autorités les avaient trafiquées par la suite pour les impliquer dans des crimes.</w:t>
      </w:r>
    </w:p>
    <w:p w:rsidR="000F2BDD" w:rsidRDefault="000F2BDD" w:rsidP="006B3B03">
      <w:pPr>
        <w:pStyle w:val="NormalWeb"/>
        <w:jc w:val="both"/>
      </w:pPr>
      <w:r>
        <w:t>La loi marocaine donne le droit de contacter un avocat lors de la garde à vue. Mais dans la grande majorité des cas étudiés par Human Rights Watch, les accusés n’ont pas eu accès à un avocat, que ce soit avant ou pendant leur interrogatoire, ou bien lorsque la police leur a présenté leur déclaration à signer.</w:t>
      </w:r>
    </w:p>
    <w:p w:rsidR="000F2BDD" w:rsidRDefault="000F2BDD" w:rsidP="006B3B03">
      <w:pPr>
        <w:pStyle w:val="NormalWeb"/>
        <w:jc w:val="both"/>
      </w:pPr>
      <w:r>
        <w:t>Lorsque les accusés ont plus tard parlé des violences physiques au juge d’instruction ou au juge siégeant au tribunal, les magistrats n’ont pas ouvert d’enquête et parfois même ont rejeté ces allégations en disant qu’ils ne voyaient aucune trace sur le corps de l’accusé ou qu’il aurait dû émettre ces allégations avant. Dans une affaire où le procureur a tout de même ordonné un examen médical des accusés, toutes les preuves indiquent que cet examen a été superficiel et bien en-deçà de ce qu’exigent les normes internationales.</w:t>
      </w:r>
    </w:p>
    <w:p w:rsidR="000F2BDD" w:rsidRDefault="000F2BDD" w:rsidP="006B3B03">
      <w:pPr>
        <w:pStyle w:val="NormalWeb"/>
        <w:jc w:val="both"/>
      </w:pPr>
      <w:r>
        <w:t>Les juges marocains devraient éplucher les procès-verbaux de police de façon plus déterminée lorsque les accusés les récusent, et convoquer tous les témoins pertinents à cet égard, notamment, si cela s’avère utile, les agents de police qui ont préparé les déclarations qui incriminent les accusés. Un examen plus approfondi des procès-verbaux seraient aussi, pour les policiers, le signal qu’ils doivent recueillir des preuves par des moyens légaux et non par la torture, a déclaré Human Rights Watch.</w:t>
      </w:r>
    </w:p>
    <w:p w:rsidR="000F2BDD" w:rsidRDefault="000F2BDD" w:rsidP="006B3B03">
      <w:pPr>
        <w:pStyle w:val="NormalWeb"/>
        <w:jc w:val="both"/>
      </w:pPr>
      <w:r>
        <w:t xml:space="preserve">En août 2009, le roi Mohammed VI a annoncé un effort d’envergure visant à refondre la justice. La </w:t>
      </w:r>
      <w:r w:rsidR="00C67BC8">
        <w:t>C</w:t>
      </w:r>
      <w:r>
        <w:t>onstitution de 2011 comprend un certain nombre d’articles conçus de façon à renforcer l’indépendance judiciaire et les droits des accusés, ainsi qu’à interdire la torture et la détention arbitraire. Depuis 2012, une Haute instance du dialogue national sur la réforme de la justice a été chargée par le roi de rédiger une charte de réforme de la justice, dont la publication est prévue pour les semaines à venir.</w:t>
      </w:r>
    </w:p>
    <w:p w:rsidR="000F2BDD" w:rsidRDefault="000F2BDD" w:rsidP="006B3B03">
      <w:pPr>
        <w:pStyle w:val="NormalWeb"/>
        <w:jc w:val="both"/>
      </w:pPr>
      <w:r>
        <w:t>« </w:t>
      </w:r>
      <w:r>
        <w:rPr>
          <w:rStyle w:val="Emphasis"/>
          <w:iCs/>
        </w:rPr>
        <w:t>Il n’est pas toujours facile de déterminer la vérité lorsqu’un accusé clame que la police l’a forcé à signer de faux aveux</w:t>
      </w:r>
      <w:r>
        <w:t> », a déclaré Sarah Leah Whitson. « </w:t>
      </w:r>
      <w:r>
        <w:rPr>
          <w:rStyle w:val="Emphasis"/>
          <w:iCs/>
        </w:rPr>
        <w:t>Mais c’est seulement lorsque les juges auront la volonté, les compétences et le courage de le faire – et d’écarter les aveux douteux – que nous pourrons dire que la réforme de la justice est vraiment en cours.</w:t>
      </w:r>
      <w:r>
        <w:t> »   </w:t>
      </w:r>
    </w:p>
    <w:p w:rsidR="000F2BDD" w:rsidRDefault="000F2BDD" w:rsidP="006B3B03">
      <w:pPr>
        <w:pStyle w:val="NormalWeb"/>
        <w:jc w:val="both"/>
      </w:pPr>
      <w:r>
        <w:t>Human Rights Watch a étudié les condamnations prononcées en février 2013 contre 25 Sahraouis pour agression contre les forces de sécurité qui démantelaient un campement de protestation à Gdeim Izik, au Sahara; contre 6 membres du mouvement social protestataire du 20-Février, en septembre 2012, en lien avec une manifestation à Casablanca; contre 2 syndicalistes et 8 jeunes gens en juin 2011, en lien avec une manifestation à Bouarfa; contre un boxeur trop audacieux en septembre 2010, sur la base d’accusations de fraude suspectes; et contre 35 hommes en juillet 2009, accusés de faire partie d’un complot terroriste connu sous le nom d’« affaire Belliraj ».      </w:t>
      </w:r>
    </w:p>
    <w:p w:rsidR="000F2BDD" w:rsidRDefault="000F2BDD" w:rsidP="006B3B03">
      <w:pPr>
        <w:pStyle w:val="NormalWeb"/>
        <w:jc w:val="both"/>
      </w:pPr>
      <w:r>
        <w:t>Le boxeur, Zakaria Moumni, a décrit comment les policiers lui avaient présenté ses déclarations après l’avoir passé à tabac pendant ses trois jours de détention au secret :</w:t>
      </w:r>
    </w:p>
    <w:p w:rsidR="000F2BDD" w:rsidRDefault="000F2BDD" w:rsidP="006B3B03">
      <w:pPr>
        <w:pStyle w:val="NormalWeb"/>
        <w:jc w:val="both"/>
      </w:pPr>
      <w:r>
        <w:t>Ils ont mis les papiers en face de moi, mais ils cachaient le haut de la page. J’ai dit que je voulais lire ce que j’étais en train de signer. Ils ont répondu : « </w:t>
      </w:r>
      <w:r>
        <w:rPr>
          <w:rStyle w:val="Emphasis"/>
          <w:iCs/>
        </w:rPr>
        <w:t>Tu signes ici, c’est tout, tu récupéreras tes affaires et tu pourras t’en aller. </w:t>
      </w:r>
      <w:r>
        <w:t>» Quand j’ai insisté pour lire, ils m’ont remis le bandeau sur les yeux, m’ont écrasé les pieds et m’ont menacé de me renvoyer là où j’étais avant… A ce moment-là j’ai signé beaucoup de choses sans même savoir ce que c’était.</w:t>
      </w:r>
    </w:p>
    <w:p w:rsidR="000F2BDD" w:rsidRDefault="000F2BDD" w:rsidP="006B3B03">
      <w:pPr>
        <w:pStyle w:val="NormalWeb"/>
        <w:jc w:val="both"/>
      </w:pPr>
      <w:r>
        <w:t>Les policiers ont alors amené Moumni au tribunal, où il a été jugé le même jour pour des accusations de fraude très contestables. Moumni a déclaré plus tard à Human Rights Watch qu’il avait montré au juge des bleus et des coupures sur ses tibias en lui expliquant que ses interrogateurs l’avaient frappé avec des tiges de fer. Le juge n’a pas réagi, d’après Moumni. Condamné à trois ans de prison, ce n’est que plus tard que Moumni a découvert que les documents qu’il avait signés comprenaient des aveux complets et une renonciation à son droit d’être représenté par un avocat pendant le procès.</w:t>
      </w:r>
    </w:p>
    <w:p w:rsidR="000F2BDD" w:rsidRDefault="000F2BDD" w:rsidP="004D1978">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8"/>
      </w:tblGrid>
      <w:tr w:rsidR="000F2BDD" w:rsidTr="00B33DAD">
        <w:tc>
          <w:tcPr>
            <w:tcW w:w="8638" w:type="dxa"/>
          </w:tcPr>
          <w:p w:rsidR="000F2BDD" w:rsidRDefault="000F2BDD" w:rsidP="00B33DAD">
            <w:pPr>
              <w:jc w:val="both"/>
              <w:rPr>
                <w:sz w:val="20"/>
                <w:szCs w:val="20"/>
              </w:rPr>
            </w:pPr>
          </w:p>
          <w:p w:rsidR="000F2BDD" w:rsidRDefault="000F2BDD" w:rsidP="00B33DAD">
            <w:pPr>
              <w:jc w:val="center"/>
            </w:pPr>
            <w:r>
              <w:t>ARTICLE 19</w:t>
            </w:r>
          </w:p>
          <w:p w:rsidR="000F2BDD" w:rsidRDefault="000F2BDD" w:rsidP="00B33DAD">
            <w:pPr>
              <w:pStyle w:val="BodyText"/>
              <w:autoSpaceDE w:val="0"/>
              <w:autoSpaceDN w:val="0"/>
              <w:adjustRightInd w:val="0"/>
              <w:rPr>
                <w:b/>
                <w:bCs/>
                <w:sz w:val="20"/>
                <w:szCs w:val="24"/>
              </w:rPr>
            </w:pPr>
          </w:p>
        </w:tc>
      </w:tr>
    </w:tbl>
    <w:p w:rsidR="000F2BDD" w:rsidRDefault="000F2BDD" w:rsidP="004D1978">
      <w:pPr>
        <w:pStyle w:val="BodyText"/>
        <w:autoSpaceDE w:val="0"/>
        <w:autoSpaceDN w:val="0"/>
        <w:adjustRightInd w:val="0"/>
        <w:rPr>
          <w:b/>
          <w:bCs/>
          <w:szCs w:val="24"/>
        </w:rPr>
      </w:pPr>
    </w:p>
    <w:p w:rsidR="000F2BDD" w:rsidRDefault="000F2BDD" w:rsidP="004D1978">
      <w:pPr>
        <w:pStyle w:val="BodyText"/>
        <w:autoSpaceDE w:val="0"/>
        <w:autoSpaceDN w:val="0"/>
        <w:adjustRightInd w:val="0"/>
        <w:rPr>
          <w:b/>
          <w:bCs/>
          <w:szCs w:val="24"/>
        </w:rPr>
      </w:pPr>
      <w:r>
        <w:rPr>
          <w:b/>
          <w:bCs/>
          <w:szCs w:val="24"/>
        </w:rPr>
        <w:t xml:space="preserve">ALI ANOUZLA ET </w:t>
      </w:r>
      <w:r w:rsidR="009A4486">
        <w:rPr>
          <w:b/>
          <w:bCs/>
          <w:szCs w:val="24"/>
        </w:rPr>
        <w:t>LE</w:t>
      </w:r>
      <w:r>
        <w:rPr>
          <w:b/>
          <w:bCs/>
          <w:szCs w:val="24"/>
        </w:rPr>
        <w:t xml:space="preserve"> SITE WEB LAKOME </w:t>
      </w:r>
    </w:p>
    <w:p w:rsidR="000F2BDD" w:rsidRDefault="000F2BDD" w:rsidP="004D1978">
      <w:pPr>
        <w:pStyle w:val="NormalWeb"/>
        <w:spacing w:before="0" w:beforeAutospacing="0" w:after="0" w:afterAutospacing="0"/>
        <w:jc w:val="both"/>
      </w:pPr>
    </w:p>
    <w:p w:rsidR="000F2BDD" w:rsidRDefault="000F2BDD" w:rsidP="004D1978">
      <w:pPr>
        <w:pStyle w:val="NormalWeb"/>
        <w:spacing w:before="0" w:beforeAutospacing="0" w:after="0" w:afterAutospacing="0"/>
        <w:jc w:val="both"/>
      </w:pPr>
      <w:r>
        <w:t xml:space="preserve">Anouzla, journaliste et rédacteur de l'édition arabe du site d'information Lakome, a été arrêté le 17 septembre 2013 suite à un article publié le 13 septembre dans l'édition arabe de Lakome, qui incluait le lien d'une vidéo postée sur le site web du quotidien espagnol </w:t>
      </w:r>
      <w:r>
        <w:rPr>
          <w:i/>
        </w:rPr>
        <w:t>El Pais</w:t>
      </w:r>
      <w:r>
        <w:t>. Cette vidéo, tirée de YouTube, critiquait vivement le Roi du Maroc Mohammed VI tout en l'accusant de despotisme et de corruption, et appelait la jeunesse marocaine à s'engager dans le « Jihad ». Depuis, YouTube a retiré cette vidéo. Anouzla a été libéré sous caution.</w:t>
      </w:r>
    </w:p>
    <w:p w:rsidR="000F2BDD" w:rsidRDefault="000F2BDD" w:rsidP="004D1978">
      <w:pPr>
        <w:pStyle w:val="NormalWeb"/>
        <w:spacing w:before="0" w:beforeAutospacing="0" w:after="0" w:afterAutospacing="0"/>
        <w:jc w:val="both"/>
      </w:pPr>
    </w:p>
    <w:p w:rsidR="000F2BDD" w:rsidRDefault="000F2BDD" w:rsidP="004D1978">
      <w:pPr>
        <w:pStyle w:val="NormalWeb"/>
        <w:spacing w:before="0" w:beforeAutospacing="0" w:after="0" w:afterAutospacing="0"/>
        <w:jc w:val="both"/>
      </w:pPr>
      <w:r>
        <w:t>Bien que l'article de Lakome portait un regard critique sur cette vidéo, le 24 septembre 2013, le juge d'instruction de la Cour d'appel de Rabat a inculpé Ali Anouzla pour avoir «glorifié le terrorisme», en vertu de l'article 218-2 du Code pénal marocain, et pour «assistance matérielle», en vertu de l'article 218-6.</w:t>
      </w:r>
    </w:p>
    <w:p w:rsidR="000F2BDD" w:rsidRDefault="000F2BDD" w:rsidP="004D1978">
      <w:pPr>
        <w:pStyle w:val="NormalWeb"/>
        <w:spacing w:before="0" w:beforeAutospacing="0" w:after="0" w:afterAutospacing="0"/>
        <w:jc w:val="both"/>
      </w:pPr>
    </w:p>
    <w:p w:rsidR="000F2BDD" w:rsidRDefault="000F2BDD" w:rsidP="004D1978">
      <w:pPr>
        <w:pStyle w:val="NormalWeb"/>
        <w:spacing w:before="0" w:beforeAutospacing="0" w:after="0" w:afterAutospacing="0"/>
        <w:jc w:val="both"/>
      </w:pPr>
      <w:r>
        <w:t xml:space="preserve">Les dispositions du Code pénal sont vagues et peuvent être appliquées de façon arbitraire. L'état de droit stipule que les règles, en particulier celles qui définissent les crimes, soient formulées avec suffisamment de précision pour permettre au peuple d'adapter leur conduite en fonction. En outre, le crime en question concerne la liberté d'expression. </w:t>
      </w:r>
    </w:p>
    <w:p w:rsidR="000F2BDD" w:rsidRDefault="000F2BDD" w:rsidP="004D1978">
      <w:pPr>
        <w:pStyle w:val="NormalWeb"/>
        <w:spacing w:before="0" w:beforeAutospacing="0" w:after="0" w:afterAutospacing="0"/>
        <w:jc w:val="both"/>
      </w:pPr>
    </w:p>
    <w:p w:rsidR="000F2BDD" w:rsidRDefault="000F2BDD" w:rsidP="004D1978">
      <w:pPr>
        <w:pStyle w:val="NormalWeb"/>
        <w:spacing w:before="0" w:beforeAutospacing="0" w:after="0" w:afterAutospacing="0"/>
        <w:jc w:val="both"/>
      </w:pPr>
      <w:r>
        <w:t>Par ailleurs, l'article ne mettait pas la sécurité nationale en danger. Les Principes de Johannesburg sur la sécurité nationale, la liberté d'expression et l'accès à l'information, fréquemment cités par les organes des droits de l'Homme de l'ONU et les tribunaux nationaux, stipulent qu'une expression peut être criminalisée et considérée comme une menace à la sécurité nationale à trois conditions: 1. l'expression incite à la violence imminente; 2. il y a de fortes probabilités pour qu'elle incite à la violence; 3. il y a un lien direct et immédiat entre l'expression et la probabilité ou la concrétisation d'actes de violence. Les notions vagues, telles que contribuer à communiquer sur le terrorisme ou l'extrémisme, la « glorification » ou la « promotion » du terrorisme ou de l'extrémisme, et le simple fait de rapporter une déclaration faite par des terroristes, ne constituent pas en soi une incitation et ne doivent pas être pénalisés. Dans cette affaire, les faits n'étayent pas l'accusation de crime terroriste. Ali Anouzla n'avait pas pour but d'inciter à la violence immédiate. Et ses déclarations n'incitaient pas non plus à la violence.</w:t>
      </w:r>
    </w:p>
    <w:p w:rsidR="000F2BDD" w:rsidRDefault="000F2BDD" w:rsidP="004D1978">
      <w:pPr>
        <w:pStyle w:val="NormalWeb"/>
        <w:spacing w:before="0" w:beforeAutospacing="0" w:after="0" w:afterAutospacing="0"/>
        <w:jc w:val="both"/>
      </w:pPr>
      <w:r>
        <w:t>Enfin, le journaliste faisait un article sur cette vidéo qui abordait des problèmes d'intérêt public. Le droit international reconnait que les médias doivent pouvoir couvrir des questions d'intérêt général, même lorsque les questions qu'ils couvrent sont liées à des menaces contre la sécurité nationale. Les Principes de Johannesburg susmentionnés indiquent que « l'expression ne peut-être empêchée ou punie simplement car elle transmet des informations diffusées par ou au sujet d'une organisation qu'un gouvernement considère comme une menace pour la sécurité nationale ou pour ses intérêts ». Ali Anouzla parlait de la vidéo. Il n'adhérait pas à la déclaration qu'elle contenait. Au contraire, il avait un avis critique.</w:t>
      </w:r>
    </w:p>
    <w:p w:rsidR="000F2BDD" w:rsidRDefault="000F2BDD" w:rsidP="004D1978">
      <w:pPr>
        <w:pStyle w:val="NormalWeb"/>
        <w:spacing w:before="0" w:beforeAutospacing="0" w:after="0" w:afterAutospacing="0"/>
        <w:jc w:val="both"/>
      </w:pPr>
    </w:p>
    <w:p w:rsidR="000F2BDD" w:rsidRDefault="000F2BDD" w:rsidP="004D1978">
      <w:pPr>
        <w:jc w:val="both"/>
      </w:pPr>
      <w:r>
        <w:t>Les organisations soussignées déclarent que l'inculpation d'Ali Anouzla n'est soutenue par aucune preuve et qu'elle est infondée en vertu du droit international. Elle s'apparente à une violation du droit du journaliste à la libre expression et de son droit à informer le public. Par conséquent, elles appellent à ce que toutes les charges contre Anouzla soient abandonnées, à la fin de l'acharnement judiciaire et à la levée de l'interdiction des versions en arabe et en français de Lakome, bloquées au Maroc depuis le 17 octobre.</w:t>
      </w:r>
    </w:p>
    <w:p w:rsidR="000F2BDD" w:rsidRDefault="000F2BDD" w:rsidP="004D1978">
      <w:pPr>
        <w:jc w:val="both"/>
      </w:pPr>
    </w:p>
    <w:p w:rsidR="000F2BDD" w:rsidRDefault="000F2BDD" w:rsidP="004D1978">
      <w:pPr>
        <w:pStyle w:val="BodyText"/>
        <w:autoSpaceDE w:val="0"/>
        <w:autoSpaceDN w:val="0"/>
        <w:adjustRightInd w:val="0"/>
        <w:rPr>
          <w:b/>
          <w:bCs/>
          <w:color w:val="000000"/>
          <w:szCs w:val="24"/>
        </w:rPr>
      </w:pPr>
      <w:r>
        <w:rPr>
          <w:b/>
          <w:bCs/>
          <w:szCs w:val="24"/>
        </w:rPr>
        <w:t>Harcèlement judiciaire contre la liberté d'expression au Maroc</w:t>
      </w:r>
    </w:p>
    <w:p w:rsidR="000F2BDD" w:rsidRDefault="000F2BDD" w:rsidP="004D1978">
      <w:pPr>
        <w:pStyle w:val="NormalWeb"/>
        <w:spacing w:before="0" w:beforeAutospacing="0" w:after="0" w:afterAutospacing="0"/>
        <w:jc w:val="both"/>
      </w:pPr>
    </w:p>
    <w:p w:rsidR="000F2BDD" w:rsidRDefault="000F2BDD" w:rsidP="004D1978">
      <w:pPr>
        <w:pStyle w:val="NormalWeb"/>
        <w:spacing w:before="0" w:beforeAutospacing="0" w:after="0" w:afterAutospacing="0"/>
        <w:jc w:val="both"/>
      </w:pPr>
      <w:r>
        <w:t xml:space="preserve">Poursuite du harcèlement judiciaire de M. </w:t>
      </w:r>
      <w:r>
        <w:rPr>
          <w:b/>
          <w:bCs/>
        </w:rPr>
        <w:t>Maâti Monjib</w:t>
      </w:r>
      <w:r>
        <w:t xml:space="preserve">, historien, journaliste et président de l'Association « Freedom Now » pour la liberté d'expression au Maroc, et ancien président du Centre Ibn Rochd d'études et de communication, de M. </w:t>
      </w:r>
      <w:r>
        <w:rPr>
          <w:b/>
          <w:bCs/>
        </w:rPr>
        <w:t>Hisham Almiraat</w:t>
      </w:r>
      <w:r>
        <w:t xml:space="preserve">, président de l'Association des droits numériques (ADN), de M. </w:t>
      </w:r>
      <w:r>
        <w:rPr>
          <w:b/>
          <w:bCs/>
        </w:rPr>
        <w:t>Hicham Mansouri</w:t>
      </w:r>
      <w:r>
        <w:t xml:space="preserve">, chargé de projet à l’Association marocaine pour le journalisme d’investigation (AMJI), de M. </w:t>
      </w:r>
      <w:r>
        <w:rPr>
          <w:b/>
          <w:bCs/>
        </w:rPr>
        <w:t>Mohamed Sber</w:t>
      </w:r>
      <w:r>
        <w:t xml:space="preserve">, président de l’Association marocaine d’éducation de la jeunesse (AMEJ), ainsi que de M. </w:t>
      </w:r>
      <w:r>
        <w:rPr>
          <w:b/>
          <w:bCs/>
        </w:rPr>
        <w:t>Abdessamad Ait Aicha</w:t>
      </w:r>
      <w:r>
        <w:t xml:space="preserve">, ancien coordinateur du projet de formation du Centre Ibn Rochd, journaliste et membre de l'AMJI, de M. </w:t>
      </w:r>
      <w:r>
        <w:rPr>
          <w:b/>
          <w:bCs/>
        </w:rPr>
        <w:t>Rachid Tarek</w:t>
      </w:r>
      <w:r>
        <w:t xml:space="preserve"> et de Mme </w:t>
      </w:r>
      <w:r>
        <w:rPr>
          <w:b/>
          <w:bCs/>
        </w:rPr>
        <w:t>Maria Moukrim</w:t>
      </w:r>
      <w:r>
        <w:t>, respectivement président et ancienne présidente de l'AMJI. Les sept défenseurs sont connus pour leurs critiques du régime marocain.</w:t>
      </w:r>
    </w:p>
    <w:p w:rsidR="000F2BDD" w:rsidRDefault="000F2BDD" w:rsidP="004D1978">
      <w:pPr>
        <w:pStyle w:val="NormalWeb"/>
        <w:spacing w:before="0" w:beforeAutospacing="0" w:after="0" w:afterAutospacing="0"/>
        <w:jc w:val="both"/>
      </w:pPr>
    </w:p>
    <w:p w:rsidR="000F2BDD" w:rsidRDefault="000F2BDD" w:rsidP="004D1978">
      <w:pPr>
        <w:pStyle w:val="NormalWeb"/>
        <w:spacing w:before="0" w:beforeAutospacing="0" w:after="0" w:afterAutospacing="0"/>
        <w:jc w:val="both"/>
      </w:pPr>
      <w:r>
        <w:t>MM. Maâti Monjib, Hicham Mansouri, Hisham Almiraat, Mohamed Sber et Abdessamad Ait Aicha devront comparaître devant la Cour de première instance de Rabat. Ils sont accusés d'« atteinte à la sécurité de l’État » pour leurs activités de défense des droits humains menées au sein du Centre Ibn Rochd d'études et de communication, de l'ADN, de l'AMJI et de l'AMEJ et risquent cinq ans d'emprisonnement, sur la base de l'article 206 du Code pénal marocain.</w:t>
      </w:r>
    </w:p>
    <w:p w:rsidR="000F2BDD" w:rsidRDefault="000F2BDD" w:rsidP="004D1978">
      <w:pPr>
        <w:pStyle w:val="NormalWeb"/>
        <w:spacing w:before="0" w:beforeAutospacing="0" w:after="0" w:afterAutospacing="0"/>
        <w:jc w:val="both"/>
      </w:pPr>
    </w:p>
    <w:p w:rsidR="000F2BDD" w:rsidRDefault="000F2BDD" w:rsidP="004D1978">
      <w:pPr>
        <w:pStyle w:val="NormalWeb"/>
        <w:spacing w:before="0" w:beforeAutospacing="0" w:after="0" w:afterAutospacing="0"/>
        <w:jc w:val="both"/>
      </w:pPr>
      <w:r>
        <w:t>En décembre 2014, le Centre Ibn Rochd d'études et de communication a été fermé, suite à la décision des autorités de suspendre ses activités.</w:t>
      </w:r>
    </w:p>
    <w:p w:rsidR="000F2BDD" w:rsidRDefault="000F2BDD" w:rsidP="004D1978">
      <w:pPr>
        <w:pStyle w:val="NormalWeb"/>
        <w:spacing w:before="0" w:beforeAutospacing="0" w:after="0" w:afterAutospacing="0"/>
        <w:jc w:val="both"/>
      </w:pPr>
    </w:p>
    <w:p w:rsidR="000F2BDD" w:rsidRDefault="000F2BDD" w:rsidP="004D1978">
      <w:pPr>
        <w:pStyle w:val="NormalWeb"/>
        <w:spacing w:before="0" w:beforeAutospacing="0" w:after="0" w:afterAutospacing="0"/>
        <w:jc w:val="both"/>
      </w:pPr>
      <w:r>
        <w:t xml:space="preserve">Le 24 septembre 2014, M. Hicham Mansouri a été attaqué par deux hommes inconnus dans la rue. Cette agression est intervenue quelques minutes après une réunion de ce dernier avec son collègue défenseur M. Maâti Monjib. </w:t>
      </w:r>
    </w:p>
    <w:p w:rsidR="000F2BDD" w:rsidRDefault="000F2BDD" w:rsidP="004D1978">
      <w:pPr>
        <w:pStyle w:val="NormalWeb"/>
        <w:spacing w:before="0" w:beforeAutospacing="0" w:after="0" w:afterAutospacing="0"/>
        <w:jc w:val="both"/>
      </w:pPr>
    </w:p>
    <w:p w:rsidR="000F2BDD" w:rsidRDefault="000F2BDD" w:rsidP="004D1978">
      <w:pPr>
        <w:pStyle w:val="NormalWeb"/>
        <w:spacing w:before="0" w:beforeAutospacing="0" w:after="0" w:afterAutospacing="0"/>
        <w:jc w:val="both"/>
      </w:pPr>
      <w:r>
        <w:t>Le 17 mars 2015, vers 10h30, au moins dix policiers en tenues civiles ont forcé la porte d’entrée de la résidence de M. Hicham Mansouridans le quartier d’Adgal à Rabat. Aucun mandat d’arrêt n’a été présenté au moment de l’arrestation. M. Mansouri a été passé à tabac, déshabillé puis arrêté avant d’être placé en détention dans un poste de police de la ville. Lors de son interrogatoire, M. Mansouri a été interrogé sur ses relations avec M. Maâti Monjib. Le 30 mars 2015, le Tribunal de première instance de Rabat a condamné M. Mansouri à dix mois de prison fermes et 40 000 dirhams d’amende (env. 3 700 euros) pour complicité d’adultère aux termes des articles 490 et 491 du Code pénal marocain. Les avocats de M. Mansouri ont interjeté appel de la décision, estimant que les éléments constitutifs de l’infraction n’étaient pas réunis en l’espèce. Le 27 mai 2015, la chambre d'appel du Tribunal de première instance de Rabat a cependant confirmé cette condamnation. De nombreuses irrégularités ont été constatées tout au long du procès, en ce que les témoins appelés à comparaître par la défense n’auraient pas été entendus par la cour et les éléments de preuve fournis par le ministère public auraient été insuffisants pour établir l’infraction.</w:t>
      </w:r>
    </w:p>
    <w:p w:rsidR="000F2BDD" w:rsidRDefault="000F2BDD" w:rsidP="004D1978">
      <w:pPr>
        <w:pStyle w:val="NormalWeb"/>
        <w:spacing w:before="0" w:beforeAutospacing="0" w:after="0" w:afterAutospacing="0"/>
        <w:jc w:val="both"/>
      </w:pPr>
    </w:p>
    <w:p w:rsidR="000F2BDD" w:rsidRDefault="000F2BDD" w:rsidP="004D1978">
      <w:pPr>
        <w:pStyle w:val="NormalWeb"/>
        <w:spacing w:before="0" w:beforeAutospacing="0" w:after="0" w:afterAutospacing="0"/>
        <w:jc w:val="both"/>
      </w:pPr>
      <w:r>
        <w:t>Le 13 août 2015, M. Abdessamad Ayach a été interrogé par la Brigade Nationale de la police judiciaire de Casablanca sur ses relations avec M. Maâti Monjib.</w:t>
      </w:r>
    </w:p>
    <w:p w:rsidR="000F2BDD" w:rsidRDefault="000F2BDD" w:rsidP="004D1978">
      <w:pPr>
        <w:pStyle w:val="NormalWeb"/>
        <w:spacing w:before="0" w:beforeAutospacing="0" w:after="0" w:afterAutospacing="0"/>
        <w:jc w:val="both"/>
      </w:pPr>
    </w:p>
    <w:p w:rsidR="000F2BDD" w:rsidRDefault="000F2BDD" w:rsidP="004D1978">
      <w:pPr>
        <w:pStyle w:val="NormalWeb"/>
        <w:spacing w:before="0" w:beforeAutospacing="0" w:after="0" w:afterAutospacing="0"/>
        <w:jc w:val="both"/>
      </w:pPr>
      <w:r>
        <w:t xml:space="preserve">Par ailleurs, le 8 septembre 2015, M. Hisham Almiraatet, Mme </w:t>
      </w:r>
      <w:r>
        <w:rPr>
          <w:b/>
          <w:bCs/>
        </w:rPr>
        <w:t>Karima Nadir</w:t>
      </w:r>
      <w:r>
        <w:t>, vice-présidente de l’ADN</w:t>
      </w:r>
      <w:r>
        <w:rPr>
          <w:b/>
          <w:bCs/>
        </w:rPr>
        <w:t>,</w:t>
      </w:r>
      <w:r>
        <w:t xml:space="preserve"> ont été convoqués au siège de la Brigade nationale de la police judiciaire (BNPJ) à Casablanca, où ils ont subi un interrogatoire à propos des activités de l’ADN et de leur relation avec Privacy International (PI), une ONG britannique et partenaire de l’ADN. Cet interrogatoire faisait suite à une plainte déposée par le ministère de l’Intérieur contre un rapport de PI publié le 1er avril 2015, intitulé « Les yeux du pouvoir », portant sur la surveillance électronique au Maroc. Lors de cet interrogatoire, M. Almiraat a été accusé de « dénonciation calomnieuse », « dénigrement des efforts de l’Etat » et « outrage à corps constitué ». </w:t>
      </w:r>
    </w:p>
    <w:p w:rsidR="000F2BDD" w:rsidRDefault="000F2BDD" w:rsidP="004D1978">
      <w:pPr>
        <w:pStyle w:val="NormalWeb"/>
        <w:spacing w:before="0" w:beforeAutospacing="0" w:after="0" w:afterAutospacing="0"/>
        <w:jc w:val="both"/>
      </w:pPr>
    </w:p>
    <w:p w:rsidR="000F2BDD" w:rsidRDefault="000F2BDD" w:rsidP="004D1978">
      <w:pPr>
        <w:pStyle w:val="NormalWeb"/>
        <w:spacing w:before="0" w:beforeAutospacing="0" w:after="0" w:afterAutospacing="0"/>
        <w:jc w:val="both"/>
      </w:pPr>
      <w:r>
        <w:t>Le 19 octobre au matin, M. Maâti Monjib a été interrogé par la BNPJ dans le cadre d’une enquête préliminaire sur les activités du Centre Ibn Rochd d’études et de communication – dont il était président avant sa fermeture en décembre 2014. Le 7 octobre au matin, ce dernier avait été empêché d’embarquer à bord d’un avion à l’aéroport de Rabat-Salé, alors qu’il devait se rendre à Oslo pour un colloque universitaire. La police des frontières lui avait signifié qu’il était interdit de quitter le territoire depuis le 10 août 2015, sans plus d’explications. Le 29 octobre 2015, son interdiction de quitter le territoire aurait finalement été levée. Précédemment, le 16 septembre 2015, M. Monjib avait été arrêté à l’aéroport Mohamed V de Casablanca alors qu’il devait se rendre à Barcelone pour une conférence sur le thème des médias et de la transition politique, et interdit de sortie du territoire en vertu d’une interdiction de voyager émise par le parquet. L'avant-veille, M. Monjib avait subi un interrogatoire de trois heures au siège de la BNPJ à propos de formations portant sur l’utilisation de l’application « Story Maker » dispensées par le Centre Ibn Rochd – en partenariat avec l’ONG néerlandaise « Free Press Unlimited ». Cet interrogatoire s’était tenu dans le cadre de l’enquête préliminaire susmentionnée. M. Monjib avait dû faire face à des questions accusatrices liées notamment à un prétendu « ébranlement de l’allégeance des citoyens à l’État et aux institutions ».</w:t>
      </w:r>
    </w:p>
    <w:p w:rsidR="000F2BDD" w:rsidRDefault="000F2BDD" w:rsidP="004D1978">
      <w:pPr>
        <w:pStyle w:val="NormalWeb"/>
        <w:spacing w:before="0" w:beforeAutospacing="0" w:after="0" w:afterAutospacing="0"/>
        <w:jc w:val="both"/>
      </w:pPr>
    </w:p>
    <w:p w:rsidR="000F2BDD" w:rsidRDefault="000F2BDD" w:rsidP="004D1978">
      <w:pPr>
        <w:jc w:val="both"/>
      </w:pPr>
      <w:r>
        <w:t>De la même manière, au cours du mois d’août, M. Abdessamad Ait Aicha a également été interdit de sortie de territoire sans justification officielle, alors qu’il s’apprêtait à embarquer à l’aéroport Mohamed V à destination de la Tunisie. Quelques jours auparavant, il avait subi un interrogatoire similaire dans le cadre de la même enquête préliminaire.</w:t>
      </w:r>
    </w:p>
    <w:p w:rsidR="000F2BDD" w:rsidRDefault="000F2BDD" w:rsidP="004D1978">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8"/>
      </w:tblGrid>
      <w:tr w:rsidR="000F2BDD" w:rsidTr="00B33DAD">
        <w:tc>
          <w:tcPr>
            <w:tcW w:w="8638" w:type="dxa"/>
          </w:tcPr>
          <w:p w:rsidR="000F2BDD" w:rsidRDefault="000F2BDD" w:rsidP="00B33DAD">
            <w:pPr>
              <w:jc w:val="center"/>
            </w:pPr>
          </w:p>
          <w:p w:rsidR="000F2BDD" w:rsidRDefault="000F2BDD" w:rsidP="00B33DAD">
            <w:pPr>
              <w:jc w:val="center"/>
            </w:pPr>
            <w:r>
              <w:t>ARTICLE 22</w:t>
            </w:r>
          </w:p>
          <w:p w:rsidR="000F2BDD" w:rsidRDefault="000F2BDD" w:rsidP="00B33DAD">
            <w:pPr>
              <w:jc w:val="both"/>
              <w:rPr>
                <w:sz w:val="20"/>
                <w:szCs w:val="20"/>
              </w:rPr>
            </w:pPr>
          </w:p>
        </w:tc>
      </w:tr>
    </w:tbl>
    <w:p w:rsidR="000F2BDD" w:rsidRDefault="000F2BDD" w:rsidP="004D1978">
      <w:pPr>
        <w:jc w:val="both"/>
      </w:pPr>
    </w:p>
    <w:p w:rsidR="000F2BDD" w:rsidRDefault="000F2BDD" w:rsidP="004D1978">
      <w:pPr>
        <w:jc w:val="both"/>
        <w:rPr>
          <w:b/>
          <w:bCs/>
        </w:rPr>
      </w:pPr>
      <w:r>
        <w:rPr>
          <w:b/>
          <w:bCs/>
        </w:rPr>
        <w:t xml:space="preserve">Interdiction de l’Association Marocaine pour le Journalisme d’Investigation (AMJI) ; interdictions d’activités de l’Association Marocaine pour les Droits </w:t>
      </w:r>
      <w:r w:rsidR="009A4486">
        <w:rPr>
          <w:b/>
          <w:bCs/>
        </w:rPr>
        <w:t>Humains</w:t>
      </w:r>
      <w:r>
        <w:rPr>
          <w:b/>
          <w:bCs/>
        </w:rPr>
        <w:t xml:space="preserve"> et d’Amnesty International</w:t>
      </w:r>
    </w:p>
    <w:p w:rsidR="000F2BDD" w:rsidRDefault="000F2BDD" w:rsidP="004D1978">
      <w:pPr>
        <w:jc w:val="both"/>
        <w:rPr>
          <w:b/>
          <w:bCs/>
        </w:rPr>
      </w:pPr>
    </w:p>
    <w:p w:rsidR="000F2BDD" w:rsidRDefault="000F2BDD" w:rsidP="004D1978">
      <w:pPr>
        <w:jc w:val="both"/>
      </w:pPr>
      <w:r>
        <w:t>Depuis sa création, l’association marocaine pour le journalisme d’investigation (AMJI), a rencontré des difficultés pour remplir sa mission. Au début, il lui a été difficile d’obtenir son récépissé légal par les autorités de Rabat et il ne lui a été possible de l’avoir en 2011 qu’après l’intervention de son conseiller juridique, l’avocat Maître Abdellaziz Nouidy. Mais après la démission de sa présidente Maria Moukrim en 2014, l’élection d’un nouveau président, Rachid TARIK et l’élargissement de son bureau national (BN), AMJI est actuellement sans récépissé légal.</w:t>
      </w:r>
    </w:p>
    <w:p w:rsidR="000F2BDD" w:rsidRDefault="000F2BDD" w:rsidP="004D1978">
      <w:pPr>
        <w:jc w:val="both"/>
      </w:pPr>
    </w:p>
    <w:p w:rsidR="000F2BDD" w:rsidRDefault="000F2BDD" w:rsidP="004D1978">
      <w:pPr>
        <w:jc w:val="both"/>
      </w:pPr>
      <w:r>
        <w:t>Pour l’année 2015, AMJI s’est vu interdite d’organiser des ateliers de formation dans le cadre de son plan d’action 2014. Ainsi les autorités ont interdit les formations qui devaient être organisées à Tanger le 27 juin 2015, à Fès le 25 juillet 2015 et à Tiznit le 1er août 2015.</w:t>
      </w:r>
    </w:p>
    <w:p w:rsidR="000F2BDD" w:rsidRDefault="000F2BDD" w:rsidP="004D1978">
      <w:pPr>
        <w:jc w:val="both"/>
      </w:pPr>
    </w:p>
    <w:p w:rsidR="000F2BDD" w:rsidRDefault="000F2BDD" w:rsidP="004D1978">
      <w:pPr>
        <w:pStyle w:val="BodyText"/>
        <w:rPr>
          <w:bCs/>
          <w:szCs w:val="24"/>
        </w:rPr>
      </w:pPr>
      <w:r>
        <w:rPr>
          <w:bCs/>
          <w:szCs w:val="24"/>
        </w:rPr>
        <w:t>Le 27 septembre 2014, le gouverneur de Rabat a envoyé les forces de l’ordre pour interdire l’AMDH d’entrer dans la salle de la bibliothèque nationale qu’elle avait réservée avec réponse écrite, pour organiser une table ronde sur les médias et les droits de l’homme. L’AMDH a saisi le tribunal administratif qui a statué en faveur de l’AMDH en considérant que la décision d’interdiction est illégale avec dédommagement à l’AMDH, la cour d’appel a confirmé la décision concernant l’illégalité de l’interdiction mais a réduit le montant des dédommagements. Malgré cette décision et d’autres décisions similaires dans d’autres villes, les autorités marocaines continuent à interdire arbitrairement les salles publiques à l’AMDH.</w:t>
      </w:r>
    </w:p>
    <w:p w:rsidR="000F2BDD" w:rsidRDefault="000F2BDD" w:rsidP="004D1978">
      <w:pPr>
        <w:pStyle w:val="BodyText"/>
        <w:rPr>
          <w:bCs/>
          <w:szCs w:val="24"/>
        </w:rPr>
      </w:pPr>
    </w:p>
    <w:p w:rsidR="000F2BDD" w:rsidRDefault="000F2BDD" w:rsidP="004D1978">
      <w:pPr>
        <w:jc w:val="both"/>
        <w:rPr>
          <w:b/>
          <w:bCs/>
          <w:color w:val="FF0000"/>
        </w:rPr>
      </w:pPr>
      <w:r>
        <w:rPr>
          <w:bCs/>
        </w:rPr>
        <w:t>Amnesty International a aussi été victime d’interdiction illégale de ses activités pour les jeunes en été 2014.</w:t>
      </w:r>
    </w:p>
    <w:p w:rsidR="000F2BDD" w:rsidRDefault="000F2BDD" w:rsidP="004D1978">
      <w:pPr>
        <w:jc w:val="both"/>
        <w:rPr>
          <w:b/>
          <w:bCs/>
          <w:color w:val="FF0000"/>
        </w:rPr>
      </w:pPr>
    </w:p>
    <w:p w:rsidR="000F2BDD" w:rsidRPr="001758ED" w:rsidRDefault="000F2BDD" w:rsidP="001758ED">
      <w:pPr>
        <w:rPr>
          <w:b/>
        </w:rPr>
      </w:pPr>
      <w:r w:rsidRPr="001758ED">
        <w:rPr>
          <w:b/>
        </w:rPr>
        <w:t>Liste des interdictions des activités de l’AMDH depuis juillet 2014au mercredi 23/11/2015</w:t>
      </w:r>
    </w:p>
    <w:p w:rsidR="000F2BDD" w:rsidRPr="001C48BE" w:rsidRDefault="000F2BDD" w:rsidP="001C48BE">
      <w:pPr>
        <w:jc w:val="center"/>
        <w:rPr>
          <w:b/>
          <w:sz w:val="16"/>
          <w:szCs w:val="16"/>
        </w:rPr>
      </w:pPr>
    </w:p>
    <w:p w:rsidR="000F2BDD" w:rsidRPr="001C48BE" w:rsidRDefault="000F2BDD" w:rsidP="001C48BE">
      <w:pPr>
        <w:jc w:val="both"/>
        <w:rPr>
          <w:b/>
          <w:color w:val="FF0000"/>
          <w:sz w:val="16"/>
          <w:szCs w:val="16"/>
        </w:rPr>
      </w:pPr>
      <w:r w:rsidRPr="001C48BE">
        <w:rPr>
          <w:b/>
          <w:color w:val="FF0000"/>
          <w:sz w:val="16"/>
          <w:szCs w:val="16"/>
        </w:rPr>
        <w:t xml:space="preserve">98 interdictions dont 09 Sit-in  </w:t>
      </w:r>
    </w:p>
    <w:tbl>
      <w:tblPr>
        <w:tblW w:w="10788" w:type="dxa"/>
        <w:tblInd w:w="-966" w:type="dxa"/>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Layout w:type="fixed"/>
        <w:tblLook w:val="00A0" w:firstRow="1" w:lastRow="0" w:firstColumn="1" w:lastColumn="0" w:noHBand="0" w:noVBand="0"/>
      </w:tblPr>
      <w:tblGrid>
        <w:gridCol w:w="534"/>
        <w:gridCol w:w="3402"/>
        <w:gridCol w:w="1636"/>
        <w:gridCol w:w="5216"/>
      </w:tblGrid>
      <w:tr w:rsidR="000F2BDD" w:rsidRPr="001C48BE" w:rsidTr="001758ED">
        <w:tc>
          <w:tcPr>
            <w:tcW w:w="534" w:type="dxa"/>
            <w:tcBorders>
              <w:top w:val="nil"/>
              <w:left w:val="nil"/>
              <w:bottom w:val="single" w:sz="24" w:space="0" w:color="F79646"/>
              <w:right w:val="nil"/>
            </w:tcBorders>
            <w:shd w:val="clear" w:color="auto" w:fill="FFFFFF"/>
          </w:tcPr>
          <w:p w:rsidR="000F2BDD" w:rsidRPr="00580C0C" w:rsidRDefault="000F2BDD" w:rsidP="00580C0C">
            <w:pPr>
              <w:jc w:val="both"/>
              <w:rPr>
                <w:b/>
                <w:bCs/>
                <w:sz w:val="16"/>
                <w:szCs w:val="16"/>
                <w:lang w:eastAsia="en-US"/>
              </w:rPr>
            </w:pPr>
            <w:r w:rsidRPr="00580C0C">
              <w:rPr>
                <w:b/>
                <w:bCs/>
                <w:sz w:val="16"/>
                <w:szCs w:val="16"/>
                <w:lang w:eastAsia="en-US"/>
              </w:rPr>
              <w:t>NO</w:t>
            </w:r>
          </w:p>
        </w:tc>
        <w:tc>
          <w:tcPr>
            <w:tcW w:w="3402" w:type="dxa"/>
            <w:tcBorders>
              <w:top w:val="nil"/>
              <w:left w:val="nil"/>
              <w:bottom w:val="single" w:sz="24" w:space="0" w:color="F79646"/>
              <w:right w:val="nil"/>
            </w:tcBorders>
            <w:shd w:val="clear" w:color="auto" w:fill="FFFFFF"/>
          </w:tcPr>
          <w:p w:rsidR="000F2BDD" w:rsidRPr="00580C0C" w:rsidRDefault="000F2BDD" w:rsidP="00580C0C">
            <w:pPr>
              <w:jc w:val="both"/>
              <w:rPr>
                <w:b/>
                <w:bCs/>
                <w:sz w:val="16"/>
                <w:szCs w:val="16"/>
                <w:lang w:eastAsia="en-US"/>
              </w:rPr>
            </w:pPr>
            <w:r w:rsidRPr="00580C0C">
              <w:rPr>
                <w:b/>
                <w:bCs/>
                <w:sz w:val="16"/>
                <w:szCs w:val="16"/>
                <w:lang w:eastAsia="en-US"/>
              </w:rPr>
              <w:t>ACTIVITES</w:t>
            </w:r>
          </w:p>
        </w:tc>
        <w:tc>
          <w:tcPr>
            <w:tcW w:w="1636" w:type="dxa"/>
            <w:tcBorders>
              <w:top w:val="nil"/>
              <w:left w:val="nil"/>
              <w:bottom w:val="single" w:sz="24" w:space="0" w:color="F79646"/>
              <w:right w:val="nil"/>
            </w:tcBorders>
            <w:shd w:val="clear" w:color="auto" w:fill="FFFFFF"/>
          </w:tcPr>
          <w:p w:rsidR="000F2BDD" w:rsidRPr="00580C0C" w:rsidRDefault="000F2BDD" w:rsidP="00580C0C">
            <w:pPr>
              <w:jc w:val="both"/>
              <w:rPr>
                <w:b/>
                <w:bCs/>
                <w:sz w:val="16"/>
                <w:szCs w:val="16"/>
                <w:lang w:eastAsia="en-US"/>
              </w:rPr>
            </w:pPr>
            <w:r w:rsidRPr="00580C0C">
              <w:rPr>
                <w:b/>
                <w:bCs/>
                <w:sz w:val="16"/>
                <w:szCs w:val="16"/>
                <w:lang w:eastAsia="en-US"/>
              </w:rPr>
              <w:t xml:space="preserve">DATE ET LIEU </w:t>
            </w:r>
          </w:p>
        </w:tc>
        <w:tc>
          <w:tcPr>
            <w:tcW w:w="5216" w:type="dxa"/>
            <w:tcBorders>
              <w:top w:val="nil"/>
              <w:left w:val="nil"/>
              <w:bottom w:val="single" w:sz="24" w:space="0" w:color="F79646"/>
              <w:right w:val="nil"/>
            </w:tcBorders>
            <w:shd w:val="clear" w:color="auto" w:fill="FFFFFF"/>
          </w:tcPr>
          <w:p w:rsidR="000F2BDD" w:rsidRPr="00580C0C" w:rsidRDefault="000F2BDD" w:rsidP="00580C0C">
            <w:pPr>
              <w:jc w:val="both"/>
              <w:rPr>
                <w:b/>
                <w:bCs/>
                <w:sz w:val="16"/>
                <w:szCs w:val="16"/>
                <w:lang w:eastAsia="en-US"/>
              </w:rPr>
            </w:pPr>
            <w:r w:rsidRPr="00580C0C">
              <w:rPr>
                <w:b/>
                <w:bCs/>
                <w:sz w:val="16"/>
                <w:szCs w:val="16"/>
                <w:lang w:eastAsia="en-US"/>
              </w:rPr>
              <w:t>FORME ET MOTIF D’INTERDICTIONS</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color w:val="FFFFFF"/>
                <w:sz w:val="16"/>
                <w:szCs w:val="16"/>
                <w:lang w:eastAsia="en-US"/>
              </w:rPr>
            </w:pPr>
            <w:r w:rsidRPr="00580C0C">
              <w:rPr>
                <w:color w:val="FFFFFF"/>
                <w:sz w:val="16"/>
                <w:szCs w:val="16"/>
                <w:lang w:eastAsia="en-US"/>
              </w:rPr>
              <w:t>1</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CONFERENCE sur la détention politique, la liberté et la démocratie</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12/7/2014</w:t>
            </w:r>
          </w:p>
          <w:p w:rsidR="000F2BDD" w:rsidRPr="00580C0C" w:rsidRDefault="000F2BDD" w:rsidP="00580C0C">
            <w:pPr>
              <w:jc w:val="both"/>
              <w:rPr>
                <w:color w:val="000000"/>
                <w:sz w:val="16"/>
                <w:szCs w:val="16"/>
                <w:lang w:eastAsia="en-US"/>
              </w:rPr>
            </w:pPr>
            <w:r w:rsidRPr="00580C0C">
              <w:rPr>
                <w:b/>
                <w:color w:val="000000"/>
                <w:sz w:val="16"/>
                <w:szCs w:val="16"/>
                <w:lang w:eastAsia="en-US"/>
              </w:rPr>
              <w:t>SAFI</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la porte du local était fermée malgré un accord écrit des responsables du centre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color w:val="FFFFFF"/>
                <w:sz w:val="16"/>
                <w:szCs w:val="16"/>
                <w:lang w:eastAsia="en-US"/>
              </w:rPr>
            </w:pPr>
            <w:r w:rsidRPr="00580C0C">
              <w:rPr>
                <w:color w:val="FFFFFF"/>
                <w:sz w:val="16"/>
                <w:szCs w:val="16"/>
                <w:lang w:eastAsia="en-US"/>
              </w:rPr>
              <w:t>2</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CONFERENCE : développement et droit humains</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15/7/2014 </w:t>
            </w:r>
          </w:p>
          <w:p w:rsidR="000F2BDD" w:rsidRPr="00580C0C" w:rsidRDefault="000F2BDD" w:rsidP="00580C0C">
            <w:pPr>
              <w:jc w:val="both"/>
              <w:rPr>
                <w:color w:val="000000"/>
                <w:sz w:val="16"/>
                <w:szCs w:val="16"/>
                <w:lang w:eastAsia="en-US"/>
              </w:rPr>
            </w:pPr>
            <w:r w:rsidRPr="00580C0C">
              <w:rPr>
                <w:b/>
                <w:color w:val="000000"/>
                <w:sz w:val="16"/>
                <w:szCs w:val="16"/>
                <w:lang w:eastAsia="en-US"/>
              </w:rPr>
              <w:t>AZROU</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malgré un accord écrit la porte était fermée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color w:val="FFFFFF"/>
                <w:sz w:val="16"/>
                <w:szCs w:val="16"/>
                <w:lang w:eastAsia="en-US"/>
              </w:rPr>
            </w:pPr>
            <w:r w:rsidRPr="00580C0C">
              <w:rPr>
                <w:color w:val="FFFFFF"/>
                <w:sz w:val="16"/>
                <w:szCs w:val="16"/>
                <w:lang w:eastAsia="en-US"/>
              </w:rPr>
              <w:t>3</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CONFERENCE : développement et droits humains</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22/7/2014 </w:t>
            </w:r>
          </w:p>
          <w:p w:rsidR="000F2BDD" w:rsidRPr="00580C0C" w:rsidRDefault="000F2BDD" w:rsidP="00580C0C">
            <w:pPr>
              <w:jc w:val="both"/>
              <w:rPr>
                <w:color w:val="000000"/>
                <w:sz w:val="16"/>
                <w:szCs w:val="16"/>
                <w:lang w:eastAsia="en-US"/>
              </w:rPr>
            </w:pPr>
            <w:r w:rsidRPr="00580C0C">
              <w:rPr>
                <w:b/>
                <w:color w:val="000000"/>
                <w:sz w:val="16"/>
                <w:szCs w:val="16"/>
                <w:lang w:eastAsia="en-US"/>
              </w:rPr>
              <w:t>IFRANE</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malgré un accord écrit le pacha a contacté les organisateurs pour leur signifié que le local est réservé</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color w:val="FFFFFF"/>
                <w:sz w:val="16"/>
                <w:szCs w:val="16"/>
                <w:lang w:eastAsia="en-US"/>
              </w:rPr>
            </w:pPr>
            <w:r w:rsidRPr="00580C0C">
              <w:rPr>
                <w:color w:val="FFFFFF"/>
                <w:sz w:val="16"/>
                <w:szCs w:val="16"/>
                <w:lang w:eastAsia="en-US"/>
              </w:rPr>
              <w:t>4</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CONFERENCE DE PRESSE : laïcité et droits humains</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23/7/2014 </w:t>
            </w:r>
          </w:p>
          <w:p w:rsidR="000F2BDD" w:rsidRPr="00580C0C" w:rsidRDefault="000F2BDD" w:rsidP="00580C0C">
            <w:pPr>
              <w:jc w:val="both"/>
              <w:rPr>
                <w:color w:val="000000"/>
                <w:sz w:val="16"/>
                <w:szCs w:val="16"/>
                <w:lang w:eastAsia="en-US"/>
              </w:rPr>
            </w:pPr>
            <w:r w:rsidRPr="00580C0C">
              <w:rPr>
                <w:b/>
                <w:color w:val="000000"/>
                <w:sz w:val="16"/>
                <w:szCs w:val="16"/>
                <w:lang w:eastAsia="en-US"/>
              </w:rPr>
              <w:t>TAHLA</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le pacha a contacté les organisateurs pour leur signifier l’interdiction car instruction d’en haut</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color w:val="FFFFFF"/>
                <w:sz w:val="16"/>
                <w:szCs w:val="16"/>
                <w:lang w:eastAsia="en-US"/>
              </w:rPr>
            </w:pPr>
            <w:r w:rsidRPr="00580C0C">
              <w:rPr>
                <w:color w:val="FFFFFF"/>
                <w:sz w:val="16"/>
                <w:szCs w:val="16"/>
                <w:lang w:eastAsia="en-US"/>
              </w:rPr>
              <w:t>5</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SIT-IN CONTRE LES VIOLS des mineurs</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24/7/2014 </w:t>
            </w:r>
          </w:p>
          <w:p w:rsidR="000F2BDD" w:rsidRPr="00580C0C" w:rsidRDefault="000F2BDD" w:rsidP="00580C0C">
            <w:pPr>
              <w:jc w:val="both"/>
              <w:rPr>
                <w:color w:val="000000"/>
                <w:sz w:val="16"/>
                <w:szCs w:val="16"/>
                <w:lang w:eastAsia="en-US"/>
              </w:rPr>
            </w:pPr>
            <w:r w:rsidRPr="00580C0C">
              <w:rPr>
                <w:b/>
                <w:color w:val="000000"/>
                <w:sz w:val="16"/>
                <w:szCs w:val="16"/>
                <w:lang w:eastAsia="en-US"/>
              </w:rPr>
              <w:t>EL JADIDA</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le responsable des forces de sécurité a dit oralement que le sitin est interdit car instructions d’en haut</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color w:val="FFFFFF"/>
                <w:sz w:val="16"/>
                <w:szCs w:val="16"/>
                <w:lang w:eastAsia="en-US"/>
              </w:rPr>
            </w:pPr>
            <w:r w:rsidRPr="00580C0C">
              <w:rPr>
                <w:color w:val="FFFFFF"/>
                <w:sz w:val="16"/>
                <w:szCs w:val="16"/>
                <w:lang w:eastAsia="en-US"/>
              </w:rPr>
              <w:t>6</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Colonie DES JEUNES</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24/7/2014 </w:t>
            </w:r>
          </w:p>
          <w:p w:rsidR="000F2BDD" w:rsidRPr="00580C0C" w:rsidRDefault="000F2BDD" w:rsidP="00580C0C">
            <w:pPr>
              <w:jc w:val="both"/>
              <w:rPr>
                <w:color w:val="000000"/>
                <w:sz w:val="16"/>
                <w:szCs w:val="16"/>
                <w:lang w:eastAsia="en-US"/>
              </w:rPr>
            </w:pPr>
            <w:r w:rsidRPr="00580C0C">
              <w:rPr>
                <w:b/>
                <w:color w:val="000000"/>
                <w:sz w:val="16"/>
                <w:szCs w:val="16"/>
                <w:lang w:eastAsia="en-US"/>
              </w:rPr>
              <w:t>SALE</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malgré un accort écrit des responsables du centre la porte était fermée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color w:val="FFFFFF"/>
                <w:sz w:val="16"/>
                <w:szCs w:val="16"/>
                <w:lang w:eastAsia="en-US"/>
              </w:rPr>
            </w:pPr>
            <w:r w:rsidRPr="00580C0C">
              <w:rPr>
                <w:color w:val="FFFFFF"/>
                <w:sz w:val="16"/>
                <w:szCs w:val="16"/>
                <w:lang w:eastAsia="en-US"/>
              </w:rPr>
              <w:t>7</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Colonie DES JEUNES</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24/7/2014à </w:t>
            </w:r>
            <w:r w:rsidRPr="00580C0C">
              <w:rPr>
                <w:b/>
                <w:color w:val="000000"/>
                <w:sz w:val="16"/>
                <w:szCs w:val="16"/>
                <w:lang w:eastAsia="en-US"/>
              </w:rPr>
              <w:t>IFRANE</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malgré un accort écrit des responsables du centre la porte était fermée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color w:val="FFFFFF"/>
                <w:sz w:val="16"/>
                <w:szCs w:val="16"/>
                <w:lang w:eastAsia="en-US"/>
              </w:rPr>
            </w:pPr>
            <w:r w:rsidRPr="00580C0C">
              <w:rPr>
                <w:color w:val="FFFFFF"/>
                <w:sz w:val="16"/>
                <w:szCs w:val="16"/>
                <w:lang w:eastAsia="en-US"/>
              </w:rPr>
              <w:t>8</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Colonie DES JEUNES</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24/7/2014 </w:t>
            </w:r>
          </w:p>
          <w:p w:rsidR="000F2BDD" w:rsidRPr="00580C0C" w:rsidRDefault="000F2BDD" w:rsidP="00580C0C">
            <w:pPr>
              <w:jc w:val="both"/>
              <w:rPr>
                <w:color w:val="000000"/>
                <w:sz w:val="16"/>
                <w:szCs w:val="16"/>
                <w:lang w:eastAsia="en-US"/>
              </w:rPr>
            </w:pPr>
            <w:r w:rsidRPr="00580C0C">
              <w:rPr>
                <w:b/>
                <w:color w:val="000000"/>
                <w:sz w:val="16"/>
                <w:szCs w:val="16"/>
                <w:lang w:eastAsia="en-US"/>
              </w:rPr>
              <w:t>OUJDA</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FORMELLE : interdiction écrite sous prétexte que le local est en train d’être restauré malgré l’accord écrit des responsables</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color w:val="FFFFFF"/>
                <w:sz w:val="16"/>
                <w:szCs w:val="16"/>
                <w:lang w:eastAsia="en-US"/>
              </w:rPr>
            </w:pPr>
            <w:r w:rsidRPr="00580C0C">
              <w:rPr>
                <w:color w:val="FFFFFF"/>
                <w:sz w:val="16"/>
                <w:szCs w:val="16"/>
                <w:lang w:eastAsia="en-US"/>
              </w:rPr>
              <w:t>9</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TABLE RONDE AVEC ADN</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30/7/2014 </w:t>
            </w:r>
          </w:p>
          <w:p w:rsidR="000F2BDD" w:rsidRPr="00580C0C" w:rsidRDefault="000F2BDD" w:rsidP="00580C0C">
            <w:pPr>
              <w:jc w:val="both"/>
              <w:rPr>
                <w:color w:val="000000"/>
                <w:sz w:val="16"/>
                <w:szCs w:val="16"/>
                <w:lang w:eastAsia="en-US"/>
              </w:rPr>
            </w:pPr>
            <w:r w:rsidRPr="00580C0C">
              <w:rPr>
                <w:b/>
                <w:color w:val="000000"/>
                <w:sz w:val="16"/>
                <w:szCs w:val="16"/>
                <w:lang w:eastAsia="en-US"/>
              </w:rPr>
              <w:t>RABAT</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désistement de l’administration de l’Hôtel après l’accord suite à la pression des autorités</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color w:val="FFFFFF"/>
                <w:sz w:val="16"/>
                <w:szCs w:val="16"/>
                <w:lang w:eastAsia="en-US"/>
              </w:rPr>
            </w:pPr>
            <w:r w:rsidRPr="00580C0C">
              <w:rPr>
                <w:color w:val="FFFFFF"/>
                <w:sz w:val="16"/>
                <w:szCs w:val="16"/>
                <w:lang w:eastAsia="en-US"/>
              </w:rPr>
              <w:t>10</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REUNION DE LA COMMISSION ADMINISTRATIVE</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5/8/2014 </w:t>
            </w:r>
          </w:p>
          <w:p w:rsidR="000F2BDD" w:rsidRPr="00580C0C" w:rsidRDefault="000F2BDD" w:rsidP="00580C0C">
            <w:pPr>
              <w:jc w:val="both"/>
              <w:rPr>
                <w:color w:val="000000"/>
                <w:sz w:val="16"/>
                <w:szCs w:val="16"/>
                <w:lang w:eastAsia="en-US"/>
              </w:rPr>
            </w:pPr>
            <w:r w:rsidRPr="00580C0C">
              <w:rPr>
                <w:b/>
                <w:color w:val="000000"/>
                <w:sz w:val="16"/>
                <w:szCs w:val="16"/>
                <w:lang w:eastAsia="en-US"/>
              </w:rPr>
              <w:t>RABAT</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INFORMELLE : la porte du centre Bouhlal a été cadenassée par les forces de sécurité </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color w:val="FFFFFF"/>
                <w:sz w:val="16"/>
                <w:szCs w:val="16"/>
                <w:lang w:eastAsia="en-US"/>
              </w:rPr>
            </w:pPr>
            <w:r w:rsidRPr="00580C0C">
              <w:rPr>
                <w:color w:val="FFFFFF"/>
                <w:sz w:val="16"/>
                <w:szCs w:val="16"/>
                <w:lang w:eastAsia="en-US"/>
              </w:rPr>
              <w:t>11</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REUNION ORGANISATIONNELLE</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7/9/2014 </w:t>
            </w:r>
          </w:p>
          <w:p w:rsidR="000F2BDD" w:rsidRPr="00580C0C" w:rsidRDefault="000F2BDD" w:rsidP="00580C0C">
            <w:pPr>
              <w:jc w:val="both"/>
              <w:rPr>
                <w:color w:val="000000"/>
                <w:sz w:val="16"/>
                <w:szCs w:val="16"/>
                <w:lang w:eastAsia="en-US"/>
              </w:rPr>
            </w:pPr>
            <w:r w:rsidRPr="00580C0C">
              <w:rPr>
                <w:b/>
                <w:color w:val="000000"/>
                <w:sz w:val="16"/>
                <w:szCs w:val="16"/>
                <w:lang w:eastAsia="en-US"/>
              </w:rPr>
              <w:t>SBAA AYOUN</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les organisateurs ont été contactés par téléphone par le pacha leur signifiant l’interdiction</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color w:val="FFFFFF"/>
                <w:sz w:val="16"/>
                <w:szCs w:val="16"/>
                <w:lang w:eastAsia="en-US"/>
              </w:rPr>
            </w:pPr>
            <w:r w:rsidRPr="00580C0C">
              <w:rPr>
                <w:color w:val="FFFFFF"/>
                <w:sz w:val="16"/>
                <w:szCs w:val="16"/>
                <w:lang w:eastAsia="en-US"/>
              </w:rPr>
              <w:t>12</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REUNION ORGANISATIONNELLE</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14/9/2014 </w:t>
            </w:r>
          </w:p>
          <w:p w:rsidR="000F2BDD" w:rsidRPr="00580C0C" w:rsidRDefault="000F2BDD" w:rsidP="00580C0C">
            <w:pPr>
              <w:jc w:val="both"/>
              <w:rPr>
                <w:color w:val="000000"/>
                <w:sz w:val="16"/>
                <w:szCs w:val="16"/>
                <w:lang w:eastAsia="en-US"/>
              </w:rPr>
            </w:pPr>
            <w:r w:rsidRPr="00580C0C">
              <w:rPr>
                <w:b/>
                <w:color w:val="000000"/>
                <w:sz w:val="16"/>
                <w:szCs w:val="16"/>
                <w:lang w:eastAsia="en-US"/>
              </w:rPr>
              <w:t>FES</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interdiction orale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color w:val="FFFFFF"/>
                <w:sz w:val="16"/>
                <w:szCs w:val="16"/>
                <w:lang w:eastAsia="en-US"/>
              </w:rPr>
            </w:pPr>
            <w:r w:rsidRPr="00580C0C">
              <w:rPr>
                <w:color w:val="FFFFFF"/>
                <w:sz w:val="16"/>
                <w:szCs w:val="16"/>
                <w:lang w:eastAsia="en-US"/>
              </w:rPr>
              <w:t>13</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CEREMONIE EN HOMMAGE A RYADI</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20/9/2014 </w:t>
            </w:r>
          </w:p>
          <w:p w:rsidR="000F2BDD" w:rsidRPr="00580C0C" w:rsidRDefault="000F2BDD" w:rsidP="00580C0C">
            <w:pPr>
              <w:jc w:val="both"/>
              <w:rPr>
                <w:color w:val="000000"/>
                <w:sz w:val="16"/>
                <w:szCs w:val="16"/>
                <w:lang w:eastAsia="en-US"/>
              </w:rPr>
            </w:pPr>
            <w:r w:rsidRPr="00580C0C">
              <w:rPr>
                <w:b/>
                <w:color w:val="000000"/>
                <w:sz w:val="16"/>
                <w:szCs w:val="16"/>
                <w:lang w:eastAsia="en-US"/>
              </w:rPr>
              <w:t>ERRACHIDIA</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interdiction orale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14</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CONFERENCE MEDIAS ET DEMOCRATIE</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27/9/2014</w:t>
            </w:r>
          </w:p>
          <w:p w:rsidR="000F2BDD" w:rsidRPr="00580C0C" w:rsidRDefault="000F2BDD" w:rsidP="00580C0C">
            <w:pPr>
              <w:jc w:val="both"/>
              <w:rPr>
                <w:color w:val="000000"/>
                <w:sz w:val="16"/>
                <w:szCs w:val="16"/>
                <w:lang w:eastAsia="en-US"/>
              </w:rPr>
            </w:pPr>
            <w:r w:rsidRPr="00580C0C">
              <w:rPr>
                <w:b/>
                <w:color w:val="000000"/>
                <w:sz w:val="16"/>
                <w:szCs w:val="16"/>
                <w:lang w:eastAsia="en-US"/>
              </w:rPr>
              <w:t>RABAT</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FORMELLE : Interdiction écrite adressée à 3 membres du bureau central : invocation de l’article 3 du code des libertés publiques ; l’article ne concerne pas les associations </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15</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CARAVANE DE SOLIDARITE AVEC IMMIGRES TANGER</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27/9/2014 </w:t>
            </w:r>
            <w:r w:rsidRPr="00580C0C">
              <w:rPr>
                <w:b/>
                <w:color w:val="000000"/>
                <w:sz w:val="16"/>
                <w:szCs w:val="16"/>
                <w:lang w:eastAsia="en-US"/>
              </w:rPr>
              <w:t>TANGER</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barrages de gendarmerie et de police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16</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REUNION ORGANISATIONNELLE</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11/10/2014 </w:t>
            </w:r>
          </w:p>
          <w:p w:rsidR="000F2BDD" w:rsidRPr="00580C0C" w:rsidRDefault="000F2BDD" w:rsidP="00580C0C">
            <w:pPr>
              <w:jc w:val="both"/>
              <w:rPr>
                <w:color w:val="000000"/>
                <w:sz w:val="16"/>
                <w:szCs w:val="16"/>
                <w:lang w:eastAsia="en-US"/>
              </w:rPr>
            </w:pPr>
            <w:r w:rsidRPr="00580C0C">
              <w:rPr>
                <w:b/>
                <w:color w:val="000000"/>
                <w:sz w:val="16"/>
                <w:szCs w:val="16"/>
                <w:lang w:eastAsia="en-US"/>
              </w:rPr>
              <w:t>SAFI</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la porte du centre était fermée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17</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CARAVANE DE SENSIBILISATION A LA CORRUPTION </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14/10/2014 </w:t>
            </w:r>
          </w:p>
          <w:p w:rsidR="000F2BDD" w:rsidRPr="00580C0C" w:rsidRDefault="000F2BDD" w:rsidP="00580C0C">
            <w:pPr>
              <w:jc w:val="both"/>
              <w:rPr>
                <w:color w:val="000000"/>
                <w:sz w:val="16"/>
                <w:szCs w:val="16"/>
                <w:lang w:eastAsia="en-US"/>
              </w:rPr>
            </w:pPr>
            <w:r w:rsidRPr="00580C0C">
              <w:rPr>
                <w:b/>
                <w:color w:val="000000"/>
                <w:sz w:val="16"/>
                <w:szCs w:val="16"/>
                <w:lang w:eastAsia="en-US"/>
              </w:rPr>
              <w:t>KHEMISSET</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interdiction orale par téléphone de la part du PACHA</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18</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CONFERENCE : à l’occasion de journée mondiale contre la pauvreté</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18/10/2014</w:t>
            </w:r>
          </w:p>
          <w:p w:rsidR="000F2BDD" w:rsidRPr="00580C0C" w:rsidRDefault="000F2BDD" w:rsidP="00580C0C">
            <w:pPr>
              <w:jc w:val="both"/>
              <w:rPr>
                <w:color w:val="000000"/>
                <w:sz w:val="16"/>
                <w:szCs w:val="16"/>
                <w:lang w:eastAsia="en-US"/>
              </w:rPr>
            </w:pPr>
            <w:r w:rsidRPr="00580C0C">
              <w:rPr>
                <w:b/>
                <w:color w:val="000000"/>
                <w:sz w:val="16"/>
                <w:szCs w:val="16"/>
                <w:lang w:eastAsia="en-US"/>
              </w:rPr>
              <w:t>à SEFROU</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malgré un accord écrit par les responsables du centre la porte du centre était fermée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19</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CONFERENCE : rôle du mouvement des droits humains pour défendre la démocratie et les droits humains</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1/11/2014 </w:t>
            </w:r>
          </w:p>
          <w:p w:rsidR="000F2BDD" w:rsidRPr="00580C0C" w:rsidRDefault="000F2BDD" w:rsidP="00580C0C">
            <w:pPr>
              <w:jc w:val="both"/>
              <w:rPr>
                <w:color w:val="000000"/>
                <w:sz w:val="16"/>
                <w:szCs w:val="16"/>
                <w:lang w:eastAsia="en-US"/>
              </w:rPr>
            </w:pPr>
            <w:r w:rsidRPr="00580C0C">
              <w:rPr>
                <w:b/>
                <w:color w:val="000000"/>
                <w:sz w:val="16"/>
                <w:szCs w:val="16"/>
                <w:lang w:eastAsia="en-US"/>
              </w:rPr>
              <w:t>IFNI</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FORMELLE : interdiction écrite du président du conseil communal</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20</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CONFERENCE rôle du mouvement des droits humains pour défendre la démocratie et les droits humains</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1/11/2014 </w:t>
            </w:r>
          </w:p>
          <w:p w:rsidR="000F2BDD" w:rsidRPr="00580C0C" w:rsidRDefault="000F2BDD" w:rsidP="00580C0C">
            <w:pPr>
              <w:jc w:val="both"/>
              <w:rPr>
                <w:color w:val="000000"/>
                <w:sz w:val="16"/>
                <w:szCs w:val="16"/>
                <w:lang w:eastAsia="en-US"/>
              </w:rPr>
            </w:pPr>
            <w:r w:rsidRPr="00580C0C">
              <w:rPr>
                <w:b/>
                <w:color w:val="000000"/>
                <w:sz w:val="16"/>
                <w:szCs w:val="16"/>
                <w:lang w:eastAsia="en-US"/>
              </w:rPr>
              <w:t>SOUK ESSABT</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malgré un accord écrit par les responsables du centre, interdiction orale de la part du caïd et pacha</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21</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CONFERENCE rôle du mouvement des droits humains pour défendre la démocratie et les droits humains</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1/11/2014 </w:t>
            </w:r>
          </w:p>
          <w:p w:rsidR="000F2BDD" w:rsidRPr="00580C0C" w:rsidRDefault="000F2BDD" w:rsidP="00580C0C">
            <w:pPr>
              <w:jc w:val="both"/>
              <w:rPr>
                <w:color w:val="000000"/>
                <w:sz w:val="16"/>
                <w:szCs w:val="16"/>
                <w:lang w:eastAsia="en-US"/>
              </w:rPr>
            </w:pPr>
            <w:r w:rsidRPr="00580C0C">
              <w:rPr>
                <w:b/>
                <w:color w:val="000000"/>
                <w:sz w:val="16"/>
                <w:szCs w:val="16"/>
                <w:lang w:eastAsia="en-US"/>
              </w:rPr>
              <w:t>FKIH BENSALEH</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interdiction orale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22</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CONFERENCE rôle du mouvement des droits humains pour défendre la démocratie et les droits humains</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1/11/2014</w:t>
            </w:r>
          </w:p>
          <w:p w:rsidR="000F2BDD" w:rsidRPr="00580C0C" w:rsidRDefault="000F2BDD" w:rsidP="00580C0C">
            <w:pPr>
              <w:jc w:val="both"/>
              <w:rPr>
                <w:color w:val="000000"/>
                <w:sz w:val="16"/>
                <w:szCs w:val="16"/>
                <w:lang w:eastAsia="en-US"/>
              </w:rPr>
            </w:pPr>
            <w:r w:rsidRPr="00580C0C">
              <w:rPr>
                <w:b/>
                <w:color w:val="000000"/>
                <w:sz w:val="16"/>
                <w:szCs w:val="16"/>
                <w:lang w:eastAsia="en-US"/>
              </w:rPr>
              <w:t>MARRAKECH</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interdiction orale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23</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CONFERENCE rôle du mouvement des droits humains pour défendre la démocratie et les droits humains</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1/11/2014</w:t>
            </w:r>
          </w:p>
          <w:p w:rsidR="000F2BDD" w:rsidRPr="00580C0C" w:rsidRDefault="000F2BDD" w:rsidP="00580C0C">
            <w:pPr>
              <w:jc w:val="both"/>
              <w:rPr>
                <w:color w:val="000000"/>
                <w:sz w:val="16"/>
                <w:szCs w:val="16"/>
                <w:lang w:eastAsia="en-US"/>
              </w:rPr>
            </w:pPr>
            <w:r w:rsidRPr="00580C0C">
              <w:rPr>
                <w:b/>
                <w:color w:val="000000"/>
                <w:sz w:val="16"/>
                <w:szCs w:val="16"/>
                <w:lang w:eastAsia="en-US"/>
              </w:rPr>
              <w:t>SALE</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la porte était fermée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24</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CONFERENCE rôle du mouvement des droits humains pour défendre la démocratie et les droits humains</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1/11/2014</w:t>
            </w:r>
          </w:p>
          <w:p w:rsidR="000F2BDD" w:rsidRPr="00580C0C" w:rsidRDefault="000F2BDD" w:rsidP="00580C0C">
            <w:pPr>
              <w:jc w:val="both"/>
              <w:rPr>
                <w:color w:val="000000"/>
                <w:sz w:val="16"/>
                <w:szCs w:val="16"/>
                <w:lang w:eastAsia="en-US"/>
              </w:rPr>
            </w:pPr>
            <w:r w:rsidRPr="00580C0C">
              <w:rPr>
                <w:b/>
                <w:color w:val="000000"/>
                <w:sz w:val="16"/>
                <w:szCs w:val="16"/>
                <w:lang w:eastAsia="en-US"/>
              </w:rPr>
              <w:t>EL JADIDA</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malgré un accord écrit par les responsables du centre la porte du centre était fermée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25</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CONFERENCE rôle du mouvement des droits humains pour défendre la démocratie et les droits humains</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1/11/2014 </w:t>
            </w:r>
          </w:p>
          <w:p w:rsidR="000F2BDD" w:rsidRPr="00580C0C" w:rsidRDefault="000F2BDD" w:rsidP="00580C0C">
            <w:pPr>
              <w:jc w:val="both"/>
              <w:rPr>
                <w:color w:val="000000"/>
                <w:sz w:val="16"/>
                <w:szCs w:val="16"/>
                <w:lang w:eastAsia="en-US"/>
              </w:rPr>
            </w:pPr>
            <w:r w:rsidRPr="00580C0C">
              <w:rPr>
                <w:b/>
                <w:color w:val="000000"/>
                <w:sz w:val="16"/>
                <w:szCs w:val="16"/>
                <w:lang w:eastAsia="en-US"/>
              </w:rPr>
              <w:t>FES</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interdiction orale par le directeur du centre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26</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CONFERENCE rôle du mouvement des droits humains pour défendre la démocratie et les droits humains</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1/11/2014 </w:t>
            </w:r>
          </w:p>
          <w:p w:rsidR="000F2BDD" w:rsidRPr="00580C0C" w:rsidRDefault="000F2BDD" w:rsidP="00580C0C">
            <w:pPr>
              <w:jc w:val="both"/>
              <w:rPr>
                <w:color w:val="000000"/>
                <w:sz w:val="16"/>
                <w:szCs w:val="16"/>
                <w:lang w:eastAsia="en-US"/>
              </w:rPr>
            </w:pPr>
            <w:r w:rsidRPr="00580C0C">
              <w:rPr>
                <w:b/>
                <w:color w:val="000000"/>
                <w:sz w:val="16"/>
                <w:szCs w:val="16"/>
                <w:lang w:eastAsia="en-US"/>
              </w:rPr>
              <w:t>à IMINTANOUT</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malgré un accord écrit par les responsables interdiction orale par le pacha et encerclement du lieu de la conférence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27</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CONFERENCE rôle du mouvement des droits humains pour défendre la démocratie et les droits humains</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1/11/2014 </w:t>
            </w:r>
          </w:p>
          <w:p w:rsidR="000F2BDD" w:rsidRPr="00580C0C" w:rsidRDefault="000F2BDD" w:rsidP="00580C0C">
            <w:pPr>
              <w:jc w:val="both"/>
              <w:rPr>
                <w:color w:val="000000"/>
                <w:sz w:val="16"/>
                <w:szCs w:val="16"/>
                <w:lang w:eastAsia="en-US"/>
              </w:rPr>
            </w:pPr>
            <w:r w:rsidRPr="00580C0C">
              <w:rPr>
                <w:b/>
                <w:color w:val="000000"/>
                <w:sz w:val="16"/>
                <w:szCs w:val="16"/>
                <w:lang w:eastAsia="en-US"/>
              </w:rPr>
              <w:t>SAFI</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interdiction orale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28</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CONFERENCE rôle du mouvement des droits humains pour défendre la démocratie et les droits humains</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1/11/2014 </w:t>
            </w:r>
          </w:p>
          <w:p w:rsidR="000F2BDD" w:rsidRPr="00580C0C" w:rsidRDefault="000F2BDD" w:rsidP="00580C0C">
            <w:pPr>
              <w:jc w:val="both"/>
              <w:rPr>
                <w:color w:val="000000"/>
                <w:sz w:val="16"/>
                <w:szCs w:val="16"/>
                <w:lang w:eastAsia="en-US"/>
              </w:rPr>
            </w:pPr>
            <w:r w:rsidRPr="00580C0C">
              <w:rPr>
                <w:b/>
                <w:color w:val="000000"/>
                <w:sz w:val="16"/>
                <w:szCs w:val="16"/>
                <w:lang w:eastAsia="en-US"/>
              </w:rPr>
              <w:t>INEZGANE</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malgré un accord écrit interdiction orale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29</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CONFERENCE rôle du mouvement des droits humains pour défendre la démocratie et les droits humains</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1/11/2014 </w:t>
            </w:r>
          </w:p>
          <w:p w:rsidR="000F2BDD" w:rsidRPr="00580C0C" w:rsidRDefault="000F2BDD" w:rsidP="00580C0C">
            <w:pPr>
              <w:jc w:val="both"/>
              <w:rPr>
                <w:color w:val="000000"/>
                <w:sz w:val="16"/>
                <w:szCs w:val="16"/>
                <w:lang w:eastAsia="en-US"/>
              </w:rPr>
            </w:pPr>
            <w:r w:rsidRPr="00580C0C">
              <w:rPr>
                <w:b/>
                <w:color w:val="000000"/>
                <w:sz w:val="16"/>
                <w:szCs w:val="16"/>
                <w:lang w:eastAsia="en-US"/>
              </w:rPr>
              <w:t>DEMNAT</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malgré un accord écrit le responsable du centre a dit aux organisateurs qu’il a été contacté par le pacha pour interdire l’activité</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30</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CONFERENCE rôle du mouvement des droits humains pour défendre la démocratie et les droits humains</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1/11/2014 </w:t>
            </w:r>
          </w:p>
          <w:p w:rsidR="000F2BDD" w:rsidRPr="00580C0C" w:rsidRDefault="000F2BDD" w:rsidP="00580C0C">
            <w:pPr>
              <w:jc w:val="both"/>
              <w:rPr>
                <w:color w:val="000000"/>
                <w:sz w:val="16"/>
                <w:szCs w:val="16"/>
                <w:lang w:eastAsia="en-US"/>
              </w:rPr>
            </w:pPr>
            <w:r w:rsidRPr="00580C0C">
              <w:rPr>
                <w:b/>
                <w:color w:val="000000"/>
                <w:sz w:val="16"/>
                <w:szCs w:val="16"/>
                <w:lang w:eastAsia="en-US"/>
              </w:rPr>
              <w:t>KHEMISSET</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malgré un accord écrit le responsable du centre est revenu sur son accord ; la porte était fermée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31</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CONFERENCE rôle du mouvement des droits humains pour défendre la démocratie et les droits humains</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1/11/2014 </w:t>
            </w:r>
          </w:p>
          <w:p w:rsidR="000F2BDD" w:rsidRPr="00580C0C" w:rsidRDefault="000F2BDD" w:rsidP="00580C0C">
            <w:pPr>
              <w:jc w:val="both"/>
              <w:rPr>
                <w:color w:val="000000"/>
                <w:sz w:val="16"/>
                <w:szCs w:val="16"/>
                <w:lang w:eastAsia="en-US"/>
              </w:rPr>
            </w:pPr>
            <w:r w:rsidRPr="00580C0C">
              <w:rPr>
                <w:b/>
                <w:color w:val="000000"/>
                <w:sz w:val="16"/>
                <w:szCs w:val="16"/>
                <w:lang w:eastAsia="en-US"/>
              </w:rPr>
              <w:t>AIT OURIR</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interdiction orale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32</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CONFERENCE rôle du mouvement des droits humains pour défendre la démocratie et les droits humains</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1/11/2014 </w:t>
            </w:r>
          </w:p>
          <w:p w:rsidR="000F2BDD" w:rsidRPr="00580C0C" w:rsidRDefault="000F2BDD" w:rsidP="00580C0C">
            <w:pPr>
              <w:jc w:val="both"/>
              <w:rPr>
                <w:color w:val="000000"/>
                <w:sz w:val="16"/>
                <w:szCs w:val="16"/>
                <w:lang w:eastAsia="en-US"/>
              </w:rPr>
            </w:pPr>
            <w:r w:rsidRPr="00580C0C">
              <w:rPr>
                <w:b/>
                <w:color w:val="000000"/>
                <w:sz w:val="16"/>
                <w:szCs w:val="16"/>
                <w:lang w:eastAsia="en-US"/>
              </w:rPr>
              <w:t>IMZOUREN</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FORMELLE : interdiction écrite pour motif de sécurité</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33</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CONFERENCE rôle du mouvement des droits humains pour défendre la démocratie et les droits humains</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1/11/2014 </w:t>
            </w:r>
          </w:p>
          <w:p w:rsidR="000F2BDD" w:rsidRPr="00580C0C" w:rsidRDefault="000F2BDD" w:rsidP="00580C0C">
            <w:pPr>
              <w:jc w:val="both"/>
              <w:rPr>
                <w:color w:val="000000"/>
                <w:sz w:val="16"/>
                <w:szCs w:val="16"/>
                <w:lang w:eastAsia="en-US"/>
              </w:rPr>
            </w:pPr>
            <w:r w:rsidRPr="00580C0C">
              <w:rPr>
                <w:b/>
                <w:color w:val="000000"/>
                <w:sz w:val="16"/>
                <w:szCs w:val="16"/>
                <w:lang w:eastAsia="en-US"/>
              </w:rPr>
              <w:t>EL HOUCEIMA</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malgré un accord écrit</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34</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CONFERENCE rôle du mouvement des droits humains pour défendre la démocratie et les droits humains</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1/11/2014 </w:t>
            </w:r>
          </w:p>
          <w:p w:rsidR="000F2BDD" w:rsidRPr="00580C0C" w:rsidRDefault="000F2BDD" w:rsidP="00580C0C">
            <w:pPr>
              <w:jc w:val="both"/>
              <w:rPr>
                <w:color w:val="000000"/>
                <w:sz w:val="16"/>
                <w:szCs w:val="16"/>
                <w:lang w:eastAsia="en-US"/>
              </w:rPr>
            </w:pPr>
            <w:r w:rsidRPr="00580C0C">
              <w:rPr>
                <w:b/>
                <w:color w:val="000000"/>
                <w:sz w:val="16"/>
                <w:szCs w:val="16"/>
                <w:lang w:eastAsia="en-US"/>
              </w:rPr>
              <w:t>TANGER</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le responsable a signifié oralement l’interdiction</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35</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CONFERENCE rôle du mouvement des droits humains pour défendre la démocratie et les droits humains</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1/11/2014 </w:t>
            </w:r>
          </w:p>
          <w:p w:rsidR="000F2BDD" w:rsidRPr="00580C0C" w:rsidRDefault="000F2BDD" w:rsidP="00580C0C">
            <w:pPr>
              <w:jc w:val="both"/>
              <w:rPr>
                <w:color w:val="000000"/>
                <w:sz w:val="16"/>
                <w:szCs w:val="16"/>
                <w:lang w:eastAsia="en-US"/>
              </w:rPr>
            </w:pPr>
            <w:r w:rsidRPr="00580C0C">
              <w:rPr>
                <w:b/>
                <w:color w:val="000000"/>
                <w:sz w:val="16"/>
                <w:szCs w:val="16"/>
                <w:lang w:eastAsia="en-US"/>
              </w:rPr>
              <w:t>TATA</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malgré un accord verbal le pacha a contacté les responsables pour leur signifier l’interdiction</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36</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CONFERENCE rôle du mouvement des droits humains pour défendre la démocratie et les droits humains</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1/11/2014 </w:t>
            </w:r>
          </w:p>
          <w:p w:rsidR="000F2BDD" w:rsidRPr="00580C0C" w:rsidRDefault="000F2BDD" w:rsidP="00580C0C">
            <w:pPr>
              <w:jc w:val="both"/>
              <w:rPr>
                <w:color w:val="000000"/>
                <w:sz w:val="16"/>
                <w:szCs w:val="16"/>
                <w:lang w:eastAsia="en-US"/>
              </w:rPr>
            </w:pPr>
            <w:r w:rsidRPr="00580C0C">
              <w:rPr>
                <w:b/>
                <w:color w:val="000000"/>
                <w:sz w:val="16"/>
                <w:szCs w:val="16"/>
                <w:lang w:eastAsia="en-US"/>
              </w:rPr>
              <w:t>TEMARA</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le lieu de la conférence était encerclé par les forces de l’ordre ; aucune explication</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37</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CONFERENCE rôle du mouvement des droits humains pour défendre la démocratie et les droits humains</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1/11/2014 </w:t>
            </w:r>
          </w:p>
          <w:p w:rsidR="000F2BDD" w:rsidRPr="00580C0C" w:rsidRDefault="000F2BDD" w:rsidP="00580C0C">
            <w:pPr>
              <w:jc w:val="both"/>
              <w:rPr>
                <w:color w:val="000000"/>
                <w:sz w:val="16"/>
                <w:szCs w:val="16"/>
                <w:lang w:eastAsia="en-US"/>
              </w:rPr>
            </w:pPr>
            <w:r w:rsidRPr="00580C0C">
              <w:rPr>
                <w:b/>
                <w:color w:val="000000"/>
                <w:sz w:val="16"/>
                <w:szCs w:val="16"/>
                <w:lang w:eastAsia="en-US"/>
              </w:rPr>
              <w:t>BENI TAJJIT</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interdiction verbale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38</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CONFERENCE rôle du mouvement des droits humains pour défendre la démocratie et les droits humains</w:t>
            </w:r>
          </w:p>
        </w:tc>
        <w:tc>
          <w:tcPr>
            <w:tcW w:w="1636" w:type="dxa"/>
            <w:shd w:val="clear" w:color="auto" w:fill="EDF6F9"/>
          </w:tcPr>
          <w:p w:rsidR="000F2BDD" w:rsidRPr="00580C0C" w:rsidRDefault="000F2BDD" w:rsidP="00580C0C">
            <w:pPr>
              <w:jc w:val="both"/>
              <w:rPr>
                <w:b/>
                <w:color w:val="000000"/>
                <w:sz w:val="16"/>
                <w:szCs w:val="16"/>
                <w:lang w:eastAsia="en-US"/>
              </w:rPr>
            </w:pPr>
            <w:r w:rsidRPr="00580C0C">
              <w:rPr>
                <w:color w:val="000000"/>
                <w:sz w:val="16"/>
                <w:szCs w:val="16"/>
                <w:lang w:eastAsia="en-US"/>
              </w:rPr>
              <w:t>1/11/</w:t>
            </w:r>
            <w:r w:rsidRPr="00580C0C">
              <w:rPr>
                <w:bCs/>
                <w:color w:val="000000"/>
                <w:sz w:val="16"/>
                <w:szCs w:val="16"/>
                <w:lang w:eastAsia="en-US"/>
              </w:rPr>
              <w:t>2014</w:t>
            </w:r>
          </w:p>
          <w:p w:rsidR="000F2BDD" w:rsidRPr="00580C0C" w:rsidRDefault="000F2BDD" w:rsidP="00580C0C">
            <w:pPr>
              <w:jc w:val="both"/>
              <w:rPr>
                <w:color w:val="000000"/>
                <w:sz w:val="16"/>
                <w:szCs w:val="16"/>
                <w:lang w:eastAsia="en-US"/>
              </w:rPr>
            </w:pPr>
            <w:r w:rsidRPr="00580C0C">
              <w:rPr>
                <w:b/>
                <w:color w:val="000000"/>
                <w:sz w:val="16"/>
                <w:szCs w:val="16"/>
                <w:lang w:eastAsia="en-US"/>
              </w:rPr>
              <w:t xml:space="preserve"> KHOURIBGA</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39</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CONFERENCE rôle du mouvement des droits humains pour défendre la démocratie et les droits humains</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1/11/2014</w:t>
            </w:r>
          </w:p>
          <w:p w:rsidR="000F2BDD" w:rsidRPr="00580C0C" w:rsidRDefault="000F2BDD" w:rsidP="00580C0C">
            <w:pPr>
              <w:jc w:val="both"/>
              <w:rPr>
                <w:color w:val="000000"/>
                <w:sz w:val="16"/>
                <w:szCs w:val="16"/>
                <w:lang w:eastAsia="en-US"/>
              </w:rPr>
            </w:pPr>
            <w:r w:rsidRPr="00580C0C">
              <w:rPr>
                <w:b/>
                <w:bCs/>
                <w:color w:val="000000"/>
                <w:sz w:val="16"/>
                <w:szCs w:val="16"/>
                <w:lang w:eastAsia="en-US"/>
              </w:rPr>
              <w:t>à CHTOUKA AIT</w:t>
            </w:r>
            <w:r w:rsidRPr="00580C0C">
              <w:rPr>
                <w:b/>
                <w:color w:val="000000"/>
                <w:sz w:val="16"/>
                <w:szCs w:val="16"/>
                <w:lang w:eastAsia="en-US"/>
              </w:rPr>
              <w:t xml:space="preserve"> BAHA</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interdiction verbale de la part du PACHA</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40</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FORMATION des membres de l’AMDH en matière d’organisation et de suivi des violations</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6/7/8/ novembre 2014 </w:t>
            </w:r>
          </w:p>
          <w:p w:rsidR="000F2BDD" w:rsidRPr="00580C0C" w:rsidRDefault="000F2BDD" w:rsidP="00580C0C">
            <w:pPr>
              <w:jc w:val="both"/>
              <w:rPr>
                <w:color w:val="000000"/>
                <w:sz w:val="16"/>
                <w:szCs w:val="16"/>
                <w:lang w:eastAsia="en-US"/>
              </w:rPr>
            </w:pPr>
            <w:r w:rsidRPr="00580C0C">
              <w:rPr>
                <w:color w:val="000000"/>
                <w:sz w:val="16"/>
                <w:szCs w:val="16"/>
                <w:lang w:eastAsia="en-US"/>
              </w:rPr>
              <w:t xml:space="preserve">à </w:t>
            </w:r>
            <w:r w:rsidRPr="00580C0C">
              <w:rPr>
                <w:b/>
                <w:color w:val="000000"/>
                <w:sz w:val="16"/>
                <w:szCs w:val="16"/>
                <w:lang w:eastAsia="en-US"/>
              </w:rPr>
              <w:t>OUJDA</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le directeur du local demande une autorisation des autorités qui ont refusé de la délivrer</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41</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REUNION ORGANISATIONNELLE</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9/11/2014</w:t>
            </w:r>
          </w:p>
          <w:p w:rsidR="000F2BDD" w:rsidRPr="00580C0C" w:rsidRDefault="000F2BDD" w:rsidP="00580C0C">
            <w:pPr>
              <w:jc w:val="both"/>
              <w:rPr>
                <w:color w:val="000000"/>
                <w:sz w:val="16"/>
                <w:szCs w:val="16"/>
                <w:lang w:eastAsia="en-US"/>
              </w:rPr>
            </w:pPr>
            <w:r w:rsidRPr="00580C0C">
              <w:rPr>
                <w:b/>
                <w:bCs/>
                <w:color w:val="000000"/>
                <w:sz w:val="16"/>
                <w:szCs w:val="16"/>
                <w:lang w:eastAsia="en-US"/>
              </w:rPr>
              <w:t>KHENIFRA</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après autorisation du directeur du centre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42</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REUNION ORGANISATIONNELLE</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9/11/2014</w:t>
            </w:r>
          </w:p>
          <w:p w:rsidR="000F2BDD" w:rsidRPr="00580C0C" w:rsidRDefault="000F2BDD" w:rsidP="00580C0C">
            <w:pPr>
              <w:jc w:val="both"/>
              <w:rPr>
                <w:color w:val="000000"/>
                <w:sz w:val="16"/>
                <w:szCs w:val="16"/>
                <w:lang w:eastAsia="en-US"/>
              </w:rPr>
            </w:pPr>
            <w:r w:rsidRPr="00580C0C">
              <w:rPr>
                <w:b/>
                <w:bCs/>
                <w:color w:val="000000"/>
                <w:sz w:val="16"/>
                <w:szCs w:val="16"/>
                <w:lang w:eastAsia="en-US"/>
              </w:rPr>
              <w:t>M’DIAQ</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après autorisation du directeur du centre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43</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FORMATION des membres de l’AMDH en matière d’organisation et de suivi des violations</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12/11/2014</w:t>
            </w:r>
          </w:p>
          <w:p w:rsidR="000F2BDD" w:rsidRPr="00580C0C" w:rsidRDefault="000F2BDD" w:rsidP="00580C0C">
            <w:pPr>
              <w:jc w:val="both"/>
              <w:rPr>
                <w:color w:val="000000"/>
                <w:sz w:val="16"/>
                <w:szCs w:val="16"/>
                <w:lang w:eastAsia="en-US"/>
              </w:rPr>
            </w:pPr>
            <w:r w:rsidRPr="00580C0C">
              <w:rPr>
                <w:b/>
                <w:bCs/>
                <w:color w:val="000000"/>
                <w:sz w:val="16"/>
                <w:szCs w:val="16"/>
                <w:lang w:eastAsia="en-US"/>
              </w:rPr>
              <w:t>TANTAN</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le directeur du local demande une autorisation des autorités qui ont refusé de la délivrer</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44</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ACTIVITE de communication</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13/11/2014</w:t>
            </w:r>
          </w:p>
          <w:p w:rsidR="000F2BDD" w:rsidRPr="00580C0C" w:rsidRDefault="000F2BDD" w:rsidP="00580C0C">
            <w:pPr>
              <w:jc w:val="both"/>
              <w:rPr>
                <w:b/>
                <w:bCs/>
                <w:color w:val="000000"/>
                <w:sz w:val="16"/>
                <w:szCs w:val="16"/>
                <w:lang w:eastAsia="en-US"/>
              </w:rPr>
            </w:pPr>
            <w:r w:rsidRPr="00580C0C">
              <w:rPr>
                <w:b/>
                <w:bCs/>
                <w:color w:val="000000"/>
                <w:sz w:val="16"/>
                <w:szCs w:val="16"/>
                <w:lang w:eastAsia="en-US"/>
              </w:rPr>
              <w:t>SOUK ES-SEBT</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FORMELLE sans justification par le conseil communal</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45</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FORMATION des membres de l’AMDH en matière d’organisation et de suivi des violations</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21/11/2014</w:t>
            </w:r>
          </w:p>
          <w:p w:rsidR="000F2BDD" w:rsidRPr="00580C0C" w:rsidRDefault="000F2BDD" w:rsidP="00580C0C">
            <w:pPr>
              <w:jc w:val="both"/>
              <w:rPr>
                <w:color w:val="000000"/>
                <w:sz w:val="16"/>
                <w:szCs w:val="16"/>
                <w:lang w:eastAsia="en-US"/>
              </w:rPr>
            </w:pPr>
            <w:r w:rsidRPr="00580C0C">
              <w:rPr>
                <w:b/>
                <w:bCs/>
                <w:color w:val="000000"/>
                <w:sz w:val="16"/>
                <w:szCs w:val="16"/>
                <w:lang w:eastAsia="en-US"/>
              </w:rPr>
              <w:t>AGADIR</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le directeur de l’Hôtel a interdit l’activité suite à la pression exercée par les autorités locales</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46</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REUNION ORGANISATIONNELLE</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4/12/2014</w:t>
            </w:r>
          </w:p>
          <w:p w:rsidR="000F2BDD" w:rsidRPr="00580C0C" w:rsidRDefault="000F2BDD" w:rsidP="00580C0C">
            <w:pPr>
              <w:jc w:val="both"/>
              <w:rPr>
                <w:color w:val="000000"/>
                <w:sz w:val="16"/>
                <w:szCs w:val="16"/>
                <w:lang w:eastAsia="en-US"/>
              </w:rPr>
            </w:pPr>
            <w:r w:rsidRPr="00580C0C">
              <w:rPr>
                <w:b/>
                <w:bCs/>
                <w:color w:val="000000"/>
                <w:sz w:val="16"/>
                <w:szCs w:val="16"/>
                <w:lang w:eastAsia="en-US"/>
              </w:rPr>
              <w:t>BERRECHID</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après accord (plus de 1 mois) du conseil municipal, la porte de la bibliothèque était fermée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47</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Formation de membres de l’AMDH avec pour thème « médias et droits humains »</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12/12/2014</w:t>
            </w:r>
          </w:p>
          <w:p w:rsidR="000F2BDD" w:rsidRPr="00580C0C" w:rsidRDefault="000F2BDD" w:rsidP="00580C0C">
            <w:pPr>
              <w:jc w:val="both"/>
              <w:rPr>
                <w:b/>
                <w:color w:val="000000"/>
                <w:sz w:val="16"/>
                <w:szCs w:val="16"/>
                <w:lang w:eastAsia="en-US"/>
              </w:rPr>
            </w:pPr>
            <w:r w:rsidRPr="00580C0C">
              <w:rPr>
                <w:b/>
                <w:color w:val="000000"/>
                <w:sz w:val="16"/>
                <w:szCs w:val="16"/>
                <w:lang w:eastAsia="en-US"/>
              </w:rPr>
              <w:t>RABAT</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après accord du centre ACSA, le directeur de ce centre  a expliqué aux responsables de l’AMDH que l’activité était interdite par les autorités et qu’ils feront usage de la force si l’association persiste à organiser son activité ; quand les responsables de l’AMDH se sont présentés au centre, les forces de l’ordre ont interdis l’accès.</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48</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Conférence organisée par l’AMDH et la LMDH avec pour thème «  situation des droits de l’homme » </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13/12/2014</w:t>
            </w:r>
          </w:p>
          <w:p w:rsidR="000F2BDD" w:rsidRPr="00580C0C" w:rsidRDefault="000F2BDD" w:rsidP="00580C0C">
            <w:pPr>
              <w:jc w:val="both"/>
              <w:rPr>
                <w:b/>
                <w:color w:val="000000"/>
                <w:sz w:val="16"/>
                <w:szCs w:val="16"/>
                <w:lang w:eastAsia="en-US"/>
              </w:rPr>
            </w:pPr>
            <w:r w:rsidRPr="00580C0C">
              <w:rPr>
                <w:b/>
                <w:color w:val="000000"/>
                <w:sz w:val="16"/>
                <w:szCs w:val="16"/>
                <w:lang w:eastAsia="en-US"/>
              </w:rPr>
              <w:t>TANGER</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après accord de la chambre du commerce et de l’industrie de TANGER les organisateurs ont trouvé le local de la salle fermé</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49</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Conférence sur le mouvement des droits humains</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14/12/2014</w:t>
            </w:r>
          </w:p>
          <w:p w:rsidR="000F2BDD" w:rsidRPr="00580C0C" w:rsidRDefault="000F2BDD" w:rsidP="00580C0C">
            <w:pPr>
              <w:jc w:val="both"/>
              <w:rPr>
                <w:b/>
                <w:color w:val="000000"/>
                <w:sz w:val="16"/>
                <w:szCs w:val="16"/>
                <w:lang w:eastAsia="en-US"/>
              </w:rPr>
            </w:pPr>
            <w:r w:rsidRPr="00580C0C">
              <w:rPr>
                <w:b/>
                <w:color w:val="000000"/>
                <w:sz w:val="16"/>
                <w:szCs w:val="16"/>
                <w:lang w:eastAsia="en-US"/>
              </w:rPr>
              <w:t>IMINTANOUT</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après accord de la municipalité, le lieu de la conférence a été interdit d’accès par les forces de l’ordre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50</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Conférence sur la situation des droits humains au MAROC</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20/12/2014</w:t>
            </w:r>
          </w:p>
          <w:p w:rsidR="000F2BDD" w:rsidRPr="00580C0C" w:rsidRDefault="000F2BDD" w:rsidP="00580C0C">
            <w:pPr>
              <w:jc w:val="both"/>
              <w:rPr>
                <w:b/>
                <w:color w:val="000000"/>
                <w:sz w:val="16"/>
                <w:szCs w:val="16"/>
                <w:lang w:eastAsia="en-US"/>
              </w:rPr>
            </w:pPr>
            <w:r w:rsidRPr="00580C0C">
              <w:rPr>
                <w:b/>
                <w:color w:val="000000"/>
                <w:sz w:val="16"/>
                <w:szCs w:val="16"/>
                <w:lang w:eastAsia="en-US"/>
              </w:rPr>
              <w:t>KENITRA</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51</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Activité de formation dans le cadre du projet JONCTION</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20/12/2014</w:t>
            </w:r>
          </w:p>
          <w:p w:rsidR="000F2BDD" w:rsidRPr="00580C0C" w:rsidRDefault="000F2BDD" w:rsidP="00580C0C">
            <w:pPr>
              <w:jc w:val="both"/>
              <w:rPr>
                <w:b/>
                <w:color w:val="000000"/>
                <w:sz w:val="16"/>
                <w:szCs w:val="16"/>
                <w:lang w:eastAsia="en-US"/>
              </w:rPr>
            </w:pPr>
            <w:r w:rsidRPr="00580C0C">
              <w:rPr>
                <w:b/>
                <w:color w:val="000000"/>
                <w:sz w:val="16"/>
                <w:szCs w:val="16"/>
                <w:lang w:eastAsia="en-US"/>
              </w:rPr>
              <w:t>TAOUJTAT</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le pacha a interdit oralement l’activité</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52</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Conférence sur démocratie et médias</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2/1/2015</w:t>
            </w:r>
          </w:p>
          <w:p w:rsidR="000F2BDD" w:rsidRPr="00580C0C" w:rsidRDefault="000F2BDD" w:rsidP="00580C0C">
            <w:pPr>
              <w:jc w:val="both"/>
              <w:rPr>
                <w:b/>
                <w:color w:val="000000"/>
                <w:sz w:val="16"/>
                <w:szCs w:val="16"/>
                <w:lang w:eastAsia="en-US"/>
              </w:rPr>
            </w:pPr>
            <w:r w:rsidRPr="00580C0C">
              <w:rPr>
                <w:b/>
                <w:color w:val="000000"/>
                <w:sz w:val="16"/>
                <w:szCs w:val="16"/>
                <w:lang w:eastAsia="en-US"/>
              </w:rPr>
              <w:t>SOUK ESSABT</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INFORMELLE : le lieu de la conférence (centre pluridisciplinaire) a été interdit d’accès par les forces de l’ordre </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53</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Conférence sur les droits culturels et linguistiques amazigh</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12/1/2015</w:t>
            </w:r>
          </w:p>
          <w:p w:rsidR="000F2BDD" w:rsidRPr="00580C0C" w:rsidRDefault="000F2BDD" w:rsidP="00580C0C">
            <w:pPr>
              <w:jc w:val="both"/>
              <w:rPr>
                <w:b/>
                <w:color w:val="000000"/>
                <w:sz w:val="16"/>
                <w:szCs w:val="16"/>
                <w:lang w:eastAsia="en-US"/>
              </w:rPr>
            </w:pPr>
            <w:r w:rsidRPr="00580C0C">
              <w:rPr>
                <w:b/>
                <w:color w:val="000000"/>
                <w:sz w:val="16"/>
                <w:szCs w:val="16"/>
                <w:lang w:eastAsia="en-US"/>
              </w:rPr>
              <w:t>CHTOUKA AIT BAHA</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après avoir entrepris toutes les démarches, la section a eu l’accord du directeur du complexe culturel pour organiser la conférence mais le pacha a interdit l’activité oralement sous prétexte qu’il a reçu des instructions</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54</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Conférence sur la situation des droits humains dans la province de MIDELT</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17/1/2015</w:t>
            </w:r>
          </w:p>
          <w:p w:rsidR="000F2BDD" w:rsidRPr="00580C0C" w:rsidRDefault="000F2BDD" w:rsidP="00580C0C">
            <w:pPr>
              <w:jc w:val="both"/>
              <w:rPr>
                <w:b/>
                <w:color w:val="000000"/>
                <w:sz w:val="16"/>
                <w:szCs w:val="16"/>
                <w:lang w:eastAsia="en-US"/>
              </w:rPr>
            </w:pPr>
            <w:r w:rsidRPr="00580C0C">
              <w:rPr>
                <w:b/>
                <w:color w:val="000000"/>
                <w:sz w:val="16"/>
                <w:szCs w:val="16"/>
                <w:lang w:eastAsia="en-US"/>
              </w:rPr>
              <w:t>MIDELT</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après accord de la municipalité, la province a donné des instructions pour interdire l’activité</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55</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REUNION ORGANISATIONNELLE</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12/02/2015</w:t>
            </w:r>
          </w:p>
          <w:p w:rsidR="000F2BDD" w:rsidRPr="00580C0C" w:rsidRDefault="000F2BDD" w:rsidP="00580C0C">
            <w:pPr>
              <w:jc w:val="both"/>
              <w:rPr>
                <w:b/>
                <w:bCs/>
                <w:color w:val="000000"/>
                <w:sz w:val="16"/>
                <w:szCs w:val="16"/>
                <w:lang w:eastAsia="en-US"/>
              </w:rPr>
            </w:pPr>
            <w:r w:rsidRPr="00580C0C">
              <w:rPr>
                <w:b/>
                <w:bCs/>
                <w:color w:val="000000"/>
                <w:sz w:val="16"/>
                <w:szCs w:val="16"/>
                <w:lang w:eastAsia="en-US"/>
              </w:rPr>
              <w:t>AL ATTAOUIA-TAMELLALT</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par téléphone du Pacha interdisant l’assemblée à la maison des jeunes</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56</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Conférence sur le la démocratie et droits humains</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19/02/2015</w:t>
            </w:r>
          </w:p>
          <w:p w:rsidR="000F2BDD" w:rsidRPr="00580C0C" w:rsidRDefault="000F2BDD" w:rsidP="00580C0C">
            <w:pPr>
              <w:jc w:val="both"/>
              <w:rPr>
                <w:b/>
                <w:bCs/>
                <w:color w:val="000000"/>
                <w:sz w:val="16"/>
                <w:szCs w:val="16"/>
                <w:lang w:eastAsia="en-US"/>
              </w:rPr>
            </w:pPr>
            <w:r w:rsidRPr="00580C0C">
              <w:rPr>
                <w:b/>
                <w:bCs/>
                <w:color w:val="000000"/>
                <w:sz w:val="16"/>
                <w:szCs w:val="16"/>
                <w:lang w:eastAsia="en-US"/>
              </w:rPr>
              <w:t>ASSA ZAG</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oralement par le Caïd interdisant l’activité du 21 Février à la maison des jeunes</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57</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Conférence sur le mouvement du 20 février</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20/02/2015</w:t>
            </w:r>
          </w:p>
          <w:p w:rsidR="000F2BDD" w:rsidRPr="00580C0C" w:rsidRDefault="000F2BDD" w:rsidP="00580C0C">
            <w:pPr>
              <w:jc w:val="both"/>
              <w:rPr>
                <w:b/>
                <w:bCs/>
                <w:color w:val="000000"/>
                <w:sz w:val="16"/>
                <w:szCs w:val="16"/>
                <w:lang w:eastAsia="en-US"/>
              </w:rPr>
            </w:pPr>
            <w:r w:rsidRPr="00580C0C">
              <w:rPr>
                <w:b/>
                <w:bCs/>
                <w:color w:val="000000"/>
                <w:sz w:val="16"/>
                <w:szCs w:val="16"/>
                <w:lang w:eastAsia="en-US"/>
              </w:rPr>
              <w:t>CHTOUKA AIT BAHA</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INFORMELLE : les autorités ont encerclé le local de l’AMDH et menacé ses membres </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58</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Rencontre communicative sur le mouvement du 20 février</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21/02/2015</w:t>
            </w:r>
          </w:p>
          <w:p w:rsidR="000F2BDD" w:rsidRPr="00580C0C" w:rsidRDefault="000F2BDD" w:rsidP="00580C0C">
            <w:pPr>
              <w:jc w:val="both"/>
              <w:rPr>
                <w:b/>
                <w:bCs/>
                <w:color w:val="000000"/>
                <w:sz w:val="16"/>
                <w:szCs w:val="16"/>
                <w:lang w:eastAsia="en-US"/>
              </w:rPr>
            </w:pPr>
            <w:r w:rsidRPr="00580C0C">
              <w:rPr>
                <w:b/>
                <w:bCs/>
                <w:color w:val="000000"/>
                <w:sz w:val="16"/>
                <w:szCs w:val="16"/>
                <w:lang w:eastAsia="en-US"/>
              </w:rPr>
              <w:t>MOHAMMEDIA</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INFORMELLE : fermeture de la maison des jeune entièrement </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59</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Conférence sur le mouvement du 20 février</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20/02/2015</w:t>
            </w:r>
          </w:p>
          <w:p w:rsidR="000F2BDD" w:rsidRPr="00580C0C" w:rsidRDefault="000F2BDD" w:rsidP="00580C0C">
            <w:pPr>
              <w:jc w:val="both"/>
              <w:rPr>
                <w:b/>
                <w:bCs/>
                <w:color w:val="000000"/>
                <w:sz w:val="16"/>
                <w:szCs w:val="16"/>
                <w:lang w:eastAsia="en-US"/>
              </w:rPr>
            </w:pPr>
            <w:r w:rsidRPr="00580C0C">
              <w:rPr>
                <w:b/>
                <w:bCs/>
                <w:color w:val="000000"/>
                <w:sz w:val="16"/>
                <w:szCs w:val="16"/>
                <w:lang w:eastAsia="en-US"/>
              </w:rPr>
              <w:t>TAZA</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les autorités ont encerclé le local de l’AMDH.</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60</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Conférence sur la situation des droits humains</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26/02/2015</w:t>
            </w:r>
          </w:p>
          <w:p w:rsidR="000F2BDD" w:rsidRPr="00580C0C" w:rsidRDefault="000F2BDD" w:rsidP="00580C0C">
            <w:pPr>
              <w:jc w:val="both"/>
              <w:rPr>
                <w:b/>
                <w:bCs/>
                <w:color w:val="000000"/>
                <w:sz w:val="16"/>
                <w:szCs w:val="16"/>
                <w:lang w:eastAsia="en-US"/>
              </w:rPr>
            </w:pPr>
            <w:r w:rsidRPr="00580C0C">
              <w:rPr>
                <w:b/>
                <w:bCs/>
                <w:color w:val="000000"/>
                <w:sz w:val="16"/>
                <w:szCs w:val="16"/>
                <w:lang w:eastAsia="en-US"/>
              </w:rPr>
              <w:t>KSAR EL KEBIR</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Coupure de l’électricité dans la maison de la culture. Les concernés ont allumé les bougies pour terminer la conférence et ont organisé un sit-in de protestation.</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61</w:t>
            </w:r>
          </w:p>
        </w:tc>
        <w:tc>
          <w:tcPr>
            <w:tcW w:w="3402" w:type="dxa"/>
            <w:shd w:val="clear" w:color="auto" w:fill="A5D5E2"/>
          </w:tcPr>
          <w:p w:rsidR="000F2BDD" w:rsidRPr="00580C0C" w:rsidRDefault="000F2BDD" w:rsidP="00580C0C">
            <w:pPr>
              <w:ind w:right="-43"/>
              <w:jc w:val="both"/>
              <w:rPr>
                <w:color w:val="000000"/>
                <w:sz w:val="16"/>
                <w:szCs w:val="16"/>
                <w:lang w:eastAsia="en-US"/>
              </w:rPr>
            </w:pPr>
            <w:r w:rsidRPr="00580C0C">
              <w:rPr>
                <w:color w:val="000000"/>
                <w:sz w:val="16"/>
                <w:szCs w:val="16"/>
                <w:lang w:eastAsia="en-US"/>
              </w:rPr>
              <w:t>Présentation du rapport de la section Nador sur la</w:t>
            </w:r>
            <w:r w:rsidRPr="00580C0C">
              <w:rPr>
                <w:rFonts w:ascii="MingLiU" w:eastAsia="MingLiU" w:hAnsi="MingLiU" w:cs="MingLiU"/>
                <w:color w:val="000000"/>
                <w:sz w:val="16"/>
                <w:szCs w:val="16"/>
                <w:lang w:eastAsia="en-US"/>
              </w:rPr>
              <w:br/>
            </w:r>
            <w:r w:rsidRPr="00580C0C">
              <w:rPr>
                <w:color w:val="000000"/>
                <w:sz w:val="16"/>
                <w:szCs w:val="16"/>
                <w:lang w:eastAsia="en-US"/>
              </w:rPr>
              <w:t xml:space="preserve"> migration et la rencontre</w:t>
            </w:r>
            <w:r w:rsidRPr="00580C0C">
              <w:rPr>
                <w:rFonts w:ascii="MingLiU" w:eastAsia="MingLiU" w:hAnsi="MingLiU" w:cs="MingLiU"/>
                <w:color w:val="000000"/>
                <w:sz w:val="16"/>
                <w:szCs w:val="16"/>
                <w:lang w:eastAsia="en-US"/>
              </w:rPr>
              <w:br/>
            </w:r>
            <w:r w:rsidRPr="00580C0C">
              <w:rPr>
                <w:color w:val="000000"/>
                <w:sz w:val="16"/>
                <w:szCs w:val="16"/>
                <w:lang w:eastAsia="en-US"/>
              </w:rPr>
              <w:t xml:space="preserve"> nationale sur migration et refuge</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21&amp;22/02/2015</w:t>
            </w:r>
          </w:p>
          <w:p w:rsidR="000F2BDD" w:rsidRPr="00580C0C" w:rsidRDefault="000F2BDD" w:rsidP="00580C0C">
            <w:pPr>
              <w:jc w:val="both"/>
              <w:rPr>
                <w:color w:val="000000"/>
                <w:sz w:val="16"/>
                <w:szCs w:val="16"/>
                <w:lang w:eastAsia="en-US"/>
              </w:rPr>
            </w:pPr>
            <w:r w:rsidRPr="00580C0C">
              <w:rPr>
                <w:b/>
                <w:bCs/>
                <w:color w:val="000000"/>
                <w:sz w:val="16"/>
                <w:szCs w:val="16"/>
                <w:lang w:eastAsia="en-US"/>
              </w:rPr>
              <w:t>NADOR</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INFORMELLES : malgré l’autorisation du directeur du centre socioéducatif, le pacha a refusé l’utilisation de la salle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62</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REUNION ORGANISATIONNELLE</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01/03/2015</w:t>
            </w:r>
          </w:p>
          <w:p w:rsidR="000F2BDD" w:rsidRPr="00580C0C" w:rsidRDefault="000F2BDD" w:rsidP="00580C0C">
            <w:pPr>
              <w:jc w:val="both"/>
              <w:rPr>
                <w:b/>
                <w:bCs/>
                <w:color w:val="000000"/>
                <w:sz w:val="16"/>
                <w:szCs w:val="16"/>
                <w:lang w:eastAsia="en-US"/>
              </w:rPr>
            </w:pPr>
            <w:r w:rsidRPr="00580C0C">
              <w:rPr>
                <w:b/>
                <w:bCs/>
                <w:color w:val="000000"/>
                <w:sz w:val="16"/>
                <w:szCs w:val="16"/>
                <w:lang w:eastAsia="en-US"/>
              </w:rPr>
              <w:t>SIDI YAHIA</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fermeture de la salle de la maison de la culture suite aux instructions des autorités. Les concernés ont organisé l’activité en plein air.</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63</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REUNION ORGANISATIONNELLE</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01/03/2015</w:t>
            </w:r>
          </w:p>
          <w:p w:rsidR="000F2BDD" w:rsidRPr="00580C0C" w:rsidRDefault="000F2BDD" w:rsidP="00580C0C">
            <w:pPr>
              <w:jc w:val="both"/>
              <w:rPr>
                <w:color w:val="000000"/>
                <w:sz w:val="16"/>
                <w:szCs w:val="16"/>
                <w:lang w:eastAsia="en-US"/>
              </w:rPr>
            </w:pPr>
            <w:r w:rsidRPr="00580C0C">
              <w:rPr>
                <w:b/>
                <w:bCs/>
                <w:color w:val="000000"/>
                <w:sz w:val="16"/>
                <w:szCs w:val="16"/>
                <w:lang w:eastAsia="en-US"/>
              </w:rPr>
              <w:t>TIZNIT</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fermeture de la salle du Centre Régional des Métiers de l’Education et de Formation suite aux instructions des autorités. Les concernés ont organisé un sit-in.</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64</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REUNION ORGANISATIONNELLE</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01/03/2015</w:t>
            </w:r>
          </w:p>
          <w:p w:rsidR="000F2BDD" w:rsidRPr="00580C0C" w:rsidRDefault="000F2BDD" w:rsidP="00580C0C">
            <w:pPr>
              <w:jc w:val="both"/>
              <w:rPr>
                <w:color w:val="000000"/>
                <w:sz w:val="16"/>
                <w:szCs w:val="16"/>
                <w:lang w:eastAsia="en-US"/>
              </w:rPr>
            </w:pPr>
            <w:r w:rsidRPr="00580C0C">
              <w:rPr>
                <w:b/>
                <w:bCs/>
                <w:color w:val="000000"/>
                <w:sz w:val="16"/>
                <w:szCs w:val="16"/>
                <w:lang w:eastAsia="en-US"/>
              </w:rPr>
              <w:t>BERRACHID</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fermeture de la maison des jeune entièrement</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65</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Conférence sur « les droits de la femme marocaine entre les pactes internationaux et la réalité »</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06/03/2015</w:t>
            </w:r>
          </w:p>
          <w:p w:rsidR="000F2BDD" w:rsidRPr="00580C0C" w:rsidRDefault="000F2BDD" w:rsidP="00580C0C">
            <w:pPr>
              <w:jc w:val="both"/>
              <w:rPr>
                <w:color w:val="000000"/>
                <w:sz w:val="16"/>
                <w:szCs w:val="16"/>
                <w:lang w:eastAsia="en-US"/>
              </w:rPr>
            </w:pPr>
            <w:r w:rsidRPr="00580C0C">
              <w:rPr>
                <w:b/>
                <w:bCs/>
                <w:color w:val="000000"/>
                <w:sz w:val="16"/>
                <w:szCs w:val="16"/>
                <w:lang w:eastAsia="en-US"/>
              </w:rPr>
              <w:t>KHENIFRA</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le lieu de la conférence (chambre du commerce et de l’industrie) était encerclé par les forces de l’ordre ; aucune explication, malgré l’accord et la promesse de ministre des relation avec le parlement</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66</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Conférence sur « la femme ouvrière et les droits des travailleurs »</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07/03/2015</w:t>
            </w:r>
          </w:p>
          <w:p w:rsidR="000F2BDD" w:rsidRPr="00580C0C" w:rsidRDefault="000F2BDD" w:rsidP="00580C0C">
            <w:pPr>
              <w:jc w:val="both"/>
              <w:rPr>
                <w:color w:val="000000"/>
                <w:sz w:val="16"/>
                <w:szCs w:val="16"/>
                <w:lang w:eastAsia="en-US"/>
              </w:rPr>
            </w:pPr>
            <w:r w:rsidRPr="00580C0C">
              <w:rPr>
                <w:b/>
                <w:bCs/>
                <w:color w:val="000000"/>
                <w:sz w:val="16"/>
                <w:szCs w:val="16"/>
                <w:lang w:eastAsia="en-US"/>
              </w:rPr>
              <w:t>TANGER</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refus de réception de la déclaration de l’AMDH par les autorités en présence du haussier pour utiliser la salle de conférences Ahmed BOUKMAKH au club Ibn BATOTA</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67</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Stand de sensibilisation aux droits de la femme</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08/03/2015</w:t>
            </w:r>
          </w:p>
          <w:p w:rsidR="000F2BDD" w:rsidRPr="00580C0C" w:rsidRDefault="000F2BDD" w:rsidP="00580C0C">
            <w:pPr>
              <w:jc w:val="both"/>
              <w:rPr>
                <w:color w:val="000000"/>
                <w:sz w:val="16"/>
                <w:szCs w:val="16"/>
                <w:lang w:eastAsia="en-US"/>
              </w:rPr>
            </w:pPr>
            <w:r w:rsidRPr="00580C0C">
              <w:rPr>
                <w:b/>
                <w:bCs/>
                <w:color w:val="000000"/>
                <w:sz w:val="16"/>
                <w:szCs w:val="16"/>
                <w:lang w:eastAsia="en-US"/>
              </w:rPr>
              <w:t>OUJDA</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INFORMELLE : après autorisation, les forces de l’ordre ont encerclé le lieu et confisqué tout le matériel </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68</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Rencontre ouverte avec Khadija RYADI</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14/03/2015</w:t>
            </w:r>
          </w:p>
          <w:p w:rsidR="000F2BDD" w:rsidRPr="00580C0C" w:rsidRDefault="000F2BDD" w:rsidP="00580C0C">
            <w:pPr>
              <w:jc w:val="both"/>
              <w:rPr>
                <w:b/>
                <w:bCs/>
                <w:color w:val="000000"/>
                <w:sz w:val="16"/>
                <w:szCs w:val="16"/>
                <w:lang w:eastAsia="en-US"/>
              </w:rPr>
            </w:pPr>
            <w:r w:rsidRPr="00580C0C">
              <w:rPr>
                <w:b/>
                <w:bCs/>
                <w:color w:val="000000"/>
                <w:sz w:val="16"/>
                <w:szCs w:val="16"/>
                <w:lang w:eastAsia="en-US"/>
              </w:rPr>
              <w:t>ASSA ZAG</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fermeture de la porte de la maison des jeune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69</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REUNION ORGANISATIONNELLE</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28/03/2015</w:t>
            </w:r>
          </w:p>
          <w:p w:rsidR="000F2BDD" w:rsidRPr="00580C0C" w:rsidRDefault="000F2BDD" w:rsidP="00580C0C">
            <w:pPr>
              <w:jc w:val="both"/>
              <w:rPr>
                <w:b/>
                <w:bCs/>
                <w:color w:val="000000"/>
                <w:sz w:val="16"/>
                <w:szCs w:val="16"/>
                <w:lang w:eastAsia="en-US"/>
              </w:rPr>
            </w:pPr>
            <w:r w:rsidRPr="00580C0C">
              <w:rPr>
                <w:b/>
                <w:bCs/>
                <w:color w:val="000000"/>
                <w:sz w:val="16"/>
                <w:szCs w:val="16"/>
                <w:lang w:eastAsia="en-US"/>
              </w:rPr>
              <w:t>AL MADIAQ</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puis FORMELLE: le pacha a interdit oralement l’activité, le lendemain un refus écrit par le président de la commune basé sur la non permission des autorités locales</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70</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Conférence sur « la violence à l’égare des femmes »</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28/03/2015</w:t>
            </w:r>
          </w:p>
          <w:p w:rsidR="000F2BDD" w:rsidRPr="00580C0C" w:rsidRDefault="000F2BDD" w:rsidP="00580C0C">
            <w:pPr>
              <w:jc w:val="both"/>
              <w:rPr>
                <w:b/>
                <w:bCs/>
                <w:color w:val="000000"/>
                <w:sz w:val="16"/>
                <w:szCs w:val="16"/>
                <w:lang w:eastAsia="en-US"/>
              </w:rPr>
            </w:pPr>
            <w:r w:rsidRPr="00580C0C">
              <w:rPr>
                <w:b/>
                <w:bCs/>
                <w:color w:val="000000"/>
                <w:sz w:val="16"/>
                <w:szCs w:val="16"/>
                <w:lang w:eastAsia="en-US"/>
              </w:rPr>
              <w:t>MEKNES</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INFORMELLES : malgré un accord écrit du directeur de la maison des jeunes ce dernier a fermé la salle de conférences suite aux instructions informelles des autorités locales</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71</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Séance de lecture publique</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26/04/2015</w:t>
            </w:r>
          </w:p>
          <w:p w:rsidR="000F2BDD" w:rsidRPr="00580C0C" w:rsidRDefault="000F2BDD" w:rsidP="00580C0C">
            <w:pPr>
              <w:jc w:val="both"/>
              <w:rPr>
                <w:color w:val="000000"/>
                <w:sz w:val="16"/>
                <w:szCs w:val="16"/>
                <w:lang w:eastAsia="en-US"/>
              </w:rPr>
            </w:pPr>
            <w:r w:rsidRPr="00580C0C">
              <w:rPr>
                <w:b/>
                <w:bCs/>
                <w:color w:val="000000"/>
                <w:sz w:val="16"/>
                <w:szCs w:val="16"/>
                <w:lang w:eastAsia="en-US"/>
              </w:rPr>
              <w:t>TIFLET</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FORMELLE : le pacha a envoyé une interdiction écrite sous prétexte de ne pas respecter les procédures légales</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72</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Conférence de presse de l’association ADN</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05/05/2015</w:t>
            </w:r>
          </w:p>
          <w:p w:rsidR="000F2BDD" w:rsidRPr="00580C0C" w:rsidRDefault="000F2BDD" w:rsidP="00580C0C">
            <w:pPr>
              <w:jc w:val="both"/>
              <w:rPr>
                <w:color w:val="000000"/>
                <w:sz w:val="16"/>
                <w:szCs w:val="16"/>
                <w:lang w:eastAsia="en-US"/>
              </w:rPr>
            </w:pPr>
            <w:r w:rsidRPr="00580C0C">
              <w:rPr>
                <w:b/>
                <w:bCs/>
                <w:color w:val="000000"/>
                <w:sz w:val="16"/>
                <w:szCs w:val="16"/>
                <w:lang w:eastAsia="en-US"/>
              </w:rPr>
              <w:t>RABAT</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INFORMELLE : les autorités ont encerclé le siège central de l’AMDH et ont interdit l’accès même pour les employés avant de se retirer </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73</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REUNION ORGANISATIONNELLE pour le 24/05/2015</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06/05/2015</w:t>
            </w:r>
          </w:p>
          <w:p w:rsidR="000F2BDD" w:rsidRPr="00580C0C" w:rsidRDefault="000F2BDD" w:rsidP="00580C0C">
            <w:pPr>
              <w:jc w:val="both"/>
              <w:rPr>
                <w:color w:val="000000"/>
                <w:sz w:val="16"/>
                <w:szCs w:val="16"/>
                <w:lang w:eastAsia="en-US"/>
              </w:rPr>
            </w:pPr>
            <w:r w:rsidRPr="00580C0C">
              <w:rPr>
                <w:b/>
                <w:bCs/>
                <w:color w:val="000000"/>
                <w:sz w:val="16"/>
                <w:szCs w:val="16"/>
                <w:lang w:eastAsia="en-US"/>
              </w:rPr>
              <w:t>BERNOUSSI</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le directeur de la bibliothèque communale après qu’il a demandé le report de la réunion du 17 au 24/05/2015, il demande l’autorisation des services de la Wilaya pour donner la salle.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74</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Séminaire national sur « défier l’handicap est possible »</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10/05/2015</w:t>
            </w:r>
          </w:p>
          <w:p w:rsidR="000F2BDD" w:rsidRPr="00580C0C" w:rsidRDefault="000F2BDD" w:rsidP="00580C0C">
            <w:pPr>
              <w:jc w:val="both"/>
              <w:rPr>
                <w:color w:val="000000"/>
                <w:sz w:val="16"/>
                <w:szCs w:val="16"/>
                <w:lang w:eastAsia="en-US"/>
              </w:rPr>
            </w:pPr>
            <w:r w:rsidRPr="00580C0C">
              <w:rPr>
                <w:b/>
                <w:bCs/>
                <w:color w:val="000000"/>
                <w:sz w:val="16"/>
                <w:szCs w:val="16"/>
                <w:lang w:eastAsia="en-US"/>
              </w:rPr>
              <w:t>RABAT</w:t>
            </w:r>
          </w:p>
          <w:p w:rsidR="000F2BDD" w:rsidRPr="00580C0C" w:rsidRDefault="000F2BDD" w:rsidP="00580C0C">
            <w:pPr>
              <w:jc w:val="both"/>
              <w:rPr>
                <w:color w:val="000000"/>
                <w:sz w:val="16"/>
                <w:szCs w:val="16"/>
                <w:lang w:eastAsia="en-US"/>
              </w:rPr>
            </w:pP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désistement de l’administration de l’Hôtel après l’accord suite à la pression des autorités</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75</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REUNION ORGANISATIONNELLE pour le renouvellement du bureau</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24/05/2015</w:t>
            </w:r>
          </w:p>
          <w:p w:rsidR="000F2BDD" w:rsidRPr="00580C0C" w:rsidRDefault="000F2BDD" w:rsidP="00580C0C">
            <w:pPr>
              <w:jc w:val="both"/>
              <w:rPr>
                <w:b/>
                <w:bCs/>
                <w:color w:val="000000"/>
                <w:sz w:val="16"/>
                <w:szCs w:val="16"/>
                <w:lang w:eastAsia="en-US"/>
              </w:rPr>
            </w:pPr>
            <w:r w:rsidRPr="00580C0C">
              <w:rPr>
                <w:b/>
                <w:bCs/>
                <w:color w:val="000000"/>
                <w:sz w:val="16"/>
                <w:szCs w:val="16"/>
                <w:lang w:eastAsia="en-US"/>
              </w:rPr>
              <w:t>HAD SOUALEM</w:t>
            </w:r>
          </w:p>
          <w:p w:rsidR="000F2BDD" w:rsidRPr="00580C0C" w:rsidRDefault="000F2BDD" w:rsidP="00580C0C">
            <w:pPr>
              <w:jc w:val="both"/>
              <w:rPr>
                <w:color w:val="000000"/>
                <w:sz w:val="16"/>
                <w:szCs w:val="16"/>
                <w:lang w:eastAsia="en-US"/>
              </w:rPr>
            </w:pP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fermeture de la salle des conférences malgré que le bureau local de l’association dispose d’un accord écrit du conseil communal, ce qui a obligé les organisateurs à faire cette activité dans la rue.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76</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SESSION DE FORMATION régionale sur « le suivi des violations des droits humain »</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30/05/2015</w:t>
            </w:r>
          </w:p>
          <w:p w:rsidR="000F2BDD" w:rsidRPr="00580C0C" w:rsidRDefault="000F2BDD" w:rsidP="00580C0C">
            <w:pPr>
              <w:jc w:val="both"/>
              <w:rPr>
                <w:color w:val="000000"/>
                <w:sz w:val="16"/>
                <w:szCs w:val="16"/>
                <w:lang w:eastAsia="en-US"/>
              </w:rPr>
            </w:pPr>
            <w:r w:rsidRPr="00580C0C">
              <w:rPr>
                <w:b/>
                <w:bCs/>
                <w:color w:val="000000"/>
                <w:sz w:val="16"/>
                <w:szCs w:val="16"/>
                <w:lang w:eastAsia="en-US"/>
              </w:rPr>
              <w:t>FEZ</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fermeture, par le Pacha et les autorités locales, de la salle du « centre de formation et d’animation du réseau associatif » malgré l’accord du conseil administratif</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77</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L’affichage de banderoles dans des lieux publiques relatives à des activités de sensibilisation</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10/06/2015</w:t>
            </w:r>
          </w:p>
          <w:p w:rsidR="000F2BDD" w:rsidRPr="00580C0C" w:rsidRDefault="000F2BDD" w:rsidP="00580C0C">
            <w:pPr>
              <w:jc w:val="both"/>
              <w:rPr>
                <w:color w:val="000000"/>
                <w:sz w:val="16"/>
                <w:szCs w:val="16"/>
                <w:lang w:eastAsia="en-US"/>
              </w:rPr>
            </w:pPr>
            <w:r w:rsidRPr="00580C0C">
              <w:rPr>
                <w:b/>
                <w:bCs/>
                <w:color w:val="000000"/>
                <w:sz w:val="16"/>
                <w:szCs w:val="16"/>
                <w:lang w:eastAsia="en-US"/>
              </w:rPr>
              <w:t>ERRACHIDIA</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Le pacha a refusé de donner l’autorisation sous prétexte que les banderoles contiennent un sit-in qui demande une autorisation des autorités ce qui est faux selon la loi.</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78</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Rencontre régionale sur les droits de la femme</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13/06/2015</w:t>
            </w:r>
          </w:p>
          <w:p w:rsidR="000F2BDD" w:rsidRPr="00580C0C" w:rsidRDefault="000F2BDD" w:rsidP="00580C0C">
            <w:pPr>
              <w:jc w:val="both"/>
              <w:rPr>
                <w:color w:val="000000"/>
                <w:sz w:val="16"/>
                <w:szCs w:val="16"/>
                <w:lang w:eastAsia="en-US"/>
              </w:rPr>
            </w:pPr>
            <w:r w:rsidRPr="00580C0C">
              <w:rPr>
                <w:b/>
                <w:bCs/>
                <w:color w:val="000000"/>
                <w:sz w:val="16"/>
                <w:szCs w:val="16"/>
                <w:lang w:eastAsia="en-US"/>
              </w:rPr>
              <w:t>CHEFCHAOUEN</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INFORMELLE : les autorités ont demandé à la directrice de la maison de la culture d’interdire l’accès à la salle pour la section régionale de l’AMDH sous prétexte qu’elle n’a pas de récépissé de dépôt de dossier. Alors que la section est réglementaire. </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79</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Exposition/stand des documents de l’AMDH</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24/06/2015</w:t>
            </w:r>
          </w:p>
          <w:p w:rsidR="000F2BDD" w:rsidRPr="00580C0C" w:rsidRDefault="000F2BDD" w:rsidP="00580C0C">
            <w:pPr>
              <w:jc w:val="both"/>
              <w:rPr>
                <w:b/>
                <w:bCs/>
                <w:color w:val="000000"/>
                <w:sz w:val="16"/>
                <w:szCs w:val="16"/>
                <w:lang w:eastAsia="en-US"/>
              </w:rPr>
            </w:pPr>
            <w:r w:rsidRPr="00580C0C">
              <w:rPr>
                <w:b/>
                <w:bCs/>
                <w:color w:val="000000"/>
                <w:sz w:val="16"/>
                <w:szCs w:val="16"/>
                <w:lang w:eastAsia="en-US"/>
              </w:rPr>
              <w:t>OUED ZEM</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FORMELLE : le pacha a envoyé une interdiction écrite sous prétexte de raisons sécuritaires malgré que ce même espace est souvent utilisé pour les festivals</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80</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La 11° session de la Rencontre locale annuelle des clubs des droits humains </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24/06/2015</w:t>
            </w:r>
          </w:p>
          <w:p w:rsidR="000F2BDD" w:rsidRPr="00580C0C" w:rsidRDefault="000F2BDD" w:rsidP="00580C0C">
            <w:pPr>
              <w:jc w:val="both"/>
              <w:rPr>
                <w:color w:val="000000"/>
                <w:sz w:val="16"/>
                <w:szCs w:val="16"/>
                <w:lang w:eastAsia="en-US"/>
              </w:rPr>
            </w:pPr>
            <w:r w:rsidRPr="00580C0C">
              <w:rPr>
                <w:b/>
                <w:bCs/>
                <w:color w:val="000000"/>
                <w:sz w:val="16"/>
                <w:szCs w:val="16"/>
                <w:lang w:eastAsia="en-US"/>
              </w:rPr>
              <w:t>RABAT</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le délégué du MEN n’a pas voulu répondre à la demande de la section de l’AMDH depuis le 23/04/2015 demandant l’espace du lycée des Orangées où s’organise chaque année cette activité.</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81</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Conférence sur « Le rôle de la justice dans la protection des libertés publiques »</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21/06/2015</w:t>
            </w:r>
          </w:p>
          <w:p w:rsidR="000F2BDD" w:rsidRPr="00580C0C" w:rsidRDefault="000F2BDD" w:rsidP="00580C0C">
            <w:pPr>
              <w:jc w:val="both"/>
              <w:rPr>
                <w:b/>
                <w:bCs/>
                <w:color w:val="000000"/>
                <w:sz w:val="16"/>
                <w:szCs w:val="16"/>
                <w:lang w:eastAsia="en-US"/>
              </w:rPr>
            </w:pPr>
            <w:r w:rsidRPr="00580C0C">
              <w:rPr>
                <w:b/>
                <w:bCs/>
                <w:color w:val="000000"/>
                <w:sz w:val="16"/>
                <w:szCs w:val="16"/>
                <w:lang w:eastAsia="en-US"/>
              </w:rPr>
              <w:t>KALAA DES SRAGHNA</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Le pacha a interdit l’accès à la salle municipale, malgré l’autorisation du conseil communal. Les membres et les invités de l’AMDH ont organisé un sit-in de protestation devant la salle.</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rFonts w:ascii="Calibri" w:hAnsi="Calibri"/>
                <w:color w:val="FFFFFF"/>
                <w:sz w:val="16"/>
                <w:szCs w:val="16"/>
                <w:lang w:eastAsia="en-US"/>
              </w:rPr>
            </w:pPr>
            <w:r w:rsidRPr="00580C0C">
              <w:rPr>
                <w:rFonts w:ascii="Calibri" w:hAnsi="Calibri"/>
                <w:color w:val="FFFFFF"/>
                <w:sz w:val="16"/>
                <w:szCs w:val="16"/>
                <w:lang w:eastAsia="en-US"/>
              </w:rPr>
              <w:t>82</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Conférence sur « Pour la Conformité de la législation marocaine avec les engagements internationaux du Maroc »</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27/06/2015</w:t>
            </w:r>
          </w:p>
          <w:p w:rsidR="000F2BDD" w:rsidRPr="00580C0C" w:rsidRDefault="000F2BDD" w:rsidP="00580C0C">
            <w:pPr>
              <w:jc w:val="both"/>
              <w:rPr>
                <w:color w:val="000000"/>
                <w:sz w:val="16"/>
                <w:szCs w:val="16"/>
                <w:lang w:eastAsia="en-US"/>
              </w:rPr>
            </w:pPr>
            <w:r w:rsidRPr="00580C0C">
              <w:rPr>
                <w:b/>
                <w:bCs/>
                <w:color w:val="000000"/>
                <w:sz w:val="16"/>
                <w:szCs w:val="16"/>
                <w:lang w:eastAsia="en-US"/>
              </w:rPr>
              <w:t>LARACH</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FORMELLE : le pacha, après avoir donné une autorisation écrite aux membres du Bureau de la section a demandé par la suite de lui rendre cette autorisation pour la remplacer avec une interdiction écrite !!</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color w:val="FFFFFF"/>
                <w:sz w:val="16"/>
                <w:szCs w:val="16"/>
                <w:lang w:eastAsia="en-US"/>
              </w:rPr>
            </w:pPr>
            <w:r w:rsidRPr="00580C0C">
              <w:rPr>
                <w:color w:val="FFFFFF"/>
                <w:sz w:val="16"/>
                <w:szCs w:val="16"/>
                <w:lang w:eastAsia="en-US"/>
              </w:rPr>
              <w:t>83</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Commémoration du 36 ème anniversaire de l’AMDH</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26/06/2015</w:t>
            </w:r>
          </w:p>
          <w:p w:rsidR="000F2BDD" w:rsidRPr="00580C0C" w:rsidRDefault="000F2BDD" w:rsidP="00580C0C">
            <w:pPr>
              <w:jc w:val="both"/>
              <w:rPr>
                <w:color w:val="000000"/>
                <w:sz w:val="16"/>
                <w:szCs w:val="16"/>
                <w:lang w:eastAsia="en-US"/>
              </w:rPr>
            </w:pPr>
            <w:r w:rsidRPr="00580C0C">
              <w:rPr>
                <w:b/>
                <w:bCs/>
                <w:color w:val="000000"/>
                <w:sz w:val="16"/>
                <w:szCs w:val="16"/>
                <w:lang w:eastAsia="en-US"/>
              </w:rPr>
              <w:t>MADIAQ</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le pacha refuse de recevoir l’avis de l’AMDH et le président de la commune exige l’accord du pacha.</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color w:val="FFFFFF"/>
                <w:sz w:val="16"/>
                <w:szCs w:val="16"/>
                <w:lang w:eastAsia="en-US"/>
              </w:rPr>
            </w:pPr>
            <w:r w:rsidRPr="00580C0C">
              <w:rPr>
                <w:color w:val="FFFFFF"/>
                <w:sz w:val="16"/>
                <w:szCs w:val="16"/>
                <w:rtl/>
                <w:lang w:eastAsia="en-US"/>
              </w:rPr>
              <w:t>84</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Conférence sur « le droit à l’avortement »</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11/07/2015</w:t>
            </w:r>
          </w:p>
          <w:p w:rsidR="000F2BDD" w:rsidRPr="00580C0C" w:rsidRDefault="000F2BDD" w:rsidP="00580C0C">
            <w:pPr>
              <w:jc w:val="both"/>
              <w:rPr>
                <w:color w:val="000000"/>
                <w:sz w:val="16"/>
                <w:szCs w:val="16"/>
                <w:lang w:eastAsia="en-US"/>
              </w:rPr>
            </w:pPr>
            <w:r w:rsidRPr="00580C0C">
              <w:rPr>
                <w:b/>
                <w:bCs/>
                <w:color w:val="000000"/>
                <w:sz w:val="16"/>
                <w:szCs w:val="16"/>
                <w:lang w:eastAsia="en-US"/>
              </w:rPr>
              <w:t>SEFROU</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les autorités ont encerclé le lieu malgré l’autorisation et le respect du règlement par la section.</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color w:val="FFFFFF"/>
                <w:sz w:val="16"/>
                <w:szCs w:val="16"/>
                <w:rtl/>
                <w:lang w:eastAsia="en-US"/>
              </w:rPr>
            </w:pPr>
            <w:r w:rsidRPr="00580C0C">
              <w:rPr>
                <w:color w:val="FFFFFF"/>
                <w:sz w:val="16"/>
                <w:szCs w:val="16"/>
                <w:lang w:eastAsia="en-US"/>
              </w:rPr>
              <w:t>85</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Conférence sur « la journée mondiale contre la pauvreté »</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10/10/2015</w:t>
            </w:r>
          </w:p>
          <w:p w:rsidR="000F2BDD" w:rsidRPr="00580C0C" w:rsidRDefault="000F2BDD" w:rsidP="00580C0C">
            <w:pPr>
              <w:jc w:val="both"/>
              <w:rPr>
                <w:color w:val="000000"/>
                <w:sz w:val="16"/>
                <w:szCs w:val="16"/>
                <w:lang w:eastAsia="en-US"/>
              </w:rPr>
            </w:pPr>
            <w:r w:rsidRPr="00580C0C">
              <w:rPr>
                <w:b/>
                <w:bCs/>
                <w:color w:val="000000"/>
                <w:sz w:val="16"/>
                <w:szCs w:val="16"/>
                <w:lang w:eastAsia="en-US"/>
              </w:rPr>
              <w:t>TANGER</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les autorités ont demandé au directeur du centre culturel Ibn Batouta d’interdire l’activité sous prétexte que les organisateur n’ont pas d’autorisation légale. Alors que la section a demandé cette autorisation et les autorités ont refusé en présence du huissier.</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color w:val="FFFFFF"/>
                <w:sz w:val="16"/>
                <w:szCs w:val="16"/>
                <w:lang w:eastAsia="en-US"/>
              </w:rPr>
            </w:pPr>
            <w:r w:rsidRPr="00580C0C">
              <w:rPr>
                <w:color w:val="FFFFFF"/>
                <w:sz w:val="16"/>
                <w:szCs w:val="16"/>
                <w:lang w:eastAsia="en-US"/>
              </w:rPr>
              <w:t>86</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Conférence sur « Situation des libertés publiques au Maroc »</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31/10/2015</w:t>
            </w:r>
          </w:p>
          <w:p w:rsidR="000F2BDD" w:rsidRPr="00580C0C" w:rsidRDefault="000F2BDD" w:rsidP="00580C0C">
            <w:pPr>
              <w:jc w:val="both"/>
              <w:rPr>
                <w:color w:val="000000"/>
                <w:sz w:val="16"/>
                <w:szCs w:val="16"/>
                <w:lang w:eastAsia="en-US"/>
              </w:rPr>
            </w:pPr>
            <w:r w:rsidRPr="00580C0C">
              <w:rPr>
                <w:b/>
                <w:bCs/>
                <w:color w:val="000000"/>
                <w:sz w:val="16"/>
                <w:szCs w:val="16"/>
                <w:lang w:eastAsia="en-US"/>
              </w:rPr>
              <w:t>BIOUGRA</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Malgré que le bureau local a remplis toutes les mesures réglementaires, les autorités ont refusé de donner l’autorisation de la conférence au complexe culturel Said ACHTOUK sous prétexte  qu’ils ont des « instructions ».</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color w:val="FFFFFF"/>
                <w:sz w:val="16"/>
                <w:szCs w:val="16"/>
                <w:lang w:eastAsia="en-US"/>
              </w:rPr>
            </w:pPr>
            <w:r w:rsidRPr="00580C0C">
              <w:rPr>
                <w:color w:val="FFFFFF"/>
                <w:sz w:val="16"/>
                <w:szCs w:val="16"/>
                <w:rtl/>
                <w:lang w:eastAsia="en-US"/>
              </w:rPr>
              <w:t>87</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Conférence sur « Situation des libertés publiques au Maroc »</w:t>
            </w:r>
          </w:p>
        </w:tc>
        <w:tc>
          <w:tcPr>
            <w:tcW w:w="163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31/10/2015</w:t>
            </w:r>
          </w:p>
          <w:p w:rsidR="000F2BDD" w:rsidRPr="00580C0C" w:rsidRDefault="000F2BDD" w:rsidP="00580C0C">
            <w:pPr>
              <w:jc w:val="both"/>
              <w:rPr>
                <w:b/>
                <w:bCs/>
                <w:color w:val="000000"/>
                <w:sz w:val="16"/>
                <w:szCs w:val="16"/>
                <w:lang w:eastAsia="en-US"/>
              </w:rPr>
            </w:pPr>
            <w:r w:rsidRPr="00580C0C">
              <w:rPr>
                <w:b/>
                <w:bCs/>
                <w:color w:val="000000"/>
                <w:sz w:val="16"/>
                <w:szCs w:val="16"/>
                <w:lang w:eastAsia="en-US"/>
              </w:rPr>
              <w:t>EL JADIDA</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Malgré que le bureau local a remplis toutes les mesures réglementaires, les organisateurs se sont trouvé devant la porte fermée de la salle du conseil municipal.</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color w:val="FFFFFF"/>
                <w:sz w:val="16"/>
                <w:szCs w:val="16"/>
                <w:lang w:eastAsia="en-US"/>
              </w:rPr>
            </w:pPr>
            <w:r w:rsidRPr="00580C0C">
              <w:rPr>
                <w:color w:val="FFFFFF"/>
                <w:sz w:val="16"/>
                <w:szCs w:val="16"/>
                <w:lang w:eastAsia="en-US"/>
              </w:rPr>
              <w:t>88</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Conférence sur « Situation des libertés publiques au Maroc »</w:t>
            </w:r>
          </w:p>
        </w:tc>
        <w:tc>
          <w:tcPr>
            <w:tcW w:w="163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31/10/2015</w:t>
            </w:r>
          </w:p>
          <w:p w:rsidR="000F2BDD" w:rsidRPr="00580C0C" w:rsidRDefault="000F2BDD" w:rsidP="00580C0C">
            <w:pPr>
              <w:jc w:val="both"/>
              <w:rPr>
                <w:b/>
                <w:bCs/>
                <w:color w:val="000000"/>
                <w:sz w:val="16"/>
                <w:szCs w:val="16"/>
                <w:lang w:eastAsia="en-US"/>
              </w:rPr>
            </w:pPr>
            <w:r w:rsidRPr="00580C0C">
              <w:rPr>
                <w:b/>
                <w:bCs/>
                <w:color w:val="000000"/>
                <w:sz w:val="16"/>
                <w:szCs w:val="16"/>
                <w:lang w:eastAsia="en-US"/>
              </w:rPr>
              <w:t>MENARA</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Malgré que le bureau local a remplis toutes les mesures réglementaires, les organisateurs se sont trouvé devant la porte fermée de la salle du conseil municipal.</w:t>
            </w:r>
          </w:p>
        </w:tc>
      </w:tr>
      <w:tr w:rsidR="000F2BDD" w:rsidRPr="001C48BE" w:rsidTr="001758ED">
        <w:tc>
          <w:tcPr>
            <w:tcW w:w="534" w:type="dxa"/>
            <w:tcBorders>
              <w:left w:val="nil"/>
              <w:bottom w:val="nil"/>
              <w:right w:val="nil"/>
            </w:tcBorders>
            <w:shd w:val="clear" w:color="auto" w:fill="276A7C"/>
            <w:vAlign w:val="center"/>
          </w:tcPr>
          <w:p w:rsidR="000F2BDD" w:rsidRPr="00580C0C" w:rsidRDefault="000F2BDD" w:rsidP="00580C0C">
            <w:pPr>
              <w:jc w:val="both"/>
              <w:rPr>
                <w:color w:val="FFFFFF"/>
                <w:sz w:val="16"/>
                <w:szCs w:val="16"/>
                <w:lang w:eastAsia="en-US"/>
              </w:rPr>
            </w:pPr>
            <w:r w:rsidRPr="00580C0C">
              <w:rPr>
                <w:color w:val="FFFFFF"/>
                <w:sz w:val="16"/>
                <w:szCs w:val="16"/>
                <w:lang w:eastAsia="en-US"/>
              </w:rPr>
              <w:t>89</w:t>
            </w:r>
          </w:p>
        </w:tc>
        <w:tc>
          <w:tcPr>
            <w:tcW w:w="3402" w:type="dxa"/>
            <w:tcBorders>
              <w:bottom w:val="single" w:sz="4" w:space="0" w:color="4BACC6"/>
            </w:tcBorders>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Atelier sur « l’animation des clubs de citoyenneté et des droits de l’homme »</w:t>
            </w:r>
          </w:p>
        </w:tc>
        <w:tc>
          <w:tcPr>
            <w:tcW w:w="1636" w:type="dxa"/>
            <w:tcBorders>
              <w:bottom w:val="single" w:sz="4" w:space="0" w:color="4BACC6"/>
            </w:tcBorders>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22/11/2015</w:t>
            </w:r>
          </w:p>
          <w:p w:rsidR="000F2BDD" w:rsidRPr="00580C0C" w:rsidRDefault="000F2BDD" w:rsidP="00580C0C">
            <w:pPr>
              <w:jc w:val="both"/>
              <w:rPr>
                <w:color w:val="000000"/>
                <w:sz w:val="16"/>
                <w:szCs w:val="16"/>
                <w:lang w:eastAsia="en-US"/>
              </w:rPr>
            </w:pPr>
            <w:r w:rsidRPr="00580C0C">
              <w:rPr>
                <w:b/>
                <w:bCs/>
                <w:color w:val="000000"/>
                <w:sz w:val="16"/>
                <w:szCs w:val="16"/>
                <w:lang w:eastAsia="en-US"/>
              </w:rPr>
              <w:t>BOUIZAKARNE</w:t>
            </w:r>
          </w:p>
        </w:tc>
        <w:tc>
          <w:tcPr>
            <w:tcW w:w="5216" w:type="dxa"/>
            <w:tcBorders>
              <w:bottom w:val="single" w:sz="4" w:space="0" w:color="4BACC6"/>
            </w:tcBorders>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Malgré le respect des mesures réglementaires et l’autorisation, la porte de la maison de la culture a été cadenassée par les forces de sécurité</w:t>
            </w:r>
          </w:p>
        </w:tc>
      </w:tr>
    </w:tbl>
    <w:p w:rsidR="000F2BDD" w:rsidRPr="001C48BE" w:rsidRDefault="000F2BDD" w:rsidP="001C48BE">
      <w:pPr>
        <w:jc w:val="both"/>
        <w:rPr>
          <w:sz w:val="16"/>
          <w:szCs w:val="16"/>
          <w:rtl/>
        </w:rPr>
      </w:pPr>
    </w:p>
    <w:p w:rsidR="000F2BDD" w:rsidRPr="001C48BE" w:rsidRDefault="000F2BDD" w:rsidP="001C48BE">
      <w:pPr>
        <w:jc w:val="both"/>
        <w:rPr>
          <w:b/>
          <w:bCs/>
          <w:sz w:val="16"/>
          <w:szCs w:val="16"/>
        </w:rPr>
      </w:pPr>
      <w:r w:rsidRPr="001C48BE">
        <w:rPr>
          <w:b/>
          <w:bCs/>
          <w:sz w:val="16"/>
          <w:szCs w:val="16"/>
        </w:rPr>
        <w:t>LES SIT-IN</w:t>
      </w:r>
    </w:p>
    <w:tbl>
      <w:tblPr>
        <w:tblW w:w="10788" w:type="dxa"/>
        <w:tblInd w:w="-966" w:type="dxa"/>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Layout w:type="fixed"/>
        <w:tblLook w:val="00A0" w:firstRow="1" w:lastRow="0" w:firstColumn="1" w:lastColumn="0" w:noHBand="0" w:noVBand="0"/>
      </w:tblPr>
      <w:tblGrid>
        <w:gridCol w:w="534"/>
        <w:gridCol w:w="3402"/>
        <w:gridCol w:w="1636"/>
        <w:gridCol w:w="5216"/>
      </w:tblGrid>
      <w:tr w:rsidR="000F2BDD" w:rsidRPr="001C48BE" w:rsidTr="001758ED">
        <w:tc>
          <w:tcPr>
            <w:tcW w:w="534" w:type="dxa"/>
            <w:tcBorders>
              <w:top w:val="nil"/>
              <w:left w:val="nil"/>
              <w:bottom w:val="single" w:sz="24" w:space="0" w:color="F79646"/>
              <w:right w:val="nil"/>
            </w:tcBorders>
            <w:shd w:val="clear" w:color="auto" w:fill="FFFFFF"/>
          </w:tcPr>
          <w:p w:rsidR="000F2BDD" w:rsidRPr="00580C0C" w:rsidRDefault="000F2BDD" w:rsidP="00580C0C">
            <w:pPr>
              <w:jc w:val="both"/>
              <w:rPr>
                <w:b/>
                <w:bCs/>
                <w:sz w:val="16"/>
                <w:szCs w:val="16"/>
                <w:lang w:eastAsia="en-US"/>
              </w:rPr>
            </w:pPr>
            <w:r w:rsidRPr="00580C0C">
              <w:rPr>
                <w:b/>
                <w:bCs/>
                <w:sz w:val="16"/>
                <w:szCs w:val="16"/>
                <w:lang w:eastAsia="en-US"/>
              </w:rPr>
              <w:t>NO</w:t>
            </w:r>
          </w:p>
        </w:tc>
        <w:tc>
          <w:tcPr>
            <w:tcW w:w="3402" w:type="dxa"/>
            <w:tcBorders>
              <w:top w:val="nil"/>
              <w:left w:val="nil"/>
              <w:bottom w:val="single" w:sz="24" w:space="0" w:color="F79646"/>
              <w:right w:val="nil"/>
            </w:tcBorders>
            <w:shd w:val="clear" w:color="auto" w:fill="FFFFFF"/>
          </w:tcPr>
          <w:p w:rsidR="000F2BDD" w:rsidRPr="00580C0C" w:rsidRDefault="000F2BDD" w:rsidP="00580C0C">
            <w:pPr>
              <w:jc w:val="both"/>
              <w:rPr>
                <w:b/>
                <w:bCs/>
                <w:sz w:val="16"/>
                <w:szCs w:val="16"/>
                <w:lang w:eastAsia="en-US"/>
              </w:rPr>
            </w:pPr>
            <w:r w:rsidRPr="00580C0C">
              <w:rPr>
                <w:b/>
                <w:bCs/>
                <w:sz w:val="16"/>
                <w:szCs w:val="16"/>
                <w:lang w:eastAsia="en-US"/>
              </w:rPr>
              <w:t>ACTIVITES</w:t>
            </w:r>
          </w:p>
        </w:tc>
        <w:tc>
          <w:tcPr>
            <w:tcW w:w="1636" w:type="dxa"/>
            <w:tcBorders>
              <w:top w:val="nil"/>
              <w:left w:val="nil"/>
              <w:bottom w:val="single" w:sz="24" w:space="0" w:color="F79646"/>
              <w:right w:val="nil"/>
            </w:tcBorders>
            <w:shd w:val="clear" w:color="auto" w:fill="FFFFFF"/>
          </w:tcPr>
          <w:p w:rsidR="000F2BDD" w:rsidRPr="00580C0C" w:rsidRDefault="000F2BDD" w:rsidP="00580C0C">
            <w:pPr>
              <w:jc w:val="both"/>
              <w:rPr>
                <w:b/>
                <w:bCs/>
                <w:sz w:val="16"/>
                <w:szCs w:val="16"/>
                <w:lang w:eastAsia="en-US"/>
              </w:rPr>
            </w:pPr>
            <w:r w:rsidRPr="00580C0C">
              <w:rPr>
                <w:b/>
                <w:bCs/>
                <w:sz w:val="16"/>
                <w:szCs w:val="16"/>
                <w:lang w:eastAsia="en-US"/>
              </w:rPr>
              <w:t xml:space="preserve">DATE ET LIEU </w:t>
            </w:r>
          </w:p>
        </w:tc>
        <w:tc>
          <w:tcPr>
            <w:tcW w:w="5216" w:type="dxa"/>
            <w:tcBorders>
              <w:top w:val="nil"/>
              <w:left w:val="nil"/>
              <w:bottom w:val="single" w:sz="24" w:space="0" w:color="F79646"/>
              <w:right w:val="nil"/>
            </w:tcBorders>
            <w:shd w:val="clear" w:color="auto" w:fill="FFFFFF"/>
          </w:tcPr>
          <w:p w:rsidR="000F2BDD" w:rsidRPr="00580C0C" w:rsidRDefault="000F2BDD" w:rsidP="00580C0C">
            <w:pPr>
              <w:jc w:val="both"/>
              <w:rPr>
                <w:b/>
                <w:bCs/>
                <w:sz w:val="16"/>
                <w:szCs w:val="16"/>
                <w:lang w:eastAsia="en-US"/>
              </w:rPr>
            </w:pPr>
            <w:r w:rsidRPr="00580C0C">
              <w:rPr>
                <w:b/>
                <w:bCs/>
                <w:sz w:val="16"/>
                <w:szCs w:val="16"/>
                <w:lang w:eastAsia="en-US"/>
              </w:rPr>
              <w:t>FORME ET MOTIF D’INTERDICTIONS</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color w:val="FFFFFF"/>
                <w:sz w:val="16"/>
                <w:szCs w:val="16"/>
                <w:lang w:eastAsia="en-US"/>
              </w:rPr>
            </w:pPr>
            <w:r w:rsidRPr="00580C0C">
              <w:rPr>
                <w:color w:val="FFFFFF"/>
                <w:sz w:val="16"/>
                <w:szCs w:val="16"/>
                <w:lang w:eastAsia="en-US"/>
              </w:rPr>
              <w:t>01</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SIT IN DE PROTESTATION CONTRE INTERDICTION CONFERENCE</w:t>
            </w:r>
          </w:p>
        </w:tc>
        <w:tc>
          <w:tcPr>
            <w:tcW w:w="1636" w:type="dxa"/>
            <w:shd w:val="clear" w:color="auto" w:fill="A5D5E2"/>
          </w:tcPr>
          <w:p w:rsidR="000F2BDD" w:rsidRPr="00580C0C" w:rsidRDefault="000F2BDD" w:rsidP="00580C0C">
            <w:pPr>
              <w:jc w:val="both"/>
              <w:rPr>
                <w:color w:val="FF0000"/>
                <w:sz w:val="16"/>
                <w:szCs w:val="16"/>
                <w:lang w:eastAsia="en-US"/>
              </w:rPr>
            </w:pPr>
            <w:r w:rsidRPr="00580C0C">
              <w:rPr>
                <w:color w:val="FF0000"/>
                <w:sz w:val="16"/>
                <w:szCs w:val="16"/>
                <w:lang w:eastAsia="en-US"/>
              </w:rPr>
              <w:t xml:space="preserve">27/9/2014 </w:t>
            </w:r>
          </w:p>
          <w:p w:rsidR="000F2BDD" w:rsidRPr="00580C0C" w:rsidRDefault="000F2BDD" w:rsidP="00580C0C">
            <w:pPr>
              <w:jc w:val="both"/>
              <w:rPr>
                <w:color w:val="FF0000"/>
                <w:sz w:val="16"/>
                <w:szCs w:val="16"/>
                <w:lang w:eastAsia="en-US"/>
              </w:rPr>
            </w:pPr>
            <w:r w:rsidRPr="00580C0C">
              <w:rPr>
                <w:b/>
                <w:color w:val="FF0000"/>
                <w:sz w:val="16"/>
                <w:szCs w:val="16"/>
                <w:lang w:eastAsia="en-US"/>
              </w:rPr>
              <w:t>à RABAT</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blocage de tous les accès au lieu du sit-in</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color w:val="FFFFFF"/>
                <w:sz w:val="16"/>
                <w:szCs w:val="16"/>
                <w:lang w:eastAsia="en-US"/>
              </w:rPr>
            </w:pPr>
            <w:r w:rsidRPr="00580C0C">
              <w:rPr>
                <w:color w:val="FFFFFF"/>
                <w:sz w:val="16"/>
                <w:szCs w:val="16"/>
                <w:lang w:eastAsia="en-US"/>
              </w:rPr>
              <w:t>02</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SIT-IN DE PROTESTATION CONTRE INTERDICTIONS</w:t>
            </w:r>
          </w:p>
        </w:tc>
        <w:tc>
          <w:tcPr>
            <w:tcW w:w="1636" w:type="dxa"/>
            <w:shd w:val="clear" w:color="auto" w:fill="EDF6F9"/>
          </w:tcPr>
          <w:p w:rsidR="000F2BDD" w:rsidRPr="00580C0C" w:rsidRDefault="000F2BDD" w:rsidP="00580C0C">
            <w:pPr>
              <w:jc w:val="both"/>
              <w:rPr>
                <w:color w:val="FF0000"/>
                <w:sz w:val="16"/>
                <w:szCs w:val="16"/>
                <w:lang w:eastAsia="en-US"/>
              </w:rPr>
            </w:pPr>
            <w:r w:rsidRPr="00580C0C">
              <w:rPr>
                <w:color w:val="FF0000"/>
                <w:sz w:val="16"/>
                <w:szCs w:val="16"/>
                <w:lang w:eastAsia="en-US"/>
              </w:rPr>
              <w:t>15/10/2014</w:t>
            </w:r>
          </w:p>
          <w:p w:rsidR="000F2BDD" w:rsidRPr="00580C0C" w:rsidRDefault="000F2BDD" w:rsidP="00580C0C">
            <w:pPr>
              <w:jc w:val="both"/>
              <w:rPr>
                <w:color w:val="FF0000"/>
                <w:sz w:val="16"/>
                <w:szCs w:val="16"/>
                <w:lang w:eastAsia="en-US"/>
              </w:rPr>
            </w:pPr>
            <w:r w:rsidRPr="00580C0C">
              <w:rPr>
                <w:b/>
                <w:color w:val="FF0000"/>
                <w:sz w:val="16"/>
                <w:szCs w:val="16"/>
                <w:lang w:eastAsia="en-US"/>
              </w:rPr>
              <w:t>à SMARA</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accès à la place du sit-in bouclés</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color w:val="FFFFFF"/>
                <w:sz w:val="16"/>
                <w:szCs w:val="16"/>
                <w:lang w:eastAsia="en-US"/>
              </w:rPr>
            </w:pPr>
            <w:r w:rsidRPr="00580C0C">
              <w:rPr>
                <w:color w:val="FFFFFF"/>
                <w:sz w:val="16"/>
                <w:szCs w:val="16"/>
                <w:lang w:eastAsia="en-US"/>
              </w:rPr>
              <w:t>03</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SIT-IN DE PROTESTATION CONTRE INTERDICTIONS</w:t>
            </w:r>
          </w:p>
        </w:tc>
        <w:tc>
          <w:tcPr>
            <w:tcW w:w="1636" w:type="dxa"/>
            <w:shd w:val="clear" w:color="auto" w:fill="A5D5E2"/>
          </w:tcPr>
          <w:p w:rsidR="000F2BDD" w:rsidRPr="00580C0C" w:rsidRDefault="000F2BDD" w:rsidP="00580C0C">
            <w:pPr>
              <w:jc w:val="both"/>
              <w:rPr>
                <w:color w:val="FF0000"/>
                <w:sz w:val="16"/>
                <w:szCs w:val="16"/>
                <w:lang w:eastAsia="en-US"/>
              </w:rPr>
            </w:pPr>
            <w:r w:rsidRPr="00580C0C">
              <w:rPr>
                <w:color w:val="FF0000"/>
                <w:sz w:val="16"/>
                <w:szCs w:val="16"/>
                <w:lang w:eastAsia="en-US"/>
              </w:rPr>
              <w:t>15/10/2014</w:t>
            </w:r>
          </w:p>
          <w:p w:rsidR="000F2BDD" w:rsidRPr="00580C0C" w:rsidRDefault="000F2BDD" w:rsidP="00580C0C">
            <w:pPr>
              <w:jc w:val="both"/>
              <w:rPr>
                <w:color w:val="FF0000"/>
                <w:sz w:val="16"/>
                <w:szCs w:val="16"/>
                <w:lang w:eastAsia="en-US"/>
              </w:rPr>
            </w:pPr>
            <w:r w:rsidRPr="00580C0C">
              <w:rPr>
                <w:b/>
                <w:color w:val="FF0000"/>
                <w:sz w:val="16"/>
                <w:szCs w:val="16"/>
                <w:lang w:eastAsia="en-US"/>
              </w:rPr>
              <w:t>à LAAYOUNE</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INFORMELLE : accès à la place du sit-in bouclés</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color w:val="FFFFFF"/>
                <w:sz w:val="16"/>
                <w:szCs w:val="16"/>
                <w:lang w:eastAsia="en-US"/>
              </w:rPr>
            </w:pPr>
            <w:r w:rsidRPr="00580C0C">
              <w:rPr>
                <w:color w:val="FFFFFF"/>
                <w:sz w:val="16"/>
                <w:szCs w:val="16"/>
                <w:lang w:eastAsia="en-US"/>
              </w:rPr>
              <w:t>04</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SIT IN de protestation du 8 novembre 2014</w:t>
            </w:r>
          </w:p>
        </w:tc>
        <w:tc>
          <w:tcPr>
            <w:tcW w:w="1636" w:type="dxa"/>
            <w:shd w:val="clear" w:color="auto" w:fill="EDF6F9"/>
          </w:tcPr>
          <w:p w:rsidR="000F2BDD" w:rsidRPr="00580C0C" w:rsidRDefault="000F2BDD" w:rsidP="00580C0C">
            <w:pPr>
              <w:jc w:val="both"/>
              <w:rPr>
                <w:color w:val="FF0000"/>
                <w:sz w:val="16"/>
                <w:szCs w:val="16"/>
                <w:lang w:eastAsia="en-US"/>
              </w:rPr>
            </w:pPr>
            <w:r w:rsidRPr="00580C0C">
              <w:rPr>
                <w:color w:val="FF0000"/>
                <w:sz w:val="16"/>
                <w:szCs w:val="16"/>
                <w:lang w:eastAsia="en-US"/>
              </w:rPr>
              <w:t xml:space="preserve">5/11/2014 </w:t>
            </w:r>
          </w:p>
          <w:p w:rsidR="000F2BDD" w:rsidRPr="00580C0C" w:rsidRDefault="000F2BDD" w:rsidP="00580C0C">
            <w:pPr>
              <w:jc w:val="both"/>
              <w:rPr>
                <w:color w:val="FF0000"/>
                <w:sz w:val="16"/>
                <w:szCs w:val="16"/>
                <w:lang w:eastAsia="en-US"/>
              </w:rPr>
            </w:pPr>
            <w:r w:rsidRPr="00580C0C">
              <w:rPr>
                <w:color w:val="FF0000"/>
                <w:sz w:val="16"/>
                <w:szCs w:val="16"/>
                <w:lang w:eastAsia="en-US"/>
              </w:rPr>
              <w:t xml:space="preserve">à </w:t>
            </w:r>
            <w:r w:rsidRPr="00580C0C">
              <w:rPr>
                <w:b/>
                <w:bCs/>
                <w:color w:val="FF0000"/>
                <w:sz w:val="16"/>
                <w:szCs w:val="16"/>
                <w:lang w:eastAsia="en-US"/>
              </w:rPr>
              <w:t>KARIAT BA MOHAMMED</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FORMELLE : écrit du pacha de la ville invoquant des articles erronés et la sécurité</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color w:val="FFFFFF"/>
                <w:sz w:val="16"/>
                <w:szCs w:val="16"/>
                <w:lang w:eastAsia="en-US"/>
              </w:rPr>
            </w:pPr>
            <w:r w:rsidRPr="00580C0C">
              <w:rPr>
                <w:color w:val="FFFFFF"/>
                <w:sz w:val="16"/>
                <w:szCs w:val="16"/>
                <w:lang w:eastAsia="en-US"/>
              </w:rPr>
              <w:t>05</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Sit-in de protestation contre l’interdiction</w:t>
            </w:r>
          </w:p>
        </w:tc>
        <w:tc>
          <w:tcPr>
            <w:tcW w:w="1636" w:type="dxa"/>
            <w:shd w:val="clear" w:color="auto" w:fill="A5D5E2"/>
          </w:tcPr>
          <w:p w:rsidR="000F2BDD" w:rsidRPr="00580C0C" w:rsidRDefault="000F2BDD" w:rsidP="00580C0C">
            <w:pPr>
              <w:jc w:val="both"/>
              <w:rPr>
                <w:color w:val="FF0000"/>
                <w:sz w:val="16"/>
                <w:szCs w:val="16"/>
                <w:lang w:eastAsia="en-US"/>
              </w:rPr>
            </w:pPr>
            <w:r w:rsidRPr="00580C0C">
              <w:rPr>
                <w:color w:val="FF0000"/>
                <w:sz w:val="16"/>
                <w:szCs w:val="16"/>
                <w:lang w:eastAsia="en-US"/>
              </w:rPr>
              <w:t>13/03/2015</w:t>
            </w:r>
          </w:p>
          <w:p w:rsidR="000F2BDD" w:rsidRPr="00580C0C" w:rsidRDefault="000F2BDD" w:rsidP="00580C0C">
            <w:pPr>
              <w:jc w:val="both"/>
              <w:rPr>
                <w:b/>
                <w:bCs/>
                <w:color w:val="FF0000"/>
                <w:sz w:val="16"/>
                <w:szCs w:val="16"/>
                <w:lang w:eastAsia="en-US"/>
              </w:rPr>
            </w:pPr>
            <w:r w:rsidRPr="00580C0C">
              <w:rPr>
                <w:b/>
                <w:bCs/>
                <w:color w:val="FF0000"/>
                <w:sz w:val="16"/>
                <w:szCs w:val="16"/>
                <w:lang w:eastAsia="en-US"/>
              </w:rPr>
              <w:t>AL HOUCEIMA</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FORMELLE : lettre d’interdiction pour des raisons sécuritaires </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color w:val="FFFFFF"/>
                <w:sz w:val="16"/>
                <w:szCs w:val="16"/>
                <w:lang w:eastAsia="en-US"/>
              </w:rPr>
            </w:pPr>
            <w:r w:rsidRPr="00580C0C">
              <w:rPr>
                <w:color w:val="FFFFFF"/>
                <w:sz w:val="16"/>
                <w:szCs w:val="16"/>
                <w:lang w:eastAsia="en-US"/>
              </w:rPr>
              <w:t>06</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Sit-in de protestation contre l’interdiction</w:t>
            </w:r>
          </w:p>
        </w:tc>
        <w:tc>
          <w:tcPr>
            <w:tcW w:w="1636" w:type="dxa"/>
            <w:shd w:val="clear" w:color="auto" w:fill="EDF6F9"/>
          </w:tcPr>
          <w:p w:rsidR="000F2BDD" w:rsidRPr="00580C0C" w:rsidRDefault="000F2BDD" w:rsidP="00580C0C">
            <w:pPr>
              <w:jc w:val="both"/>
              <w:rPr>
                <w:color w:val="FF0000"/>
                <w:sz w:val="16"/>
                <w:szCs w:val="16"/>
                <w:lang w:eastAsia="en-US"/>
              </w:rPr>
            </w:pPr>
            <w:r w:rsidRPr="00580C0C">
              <w:rPr>
                <w:color w:val="FF0000"/>
                <w:sz w:val="16"/>
                <w:szCs w:val="16"/>
                <w:lang w:eastAsia="en-US"/>
              </w:rPr>
              <w:t>13/03/2015</w:t>
            </w:r>
          </w:p>
          <w:p w:rsidR="000F2BDD" w:rsidRPr="00580C0C" w:rsidRDefault="000F2BDD" w:rsidP="00580C0C">
            <w:pPr>
              <w:jc w:val="both"/>
              <w:rPr>
                <w:b/>
                <w:bCs/>
                <w:color w:val="FF0000"/>
                <w:sz w:val="16"/>
                <w:szCs w:val="16"/>
                <w:lang w:eastAsia="en-US"/>
              </w:rPr>
            </w:pPr>
            <w:r w:rsidRPr="00580C0C">
              <w:rPr>
                <w:b/>
                <w:bCs/>
                <w:color w:val="FF0000"/>
                <w:sz w:val="16"/>
                <w:szCs w:val="16"/>
                <w:lang w:eastAsia="en-US"/>
              </w:rPr>
              <w:t>IMZOURNE</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FORMELLE : lettre d’interdiction pour des raisons sécuritaires </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color w:val="FFFFFF"/>
                <w:sz w:val="16"/>
                <w:szCs w:val="16"/>
                <w:lang w:eastAsia="en-US"/>
              </w:rPr>
            </w:pPr>
            <w:r w:rsidRPr="00580C0C">
              <w:rPr>
                <w:color w:val="FFFFFF"/>
                <w:sz w:val="16"/>
                <w:szCs w:val="16"/>
                <w:lang w:eastAsia="en-US"/>
              </w:rPr>
              <w:t>07</w:t>
            </w:r>
          </w:p>
        </w:tc>
        <w:tc>
          <w:tcPr>
            <w:tcW w:w="3402"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Sit-in de protestation contre l’interdiction</w:t>
            </w:r>
          </w:p>
        </w:tc>
        <w:tc>
          <w:tcPr>
            <w:tcW w:w="1636" w:type="dxa"/>
            <w:shd w:val="clear" w:color="auto" w:fill="A5D5E2"/>
          </w:tcPr>
          <w:p w:rsidR="000F2BDD" w:rsidRPr="00580C0C" w:rsidRDefault="000F2BDD" w:rsidP="00580C0C">
            <w:pPr>
              <w:jc w:val="both"/>
              <w:rPr>
                <w:color w:val="FF0000"/>
                <w:sz w:val="16"/>
                <w:szCs w:val="16"/>
                <w:lang w:eastAsia="en-US"/>
              </w:rPr>
            </w:pPr>
            <w:r w:rsidRPr="00580C0C">
              <w:rPr>
                <w:color w:val="FF0000"/>
                <w:sz w:val="16"/>
                <w:szCs w:val="16"/>
                <w:lang w:eastAsia="en-US"/>
              </w:rPr>
              <w:t>13/03/2015</w:t>
            </w:r>
          </w:p>
          <w:p w:rsidR="000F2BDD" w:rsidRPr="00580C0C" w:rsidRDefault="000F2BDD" w:rsidP="00580C0C">
            <w:pPr>
              <w:jc w:val="both"/>
              <w:rPr>
                <w:b/>
                <w:bCs/>
                <w:color w:val="FF0000"/>
                <w:sz w:val="16"/>
                <w:szCs w:val="16"/>
                <w:lang w:eastAsia="en-US"/>
              </w:rPr>
            </w:pPr>
            <w:r w:rsidRPr="00580C0C">
              <w:rPr>
                <w:b/>
                <w:bCs/>
                <w:color w:val="FF0000"/>
                <w:sz w:val="16"/>
                <w:szCs w:val="16"/>
                <w:lang w:eastAsia="en-US"/>
              </w:rPr>
              <w:t>BOUARFA</w:t>
            </w:r>
          </w:p>
        </w:tc>
        <w:tc>
          <w:tcPr>
            <w:tcW w:w="5216" w:type="dxa"/>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FORMELLE : lettre d’interdiction pour des raisons sécuritaires </w:t>
            </w:r>
          </w:p>
        </w:tc>
      </w:tr>
      <w:tr w:rsidR="000F2BDD" w:rsidRPr="001C48BE" w:rsidTr="001758ED">
        <w:tc>
          <w:tcPr>
            <w:tcW w:w="534" w:type="dxa"/>
            <w:tcBorders>
              <w:left w:val="nil"/>
              <w:bottom w:val="single" w:sz="4" w:space="0" w:color="276A7C"/>
              <w:right w:val="nil"/>
            </w:tcBorders>
            <w:shd w:val="clear" w:color="auto" w:fill="276A7C"/>
            <w:vAlign w:val="center"/>
          </w:tcPr>
          <w:p w:rsidR="000F2BDD" w:rsidRPr="00580C0C" w:rsidRDefault="000F2BDD" w:rsidP="00580C0C">
            <w:pPr>
              <w:jc w:val="both"/>
              <w:rPr>
                <w:color w:val="FFFFFF"/>
                <w:sz w:val="16"/>
                <w:szCs w:val="16"/>
                <w:lang w:eastAsia="en-US"/>
              </w:rPr>
            </w:pPr>
            <w:r w:rsidRPr="00580C0C">
              <w:rPr>
                <w:color w:val="FFFFFF"/>
                <w:sz w:val="16"/>
                <w:szCs w:val="16"/>
                <w:lang w:eastAsia="en-US"/>
              </w:rPr>
              <w:t>08</w:t>
            </w:r>
          </w:p>
        </w:tc>
        <w:tc>
          <w:tcPr>
            <w:tcW w:w="3402"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Sit-in de protestation contre l’interdiction</w:t>
            </w:r>
          </w:p>
        </w:tc>
        <w:tc>
          <w:tcPr>
            <w:tcW w:w="1636" w:type="dxa"/>
            <w:shd w:val="clear" w:color="auto" w:fill="EDF6F9"/>
          </w:tcPr>
          <w:p w:rsidR="000F2BDD" w:rsidRPr="00580C0C" w:rsidRDefault="000F2BDD" w:rsidP="00580C0C">
            <w:pPr>
              <w:jc w:val="both"/>
              <w:rPr>
                <w:color w:val="FF0000"/>
                <w:sz w:val="16"/>
                <w:szCs w:val="16"/>
                <w:lang w:eastAsia="en-US"/>
              </w:rPr>
            </w:pPr>
            <w:r w:rsidRPr="00580C0C">
              <w:rPr>
                <w:color w:val="FF0000"/>
                <w:sz w:val="16"/>
                <w:szCs w:val="16"/>
                <w:lang w:eastAsia="en-US"/>
              </w:rPr>
              <w:t>13/03/2015</w:t>
            </w:r>
          </w:p>
          <w:p w:rsidR="000F2BDD" w:rsidRPr="00580C0C" w:rsidRDefault="000F2BDD" w:rsidP="00580C0C">
            <w:pPr>
              <w:jc w:val="both"/>
              <w:rPr>
                <w:b/>
                <w:bCs/>
                <w:color w:val="FF0000"/>
                <w:sz w:val="16"/>
                <w:szCs w:val="16"/>
                <w:lang w:eastAsia="en-US"/>
              </w:rPr>
            </w:pPr>
            <w:r w:rsidRPr="00580C0C">
              <w:rPr>
                <w:b/>
                <w:bCs/>
                <w:color w:val="FF0000"/>
                <w:sz w:val="16"/>
                <w:szCs w:val="16"/>
                <w:lang w:eastAsia="en-US"/>
              </w:rPr>
              <w:t>TAHLA</w:t>
            </w:r>
          </w:p>
        </w:tc>
        <w:tc>
          <w:tcPr>
            <w:tcW w:w="5216" w:type="dxa"/>
            <w:shd w:val="clear" w:color="auto" w:fill="EDF6F9"/>
          </w:tcPr>
          <w:p w:rsidR="000F2BDD" w:rsidRPr="00580C0C" w:rsidRDefault="000F2BDD" w:rsidP="00580C0C">
            <w:pPr>
              <w:jc w:val="both"/>
              <w:rPr>
                <w:color w:val="000000"/>
                <w:sz w:val="16"/>
                <w:szCs w:val="16"/>
                <w:lang w:eastAsia="en-US"/>
              </w:rPr>
            </w:pPr>
            <w:r w:rsidRPr="00580C0C">
              <w:rPr>
                <w:color w:val="000000"/>
                <w:sz w:val="16"/>
                <w:szCs w:val="16"/>
                <w:lang w:eastAsia="en-US"/>
              </w:rPr>
              <w:t>FORMELLE : lettre d’interdiction pour manque d’autorisation (sachant que le sit-in ne demande pas d’autorisation)</w:t>
            </w:r>
          </w:p>
        </w:tc>
      </w:tr>
      <w:tr w:rsidR="000F2BDD" w:rsidRPr="001C48BE" w:rsidTr="001758ED">
        <w:tc>
          <w:tcPr>
            <w:tcW w:w="534" w:type="dxa"/>
            <w:tcBorders>
              <w:left w:val="nil"/>
              <w:bottom w:val="nil"/>
              <w:right w:val="nil"/>
            </w:tcBorders>
            <w:shd w:val="clear" w:color="auto" w:fill="276A7C"/>
          </w:tcPr>
          <w:p w:rsidR="000F2BDD" w:rsidRPr="00580C0C" w:rsidRDefault="000F2BDD" w:rsidP="00580C0C">
            <w:pPr>
              <w:jc w:val="both"/>
              <w:rPr>
                <w:color w:val="FFFFFF"/>
                <w:sz w:val="16"/>
                <w:szCs w:val="16"/>
                <w:lang w:eastAsia="en-US"/>
              </w:rPr>
            </w:pPr>
            <w:r w:rsidRPr="00580C0C">
              <w:rPr>
                <w:color w:val="FFFFFF"/>
                <w:sz w:val="16"/>
                <w:szCs w:val="16"/>
                <w:lang w:eastAsia="en-US"/>
              </w:rPr>
              <w:t>09</w:t>
            </w:r>
          </w:p>
        </w:tc>
        <w:tc>
          <w:tcPr>
            <w:tcW w:w="3402" w:type="dxa"/>
            <w:tcBorders>
              <w:bottom w:val="single" w:sz="4" w:space="0" w:color="4BACC6"/>
            </w:tcBorders>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Sit-in de protestation contre l’interdiction</w:t>
            </w:r>
          </w:p>
        </w:tc>
        <w:tc>
          <w:tcPr>
            <w:tcW w:w="1636" w:type="dxa"/>
            <w:tcBorders>
              <w:bottom w:val="single" w:sz="4" w:space="0" w:color="4BACC6"/>
            </w:tcBorders>
            <w:shd w:val="clear" w:color="auto" w:fill="A5D5E2"/>
          </w:tcPr>
          <w:p w:rsidR="000F2BDD" w:rsidRPr="00580C0C" w:rsidRDefault="000F2BDD" w:rsidP="00580C0C">
            <w:pPr>
              <w:jc w:val="both"/>
              <w:rPr>
                <w:color w:val="FF0000"/>
                <w:sz w:val="16"/>
                <w:szCs w:val="16"/>
                <w:lang w:eastAsia="en-US"/>
              </w:rPr>
            </w:pPr>
            <w:r w:rsidRPr="00580C0C">
              <w:rPr>
                <w:color w:val="FF0000"/>
                <w:sz w:val="16"/>
                <w:szCs w:val="16"/>
                <w:lang w:eastAsia="en-US"/>
              </w:rPr>
              <w:t>13/03/2015</w:t>
            </w:r>
          </w:p>
          <w:p w:rsidR="000F2BDD" w:rsidRPr="00580C0C" w:rsidRDefault="000F2BDD" w:rsidP="00580C0C">
            <w:pPr>
              <w:jc w:val="both"/>
              <w:rPr>
                <w:b/>
                <w:bCs/>
                <w:color w:val="FF0000"/>
                <w:sz w:val="16"/>
                <w:szCs w:val="16"/>
                <w:lang w:eastAsia="en-US"/>
              </w:rPr>
            </w:pPr>
            <w:r w:rsidRPr="00580C0C">
              <w:rPr>
                <w:b/>
                <w:bCs/>
                <w:color w:val="FF0000"/>
                <w:sz w:val="16"/>
                <w:szCs w:val="16"/>
                <w:lang w:eastAsia="en-US"/>
              </w:rPr>
              <w:t>OUARZAZAT</w:t>
            </w:r>
          </w:p>
        </w:tc>
        <w:tc>
          <w:tcPr>
            <w:tcW w:w="5216" w:type="dxa"/>
            <w:tcBorders>
              <w:bottom w:val="single" w:sz="4" w:space="0" w:color="4BACC6"/>
            </w:tcBorders>
            <w:shd w:val="clear" w:color="auto" w:fill="A5D5E2"/>
          </w:tcPr>
          <w:p w:rsidR="000F2BDD" w:rsidRPr="00580C0C" w:rsidRDefault="000F2BDD" w:rsidP="00580C0C">
            <w:pPr>
              <w:jc w:val="both"/>
              <w:rPr>
                <w:color w:val="000000"/>
                <w:sz w:val="16"/>
                <w:szCs w:val="16"/>
                <w:lang w:eastAsia="en-US"/>
              </w:rPr>
            </w:pPr>
            <w:r w:rsidRPr="00580C0C">
              <w:rPr>
                <w:color w:val="000000"/>
                <w:sz w:val="16"/>
                <w:szCs w:val="16"/>
                <w:lang w:eastAsia="en-US"/>
              </w:rPr>
              <w:t xml:space="preserve">FORMELLE : lettre d’interdiction pour manque d’autorisation (sachant que le sit-in ne demande pas d’autorisation) </w:t>
            </w:r>
          </w:p>
        </w:tc>
      </w:tr>
    </w:tbl>
    <w:p w:rsidR="000F2BDD" w:rsidRPr="001C48BE" w:rsidRDefault="000F2BDD" w:rsidP="001C48BE">
      <w:pPr>
        <w:jc w:val="both"/>
        <w:rPr>
          <w:sz w:val="16"/>
          <w:szCs w:val="16"/>
        </w:rPr>
      </w:pPr>
      <w:r w:rsidRPr="001C48BE">
        <w:rPr>
          <w:sz w:val="16"/>
          <w:szCs w:val="16"/>
        </w:rPr>
        <w:t>* FORMELLE     : Interdiction avec écrit</w:t>
      </w:r>
    </w:p>
    <w:p w:rsidR="000F2BDD" w:rsidRPr="001C48BE" w:rsidRDefault="000F2BDD" w:rsidP="001C48BE">
      <w:pPr>
        <w:jc w:val="both"/>
        <w:rPr>
          <w:sz w:val="16"/>
          <w:szCs w:val="16"/>
        </w:rPr>
      </w:pPr>
      <w:r w:rsidRPr="001C48BE">
        <w:rPr>
          <w:sz w:val="16"/>
          <w:szCs w:val="16"/>
        </w:rPr>
        <w:t xml:space="preserve">   INFORMELLE : interdiction sans écrit</w:t>
      </w:r>
    </w:p>
    <w:p w:rsidR="000F2BDD" w:rsidRPr="001C48BE" w:rsidRDefault="000F2BDD" w:rsidP="001C48BE">
      <w:pPr>
        <w:jc w:val="both"/>
        <w:rPr>
          <w:sz w:val="16"/>
          <w:szCs w:val="16"/>
        </w:rPr>
      </w:pPr>
    </w:p>
    <w:p w:rsidR="000F2BDD" w:rsidRPr="001C48BE" w:rsidRDefault="000F2BDD" w:rsidP="004D1978">
      <w:pPr>
        <w:jc w:val="both"/>
        <w:rPr>
          <w:sz w:val="16"/>
          <w:szCs w:val="16"/>
        </w:rPr>
      </w:pPr>
    </w:p>
    <w:p w:rsidR="000F2BDD" w:rsidRPr="001C48BE" w:rsidRDefault="000F2BDD">
      <w:pPr>
        <w:rPr>
          <w:sz w:val="16"/>
          <w:szCs w:val="16"/>
        </w:rPr>
      </w:pPr>
    </w:p>
    <w:sectPr w:rsidR="000F2BDD" w:rsidRPr="001C48BE" w:rsidSect="001C48BE">
      <w:footerReference w:type="even" r:id="rId33"/>
      <w:footerReference w:type="default" r:id="rId34"/>
      <w:pgSz w:w="12240" w:h="15840"/>
      <w:pgMar w:top="92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4B3B" w:rsidRDefault="00184B3B">
      <w:r>
        <w:separator/>
      </w:r>
    </w:p>
  </w:endnote>
  <w:endnote w:type="continuationSeparator" w:id="0">
    <w:p w:rsidR="00184B3B" w:rsidRDefault="00184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mnesty Trade Gothic">
    <w:altName w:val="Cambria"/>
    <w:panose1 w:val="00000000000000000000"/>
    <w:charset w:val="00"/>
    <w:family w:val="swiss"/>
    <w:notTrueType/>
    <w:pitch w:val="default"/>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MS Gothi">
    <w:altName w:val="~??eg"/>
    <w:panose1 w:val="00000000000000000000"/>
    <w:charset w:val="80"/>
    <w:family w:val="auto"/>
    <w:notTrueType/>
    <w:pitch w:val="variable"/>
    <w:sig w:usb0="00000001" w:usb1="08070000" w:usb2="00000010" w:usb3="00000000" w:csb0="00020000" w:csb1="00000000"/>
  </w:font>
  <w:font w:name=".Helvetica Neue DeskInterface">
    <w:altName w:val="Arial Unicode MS"/>
    <w:charset w:val="80"/>
    <w:family w:val="swiss"/>
    <w:pitch w:val="default"/>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BellMSFE-Light">
    <w:altName w:val="MS Gothic"/>
    <w:panose1 w:val="00000000000000000000"/>
    <w:charset w:val="80"/>
    <w:family w:val="swiss"/>
    <w:notTrueType/>
    <w:pitch w:val="default"/>
    <w:sig w:usb0="00000001" w:usb1="08070000" w:usb2="00000010" w:usb3="00000000" w:csb0="00020000" w:csb1="00000000"/>
  </w:font>
  <w:font w:name="MingLiU">
    <w:altName w:val="細明體"/>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ED8" w:rsidRDefault="00D24977">
    <w:pPr>
      <w:pStyle w:val="Footer"/>
      <w:framePr w:wrap="around" w:vAnchor="text" w:hAnchor="margin" w:xAlign="right" w:y="1"/>
      <w:rPr>
        <w:rStyle w:val="PageNumber"/>
      </w:rPr>
    </w:pPr>
    <w:r>
      <w:rPr>
        <w:rStyle w:val="PageNumber"/>
      </w:rPr>
      <w:fldChar w:fldCharType="begin"/>
    </w:r>
    <w:r w:rsidR="00E25ED8">
      <w:rPr>
        <w:rStyle w:val="PageNumber"/>
      </w:rPr>
      <w:instrText xml:space="preserve">PAGE  </w:instrText>
    </w:r>
    <w:r>
      <w:rPr>
        <w:rStyle w:val="PageNumber"/>
      </w:rPr>
      <w:fldChar w:fldCharType="end"/>
    </w:r>
  </w:p>
  <w:p w:rsidR="00E25ED8" w:rsidRDefault="00E25ED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ED8" w:rsidRDefault="00474727">
    <w:pPr>
      <w:pStyle w:val="Footer"/>
      <w:jc w:val="right"/>
    </w:pPr>
    <w:r>
      <w:fldChar w:fldCharType="begin"/>
    </w:r>
    <w:r>
      <w:instrText xml:space="preserve"> PAGE   \* MERGEFORMAT </w:instrText>
    </w:r>
    <w:r>
      <w:fldChar w:fldCharType="separate"/>
    </w:r>
    <w:r>
      <w:rPr>
        <w:noProof/>
      </w:rPr>
      <w:t>3</w:t>
    </w:r>
    <w:r>
      <w:rPr>
        <w:noProof/>
      </w:rPr>
      <w:fldChar w:fldCharType="end"/>
    </w:r>
  </w:p>
  <w:p w:rsidR="00E25ED8" w:rsidRDefault="00E25ED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4B3B" w:rsidRDefault="00184B3B">
      <w:r>
        <w:separator/>
      </w:r>
    </w:p>
  </w:footnote>
  <w:footnote w:type="continuationSeparator" w:id="0">
    <w:p w:rsidR="00184B3B" w:rsidRDefault="00184B3B">
      <w:r>
        <w:continuationSeparator/>
      </w:r>
    </w:p>
  </w:footnote>
  <w:footnote w:id="1">
    <w:p w:rsidR="00E25ED8" w:rsidRDefault="00E25ED8">
      <w:pPr>
        <w:pStyle w:val="FootnoteText"/>
      </w:pPr>
      <w:r w:rsidRPr="00C26432">
        <w:rPr>
          <w:rStyle w:val="FootnoteReference"/>
          <w:sz w:val="20"/>
        </w:rPr>
        <w:footnoteRef/>
      </w:r>
      <w:r w:rsidRPr="00C26432">
        <w:rPr>
          <w:sz w:val="20"/>
        </w:rPr>
        <w:t xml:space="preserve"> Observation générale nº 30, Obligation de présenter des rapports qui incombe aux États parties en vertu de l’article 40 du Pacte, CCPR/C/21/Rev. 2/Add.12, du 18 septembre 2002.</w:t>
      </w:r>
    </w:p>
  </w:footnote>
  <w:footnote w:id="2">
    <w:p w:rsidR="00E25ED8" w:rsidRDefault="00E25ED8">
      <w:pPr>
        <w:pStyle w:val="FootnoteText"/>
      </w:pPr>
      <w:r>
        <w:rPr>
          <w:rStyle w:val="FootnoteReference"/>
        </w:rPr>
        <w:t>1</w:t>
      </w:r>
      <w:r w:rsidRPr="0024317B">
        <w:rPr>
          <w:sz w:val="18"/>
        </w:rPr>
        <w:t>Déclaration de M. Juan Mendez</w:t>
      </w:r>
      <w:r>
        <w:rPr>
          <w:sz w:val="18"/>
        </w:rPr>
        <w:t>, le</w:t>
      </w:r>
      <w:r w:rsidRPr="0024317B">
        <w:rPr>
          <w:sz w:val="18"/>
        </w:rPr>
        <w:t xml:space="preserve"> rapporteur spécial </w:t>
      </w:r>
      <w:r>
        <w:rPr>
          <w:sz w:val="18"/>
        </w:rPr>
        <w:t xml:space="preserve">de l’ONU </w:t>
      </w:r>
      <w:r w:rsidRPr="0024317B">
        <w:rPr>
          <w:sz w:val="18"/>
        </w:rPr>
        <w:t xml:space="preserve">sur la torture </w:t>
      </w:r>
      <w:r>
        <w:rPr>
          <w:sz w:val="18"/>
        </w:rPr>
        <w:t>après</w:t>
      </w:r>
      <w:r w:rsidRPr="0024317B">
        <w:rPr>
          <w:sz w:val="18"/>
        </w:rPr>
        <w:t xml:space="preserve"> sa visite au Maroc en 2012</w:t>
      </w:r>
    </w:p>
  </w:footnote>
  <w:footnote w:id="3">
    <w:p w:rsidR="00E25ED8" w:rsidRDefault="00E25ED8">
      <w:pPr>
        <w:pStyle w:val="FootnoteText"/>
      </w:pPr>
      <w:r w:rsidRPr="009803D0">
        <w:rPr>
          <w:rStyle w:val="FootnoteReference"/>
          <w:sz w:val="20"/>
        </w:rPr>
        <w:footnoteRef/>
      </w:r>
      <w:r w:rsidRPr="009803D0">
        <w:rPr>
          <w:sz w:val="20"/>
        </w:rPr>
        <w:t xml:space="preserve"> CCPR/21/Rev. 1/Ad.13, du 26 mai 2004</w:t>
      </w:r>
      <w:r>
        <w:rPr>
          <w:sz w:val="20"/>
        </w:rPr>
        <w:t>.</w:t>
      </w:r>
    </w:p>
  </w:footnote>
  <w:footnote w:id="4">
    <w:p w:rsidR="00E25ED8" w:rsidRDefault="00E25ED8">
      <w:pPr>
        <w:pStyle w:val="FootnoteText"/>
      </w:pPr>
      <w:r>
        <w:rPr>
          <w:rStyle w:val="FootnoteReference"/>
          <w:sz w:val="20"/>
        </w:rPr>
        <w:footnoteRef/>
      </w:r>
      <w:r>
        <w:rPr>
          <w:sz w:val="20"/>
        </w:rPr>
        <w:t xml:space="preserve"> HRI/GEN/1/Rev.9, du 29 mars 2000.</w:t>
      </w:r>
    </w:p>
  </w:footnote>
  <w:footnote w:id="5">
    <w:p w:rsidR="00E25ED8" w:rsidRDefault="00E25ED8">
      <w:pPr>
        <w:pStyle w:val="FootnoteText"/>
      </w:pPr>
      <w:r>
        <w:rPr>
          <w:rStyle w:val="FootnoteReference"/>
          <w:sz w:val="20"/>
        </w:rPr>
        <w:footnoteRef/>
      </w:r>
      <w:r>
        <w:rPr>
          <w:sz w:val="20"/>
        </w:rPr>
        <w:t xml:space="preserve"> CCPR/C/21/Rev.1/Add.13, du 26 mai 2004.</w:t>
      </w:r>
    </w:p>
  </w:footnote>
  <w:footnote w:id="6">
    <w:p w:rsidR="00E25ED8" w:rsidRDefault="00E25ED8">
      <w:pPr>
        <w:pStyle w:val="FootnoteText"/>
      </w:pPr>
      <w:r w:rsidRPr="00C26432">
        <w:rPr>
          <w:rStyle w:val="FootnoteReference"/>
          <w:sz w:val="20"/>
        </w:rPr>
        <w:footnoteRef/>
      </w:r>
      <w:r w:rsidRPr="00C26432">
        <w:rPr>
          <w:sz w:val="20"/>
        </w:rPr>
        <w:t xml:space="preserve"> Observation Générale n.6 Article 6 (Droit à la vie), de la seizième session (1982).</w:t>
      </w:r>
    </w:p>
  </w:footnote>
  <w:footnote w:id="7">
    <w:p w:rsidR="00E25ED8" w:rsidRDefault="00E25ED8">
      <w:pPr>
        <w:pStyle w:val="FootnoteText"/>
        <w:jc w:val="both"/>
      </w:pPr>
      <w:r>
        <w:rPr>
          <w:rStyle w:val="FootnoteReference"/>
          <w:sz w:val="20"/>
        </w:rPr>
        <w:footnoteRef/>
      </w:r>
      <w:r>
        <w:rPr>
          <w:sz w:val="20"/>
        </w:rPr>
        <w:t xml:space="preserve"> Observation Générale n.20, Article 7 (Interdiction de la torture et des peines ou traitements cruels, inhumains ou dégradants), de la quarante-quatrième session (1992).</w:t>
      </w:r>
    </w:p>
  </w:footnote>
  <w:footnote w:id="8">
    <w:p w:rsidR="00E25ED8" w:rsidRDefault="00E25ED8">
      <w:pPr>
        <w:pStyle w:val="FootnoteText"/>
        <w:jc w:val="both"/>
      </w:pPr>
      <w:r>
        <w:rPr>
          <w:rStyle w:val="FootnoteReference"/>
          <w:sz w:val="20"/>
        </w:rPr>
        <w:footnoteRef/>
      </w:r>
      <w:r>
        <w:rPr>
          <w:sz w:val="20"/>
        </w:rPr>
        <w:t xml:space="preserve"> Rapport du Rapporteur spécial sur la torture et autres peines ou traitements cruels, inhumains ou dégradants, A/HRC/22/53/add.2, du 4 Avril 2013, Rapport du Groupe de travail sur la Détention Arbitraire, A/HRC/27/48/Add.5, du 4 Août 2014.</w:t>
      </w:r>
    </w:p>
  </w:footnote>
  <w:footnote w:id="9">
    <w:p w:rsidR="00E25ED8" w:rsidRDefault="00E25ED8">
      <w:pPr>
        <w:pStyle w:val="FootnoteText"/>
      </w:pPr>
      <w:r>
        <w:rPr>
          <w:rStyle w:val="FootnoteReference"/>
          <w:sz w:val="20"/>
        </w:rPr>
        <w:footnoteRef/>
      </w:r>
      <w:r>
        <w:rPr>
          <w:sz w:val="20"/>
        </w:rPr>
        <w:t xml:space="preserve">Amnesty International (Mai 2015), </w:t>
      </w:r>
      <w:r>
        <w:rPr>
          <w:i/>
          <w:sz w:val="20"/>
        </w:rPr>
        <w:t>L’ombre de l’impunité. La torture au Maroc et au  Sahara Occidental (Rapport de synthèse).</w:t>
      </w:r>
    </w:p>
  </w:footnote>
  <w:footnote w:id="10">
    <w:p w:rsidR="00E25ED8" w:rsidRDefault="00E25ED8">
      <w:pPr>
        <w:pStyle w:val="FootnoteText"/>
      </w:pPr>
      <w:r>
        <w:rPr>
          <w:rStyle w:val="FootnoteReference"/>
          <w:sz w:val="20"/>
        </w:rPr>
        <w:footnoteRef/>
      </w:r>
      <w:r>
        <w:rPr>
          <w:sz w:val="20"/>
        </w:rPr>
        <w:t xml:space="preserve"> Voir notamment les Observations finales et recommandations du Comité de Droits de l’Homme sur le rapport d’El Salvador, CCPR/C/SLV/CO/6, § 14, 2010.</w:t>
      </w:r>
    </w:p>
  </w:footnote>
  <w:footnote w:id="11">
    <w:p w:rsidR="00E25ED8" w:rsidRDefault="00E25ED8">
      <w:pPr>
        <w:pStyle w:val="FootnoteText"/>
      </w:pPr>
      <w:r>
        <w:rPr>
          <w:rStyle w:val="FootnoteReference"/>
          <w:sz w:val="20"/>
        </w:rPr>
        <w:footnoteRef/>
      </w:r>
      <w:r>
        <w:rPr>
          <w:color w:val="000000"/>
          <w:sz w:val="20"/>
        </w:rPr>
        <w:t>HRI/GEN/1/Rev.9, du 29 mars 2000.</w:t>
      </w:r>
    </w:p>
  </w:footnote>
  <w:footnote w:id="12">
    <w:p w:rsidR="00E25ED8" w:rsidRDefault="00E25ED8">
      <w:pPr>
        <w:pStyle w:val="FootnoteText"/>
      </w:pPr>
      <w:r>
        <w:rPr>
          <w:rStyle w:val="FootnoteReference"/>
          <w:sz w:val="20"/>
        </w:rPr>
        <w:footnoteRef/>
      </w:r>
      <w:r>
        <w:rPr>
          <w:sz w:val="20"/>
        </w:rPr>
        <w:t xml:space="preserve"> Observation Générale 8, Article 9 (Droit à la liberté et à la sécurité de la personne), de la seizième session (1982).</w:t>
      </w:r>
    </w:p>
  </w:footnote>
  <w:footnote w:id="13">
    <w:p w:rsidR="00E25ED8" w:rsidRDefault="00E25ED8">
      <w:pPr>
        <w:pStyle w:val="FootnoteText"/>
      </w:pPr>
      <w:r w:rsidRPr="00C26432">
        <w:rPr>
          <w:rStyle w:val="FootnoteReference"/>
          <w:sz w:val="20"/>
        </w:rPr>
        <w:footnoteRef/>
      </w:r>
      <w:r w:rsidRPr="00C26432">
        <w:rPr>
          <w:color w:val="000000"/>
          <w:sz w:val="20"/>
        </w:rPr>
        <w:t>CCPR/C/GC/35, du 16 décembre 2014.</w:t>
      </w:r>
    </w:p>
  </w:footnote>
  <w:footnote w:id="14">
    <w:p w:rsidR="00E25ED8" w:rsidRDefault="00E25ED8">
      <w:pPr>
        <w:pStyle w:val="FootnoteText"/>
      </w:pPr>
      <w:r w:rsidRPr="00C26432">
        <w:rPr>
          <w:rStyle w:val="FootnoteReference"/>
          <w:sz w:val="20"/>
        </w:rPr>
        <w:footnoteRef/>
      </w:r>
      <w:r w:rsidRPr="00C26432">
        <w:rPr>
          <w:sz w:val="20"/>
        </w:rPr>
        <w:t xml:space="preserve"> FIDH (2014), </w:t>
      </w:r>
      <w:r w:rsidRPr="00C26432">
        <w:rPr>
          <w:i/>
          <w:sz w:val="20"/>
        </w:rPr>
        <w:t>Maroc. La justice marocaine en chantier: des réformes essentielles mais non suffisantes pour la protection des droits humains</w:t>
      </w:r>
      <w:r w:rsidRPr="00C26432">
        <w:rPr>
          <w:sz w:val="20"/>
        </w:rPr>
        <w:t xml:space="preserve">. </w:t>
      </w:r>
    </w:p>
  </w:footnote>
  <w:footnote w:id="15">
    <w:p w:rsidR="00E25ED8" w:rsidRDefault="00E25ED8">
      <w:pPr>
        <w:pStyle w:val="FootnoteText"/>
      </w:pPr>
      <w:r w:rsidRPr="00C26432">
        <w:rPr>
          <w:rStyle w:val="FootnoteReference"/>
          <w:sz w:val="20"/>
        </w:rPr>
        <w:footnoteRef/>
      </w:r>
      <w:r w:rsidRPr="00C26432">
        <w:rPr>
          <w:sz w:val="20"/>
        </w:rPr>
        <w:t xml:space="preserve"> Observation Générale 21, Article 10 (Droit des personnes privées de liberté d’être traitées avec humanité), de la quarante-quatrième session (1992).</w:t>
      </w:r>
    </w:p>
  </w:footnote>
  <w:footnote w:id="16">
    <w:p w:rsidR="00E25ED8" w:rsidRDefault="00E25ED8">
      <w:pPr>
        <w:pStyle w:val="FootnoteText"/>
      </w:pPr>
      <w:r w:rsidRPr="00C26432">
        <w:rPr>
          <w:rStyle w:val="FootnoteReference"/>
          <w:sz w:val="20"/>
        </w:rPr>
        <w:footnoteRef/>
      </w:r>
      <w:r w:rsidRPr="00C26432">
        <w:rPr>
          <w:sz w:val="20"/>
        </w:rPr>
        <w:t xml:space="preserve"> A savoir : l’Ensemble de règles minima pour le traitement des détenus (1957), l’Ensemble de principes pour la protection des personnes soumises à une forme quelconque d’emprisonnement (1988), le Code de conduite pour les responsables de l’application des lois (1978) et les Principes d’éthique médicale applicables au rôle du personnel de santé, en particulier des médecins, dans la protection des prisonniers et des détenus contre la torture et les autres peines ou traitements cruels, inhumains ou dégradants (1982).</w:t>
      </w:r>
    </w:p>
  </w:footnote>
  <w:footnote w:id="17">
    <w:p w:rsidR="00E25ED8" w:rsidRDefault="00E25ED8">
      <w:pPr>
        <w:pStyle w:val="FootnoteText"/>
        <w:jc w:val="both"/>
      </w:pPr>
      <w:r>
        <w:rPr>
          <w:rStyle w:val="FootnoteReference"/>
          <w:sz w:val="20"/>
        </w:rPr>
        <w:footnoteRef/>
      </w:r>
      <w:r>
        <w:rPr>
          <w:sz w:val="20"/>
        </w:rPr>
        <w:t xml:space="preserve"> Observation Générale  n. 15, Situation des étrangers au regard du Pacte, de la 27</w:t>
      </w:r>
      <w:r>
        <w:rPr>
          <w:sz w:val="20"/>
          <w:vertAlign w:val="superscript"/>
        </w:rPr>
        <w:t>ème</w:t>
      </w:r>
      <w:r>
        <w:rPr>
          <w:sz w:val="20"/>
        </w:rPr>
        <w:t xml:space="preserve"> session (1986).</w:t>
      </w:r>
    </w:p>
  </w:footnote>
  <w:footnote w:id="18">
    <w:p w:rsidR="00E25ED8" w:rsidRDefault="00E25ED8">
      <w:pPr>
        <w:jc w:val="both"/>
        <w:rPr>
          <w:color w:val="000000"/>
          <w:sz w:val="20"/>
          <w:szCs w:val="28"/>
        </w:rPr>
      </w:pPr>
      <w:r>
        <w:rPr>
          <w:rStyle w:val="FootnoteReference"/>
          <w:sz w:val="20"/>
        </w:rPr>
        <w:footnoteRef/>
      </w:r>
      <w:r>
        <w:rPr>
          <w:color w:val="000000"/>
          <w:sz w:val="20"/>
          <w:szCs w:val="28"/>
        </w:rPr>
        <w:t>Le Maroc n’a pas encore ratifié la Convention 87 sur les libertés syndicales revendiquées par les syndicats et les associations des droits humains ainsi que la Convention 143 sur les travailleurs migrants.</w:t>
      </w:r>
    </w:p>
    <w:p w:rsidR="00E25ED8" w:rsidRDefault="00E25ED8">
      <w:pPr>
        <w:jc w:val="both"/>
      </w:pPr>
    </w:p>
  </w:footnote>
  <w:footnote w:id="19">
    <w:p w:rsidR="00E25ED8" w:rsidRDefault="00E25ED8">
      <w:pPr>
        <w:pStyle w:val="FootnoteText"/>
      </w:pPr>
      <w:r>
        <w:rPr>
          <w:rStyle w:val="FootnoteReference"/>
          <w:sz w:val="20"/>
        </w:rPr>
        <w:footnoteRef/>
      </w:r>
      <w:r>
        <w:rPr>
          <w:sz w:val="20"/>
        </w:rPr>
        <w:t xml:space="preserve"> Observation Générale n. 13, Article 14 (Administration de la justice), de la 21</w:t>
      </w:r>
      <w:r>
        <w:rPr>
          <w:sz w:val="20"/>
          <w:vertAlign w:val="superscript"/>
        </w:rPr>
        <w:t>ème</w:t>
      </w:r>
      <w:r>
        <w:rPr>
          <w:sz w:val="20"/>
        </w:rPr>
        <w:t xml:space="preserve"> session (1984).</w:t>
      </w:r>
    </w:p>
  </w:footnote>
  <w:footnote w:id="20">
    <w:p w:rsidR="00E25ED8" w:rsidRDefault="00E25ED8">
      <w:pPr>
        <w:pStyle w:val="FootnoteText"/>
      </w:pPr>
      <w:r w:rsidRPr="00C26432">
        <w:rPr>
          <w:rStyle w:val="FootnoteReference"/>
          <w:sz w:val="20"/>
        </w:rPr>
        <w:footnoteRef/>
      </w:r>
      <w:r w:rsidRPr="00C26432">
        <w:rPr>
          <w:sz w:val="20"/>
        </w:rPr>
        <w:t xml:space="preserve"> Observation Générale 16, Article 17 (Droit au respecte de la vie privée), de la 32ème session (1988).</w:t>
      </w:r>
    </w:p>
  </w:footnote>
  <w:footnote w:id="21">
    <w:p w:rsidR="00E25ED8" w:rsidRDefault="00E25ED8">
      <w:pPr>
        <w:pStyle w:val="FootnoteText"/>
      </w:pPr>
      <w:r w:rsidRPr="00C26432">
        <w:rPr>
          <w:rStyle w:val="FootnoteReference"/>
          <w:sz w:val="20"/>
        </w:rPr>
        <w:footnoteRef/>
      </w:r>
      <w:r w:rsidRPr="00C26432">
        <w:rPr>
          <w:sz w:val="20"/>
        </w:rPr>
        <w:t xml:space="preserve"> CCPR/C/21/Rev.1/Add.4, du 27 septembre 1993.</w:t>
      </w:r>
    </w:p>
  </w:footnote>
  <w:footnote w:id="22">
    <w:p w:rsidR="00E25ED8" w:rsidRDefault="00E25ED8">
      <w:pPr>
        <w:pStyle w:val="FootnoteText"/>
      </w:pPr>
      <w:r>
        <w:rPr>
          <w:rStyle w:val="FootnoteReference"/>
          <w:sz w:val="20"/>
        </w:rPr>
        <w:footnoteRef/>
      </w:r>
      <w:r>
        <w:rPr>
          <w:color w:val="000000"/>
          <w:sz w:val="20"/>
        </w:rPr>
        <w:t>CCPR/C/GC/34, du 12 septembre 2011.</w:t>
      </w:r>
    </w:p>
  </w:footnote>
  <w:footnote w:id="23">
    <w:p w:rsidR="00E25ED8" w:rsidRDefault="00E25ED8">
      <w:pPr>
        <w:pStyle w:val="FootnoteText"/>
      </w:pPr>
      <w:r>
        <w:rPr>
          <w:rStyle w:val="FootnoteReference"/>
          <w:sz w:val="20"/>
        </w:rPr>
        <w:footnoteRef/>
      </w:r>
      <w:r>
        <w:rPr>
          <w:sz w:val="20"/>
        </w:rPr>
        <w:t xml:space="preserve"> Observation Générale n. </w:t>
      </w:r>
      <w:r>
        <w:rPr>
          <w:color w:val="000000"/>
          <w:sz w:val="20"/>
        </w:rPr>
        <w:t>17, Article 24 (Droits de l’enfant), de la trente-cinquième session (1989).</w:t>
      </w:r>
    </w:p>
  </w:footnote>
  <w:footnote w:id="24">
    <w:p w:rsidR="00E25ED8" w:rsidRDefault="00E25ED8" w:rsidP="00C26432">
      <w:pPr>
        <w:pStyle w:val="FootnoteText"/>
        <w:jc w:val="both"/>
      </w:pPr>
      <w:r>
        <w:rPr>
          <w:rStyle w:val="FootnoteReference"/>
          <w:sz w:val="20"/>
        </w:rPr>
        <w:footnoteRef/>
      </w:r>
      <w:r w:rsidRPr="009803D0">
        <w:rPr>
          <w:sz w:val="20"/>
        </w:rPr>
        <w:t xml:space="preserve">UNICEF, CNDH, AMANE (2014), </w:t>
      </w:r>
      <w:r w:rsidRPr="009803D0">
        <w:rPr>
          <w:i/>
          <w:sz w:val="20"/>
        </w:rPr>
        <w:t>Étude sur la violence sexuelle à l’encontre des enfants au Maroc.</w:t>
      </w:r>
    </w:p>
  </w:footnote>
  <w:footnote w:id="25">
    <w:p w:rsidR="00E25ED8" w:rsidRDefault="00E25ED8">
      <w:pPr>
        <w:pStyle w:val="FootnoteText"/>
      </w:pPr>
      <w:r>
        <w:rPr>
          <w:rStyle w:val="FootnoteReference"/>
          <w:sz w:val="20"/>
        </w:rPr>
        <w:footnoteRef/>
      </w:r>
      <w:r>
        <w:rPr>
          <w:sz w:val="20"/>
        </w:rPr>
        <w:t xml:space="preserve"> CCPR/C/21/Rev.1/Add.7, du 27 août 1996.</w:t>
      </w:r>
    </w:p>
  </w:footnote>
  <w:footnote w:id="26">
    <w:p w:rsidR="00E25ED8" w:rsidRDefault="00E25ED8">
      <w:pPr>
        <w:pStyle w:val="FootnoteText"/>
      </w:pPr>
      <w:r>
        <w:rPr>
          <w:rStyle w:val="FootnoteReference"/>
          <w:sz w:val="20"/>
        </w:rPr>
        <w:footnoteRef/>
      </w:r>
      <w:r>
        <w:rPr>
          <w:sz w:val="20"/>
        </w:rPr>
        <w:t xml:space="preserve"> Observation Générale n. 18, Non discrimination, de la trente-septième session (1989)</w:t>
      </w:r>
      <w:r>
        <w:rPr>
          <w:color w:val="000000"/>
          <w:sz w:val="20"/>
        </w:rPr>
        <w:t>.</w:t>
      </w:r>
    </w:p>
  </w:footnote>
  <w:footnote w:id="27">
    <w:p w:rsidR="00E25ED8" w:rsidRDefault="00E25ED8">
      <w:pPr>
        <w:pStyle w:val="FootnoteText"/>
      </w:pPr>
      <w:r>
        <w:rPr>
          <w:rStyle w:val="FootnoteReference"/>
        </w:rPr>
        <w:footnoteRef/>
      </w:r>
      <w:r>
        <w:t xml:space="preserve"> CCPR/C/21/Rev.1/Add.5.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pt;height:9pt" o:bullet="t" filled="t">
        <v:fill color2="black"/>
        <v:imagedata r:id="rId1" o:title=""/>
      </v:shape>
    </w:pict>
  </w:numPicBullet>
  <w:abstractNum w:abstractNumId="0">
    <w:nsid w:val="FFFFFF1D"/>
    <w:multiLevelType w:val="multilevel"/>
    <w:tmpl w:val="C2B2C2FA"/>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002"/>
    <w:multiLevelType w:val="singleLevel"/>
    <w:tmpl w:val="00000002"/>
    <w:name w:val="WW8Num2"/>
    <w:lvl w:ilvl="0">
      <w:start w:val="23"/>
      <w:numFmt w:val="bullet"/>
      <w:lvlText w:val="-"/>
      <w:lvlJc w:val="left"/>
      <w:pPr>
        <w:tabs>
          <w:tab w:val="num" w:pos="0"/>
        </w:tabs>
        <w:ind w:left="720" w:hanging="360"/>
      </w:pPr>
      <w:rPr>
        <w:rFonts w:ascii="Times New Roman" w:hAnsi="Times New Roman" w:hint="default"/>
        <w:color w:val="000000"/>
        <w:sz w:val="20"/>
      </w:rPr>
    </w:lvl>
  </w:abstractNum>
  <w:abstractNum w:abstractNumId="3">
    <w:nsid w:val="00000003"/>
    <w:multiLevelType w:val="multilevel"/>
    <w:tmpl w:val="00000003"/>
    <w:name w:val="WW8Num3"/>
    <w:lvl w:ilvl="0">
      <w:start w:val="1"/>
      <w:numFmt w:val="lowerLetter"/>
      <w:lvlText w:val="%1)"/>
      <w:lvlJc w:val="left"/>
      <w:pPr>
        <w:tabs>
          <w:tab w:val="num" w:pos="720"/>
        </w:tabs>
        <w:ind w:left="720" w:hanging="360"/>
      </w:pPr>
      <w:rPr>
        <w:rFonts w:ascii="Times New Roman" w:eastAsia="Times New Roman" w:hAnsi="Times New Roman" w:cs="Times New Roman" w:hint="default"/>
        <w:sz w:val="24"/>
      </w:rPr>
    </w:lvl>
    <w:lvl w:ilvl="1">
      <w:numFmt w:val="bullet"/>
      <w:lvlText w:val="-"/>
      <w:lvlJc w:val="left"/>
      <w:pPr>
        <w:tabs>
          <w:tab w:val="num" w:pos="1440"/>
        </w:tabs>
        <w:ind w:left="1440" w:hanging="360"/>
      </w:pPr>
      <w:rPr>
        <w:rFonts w:ascii="Times New Roman" w:hAnsi="Times New Roman" w:hint="default"/>
        <w:color w:val="000000"/>
      </w:rPr>
    </w:lvl>
    <w:lvl w:ilvl="2">
      <w:start w:val="1"/>
      <w:numFmt w:val="lowerRoman"/>
      <w:lvlText w:val="%3."/>
      <w:lvlJc w:val="right"/>
      <w:pPr>
        <w:tabs>
          <w:tab w:val="num" w:pos="2160"/>
        </w:tabs>
        <w:ind w:left="2160" w:hanging="180"/>
      </w:pPr>
      <w:rPr>
        <w:rFonts w:ascii="Wingdings" w:hAnsi="Wingdings" w:cs="Wingdings" w:hint="default"/>
      </w:rPr>
    </w:lvl>
    <w:lvl w:ilvl="3">
      <w:start w:val="1"/>
      <w:numFmt w:val="decimal"/>
      <w:lvlText w:val="%4."/>
      <w:lvlJc w:val="left"/>
      <w:pPr>
        <w:tabs>
          <w:tab w:val="num" w:pos="2880"/>
        </w:tabs>
        <w:ind w:left="2880" w:hanging="360"/>
      </w:pPr>
      <w:rPr>
        <w:rFonts w:ascii="Symbol" w:hAnsi="Symbol" w:cs="Symbol"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nsid w:val="00000004"/>
    <w:multiLevelType w:val="singleLevel"/>
    <w:tmpl w:val="00000004"/>
    <w:name w:val="WW8Num4"/>
    <w:lvl w:ilvl="0">
      <w:start w:val="26"/>
      <w:numFmt w:val="bullet"/>
      <w:lvlText w:val="-"/>
      <w:lvlJc w:val="left"/>
      <w:pPr>
        <w:tabs>
          <w:tab w:val="num" w:pos="0"/>
        </w:tabs>
        <w:ind w:left="720" w:hanging="360"/>
      </w:pPr>
      <w:rPr>
        <w:rFonts w:ascii="Times New Roman" w:hAnsi="Times New Roman" w:hint="default"/>
        <w:b w:val="0"/>
        <w:color w:val="auto"/>
      </w:rPr>
    </w:lvl>
  </w:abstractNum>
  <w:abstractNum w:abstractNumId="5">
    <w:nsid w:val="00000007"/>
    <w:multiLevelType w:val="multilevel"/>
    <w:tmpl w:val="0000000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nsid w:val="00000008"/>
    <w:multiLevelType w:val="multilevel"/>
    <w:tmpl w:val="0000000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7">
    <w:nsid w:val="0000000A"/>
    <w:multiLevelType w:val="singleLevel"/>
    <w:tmpl w:val="0000000A"/>
    <w:name w:val="WW8Num21"/>
    <w:lvl w:ilvl="0">
      <w:start w:val="1"/>
      <w:numFmt w:val="bullet"/>
      <w:lvlText w:val=""/>
      <w:lvlPicBulletId w:val="0"/>
      <w:lvlJc w:val="left"/>
      <w:pPr>
        <w:tabs>
          <w:tab w:val="num" w:pos="0"/>
        </w:tabs>
        <w:ind w:left="774" w:hanging="360"/>
      </w:pPr>
      <w:rPr>
        <w:rFonts w:ascii="Symbol" w:hAnsi="Symbol" w:hint="default"/>
        <w:color w:val="auto"/>
      </w:rPr>
    </w:lvl>
  </w:abstractNum>
  <w:abstractNum w:abstractNumId="8">
    <w:nsid w:val="0000000B"/>
    <w:multiLevelType w:val="multilevel"/>
    <w:tmpl w:val="0000000B"/>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9">
    <w:nsid w:val="0000000C"/>
    <w:multiLevelType w:val="multilevel"/>
    <w:tmpl w:val="0000000C"/>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0">
    <w:nsid w:val="0000000D"/>
    <w:multiLevelType w:val="multilevel"/>
    <w:tmpl w:val="0000000D"/>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1">
    <w:nsid w:val="0000000F"/>
    <w:multiLevelType w:val="multilevel"/>
    <w:tmpl w:val="0000000F"/>
    <w:lvl w:ilvl="0">
      <w:start w:val="26"/>
      <w:numFmt w:val="bullet"/>
      <w:lvlText w:val="-"/>
      <w:lvlJc w:val="left"/>
      <w:pPr>
        <w:tabs>
          <w:tab w:val="num" w:pos="0"/>
        </w:tabs>
        <w:ind w:left="720" w:hanging="360"/>
      </w:pPr>
      <w:rPr>
        <w:rFonts w:ascii="Times New Roman" w:hAnsi="Times New Roman" w:hint="default"/>
        <w:b w:val="0"/>
        <w:color w:val="auto"/>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2">
    <w:nsid w:val="00C3649E"/>
    <w:multiLevelType w:val="hybridMultilevel"/>
    <w:tmpl w:val="A276041A"/>
    <w:lvl w:ilvl="0" w:tplc="AEB4E0D4">
      <w:start w:val="1"/>
      <w:numFmt w:val="bullet"/>
      <w:lvlText w:val="-"/>
      <w:lvlJc w:val="left"/>
      <w:pPr>
        <w:tabs>
          <w:tab w:val="num" w:pos="720"/>
        </w:tabs>
        <w:ind w:left="720" w:hanging="360"/>
      </w:pPr>
      <w:rPr>
        <w:rFonts w:ascii="Calibri" w:eastAsia="Times New Roman" w:hAnsi="Calibri"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04A26047"/>
    <w:multiLevelType w:val="hybridMultilevel"/>
    <w:tmpl w:val="3F86637A"/>
    <w:lvl w:ilvl="0" w:tplc="7910C9CE">
      <w:start w:val="7"/>
      <w:numFmt w:val="bullet"/>
      <w:lvlText w:val="-"/>
      <w:lvlJc w:val="left"/>
      <w:pPr>
        <w:tabs>
          <w:tab w:val="num" w:pos="720"/>
        </w:tabs>
        <w:ind w:left="720" w:hanging="360"/>
      </w:pPr>
      <w:rPr>
        <w:rFonts w:ascii="Times New Roman" w:eastAsia="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0EF03AD9"/>
    <w:multiLevelType w:val="hybridMultilevel"/>
    <w:tmpl w:val="F97CA664"/>
    <w:lvl w:ilvl="0" w:tplc="7910C9CE">
      <w:start w:val="15"/>
      <w:numFmt w:val="bullet"/>
      <w:lvlText w:val="-"/>
      <w:lvlJc w:val="left"/>
      <w:pPr>
        <w:tabs>
          <w:tab w:val="num" w:pos="720"/>
        </w:tabs>
        <w:ind w:left="720" w:hanging="360"/>
      </w:pPr>
      <w:rPr>
        <w:rFonts w:ascii="Times New Roman" w:eastAsia="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187B4C4B"/>
    <w:multiLevelType w:val="multilevel"/>
    <w:tmpl w:val="47DEA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FE41415"/>
    <w:multiLevelType w:val="hybridMultilevel"/>
    <w:tmpl w:val="9E9C5604"/>
    <w:lvl w:ilvl="0" w:tplc="96747FC8">
      <w:start w:val="3"/>
      <w:numFmt w:val="bullet"/>
      <w:lvlText w:val="-"/>
      <w:lvlJc w:val="left"/>
      <w:pPr>
        <w:tabs>
          <w:tab w:val="num" w:pos="720"/>
        </w:tabs>
        <w:ind w:left="720" w:hanging="360"/>
      </w:pPr>
      <w:rPr>
        <w:rFonts w:ascii="Times New Roman" w:eastAsia="Times New Roman" w:hAnsi="Times New Roman" w:hint="default"/>
        <w:sz w:val="24"/>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208F4F63"/>
    <w:multiLevelType w:val="hybridMultilevel"/>
    <w:tmpl w:val="A7F85978"/>
    <w:lvl w:ilvl="0" w:tplc="8DFCA81C">
      <w:start w:val="23"/>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279835AA"/>
    <w:multiLevelType w:val="hybridMultilevel"/>
    <w:tmpl w:val="259429D6"/>
    <w:lvl w:ilvl="0" w:tplc="7910C9CE">
      <w:start w:val="11"/>
      <w:numFmt w:val="bullet"/>
      <w:lvlText w:val="-"/>
      <w:lvlJc w:val="left"/>
      <w:pPr>
        <w:tabs>
          <w:tab w:val="num" w:pos="720"/>
        </w:tabs>
        <w:ind w:left="720" w:hanging="360"/>
      </w:pPr>
      <w:rPr>
        <w:rFonts w:ascii="Times New Roman" w:eastAsia="Times New Roman" w:hAnsi="Times New Roman" w:hint="default"/>
        <w:b w:val="0"/>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333B1508"/>
    <w:multiLevelType w:val="hybridMultilevel"/>
    <w:tmpl w:val="33A0015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82C366C"/>
    <w:multiLevelType w:val="hybridMultilevel"/>
    <w:tmpl w:val="7868CC66"/>
    <w:lvl w:ilvl="0" w:tplc="7910C9CE">
      <w:start w:val="7"/>
      <w:numFmt w:val="bullet"/>
      <w:lvlText w:val="-"/>
      <w:lvlJc w:val="left"/>
      <w:pPr>
        <w:tabs>
          <w:tab w:val="num" w:pos="720"/>
        </w:tabs>
        <w:ind w:left="720" w:hanging="360"/>
      </w:pPr>
      <w:rPr>
        <w:rFonts w:ascii="Times New Roman" w:eastAsia="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AC712AC"/>
    <w:multiLevelType w:val="hybridMultilevel"/>
    <w:tmpl w:val="8AD69C80"/>
    <w:lvl w:ilvl="0" w:tplc="7910C9CE">
      <w:start w:val="6"/>
      <w:numFmt w:val="bullet"/>
      <w:lvlText w:val="-"/>
      <w:lvlJc w:val="left"/>
      <w:pPr>
        <w:tabs>
          <w:tab w:val="num" w:pos="720"/>
        </w:tabs>
        <w:ind w:left="720" w:hanging="360"/>
      </w:pPr>
      <w:rPr>
        <w:rFonts w:ascii="Times New Roman" w:eastAsia="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3BCA7FF3"/>
    <w:multiLevelType w:val="hybridMultilevel"/>
    <w:tmpl w:val="9D0084F4"/>
    <w:lvl w:ilvl="0" w:tplc="7910C9CE">
      <w:start w:val="7"/>
      <w:numFmt w:val="bullet"/>
      <w:lvlText w:val="-"/>
      <w:lvlJc w:val="left"/>
      <w:pPr>
        <w:tabs>
          <w:tab w:val="num" w:pos="720"/>
        </w:tabs>
        <w:ind w:left="720" w:hanging="360"/>
      </w:pPr>
      <w:rPr>
        <w:rFonts w:ascii="Times New Roman" w:eastAsia="Times New Roman" w:hAnsi="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3C3F6A9C"/>
    <w:multiLevelType w:val="hybridMultilevel"/>
    <w:tmpl w:val="A89E4F02"/>
    <w:lvl w:ilvl="0" w:tplc="7910C9CE">
      <w:start w:val="22"/>
      <w:numFmt w:val="bullet"/>
      <w:lvlText w:val="-"/>
      <w:lvlJc w:val="left"/>
      <w:pPr>
        <w:tabs>
          <w:tab w:val="num" w:pos="720"/>
        </w:tabs>
        <w:ind w:left="720" w:hanging="360"/>
      </w:pPr>
      <w:rPr>
        <w:rFonts w:ascii="Times New Roman" w:eastAsia="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3EFA50F3"/>
    <w:multiLevelType w:val="hybridMultilevel"/>
    <w:tmpl w:val="7194C76A"/>
    <w:lvl w:ilvl="0" w:tplc="7910C9CE">
      <w:start w:val="15"/>
      <w:numFmt w:val="bullet"/>
      <w:lvlText w:val="-"/>
      <w:lvlJc w:val="left"/>
      <w:pPr>
        <w:tabs>
          <w:tab w:val="num" w:pos="720"/>
        </w:tabs>
        <w:ind w:left="720" w:hanging="360"/>
      </w:pPr>
      <w:rPr>
        <w:rFonts w:ascii="Times New Roman" w:eastAsia="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43472DDF"/>
    <w:multiLevelType w:val="hybridMultilevel"/>
    <w:tmpl w:val="82406B40"/>
    <w:lvl w:ilvl="0" w:tplc="7910C9CE">
      <w:start w:val="21"/>
      <w:numFmt w:val="bullet"/>
      <w:lvlText w:val="-"/>
      <w:lvlJc w:val="left"/>
      <w:pPr>
        <w:tabs>
          <w:tab w:val="num" w:pos="720"/>
        </w:tabs>
        <w:ind w:left="720" w:hanging="360"/>
      </w:pPr>
      <w:rPr>
        <w:rFonts w:ascii="Times New Roman" w:eastAsia="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435F60B4"/>
    <w:multiLevelType w:val="hybridMultilevel"/>
    <w:tmpl w:val="E19E18A6"/>
    <w:lvl w:ilvl="0" w:tplc="24367422">
      <w:start w:val="23"/>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44B17F56"/>
    <w:multiLevelType w:val="hybridMultilevel"/>
    <w:tmpl w:val="A9AE082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51B253D1"/>
    <w:multiLevelType w:val="hybridMultilevel"/>
    <w:tmpl w:val="08A878A4"/>
    <w:lvl w:ilvl="0" w:tplc="AA88A282">
      <w:start w:val="2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53D73267"/>
    <w:multiLevelType w:val="hybridMultilevel"/>
    <w:tmpl w:val="95F0B7B6"/>
    <w:lvl w:ilvl="0" w:tplc="7910C9CE">
      <w:start w:val="10"/>
      <w:numFmt w:val="bullet"/>
      <w:lvlText w:val="-"/>
      <w:lvlJc w:val="left"/>
      <w:pPr>
        <w:tabs>
          <w:tab w:val="num" w:pos="720"/>
        </w:tabs>
        <w:ind w:left="720" w:hanging="360"/>
      </w:pPr>
      <w:rPr>
        <w:rFonts w:ascii="Times New Roman" w:eastAsia="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58191073"/>
    <w:multiLevelType w:val="hybridMultilevel"/>
    <w:tmpl w:val="7C08AFCA"/>
    <w:lvl w:ilvl="0" w:tplc="F6B05974">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5D4B4FF2"/>
    <w:multiLevelType w:val="hybridMultilevel"/>
    <w:tmpl w:val="26804386"/>
    <w:lvl w:ilvl="0" w:tplc="0C0A0017">
      <w:start w:val="1"/>
      <w:numFmt w:val="lowerLetter"/>
      <w:lvlText w:val="%1)"/>
      <w:lvlJc w:val="left"/>
      <w:pPr>
        <w:tabs>
          <w:tab w:val="num" w:pos="720"/>
        </w:tabs>
        <w:ind w:left="720" w:hanging="360"/>
      </w:pPr>
      <w:rPr>
        <w:rFonts w:cs="Times New Roman" w:hint="default"/>
        <w:color w:val="auto"/>
      </w:rPr>
    </w:lvl>
    <w:lvl w:ilvl="1" w:tplc="F6B05974">
      <w:numFmt w:val="bullet"/>
      <w:lvlText w:val="-"/>
      <w:lvlJc w:val="left"/>
      <w:pPr>
        <w:tabs>
          <w:tab w:val="num" w:pos="1440"/>
        </w:tabs>
        <w:ind w:left="1440" w:hanging="360"/>
      </w:pPr>
      <w:rPr>
        <w:rFonts w:ascii="Times New Roman" w:eastAsia="Times New Roman" w:hAnsi="Times New Roman"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2">
    <w:nsid w:val="619D0C8C"/>
    <w:multiLevelType w:val="multilevel"/>
    <w:tmpl w:val="0C0A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3">
    <w:nsid w:val="62867871"/>
    <w:multiLevelType w:val="hybridMultilevel"/>
    <w:tmpl w:val="826CCCCA"/>
    <w:lvl w:ilvl="0" w:tplc="7910C9CE">
      <w:start w:val="3"/>
      <w:numFmt w:val="bullet"/>
      <w:lvlText w:val="-"/>
      <w:lvlJc w:val="left"/>
      <w:pPr>
        <w:tabs>
          <w:tab w:val="num" w:pos="720"/>
        </w:tabs>
        <w:ind w:left="720" w:hanging="360"/>
      </w:pPr>
      <w:rPr>
        <w:rFonts w:ascii="Times New Roman" w:eastAsia="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745A7B7F"/>
    <w:multiLevelType w:val="hybridMultilevel"/>
    <w:tmpl w:val="1C7E6F6E"/>
    <w:lvl w:ilvl="0" w:tplc="E9F06444">
      <w:start w:val="26"/>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75AF0687"/>
    <w:multiLevelType w:val="hybridMultilevel"/>
    <w:tmpl w:val="3B2208C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16"/>
  </w:num>
  <w:num w:numId="3">
    <w:abstractNumId w:val="33"/>
  </w:num>
  <w:num w:numId="4">
    <w:abstractNumId w:val="27"/>
  </w:num>
  <w:num w:numId="5">
    <w:abstractNumId w:val="35"/>
  </w:num>
  <w:num w:numId="6">
    <w:abstractNumId w:val="23"/>
  </w:num>
  <w:num w:numId="7">
    <w:abstractNumId w:val="25"/>
  </w:num>
  <w:num w:numId="8">
    <w:abstractNumId w:val="21"/>
  </w:num>
  <w:num w:numId="9">
    <w:abstractNumId w:val="22"/>
  </w:num>
  <w:num w:numId="10">
    <w:abstractNumId w:val="20"/>
  </w:num>
  <w:num w:numId="11">
    <w:abstractNumId w:val="13"/>
  </w:num>
  <w:num w:numId="12">
    <w:abstractNumId w:val="29"/>
  </w:num>
  <w:num w:numId="13">
    <w:abstractNumId w:val="18"/>
  </w:num>
  <w:num w:numId="14">
    <w:abstractNumId w:val="24"/>
  </w:num>
  <w:num w:numId="15">
    <w:abstractNumId w:val="14"/>
  </w:num>
  <w:num w:numId="16">
    <w:abstractNumId w:val="28"/>
  </w:num>
  <w:num w:numId="17">
    <w:abstractNumId w:val="34"/>
  </w:num>
  <w:num w:numId="18">
    <w:abstractNumId w:val="26"/>
  </w:num>
  <w:num w:numId="19">
    <w:abstractNumId w:val="30"/>
  </w:num>
  <w:num w:numId="20">
    <w:abstractNumId w:val="5"/>
  </w:num>
  <w:num w:numId="21">
    <w:abstractNumId w:val="6"/>
  </w:num>
  <w:num w:numId="22">
    <w:abstractNumId w:val="3"/>
  </w:num>
  <w:num w:numId="23">
    <w:abstractNumId w:val="4"/>
  </w:num>
  <w:num w:numId="24">
    <w:abstractNumId w:val="11"/>
  </w:num>
  <w:num w:numId="25">
    <w:abstractNumId w:val="7"/>
  </w:num>
  <w:num w:numId="26">
    <w:abstractNumId w:val="8"/>
  </w:num>
  <w:num w:numId="27">
    <w:abstractNumId w:val="9"/>
  </w:num>
  <w:num w:numId="28">
    <w:abstractNumId w:val="10"/>
  </w:num>
  <w:num w:numId="29">
    <w:abstractNumId w:val="2"/>
  </w:num>
  <w:num w:numId="30">
    <w:abstractNumId w:val="19"/>
  </w:num>
  <w:num w:numId="31">
    <w:abstractNumId w:val="32"/>
  </w:num>
  <w:num w:numId="32">
    <w:abstractNumId w:val="12"/>
  </w:num>
  <w:num w:numId="33">
    <w:abstractNumId w:val="0"/>
  </w:num>
  <w:num w:numId="34">
    <w:abstractNumId w:val="15"/>
  </w:num>
  <w:num w:numId="35">
    <w:abstractNumId w:val="17"/>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3D0"/>
    <w:rsid w:val="0000699E"/>
    <w:rsid w:val="00054189"/>
    <w:rsid w:val="000824D1"/>
    <w:rsid w:val="00091E26"/>
    <w:rsid w:val="0009727D"/>
    <w:rsid w:val="000A7114"/>
    <w:rsid w:val="000C6DB0"/>
    <w:rsid w:val="000C7D4E"/>
    <w:rsid w:val="000D3FA3"/>
    <w:rsid w:val="000E2AC1"/>
    <w:rsid w:val="000F2BDD"/>
    <w:rsid w:val="00104749"/>
    <w:rsid w:val="00112942"/>
    <w:rsid w:val="00117C28"/>
    <w:rsid w:val="0012111C"/>
    <w:rsid w:val="00137C5B"/>
    <w:rsid w:val="00142F9D"/>
    <w:rsid w:val="00155A6F"/>
    <w:rsid w:val="00166DB0"/>
    <w:rsid w:val="001758ED"/>
    <w:rsid w:val="00184B3B"/>
    <w:rsid w:val="0019033E"/>
    <w:rsid w:val="00193DEB"/>
    <w:rsid w:val="001B1D18"/>
    <w:rsid w:val="001B7520"/>
    <w:rsid w:val="001B7D70"/>
    <w:rsid w:val="001C48BE"/>
    <w:rsid w:val="001D52F3"/>
    <w:rsid w:val="001E1C9D"/>
    <w:rsid w:val="00210AD7"/>
    <w:rsid w:val="00214A93"/>
    <w:rsid w:val="002255E1"/>
    <w:rsid w:val="0024317B"/>
    <w:rsid w:val="002A3E19"/>
    <w:rsid w:val="002A507E"/>
    <w:rsid w:val="002E10DF"/>
    <w:rsid w:val="003304D4"/>
    <w:rsid w:val="00333592"/>
    <w:rsid w:val="00377ED6"/>
    <w:rsid w:val="003851E7"/>
    <w:rsid w:val="00390B4F"/>
    <w:rsid w:val="003A0935"/>
    <w:rsid w:val="003C6671"/>
    <w:rsid w:val="003D01FC"/>
    <w:rsid w:val="003E406E"/>
    <w:rsid w:val="003F2A26"/>
    <w:rsid w:val="00411305"/>
    <w:rsid w:val="00414088"/>
    <w:rsid w:val="00426258"/>
    <w:rsid w:val="00427220"/>
    <w:rsid w:val="004513C4"/>
    <w:rsid w:val="00474727"/>
    <w:rsid w:val="004763AA"/>
    <w:rsid w:val="004B099D"/>
    <w:rsid w:val="004D048D"/>
    <w:rsid w:val="004D1978"/>
    <w:rsid w:val="00520415"/>
    <w:rsid w:val="005237FB"/>
    <w:rsid w:val="005253F1"/>
    <w:rsid w:val="005471B6"/>
    <w:rsid w:val="0055529B"/>
    <w:rsid w:val="00565B1E"/>
    <w:rsid w:val="00580C0C"/>
    <w:rsid w:val="00584B5A"/>
    <w:rsid w:val="005A363F"/>
    <w:rsid w:val="005C7406"/>
    <w:rsid w:val="005E3D42"/>
    <w:rsid w:val="005E6AEF"/>
    <w:rsid w:val="005F1578"/>
    <w:rsid w:val="006139FD"/>
    <w:rsid w:val="00632487"/>
    <w:rsid w:val="00637F8B"/>
    <w:rsid w:val="00647996"/>
    <w:rsid w:val="00650786"/>
    <w:rsid w:val="00664263"/>
    <w:rsid w:val="00690BE2"/>
    <w:rsid w:val="0069477C"/>
    <w:rsid w:val="006A20F2"/>
    <w:rsid w:val="006B3B03"/>
    <w:rsid w:val="006D5A98"/>
    <w:rsid w:val="006F2500"/>
    <w:rsid w:val="0071049E"/>
    <w:rsid w:val="00712907"/>
    <w:rsid w:val="00715AE5"/>
    <w:rsid w:val="007179EE"/>
    <w:rsid w:val="00730A98"/>
    <w:rsid w:val="00744E39"/>
    <w:rsid w:val="00745E12"/>
    <w:rsid w:val="007661D8"/>
    <w:rsid w:val="007A03EE"/>
    <w:rsid w:val="007B34B9"/>
    <w:rsid w:val="007D0E59"/>
    <w:rsid w:val="007D25ED"/>
    <w:rsid w:val="0081632C"/>
    <w:rsid w:val="008341BE"/>
    <w:rsid w:val="0084320B"/>
    <w:rsid w:val="00866C8F"/>
    <w:rsid w:val="008832D7"/>
    <w:rsid w:val="008A53A0"/>
    <w:rsid w:val="00910FE1"/>
    <w:rsid w:val="00924FB4"/>
    <w:rsid w:val="009803D0"/>
    <w:rsid w:val="009A3D52"/>
    <w:rsid w:val="009A4486"/>
    <w:rsid w:val="009B0667"/>
    <w:rsid w:val="009B2EFA"/>
    <w:rsid w:val="009B5920"/>
    <w:rsid w:val="009C0A50"/>
    <w:rsid w:val="009C235B"/>
    <w:rsid w:val="009C4406"/>
    <w:rsid w:val="009D4025"/>
    <w:rsid w:val="00A108EE"/>
    <w:rsid w:val="00A20CE2"/>
    <w:rsid w:val="00A5027C"/>
    <w:rsid w:val="00A606C5"/>
    <w:rsid w:val="00A63714"/>
    <w:rsid w:val="00A63BD8"/>
    <w:rsid w:val="00A9048A"/>
    <w:rsid w:val="00A933D3"/>
    <w:rsid w:val="00A936FF"/>
    <w:rsid w:val="00AB4396"/>
    <w:rsid w:val="00AC055A"/>
    <w:rsid w:val="00AD20B2"/>
    <w:rsid w:val="00AD3FB0"/>
    <w:rsid w:val="00B0553A"/>
    <w:rsid w:val="00B203AB"/>
    <w:rsid w:val="00B33DAD"/>
    <w:rsid w:val="00B35EDD"/>
    <w:rsid w:val="00B4511D"/>
    <w:rsid w:val="00B5404D"/>
    <w:rsid w:val="00B5767B"/>
    <w:rsid w:val="00B828FF"/>
    <w:rsid w:val="00B8582B"/>
    <w:rsid w:val="00BA19AA"/>
    <w:rsid w:val="00BA3229"/>
    <w:rsid w:val="00BB09EB"/>
    <w:rsid w:val="00BC3031"/>
    <w:rsid w:val="00BD750A"/>
    <w:rsid w:val="00C26432"/>
    <w:rsid w:val="00C27989"/>
    <w:rsid w:val="00C34334"/>
    <w:rsid w:val="00C344E7"/>
    <w:rsid w:val="00C475BF"/>
    <w:rsid w:val="00C67BC8"/>
    <w:rsid w:val="00C814FB"/>
    <w:rsid w:val="00C92FCE"/>
    <w:rsid w:val="00CC3383"/>
    <w:rsid w:val="00CF47B8"/>
    <w:rsid w:val="00CF6E9A"/>
    <w:rsid w:val="00D0406E"/>
    <w:rsid w:val="00D23FB2"/>
    <w:rsid w:val="00D24977"/>
    <w:rsid w:val="00D57662"/>
    <w:rsid w:val="00D8059D"/>
    <w:rsid w:val="00D87A42"/>
    <w:rsid w:val="00D92857"/>
    <w:rsid w:val="00D937B1"/>
    <w:rsid w:val="00DA681C"/>
    <w:rsid w:val="00DA7FC7"/>
    <w:rsid w:val="00DD5BFA"/>
    <w:rsid w:val="00DD7B68"/>
    <w:rsid w:val="00E25ED8"/>
    <w:rsid w:val="00E305C0"/>
    <w:rsid w:val="00E46070"/>
    <w:rsid w:val="00E954E1"/>
    <w:rsid w:val="00EA579C"/>
    <w:rsid w:val="00EA742F"/>
    <w:rsid w:val="00ED5D0B"/>
    <w:rsid w:val="00EF396B"/>
    <w:rsid w:val="00F022CB"/>
    <w:rsid w:val="00F25A6A"/>
    <w:rsid w:val="00F35788"/>
    <w:rsid w:val="00F50FAE"/>
    <w:rsid w:val="00F76849"/>
    <w:rsid w:val="00F828A9"/>
    <w:rsid w:val="00FA7656"/>
    <w:rsid w:val="00FC3710"/>
    <w:rsid w:val="00FD3946"/>
    <w:rsid w:val="00FD527B"/>
    <w:rsid w:val="00FE2F8A"/>
    <w:rsid w:val="00FF283B"/>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s-ES" w:eastAsia="es-E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FF283B"/>
    <w:rPr>
      <w:rFonts w:ascii="Times New Roman" w:eastAsia="Times New Roman" w:hAnsi="Times New Roman"/>
      <w:sz w:val="24"/>
      <w:szCs w:val="24"/>
      <w:lang w:val="fr-FR"/>
    </w:rPr>
  </w:style>
  <w:style w:type="paragraph" w:styleId="Heading1">
    <w:name w:val="heading 1"/>
    <w:basedOn w:val="Normal"/>
    <w:next w:val="Normal"/>
    <w:link w:val="Heading1Char"/>
    <w:uiPriority w:val="99"/>
    <w:qFormat/>
    <w:rsid w:val="00FF283B"/>
    <w:pPr>
      <w:keepNext/>
      <w:jc w:val="both"/>
      <w:outlineLvl w:val="0"/>
    </w:pPr>
    <w:rPr>
      <w:b/>
      <w:bCs/>
      <w:lang w:val="es-ES_tradnl"/>
    </w:rPr>
  </w:style>
  <w:style w:type="paragraph" w:styleId="Heading2">
    <w:name w:val="heading 2"/>
    <w:basedOn w:val="Normal"/>
    <w:next w:val="Normal"/>
    <w:link w:val="Heading2Char"/>
    <w:uiPriority w:val="99"/>
    <w:qFormat/>
    <w:rsid w:val="00FF283B"/>
    <w:pPr>
      <w:keepNext/>
      <w:spacing w:after="200"/>
      <w:outlineLvl w:val="1"/>
    </w:pPr>
    <w:rPr>
      <w:b/>
    </w:rPr>
  </w:style>
  <w:style w:type="paragraph" w:styleId="Heading3">
    <w:name w:val="heading 3"/>
    <w:basedOn w:val="Normal"/>
    <w:next w:val="Normal"/>
    <w:link w:val="Heading3Char"/>
    <w:uiPriority w:val="99"/>
    <w:qFormat/>
    <w:rsid w:val="00FF283B"/>
    <w:pPr>
      <w:keepNext/>
      <w:spacing w:after="200"/>
      <w:jc w:val="both"/>
      <w:outlineLvl w:val="2"/>
    </w:pPr>
    <w:rPr>
      <w:b/>
      <w:bCs/>
      <w:color w:val="000000"/>
    </w:rPr>
  </w:style>
  <w:style w:type="paragraph" w:styleId="Heading5">
    <w:name w:val="heading 5"/>
    <w:basedOn w:val="Normal"/>
    <w:link w:val="Heading5Char"/>
    <w:uiPriority w:val="99"/>
    <w:qFormat/>
    <w:rsid w:val="00FF283B"/>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54E"/>
    <w:rPr>
      <w:rFonts w:asciiTheme="majorHAnsi" w:eastAsiaTheme="majorEastAsia" w:hAnsiTheme="majorHAnsi" w:cstheme="majorBidi"/>
      <w:b/>
      <w:bCs/>
      <w:kern w:val="32"/>
      <w:sz w:val="32"/>
      <w:szCs w:val="32"/>
      <w:lang w:val="fr-FR"/>
    </w:rPr>
  </w:style>
  <w:style w:type="character" w:customStyle="1" w:styleId="Heading2Char">
    <w:name w:val="Heading 2 Char"/>
    <w:basedOn w:val="DefaultParagraphFont"/>
    <w:link w:val="Heading2"/>
    <w:uiPriority w:val="9"/>
    <w:semiHidden/>
    <w:rsid w:val="00FE654E"/>
    <w:rPr>
      <w:rFonts w:asciiTheme="majorHAnsi" w:eastAsiaTheme="majorEastAsia" w:hAnsiTheme="majorHAnsi" w:cstheme="majorBidi"/>
      <w:b/>
      <w:bCs/>
      <w:i/>
      <w:iCs/>
      <w:sz w:val="28"/>
      <w:szCs w:val="28"/>
      <w:lang w:val="fr-FR"/>
    </w:rPr>
  </w:style>
  <w:style w:type="character" w:customStyle="1" w:styleId="Heading3Char">
    <w:name w:val="Heading 3 Char"/>
    <w:basedOn w:val="DefaultParagraphFont"/>
    <w:link w:val="Heading3"/>
    <w:uiPriority w:val="9"/>
    <w:semiHidden/>
    <w:rsid w:val="00FE654E"/>
    <w:rPr>
      <w:rFonts w:asciiTheme="majorHAnsi" w:eastAsiaTheme="majorEastAsia" w:hAnsiTheme="majorHAnsi" w:cstheme="majorBidi"/>
      <w:b/>
      <w:bCs/>
      <w:sz w:val="26"/>
      <w:szCs w:val="26"/>
      <w:lang w:val="fr-FR"/>
    </w:rPr>
  </w:style>
  <w:style w:type="character" w:customStyle="1" w:styleId="Heading5Char">
    <w:name w:val="Heading 5 Char"/>
    <w:basedOn w:val="DefaultParagraphFont"/>
    <w:link w:val="Heading5"/>
    <w:uiPriority w:val="9"/>
    <w:semiHidden/>
    <w:rsid w:val="00FE654E"/>
    <w:rPr>
      <w:rFonts w:asciiTheme="minorHAnsi" w:eastAsiaTheme="minorEastAsia" w:hAnsiTheme="minorHAnsi" w:cstheme="minorBidi"/>
      <w:b/>
      <w:bCs/>
      <w:i/>
      <w:iCs/>
      <w:sz w:val="26"/>
      <w:szCs w:val="26"/>
      <w:lang w:val="fr-FR"/>
    </w:rPr>
  </w:style>
  <w:style w:type="character" w:customStyle="1" w:styleId="Ttulo1Car1">
    <w:name w:val="Título 1 Car1"/>
    <w:uiPriority w:val="99"/>
    <w:rsid w:val="00FF283B"/>
    <w:rPr>
      <w:rFonts w:ascii="Times New Roman" w:hAnsi="Times New Roman"/>
      <w:b/>
      <w:sz w:val="24"/>
      <w:lang w:eastAsia="es-ES"/>
    </w:rPr>
  </w:style>
  <w:style w:type="character" w:customStyle="1" w:styleId="Ttulo2Car1">
    <w:name w:val="Título 2 Car1"/>
    <w:uiPriority w:val="99"/>
    <w:rsid w:val="00FF283B"/>
    <w:rPr>
      <w:rFonts w:ascii="Times New Roman" w:hAnsi="Times New Roman"/>
      <w:b/>
      <w:sz w:val="24"/>
      <w:lang w:val="fr-FR" w:eastAsia="es-ES"/>
    </w:rPr>
  </w:style>
  <w:style w:type="character" w:customStyle="1" w:styleId="Ttulo3Car1">
    <w:name w:val="Título 3 Car1"/>
    <w:uiPriority w:val="99"/>
    <w:rsid w:val="00FF283B"/>
    <w:rPr>
      <w:rFonts w:ascii="Times New Roman" w:hAnsi="Times New Roman"/>
      <w:b/>
      <w:color w:val="000000"/>
      <w:sz w:val="24"/>
      <w:lang w:val="fr-FR" w:eastAsia="es-ES"/>
    </w:rPr>
  </w:style>
  <w:style w:type="character" w:customStyle="1" w:styleId="Ttulo5Car1">
    <w:name w:val="Título 5 Car1"/>
    <w:uiPriority w:val="99"/>
    <w:rsid w:val="00FF283B"/>
    <w:rPr>
      <w:rFonts w:ascii="Times New Roman" w:hAnsi="Times New Roman"/>
      <w:b/>
      <w:sz w:val="20"/>
      <w:lang w:val="fr-FR" w:eastAsia="es-ES"/>
    </w:rPr>
  </w:style>
  <w:style w:type="character" w:customStyle="1" w:styleId="Ttulo1Car">
    <w:name w:val="Título 1 Car"/>
    <w:uiPriority w:val="99"/>
    <w:rsid w:val="00FF283B"/>
    <w:rPr>
      <w:rFonts w:ascii="Times New Roman" w:hAnsi="Times New Roman"/>
      <w:b/>
      <w:sz w:val="24"/>
      <w:lang w:eastAsia="es-ES"/>
    </w:rPr>
  </w:style>
  <w:style w:type="character" w:customStyle="1" w:styleId="Ttulo2Car">
    <w:name w:val="Título 2 Car"/>
    <w:uiPriority w:val="99"/>
    <w:rsid w:val="00FF283B"/>
    <w:rPr>
      <w:rFonts w:ascii="Times New Roman" w:hAnsi="Times New Roman"/>
      <w:b/>
      <w:sz w:val="24"/>
      <w:lang w:val="fr-FR" w:eastAsia="es-ES"/>
    </w:rPr>
  </w:style>
  <w:style w:type="character" w:customStyle="1" w:styleId="Ttulo3Car">
    <w:name w:val="Título 3 Car"/>
    <w:uiPriority w:val="99"/>
    <w:rsid w:val="00FF283B"/>
    <w:rPr>
      <w:rFonts w:ascii="Times New Roman" w:hAnsi="Times New Roman"/>
      <w:b/>
      <w:color w:val="000000"/>
      <w:sz w:val="24"/>
      <w:lang w:val="fr-FR" w:eastAsia="es-ES"/>
    </w:rPr>
  </w:style>
  <w:style w:type="character" w:customStyle="1" w:styleId="Ttulo5Car">
    <w:name w:val="Título 5 Car"/>
    <w:uiPriority w:val="99"/>
    <w:rsid w:val="00FF283B"/>
    <w:rPr>
      <w:rFonts w:ascii="Times New Roman" w:hAnsi="Times New Roman"/>
      <w:b/>
      <w:sz w:val="20"/>
      <w:lang w:val="fr-FR" w:eastAsia="es-ES"/>
    </w:rPr>
  </w:style>
  <w:style w:type="paragraph" w:styleId="BodyText">
    <w:name w:val="Body Text"/>
    <w:basedOn w:val="Normal"/>
    <w:link w:val="BodyTextChar"/>
    <w:uiPriority w:val="99"/>
    <w:rsid w:val="00FF283B"/>
    <w:pPr>
      <w:jc w:val="both"/>
    </w:pPr>
    <w:rPr>
      <w:szCs w:val="20"/>
    </w:rPr>
  </w:style>
  <w:style w:type="character" w:customStyle="1" w:styleId="BodyTextChar">
    <w:name w:val="Body Text Char"/>
    <w:basedOn w:val="DefaultParagraphFont"/>
    <w:link w:val="BodyText"/>
    <w:uiPriority w:val="99"/>
    <w:semiHidden/>
    <w:rsid w:val="00FE654E"/>
    <w:rPr>
      <w:rFonts w:ascii="Times New Roman" w:eastAsia="Times New Roman" w:hAnsi="Times New Roman"/>
      <w:sz w:val="24"/>
      <w:szCs w:val="24"/>
      <w:lang w:val="fr-FR"/>
    </w:rPr>
  </w:style>
  <w:style w:type="character" w:customStyle="1" w:styleId="TextodecuerpoCar1">
    <w:name w:val="Texto de cuerpo Car1"/>
    <w:uiPriority w:val="99"/>
    <w:rsid w:val="00FF283B"/>
    <w:rPr>
      <w:rFonts w:ascii="Times New Roman" w:hAnsi="Times New Roman"/>
      <w:sz w:val="20"/>
      <w:lang w:val="fr-FR" w:eastAsia="es-ES"/>
    </w:rPr>
  </w:style>
  <w:style w:type="character" w:customStyle="1" w:styleId="TextodecuerpoCar">
    <w:name w:val="Texto de cuerpo Car"/>
    <w:uiPriority w:val="99"/>
    <w:semiHidden/>
    <w:rsid w:val="00FF283B"/>
    <w:rPr>
      <w:rFonts w:ascii="Times New Roman" w:hAnsi="Times New Roman"/>
      <w:sz w:val="20"/>
      <w:lang w:val="fr-FR" w:eastAsia="es-ES"/>
    </w:rPr>
  </w:style>
  <w:style w:type="character" w:styleId="FootnoteReference">
    <w:name w:val="footnote reference"/>
    <w:aliases w:val="4_G"/>
    <w:basedOn w:val="DefaultParagraphFont"/>
    <w:uiPriority w:val="99"/>
    <w:semiHidden/>
    <w:rsid w:val="00FF283B"/>
    <w:rPr>
      <w:rFonts w:ascii="Times New Roman" w:hAnsi="Times New Roman" w:cs="Times New Roman"/>
      <w:b/>
      <w:sz w:val="24"/>
      <w:vertAlign w:val="superscript"/>
    </w:rPr>
  </w:style>
  <w:style w:type="paragraph" w:styleId="FootnoteText">
    <w:name w:val="footnote text"/>
    <w:aliases w:val="5_G"/>
    <w:basedOn w:val="Normal"/>
    <w:link w:val="FootnoteTextChar"/>
    <w:uiPriority w:val="99"/>
    <w:semiHidden/>
    <w:rsid w:val="00FF283B"/>
    <w:rPr>
      <w:szCs w:val="20"/>
      <w:lang w:eastAsia="fr-FR"/>
    </w:rPr>
  </w:style>
  <w:style w:type="character" w:customStyle="1" w:styleId="FootnoteTextChar">
    <w:name w:val="Footnote Text Char"/>
    <w:aliases w:val="5_G Char"/>
    <w:basedOn w:val="DefaultParagraphFont"/>
    <w:link w:val="FootnoteText"/>
    <w:uiPriority w:val="99"/>
    <w:semiHidden/>
    <w:rsid w:val="00FE654E"/>
    <w:rPr>
      <w:rFonts w:ascii="Times New Roman" w:eastAsia="Times New Roman" w:hAnsi="Times New Roman"/>
      <w:sz w:val="20"/>
      <w:szCs w:val="20"/>
      <w:lang w:val="fr-FR"/>
    </w:rPr>
  </w:style>
  <w:style w:type="character" w:customStyle="1" w:styleId="TextonotapieCar1">
    <w:name w:val="Texto nota pie Car1"/>
    <w:aliases w:val="5_G Car1"/>
    <w:uiPriority w:val="99"/>
    <w:semiHidden/>
    <w:rsid w:val="00FF283B"/>
    <w:rPr>
      <w:rFonts w:ascii="Times New Roman" w:hAnsi="Times New Roman"/>
      <w:sz w:val="20"/>
      <w:lang w:val="fr-FR" w:eastAsia="fr-FR"/>
    </w:rPr>
  </w:style>
  <w:style w:type="character" w:customStyle="1" w:styleId="TextonotapieCar">
    <w:name w:val="Texto nota pie Car"/>
    <w:aliases w:val="5_G Car"/>
    <w:uiPriority w:val="99"/>
    <w:semiHidden/>
    <w:rsid w:val="00FF283B"/>
    <w:rPr>
      <w:rFonts w:ascii="Times New Roman" w:hAnsi="Times New Roman"/>
      <w:sz w:val="20"/>
      <w:lang w:val="fr-FR" w:eastAsia="fr-FR"/>
    </w:rPr>
  </w:style>
  <w:style w:type="paragraph" w:styleId="BodyText2">
    <w:name w:val="Body Text 2"/>
    <w:basedOn w:val="Normal"/>
    <w:link w:val="BodyText2Char"/>
    <w:uiPriority w:val="99"/>
    <w:rsid w:val="00FF283B"/>
    <w:pPr>
      <w:spacing w:after="200" w:line="240" w:lineRule="atLeast"/>
      <w:jc w:val="both"/>
    </w:pPr>
    <w:rPr>
      <w:color w:val="000000"/>
    </w:rPr>
  </w:style>
  <w:style w:type="character" w:customStyle="1" w:styleId="BodyText2Char">
    <w:name w:val="Body Text 2 Char"/>
    <w:basedOn w:val="DefaultParagraphFont"/>
    <w:link w:val="BodyText2"/>
    <w:uiPriority w:val="99"/>
    <w:semiHidden/>
    <w:rsid w:val="00FE654E"/>
    <w:rPr>
      <w:rFonts w:ascii="Times New Roman" w:eastAsia="Times New Roman" w:hAnsi="Times New Roman"/>
      <w:sz w:val="24"/>
      <w:szCs w:val="24"/>
      <w:lang w:val="fr-FR"/>
    </w:rPr>
  </w:style>
  <w:style w:type="character" w:customStyle="1" w:styleId="Textodecuerpo2Car1">
    <w:name w:val="Texto de cuerpo 2 Car1"/>
    <w:uiPriority w:val="99"/>
    <w:rsid w:val="00FF283B"/>
    <w:rPr>
      <w:rFonts w:ascii="Times New Roman" w:hAnsi="Times New Roman"/>
      <w:color w:val="000000"/>
      <w:sz w:val="24"/>
      <w:lang w:val="fr-FR" w:eastAsia="es-ES"/>
    </w:rPr>
  </w:style>
  <w:style w:type="character" w:customStyle="1" w:styleId="Textodecuerpo2Car">
    <w:name w:val="Texto de cuerpo 2 Car"/>
    <w:uiPriority w:val="99"/>
    <w:semiHidden/>
    <w:rsid w:val="00FF283B"/>
    <w:rPr>
      <w:rFonts w:ascii="Times New Roman" w:hAnsi="Times New Roman"/>
      <w:color w:val="000000"/>
      <w:sz w:val="24"/>
      <w:lang w:val="fr-FR" w:eastAsia="es-ES"/>
    </w:rPr>
  </w:style>
  <w:style w:type="paragraph" w:styleId="BodyText3">
    <w:name w:val="Body Text 3"/>
    <w:basedOn w:val="Normal"/>
    <w:link w:val="BodyText3Char"/>
    <w:uiPriority w:val="99"/>
    <w:rsid w:val="00FF283B"/>
    <w:rPr>
      <w:sz w:val="26"/>
    </w:rPr>
  </w:style>
  <w:style w:type="character" w:customStyle="1" w:styleId="BodyText3Char">
    <w:name w:val="Body Text 3 Char"/>
    <w:basedOn w:val="DefaultParagraphFont"/>
    <w:link w:val="BodyText3"/>
    <w:uiPriority w:val="99"/>
    <w:semiHidden/>
    <w:rsid w:val="00FE654E"/>
    <w:rPr>
      <w:rFonts w:ascii="Times New Roman" w:eastAsia="Times New Roman" w:hAnsi="Times New Roman"/>
      <w:sz w:val="16"/>
      <w:szCs w:val="16"/>
      <w:lang w:val="fr-FR"/>
    </w:rPr>
  </w:style>
  <w:style w:type="character" w:customStyle="1" w:styleId="Textodecuerpo3Car1">
    <w:name w:val="Texto de cuerpo 3 Car1"/>
    <w:uiPriority w:val="99"/>
    <w:rsid w:val="00FF283B"/>
    <w:rPr>
      <w:rFonts w:ascii="Times New Roman" w:hAnsi="Times New Roman"/>
      <w:sz w:val="24"/>
      <w:lang w:val="fr-FR" w:eastAsia="es-ES"/>
    </w:rPr>
  </w:style>
  <w:style w:type="character" w:customStyle="1" w:styleId="Textodecuerpo3Car">
    <w:name w:val="Texto de cuerpo 3 Car"/>
    <w:uiPriority w:val="99"/>
    <w:semiHidden/>
    <w:rsid w:val="00FF283B"/>
    <w:rPr>
      <w:rFonts w:ascii="Times New Roman" w:hAnsi="Times New Roman"/>
      <w:sz w:val="24"/>
      <w:lang w:val="fr-FR" w:eastAsia="es-ES"/>
    </w:rPr>
  </w:style>
  <w:style w:type="character" w:customStyle="1" w:styleId="copy">
    <w:name w:val="copy"/>
    <w:basedOn w:val="DefaultParagraphFont"/>
    <w:uiPriority w:val="99"/>
    <w:rsid w:val="00FF283B"/>
    <w:rPr>
      <w:rFonts w:cs="Times New Roman"/>
    </w:rPr>
  </w:style>
  <w:style w:type="paragraph" w:customStyle="1" w:styleId="bodytext0">
    <w:name w:val="bodytext"/>
    <w:basedOn w:val="Normal"/>
    <w:uiPriority w:val="99"/>
    <w:rsid w:val="00FF283B"/>
    <w:pPr>
      <w:spacing w:before="100" w:beforeAutospacing="1" w:after="100" w:afterAutospacing="1"/>
    </w:pPr>
  </w:style>
  <w:style w:type="paragraph" w:customStyle="1" w:styleId="Default">
    <w:name w:val="Default"/>
    <w:uiPriority w:val="99"/>
    <w:rsid w:val="00FF283B"/>
    <w:pPr>
      <w:autoSpaceDE w:val="0"/>
      <w:autoSpaceDN w:val="0"/>
      <w:adjustRightInd w:val="0"/>
    </w:pPr>
    <w:rPr>
      <w:rFonts w:ascii="Amnesty Trade Gothic" w:eastAsia="Times New Roman" w:hAnsi="Amnesty Trade Gothic"/>
      <w:noProof/>
      <w:color w:val="000000"/>
      <w:sz w:val="24"/>
      <w:szCs w:val="24"/>
      <w:lang w:val="en-US"/>
    </w:rPr>
  </w:style>
  <w:style w:type="paragraph" w:styleId="NormalWeb">
    <w:name w:val="Normal (Web)"/>
    <w:basedOn w:val="Normal"/>
    <w:uiPriority w:val="99"/>
    <w:rsid w:val="00FF283B"/>
    <w:pPr>
      <w:spacing w:before="100" w:beforeAutospacing="1" w:after="100" w:afterAutospacing="1"/>
    </w:pPr>
  </w:style>
  <w:style w:type="paragraph" w:styleId="Footer">
    <w:name w:val="footer"/>
    <w:basedOn w:val="Normal"/>
    <w:link w:val="FooterChar"/>
    <w:uiPriority w:val="99"/>
    <w:rsid w:val="00FF283B"/>
    <w:pPr>
      <w:tabs>
        <w:tab w:val="center" w:pos="4419"/>
        <w:tab w:val="right" w:pos="8838"/>
      </w:tabs>
    </w:pPr>
  </w:style>
  <w:style w:type="character" w:customStyle="1" w:styleId="FooterChar">
    <w:name w:val="Footer Char"/>
    <w:basedOn w:val="DefaultParagraphFont"/>
    <w:link w:val="Footer"/>
    <w:uiPriority w:val="99"/>
    <w:semiHidden/>
    <w:rsid w:val="00FE654E"/>
    <w:rPr>
      <w:rFonts w:ascii="Times New Roman" w:eastAsia="Times New Roman" w:hAnsi="Times New Roman"/>
      <w:sz w:val="24"/>
      <w:szCs w:val="24"/>
      <w:lang w:val="fr-FR"/>
    </w:rPr>
  </w:style>
  <w:style w:type="character" w:customStyle="1" w:styleId="PiedepginaCar1">
    <w:name w:val="Pie de página Car1"/>
    <w:uiPriority w:val="99"/>
    <w:rsid w:val="00FF283B"/>
    <w:rPr>
      <w:rFonts w:ascii="Times New Roman" w:hAnsi="Times New Roman"/>
      <w:sz w:val="24"/>
      <w:lang w:val="fr-FR" w:eastAsia="es-ES"/>
    </w:rPr>
  </w:style>
  <w:style w:type="character" w:customStyle="1" w:styleId="PiedepginaCar">
    <w:name w:val="Pie de página Car"/>
    <w:uiPriority w:val="99"/>
    <w:semiHidden/>
    <w:rsid w:val="00FF283B"/>
    <w:rPr>
      <w:rFonts w:ascii="Times New Roman" w:hAnsi="Times New Roman"/>
      <w:sz w:val="24"/>
      <w:lang w:val="fr-FR" w:eastAsia="es-ES"/>
    </w:rPr>
  </w:style>
  <w:style w:type="character" w:styleId="PageNumber">
    <w:name w:val="page number"/>
    <w:basedOn w:val="DefaultParagraphFont"/>
    <w:uiPriority w:val="99"/>
    <w:rsid w:val="00FF283B"/>
    <w:rPr>
      <w:rFonts w:cs="Times New Roman"/>
    </w:rPr>
  </w:style>
  <w:style w:type="character" w:styleId="CommentReference">
    <w:name w:val="annotation reference"/>
    <w:basedOn w:val="DefaultParagraphFont"/>
    <w:uiPriority w:val="99"/>
    <w:semiHidden/>
    <w:rsid w:val="00FF283B"/>
    <w:rPr>
      <w:rFonts w:cs="Times New Roman"/>
      <w:sz w:val="18"/>
    </w:rPr>
  </w:style>
  <w:style w:type="paragraph" w:styleId="CommentText">
    <w:name w:val="annotation text"/>
    <w:basedOn w:val="Normal"/>
    <w:link w:val="CommentTextChar"/>
    <w:uiPriority w:val="99"/>
    <w:semiHidden/>
    <w:rsid w:val="00FF283B"/>
  </w:style>
  <w:style w:type="character" w:customStyle="1" w:styleId="CommentTextChar">
    <w:name w:val="Comment Text Char"/>
    <w:basedOn w:val="DefaultParagraphFont"/>
    <w:link w:val="CommentText"/>
    <w:uiPriority w:val="99"/>
    <w:semiHidden/>
    <w:rsid w:val="00FF283B"/>
    <w:rPr>
      <w:rFonts w:ascii="Times New Roman" w:hAnsi="Times New Roman"/>
      <w:sz w:val="20"/>
      <w:lang w:val="fr-FR" w:eastAsia="es-ES"/>
    </w:rPr>
  </w:style>
  <w:style w:type="character" w:customStyle="1" w:styleId="TextocomentarioCar">
    <w:name w:val="Texto comentario Car"/>
    <w:uiPriority w:val="99"/>
    <w:semiHidden/>
    <w:rsid w:val="00FF283B"/>
    <w:rPr>
      <w:rFonts w:ascii="Times New Roman" w:hAnsi="Times New Roman"/>
      <w:sz w:val="24"/>
      <w:lang w:val="fr-FR" w:eastAsia="es-ES"/>
    </w:rPr>
  </w:style>
  <w:style w:type="paragraph" w:styleId="CommentSubject">
    <w:name w:val="annotation subject"/>
    <w:basedOn w:val="CommentText"/>
    <w:next w:val="CommentText"/>
    <w:link w:val="CommentSubjectChar"/>
    <w:uiPriority w:val="99"/>
    <w:semiHidden/>
    <w:rsid w:val="00FF283B"/>
    <w:rPr>
      <w:b/>
      <w:bCs/>
      <w:sz w:val="20"/>
      <w:szCs w:val="20"/>
    </w:rPr>
  </w:style>
  <w:style w:type="character" w:customStyle="1" w:styleId="CommentSubjectChar">
    <w:name w:val="Comment Subject Char"/>
    <w:basedOn w:val="CommentTextChar"/>
    <w:link w:val="CommentSubject"/>
    <w:uiPriority w:val="99"/>
    <w:semiHidden/>
    <w:rsid w:val="00FE654E"/>
    <w:rPr>
      <w:rFonts w:ascii="Times New Roman" w:eastAsia="Times New Roman" w:hAnsi="Times New Roman"/>
      <w:b/>
      <w:bCs/>
      <w:sz w:val="20"/>
      <w:szCs w:val="20"/>
      <w:lang w:val="fr-FR" w:eastAsia="es-ES"/>
    </w:rPr>
  </w:style>
  <w:style w:type="character" w:customStyle="1" w:styleId="AsuntodelcomentarioCar1">
    <w:name w:val="Asunto del comentario Car1"/>
    <w:uiPriority w:val="99"/>
    <w:semiHidden/>
    <w:rsid w:val="00FF283B"/>
    <w:rPr>
      <w:rFonts w:ascii="Times New Roman" w:hAnsi="Times New Roman"/>
      <w:b/>
      <w:sz w:val="20"/>
      <w:lang w:val="fr-FR" w:eastAsia="es-ES"/>
    </w:rPr>
  </w:style>
  <w:style w:type="character" w:customStyle="1" w:styleId="AsuntodelcomentarioCar">
    <w:name w:val="Asunto del comentario Car"/>
    <w:uiPriority w:val="99"/>
    <w:semiHidden/>
    <w:rsid w:val="00FF283B"/>
    <w:rPr>
      <w:rFonts w:ascii="Times New Roman" w:hAnsi="Times New Roman"/>
      <w:b/>
      <w:sz w:val="20"/>
      <w:lang w:val="fr-FR" w:eastAsia="es-ES"/>
    </w:rPr>
  </w:style>
  <w:style w:type="paragraph" w:styleId="BalloonText">
    <w:name w:val="Balloon Text"/>
    <w:basedOn w:val="Normal"/>
    <w:link w:val="BalloonTextChar"/>
    <w:uiPriority w:val="99"/>
    <w:semiHidden/>
    <w:rsid w:val="00FF283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654E"/>
    <w:rPr>
      <w:rFonts w:ascii="Times New Roman" w:eastAsia="Times New Roman" w:hAnsi="Times New Roman"/>
      <w:sz w:val="0"/>
      <w:szCs w:val="0"/>
      <w:lang w:val="fr-FR"/>
    </w:rPr>
  </w:style>
  <w:style w:type="character" w:customStyle="1" w:styleId="TextodegloboCar1">
    <w:name w:val="Texto de globo Car1"/>
    <w:uiPriority w:val="99"/>
    <w:semiHidden/>
    <w:rsid w:val="00FF283B"/>
    <w:rPr>
      <w:rFonts w:ascii="Lucida Grande" w:hAnsi="Lucida Grande"/>
      <w:sz w:val="18"/>
      <w:lang w:val="fr-FR" w:eastAsia="es-ES"/>
    </w:rPr>
  </w:style>
  <w:style w:type="character" w:customStyle="1" w:styleId="TextodegloboCar">
    <w:name w:val="Texto de globo Car"/>
    <w:uiPriority w:val="99"/>
    <w:semiHidden/>
    <w:rsid w:val="00FF283B"/>
    <w:rPr>
      <w:rFonts w:ascii="Lucida Grande" w:hAnsi="Lucida Grande"/>
      <w:sz w:val="18"/>
      <w:lang w:val="fr-FR" w:eastAsia="es-ES"/>
    </w:rPr>
  </w:style>
  <w:style w:type="character" w:styleId="Hyperlink">
    <w:name w:val="Hyperlink"/>
    <w:basedOn w:val="DefaultParagraphFont"/>
    <w:uiPriority w:val="99"/>
    <w:rsid w:val="00FF283B"/>
    <w:rPr>
      <w:rFonts w:cs="Times New Roman"/>
      <w:color w:val="0000FF"/>
      <w:u w:val="single"/>
    </w:rPr>
  </w:style>
  <w:style w:type="paragraph" w:styleId="Header">
    <w:name w:val="header"/>
    <w:basedOn w:val="Normal"/>
    <w:link w:val="HeaderChar"/>
    <w:uiPriority w:val="99"/>
    <w:rsid w:val="00FF283B"/>
    <w:pPr>
      <w:tabs>
        <w:tab w:val="center" w:pos="4419"/>
        <w:tab w:val="right" w:pos="8838"/>
      </w:tabs>
    </w:pPr>
  </w:style>
  <w:style w:type="character" w:customStyle="1" w:styleId="HeaderChar">
    <w:name w:val="Header Char"/>
    <w:basedOn w:val="DefaultParagraphFont"/>
    <w:link w:val="Header"/>
    <w:uiPriority w:val="99"/>
    <w:semiHidden/>
    <w:rsid w:val="00FE654E"/>
    <w:rPr>
      <w:rFonts w:ascii="Times New Roman" w:eastAsia="Times New Roman" w:hAnsi="Times New Roman"/>
      <w:sz w:val="24"/>
      <w:szCs w:val="24"/>
      <w:lang w:val="fr-FR"/>
    </w:rPr>
  </w:style>
  <w:style w:type="character" w:customStyle="1" w:styleId="EncabezadoCar1">
    <w:name w:val="Encabezado Car1"/>
    <w:uiPriority w:val="99"/>
    <w:rsid w:val="00FF283B"/>
    <w:rPr>
      <w:rFonts w:ascii="Times New Roman" w:hAnsi="Times New Roman"/>
      <w:sz w:val="24"/>
      <w:lang w:val="fr-FR" w:eastAsia="es-ES"/>
    </w:rPr>
  </w:style>
  <w:style w:type="character" w:customStyle="1" w:styleId="EncabezadoCar">
    <w:name w:val="Encabezado Car"/>
    <w:uiPriority w:val="99"/>
    <w:rsid w:val="00FF283B"/>
    <w:rPr>
      <w:rFonts w:ascii="Times New Roman" w:hAnsi="Times New Roman"/>
      <w:sz w:val="24"/>
      <w:lang w:val="fr-FR" w:eastAsia="es-ES"/>
    </w:rPr>
  </w:style>
  <w:style w:type="paragraph" w:styleId="DocumentMap">
    <w:name w:val="Document Map"/>
    <w:basedOn w:val="Normal"/>
    <w:link w:val="DocumentMapChar"/>
    <w:uiPriority w:val="99"/>
    <w:semiHidden/>
    <w:rsid w:val="00FF283B"/>
    <w:rPr>
      <w:rFonts w:ascii="Tahoma" w:hAnsi="Tahoma" w:cs="Tahoma"/>
      <w:sz w:val="16"/>
      <w:szCs w:val="16"/>
    </w:rPr>
  </w:style>
  <w:style w:type="character" w:customStyle="1" w:styleId="DocumentMapChar">
    <w:name w:val="Document Map Char"/>
    <w:basedOn w:val="DefaultParagraphFont"/>
    <w:link w:val="DocumentMap"/>
    <w:uiPriority w:val="99"/>
    <w:semiHidden/>
    <w:rsid w:val="00FE654E"/>
    <w:rPr>
      <w:rFonts w:ascii="Times New Roman" w:eastAsia="Times New Roman" w:hAnsi="Times New Roman"/>
      <w:sz w:val="0"/>
      <w:szCs w:val="0"/>
      <w:lang w:val="fr-FR"/>
    </w:rPr>
  </w:style>
  <w:style w:type="character" w:customStyle="1" w:styleId="MapadeldocumentoCar1">
    <w:name w:val="Mapa del documento Car1"/>
    <w:uiPriority w:val="99"/>
    <w:semiHidden/>
    <w:rsid w:val="00FF283B"/>
    <w:rPr>
      <w:rFonts w:ascii="Tahoma" w:hAnsi="Tahoma"/>
      <w:sz w:val="16"/>
      <w:lang w:val="fr-FR" w:eastAsia="es-ES"/>
    </w:rPr>
  </w:style>
  <w:style w:type="character" w:customStyle="1" w:styleId="MapadeldocumentoCar">
    <w:name w:val="Mapa del documento Car"/>
    <w:uiPriority w:val="99"/>
    <w:semiHidden/>
    <w:rsid w:val="00FF283B"/>
    <w:rPr>
      <w:rFonts w:ascii="Tahoma" w:hAnsi="Tahoma"/>
      <w:sz w:val="16"/>
      <w:lang w:val="fr-FR" w:eastAsia="es-ES"/>
    </w:rPr>
  </w:style>
  <w:style w:type="character" w:customStyle="1" w:styleId="TextocomentarioCar1">
    <w:name w:val="Texto comentario Car1"/>
    <w:uiPriority w:val="99"/>
    <w:semiHidden/>
    <w:rsid w:val="00FF283B"/>
    <w:rPr>
      <w:rFonts w:ascii="Times New Roman" w:hAnsi="Times New Roman"/>
      <w:sz w:val="24"/>
      <w:lang w:val="fr-FR" w:eastAsia="es-ES"/>
    </w:rPr>
  </w:style>
  <w:style w:type="paragraph" w:customStyle="1" w:styleId="Paragraphedeliste1">
    <w:name w:val="Paragraphe de liste1"/>
    <w:basedOn w:val="Normal"/>
    <w:uiPriority w:val="99"/>
    <w:rsid w:val="00FF283B"/>
    <w:pPr>
      <w:suppressAutoHyphens/>
      <w:ind w:left="720"/>
    </w:pPr>
    <w:rPr>
      <w:lang w:eastAsia="ar-SA"/>
    </w:rPr>
  </w:style>
  <w:style w:type="character" w:customStyle="1" w:styleId="Refdecomentario1">
    <w:name w:val="Ref. de comentario1"/>
    <w:uiPriority w:val="99"/>
    <w:rsid w:val="00FF283B"/>
    <w:rPr>
      <w:sz w:val="18"/>
    </w:rPr>
  </w:style>
  <w:style w:type="paragraph" w:styleId="Title">
    <w:name w:val="Title"/>
    <w:basedOn w:val="Normal"/>
    <w:next w:val="Normal"/>
    <w:link w:val="TitleChar"/>
    <w:uiPriority w:val="99"/>
    <w:qFormat/>
    <w:rsid w:val="00FF283B"/>
    <w:pPr>
      <w:spacing w:before="240" w:after="60"/>
      <w:jc w:val="center"/>
      <w:outlineLvl w:val="0"/>
    </w:pPr>
    <w:rPr>
      <w:rFonts w:ascii="Calibri" w:eastAsia="MS Gothi" w:hAnsi="Calibri"/>
      <w:b/>
      <w:bCs/>
      <w:kern w:val="28"/>
      <w:sz w:val="32"/>
      <w:szCs w:val="32"/>
    </w:rPr>
  </w:style>
  <w:style w:type="character" w:customStyle="1" w:styleId="TitleChar">
    <w:name w:val="Title Char"/>
    <w:basedOn w:val="DefaultParagraphFont"/>
    <w:link w:val="Title"/>
    <w:uiPriority w:val="10"/>
    <w:rsid w:val="00FE654E"/>
    <w:rPr>
      <w:rFonts w:asciiTheme="majorHAnsi" w:eastAsiaTheme="majorEastAsia" w:hAnsiTheme="majorHAnsi" w:cstheme="majorBidi"/>
      <w:b/>
      <w:bCs/>
      <w:kern w:val="28"/>
      <w:sz w:val="32"/>
      <w:szCs w:val="32"/>
      <w:lang w:val="fr-FR"/>
    </w:rPr>
  </w:style>
  <w:style w:type="character" w:customStyle="1" w:styleId="TtuloCar">
    <w:name w:val="Título Car"/>
    <w:uiPriority w:val="99"/>
    <w:rsid w:val="00FF283B"/>
    <w:rPr>
      <w:rFonts w:ascii="Calibri" w:eastAsia="MS Gothi" w:hAnsi="Calibri"/>
      <w:b/>
      <w:kern w:val="28"/>
      <w:sz w:val="32"/>
      <w:lang w:val="fr-FR" w:eastAsia="es-ES"/>
    </w:rPr>
  </w:style>
  <w:style w:type="character" w:styleId="EndnoteReference">
    <w:name w:val="endnote reference"/>
    <w:basedOn w:val="DefaultParagraphFont"/>
    <w:uiPriority w:val="99"/>
    <w:semiHidden/>
    <w:rsid w:val="00FF283B"/>
    <w:rPr>
      <w:rFonts w:cs="Times New Roman"/>
      <w:vertAlign w:val="superscript"/>
    </w:rPr>
  </w:style>
  <w:style w:type="character" w:customStyle="1" w:styleId="apple-converted-space">
    <w:name w:val="apple-converted-space"/>
    <w:uiPriority w:val="99"/>
    <w:rsid w:val="00FF283B"/>
  </w:style>
  <w:style w:type="paragraph" w:customStyle="1" w:styleId="para">
    <w:name w:val="para"/>
    <w:basedOn w:val="Normal"/>
    <w:uiPriority w:val="99"/>
    <w:rsid w:val="00FF283B"/>
    <w:pPr>
      <w:spacing w:before="100" w:beforeAutospacing="1" w:after="100" w:afterAutospacing="1"/>
    </w:pPr>
    <w:rPr>
      <w:rFonts w:eastAsia="Calibri"/>
      <w:lang w:val="en-US" w:eastAsia="en-US"/>
    </w:rPr>
  </w:style>
  <w:style w:type="character" w:styleId="Strong">
    <w:name w:val="Strong"/>
    <w:basedOn w:val="DefaultParagraphFont"/>
    <w:uiPriority w:val="99"/>
    <w:qFormat/>
    <w:rsid w:val="00FF283B"/>
    <w:rPr>
      <w:rFonts w:cs="Times New Roman"/>
      <w:b/>
    </w:rPr>
  </w:style>
  <w:style w:type="character" w:styleId="Emphasis">
    <w:name w:val="Emphasis"/>
    <w:basedOn w:val="DefaultParagraphFont"/>
    <w:uiPriority w:val="99"/>
    <w:qFormat/>
    <w:rsid w:val="00FF283B"/>
    <w:rPr>
      <w:rFonts w:cs="Times New Roman"/>
      <w:i/>
    </w:rPr>
  </w:style>
  <w:style w:type="table" w:styleId="TableGrid">
    <w:name w:val="Table Grid"/>
    <w:basedOn w:val="TableNormal"/>
    <w:uiPriority w:val="99"/>
    <w:rsid w:val="00390B4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western">
    <w:name w:val="ecxwestern"/>
    <w:basedOn w:val="Normal"/>
    <w:uiPriority w:val="99"/>
    <w:rsid w:val="00FF283B"/>
    <w:pPr>
      <w:spacing w:before="100" w:beforeAutospacing="1" w:after="100" w:afterAutospacing="1"/>
    </w:pPr>
    <w:rPr>
      <w:lang w:val="es-ES_tradnl" w:eastAsia="es-ES_tradnl"/>
    </w:rPr>
  </w:style>
  <w:style w:type="paragraph" w:styleId="TOC1">
    <w:name w:val="toc 1"/>
    <w:basedOn w:val="Normal"/>
    <w:next w:val="Normal"/>
    <w:autoRedefine/>
    <w:uiPriority w:val="39"/>
    <w:rsid w:val="00FF283B"/>
    <w:pPr>
      <w:spacing w:after="100"/>
    </w:pPr>
  </w:style>
  <w:style w:type="paragraph" w:styleId="TOC2">
    <w:name w:val="toc 2"/>
    <w:basedOn w:val="Normal"/>
    <w:next w:val="Normal"/>
    <w:autoRedefine/>
    <w:uiPriority w:val="39"/>
    <w:rsid w:val="00FF283B"/>
    <w:pPr>
      <w:spacing w:after="100"/>
      <w:ind w:left="240"/>
    </w:pPr>
  </w:style>
  <w:style w:type="paragraph" w:styleId="TOCHeading">
    <w:name w:val="TOC Heading"/>
    <w:basedOn w:val="Heading1"/>
    <w:next w:val="Normal"/>
    <w:uiPriority w:val="99"/>
    <w:qFormat/>
    <w:rsid w:val="00FF283B"/>
    <w:pPr>
      <w:keepLines/>
      <w:spacing w:before="480" w:line="276" w:lineRule="auto"/>
      <w:jc w:val="left"/>
      <w:outlineLvl w:val="9"/>
    </w:pPr>
    <w:rPr>
      <w:rFonts w:ascii="Cambria" w:eastAsia="MS Gothi" w:hAnsi="Cambria"/>
      <w:color w:val="365F91"/>
      <w:sz w:val="28"/>
      <w:szCs w:val="28"/>
      <w:lang w:val="en-US" w:eastAsia="en-US"/>
    </w:rPr>
  </w:style>
  <w:style w:type="paragraph" w:styleId="TOC3">
    <w:name w:val="toc 3"/>
    <w:basedOn w:val="Normal"/>
    <w:next w:val="Normal"/>
    <w:autoRedefine/>
    <w:uiPriority w:val="99"/>
    <w:semiHidden/>
    <w:rsid w:val="00FF283B"/>
    <w:pPr>
      <w:spacing w:after="100"/>
      <w:ind w:left="480"/>
    </w:pPr>
  </w:style>
  <w:style w:type="paragraph" w:styleId="ListParagraph">
    <w:name w:val="List Paragraph"/>
    <w:basedOn w:val="Normal"/>
    <w:uiPriority w:val="99"/>
    <w:qFormat/>
    <w:rsid w:val="00FF283B"/>
    <w:pPr>
      <w:ind w:left="720"/>
      <w:contextualSpacing/>
    </w:pPr>
  </w:style>
  <w:style w:type="character" w:customStyle="1" w:styleId="figure-caption">
    <w:name w:val="figure-caption"/>
    <w:basedOn w:val="DefaultParagraphFont"/>
    <w:uiPriority w:val="99"/>
    <w:rsid w:val="006B3B03"/>
    <w:rPr>
      <w:rFonts w:cs="Times New Roman"/>
    </w:rPr>
  </w:style>
  <w:style w:type="character" w:customStyle="1" w:styleId="Refdecomentario2">
    <w:name w:val="Ref. de comentario2"/>
    <w:uiPriority w:val="99"/>
    <w:rsid w:val="00A933D3"/>
    <w:rPr>
      <w:sz w:val="18"/>
    </w:rPr>
  </w:style>
  <w:style w:type="table" w:styleId="ColorfulShading-Accent5">
    <w:name w:val="Colorful Shading Accent 5"/>
    <w:basedOn w:val="TableNormal"/>
    <w:uiPriority w:val="99"/>
    <w:rsid w:val="001C48BE"/>
    <w:rPr>
      <w:rFonts w:ascii="Cambria" w:hAnsi="Cambria"/>
      <w:color w:val="000000"/>
      <w:lang w:val="fr-FR" w:eastAsia="en-US"/>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rFonts w:cs="Times New Roman"/>
        <w:b/>
        <w:bCs/>
      </w:rPr>
      <w:tblPr/>
      <w:tcPr>
        <w:tcBorders>
          <w:top w:val="nil"/>
          <w:left w:val="nil"/>
          <w:bottom w:val="single" w:sz="24" w:space="0" w:color="F79646"/>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76A7C"/>
      </w:tcPr>
    </w:tblStylePr>
    <w:tblStylePr w:type="firstCol">
      <w:rPr>
        <w:rFonts w:cs="Times New Roman"/>
        <w:color w:val="FFFFFF"/>
      </w:rPr>
      <w:tblPr/>
      <w:tcPr>
        <w:tcBorders>
          <w:top w:val="nil"/>
          <w:left w:val="nil"/>
          <w:bottom w:val="nil"/>
          <w:right w:val="nil"/>
          <w:insideH w:val="single" w:sz="4" w:space="0" w:color="276A7C"/>
          <w:insideV w:val="nil"/>
        </w:tcBorders>
        <w:shd w:val="clear" w:color="auto" w:fill="276A7C"/>
      </w:tcPr>
    </w:tblStylePr>
    <w:tblStylePr w:type="lastCol">
      <w:rPr>
        <w:rFonts w:cs="Times New Roman"/>
        <w:color w:val="FFFFFF"/>
      </w:rPr>
      <w:tblPr/>
      <w:tcPr>
        <w:tcBorders>
          <w:top w:val="nil"/>
          <w:left w:val="nil"/>
          <w:bottom w:val="nil"/>
          <w:right w:val="nil"/>
          <w:insideH w:val="nil"/>
          <w:insideV w:val="nil"/>
        </w:tcBorders>
        <w:shd w:val="clear" w:color="auto" w:fill="276A7C"/>
      </w:tcPr>
    </w:tblStylePr>
    <w:tblStylePr w:type="band1Vert">
      <w:rPr>
        <w:rFonts w:cs="Times New Roman"/>
      </w:rPr>
      <w:tblPr/>
      <w:tcPr>
        <w:shd w:val="clear" w:color="auto" w:fill="B6DDE8"/>
      </w:tcPr>
    </w:tblStylePr>
    <w:tblStylePr w:type="band1Horz">
      <w:rPr>
        <w:rFonts w:cs="Times New Roman"/>
      </w:rPr>
      <w:tblPr/>
      <w:tcPr>
        <w:shd w:val="clear" w:color="auto" w:fill="A5D5E2"/>
      </w:tcPr>
    </w:tblStylePr>
    <w:tblStylePr w:type="neCell">
      <w:rPr>
        <w:rFonts w:cs="Times New Roman"/>
        <w:color w:val="000000"/>
      </w:rPr>
    </w:tblStylePr>
    <w:tblStylePr w:type="nwCell">
      <w:rPr>
        <w:rFonts w:cs="Times New Roman"/>
        <w:color w:val="000000"/>
      </w:r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s-ES" w:eastAsia="es-E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FF283B"/>
    <w:rPr>
      <w:rFonts w:ascii="Times New Roman" w:eastAsia="Times New Roman" w:hAnsi="Times New Roman"/>
      <w:sz w:val="24"/>
      <w:szCs w:val="24"/>
      <w:lang w:val="fr-FR"/>
    </w:rPr>
  </w:style>
  <w:style w:type="paragraph" w:styleId="Heading1">
    <w:name w:val="heading 1"/>
    <w:basedOn w:val="Normal"/>
    <w:next w:val="Normal"/>
    <w:link w:val="Heading1Char"/>
    <w:uiPriority w:val="99"/>
    <w:qFormat/>
    <w:rsid w:val="00FF283B"/>
    <w:pPr>
      <w:keepNext/>
      <w:jc w:val="both"/>
      <w:outlineLvl w:val="0"/>
    </w:pPr>
    <w:rPr>
      <w:b/>
      <w:bCs/>
      <w:lang w:val="es-ES_tradnl"/>
    </w:rPr>
  </w:style>
  <w:style w:type="paragraph" w:styleId="Heading2">
    <w:name w:val="heading 2"/>
    <w:basedOn w:val="Normal"/>
    <w:next w:val="Normal"/>
    <w:link w:val="Heading2Char"/>
    <w:uiPriority w:val="99"/>
    <w:qFormat/>
    <w:rsid w:val="00FF283B"/>
    <w:pPr>
      <w:keepNext/>
      <w:spacing w:after="200"/>
      <w:outlineLvl w:val="1"/>
    </w:pPr>
    <w:rPr>
      <w:b/>
    </w:rPr>
  </w:style>
  <w:style w:type="paragraph" w:styleId="Heading3">
    <w:name w:val="heading 3"/>
    <w:basedOn w:val="Normal"/>
    <w:next w:val="Normal"/>
    <w:link w:val="Heading3Char"/>
    <w:uiPriority w:val="99"/>
    <w:qFormat/>
    <w:rsid w:val="00FF283B"/>
    <w:pPr>
      <w:keepNext/>
      <w:spacing w:after="200"/>
      <w:jc w:val="both"/>
      <w:outlineLvl w:val="2"/>
    </w:pPr>
    <w:rPr>
      <w:b/>
      <w:bCs/>
      <w:color w:val="000000"/>
    </w:rPr>
  </w:style>
  <w:style w:type="paragraph" w:styleId="Heading5">
    <w:name w:val="heading 5"/>
    <w:basedOn w:val="Normal"/>
    <w:link w:val="Heading5Char"/>
    <w:uiPriority w:val="99"/>
    <w:qFormat/>
    <w:rsid w:val="00FF283B"/>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54E"/>
    <w:rPr>
      <w:rFonts w:asciiTheme="majorHAnsi" w:eastAsiaTheme="majorEastAsia" w:hAnsiTheme="majorHAnsi" w:cstheme="majorBidi"/>
      <w:b/>
      <w:bCs/>
      <w:kern w:val="32"/>
      <w:sz w:val="32"/>
      <w:szCs w:val="32"/>
      <w:lang w:val="fr-FR"/>
    </w:rPr>
  </w:style>
  <w:style w:type="character" w:customStyle="1" w:styleId="Heading2Char">
    <w:name w:val="Heading 2 Char"/>
    <w:basedOn w:val="DefaultParagraphFont"/>
    <w:link w:val="Heading2"/>
    <w:uiPriority w:val="9"/>
    <w:semiHidden/>
    <w:rsid w:val="00FE654E"/>
    <w:rPr>
      <w:rFonts w:asciiTheme="majorHAnsi" w:eastAsiaTheme="majorEastAsia" w:hAnsiTheme="majorHAnsi" w:cstheme="majorBidi"/>
      <w:b/>
      <w:bCs/>
      <w:i/>
      <w:iCs/>
      <w:sz w:val="28"/>
      <w:szCs w:val="28"/>
      <w:lang w:val="fr-FR"/>
    </w:rPr>
  </w:style>
  <w:style w:type="character" w:customStyle="1" w:styleId="Heading3Char">
    <w:name w:val="Heading 3 Char"/>
    <w:basedOn w:val="DefaultParagraphFont"/>
    <w:link w:val="Heading3"/>
    <w:uiPriority w:val="9"/>
    <w:semiHidden/>
    <w:rsid w:val="00FE654E"/>
    <w:rPr>
      <w:rFonts w:asciiTheme="majorHAnsi" w:eastAsiaTheme="majorEastAsia" w:hAnsiTheme="majorHAnsi" w:cstheme="majorBidi"/>
      <w:b/>
      <w:bCs/>
      <w:sz w:val="26"/>
      <w:szCs w:val="26"/>
      <w:lang w:val="fr-FR"/>
    </w:rPr>
  </w:style>
  <w:style w:type="character" w:customStyle="1" w:styleId="Heading5Char">
    <w:name w:val="Heading 5 Char"/>
    <w:basedOn w:val="DefaultParagraphFont"/>
    <w:link w:val="Heading5"/>
    <w:uiPriority w:val="9"/>
    <w:semiHidden/>
    <w:rsid w:val="00FE654E"/>
    <w:rPr>
      <w:rFonts w:asciiTheme="minorHAnsi" w:eastAsiaTheme="minorEastAsia" w:hAnsiTheme="minorHAnsi" w:cstheme="minorBidi"/>
      <w:b/>
      <w:bCs/>
      <w:i/>
      <w:iCs/>
      <w:sz w:val="26"/>
      <w:szCs w:val="26"/>
      <w:lang w:val="fr-FR"/>
    </w:rPr>
  </w:style>
  <w:style w:type="character" w:customStyle="1" w:styleId="Ttulo1Car1">
    <w:name w:val="Título 1 Car1"/>
    <w:uiPriority w:val="99"/>
    <w:rsid w:val="00FF283B"/>
    <w:rPr>
      <w:rFonts w:ascii="Times New Roman" w:hAnsi="Times New Roman"/>
      <w:b/>
      <w:sz w:val="24"/>
      <w:lang w:eastAsia="es-ES"/>
    </w:rPr>
  </w:style>
  <w:style w:type="character" w:customStyle="1" w:styleId="Ttulo2Car1">
    <w:name w:val="Título 2 Car1"/>
    <w:uiPriority w:val="99"/>
    <w:rsid w:val="00FF283B"/>
    <w:rPr>
      <w:rFonts w:ascii="Times New Roman" w:hAnsi="Times New Roman"/>
      <w:b/>
      <w:sz w:val="24"/>
      <w:lang w:val="fr-FR" w:eastAsia="es-ES"/>
    </w:rPr>
  </w:style>
  <w:style w:type="character" w:customStyle="1" w:styleId="Ttulo3Car1">
    <w:name w:val="Título 3 Car1"/>
    <w:uiPriority w:val="99"/>
    <w:rsid w:val="00FF283B"/>
    <w:rPr>
      <w:rFonts w:ascii="Times New Roman" w:hAnsi="Times New Roman"/>
      <w:b/>
      <w:color w:val="000000"/>
      <w:sz w:val="24"/>
      <w:lang w:val="fr-FR" w:eastAsia="es-ES"/>
    </w:rPr>
  </w:style>
  <w:style w:type="character" w:customStyle="1" w:styleId="Ttulo5Car1">
    <w:name w:val="Título 5 Car1"/>
    <w:uiPriority w:val="99"/>
    <w:rsid w:val="00FF283B"/>
    <w:rPr>
      <w:rFonts w:ascii="Times New Roman" w:hAnsi="Times New Roman"/>
      <w:b/>
      <w:sz w:val="20"/>
      <w:lang w:val="fr-FR" w:eastAsia="es-ES"/>
    </w:rPr>
  </w:style>
  <w:style w:type="character" w:customStyle="1" w:styleId="Ttulo1Car">
    <w:name w:val="Título 1 Car"/>
    <w:uiPriority w:val="99"/>
    <w:rsid w:val="00FF283B"/>
    <w:rPr>
      <w:rFonts w:ascii="Times New Roman" w:hAnsi="Times New Roman"/>
      <w:b/>
      <w:sz w:val="24"/>
      <w:lang w:eastAsia="es-ES"/>
    </w:rPr>
  </w:style>
  <w:style w:type="character" w:customStyle="1" w:styleId="Ttulo2Car">
    <w:name w:val="Título 2 Car"/>
    <w:uiPriority w:val="99"/>
    <w:rsid w:val="00FF283B"/>
    <w:rPr>
      <w:rFonts w:ascii="Times New Roman" w:hAnsi="Times New Roman"/>
      <w:b/>
      <w:sz w:val="24"/>
      <w:lang w:val="fr-FR" w:eastAsia="es-ES"/>
    </w:rPr>
  </w:style>
  <w:style w:type="character" w:customStyle="1" w:styleId="Ttulo3Car">
    <w:name w:val="Título 3 Car"/>
    <w:uiPriority w:val="99"/>
    <w:rsid w:val="00FF283B"/>
    <w:rPr>
      <w:rFonts w:ascii="Times New Roman" w:hAnsi="Times New Roman"/>
      <w:b/>
      <w:color w:val="000000"/>
      <w:sz w:val="24"/>
      <w:lang w:val="fr-FR" w:eastAsia="es-ES"/>
    </w:rPr>
  </w:style>
  <w:style w:type="character" w:customStyle="1" w:styleId="Ttulo5Car">
    <w:name w:val="Título 5 Car"/>
    <w:uiPriority w:val="99"/>
    <w:rsid w:val="00FF283B"/>
    <w:rPr>
      <w:rFonts w:ascii="Times New Roman" w:hAnsi="Times New Roman"/>
      <w:b/>
      <w:sz w:val="20"/>
      <w:lang w:val="fr-FR" w:eastAsia="es-ES"/>
    </w:rPr>
  </w:style>
  <w:style w:type="paragraph" w:styleId="BodyText">
    <w:name w:val="Body Text"/>
    <w:basedOn w:val="Normal"/>
    <w:link w:val="BodyTextChar"/>
    <w:uiPriority w:val="99"/>
    <w:rsid w:val="00FF283B"/>
    <w:pPr>
      <w:jc w:val="both"/>
    </w:pPr>
    <w:rPr>
      <w:szCs w:val="20"/>
    </w:rPr>
  </w:style>
  <w:style w:type="character" w:customStyle="1" w:styleId="BodyTextChar">
    <w:name w:val="Body Text Char"/>
    <w:basedOn w:val="DefaultParagraphFont"/>
    <w:link w:val="BodyText"/>
    <w:uiPriority w:val="99"/>
    <w:semiHidden/>
    <w:rsid w:val="00FE654E"/>
    <w:rPr>
      <w:rFonts w:ascii="Times New Roman" w:eastAsia="Times New Roman" w:hAnsi="Times New Roman"/>
      <w:sz w:val="24"/>
      <w:szCs w:val="24"/>
      <w:lang w:val="fr-FR"/>
    </w:rPr>
  </w:style>
  <w:style w:type="character" w:customStyle="1" w:styleId="TextodecuerpoCar1">
    <w:name w:val="Texto de cuerpo Car1"/>
    <w:uiPriority w:val="99"/>
    <w:rsid w:val="00FF283B"/>
    <w:rPr>
      <w:rFonts w:ascii="Times New Roman" w:hAnsi="Times New Roman"/>
      <w:sz w:val="20"/>
      <w:lang w:val="fr-FR" w:eastAsia="es-ES"/>
    </w:rPr>
  </w:style>
  <w:style w:type="character" w:customStyle="1" w:styleId="TextodecuerpoCar">
    <w:name w:val="Texto de cuerpo Car"/>
    <w:uiPriority w:val="99"/>
    <w:semiHidden/>
    <w:rsid w:val="00FF283B"/>
    <w:rPr>
      <w:rFonts w:ascii="Times New Roman" w:hAnsi="Times New Roman"/>
      <w:sz w:val="20"/>
      <w:lang w:val="fr-FR" w:eastAsia="es-ES"/>
    </w:rPr>
  </w:style>
  <w:style w:type="character" w:styleId="FootnoteReference">
    <w:name w:val="footnote reference"/>
    <w:aliases w:val="4_G"/>
    <w:basedOn w:val="DefaultParagraphFont"/>
    <w:uiPriority w:val="99"/>
    <w:semiHidden/>
    <w:rsid w:val="00FF283B"/>
    <w:rPr>
      <w:rFonts w:ascii="Times New Roman" w:hAnsi="Times New Roman" w:cs="Times New Roman"/>
      <w:b/>
      <w:sz w:val="24"/>
      <w:vertAlign w:val="superscript"/>
    </w:rPr>
  </w:style>
  <w:style w:type="paragraph" w:styleId="FootnoteText">
    <w:name w:val="footnote text"/>
    <w:aliases w:val="5_G"/>
    <w:basedOn w:val="Normal"/>
    <w:link w:val="FootnoteTextChar"/>
    <w:uiPriority w:val="99"/>
    <w:semiHidden/>
    <w:rsid w:val="00FF283B"/>
    <w:rPr>
      <w:szCs w:val="20"/>
      <w:lang w:eastAsia="fr-FR"/>
    </w:rPr>
  </w:style>
  <w:style w:type="character" w:customStyle="1" w:styleId="FootnoteTextChar">
    <w:name w:val="Footnote Text Char"/>
    <w:aliases w:val="5_G Char"/>
    <w:basedOn w:val="DefaultParagraphFont"/>
    <w:link w:val="FootnoteText"/>
    <w:uiPriority w:val="99"/>
    <w:semiHidden/>
    <w:rsid w:val="00FE654E"/>
    <w:rPr>
      <w:rFonts w:ascii="Times New Roman" w:eastAsia="Times New Roman" w:hAnsi="Times New Roman"/>
      <w:sz w:val="20"/>
      <w:szCs w:val="20"/>
      <w:lang w:val="fr-FR"/>
    </w:rPr>
  </w:style>
  <w:style w:type="character" w:customStyle="1" w:styleId="TextonotapieCar1">
    <w:name w:val="Texto nota pie Car1"/>
    <w:aliases w:val="5_G Car1"/>
    <w:uiPriority w:val="99"/>
    <w:semiHidden/>
    <w:rsid w:val="00FF283B"/>
    <w:rPr>
      <w:rFonts w:ascii="Times New Roman" w:hAnsi="Times New Roman"/>
      <w:sz w:val="20"/>
      <w:lang w:val="fr-FR" w:eastAsia="fr-FR"/>
    </w:rPr>
  </w:style>
  <w:style w:type="character" w:customStyle="1" w:styleId="TextonotapieCar">
    <w:name w:val="Texto nota pie Car"/>
    <w:aliases w:val="5_G Car"/>
    <w:uiPriority w:val="99"/>
    <w:semiHidden/>
    <w:rsid w:val="00FF283B"/>
    <w:rPr>
      <w:rFonts w:ascii="Times New Roman" w:hAnsi="Times New Roman"/>
      <w:sz w:val="20"/>
      <w:lang w:val="fr-FR" w:eastAsia="fr-FR"/>
    </w:rPr>
  </w:style>
  <w:style w:type="paragraph" w:styleId="BodyText2">
    <w:name w:val="Body Text 2"/>
    <w:basedOn w:val="Normal"/>
    <w:link w:val="BodyText2Char"/>
    <w:uiPriority w:val="99"/>
    <w:rsid w:val="00FF283B"/>
    <w:pPr>
      <w:spacing w:after="200" w:line="240" w:lineRule="atLeast"/>
      <w:jc w:val="both"/>
    </w:pPr>
    <w:rPr>
      <w:color w:val="000000"/>
    </w:rPr>
  </w:style>
  <w:style w:type="character" w:customStyle="1" w:styleId="BodyText2Char">
    <w:name w:val="Body Text 2 Char"/>
    <w:basedOn w:val="DefaultParagraphFont"/>
    <w:link w:val="BodyText2"/>
    <w:uiPriority w:val="99"/>
    <w:semiHidden/>
    <w:rsid w:val="00FE654E"/>
    <w:rPr>
      <w:rFonts w:ascii="Times New Roman" w:eastAsia="Times New Roman" w:hAnsi="Times New Roman"/>
      <w:sz w:val="24"/>
      <w:szCs w:val="24"/>
      <w:lang w:val="fr-FR"/>
    </w:rPr>
  </w:style>
  <w:style w:type="character" w:customStyle="1" w:styleId="Textodecuerpo2Car1">
    <w:name w:val="Texto de cuerpo 2 Car1"/>
    <w:uiPriority w:val="99"/>
    <w:rsid w:val="00FF283B"/>
    <w:rPr>
      <w:rFonts w:ascii="Times New Roman" w:hAnsi="Times New Roman"/>
      <w:color w:val="000000"/>
      <w:sz w:val="24"/>
      <w:lang w:val="fr-FR" w:eastAsia="es-ES"/>
    </w:rPr>
  </w:style>
  <w:style w:type="character" w:customStyle="1" w:styleId="Textodecuerpo2Car">
    <w:name w:val="Texto de cuerpo 2 Car"/>
    <w:uiPriority w:val="99"/>
    <w:semiHidden/>
    <w:rsid w:val="00FF283B"/>
    <w:rPr>
      <w:rFonts w:ascii="Times New Roman" w:hAnsi="Times New Roman"/>
      <w:color w:val="000000"/>
      <w:sz w:val="24"/>
      <w:lang w:val="fr-FR" w:eastAsia="es-ES"/>
    </w:rPr>
  </w:style>
  <w:style w:type="paragraph" w:styleId="BodyText3">
    <w:name w:val="Body Text 3"/>
    <w:basedOn w:val="Normal"/>
    <w:link w:val="BodyText3Char"/>
    <w:uiPriority w:val="99"/>
    <w:rsid w:val="00FF283B"/>
    <w:rPr>
      <w:sz w:val="26"/>
    </w:rPr>
  </w:style>
  <w:style w:type="character" w:customStyle="1" w:styleId="BodyText3Char">
    <w:name w:val="Body Text 3 Char"/>
    <w:basedOn w:val="DefaultParagraphFont"/>
    <w:link w:val="BodyText3"/>
    <w:uiPriority w:val="99"/>
    <w:semiHidden/>
    <w:rsid w:val="00FE654E"/>
    <w:rPr>
      <w:rFonts w:ascii="Times New Roman" w:eastAsia="Times New Roman" w:hAnsi="Times New Roman"/>
      <w:sz w:val="16"/>
      <w:szCs w:val="16"/>
      <w:lang w:val="fr-FR"/>
    </w:rPr>
  </w:style>
  <w:style w:type="character" w:customStyle="1" w:styleId="Textodecuerpo3Car1">
    <w:name w:val="Texto de cuerpo 3 Car1"/>
    <w:uiPriority w:val="99"/>
    <w:rsid w:val="00FF283B"/>
    <w:rPr>
      <w:rFonts w:ascii="Times New Roman" w:hAnsi="Times New Roman"/>
      <w:sz w:val="24"/>
      <w:lang w:val="fr-FR" w:eastAsia="es-ES"/>
    </w:rPr>
  </w:style>
  <w:style w:type="character" w:customStyle="1" w:styleId="Textodecuerpo3Car">
    <w:name w:val="Texto de cuerpo 3 Car"/>
    <w:uiPriority w:val="99"/>
    <w:semiHidden/>
    <w:rsid w:val="00FF283B"/>
    <w:rPr>
      <w:rFonts w:ascii="Times New Roman" w:hAnsi="Times New Roman"/>
      <w:sz w:val="24"/>
      <w:lang w:val="fr-FR" w:eastAsia="es-ES"/>
    </w:rPr>
  </w:style>
  <w:style w:type="character" w:customStyle="1" w:styleId="copy">
    <w:name w:val="copy"/>
    <w:basedOn w:val="DefaultParagraphFont"/>
    <w:uiPriority w:val="99"/>
    <w:rsid w:val="00FF283B"/>
    <w:rPr>
      <w:rFonts w:cs="Times New Roman"/>
    </w:rPr>
  </w:style>
  <w:style w:type="paragraph" w:customStyle="1" w:styleId="bodytext0">
    <w:name w:val="bodytext"/>
    <w:basedOn w:val="Normal"/>
    <w:uiPriority w:val="99"/>
    <w:rsid w:val="00FF283B"/>
    <w:pPr>
      <w:spacing w:before="100" w:beforeAutospacing="1" w:after="100" w:afterAutospacing="1"/>
    </w:pPr>
  </w:style>
  <w:style w:type="paragraph" w:customStyle="1" w:styleId="Default">
    <w:name w:val="Default"/>
    <w:uiPriority w:val="99"/>
    <w:rsid w:val="00FF283B"/>
    <w:pPr>
      <w:autoSpaceDE w:val="0"/>
      <w:autoSpaceDN w:val="0"/>
      <w:adjustRightInd w:val="0"/>
    </w:pPr>
    <w:rPr>
      <w:rFonts w:ascii="Amnesty Trade Gothic" w:eastAsia="Times New Roman" w:hAnsi="Amnesty Trade Gothic"/>
      <w:noProof/>
      <w:color w:val="000000"/>
      <w:sz w:val="24"/>
      <w:szCs w:val="24"/>
      <w:lang w:val="en-US"/>
    </w:rPr>
  </w:style>
  <w:style w:type="paragraph" w:styleId="NormalWeb">
    <w:name w:val="Normal (Web)"/>
    <w:basedOn w:val="Normal"/>
    <w:uiPriority w:val="99"/>
    <w:rsid w:val="00FF283B"/>
    <w:pPr>
      <w:spacing w:before="100" w:beforeAutospacing="1" w:after="100" w:afterAutospacing="1"/>
    </w:pPr>
  </w:style>
  <w:style w:type="paragraph" w:styleId="Footer">
    <w:name w:val="footer"/>
    <w:basedOn w:val="Normal"/>
    <w:link w:val="FooterChar"/>
    <w:uiPriority w:val="99"/>
    <w:rsid w:val="00FF283B"/>
    <w:pPr>
      <w:tabs>
        <w:tab w:val="center" w:pos="4419"/>
        <w:tab w:val="right" w:pos="8838"/>
      </w:tabs>
    </w:pPr>
  </w:style>
  <w:style w:type="character" w:customStyle="1" w:styleId="FooterChar">
    <w:name w:val="Footer Char"/>
    <w:basedOn w:val="DefaultParagraphFont"/>
    <w:link w:val="Footer"/>
    <w:uiPriority w:val="99"/>
    <w:semiHidden/>
    <w:rsid w:val="00FE654E"/>
    <w:rPr>
      <w:rFonts w:ascii="Times New Roman" w:eastAsia="Times New Roman" w:hAnsi="Times New Roman"/>
      <w:sz w:val="24"/>
      <w:szCs w:val="24"/>
      <w:lang w:val="fr-FR"/>
    </w:rPr>
  </w:style>
  <w:style w:type="character" w:customStyle="1" w:styleId="PiedepginaCar1">
    <w:name w:val="Pie de página Car1"/>
    <w:uiPriority w:val="99"/>
    <w:rsid w:val="00FF283B"/>
    <w:rPr>
      <w:rFonts w:ascii="Times New Roman" w:hAnsi="Times New Roman"/>
      <w:sz w:val="24"/>
      <w:lang w:val="fr-FR" w:eastAsia="es-ES"/>
    </w:rPr>
  </w:style>
  <w:style w:type="character" w:customStyle="1" w:styleId="PiedepginaCar">
    <w:name w:val="Pie de página Car"/>
    <w:uiPriority w:val="99"/>
    <w:semiHidden/>
    <w:rsid w:val="00FF283B"/>
    <w:rPr>
      <w:rFonts w:ascii="Times New Roman" w:hAnsi="Times New Roman"/>
      <w:sz w:val="24"/>
      <w:lang w:val="fr-FR" w:eastAsia="es-ES"/>
    </w:rPr>
  </w:style>
  <w:style w:type="character" w:styleId="PageNumber">
    <w:name w:val="page number"/>
    <w:basedOn w:val="DefaultParagraphFont"/>
    <w:uiPriority w:val="99"/>
    <w:rsid w:val="00FF283B"/>
    <w:rPr>
      <w:rFonts w:cs="Times New Roman"/>
    </w:rPr>
  </w:style>
  <w:style w:type="character" w:styleId="CommentReference">
    <w:name w:val="annotation reference"/>
    <w:basedOn w:val="DefaultParagraphFont"/>
    <w:uiPriority w:val="99"/>
    <w:semiHidden/>
    <w:rsid w:val="00FF283B"/>
    <w:rPr>
      <w:rFonts w:cs="Times New Roman"/>
      <w:sz w:val="18"/>
    </w:rPr>
  </w:style>
  <w:style w:type="paragraph" w:styleId="CommentText">
    <w:name w:val="annotation text"/>
    <w:basedOn w:val="Normal"/>
    <w:link w:val="CommentTextChar"/>
    <w:uiPriority w:val="99"/>
    <w:semiHidden/>
    <w:rsid w:val="00FF283B"/>
  </w:style>
  <w:style w:type="character" w:customStyle="1" w:styleId="CommentTextChar">
    <w:name w:val="Comment Text Char"/>
    <w:basedOn w:val="DefaultParagraphFont"/>
    <w:link w:val="CommentText"/>
    <w:uiPriority w:val="99"/>
    <w:semiHidden/>
    <w:rsid w:val="00FF283B"/>
    <w:rPr>
      <w:rFonts w:ascii="Times New Roman" w:hAnsi="Times New Roman"/>
      <w:sz w:val="20"/>
      <w:lang w:val="fr-FR" w:eastAsia="es-ES"/>
    </w:rPr>
  </w:style>
  <w:style w:type="character" w:customStyle="1" w:styleId="TextocomentarioCar">
    <w:name w:val="Texto comentario Car"/>
    <w:uiPriority w:val="99"/>
    <w:semiHidden/>
    <w:rsid w:val="00FF283B"/>
    <w:rPr>
      <w:rFonts w:ascii="Times New Roman" w:hAnsi="Times New Roman"/>
      <w:sz w:val="24"/>
      <w:lang w:val="fr-FR" w:eastAsia="es-ES"/>
    </w:rPr>
  </w:style>
  <w:style w:type="paragraph" w:styleId="CommentSubject">
    <w:name w:val="annotation subject"/>
    <w:basedOn w:val="CommentText"/>
    <w:next w:val="CommentText"/>
    <w:link w:val="CommentSubjectChar"/>
    <w:uiPriority w:val="99"/>
    <w:semiHidden/>
    <w:rsid w:val="00FF283B"/>
    <w:rPr>
      <w:b/>
      <w:bCs/>
      <w:sz w:val="20"/>
      <w:szCs w:val="20"/>
    </w:rPr>
  </w:style>
  <w:style w:type="character" w:customStyle="1" w:styleId="CommentSubjectChar">
    <w:name w:val="Comment Subject Char"/>
    <w:basedOn w:val="CommentTextChar"/>
    <w:link w:val="CommentSubject"/>
    <w:uiPriority w:val="99"/>
    <w:semiHidden/>
    <w:rsid w:val="00FE654E"/>
    <w:rPr>
      <w:rFonts w:ascii="Times New Roman" w:eastAsia="Times New Roman" w:hAnsi="Times New Roman"/>
      <w:b/>
      <w:bCs/>
      <w:sz w:val="20"/>
      <w:szCs w:val="20"/>
      <w:lang w:val="fr-FR" w:eastAsia="es-ES"/>
    </w:rPr>
  </w:style>
  <w:style w:type="character" w:customStyle="1" w:styleId="AsuntodelcomentarioCar1">
    <w:name w:val="Asunto del comentario Car1"/>
    <w:uiPriority w:val="99"/>
    <w:semiHidden/>
    <w:rsid w:val="00FF283B"/>
    <w:rPr>
      <w:rFonts w:ascii="Times New Roman" w:hAnsi="Times New Roman"/>
      <w:b/>
      <w:sz w:val="20"/>
      <w:lang w:val="fr-FR" w:eastAsia="es-ES"/>
    </w:rPr>
  </w:style>
  <w:style w:type="character" w:customStyle="1" w:styleId="AsuntodelcomentarioCar">
    <w:name w:val="Asunto del comentario Car"/>
    <w:uiPriority w:val="99"/>
    <w:semiHidden/>
    <w:rsid w:val="00FF283B"/>
    <w:rPr>
      <w:rFonts w:ascii="Times New Roman" w:hAnsi="Times New Roman"/>
      <w:b/>
      <w:sz w:val="20"/>
      <w:lang w:val="fr-FR" w:eastAsia="es-ES"/>
    </w:rPr>
  </w:style>
  <w:style w:type="paragraph" w:styleId="BalloonText">
    <w:name w:val="Balloon Text"/>
    <w:basedOn w:val="Normal"/>
    <w:link w:val="BalloonTextChar"/>
    <w:uiPriority w:val="99"/>
    <w:semiHidden/>
    <w:rsid w:val="00FF283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654E"/>
    <w:rPr>
      <w:rFonts w:ascii="Times New Roman" w:eastAsia="Times New Roman" w:hAnsi="Times New Roman"/>
      <w:sz w:val="0"/>
      <w:szCs w:val="0"/>
      <w:lang w:val="fr-FR"/>
    </w:rPr>
  </w:style>
  <w:style w:type="character" w:customStyle="1" w:styleId="TextodegloboCar1">
    <w:name w:val="Texto de globo Car1"/>
    <w:uiPriority w:val="99"/>
    <w:semiHidden/>
    <w:rsid w:val="00FF283B"/>
    <w:rPr>
      <w:rFonts w:ascii="Lucida Grande" w:hAnsi="Lucida Grande"/>
      <w:sz w:val="18"/>
      <w:lang w:val="fr-FR" w:eastAsia="es-ES"/>
    </w:rPr>
  </w:style>
  <w:style w:type="character" w:customStyle="1" w:styleId="TextodegloboCar">
    <w:name w:val="Texto de globo Car"/>
    <w:uiPriority w:val="99"/>
    <w:semiHidden/>
    <w:rsid w:val="00FF283B"/>
    <w:rPr>
      <w:rFonts w:ascii="Lucida Grande" w:hAnsi="Lucida Grande"/>
      <w:sz w:val="18"/>
      <w:lang w:val="fr-FR" w:eastAsia="es-ES"/>
    </w:rPr>
  </w:style>
  <w:style w:type="character" w:styleId="Hyperlink">
    <w:name w:val="Hyperlink"/>
    <w:basedOn w:val="DefaultParagraphFont"/>
    <w:uiPriority w:val="99"/>
    <w:rsid w:val="00FF283B"/>
    <w:rPr>
      <w:rFonts w:cs="Times New Roman"/>
      <w:color w:val="0000FF"/>
      <w:u w:val="single"/>
    </w:rPr>
  </w:style>
  <w:style w:type="paragraph" w:styleId="Header">
    <w:name w:val="header"/>
    <w:basedOn w:val="Normal"/>
    <w:link w:val="HeaderChar"/>
    <w:uiPriority w:val="99"/>
    <w:rsid w:val="00FF283B"/>
    <w:pPr>
      <w:tabs>
        <w:tab w:val="center" w:pos="4419"/>
        <w:tab w:val="right" w:pos="8838"/>
      </w:tabs>
    </w:pPr>
  </w:style>
  <w:style w:type="character" w:customStyle="1" w:styleId="HeaderChar">
    <w:name w:val="Header Char"/>
    <w:basedOn w:val="DefaultParagraphFont"/>
    <w:link w:val="Header"/>
    <w:uiPriority w:val="99"/>
    <w:semiHidden/>
    <w:rsid w:val="00FE654E"/>
    <w:rPr>
      <w:rFonts w:ascii="Times New Roman" w:eastAsia="Times New Roman" w:hAnsi="Times New Roman"/>
      <w:sz w:val="24"/>
      <w:szCs w:val="24"/>
      <w:lang w:val="fr-FR"/>
    </w:rPr>
  </w:style>
  <w:style w:type="character" w:customStyle="1" w:styleId="EncabezadoCar1">
    <w:name w:val="Encabezado Car1"/>
    <w:uiPriority w:val="99"/>
    <w:rsid w:val="00FF283B"/>
    <w:rPr>
      <w:rFonts w:ascii="Times New Roman" w:hAnsi="Times New Roman"/>
      <w:sz w:val="24"/>
      <w:lang w:val="fr-FR" w:eastAsia="es-ES"/>
    </w:rPr>
  </w:style>
  <w:style w:type="character" w:customStyle="1" w:styleId="EncabezadoCar">
    <w:name w:val="Encabezado Car"/>
    <w:uiPriority w:val="99"/>
    <w:rsid w:val="00FF283B"/>
    <w:rPr>
      <w:rFonts w:ascii="Times New Roman" w:hAnsi="Times New Roman"/>
      <w:sz w:val="24"/>
      <w:lang w:val="fr-FR" w:eastAsia="es-ES"/>
    </w:rPr>
  </w:style>
  <w:style w:type="paragraph" w:styleId="DocumentMap">
    <w:name w:val="Document Map"/>
    <w:basedOn w:val="Normal"/>
    <w:link w:val="DocumentMapChar"/>
    <w:uiPriority w:val="99"/>
    <w:semiHidden/>
    <w:rsid w:val="00FF283B"/>
    <w:rPr>
      <w:rFonts w:ascii="Tahoma" w:hAnsi="Tahoma" w:cs="Tahoma"/>
      <w:sz w:val="16"/>
      <w:szCs w:val="16"/>
    </w:rPr>
  </w:style>
  <w:style w:type="character" w:customStyle="1" w:styleId="DocumentMapChar">
    <w:name w:val="Document Map Char"/>
    <w:basedOn w:val="DefaultParagraphFont"/>
    <w:link w:val="DocumentMap"/>
    <w:uiPriority w:val="99"/>
    <w:semiHidden/>
    <w:rsid w:val="00FE654E"/>
    <w:rPr>
      <w:rFonts w:ascii="Times New Roman" w:eastAsia="Times New Roman" w:hAnsi="Times New Roman"/>
      <w:sz w:val="0"/>
      <w:szCs w:val="0"/>
      <w:lang w:val="fr-FR"/>
    </w:rPr>
  </w:style>
  <w:style w:type="character" w:customStyle="1" w:styleId="MapadeldocumentoCar1">
    <w:name w:val="Mapa del documento Car1"/>
    <w:uiPriority w:val="99"/>
    <w:semiHidden/>
    <w:rsid w:val="00FF283B"/>
    <w:rPr>
      <w:rFonts w:ascii="Tahoma" w:hAnsi="Tahoma"/>
      <w:sz w:val="16"/>
      <w:lang w:val="fr-FR" w:eastAsia="es-ES"/>
    </w:rPr>
  </w:style>
  <w:style w:type="character" w:customStyle="1" w:styleId="MapadeldocumentoCar">
    <w:name w:val="Mapa del documento Car"/>
    <w:uiPriority w:val="99"/>
    <w:semiHidden/>
    <w:rsid w:val="00FF283B"/>
    <w:rPr>
      <w:rFonts w:ascii="Tahoma" w:hAnsi="Tahoma"/>
      <w:sz w:val="16"/>
      <w:lang w:val="fr-FR" w:eastAsia="es-ES"/>
    </w:rPr>
  </w:style>
  <w:style w:type="character" w:customStyle="1" w:styleId="TextocomentarioCar1">
    <w:name w:val="Texto comentario Car1"/>
    <w:uiPriority w:val="99"/>
    <w:semiHidden/>
    <w:rsid w:val="00FF283B"/>
    <w:rPr>
      <w:rFonts w:ascii="Times New Roman" w:hAnsi="Times New Roman"/>
      <w:sz w:val="24"/>
      <w:lang w:val="fr-FR" w:eastAsia="es-ES"/>
    </w:rPr>
  </w:style>
  <w:style w:type="paragraph" w:customStyle="1" w:styleId="Paragraphedeliste1">
    <w:name w:val="Paragraphe de liste1"/>
    <w:basedOn w:val="Normal"/>
    <w:uiPriority w:val="99"/>
    <w:rsid w:val="00FF283B"/>
    <w:pPr>
      <w:suppressAutoHyphens/>
      <w:ind w:left="720"/>
    </w:pPr>
    <w:rPr>
      <w:lang w:eastAsia="ar-SA"/>
    </w:rPr>
  </w:style>
  <w:style w:type="character" w:customStyle="1" w:styleId="Refdecomentario1">
    <w:name w:val="Ref. de comentario1"/>
    <w:uiPriority w:val="99"/>
    <w:rsid w:val="00FF283B"/>
    <w:rPr>
      <w:sz w:val="18"/>
    </w:rPr>
  </w:style>
  <w:style w:type="paragraph" w:styleId="Title">
    <w:name w:val="Title"/>
    <w:basedOn w:val="Normal"/>
    <w:next w:val="Normal"/>
    <w:link w:val="TitleChar"/>
    <w:uiPriority w:val="99"/>
    <w:qFormat/>
    <w:rsid w:val="00FF283B"/>
    <w:pPr>
      <w:spacing w:before="240" w:after="60"/>
      <w:jc w:val="center"/>
      <w:outlineLvl w:val="0"/>
    </w:pPr>
    <w:rPr>
      <w:rFonts w:ascii="Calibri" w:eastAsia="MS Gothi" w:hAnsi="Calibri"/>
      <w:b/>
      <w:bCs/>
      <w:kern w:val="28"/>
      <w:sz w:val="32"/>
      <w:szCs w:val="32"/>
    </w:rPr>
  </w:style>
  <w:style w:type="character" w:customStyle="1" w:styleId="TitleChar">
    <w:name w:val="Title Char"/>
    <w:basedOn w:val="DefaultParagraphFont"/>
    <w:link w:val="Title"/>
    <w:uiPriority w:val="10"/>
    <w:rsid w:val="00FE654E"/>
    <w:rPr>
      <w:rFonts w:asciiTheme="majorHAnsi" w:eastAsiaTheme="majorEastAsia" w:hAnsiTheme="majorHAnsi" w:cstheme="majorBidi"/>
      <w:b/>
      <w:bCs/>
      <w:kern w:val="28"/>
      <w:sz w:val="32"/>
      <w:szCs w:val="32"/>
      <w:lang w:val="fr-FR"/>
    </w:rPr>
  </w:style>
  <w:style w:type="character" w:customStyle="1" w:styleId="TtuloCar">
    <w:name w:val="Título Car"/>
    <w:uiPriority w:val="99"/>
    <w:rsid w:val="00FF283B"/>
    <w:rPr>
      <w:rFonts w:ascii="Calibri" w:eastAsia="MS Gothi" w:hAnsi="Calibri"/>
      <w:b/>
      <w:kern w:val="28"/>
      <w:sz w:val="32"/>
      <w:lang w:val="fr-FR" w:eastAsia="es-ES"/>
    </w:rPr>
  </w:style>
  <w:style w:type="character" w:styleId="EndnoteReference">
    <w:name w:val="endnote reference"/>
    <w:basedOn w:val="DefaultParagraphFont"/>
    <w:uiPriority w:val="99"/>
    <w:semiHidden/>
    <w:rsid w:val="00FF283B"/>
    <w:rPr>
      <w:rFonts w:cs="Times New Roman"/>
      <w:vertAlign w:val="superscript"/>
    </w:rPr>
  </w:style>
  <w:style w:type="character" w:customStyle="1" w:styleId="apple-converted-space">
    <w:name w:val="apple-converted-space"/>
    <w:uiPriority w:val="99"/>
    <w:rsid w:val="00FF283B"/>
  </w:style>
  <w:style w:type="paragraph" w:customStyle="1" w:styleId="para">
    <w:name w:val="para"/>
    <w:basedOn w:val="Normal"/>
    <w:uiPriority w:val="99"/>
    <w:rsid w:val="00FF283B"/>
    <w:pPr>
      <w:spacing w:before="100" w:beforeAutospacing="1" w:after="100" w:afterAutospacing="1"/>
    </w:pPr>
    <w:rPr>
      <w:rFonts w:eastAsia="Calibri"/>
      <w:lang w:val="en-US" w:eastAsia="en-US"/>
    </w:rPr>
  </w:style>
  <w:style w:type="character" w:styleId="Strong">
    <w:name w:val="Strong"/>
    <w:basedOn w:val="DefaultParagraphFont"/>
    <w:uiPriority w:val="99"/>
    <w:qFormat/>
    <w:rsid w:val="00FF283B"/>
    <w:rPr>
      <w:rFonts w:cs="Times New Roman"/>
      <w:b/>
    </w:rPr>
  </w:style>
  <w:style w:type="character" w:styleId="Emphasis">
    <w:name w:val="Emphasis"/>
    <w:basedOn w:val="DefaultParagraphFont"/>
    <w:uiPriority w:val="99"/>
    <w:qFormat/>
    <w:rsid w:val="00FF283B"/>
    <w:rPr>
      <w:rFonts w:cs="Times New Roman"/>
      <w:i/>
    </w:rPr>
  </w:style>
  <w:style w:type="table" w:styleId="TableGrid">
    <w:name w:val="Table Grid"/>
    <w:basedOn w:val="TableNormal"/>
    <w:uiPriority w:val="99"/>
    <w:rsid w:val="00390B4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western">
    <w:name w:val="ecxwestern"/>
    <w:basedOn w:val="Normal"/>
    <w:uiPriority w:val="99"/>
    <w:rsid w:val="00FF283B"/>
    <w:pPr>
      <w:spacing w:before="100" w:beforeAutospacing="1" w:after="100" w:afterAutospacing="1"/>
    </w:pPr>
    <w:rPr>
      <w:lang w:val="es-ES_tradnl" w:eastAsia="es-ES_tradnl"/>
    </w:rPr>
  </w:style>
  <w:style w:type="paragraph" w:styleId="TOC1">
    <w:name w:val="toc 1"/>
    <w:basedOn w:val="Normal"/>
    <w:next w:val="Normal"/>
    <w:autoRedefine/>
    <w:uiPriority w:val="39"/>
    <w:rsid w:val="00FF283B"/>
    <w:pPr>
      <w:spacing w:after="100"/>
    </w:pPr>
  </w:style>
  <w:style w:type="paragraph" w:styleId="TOC2">
    <w:name w:val="toc 2"/>
    <w:basedOn w:val="Normal"/>
    <w:next w:val="Normal"/>
    <w:autoRedefine/>
    <w:uiPriority w:val="39"/>
    <w:rsid w:val="00FF283B"/>
    <w:pPr>
      <w:spacing w:after="100"/>
      <w:ind w:left="240"/>
    </w:pPr>
  </w:style>
  <w:style w:type="paragraph" w:styleId="TOCHeading">
    <w:name w:val="TOC Heading"/>
    <w:basedOn w:val="Heading1"/>
    <w:next w:val="Normal"/>
    <w:uiPriority w:val="99"/>
    <w:qFormat/>
    <w:rsid w:val="00FF283B"/>
    <w:pPr>
      <w:keepLines/>
      <w:spacing w:before="480" w:line="276" w:lineRule="auto"/>
      <w:jc w:val="left"/>
      <w:outlineLvl w:val="9"/>
    </w:pPr>
    <w:rPr>
      <w:rFonts w:ascii="Cambria" w:eastAsia="MS Gothi" w:hAnsi="Cambria"/>
      <w:color w:val="365F91"/>
      <w:sz w:val="28"/>
      <w:szCs w:val="28"/>
      <w:lang w:val="en-US" w:eastAsia="en-US"/>
    </w:rPr>
  </w:style>
  <w:style w:type="paragraph" w:styleId="TOC3">
    <w:name w:val="toc 3"/>
    <w:basedOn w:val="Normal"/>
    <w:next w:val="Normal"/>
    <w:autoRedefine/>
    <w:uiPriority w:val="99"/>
    <w:semiHidden/>
    <w:rsid w:val="00FF283B"/>
    <w:pPr>
      <w:spacing w:after="100"/>
      <w:ind w:left="480"/>
    </w:pPr>
  </w:style>
  <w:style w:type="paragraph" w:styleId="ListParagraph">
    <w:name w:val="List Paragraph"/>
    <w:basedOn w:val="Normal"/>
    <w:uiPriority w:val="99"/>
    <w:qFormat/>
    <w:rsid w:val="00FF283B"/>
    <w:pPr>
      <w:ind w:left="720"/>
      <w:contextualSpacing/>
    </w:pPr>
  </w:style>
  <w:style w:type="character" w:customStyle="1" w:styleId="figure-caption">
    <w:name w:val="figure-caption"/>
    <w:basedOn w:val="DefaultParagraphFont"/>
    <w:uiPriority w:val="99"/>
    <w:rsid w:val="006B3B03"/>
    <w:rPr>
      <w:rFonts w:cs="Times New Roman"/>
    </w:rPr>
  </w:style>
  <w:style w:type="character" w:customStyle="1" w:styleId="Refdecomentario2">
    <w:name w:val="Ref. de comentario2"/>
    <w:uiPriority w:val="99"/>
    <w:rsid w:val="00A933D3"/>
    <w:rPr>
      <w:sz w:val="18"/>
    </w:rPr>
  </w:style>
  <w:style w:type="table" w:styleId="ColorfulShading-Accent5">
    <w:name w:val="Colorful Shading Accent 5"/>
    <w:basedOn w:val="TableNormal"/>
    <w:uiPriority w:val="99"/>
    <w:rsid w:val="001C48BE"/>
    <w:rPr>
      <w:rFonts w:ascii="Cambria" w:hAnsi="Cambria"/>
      <w:color w:val="000000"/>
      <w:lang w:val="fr-FR" w:eastAsia="en-US"/>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rFonts w:cs="Times New Roman"/>
        <w:b/>
        <w:bCs/>
      </w:rPr>
      <w:tblPr/>
      <w:tcPr>
        <w:tcBorders>
          <w:top w:val="nil"/>
          <w:left w:val="nil"/>
          <w:bottom w:val="single" w:sz="24" w:space="0" w:color="F79646"/>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76A7C"/>
      </w:tcPr>
    </w:tblStylePr>
    <w:tblStylePr w:type="firstCol">
      <w:rPr>
        <w:rFonts w:cs="Times New Roman"/>
        <w:color w:val="FFFFFF"/>
      </w:rPr>
      <w:tblPr/>
      <w:tcPr>
        <w:tcBorders>
          <w:top w:val="nil"/>
          <w:left w:val="nil"/>
          <w:bottom w:val="nil"/>
          <w:right w:val="nil"/>
          <w:insideH w:val="single" w:sz="4" w:space="0" w:color="276A7C"/>
          <w:insideV w:val="nil"/>
        </w:tcBorders>
        <w:shd w:val="clear" w:color="auto" w:fill="276A7C"/>
      </w:tcPr>
    </w:tblStylePr>
    <w:tblStylePr w:type="lastCol">
      <w:rPr>
        <w:rFonts w:cs="Times New Roman"/>
        <w:color w:val="FFFFFF"/>
      </w:rPr>
      <w:tblPr/>
      <w:tcPr>
        <w:tcBorders>
          <w:top w:val="nil"/>
          <w:left w:val="nil"/>
          <w:bottom w:val="nil"/>
          <w:right w:val="nil"/>
          <w:insideH w:val="nil"/>
          <w:insideV w:val="nil"/>
        </w:tcBorders>
        <w:shd w:val="clear" w:color="auto" w:fill="276A7C"/>
      </w:tcPr>
    </w:tblStylePr>
    <w:tblStylePr w:type="band1Vert">
      <w:rPr>
        <w:rFonts w:cs="Times New Roman"/>
      </w:rPr>
      <w:tblPr/>
      <w:tcPr>
        <w:shd w:val="clear" w:color="auto" w:fill="B6DDE8"/>
      </w:tcPr>
    </w:tblStylePr>
    <w:tblStylePr w:type="band1Horz">
      <w:rPr>
        <w:rFonts w:cs="Times New Roman"/>
      </w:rPr>
      <w:tblPr/>
      <w:tcPr>
        <w:shd w:val="clear" w:color="auto" w:fill="A5D5E2"/>
      </w:tcPr>
    </w:tblStylePr>
    <w:tblStylePr w:type="neCell">
      <w:rPr>
        <w:rFonts w:cs="Times New Roman"/>
        <w:color w:val="000000"/>
      </w:rPr>
    </w:tblStylePr>
    <w:tblStylePr w:type="nwCell">
      <w:rPr>
        <w:rFonts w:cs="Times New Roman"/>
        <w:color w:val="000000"/>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1973192">
      <w:marLeft w:val="0"/>
      <w:marRight w:val="0"/>
      <w:marTop w:val="0"/>
      <w:marBottom w:val="0"/>
      <w:divBdr>
        <w:top w:val="none" w:sz="0" w:space="0" w:color="auto"/>
        <w:left w:val="none" w:sz="0" w:space="0" w:color="auto"/>
        <w:bottom w:val="none" w:sz="0" w:space="0" w:color="auto"/>
        <w:right w:val="none" w:sz="0" w:space="0" w:color="auto"/>
      </w:divBdr>
    </w:div>
    <w:div w:id="1091973194">
      <w:marLeft w:val="0"/>
      <w:marRight w:val="0"/>
      <w:marTop w:val="0"/>
      <w:marBottom w:val="0"/>
      <w:divBdr>
        <w:top w:val="none" w:sz="0" w:space="0" w:color="auto"/>
        <w:left w:val="none" w:sz="0" w:space="0" w:color="auto"/>
        <w:bottom w:val="none" w:sz="0" w:space="0" w:color="auto"/>
        <w:right w:val="none" w:sz="0" w:space="0" w:color="auto"/>
      </w:divBdr>
      <w:divsChild>
        <w:div w:id="1091973193">
          <w:marLeft w:val="0"/>
          <w:marRight w:val="0"/>
          <w:marTop w:val="0"/>
          <w:marBottom w:val="0"/>
          <w:divBdr>
            <w:top w:val="none" w:sz="0" w:space="0" w:color="auto"/>
            <w:left w:val="none" w:sz="0" w:space="0" w:color="auto"/>
            <w:bottom w:val="none" w:sz="0" w:space="0" w:color="auto"/>
            <w:right w:val="none" w:sz="0" w:space="0" w:color="auto"/>
          </w:divBdr>
        </w:div>
        <w:div w:id="1091973196">
          <w:marLeft w:val="0"/>
          <w:marRight w:val="0"/>
          <w:marTop w:val="0"/>
          <w:marBottom w:val="0"/>
          <w:divBdr>
            <w:top w:val="none" w:sz="0" w:space="0" w:color="auto"/>
            <w:left w:val="none" w:sz="0" w:space="0" w:color="auto"/>
            <w:bottom w:val="none" w:sz="0" w:space="0" w:color="auto"/>
            <w:right w:val="none" w:sz="0" w:space="0" w:color="auto"/>
          </w:divBdr>
        </w:div>
        <w:div w:id="1091973197">
          <w:marLeft w:val="0"/>
          <w:marRight w:val="0"/>
          <w:marTop w:val="0"/>
          <w:marBottom w:val="0"/>
          <w:divBdr>
            <w:top w:val="none" w:sz="0" w:space="0" w:color="auto"/>
            <w:left w:val="none" w:sz="0" w:space="0" w:color="auto"/>
            <w:bottom w:val="none" w:sz="0" w:space="0" w:color="auto"/>
            <w:right w:val="none" w:sz="0" w:space="0" w:color="auto"/>
          </w:divBdr>
        </w:div>
        <w:div w:id="1091973199">
          <w:marLeft w:val="0"/>
          <w:marRight w:val="0"/>
          <w:marTop w:val="0"/>
          <w:marBottom w:val="0"/>
          <w:divBdr>
            <w:top w:val="none" w:sz="0" w:space="0" w:color="auto"/>
            <w:left w:val="none" w:sz="0" w:space="0" w:color="auto"/>
            <w:bottom w:val="none" w:sz="0" w:space="0" w:color="auto"/>
            <w:right w:val="none" w:sz="0" w:space="0" w:color="auto"/>
          </w:divBdr>
        </w:div>
        <w:div w:id="1091973202">
          <w:marLeft w:val="0"/>
          <w:marRight w:val="0"/>
          <w:marTop w:val="0"/>
          <w:marBottom w:val="0"/>
          <w:divBdr>
            <w:top w:val="none" w:sz="0" w:space="0" w:color="auto"/>
            <w:left w:val="none" w:sz="0" w:space="0" w:color="auto"/>
            <w:bottom w:val="none" w:sz="0" w:space="0" w:color="auto"/>
            <w:right w:val="none" w:sz="0" w:space="0" w:color="auto"/>
          </w:divBdr>
        </w:div>
      </w:divsChild>
    </w:div>
    <w:div w:id="1091973198">
      <w:marLeft w:val="0"/>
      <w:marRight w:val="0"/>
      <w:marTop w:val="0"/>
      <w:marBottom w:val="0"/>
      <w:divBdr>
        <w:top w:val="none" w:sz="0" w:space="0" w:color="auto"/>
        <w:left w:val="none" w:sz="0" w:space="0" w:color="auto"/>
        <w:bottom w:val="none" w:sz="0" w:space="0" w:color="auto"/>
        <w:right w:val="none" w:sz="0" w:space="0" w:color="auto"/>
      </w:divBdr>
      <w:divsChild>
        <w:div w:id="1091973195">
          <w:marLeft w:val="720"/>
          <w:marRight w:val="720"/>
          <w:marTop w:val="100"/>
          <w:marBottom w:val="100"/>
          <w:divBdr>
            <w:top w:val="none" w:sz="0" w:space="0" w:color="auto"/>
            <w:left w:val="none" w:sz="0" w:space="0" w:color="auto"/>
            <w:bottom w:val="none" w:sz="0" w:space="0" w:color="auto"/>
            <w:right w:val="none" w:sz="0" w:space="0" w:color="auto"/>
          </w:divBdr>
        </w:div>
      </w:divsChild>
    </w:div>
    <w:div w:id="1091973200">
      <w:marLeft w:val="0"/>
      <w:marRight w:val="0"/>
      <w:marTop w:val="0"/>
      <w:marBottom w:val="0"/>
      <w:divBdr>
        <w:top w:val="none" w:sz="0" w:space="0" w:color="auto"/>
        <w:left w:val="none" w:sz="0" w:space="0" w:color="auto"/>
        <w:bottom w:val="none" w:sz="0" w:space="0" w:color="auto"/>
        <w:right w:val="none" w:sz="0" w:space="0" w:color="auto"/>
      </w:divBdr>
    </w:div>
    <w:div w:id="10919732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hyperlink" Target="http://conjugaison.lemonde.fr/conjugaison/premier-groupe/utiliser/" TargetMode="External"/><Relationship Id="rId3" Type="http://schemas.openxmlformats.org/officeDocument/2006/relationships/customXml" Target="../customXml/item3.xml"/><Relationship Id="rId21" Type="http://schemas.openxmlformats.org/officeDocument/2006/relationships/image" Target="media/image12.png"/><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hyperlink" Target="https://shar.es/1Gtiym" TargetMode="Externa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hyperlink" Target="http://www.hrw.org/bios/sarah-leah-whitson" TargetMode="Externa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hyperlink" Target="http://fr.rsf.org/maroc-rsf-demande-la-restitution-du-16-02-2015,47583.html"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10.png"/><Relationship Id="rId31" Type="http://schemas.openxmlformats.org/officeDocument/2006/relationships/hyperlink" Target="http://hrw.org/node/116335/" TargetMode="Externa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hyperlink" Target="http://conjugaison.lemonde.fr/conjugaison/troisieme-groupe/dire/" TargetMode="External"/><Relationship Id="rId30" Type="http://schemas.openxmlformats.org/officeDocument/2006/relationships/hyperlink" Target="http://www.hrw.org/fr/middle-eastn-africa/morocco/western-sahara" TargetMode="External"/><Relationship Id="rId35"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3FB10B-9AFE-4BEE-8686-B6A4E2B12C43}"/>
</file>

<file path=customXml/itemProps2.xml><?xml version="1.0" encoding="utf-8"?>
<ds:datastoreItem xmlns:ds="http://schemas.openxmlformats.org/officeDocument/2006/customXml" ds:itemID="{599A00D3-9F30-4B78-AE70-FB9ADF9010FC}"/>
</file>

<file path=customXml/itemProps3.xml><?xml version="1.0" encoding="utf-8"?>
<ds:datastoreItem xmlns:ds="http://schemas.openxmlformats.org/officeDocument/2006/customXml" ds:itemID="{B9DFDE04-9A69-44E8-8BF5-2D3F27E9DBDE}"/>
</file>

<file path=docProps/app.xml><?xml version="1.0" encoding="utf-8"?>
<Properties xmlns="http://schemas.openxmlformats.org/officeDocument/2006/extended-properties" xmlns:vt="http://schemas.openxmlformats.org/officeDocument/2006/docPropsVTypes">
  <Template>Normal</Template>
  <TotalTime>0</TotalTime>
  <Pages>52</Pages>
  <Words>24998</Words>
  <Characters>142491</Characters>
  <Application>Microsoft Office Word</Application>
  <DocSecurity>0</DocSecurity>
  <Lines>1187</Lines>
  <Paragraphs>334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MAROC</vt:lpstr>
      <vt:lpstr>MAROC</vt:lpstr>
    </vt:vector>
  </TitlesOfParts>
  <Company>Grizli777</Company>
  <LinksUpToDate>false</LinksUpToDate>
  <CharactersWithSpaces>167155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MAROC</dc:title>
  <dc:creator>Eva</dc:creator>
  <cp:lastModifiedBy>Catherine</cp:lastModifiedBy>
  <cp:revision>2</cp:revision>
  <cp:lastPrinted>2015-12-14T10:39:00Z</cp:lastPrinted>
  <dcterms:created xsi:type="dcterms:W3CDTF">2016-02-09T08:43:00Z</dcterms:created>
  <dcterms:modified xsi:type="dcterms:W3CDTF">2016-02-09T08:43:00Z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