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63425509"/>
        <w:docPartObj>
          <w:docPartGallery w:val="Cover Pages"/>
          <w:docPartUnique/>
        </w:docPartObj>
      </w:sdtPr>
      <w:sdtEndPr>
        <w:rPr>
          <w:rFonts w:ascii="Arial" w:hAnsi="Arial" w:cs="Arial"/>
          <w:b/>
          <w:bCs/>
          <w:sz w:val="20"/>
          <w:szCs w:val="20"/>
          <w:lang w:val="en-US"/>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EE3C18">
            <w:trPr>
              <w:trHeight w:val="1440"/>
            </w:trPr>
            <w:tc>
              <w:tcPr>
                <w:tcW w:w="1440" w:type="dxa"/>
                <w:tcBorders>
                  <w:right w:val="single" w:sz="4" w:space="0" w:color="FFFFFF" w:themeColor="background1"/>
                </w:tcBorders>
                <w:shd w:val="clear" w:color="auto" w:fill="943634" w:themeFill="accent2" w:themeFillShade="BF"/>
              </w:tcPr>
              <w:p w:rsidR="00EE3C18" w:rsidRDefault="00EE3C18"/>
            </w:tc>
            <w:sdt>
              <w:sdtPr>
                <w:rPr>
                  <w:rFonts w:asciiTheme="majorHAnsi" w:eastAsiaTheme="majorEastAsia" w:hAnsiTheme="majorHAnsi" w:cstheme="majorBidi"/>
                  <w:b/>
                  <w:bCs/>
                  <w:color w:val="FFFFFF" w:themeColor="background1"/>
                  <w:sz w:val="72"/>
                  <w:szCs w:val="72"/>
                </w:rPr>
                <w:alias w:val="Year"/>
                <w:id w:val="15676118"/>
                <w:placeholder>
                  <w:docPart w:val="7F4130480E144113B59AEBAB6ABBDB6D"/>
                </w:placeholder>
                <w:dataBinding w:prefixMappings="xmlns:ns0='http://schemas.microsoft.com/office/2006/coverPageProps'" w:xpath="/ns0:CoverPageProperties[1]/ns0:PublishDate[1]" w:storeItemID="{55AF091B-3C7A-41E3-B477-F2FDAA23CFDA}"/>
                <w:date w:fullDate="2020-01-24T00:00:00Z">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EE3C18" w:rsidRDefault="00EE3C18">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2020</w:t>
                    </w:r>
                  </w:p>
                </w:tc>
              </w:sdtContent>
            </w:sdt>
          </w:tr>
          <w:tr w:rsidR="00EE3C18">
            <w:trPr>
              <w:trHeight w:val="2880"/>
            </w:trPr>
            <w:tc>
              <w:tcPr>
                <w:tcW w:w="1440" w:type="dxa"/>
                <w:tcBorders>
                  <w:right w:val="single" w:sz="4" w:space="0" w:color="000000" w:themeColor="text1"/>
                </w:tcBorders>
              </w:tcPr>
              <w:p w:rsidR="00EE3C18" w:rsidRDefault="00EE3C18"/>
            </w:tc>
            <w:tc>
              <w:tcPr>
                <w:tcW w:w="2520" w:type="dxa"/>
                <w:tcBorders>
                  <w:left w:val="single" w:sz="4" w:space="0" w:color="000000" w:themeColor="text1"/>
                </w:tcBorders>
                <w:vAlign w:val="center"/>
              </w:tcPr>
              <w:p w:rsidR="002B2613" w:rsidRPr="002B2613" w:rsidRDefault="002B2613" w:rsidP="002B2613">
                <w:pPr>
                  <w:rPr>
                    <w:rFonts w:ascii="Calibri" w:hAnsi="Calibri" w:cs="Arial"/>
                    <w:color w:val="943634" w:themeColor="accent2" w:themeShade="BF"/>
                    <w:sz w:val="22"/>
                    <w:szCs w:val="22"/>
                    <w:lang w:val="en-US" w:eastAsia="ja-JP"/>
                  </w:rPr>
                </w:pPr>
                <w:r w:rsidRPr="002B2613">
                  <w:rPr>
                    <w:rFonts w:ascii="Calibri" w:hAnsi="Calibri" w:cs="Arial"/>
                    <w:color w:val="C0504D" w:themeColor="accent2"/>
                    <w:sz w:val="22"/>
                    <w:szCs w:val="22"/>
                    <w:lang w:val="en-US" w:eastAsia="ja-JP"/>
                  </w:rPr>
                  <w:t>Gender Alternatives Foundation</w:t>
                </w:r>
              </w:p>
              <w:p w:rsidR="002B2613" w:rsidRPr="002B2613" w:rsidRDefault="002B2613" w:rsidP="002B2613">
                <w:pPr>
                  <w:rPr>
                    <w:rFonts w:ascii="Calibri" w:hAnsi="Calibri" w:cs="Arial"/>
                    <w:color w:val="76923C"/>
                    <w:sz w:val="22"/>
                    <w:szCs w:val="22"/>
                    <w:lang w:val="en-US" w:eastAsia="ja-JP"/>
                  </w:rPr>
                </w:pPr>
              </w:p>
              <w:p w:rsidR="002B2613" w:rsidRPr="002B2613" w:rsidRDefault="002B2613" w:rsidP="002B2613">
                <w:pPr>
                  <w:rPr>
                    <w:rFonts w:ascii="Calibri" w:hAnsi="Calibri" w:cs="Arial"/>
                    <w:b/>
                    <w:bCs/>
                    <w:color w:val="002060"/>
                    <w:sz w:val="22"/>
                    <w:szCs w:val="22"/>
                    <w:lang w:val="en-US" w:eastAsia="ja-JP"/>
                  </w:rPr>
                </w:pPr>
                <w:r w:rsidRPr="002B2613">
                  <w:rPr>
                    <w:rFonts w:ascii="Calibri" w:hAnsi="Calibri" w:cs="Arial"/>
                    <w:b/>
                    <w:bCs/>
                    <w:color w:val="002060"/>
                    <w:sz w:val="22"/>
                    <w:szCs w:val="22"/>
                    <w:lang w:val="en-US" w:eastAsia="ja-JP"/>
                  </w:rPr>
                  <w:t>75</w:t>
                </w:r>
                <w:r w:rsidRPr="002B2613">
                  <w:rPr>
                    <w:rFonts w:ascii="Calibri" w:hAnsi="Calibri" w:cs="Arial"/>
                    <w:b/>
                    <w:bCs/>
                    <w:color w:val="002060"/>
                    <w:sz w:val="22"/>
                    <w:szCs w:val="22"/>
                    <w:vertAlign w:val="superscript"/>
                    <w:lang w:val="en-US" w:eastAsia="ja-JP"/>
                  </w:rPr>
                  <w:t>th</w:t>
                </w:r>
                <w:r w:rsidRPr="002B2613">
                  <w:rPr>
                    <w:rFonts w:ascii="Calibri" w:hAnsi="Calibri" w:cs="Arial"/>
                    <w:b/>
                    <w:bCs/>
                    <w:color w:val="002060"/>
                    <w:sz w:val="22"/>
                    <w:szCs w:val="22"/>
                    <w:lang w:val="en-US" w:eastAsia="ja-JP"/>
                  </w:rPr>
                  <w:t xml:space="preserve"> Session of the Committee on Elimination of all forms of Discrimination against Women</w:t>
                </w:r>
              </w:p>
              <w:p w:rsidR="002B2613" w:rsidRPr="002B2613" w:rsidRDefault="002B2613" w:rsidP="002B2613">
                <w:pPr>
                  <w:rPr>
                    <w:rFonts w:ascii="Calibri" w:hAnsi="Calibri" w:cs="Arial"/>
                    <w:color w:val="002060"/>
                    <w:sz w:val="22"/>
                    <w:szCs w:val="22"/>
                    <w:lang w:val="en-US" w:eastAsia="ja-JP"/>
                  </w:rPr>
                </w:pPr>
                <w:r w:rsidRPr="002B2613">
                  <w:rPr>
                    <w:rFonts w:ascii="Calibri" w:hAnsi="Calibri" w:cs="Arial"/>
                    <w:color w:val="002060"/>
                    <w:sz w:val="22"/>
                    <w:szCs w:val="22"/>
                    <w:lang w:val="en-US" w:eastAsia="ja-JP"/>
                  </w:rPr>
                  <w:t>10-28 February 2020, Geneva, Switzerland</w:t>
                </w:r>
              </w:p>
              <w:p w:rsidR="00EE3C18" w:rsidRDefault="00EE3C18">
                <w:pPr>
                  <w:pStyle w:val="NoSpacing"/>
                  <w:rPr>
                    <w:color w:val="76923C" w:themeColor="accent3" w:themeShade="BF"/>
                  </w:rPr>
                </w:pPr>
              </w:p>
              <w:p w:rsidR="002B2613" w:rsidRPr="002B2613" w:rsidRDefault="002B2613" w:rsidP="002B2613">
                <w:pPr>
                  <w:pStyle w:val="NoSpacing"/>
                  <w:rPr>
                    <w:b/>
                    <w:bCs/>
                    <w:color w:val="244061" w:themeColor="accent1" w:themeShade="80"/>
                  </w:rPr>
                </w:pPr>
                <w:r w:rsidRPr="002B2613">
                  <w:rPr>
                    <w:b/>
                    <w:bCs/>
                    <w:color w:val="244061" w:themeColor="accent1" w:themeShade="80"/>
                  </w:rPr>
                  <w:t>SUBSTANTIVE EQUALITY AND NON-DISCRIMINATION IN BULGARIA</w:t>
                </w:r>
              </w:p>
              <w:p w:rsidR="002B2613" w:rsidRDefault="002B2613">
                <w:pPr>
                  <w:pStyle w:val="NoSpacing"/>
                  <w:rPr>
                    <w:color w:val="76923C" w:themeColor="accent3" w:themeShade="BF"/>
                  </w:rPr>
                </w:pPr>
              </w:p>
            </w:tc>
          </w:tr>
        </w:tbl>
        <w:p w:rsidR="00EE3C18" w:rsidRDefault="00EE3C18"/>
        <w:p w:rsidR="00EE3C18" w:rsidRDefault="00EE3C18"/>
        <w:p w:rsidR="00EE3C18" w:rsidRDefault="00EE3C18"/>
        <w:tbl>
          <w:tblPr>
            <w:tblpPr w:leftFromText="187" w:rightFromText="187" w:vertAnchor="page" w:horzAnchor="margin" w:tblpY="7603"/>
            <w:tblW w:w="5000" w:type="pct"/>
            <w:tblLook w:val="04A0" w:firstRow="1" w:lastRow="0" w:firstColumn="1" w:lastColumn="0" w:noHBand="0" w:noVBand="1"/>
          </w:tblPr>
          <w:tblGrid>
            <w:gridCol w:w="9288"/>
          </w:tblGrid>
          <w:tr w:rsidR="002B2613" w:rsidTr="002B2613">
            <w:tc>
              <w:tcPr>
                <w:tcW w:w="0" w:type="auto"/>
              </w:tcPr>
              <w:p w:rsidR="002B2613" w:rsidRPr="002B2613" w:rsidRDefault="002B2613" w:rsidP="002B2613">
                <w:pPr>
                  <w:pStyle w:val="NoSpacing"/>
                  <w:jc w:val="center"/>
                  <w:rPr>
                    <w:b/>
                    <w:bCs/>
                    <w:caps/>
                    <w:color w:val="244061" w:themeColor="accent1" w:themeShade="80"/>
                    <w:sz w:val="72"/>
                    <w:szCs w:val="72"/>
                  </w:rPr>
                </w:pPr>
                <w:r w:rsidRPr="002B2613">
                  <w:rPr>
                    <w:b/>
                    <w:bCs/>
                    <w:caps/>
                    <w:color w:val="244061" w:themeColor="accent1" w:themeShade="80"/>
                    <w:sz w:val="72"/>
                    <w:szCs w:val="72"/>
                  </w:rPr>
                  <w:t>SHADOW REPORT SUBMITTED TO THE CEDAW COMMITTEE FOR THE 75</w:t>
                </w:r>
                <w:r w:rsidRPr="002B2613">
                  <w:rPr>
                    <w:b/>
                    <w:bCs/>
                    <w:caps/>
                    <w:color w:val="244061" w:themeColor="accent1" w:themeShade="80"/>
                    <w:sz w:val="72"/>
                    <w:szCs w:val="72"/>
                    <w:vertAlign w:val="superscript"/>
                  </w:rPr>
                  <w:t>th</w:t>
                </w:r>
                <w:r w:rsidRPr="002B2613">
                  <w:rPr>
                    <w:b/>
                    <w:bCs/>
                    <w:caps/>
                    <w:color w:val="244061" w:themeColor="accent1" w:themeShade="80"/>
                    <w:sz w:val="72"/>
                    <w:szCs w:val="72"/>
                  </w:rPr>
                  <w:t xml:space="preserve"> SESSION IN 10-28 FEBRUARY 2020</w:t>
                </w:r>
              </w:p>
              <w:p w:rsidR="002B2613" w:rsidRDefault="002B2613" w:rsidP="002B2613">
                <w:pPr>
                  <w:pStyle w:val="NoSpacing"/>
                  <w:rPr>
                    <w:b/>
                    <w:bCs/>
                    <w:caps/>
                    <w:sz w:val="72"/>
                    <w:szCs w:val="72"/>
                  </w:rPr>
                </w:pPr>
              </w:p>
              <w:p w:rsidR="002B2613" w:rsidRDefault="002B2613" w:rsidP="002B2613">
                <w:pPr>
                  <w:pStyle w:val="NoSpacing"/>
                  <w:rPr>
                    <w:b/>
                    <w:bCs/>
                    <w:caps/>
                    <w:sz w:val="72"/>
                    <w:szCs w:val="72"/>
                  </w:rPr>
                </w:pPr>
              </w:p>
            </w:tc>
          </w:tr>
          <w:tr w:rsidR="002B2613" w:rsidTr="002B2613">
            <w:sdt>
              <w:sdtPr>
                <w:rPr>
                  <w:rFonts w:ascii="Arial" w:eastAsia="MS Mincho" w:hAnsi="Arial" w:cs="Arial"/>
                  <w:b/>
                  <w:bCs/>
                  <w:color w:val="244061" w:themeColor="accent1" w:themeShade="80"/>
                  <w:sz w:val="24"/>
                  <w:szCs w:val="24"/>
                  <w:lang w:eastAsia="bg-BG"/>
                </w:rPr>
                <w:alias w:val="Abstract"/>
                <w:id w:val="15676143"/>
                <w:placeholder>
                  <w:docPart w:val="BDECE7C218684B8CB9423798FCB48E0C"/>
                </w:placeholder>
                <w:dataBinding w:prefixMappings="xmlns:ns0='http://schemas.microsoft.com/office/2006/coverPageProps'" w:xpath="/ns0:CoverPageProperties[1]/ns0:Abstract[1]" w:storeItemID="{55AF091B-3C7A-41E3-B477-F2FDAA23CFDA}"/>
                <w:text/>
              </w:sdtPr>
              <w:sdtEndPr/>
              <w:sdtContent>
                <w:tc>
                  <w:tcPr>
                    <w:tcW w:w="0" w:type="auto"/>
                  </w:tcPr>
                  <w:p w:rsidR="002B2613" w:rsidRPr="002B2613" w:rsidRDefault="002B2613" w:rsidP="002B2613">
                    <w:pPr>
                      <w:pStyle w:val="NoSpacing"/>
                      <w:jc w:val="center"/>
                      <w:rPr>
                        <w:color w:val="244061" w:themeColor="accent1" w:themeShade="80"/>
                      </w:rPr>
                    </w:pPr>
                    <w:r w:rsidRPr="002B2613">
                      <w:rPr>
                        <w:rFonts w:ascii="Arial" w:eastAsia="MS Mincho" w:hAnsi="Arial" w:cs="Arial"/>
                        <w:b/>
                        <w:bCs/>
                        <w:color w:val="244061" w:themeColor="accent1" w:themeShade="80"/>
                        <w:sz w:val="24"/>
                        <w:szCs w:val="24"/>
                        <w:lang w:eastAsia="bg-BG"/>
                      </w:rPr>
                      <w:t xml:space="preserve"> Presented by the Gender Alternatives Foundation</w:t>
                    </w:r>
                    <w:r w:rsidR="001A726E">
                      <w:rPr>
                        <w:rFonts w:ascii="Arial" w:eastAsia="MS Mincho" w:hAnsi="Arial" w:cs="Arial"/>
                        <w:b/>
                        <w:bCs/>
                        <w:color w:val="244061" w:themeColor="accent1" w:themeShade="80"/>
                        <w:sz w:val="24"/>
                        <w:szCs w:val="24"/>
                        <w:lang w:eastAsia="bg-BG"/>
                      </w:rPr>
                      <w:t xml:space="preserve"> </w:t>
                    </w:r>
                    <w:r w:rsidRPr="002B2613">
                      <w:rPr>
                        <w:rFonts w:ascii="Arial" w:eastAsia="MS Mincho" w:hAnsi="Arial" w:cs="Arial"/>
                        <w:b/>
                        <w:bCs/>
                        <w:color w:val="244061" w:themeColor="accent1" w:themeShade="80"/>
                        <w:sz w:val="24"/>
                        <w:szCs w:val="24"/>
                        <w:lang w:eastAsia="bg-BG"/>
                      </w:rPr>
                      <w:t>January 2020</w:t>
                    </w:r>
                  </w:p>
                </w:tc>
              </w:sdtContent>
            </w:sdt>
          </w:tr>
        </w:tbl>
        <w:p w:rsidR="00EE3C18" w:rsidRDefault="00EE3C18">
          <w:pPr>
            <w:spacing w:after="200" w:line="276" w:lineRule="auto"/>
            <w:rPr>
              <w:rFonts w:ascii="Arial" w:hAnsi="Arial" w:cs="Arial"/>
              <w:b/>
              <w:bCs/>
              <w:sz w:val="20"/>
              <w:szCs w:val="20"/>
              <w:lang w:val="en-US"/>
            </w:rPr>
          </w:pPr>
          <w:r>
            <w:rPr>
              <w:rFonts w:ascii="Arial" w:hAnsi="Arial" w:cs="Arial"/>
              <w:b/>
              <w:bCs/>
              <w:sz w:val="20"/>
              <w:szCs w:val="20"/>
              <w:lang w:val="en-US"/>
            </w:rPr>
            <w:br w:type="page"/>
          </w:r>
        </w:p>
      </w:sdtContent>
    </w:sdt>
    <w:p w:rsidR="0039108F" w:rsidRPr="0039108F" w:rsidRDefault="00C14270" w:rsidP="0039108F">
      <w:pPr>
        <w:jc w:val="right"/>
        <w:rPr>
          <w:rFonts w:eastAsia="Calibri"/>
          <w:b/>
          <w:bCs/>
          <w:color w:val="C0504D" w:themeColor="accent2"/>
          <w:lang w:eastAsia="en-US"/>
        </w:rPr>
      </w:pPr>
      <w:r w:rsidRPr="00C14270">
        <w:rPr>
          <w:noProof/>
          <w:sz w:val="20"/>
          <w:szCs w:val="20"/>
          <w:lang w:val="ru-RU" w:eastAsia="ru-RU"/>
        </w:rPr>
        <w:lastRenderedPageBreak/>
        <w:drawing>
          <wp:anchor distT="0" distB="0" distL="114300" distR="114300" simplePos="0" relativeHeight="251659264" behindDoc="1" locked="0" layoutInCell="1" allowOverlap="1" wp14:anchorId="0EE73345" wp14:editId="56A69729">
            <wp:simplePos x="0" y="0"/>
            <wp:positionH relativeFrom="column">
              <wp:posOffset>4539615</wp:posOffset>
            </wp:positionH>
            <wp:positionV relativeFrom="paragraph">
              <wp:posOffset>-121285</wp:posOffset>
            </wp:positionV>
            <wp:extent cx="1289685" cy="1057275"/>
            <wp:effectExtent l="0" t="0" r="5715" b="9525"/>
            <wp:wrapTight wrapText="bothSides">
              <wp:wrapPolygon edited="0">
                <wp:start x="0" y="0"/>
                <wp:lineTo x="0" y="21405"/>
                <wp:lineTo x="21377" y="21405"/>
                <wp:lineTo x="213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9685" cy="1057275"/>
                    </a:xfrm>
                    <a:prstGeom prst="rect">
                      <a:avLst/>
                    </a:prstGeom>
                    <a:noFill/>
                  </pic:spPr>
                </pic:pic>
              </a:graphicData>
            </a:graphic>
            <wp14:sizeRelH relativeFrom="page">
              <wp14:pctWidth>0</wp14:pctWidth>
            </wp14:sizeRelH>
            <wp14:sizeRelV relativeFrom="page">
              <wp14:pctHeight>0</wp14:pctHeight>
            </wp14:sizeRelV>
          </wp:anchor>
        </w:drawing>
      </w:r>
      <w:r w:rsidR="0039108F" w:rsidRPr="0039108F">
        <w:rPr>
          <w:rFonts w:eastAsia="Calibri"/>
          <w:b/>
          <w:bCs/>
          <w:color w:val="C0504D" w:themeColor="accent2"/>
          <w:lang w:eastAsia="en-US"/>
        </w:rPr>
        <w:t>Address</w:t>
      </w:r>
      <w:r w:rsidR="0039108F" w:rsidRPr="0039108F">
        <w:rPr>
          <w:rFonts w:eastAsia="Calibri"/>
          <w:color w:val="C0504D" w:themeColor="accent2"/>
          <w:lang w:eastAsia="en-US"/>
        </w:rPr>
        <w:t>: 38 „4 January” str., entr. В, fl. 2, ap. 3</w:t>
      </w:r>
    </w:p>
    <w:p w:rsidR="0039108F" w:rsidRPr="0039108F" w:rsidRDefault="0039108F" w:rsidP="0039108F">
      <w:pPr>
        <w:jc w:val="right"/>
        <w:rPr>
          <w:rFonts w:eastAsia="Calibri"/>
          <w:color w:val="C0504D" w:themeColor="accent2"/>
          <w:lang w:eastAsia="en-US"/>
        </w:rPr>
      </w:pPr>
      <w:r w:rsidRPr="0039108F">
        <w:rPr>
          <w:rFonts w:eastAsia="Calibri"/>
          <w:color w:val="C0504D" w:themeColor="accent2"/>
          <w:lang w:eastAsia="en-US"/>
        </w:rPr>
        <w:t xml:space="preserve">Plovdiv 4000, Bulgaria </w:t>
      </w:r>
    </w:p>
    <w:p w:rsidR="0039108F" w:rsidRPr="0039108F" w:rsidRDefault="0039108F" w:rsidP="0039108F">
      <w:pPr>
        <w:jc w:val="right"/>
        <w:rPr>
          <w:rFonts w:eastAsia="Calibri"/>
          <w:color w:val="365F91" w:themeColor="accent1" w:themeShade="BF"/>
          <w:lang w:eastAsia="en-US"/>
        </w:rPr>
      </w:pPr>
      <w:r w:rsidRPr="0039108F">
        <w:rPr>
          <w:rFonts w:eastAsia="Calibri"/>
          <w:b/>
          <w:bCs/>
          <w:color w:val="365F91" w:themeColor="accent1" w:themeShade="BF"/>
          <w:lang w:eastAsia="en-US"/>
        </w:rPr>
        <w:t xml:space="preserve">Phones: </w:t>
      </w:r>
      <w:r w:rsidRPr="0039108F">
        <w:rPr>
          <w:rFonts w:eastAsia="Calibri"/>
          <w:color w:val="365F91" w:themeColor="accent1" w:themeShade="BF"/>
          <w:lang w:eastAsia="en-US"/>
        </w:rPr>
        <w:t xml:space="preserve"> +359 887 273 755, +359 894 337 948</w:t>
      </w:r>
    </w:p>
    <w:p w:rsidR="0039108F" w:rsidRPr="0039108F" w:rsidRDefault="0039108F" w:rsidP="0039108F">
      <w:pPr>
        <w:jc w:val="right"/>
        <w:rPr>
          <w:rFonts w:eastAsia="Calibri"/>
          <w:color w:val="C0504D" w:themeColor="accent2"/>
          <w:lang w:eastAsia="en-US"/>
        </w:rPr>
      </w:pPr>
      <w:r w:rsidRPr="0039108F">
        <w:rPr>
          <w:rFonts w:eastAsia="Calibri"/>
          <w:b/>
          <w:bCs/>
          <w:color w:val="C0504D" w:themeColor="accent2"/>
          <w:lang w:eastAsia="en-US"/>
        </w:rPr>
        <w:t>Website</w:t>
      </w:r>
      <w:r w:rsidRPr="0039108F">
        <w:rPr>
          <w:rFonts w:eastAsia="Calibri"/>
          <w:color w:val="C0504D" w:themeColor="accent2"/>
          <w:lang w:eastAsia="en-US"/>
        </w:rPr>
        <w:t xml:space="preserve">: www.genderalternatives.org, </w:t>
      </w:r>
    </w:p>
    <w:p w:rsidR="0039108F" w:rsidRPr="0039108F" w:rsidRDefault="0039108F" w:rsidP="0039108F">
      <w:pPr>
        <w:jc w:val="right"/>
        <w:rPr>
          <w:rFonts w:eastAsia="Calibri"/>
          <w:color w:val="365F91" w:themeColor="accent1" w:themeShade="BF"/>
          <w:u w:val="single"/>
          <w:lang w:eastAsia="en-US"/>
        </w:rPr>
      </w:pPr>
      <w:r w:rsidRPr="0039108F">
        <w:rPr>
          <w:rFonts w:eastAsia="Calibri"/>
          <w:b/>
          <w:bCs/>
          <w:color w:val="365F91" w:themeColor="accent1" w:themeShade="BF"/>
          <w:lang w:eastAsia="en-US"/>
        </w:rPr>
        <w:t>E-mail</w:t>
      </w:r>
      <w:r w:rsidRPr="0039108F">
        <w:rPr>
          <w:rFonts w:eastAsia="Calibri"/>
          <w:color w:val="365F91" w:themeColor="accent1" w:themeShade="BF"/>
          <w:lang w:eastAsia="en-US"/>
        </w:rPr>
        <w:t>: office@genderalternatives.org</w:t>
      </w:r>
      <w:r w:rsidRPr="0039108F">
        <w:rPr>
          <w:rFonts w:eastAsia="Calibri"/>
          <w:color w:val="365F91" w:themeColor="accent1" w:themeShade="BF"/>
          <w:u w:val="single"/>
          <w:lang w:eastAsia="en-US"/>
        </w:rPr>
        <w:t xml:space="preserve"> </w:t>
      </w:r>
    </w:p>
    <w:p w:rsidR="0039108F" w:rsidRPr="0039108F" w:rsidRDefault="0039108F" w:rsidP="0039108F">
      <w:pPr>
        <w:jc w:val="right"/>
        <w:rPr>
          <w:rFonts w:eastAsia="Calibri"/>
          <w:color w:val="C0504D" w:themeColor="accent2"/>
          <w:lang w:eastAsia="en-US"/>
        </w:rPr>
      </w:pPr>
      <w:r w:rsidRPr="0039108F">
        <w:rPr>
          <w:rFonts w:eastAsia="Calibri"/>
          <w:b/>
          <w:bCs/>
          <w:color w:val="C0504D" w:themeColor="accent2"/>
          <w:lang w:eastAsia="en-US"/>
        </w:rPr>
        <w:t>Facebook page</w:t>
      </w:r>
      <w:r w:rsidRPr="0039108F">
        <w:rPr>
          <w:rFonts w:eastAsia="Calibri"/>
          <w:color w:val="C0504D" w:themeColor="accent2"/>
          <w:lang w:eastAsia="en-US"/>
        </w:rPr>
        <w:t>: Gender Alternatives</w:t>
      </w:r>
    </w:p>
    <w:p w:rsidR="0039108F" w:rsidRPr="0039108F" w:rsidRDefault="0039108F" w:rsidP="0039108F">
      <w:pPr>
        <w:jc w:val="right"/>
        <w:rPr>
          <w:rFonts w:eastAsia="Calibri"/>
          <w:lang w:eastAsia="en-US"/>
        </w:rPr>
      </w:pPr>
      <w:r w:rsidRPr="0039108F">
        <w:rPr>
          <w:rFonts w:eastAsia="Calibri"/>
          <w:b/>
          <w:bCs/>
          <w:color w:val="365F91"/>
          <w:lang w:eastAsia="en-US"/>
        </w:rPr>
        <w:t>Twitter</w:t>
      </w:r>
      <w:r w:rsidRPr="0039108F">
        <w:rPr>
          <w:rFonts w:eastAsia="Calibri"/>
          <w:b/>
          <w:bCs/>
          <w:lang w:eastAsia="en-US"/>
        </w:rPr>
        <w:t>:</w:t>
      </w:r>
      <w:r w:rsidRPr="0039108F">
        <w:rPr>
          <w:rFonts w:eastAsia="Calibri"/>
          <w:lang w:eastAsia="en-US"/>
        </w:rPr>
        <w:t xml:space="preserve"> </w:t>
      </w:r>
      <w:r w:rsidRPr="0039108F">
        <w:rPr>
          <w:rFonts w:eastAsia="Calibri"/>
          <w:color w:val="365F91" w:themeColor="accent1" w:themeShade="BF"/>
          <w:lang w:eastAsia="en-US"/>
        </w:rPr>
        <w:t>GenderAlter</w:t>
      </w:r>
    </w:p>
    <w:p w:rsidR="00C14270" w:rsidRPr="0039108F" w:rsidRDefault="00C14270" w:rsidP="0039108F">
      <w:pPr>
        <w:spacing w:after="60"/>
        <w:jc w:val="right"/>
        <w:rPr>
          <w:rFonts w:ascii="Arial" w:hAnsi="Arial" w:cs="Arial"/>
          <w:b/>
          <w:bCs/>
          <w:sz w:val="20"/>
          <w:szCs w:val="20"/>
        </w:rPr>
      </w:pPr>
    </w:p>
    <w:p w:rsidR="00C14270" w:rsidRPr="00C4300E" w:rsidRDefault="00C14270" w:rsidP="00C14270">
      <w:pPr>
        <w:jc w:val="center"/>
        <w:rPr>
          <w:rFonts w:ascii="Arial" w:hAnsi="Arial" w:cs="Arial"/>
          <w:b/>
          <w:bCs/>
          <w:sz w:val="22"/>
          <w:szCs w:val="22"/>
          <w:lang w:val="en-US"/>
        </w:rPr>
      </w:pPr>
    </w:p>
    <w:p w:rsidR="00C14270" w:rsidRPr="00C4300E"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Default="00C14270" w:rsidP="00C14270">
      <w:pPr>
        <w:jc w:val="center"/>
        <w:rPr>
          <w:rFonts w:ascii="Arial" w:hAnsi="Arial" w:cs="Arial"/>
          <w:b/>
          <w:bCs/>
          <w:sz w:val="22"/>
          <w:szCs w:val="22"/>
          <w:lang w:val="en-US"/>
        </w:rPr>
      </w:pPr>
    </w:p>
    <w:p w:rsidR="00C14270" w:rsidRPr="00C4300E" w:rsidRDefault="00C14270" w:rsidP="00C14270">
      <w:pPr>
        <w:jc w:val="center"/>
        <w:rPr>
          <w:rFonts w:ascii="Arial" w:hAnsi="Arial" w:cs="Arial"/>
          <w:b/>
          <w:bCs/>
          <w:sz w:val="22"/>
          <w:szCs w:val="22"/>
          <w:lang w:val="en-US"/>
        </w:rPr>
      </w:pPr>
    </w:p>
    <w:p w:rsidR="00C14270" w:rsidRPr="0039108F" w:rsidRDefault="00C14270" w:rsidP="00C14270">
      <w:pPr>
        <w:jc w:val="both"/>
        <w:rPr>
          <w:rFonts w:ascii="Arial" w:hAnsi="Arial" w:cs="Arial"/>
          <w:b/>
          <w:bCs/>
          <w:color w:val="C0504D" w:themeColor="accent2"/>
          <w:sz w:val="22"/>
          <w:szCs w:val="22"/>
          <w:lang w:val="en-US"/>
        </w:rPr>
      </w:pPr>
    </w:p>
    <w:p w:rsidR="0039108F" w:rsidRPr="0039108F" w:rsidRDefault="0039108F" w:rsidP="0039108F">
      <w:pPr>
        <w:jc w:val="both"/>
        <w:rPr>
          <w:rFonts w:ascii="Arial" w:hAnsi="Arial" w:cs="Arial"/>
          <w:b/>
          <w:bCs/>
          <w:color w:val="C0504D" w:themeColor="accent2"/>
          <w:sz w:val="22"/>
          <w:szCs w:val="22"/>
          <w:lang w:val="en-US"/>
        </w:rPr>
      </w:pPr>
      <w:r w:rsidRPr="0039108F">
        <w:rPr>
          <w:rFonts w:ascii="Arial" w:hAnsi="Arial" w:cs="Arial"/>
          <w:b/>
          <w:bCs/>
          <w:color w:val="C0504D" w:themeColor="accent2"/>
          <w:sz w:val="22"/>
          <w:szCs w:val="22"/>
          <w:lang w:val="en-US"/>
        </w:rPr>
        <w:t>CONTENTS                                                                                                     Paragraphs</w:t>
      </w:r>
    </w:p>
    <w:p w:rsidR="0039108F" w:rsidRPr="0039108F" w:rsidRDefault="0039108F" w:rsidP="0039108F">
      <w:pPr>
        <w:jc w:val="both"/>
        <w:rPr>
          <w:rFonts w:ascii="Arial" w:hAnsi="Arial" w:cs="Arial"/>
          <w:b/>
          <w:bCs/>
          <w:color w:val="C0504D" w:themeColor="accent2"/>
          <w:sz w:val="22"/>
          <w:szCs w:val="22"/>
          <w:lang w:val="en-US"/>
        </w:rPr>
      </w:pP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Legal status of the CEDAW and legislative and institutional framework…………    1-4</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Traditional stereotypes…………………………………………………………………   5-11</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Violence against women……………………………………………………….………   12-39</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Education………………………………………………………………………………...  40-48</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Health…………………………………………………………………………………….  49-63</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 xml:space="preserve">Disadvantaged groups of women……………………………………………………..  </w:t>
      </w:r>
      <w:r w:rsidR="00DD3741">
        <w:rPr>
          <w:rFonts w:ascii="Arial" w:hAnsi="Arial" w:cs="Arial"/>
          <w:color w:val="C0504D" w:themeColor="accent2"/>
          <w:sz w:val="22"/>
          <w:szCs w:val="22"/>
          <w:lang w:val="en-US"/>
        </w:rPr>
        <w:t xml:space="preserve"> </w:t>
      </w:r>
      <w:r w:rsidRPr="0039108F">
        <w:rPr>
          <w:rFonts w:ascii="Arial" w:hAnsi="Arial" w:cs="Arial"/>
          <w:color w:val="C0504D" w:themeColor="accent2"/>
          <w:sz w:val="22"/>
          <w:szCs w:val="22"/>
          <w:lang w:val="en-US"/>
        </w:rPr>
        <w:t>64-67</w:t>
      </w:r>
    </w:p>
    <w:p w:rsidR="0039108F" w:rsidRPr="0039108F" w:rsidRDefault="0039108F" w:rsidP="0039108F">
      <w:pPr>
        <w:pStyle w:val="ListParagraph"/>
        <w:numPr>
          <w:ilvl w:val="0"/>
          <w:numId w:val="1"/>
        </w:numPr>
        <w:ind w:left="0"/>
        <w:jc w:val="both"/>
        <w:rPr>
          <w:rFonts w:ascii="Arial" w:hAnsi="Arial" w:cs="Arial"/>
          <w:color w:val="C0504D" w:themeColor="accent2"/>
          <w:sz w:val="22"/>
          <w:szCs w:val="22"/>
          <w:lang w:val="en-US"/>
        </w:rPr>
      </w:pPr>
      <w:r w:rsidRPr="0039108F">
        <w:rPr>
          <w:rFonts w:ascii="Arial" w:hAnsi="Arial" w:cs="Arial"/>
          <w:color w:val="C0504D" w:themeColor="accent2"/>
          <w:sz w:val="22"/>
          <w:szCs w:val="22"/>
          <w:lang w:val="en-US"/>
        </w:rPr>
        <w:t xml:space="preserve">Recommendations……………………………………..                                            </w:t>
      </w:r>
      <w:r w:rsidR="00DD3741">
        <w:rPr>
          <w:rFonts w:ascii="Arial" w:hAnsi="Arial" w:cs="Arial"/>
          <w:color w:val="C0504D" w:themeColor="accent2"/>
          <w:sz w:val="22"/>
          <w:szCs w:val="22"/>
          <w:lang w:val="en-US"/>
        </w:rPr>
        <w:t xml:space="preserve"> </w:t>
      </w:r>
      <w:r w:rsidRPr="0039108F">
        <w:rPr>
          <w:rFonts w:ascii="Arial" w:hAnsi="Arial" w:cs="Arial"/>
          <w:color w:val="C0504D" w:themeColor="accent2"/>
          <w:sz w:val="22"/>
          <w:szCs w:val="22"/>
          <w:lang w:val="en-US"/>
        </w:rPr>
        <w:t>68</w:t>
      </w:r>
    </w:p>
    <w:p w:rsidR="00183388" w:rsidRDefault="00C14270" w:rsidP="0039108F">
      <w:pPr>
        <w:jc w:val="both"/>
        <w:rPr>
          <w:rFonts w:ascii="Arial" w:hAnsi="Arial" w:cs="Arial"/>
          <w:sz w:val="22"/>
          <w:szCs w:val="22"/>
          <w:lang w:val="en-US"/>
        </w:rPr>
      </w:pPr>
      <w:r>
        <w:rPr>
          <w:rFonts w:ascii="Arial" w:hAnsi="Arial" w:cs="Arial"/>
          <w:b/>
          <w:bCs/>
          <w:sz w:val="22"/>
          <w:szCs w:val="22"/>
          <w:lang w:val="en-US"/>
        </w:rPr>
        <w:br w:type="page"/>
      </w:r>
    </w:p>
    <w:p w:rsidR="00183388" w:rsidRDefault="00183388">
      <w:pPr>
        <w:spacing w:after="200" w:line="276" w:lineRule="auto"/>
        <w:rPr>
          <w:rFonts w:ascii="Arial" w:hAnsi="Arial" w:cs="Arial"/>
          <w:sz w:val="22"/>
          <w:szCs w:val="22"/>
          <w:lang w:val="en-US"/>
        </w:rPr>
      </w:pPr>
    </w:p>
    <w:p w:rsidR="00183388" w:rsidRPr="0039108F" w:rsidRDefault="00183388" w:rsidP="00183388">
      <w:pPr>
        <w:jc w:val="both"/>
        <w:rPr>
          <w:rFonts w:ascii="Arial" w:hAnsi="Arial" w:cs="Arial"/>
          <w:b/>
          <w:bCs/>
          <w:color w:val="C0504D" w:themeColor="accent2"/>
          <w:sz w:val="22"/>
          <w:szCs w:val="22"/>
          <w:lang w:val="en-US"/>
        </w:rPr>
      </w:pPr>
      <w:r w:rsidRPr="0039108F">
        <w:rPr>
          <w:rFonts w:ascii="Arial" w:hAnsi="Arial" w:cs="Arial"/>
          <w:b/>
          <w:bCs/>
          <w:color w:val="C0504D" w:themeColor="accent2"/>
          <w:sz w:val="22"/>
          <w:szCs w:val="22"/>
          <w:lang w:val="en-US"/>
        </w:rPr>
        <w:t>EXECUTIVE SUMMARY</w:t>
      </w:r>
    </w:p>
    <w:p w:rsidR="00183388" w:rsidRPr="00C4300E" w:rsidRDefault="00183388" w:rsidP="00183388">
      <w:pPr>
        <w:jc w:val="both"/>
        <w:rPr>
          <w:rFonts w:ascii="Arial" w:hAnsi="Arial" w:cs="Arial"/>
          <w:sz w:val="22"/>
          <w:szCs w:val="22"/>
          <w:lang w:val="en-US"/>
        </w:rPr>
      </w:pPr>
    </w:p>
    <w:p w:rsidR="00183388" w:rsidRPr="00C4300E" w:rsidRDefault="00183388" w:rsidP="00183388">
      <w:pPr>
        <w:jc w:val="both"/>
        <w:rPr>
          <w:rFonts w:ascii="Arial" w:hAnsi="Arial" w:cs="Arial"/>
          <w:sz w:val="22"/>
          <w:szCs w:val="22"/>
          <w:lang w:val="en-US"/>
        </w:rPr>
      </w:pPr>
      <w:r w:rsidRPr="00C4300E">
        <w:rPr>
          <w:rFonts w:ascii="Arial" w:hAnsi="Arial" w:cs="Arial"/>
          <w:sz w:val="22"/>
          <w:szCs w:val="22"/>
        </w:rPr>
        <w:t>T</w:t>
      </w:r>
      <w:r w:rsidRPr="00C4300E">
        <w:rPr>
          <w:rFonts w:ascii="Arial" w:hAnsi="Arial" w:cs="Arial"/>
          <w:sz w:val="22"/>
          <w:szCs w:val="22"/>
          <w:lang w:val="en-US"/>
        </w:rPr>
        <w:t>he T</w:t>
      </w:r>
      <w:r w:rsidRPr="00C4300E">
        <w:rPr>
          <w:rFonts w:ascii="Arial" w:hAnsi="Arial" w:cs="Arial"/>
          <w:sz w:val="22"/>
          <w:szCs w:val="22"/>
          <w:shd w:val="clear" w:color="auto" w:fill="FFFFFF"/>
        </w:rPr>
        <w:t>eam</w:t>
      </w:r>
      <w:r w:rsidRPr="00C4300E">
        <w:rPr>
          <w:rFonts w:ascii="Arial" w:hAnsi="Arial" w:cs="Arial"/>
          <w:sz w:val="22"/>
          <w:szCs w:val="22"/>
          <w:shd w:val="clear" w:color="auto" w:fill="FFFFFF"/>
          <w:lang w:val="en-US"/>
        </w:rPr>
        <w:t xml:space="preserve"> of</w:t>
      </w:r>
      <w:r w:rsidRPr="00C4300E">
        <w:rPr>
          <w:rFonts w:ascii="Arial" w:hAnsi="Arial" w:cs="Arial"/>
          <w:sz w:val="22"/>
          <w:szCs w:val="22"/>
          <w:shd w:val="clear" w:color="auto" w:fill="FFFFFF"/>
        </w:rPr>
        <w:t xml:space="preserve"> </w:t>
      </w:r>
      <w:r w:rsidRPr="00C4300E">
        <w:rPr>
          <w:rFonts w:ascii="Arial" w:hAnsi="Arial" w:cs="Arial"/>
          <w:sz w:val="22"/>
          <w:szCs w:val="22"/>
          <w:shd w:val="clear" w:color="auto" w:fill="FFFFFF"/>
          <w:lang w:val="en-US"/>
        </w:rPr>
        <w:t xml:space="preserve">the </w:t>
      </w:r>
      <w:r w:rsidRPr="00C4300E">
        <w:rPr>
          <w:rFonts w:ascii="Arial" w:hAnsi="Arial" w:cs="Arial"/>
          <w:sz w:val="22"/>
          <w:szCs w:val="22"/>
          <w:lang w:val="en-US"/>
        </w:rPr>
        <w:t>Gender Alternatives Foundation (</w:t>
      </w:r>
      <w:r w:rsidRPr="0039108F">
        <w:rPr>
          <w:rFonts w:ascii="Arial" w:hAnsi="Arial" w:cs="Arial"/>
          <w:sz w:val="22"/>
          <w:szCs w:val="22"/>
          <w:lang w:val="en-US"/>
        </w:rPr>
        <w:t>www.genderalternatives.org</w:t>
      </w:r>
      <w:r w:rsidRPr="00C4300E">
        <w:rPr>
          <w:rFonts w:ascii="Arial" w:hAnsi="Arial" w:cs="Arial"/>
          <w:sz w:val="22"/>
          <w:szCs w:val="22"/>
          <w:lang w:val="en-US"/>
        </w:rPr>
        <w:t xml:space="preserve">) </w:t>
      </w:r>
      <w:r w:rsidRPr="00C4300E">
        <w:rPr>
          <w:rFonts w:ascii="Arial" w:hAnsi="Arial" w:cs="Arial"/>
          <w:sz w:val="22"/>
          <w:szCs w:val="22"/>
          <w:shd w:val="clear" w:color="auto" w:fill="FFFFFF"/>
        </w:rPr>
        <w:t>w</w:t>
      </w:r>
      <w:r w:rsidRPr="00C4300E">
        <w:rPr>
          <w:rFonts w:ascii="Arial" w:hAnsi="Arial" w:cs="Arial"/>
          <w:sz w:val="22"/>
          <w:szCs w:val="22"/>
        </w:rPr>
        <w:t xml:space="preserve">orks on pro-active research, education, legal and psycho-social counseling, campaigning and lobbying for legislative changes in the field of gender equality and women's rights. Violence against women and socio-economic rights of women make the main focus of its activities. </w:t>
      </w:r>
      <w:r w:rsidRPr="00C4300E">
        <w:rPr>
          <w:rFonts w:ascii="Arial" w:hAnsi="Arial" w:cs="Arial"/>
          <w:sz w:val="22"/>
          <w:szCs w:val="22"/>
          <w:lang w:val="en-US"/>
        </w:rPr>
        <w:t>Given the focus of its work and following its mission to</w:t>
      </w:r>
      <w:r w:rsidRPr="00C4300E">
        <w:rPr>
          <w:rFonts w:ascii="Arial" w:hAnsi="Arial" w:cs="Arial"/>
          <w:sz w:val="22"/>
          <w:szCs w:val="22"/>
        </w:rPr>
        <w:t xml:space="preserve"> achieve a balanced civil society</w:t>
      </w:r>
      <w:r w:rsidRPr="00C4300E">
        <w:rPr>
          <w:rFonts w:ascii="Arial" w:hAnsi="Arial" w:cs="Arial"/>
          <w:sz w:val="22"/>
          <w:szCs w:val="22"/>
          <w:lang w:val="en-US"/>
        </w:rPr>
        <w:t xml:space="preserve"> in the Republic of Bulgaria,</w:t>
      </w:r>
      <w:r w:rsidRPr="00C4300E">
        <w:rPr>
          <w:rFonts w:ascii="Arial" w:hAnsi="Arial" w:cs="Arial"/>
          <w:sz w:val="22"/>
          <w:szCs w:val="22"/>
        </w:rPr>
        <w:t xml:space="preserve"> ensuring equal chances and equal representation of women and men and of different ethnic groups, in the public and private spheres</w:t>
      </w:r>
      <w:r w:rsidRPr="00C4300E">
        <w:rPr>
          <w:rFonts w:ascii="Arial" w:hAnsi="Arial" w:cs="Arial"/>
          <w:sz w:val="22"/>
          <w:szCs w:val="22"/>
          <w:lang w:val="en-US"/>
        </w:rPr>
        <w:t>, the Team prepared a Shadow</w:t>
      </w:r>
      <w:r>
        <w:rPr>
          <w:rFonts w:ascii="Arial" w:hAnsi="Arial" w:cs="Arial"/>
          <w:sz w:val="22"/>
          <w:szCs w:val="22"/>
        </w:rPr>
        <w:t xml:space="preserve"> report for the </w:t>
      </w:r>
      <w:r>
        <w:rPr>
          <w:rFonts w:ascii="Arial" w:hAnsi="Arial" w:cs="Arial"/>
          <w:sz w:val="22"/>
          <w:szCs w:val="22"/>
          <w:lang w:val="en-US"/>
        </w:rPr>
        <w:t>7</w:t>
      </w:r>
      <w:r w:rsidR="00B73BEE">
        <w:rPr>
          <w:rFonts w:ascii="Arial" w:hAnsi="Arial" w:cs="Arial"/>
          <w:sz w:val="22"/>
          <w:szCs w:val="22"/>
        </w:rPr>
        <w:t xml:space="preserve">5th </w:t>
      </w:r>
      <w:r>
        <w:rPr>
          <w:rFonts w:ascii="Arial" w:hAnsi="Arial" w:cs="Arial"/>
          <w:sz w:val="22"/>
          <w:szCs w:val="22"/>
        </w:rPr>
        <w:t xml:space="preserve">CEDAW Committee session in </w:t>
      </w:r>
      <w:r w:rsidR="00B73BEE">
        <w:rPr>
          <w:rFonts w:ascii="Arial" w:hAnsi="Arial" w:cs="Arial"/>
          <w:sz w:val="22"/>
          <w:szCs w:val="22"/>
          <w:lang w:val="en-US"/>
        </w:rPr>
        <w:t xml:space="preserve">10-28 </w:t>
      </w:r>
      <w:r>
        <w:rPr>
          <w:rFonts w:ascii="Arial" w:hAnsi="Arial" w:cs="Arial"/>
          <w:sz w:val="22"/>
          <w:szCs w:val="22"/>
          <w:lang w:val="en-US"/>
        </w:rPr>
        <w:t>January</w:t>
      </w:r>
      <w:r>
        <w:rPr>
          <w:rFonts w:ascii="Arial" w:hAnsi="Arial" w:cs="Arial"/>
          <w:sz w:val="22"/>
          <w:szCs w:val="22"/>
        </w:rPr>
        <w:t xml:space="preserve"> 20</w:t>
      </w:r>
      <w:r w:rsidR="00B73BEE">
        <w:rPr>
          <w:rFonts w:ascii="Arial" w:hAnsi="Arial" w:cs="Arial"/>
          <w:sz w:val="22"/>
          <w:szCs w:val="22"/>
          <w:lang w:val="en-US"/>
        </w:rPr>
        <w:t>20.</w:t>
      </w:r>
      <w:r w:rsidRPr="00C4300E">
        <w:rPr>
          <w:rFonts w:ascii="Arial" w:hAnsi="Arial" w:cs="Arial"/>
          <w:sz w:val="22"/>
          <w:szCs w:val="22"/>
          <w:lang w:val="en-US"/>
        </w:rPr>
        <w:t xml:space="preserve"> The Team aims at using the report as a tool for holding the Government accountable for the implementation of the CEDAW as well as a tool for advancing women’s human rights in the country.</w:t>
      </w:r>
    </w:p>
    <w:p w:rsidR="00183388" w:rsidRPr="00C4300E" w:rsidRDefault="00183388" w:rsidP="00183388">
      <w:pPr>
        <w:jc w:val="both"/>
        <w:rPr>
          <w:rFonts w:ascii="Arial" w:hAnsi="Arial" w:cs="Arial"/>
          <w:sz w:val="22"/>
          <w:szCs w:val="22"/>
          <w:lang w:val="en-US"/>
        </w:rPr>
      </w:pPr>
    </w:p>
    <w:p w:rsidR="00183388" w:rsidRPr="00C4300E" w:rsidRDefault="00D6607D" w:rsidP="00183388">
      <w:pPr>
        <w:jc w:val="both"/>
        <w:rPr>
          <w:rFonts w:ascii="Arial" w:hAnsi="Arial" w:cs="Arial"/>
          <w:sz w:val="22"/>
          <w:szCs w:val="22"/>
          <w:lang w:val="en-US"/>
        </w:rPr>
      </w:pPr>
      <w:r>
        <w:rPr>
          <w:rFonts w:ascii="Arial" w:hAnsi="Arial" w:cs="Arial"/>
          <w:sz w:val="22"/>
          <w:szCs w:val="22"/>
          <w:lang w:val="en-US"/>
        </w:rPr>
        <w:t xml:space="preserve">The report covers six </w:t>
      </w:r>
      <w:r w:rsidR="00183388" w:rsidRPr="00C4300E">
        <w:rPr>
          <w:rFonts w:ascii="Arial" w:hAnsi="Arial" w:cs="Arial"/>
          <w:sz w:val="22"/>
          <w:szCs w:val="22"/>
          <w:lang w:val="en-US"/>
        </w:rPr>
        <w:t>areas of concern</w:t>
      </w:r>
      <w:r>
        <w:rPr>
          <w:rFonts w:ascii="Arial" w:hAnsi="Arial" w:cs="Arial"/>
          <w:sz w:val="22"/>
          <w:szCs w:val="22"/>
          <w:lang w:val="en-US"/>
        </w:rPr>
        <w:t>, namely</w:t>
      </w:r>
      <w:r w:rsidR="00183388" w:rsidRPr="00C4300E">
        <w:rPr>
          <w:rFonts w:ascii="Arial" w:hAnsi="Arial" w:cs="Arial"/>
          <w:sz w:val="22"/>
          <w:szCs w:val="22"/>
          <w:lang w:val="en-US"/>
        </w:rPr>
        <w:t>: 1. Legal status of the Convention and legislative and institutional framework; 2. Traditional stereotypes; 3. Violence against women; 4. Education; 5. Health; 6. Disadvantaged groups of women. The report also provides a list of recommendations to be taken into account by the CEDAW Committee for the Concluding observations.</w:t>
      </w:r>
    </w:p>
    <w:p w:rsidR="003A08DC" w:rsidRDefault="003A08DC" w:rsidP="00183388">
      <w:pPr>
        <w:pStyle w:val="ListParagraph"/>
        <w:ind w:left="0"/>
        <w:jc w:val="both"/>
        <w:rPr>
          <w:rFonts w:ascii="Arial" w:hAnsi="Arial" w:cs="Arial"/>
          <w:sz w:val="22"/>
          <w:szCs w:val="22"/>
          <w:lang w:val="en-US"/>
        </w:rPr>
      </w:pPr>
    </w:p>
    <w:p w:rsidR="003A08DC" w:rsidRDefault="003A08DC" w:rsidP="00C14270">
      <w:pPr>
        <w:jc w:val="both"/>
        <w:rPr>
          <w:rFonts w:ascii="Arial" w:hAnsi="Arial" w:cs="Arial"/>
          <w:b/>
          <w:bCs/>
          <w:sz w:val="22"/>
          <w:szCs w:val="22"/>
          <w:lang w:val="en-US"/>
        </w:rPr>
      </w:pPr>
    </w:p>
    <w:p w:rsidR="003A08DC" w:rsidRDefault="003A08DC" w:rsidP="00C14270">
      <w:pPr>
        <w:jc w:val="both"/>
        <w:rPr>
          <w:rFonts w:ascii="Arial" w:hAnsi="Arial" w:cs="Arial"/>
          <w:b/>
          <w:bCs/>
          <w:sz w:val="22"/>
          <w:szCs w:val="22"/>
          <w:lang w:val="en-US"/>
        </w:rPr>
      </w:pPr>
    </w:p>
    <w:p w:rsidR="003A08DC" w:rsidRPr="00896760" w:rsidRDefault="003A08DC" w:rsidP="00C1427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І</w:t>
      </w:r>
      <w:r w:rsidR="00183388" w:rsidRPr="00896760">
        <w:rPr>
          <w:rFonts w:ascii="Arial" w:hAnsi="Arial" w:cs="Arial"/>
          <w:b/>
          <w:bCs/>
          <w:color w:val="C0504D" w:themeColor="accent2"/>
          <w:sz w:val="22"/>
          <w:szCs w:val="22"/>
          <w:lang w:val="en-US"/>
        </w:rPr>
        <w:t>. Legal status of the CEDAW</w:t>
      </w:r>
      <w:r w:rsidRPr="00896760">
        <w:rPr>
          <w:rFonts w:ascii="Arial" w:hAnsi="Arial" w:cs="Arial"/>
          <w:b/>
          <w:bCs/>
          <w:color w:val="C0504D" w:themeColor="accent2"/>
          <w:sz w:val="22"/>
          <w:szCs w:val="22"/>
          <w:lang w:val="en-US"/>
        </w:rPr>
        <w:t xml:space="preserve"> and legislative and institutional framework</w:t>
      </w:r>
    </w:p>
    <w:p w:rsidR="003A08DC" w:rsidRDefault="003A08DC" w:rsidP="00C14270">
      <w:pPr>
        <w:jc w:val="both"/>
        <w:rPr>
          <w:rFonts w:ascii="Arial" w:hAnsi="Arial" w:cs="Arial"/>
          <w:b/>
          <w:bCs/>
          <w:sz w:val="22"/>
          <w:szCs w:val="22"/>
          <w:lang w:val="en-US"/>
        </w:rPr>
      </w:pPr>
    </w:p>
    <w:p w:rsidR="0020007C" w:rsidRDefault="0020007C" w:rsidP="00C33447">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The CEDAW was ratified by the Republic of Bulgaria on 18.09.1981. It is in force since 10.03.1982. The Convention was published in the State gazette on 02.03.2010. The State </w:t>
      </w:r>
      <w:r w:rsidR="004D4B18">
        <w:rPr>
          <w:rFonts w:ascii="Arial" w:hAnsi="Arial" w:cs="Arial"/>
          <w:sz w:val="22"/>
          <w:szCs w:val="22"/>
          <w:lang w:val="en-US"/>
        </w:rPr>
        <w:t xml:space="preserve">signed </w:t>
      </w:r>
      <w:r>
        <w:rPr>
          <w:rFonts w:ascii="Arial" w:hAnsi="Arial" w:cs="Arial"/>
          <w:sz w:val="22"/>
          <w:szCs w:val="22"/>
          <w:lang w:val="en-US"/>
        </w:rPr>
        <w:t xml:space="preserve">the Optional Protocol to CEDAW on </w:t>
      </w:r>
      <w:r w:rsidR="004D4B18">
        <w:rPr>
          <w:rFonts w:ascii="Arial" w:hAnsi="Arial" w:cs="Arial"/>
          <w:sz w:val="22"/>
          <w:szCs w:val="22"/>
          <w:lang w:val="en-US"/>
        </w:rPr>
        <w:t>06.06.2000 and ratified it on 20.09.2006.</w:t>
      </w:r>
    </w:p>
    <w:p w:rsidR="00C33447" w:rsidRDefault="00C33447" w:rsidP="00C33447">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It is only through the general educational process when students acquire some knowledge as to the existence and the legal status of the Convention in the national legal system. As for the professional, random training on European and International human rights law, through gender equality and antidiscrimination projects, is provided </w:t>
      </w:r>
      <w:r w:rsidR="00BC0FD2">
        <w:rPr>
          <w:rFonts w:ascii="Arial" w:hAnsi="Arial" w:cs="Arial"/>
          <w:sz w:val="22"/>
          <w:szCs w:val="22"/>
          <w:lang w:val="en-US"/>
        </w:rPr>
        <w:t xml:space="preserve">only </w:t>
      </w:r>
      <w:r>
        <w:rPr>
          <w:rFonts w:ascii="Arial" w:hAnsi="Arial" w:cs="Arial"/>
          <w:sz w:val="22"/>
          <w:szCs w:val="22"/>
          <w:lang w:val="en-US"/>
        </w:rPr>
        <w:t xml:space="preserve">by the women’s human rights organizations. </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No specialized training has been organized on the Convention, its Optional protocol and its General recommendations. None of the General recommendations has ever been translated officially in Bulgarian language. The Views of the Committee under </w:t>
      </w:r>
      <w:r>
        <w:rPr>
          <w:rFonts w:ascii="Arial" w:hAnsi="Arial" w:cs="Arial"/>
          <w:i/>
          <w:iCs/>
          <w:sz w:val="22"/>
          <w:szCs w:val="22"/>
          <w:lang w:val="en-US"/>
        </w:rPr>
        <w:t xml:space="preserve">Communication </w:t>
      </w:r>
      <w:r w:rsidRPr="00183388">
        <w:rPr>
          <w:rFonts w:ascii="Arial" w:hAnsi="Arial" w:cs="Arial"/>
          <w:i/>
          <w:iCs/>
          <w:sz w:val="22"/>
          <w:szCs w:val="22"/>
          <w:lang w:val="en-US"/>
        </w:rPr>
        <w:t>No20/2008 – V.K. v. Bulgaria</w:t>
      </w:r>
      <w:r w:rsidRPr="00183388">
        <w:rPr>
          <w:rFonts w:ascii="Arial" w:hAnsi="Arial" w:cs="Arial"/>
          <w:i/>
          <w:sz w:val="22"/>
          <w:szCs w:val="22"/>
          <w:lang w:val="en-US"/>
        </w:rPr>
        <w:t xml:space="preserve">, </w:t>
      </w:r>
      <w:r w:rsidR="009E3368">
        <w:rPr>
          <w:rFonts w:ascii="Arial" w:hAnsi="Arial" w:cs="Arial"/>
          <w:i/>
          <w:sz w:val="22"/>
          <w:szCs w:val="22"/>
          <w:lang w:val="en-US"/>
        </w:rPr>
        <w:t>No</w:t>
      </w:r>
      <w:r w:rsidR="00183388" w:rsidRPr="00183388">
        <w:rPr>
          <w:rFonts w:ascii="Arial" w:hAnsi="Arial" w:cs="Arial"/>
          <w:i/>
          <w:sz w:val="22"/>
          <w:szCs w:val="22"/>
          <w:lang w:val="en-US"/>
        </w:rPr>
        <w:t>31/2011 – S.V.P. v. Bulgaria</w:t>
      </w:r>
      <w:r w:rsidR="00B73BEE">
        <w:rPr>
          <w:rFonts w:ascii="Arial" w:hAnsi="Arial" w:cs="Arial"/>
          <w:i/>
          <w:sz w:val="22"/>
          <w:szCs w:val="22"/>
          <w:lang w:val="en-US"/>
        </w:rPr>
        <w:t>,</w:t>
      </w:r>
      <w:r w:rsidR="00183388" w:rsidRPr="00183388">
        <w:rPr>
          <w:rFonts w:ascii="Arial" w:hAnsi="Arial" w:cs="Arial"/>
          <w:i/>
          <w:sz w:val="22"/>
          <w:szCs w:val="22"/>
          <w:lang w:val="en-US"/>
        </w:rPr>
        <w:t xml:space="preserve"> No32/2011 – </w:t>
      </w:r>
      <w:proofErr w:type="spellStart"/>
      <w:r w:rsidR="00183388" w:rsidRPr="00183388">
        <w:rPr>
          <w:rFonts w:ascii="Arial" w:hAnsi="Arial" w:cs="Arial"/>
          <w:i/>
          <w:sz w:val="22"/>
          <w:szCs w:val="22"/>
          <w:lang w:val="en-US"/>
        </w:rPr>
        <w:t>Isatou</w:t>
      </w:r>
      <w:proofErr w:type="spellEnd"/>
      <w:r w:rsidR="00183388" w:rsidRPr="00183388">
        <w:rPr>
          <w:rFonts w:ascii="Arial" w:hAnsi="Arial" w:cs="Arial"/>
          <w:i/>
          <w:sz w:val="22"/>
          <w:szCs w:val="22"/>
          <w:lang w:val="en-US"/>
        </w:rPr>
        <w:t xml:space="preserve"> </w:t>
      </w:r>
      <w:proofErr w:type="spellStart"/>
      <w:r w:rsidR="00183388" w:rsidRPr="00183388">
        <w:rPr>
          <w:rFonts w:ascii="Arial" w:hAnsi="Arial" w:cs="Arial"/>
          <w:i/>
          <w:sz w:val="22"/>
          <w:szCs w:val="22"/>
          <w:lang w:val="en-US"/>
        </w:rPr>
        <w:t>Jallow</w:t>
      </w:r>
      <w:proofErr w:type="spellEnd"/>
      <w:r w:rsidR="00926D46">
        <w:rPr>
          <w:rFonts w:ascii="Arial" w:hAnsi="Arial" w:cs="Arial"/>
          <w:i/>
          <w:sz w:val="22"/>
          <w:szCs w:val="22"/>
          <w:lang w:val="en-US"/>
        </w:rPr>
        <w:t xml:space="preserve"> v. Bulgaria</w:t>
      </w:r>
      <w:r w:rsidR="00B73BEE">
        <w:rPr>
          <w:rFonts w:ascii="Arial" w:hAnsi="Arial" w:cs="Arial"/>
          <w:i/>
          <w:sz w:val="22"/>
          <w:szCs w:val="22"/>
          <w:lang w:val="en-US"/>
        </w:rPr>
        <w:t xml:space="preserve"> </w:t>
      </w:r>
      <w:r w:rsidR="00B73BEE">
        <w:rPr>
          <w:rFonts w:ascii="Arial" w:hAnsi="Arial" w:cs="Arial"/>
          <w:sz w:val="22"/>
          <w:szCs w:val="22"/>
          <w:lang w:val="en-US"/>
        </w:rPr>
        <w:t xml:space="preserve">and </w:t>
      </w:r>
      <w:r w:rsidR="00B73BEE">
        <w:rPr>
          <w:rFonts w:ascii="Arial" w:hAnsi="Arial" w:cs="Arial"/>
          <w:i/>
          <w:sz w:val="22"/>
          <w:szCs w:val="22"/>
          <w:lang w:val="en-US"/>
        </w:rPr>
        <w:t xml:space="preserve">No99/2016 – S.L. v. </w:t>
      </w:r>
      <w:proofErr w:type="gramStart"/>
      <w:r w:rsidR="00B73BEE">
        <w:rPr>
          <w:rFonts w:ascii="Arial" w:hAnsi="Arial" w:cs="Arial"/>
          <w:i/>
          <w:sz w:val="22"/>
          <w:szCs w:val="22"/>
          <w:lang w:val="en-US"/>
        </w:rPr>
        <w:t>Bulgaria</w:t>
      </w:r>
      <w:r w:rsidR="00183388">
        <w:rPr>
          <w:rFonts w:ascii="Arial" w:hAnsi="Arial" w:cs="Arial"/>
          <w:sz w:val="22"/>
          <w:szCs w:val="22"/>
          <w:lang w:val="en-US"/>
        </w:rPr>
        <w:t>,</w:t>
      </w:r>
      <w:proofErr w:type="gramEnd"/>
      <w:r w:rsidR="00183388">
        <w:rPr>
          <w:rFonts w:ascii="Arial" w:hAnsi="Arial" w:cs="Arial"/>
          <w:sz w:val="22"/>
          <w:szCs w:val="22"/>
          <w:lang w:val="en-US"/>
        </w:rPr>
        <w:t xml:space="preserve"> </w:t>
      </w:r>
      <w:r>
        <w:rPr>
          <w:rFonts w:ascii="Arial" w:hAnsi="Arial" w:cs="Arial"/>
          <w:sz w:val="22"/>
          <w:szCs w:val="22"/>
          <w:lang w:val="en-US"/>
        </w:rPr>
        <w:t>have not been translated as well.</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No information is available as to which Bulgarian authority is responsible for the implementation of the Convention; no mechanism for implementation and the Committee’s recommendations in general, and under </w:t>
      </w:r>
      <w:r w:rsidR="00C33447">
        <w:rPr>
          <w:rFonts w:ascii="Arial" w:hAnsi="Arial" w:cs="Arial"/>
          <w:i/>
          <w:iCs/>
          <w:sz w:val="22"/>
          <w:szCs w:val="22"/>
          <w:lang w:val="en-US"/>
        </w:rPr>
        <w:t xml:space="preserve">Communication </w:t>
      </w:r>
      <w:r w:rsidR="00C33447" w:rsidRPr="00183388">
        <w:rPr>
          <w:rFonts w:ascii="Arial" w:hAnsi="Arial" w:cs="Arial"/>
          <w:i/>
          <w:iCs/>
          <w:sz w:val="22"/>
          <w:szCs w:val="22"/>
          <w:lang w:val="en-US"/>
        </w:rPr>
        <w:t>No20/2008 – V.K. v. Bulgaria</w:t>
      </w:r>
      <w:r w:rsidR="00C33447" w:rsidRPr="00183388">
        <w:rPr>
          <w:rFonts w:ascii="Arial" w:hAnsi="Arial" w:cs="Arial"/>
          <w:i/>
          <w:sz w:val="22"/>
          <w:szCs w:val="22"/>
          <w:lang w:val="en-US"/>
        </w:rPr>
        <w:t>, NO31/2011 – S.V.P. v. Bulgaria</w:t>
      </w:r>
      <w:r w:rsidR="00B73BEE">
        <w:rPr>
          <w:rFonts w:ascii="Arial" w:hAnsi="Arial" w:cs="Arial"/>
          <w:i/>
          <w:sz w:val="22"/>
          <w:szCs w:val="22"/>
          <w:lang w:val="en-US"/>
        </w:rPr>
        <w:t>,</w:t>
      </w:r>
      <w:r w:rsidR="00C33447" w:rsidRPr="00183388">
        <w:rPr>
          <w:rFonts w:ascii="Arial" w:hAnsi="Arial" w:cs="Arial"/>
          <w:i/>
          <w:sz w:val="22"/>
          <w:szCs w:val="22"/>
          <w:lang w:val="en-US"/>
        </w:rPr>
        <w:t xml:space="preserve"> No32/2011 – </w:t>
      </w:r>
      <w:proofErr w:type="spellStart"/>
      <w:r w:rsidR="00C33447" w:rsidRPr="00183388">
        <w:rPr>
          <w:rFonts w:ascii="Arial" w:hAnsi="Arial" w:cs="Arial"/>
          <w:i/>
          <w:sz w:val="22"/>
          <w:szCs w:val="22"/>
          <w:lang w:val="en-US"/>
        </w:rPr>
        <w:t>Isatou</w:t>
      </w:r>
      <w:proofErr w:type="spellEnd"/>
      <w:r w:rsidR="00C33447" w:rsidRPr="00183388">
        <w:rPr>
          <w:rFonts w:ascii="Arial" w:hAnsi="Arial" w:cs="Arial"/>
          <w:i/>
          <w:sz w:val="22"/>
          <w:szCs w:val="22"/>
          <w:lang w:val="en-US"/>
        </w:rPr>
        <w:t xml:space="preserve"> </w:t>
      </w:r>
      <w:proofErr w:type="spellStart"/>
      <w:r w:rsidR="00C33447" w:rsidRPr="00183388">
        <w:rPr>
          <w:rFonts w:ascii="Arial" w:hAnsi="Arial" w:cs="Arial"/>
          <w:i/>
          <w:sz w:val="22"/>
          <w:szCs w:val="22"/>
          <w:lang w:val="en-US"/>
        </w:rPr>
        <w:t>Jallow</w:t>
      </w:r>
      <w:proofErr w:type="spellEnd"/>
      <w:r w:rsidR="00C33447">
        <w:rPr>
          <w:rFonts w:ascii="Arial" w:hAnsi="Arial" w:cs="Arial"/>
          <w:i/>
          <w:sz w:val="22"/>
          <w:szCs w:val="22"/>
          <w:lang w:val="en-US"/>
        </w:rPr>
        <w:t xml:space="preserve"> v. Bulgaria</w:t>
      </w:r>
      <w:r w:rsidR="00B73BEE" w:rsidRPr="00B73BEE">
        <w:rPr>
          <w:rFonts w:ascii="Arial" w:hAnsi="Arial" w:cs="Arial"/>
          <w:sz w:val="22"/>
          <w:szCs w:val="22"/>
          <w:lang w:val="en-US"/>
        </w:rPr>
        <w:t xml:space="preserve"> </w:t>
      </w:r>
      <w:r w:rsidR="00B73BEE">
        <w:rPr>
          <w:rFonts w:ascii="Arial" w:hAnsi="Arial" w:cs="Arial"/>
          <w:sz w:val="22"/>
          <w:szCs w:val="22"/>
          <w:lang w:val="en-US"/>
        </w:rPr>
        <w:t xml:space="preserve">and </w:t>
      </w:r>
      <w:r w:rsidR="00B73BEE">
        <w:rPr>
          <w:rFonts w:ascii="Arial" w:hAnsi="Arial" w:cs="Arial"/>
          <w:i/>
          <w:sz w:val="22"/>
          <w:szCs w:val="22"/>
          <w:lang w:val="en-US"/>
        </w:rPr>
        <w:t>No99/2016 – S.L. v. Bulgaria</w:t>
      </w:r>
      <w:r w:rsidR="00C33447">
        <w:rPr>
          <w:rFonts w:ascii="Arial" w:hAnsi="Arial" w:cs="Arial"/>
          <w:sz w:val="22"/>
          <w:szCs w:val="22"/>
          <w:lang w:val="en-US"/>
        </w:rPr>
        <w:t xml:space="preserve"> </w:t>
      </w:r>
      <w:r>
        <w:rPr>
          <w:rFonts w:ascii="Arial" w:hAnsi="Arial" w:cs="Arial"/>
          <w:sz w:val="22"/>
          <w:szCs w:val="22"/>
          <w:lang w:val="en-US"/>
        </w:rPr>
        <w:t>in particular, exists in the State party; no State will is expressed in order to create such, thus to ensure the implementation of the Convention itself.</w:t>
      </w:r>
    </w:p>
    <w:p w:rsidR="003A08DC" w:rsidRDefault="003A08DC" w:rsidP="00C14270">
      <w:pPr>
        <w:pStyle w:val="ListParagraph"/>
        <w:ind w:left="0"/>
        <w:jc w:val="both"/>
        <w:rPr>
          <w:rFonts w:ascii="Arial" w:hAnsi="Arial" w:cs="Arial"/>
          <w:sz w:val="22"/>
          <w:szCs w:val="22"/>
          <w:lang w:val="en-US"/>
        </w:rPr>
      </w:pPr>
    </w:p>
    <w:p w:rsidR="003A08DC" w:rsidRPr="00896760" w:rsidRDefault="003A08DC" w:rsidP="00C1427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ІІ</w:t>
      </w:r>
      <w:r w:rsidRPr="00896760">
        <w:rPr>
          <w:rFonts w:ascii="Arial" w:hAnsi="Arial" w:cs="Arial"/>
          <w:b/>
          <w:bCs/>
          <w:color w:val="C0504D" w:themeColor="accent2"/>
          <w:sz w:val="22"/>
          <w:szCs w:val="22"/>
          <w:lang w:val="en-US"/>
        </w:rPr>
        <w:t>. Traditional stereotypes</w:t>
      </w:r>
    </w:p>
    <w:p w:rsidR="003A08DC" w:rsidRDefault="003A08DC" w:rsidP="00C14270">
      <w:pPr>
        <w:jc w:val="both"/>
        <w:rPr>
          <w:rFonts w:ascii="Arial" w:hAnsi="Arial" w:cs="Arial"/>
          <w:b/>
          <w:bCs/>
          <w:sz w:val="22"/>
          <w:szCs w:val="22"/>
          <w:lang w:val="en-US"/>
        </w:rPr>
      </w:pP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There is lack of a State adopted</w:t>
      </w:r>
      <w:r>
        <w:rPr>
          <w:rFonts w:ascii="Arial" w:hAnsi="Arial" w:cs="Arial"/>
          <w:sz w:val="22"/>
          <w:szCs w:val="22"/>
        </w:rPr>
        <w:t xml:space="preserve"> comprehensive approach to overcome traditional stereotypes regarding the roles of women in family and society, including political, legal and awareness-raising measures involving state officials and civil society</w:t>
      </w:r>
      <w:r>
        <w:rPr>
          <w:rFonts w:ascii="Arial" w:hAnsi="Arial" w:cs="Arial"/>
          <w:sz w:val="22"/>
          <w:szCs w:val="22"/>
          <w:lang w:val="en-US"/>
        </w:rPr>
        <w:t xml:space="preserve"> as well as the M</w:t>
      </w:r>
      <w:r>
        <w:rPr>
          <w:rFonts w:ascii="Arial" w:hAnsi="Arial" w:cs="Arial"/>
          <w:sz w:val="22"/>
          <w:szCs w:val="22"/>
        </w:rPr>
        <w:t>edia</w:t>
      </w:r>
      <w:r>
        <w:rPr>
          <w:rFonts w:ascii="Arial" w:hAnsi="Arial" w:cs="Arial"/>
          <w:sz w:val="22"/>
          <w:szCs w:val="22"/>
          <w:lang w:val="en-US"/>
        </w:rPr>
        <w:t xml:space="preserve">. </w:t>
      </w:r>
    </w:p>
    <w:p w:rsidR="003A08DC" w:rsidRDefault="003A08DC" w:rsidP="00C14270">
      <w:pPr>
        <w:pStyle w:val="BodyTextIndent"/>
        <w:numPr>
          <w:ilvl w:val="0"/>
          <w:numId w:val="6"/>
        </w:numPr>
        <w:spacing w:after="0"/>
        <w:ind w:left="0"/>
        <w:jc w:val="both"/>
        <w:rPr>
          <w:rFonts w:ascii="Arial" w:hAnsi="Arial" w:cs="Arial"/>
          <w:sz w:val="22"/>
          <w:szCs w:val="22"/>
          <w:lang w:val="en-US"/>
        </w:rPr>
      </w:pPr>
      <w:r>
        <w:rPr>
          <w:rFonts w:ascii="Arial" w:hAnsi="Arial" w:cs="Arial"/>
          <w:sz w:val="22"/>
          <w:szCs w:val="22"/>
        </w:rPr>
        <w:t xml:space="preserve">Violence against women is a form of discrimination against women which is most related to cultural stereotypes. It is among the strongest expressions of gender stereotypes and </w:t>
      </w:r>
      <w:r>
        <w:rPr>
          <w:rFonts w:ascii="Arial" w:hAnsi="Arial" w:cs="Arial"/>
          <w:sz w:val="22"/>
          <w:szCs w:val="22"/>
          <w:lang w:val="en-US"/>
        </w:rPr>
        <w:t>at</w:t>
      </w:r>
      <w:r>
        <w:rPr>
          <w:rFonts w:ascii="Arial" w:hAnsi="Arial" w:cs="Arial"/>
          <w:sz w:val="22"/>
          <w:szCs w:val="22"/>
        </w:rPr>
        <w:t xml:space="preserve"> the same time is the tool used to maintain the defined roles of men and women in society. </w:t>
      </w:r>
      <w:r>
        <w:rPr>
          <w:rFonts w:ascii="Arial" w:hAnsi="Arial" w:cs="Arial"/>
          <w:sz w:val="22"/>
          <w:szCs w:val="22"/>
        </w:rPr>
        <w:lastRenderedPageBreak/>
        <w:t xml:space="preserve">Therefore, the position of women in the family is the expression of the role attributed to them in </w:t>
      </w:r>
      <w:r>
        <w:rPr>
          <w:rFonts w:ascii="Arial" w:hAnsi="Arial" w:cs="Arial"/>
          <w:sz w:val="22"/>
          <w:szCs w:val="22"/>
          <w:lang w:val="en-US"/>
        </w:rPr>
        <w:t xml:space="preserve">the </w:t>
      </w:r>
      <w:r>
        <w:rPr>
          <w:rFonts w:ascii="Arial" w:hAnsi="Arial" w:cs="Arial"/>
          <w:sz w:val="22"/>
          <w:szCs w:val="22"/>
        </w:rPr>
        <w:t xml:space="preserve">society. </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The Protection against Domestic Violence Act </w:t>
      </w:r>
      <w:r w:rsidR="00302D92">
        <w:rPr>
          <w:rFonts w:ascii="Arial" w:hAnsi="Arial" w:cs="Arial"/>
          <w:sz w:val="22"/>
          <w:szCs w:val="22"/>
          <w:lang w:val="en-US"/>
        </w:rPr>
        <w:t xml:space="preserve">(PDVA) </w:t>
      </w:r>
      <w:r>
        <w:rPr>
          <w:rFonts w:ascii="Arial" w:hAnsi="Arial" w:cs="Arial"/>
          <w:sz w:val="22"/>
          <w:szCs w:val="22"/>
          <w:lang w:val="en-US"/>
        </w:rPr>
        <w:t>does not recognize domestic violence as a gender-based violence which constitutes discrimination against women; the law does not recognize that domestic violence affects women in Bulgaria disproportionately and lessens and nullifies women’s enjoyment of their human rights. Some of the procedures and norms of the Law contribute in practice to the perpetuation of this phenomenon by not treating it according to its specificity and according to the international law requirements.</w:t>
      </w:r>
    </w:p>
    <w:p w:rsidR="003A08DC" w:rsidRDefault="003A08DC" w:rsidP="00C14270">
      <w:pPr>
        <w:pStyle w:val="BodyTextIndent"/>
        <w:numPr>
          <w:ilvl w:val="0"/>
          <w:numId w:val="6"/>
        </w:numPr>
        <w:spacing w:after="0"/>
        <w:ind w:left="0"/>
        <w:jc w:val="both"/>
        <w:rPr>
          <w:rFonts w:ascii="Arial" w:hAnsi="Arial" w:cs="Arial"/>
          <w:sz w:val="22"/>
          <w:szCs w:val="22"/>
          <w:lang w:val="en-US"/>
        </w:rPr>
      </w:pPr>
      <w:r>
        <w:rPr>
          <w:rFonts w:ascii="Arial" w:hAnsi="Arial" w:cs="Arial"/>
          <w:sz w:val="22"/>
          <w:szCs w:val="22"/>
        </w:rPr>
        <w:t>The</w:t>
      </w:r>
      <w:r>
        <w:rPr>
          <w:rFonts w:ascii="Arial" w:hAnsi="Arial" w:cs="Arial"/>
          <w:sz w:val="22"/>
          <w:szCs w:val="22"/>
          <w:lang w:val="en-US"/>
        </w:rPr>
        <w:t xml:space="preserve"> implementation of the PDVA</w:t>
      </w:r>
      <w:r>
        <w:rPr>
          <w:rFonts w:ascii="Arial" w:hAnsi="Arial" w:cs="Arial"/>
          <w:sz w:val="22"/>
          <w:szCs w:val="22"/>
        </w:rPr>
        <w:t xml:space="preserve"> in </w:t>
      </w:r>
      <w:r>
        <w:rPr>
          <w:rFonts w:ascii="Arial" w:hAnsi="Arial" w:cs="Arial"/>
          <w:sz w:val="22"/>
          <w:szCs w:val="22"/>
          <w:lang w:val="en-US"/>
        </w:rPr>
        <w:t>Bulgaria very often</w:t>
      </w:r>
      <w:r>
        <w:rPr>
          <w:rFonts w:ascii="Arial" w:hAnsi="Arial" w:cs="Arial"/>
          <w:sz w:val="22"/>
          <w:szCs w:val="22"/>
        </w:rPr>
        <w:t xml:space="preserve"> affirms the unequal position of women in society and, subsequently, in the family. The legal form is one of the main expressions of the social practice, the expression of the real relations of inequality of the two sexes. Law defines the character and creates the institutions of the social relations in the frame of which </w:t>
      </w:r>
      <w:r>
        <w:rPr>
          <w:rFonts w:ascii="Arial" w:hAnsi="Arial" w:cs="Arial"/>
          <w:sz w:val="22"/>
          <w:szCs w:val="22"/>
          <w:lang w:val="en-US"/>
        </w:rPr>
        <w:t xml:space="preserve">men and women act, </w:t>
      </w:r>
      <w:r>
        <w:rPr>
          <w:rFonts w:ascii="Arial" w:hAnsi="Arial" w:cs="Arial"/>
          <w:sz w:val="22"/>
          <w:szCs w:val="22"/>
        </w:rPr>
        <w:t>the family acts. The legal system continuously reproduces a concrete ideological concept of the relations between the two sexes which can be defined</w:t>
      </w:r>
      <w:r>
        <w:rPr>
          <w:rFonts w:ascii="Arial" w:hAnsi="Arial" w:cs="Arial"/>
          <w:sz w:val="22"/>
          <w:szCs w:val="22"/>
          <w:lang w:val="en-US"/>
        </w:rPr>
        <w:t xml:space="preserve"> as patriarchal ideology.</w:t>
      </w:r>
    </w:p>
    <w:p w:rsidR="003A08DC" w:rsidRDefault="00302D92" w:rsidP="00C14270">
      <w:pPr>
        <w:pStyle w:val="ListParagraph"/>
        <w:numPr>
          <w:ilvl w:val="0"/>
          <w:numId w:val="6"/>
        </w:numPr>
        <w:ind w:left="0"/>
        <w:jc w:val="both"/>
        <w:rPr>
          <w:rFonts w:ascii="Arial" w:hAnsi="Arial" w:cs="Arial"/>
          <w:sz w:val="22"/>
          <w:szCs w:val="22"/>
          <w:lang w:val="en-GB"/>
        </w:rPr>
      </w:pPr>
      <w:r>
        <w:rPr>
          <w:rFonts w:ascii="Arial" w:hAnsi="Arial" w:cs="Arial"/>
          <w:sz w:val="22"/>
          <w:szCs w:val="22"/>
          <w:lang w:val="en-GB"/>
        </w:rPr>
        <w:t>T</w:t>
      </w:r>
      <w:r w:rsidR="003A08DC">
        <w:rPr>
          <w:rFonts w:ascii="Arial" w:hAnsi="Arial" w:cs="Arial"/>
          <w:sz w:val="22"/>
          <w:szCs w:val="22"/>
          <w:lang w:val="en-US"/>
        </w:rPr>
        <w:t xml:space="preserve">he Commission for Protection against Discrimination admitted that the stereotypes, deeply-rooted in the society, are often a serious obstacle for achieving equality between the sexes and stated that in many cases, the seemingly not harmful stereotyped behavior illustrates women and men as incapable and creates negative image leading to violation of their dignity and fundamental human rights, its practice </w:t>
      </w:r>
      <w:r w:rsidR="003A08DC">
        <w:rPr>
          <w:rFonts w:ascii="Arial" w:hAnsi="Arial" w:cs="Arial"/>
          <w:sz w:val="22"/>
          <w:szCs w:val="22"/>
          <w:lang w:val="en-GB"/>
        </w:rPr>
        <w:t>proves that women cannot expect change in the social mentality soon and cannot rely on both the national courts and the commission their rights to non-discrimination to be effectively protected.</w:t>
      </w:r>
    </w:p>
    <w:p w:rsidR="00302D92" w:rsidRDefault="00302D92" w:rsidP="00302D92">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Specific legislation on gender equality was adopted by the Bulgarian Parliament on 26.04.2016 due to the human rights NGOs efforts and the recommendations of the CEDAW Committee, the Human Rights Committee and those under the Universal Periodic Review mechanism. However, the legislation only affirms the existing structure of gender equality which requires all the institutions to draft and implement gender equality policies but no gender equality body is created in order to protect the rights and interests of the victims of gender based discrimination, no sanctions are provided in case of failure to draft and implement gender equality policies and no finances are provided in order to effectively implement the law.</w:t>
      </w:r>
    </w:p>
    <w:p w:rsidR="00302D92" w:rsidRDefault="00302D92" w:rsidP="00302D92">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Victims of gender based discrimination do not often address their cases to the national courts and the Commission for Protection against Discrimination. In fact, they rarely seek judicial redress for the violations they suffer because of the well-known deficiencies </w:t>
      </w:r>
      <w:r w:rsidR="000C2534">
        <w:rPr>
          <w:rFonts w:ascii="Arial" w:hAnsi="Arial" w:cs="Arial"/>
          <w:sz w:val="22"/>
          <w:szCs w:val="22"/>
          <w:lang w:val="en-US"/>
        </w:rPr>
        <w:t>of the legal system in Bulgaria</w:t>
      </w:r>
      <w:r>
        <w:rPr>
          <w:rFonts w:ascii="Arial" w:hAnsi="Arial" w:cs="Arial"/>
          <w:sz w:val="22"/>
          <w:szCs w:val="22"/>
          <w:lang w:val="en-US"/>
        </w:rPr>
        <w:t>.</w:t>
      </w:r>
    </w:p>
    <w:p w:rsidR="003A08DC" w:rsidRDefault="003A08DC" w:rsidP="00C14270">
      <w:pPr>
        <w:jc w:val="both"/>
        <w:rPr>
          <w:rFonts w:ascii="Arial" w:hAnsi="Arial" w:cs="Arial"/>
          <w:sz w:val="22"/>
          <w:szCs w:val="22"/>
          <w:lang w:val="en-US"/>
        </w:rPr>
      </w:pPr>
    </w:p>
    <w:p w:rsidR="00D11D90" w:rsidRPr="00896760" w:rsidRDefault="003A08DC" w:rsidP="00D11D9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ІІІ</w:t>
      </w:r>
      <w:r w:rsidRPr="00896760">
        <w:rPr>
          <w:rFonts w:ascii="Arial" w:hAnsi="Arial" w:cs="Arial"/>
          <w:b/>
          <w:bCs/>
          <w:color w:val="C0504D" w:themeColor="accent2"/>
          <w:sz w:val="22"/>
          <w:szCs w:val="22"/>
          <w:lang w:val="en-US"/>
        </w:rPr>
        <w:t>. Violence against women</w:t>
      </w:r>
    </w:p>
    <w:p w:rsidR="00AF74E8" w:rsidRDefault="00AF74E8" w:rsidP="00D11D90">
      <w:pPr>
        <w:jc w:val="both"/>
        <w:rPr>
          <w:rFonts w:ascii="Arial" w:hAnsi="Arial" w:cs="Arial"/>
          <w:b/>
          <w:bCs/>
          <w:sz w:val="22"/>
          <w:szCs w:val="22"/>
          <w:lang w:val="en-US"/>
        </w:rPr>
      </w:pPr>
    </w:p>
    <w:p w:rsidR="00786626" w:rsidRDefault="00F51B46" w:rsidP="00786626">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The Convention on preventing and combating all forms of violence against women, including domestic violence (the Istanbul Convention) was approved by the Bulgarian </w:t>
      </w:r>
      <w:r w:rsidR="00C272FF">
        <w:rPr>
          <w:rFonts w:ascii="Arial" w:hAnsi="Arial" w:cs="Arial"/>
          <w:sz w:val="22"/>
          <w:szCs w:val="22"/>
          <w:lang w:val="en-US"/>
        </w:rPr>
        <w:t>government</w:t>
      </w:r>
      <w:r>
        <w:rPr>
          <w:rFonts w:ascii="Arial" w:hAnsi="Arial" w:cs="Arial"/>
          <w:sz w:val="22"/>
          <w:szCs w:val="22"/>
          <w:lang w:val="en-US"/>
        </w:rPr>
        <w:t xml:space="preserve"> in January 2018, but the plan to pass it for ratification </w:t>
      </w:r>
      <w:r w:rsidR="00C272FF">
        <w:rPr>
          <w:rFonts w:ascii="Arial" w:hAnsi="Arial" w:cs="Arial"/>
          <w:sz w:val="22"/>
          <w:szCs w:val="22"/>
          <w:lang w:val="en-US"/>
        </w:rPr>
        <w:t xml:space="preserve">in Parliament stumbled following criticism from the United Patriots Coalition, the Bulgarian Socialist Party and the Orthodox church. </w:t>
      </w:r>
      <w:r w:rsidR="00786626">
        <w:rPr>
          <w:rFonts w:ascii="Arial" w:hAnsi="Arial" w:cs="Arial"/>
          <w:sz w:val="22"/>
          <w:szCs w:val="22"/>
          <w:lang w:val="en-US"/>
        </w:rPr>
        <w:t xml:space="preserve">On 27.07.2018, the Bulgarian Constitutional Court voted to declare </w:t>
      </w:r>
      <w:r w:rsidR="00C272FF">
        <w:rPr>
          <w:rFonts w:ascii="Arial" w:hAnsi="Arial" w:cs="Arial"/>
          <w:sz w:val="22"/>
          <w:szCs w:val="22"/>
          <w:lang w:val="en-US"/>
        </w:rPr>
        <w:t xml:space="preserve">the Convention </w:t>
      </w:r>
      <w:r w:rsidR="00786626">
        <w:rPr>
          <w:rFonts w:ascii="Arial" w:hAnsi="Arial" w:cs="Arial"/>
          <w:sz w:val="22"/>
          <w:szCs w:val="22"/>
          <w:lang w:val="en-US"/>
        </w:rPr>
        <w:t xml:space="preserve">unconstitutional. </w:t>
      </w:r>
      <w:r w:rsidR="00F84BF9">
        <w:rPr>
          <w:rFonts w:ascii="Arial" w:hAnsi="Arial" w:cs="Arial"/>
          <w:sz w:val="22"/>
          <w:szCs w:val="22"/>
          <w:lang w:val="en-US"/>
        </w:rPr>
        <w:t>In Bulgaria, the Convention critics claim that the Council of Europe document is a Trojan horse aimed at introducing a “third sex” and same-sex marriage.</w:t>
      </w:r>
    </w:p>
    <w:p w:rsidR="00D11D90" w:rsidRPr="00D11D90" w:rsidRDefault="00D11D90" w:rsidP="00D11D90">
      <w:pPr>
        <w:jc w:val="both"/>
        <w:rPr>
          <w:rFonts w:ascii="Arial" w:hAnsi="Arial" w:cs="Arial"/>
          <w:b/>
          <w:bCs/>
          <w:sz w:val="22"/>
          <w:szCs w:val="22"/>
          <w:lang w:val="en-US"/>
        </w:rPr>
      </w:pPr>
    </w:p>
    <w:p w:rsidR="003A08DC" w:rsidRPr="00896760" w:rsidRDefault="003A08DC" w:rsidP="00C14270">
      <w:pPr>
        <w:pStyle w:val="ListParagraph"/>
        <w:numPr>
          <w:ilvl w:val="0"/>
          <w:numId w:val="7"/>
        </w:numPr>
        <w:ind w:left="0"/>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en-US"/>
        </w:rPr>
        <w:t>Domestic violence</w:t>
      </w:r>
    </w:p>
    <w:p w:rsidR="00AF74E8" w:rsidRDefault="00AF74E8" w:rsidP="00AF74E8">
      <w:pPr>
        <w:pStyle w:val="ListParagraph"/>
        <w:ind w:left="0"/>
        <w:jc w:val="both"/>
        <w:rPr>
          <w:rFonts w:ascii="Arial" w:hAnsi="Arial" w:cs="Arial"/>
          <w:b/>
          <w:bCs/>
          <w:sz w:val="22"/>
          <w:szCs w:val="22"/>
          <w:lang w:val="en-US"/>
        </w:rPr>
      </w:pPr>
    </w:p>
    <w:p w:rsidR="008529CF" w:rsidRDefault="008529CF"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According to the Annual human rights report</w:t>
      </w:r>
      <w:r w:rsidR="00F01AC3">
        <w:rPr>
          <w:rFonts w:ascii="Arial" w:hAnsi="Arial" w:cs="Arial"/>
          <w:sz w:val="22"/>
          <w:szCs w:val="22"/>
          <w:lang w:val="en-US"/>
        </w:rPr>
        <w:t>s</w:t>
      </w:r>
      <w:r>
        <w:rPr>
          <w:rFonts w:ascii="Arial" w:hAnsi="Arial" w:cs="Arial"/>
          <w:sz w:val="22"/>
          <w:szCs w:val="22"/>
          <w:lang w:val="en-US"/>
        </w:rPr>
        <w:t xml:space="preserve"> of the Bulgarian Helsinki Committee, 29 women were killed</w:t>
      </w:r>
      <w:r w:rsidR="00F01AC3">
        <w:rPr>
          <w:rFonts w:ascii="Arial" w:hAnsi="Arial" w:cs="Arial"/>
          <w:sz w:val="22"/>
          <w:szCs w:val="22"/>
          <w:lang w:val="en-US"/>
        </w:rPr>
        <w:t xml:space="preserve"> in 2017 as victims of domestic violence and 35 women were killed in 2018 as victims of domestic violence</w:t>
      </w:r>
      <w:r>
        <w:rPr>
          <w:rFonts w:ascii="Arial" w:hAnsi="Arial" w:cs="Arial"/>
          <w:sz w:val="22"/>
          <w:szCs w:val="22"/>
          <w:lang w:val="en-US"/>
        </w:rPr>
        <w:t xml:space="preserve">. </w:t>
      </w:r>
      <w:r w:rsidR="00F01AC3">
        <w:rPr>
          <w:rFonts w:ascii="Arial" w:hAnsi="Arial" w:cs="Arial"/>
          <w:sz w:val="22"/>
          <w:szCs w:val="22"/>
          <w:lang w:val="en-US"/>
        </w:rPr>
        <w:t>More than 90</w:t>
      </w:r>
      <w:r>
        <w:rPr>
          <w:rFonts w:ascii="Arial" w:hAnsi="Arial" w:cs="Arial"/>
          <w:sz w:val="22"/>
          <w:szCs w:val="22"/>
          <w:lang w:val="en-US"/>
        </w:rPr>
        <w:t>% of them were killed by their male partners or relatives. Half of them sought support by the State.</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Under the Penal Code, domestic violence is still not</w:t>
      </w:r>
      <w:r w:rsidR="00F01AC3">
        <w:rPr>
          <w:rFonts w:ascii="Arial" w:hAnsi="Arial" w:cs="Arial"/>
          <w:sz w:val="22"/>
          <w:szCs w:val="22"/>
          <w:lang w:val="en-US"/>
        </w:rPr>
        <w:t xml:space="preserve"> properly</w:t>
      </w:r>
      <w:r>
        <w:rPr>
          <w:rFonts w:ascii="Arial" w:hAnsi="Arial" w:cs="Arial"/>
          <w:sz w:val="22"/>
          <w:szCs w:val="22"/>
          <w:lang w:val="en-US"/>
        </w:rPr>
        <w:t xml:space="preserve"> recognized as a separate crime.</w:t>
      </w:r>
      <w:r w:rsidR="00F01AC3">
        <w:rPr>
          <w:rFonts w:ascii="Arial" w:hAnsi="Arial" w:cs="Arial"/>
          <w:sz w:val="22"/>
          <w:szCs w:val="22"/>
          <w:lang w:val="en-US"/>
        </w:rPr>
        <w:t xml:space="preserve"> Amendments were introduced in February 2019 but there is a legal requirement for more </w:t>
      </w:r>
      <w:r w:rsidR="00F01AC3">
        <w:rPr>
          <w:rFonts w:ascii="Arial" w:hAnsi="Arial" w:cs="Arial"/>
          <w:sz w:val="22"/>
          <w:szCs w:val="22"/>
          <w:lang w:val="en-US"/>
        </w:rPr>
        <w:lastRenderedPageBreak/>
        <w:t>than two acts of domestic violence to be committed before having the right to initiate a criminal case against the perpetrator. In reality, the State is complicit in the perpetuation of the situation of domestic violence against women.</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Rape in a fa</w:t>
      </w:r>
      <w:r w:rsidR="00F01AC3">
        <w:rPr>
          <w:rFonts w:ascii="Arial" w:hAnsi="Arial" w:cs="Arial"/>
          <w:sz w:val="22"/>
          <w:szCs w:val="22"/>
          <w:lang w:val="en-US"/>
        </w:rPr>
        <w:t>mily context is not properly</w:t>
      </w:r>
      <w:r>
        <w:rPr>
          <w:rFonts w:ascii="Arial" w:hAnsi="Arial" w:cs="Arial"/>
          <w:sz w:val="22"/>
          <w:szCs w:val="22"/>
          <w:lang w:val="en-US"/>
        </w:rPr>
        <w:t xml:space="preserve"> recognized as a crime, thus no special support is offered for the women victims of rape, including counseling and rehabilitation.</w:t>
      </w:r>
    </w:p>
    <w:p w:rsidR="00F01AC3" w:rsidRDefault="00F01AC3" w:rsidP="00F01AC3">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Stalking is not properly criminalized in the Republic of Bulgaria.</w:t>
      </w:r>
    </w:p>
    <w:p w:rsidR="00F01AC3" w:rsidRDefault="00F01AC3" w:rsidP="00F01AC3">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Psycho-social domestic violence is not criminalized in the Republic of Bulgaria.</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According to A</w:t>
      </w:r>
      <w:r>
        <w:rPr>
          <w:rFonts w:ascii="Arial" w:hAnsi="Arial" w:cs="Arial"/>
          <w:sz w:val="22"/>
          <w:szCs w:val="22"/>
        </w:rPr>
        <w:t>rticle 161</w:t>
      </w:r>
      <w:r>
        <w:rPr>
          <w:rFonts w:ascii="Arial" w:hAnsi="Arial" w:cs="Arial"/>
          <w:sz w:val="22"/>
          <w:szCs w:val="22"/>
          <w:lang w:val="en-US"/>
        </w:rPr>
        <w:t xml:space="preserve"> </w:t>
      </w:r>
      <w:r>
        <w:rPr>
          <w:rFonts w:ascii="Arial" w:hAnsi="Arial" w:cs="Arial"/>
          <w:sz w:val="22"/>
          <w:szCs w:val="22"/>
        </w:rPr>
        <w:t>(1) of the Penal Code, allegations of domestic violence must be initiated upon a complaint of the aggrieved in cases of light or average bodily harm</w:t>
      </w:r>
      <w:r>
        <w:rPr>
          <w:rFonts w:ascii="Arial" w:hAnsi="Arial" w:cs="Arial"/>
          <w:sz w:val="22"/>
          <w:szCs w:val="22"/>
          <w:lang w:val="en-US"/>
        </w:rPr>
        <w:t>.</w:t>
      </w:r>
    </w:p>
    <w:p w:rsidR="003A08DC" w:rsidRDefault="003A08DC" w:rsidP="00C14270">
      <w:pPr>
        <w:pStyle w:val="ListParagraph"/>
        <w:numPr>
          <w:ilvl w:val="0"/>
          <w:numId w:val="6"/>
        </w:numPr>
        <w:tabs>
          <w:tab w:val="left" w:pos="2880"/>
        </w:tabs>
        <w:ind w:left="0"/>
        <w:jc w:val="both"/>
        <w:rPr>
          <w:rFonts w:ascii="Arial" w:hAnsi="Arial" w:cs="Arial"/>
          <w:sz w:val="22"/>
          <w:szCs w:val="22"/>
          <w:lang w:val="en-US"/>
        </w:rPr>
      </w:pPr>
      <w:r>
        <w:rPr>
          <w:rFonts w:ascii="Arial" w:hAnsi="Arial" w:cs="Arial"/>
          <w:sz w:val="22"/>
          <w:szCs w:val="22"/>
          <w:lang w:val="en-US"/>
        </w:rPr>
        <w:t xml:space="preserve">Although that in April 2009, the violation of a protection order under the PDVA was criminalized (Art. 296, Penal Code), and was made punishable by imprisonment or a fine, there are only few cases initiated by the Prosecutor’s office in that regard. </w:t>
      </w:r>
    </w:p>
    <w:p w:rsidR="003A08DC" w:rsidRDefault="003A08DC" w:rsidP="00C14270">
      <w:pPr>
        <w:pStyle w:val="ListParagraph"/>
        <w:numPr>
          <w:ilvl w:val="0"/>
          <w:numId w:val="6"/>
        </w:numPr>
        <w:tabs>
          <w:tab w:val="left" w:pos="2880"/>
        </w:tabs>
        <w:ind w:left="0"/>
        <w:jc w:val="both"/>
        <w:rPr>
          <w:rFonts w:ascii="Arial" w:hAnsi="Arial" w:cs="Arial"/>
          <w:sz w:val="22"/>
          <w:szCs w:val="22"/>
          <w:lang w:val="en-US"/>
        </w:rPr>
      </w:pPr>
      <w:r>
        <w:rPr>
          <w:rFonts w:ascii="Arial" w:hAnsi="Arial" w:cs="Arial"/>
          <w:sz w:val="22"/>
          <w:szCs w:val="22"/>
          <w:lang w:val="en-US"/>
        </w:rPr>
        <w:t xml:space="preserve">The </w:t>
      </w:r>
      <w:r>
        <w:rPr>
          <w:rFonts w:ascii="Arial" w:hAnsi="Arial" w:cs="Arial"/>
          <w:sz w:val="22"/>
          <w:szCs w:val="22"/>
        </w:rPr>
        <w:t xml:space="preserve">criminal prosecution of </w:t>
      </w:r>
      <w:r>
        <w:rPr>
          <w:rFonts w:ascii="Arial" w:hAnsi="Arial" w:cs="Arial"/>
          <w:sz w:val="22"/>
          <w:szCs w:val="22"/>
          <w:lang w:val="en-US"/>
        </w:rPr>
        <w:t xml:space="preserve">domestic violence </w:t>
      </w:r>
      <w:r>
        <w:rPr>
          <w:rFonts w:ascii="Arial" w:hAnsi="Arial" w:cs="Arial"/>
          <w:sz w:val="22"/>
          <w:szCs w:val="22"/>
        </w:rPr>
        <w:t>cases is generally limited to cases where the offender violates the administrative order for protection</w:t>
      </w:r>
      <w:r>
        <w:rPr>
          <w:rFonts w:ascii="Arial" w:hAnsi="Arial" w:cs="Arial"/>
          <w:sz w:val="22"/>
          <w:szCs w:val="22"/>
          <w:lang w:val="en-US"/>
        </w:rPr>
        <w:t xml:space="preserve"> (Art. 296, paragraph 1 of the Penal Code). Thus, there is low number of cases of domestic violence that are actually brought to justice and sanctioned under the Penal Code.</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The Protection against Domestic Violence Act </w:t>
      </w:r>
      <w:r>
        <w:rPr>
          <w:rFonts w:ascii="Arial" w:hAnsi="Arial" w:cs="Arial"/>
          <w:sz w:val="22"/>
          <w:szCs w:val="22"/>
        </w:rPr>
        <w:t>was enacted in March 2005</w:t>
      </w:r>
      <w:r>
        <w:rPr>
          <w:rFonts w:ascii="Arial" w:hAnsi="Arial" w:cs="Arial"/>
          <w:sz w:val="22"/>
          <w:szCs w:val="22"/>
          <w:lang w:val="en-US"/>
        </w:rPr>
        <w:t>. It</w:t>
      </w:r>
      <w:r>
        <w:rPr>
          <w:rFonts w:ascii="Arial" w:hAnsi="Arial" w:cs="Arial"/>
          <w:sz w:val="22"/>
          <w:szCs w:val="22"/>
        </w:rPr>
        <w:t xml:space="preserve"> provides for administrative measures in cases of domestic violence.</w:t>
      </w:r>
      <w:r>
        <w:rPr>
          <w:rFonts w:ascii="Arial" w:hAnsi="Arial" w:cs="Arial"/>
          <w:sz w:val="22"/>
          <w:szCs w:val="22"/>
          <w:lang w:val="en-US"/>
        </w:rPr>
        <w:t xml:space="preserve"> The Law’s </w:t>
      </w:r>
      <w:r>
        <w:rPr>
          <w:rFonts w:ascii="Arial" w:hAnsi="Arial" w:cs="Arial"/>
          <w:sz w:val="22"/>
          <w:szCs w:val="22"/>
        </w:rPr>
        <w:t>subsequent amendments</w:t>
      </w:r>
      <w:r>
        <w:rPr>
          <w:rFonts w:ascii="Arial" w:hAnsi="Arial" w:cs="Arial"/>
          <w:sz w:val="22"/>
          <w:szCs w:val="22"/>
          <w:lang w:val="en-US"/>
        </w:rPr>
        <w:t xml:space="preserve"> (December, 2009) have been approved thanks to the efforts of the women’s NGOs. One of the most important amendments has been the provision for national financial support for NGOs</w:t>
      </w:r>
      <w:r>
        <w:rPr>
          <w:rFonts w:ascii="Arial" w:hAnsi="Arial" w:cs="Arial"/>
          <w:sz w:val="22"/>
          <w:szCs w:val="22"/>
        </w:rPr>
        <w:t xml:space="preserve"> activities to combat domestic violence and assist victims</w:t>
      </w:r>
      <w:r>
        <w:rPr>
          <w:rFonts w:ascii="Arial" w:hAnsi="Arial" w:cs="Arial"/>
          <w:sz w:val="22"/>
          <w:szCs w:val="22"/>
          <w:lang w:val="en-US"/>
        </w:rPr>
        <w:t>. However, no money was provided for its implementation in 2010</w:t>
      </w:r>
      <w:r w:rsidR="00302D92">
        <w:rPr>
          <w:rFonts w:ascii="Arial" w:hAnsi="Arial" w:cs="Arial"/>
          <w:sz w:val="22"/>
          <w:szCs w:val="22"/>
          <w:lang w:val="en-US"/>
        </w:rPr>
        <w:t xml:space="preserve"> and 2017</w:t>
      </w:r>
      <w:r>
        <w:rPr>
          <w:rFonts w:ascii="Arial" w:hAnsi="Arial" w:cs="Arial"/>
          <w:sz w:val="22"/>
          <w:szCs w:val="22"/>
          <w:lang w:val="en-US"/>
        </w:rPr>
        <w:t xml:space="preserve">. The amount of </w:t>
      </w:r>
      <w:r w:rsidR="00302D92">
        <w:rPr>
          <w:rFonts w:ascii="Arial" w:hAnsi="Arial" w:cs="Arial"/>
          <w:sz w:val="22"/>
          <w:szCs w:val="22"/>
          <w:lang w:val="en-US"/>
        </w:rPr>
        <w:t xml:space="preserve">less than </w:t>
      </w:r>
      <w:r>
        <w:rPr>
          <w:rFonts w:ascii="Arial" w:hAnsi="Arial" w:cs="Arial"/>
          <w:sz w:val="22"/>
          <w:szCs w:val="22"/>
          <w:lang w:val="en-US"/>
        </w:rPr>
        <w:t xml:space="preserve">BGN 500 000 (250 000 EUR) </w:t>
      </w:r>
      <w:r w:rsidR="00302D92">
        <w:rPr>
          <w:rFonts w:ascii="Arial" w:hAnsi="Arial" w:cs="Arial"/>
          <w:sz w:val="22"/>
          <w:szCs w:val="22"/>
          <w:lang w:val="en-US"/>
        </w:rPr>
        <w:t xml:space="preserve">is yearly </w:t>
      </w:r>
      <w:r>
        <w:rPr>
          <w:rFonts w:ascii="Arial" w:hAnsi="Arial" w:cs="Arial"/>
          <w:sz w:val="22"/>
          <w:szCs w:val="22"/>
          <w:lang w:val="en-US"/>
        </w:rPr>
        <w:t>provided – humiliating amount if international standard had t</w:t>
      </w:r>
      <w:r w:rsidR="00302D92">
        <w:rPr>
          <w:rFonts w:ascii="Arial" w:hAnsi="Arial" w:cs="Arial"/>
          <w:sz w:val="22"/>
          <w:szCs w:val="22"/>
          <w:lang w:val="en-US"/>
        </w:rPr>
        <w:t xml:space="preserve">o be followed. </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practice so far, few years after the PDVA was adopted, reveals that besides the positive effect of the new legislation, there are a number of problems arising in the course of work within the established legal framework. Women are still afraid to complain about domestic violence taking into account the stigma that will mark them and the general negative reaction of the society which does not accept “family matters” to be discussed in public, thus they often do not seek judicial protection or, even if they apply to the court, the latter does not offer them adequate protection due to the shortcomings of the Law and the inadequacy of some of its procedures.</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There is lack of clarity in the PDVA as to which of the parties wears the</w:t>
      </w:r>
      <w:r>
        <w:rPr>
          <w:rFonts w:ascii="Arial" w:hAnsi="Arial" w:cs="Arial"/>
          <w:sz w:val="22"/>
          <w:szCs w:val="22"/>
        </w:rPr>
        <w:t xml:space="preserve"> burden </w:t>
      </w:r>
      <w:r>
        <w:rPr>
          <w:rFonts w:ascii="Arial" w:hAnsi="Arial" w:cs="Arial"/>
          <w:sz w:val="22"/>
          <w:szCs w:val="22"/>
          <w:lang w:val="en-US"/>
        </w:rPr>
        <w:t>of prove in domestic violence cases which is</w:t>
      </w:r>
      <w:r>
        <w:rPr>
          <w:rFonts w:ascii="Arial" w:hAnsi="Arial" w:cs="Arial"/>
          <w:sz w:val="22"/>
          <w:szCs w:val="22"/>
        </w:rPr>
        <w:t xml:space="preserve"> incompatible with the State’s duty to provide protection against domestic violence and </w:t>
      </w:r>
      <w:proofErr w:type="spellStart"/>
      <w:r>
        <w:rPr>
          <w:rFonts w:ascii="Arial" w:hAnsi="Arial" w:cs="Arial"/>
          <w:sz w:val="22"/>
          <w:szCs w:val="22"/>
          <w:lang w:val="en-US"/>
        </w:rPr>
        <w:t>i</w:t>
      </w:r>
      <w:proofErr w:type="spellEnd"/>
      <w:r>
        <w:rPr>
          <w:rFonts w:ascii="Arial" w:hAnsi="Arial" w:cs="Arial"/>
          <w:sz w:val="22"/>
          <w:szCs w:val="22"/>
        </w:rPr>
        <w:t>s discriminatory in that the law’s shortcomings impact disproportionately on women.</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provision of Article 10, paragraph 1 of the PDVA, stipulating for a one-month time limit for applying for court protection, places undue administrative and legal burden on victims of domestic violence.</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Police can neither issue emergency protection orders nor initiate proceedings under the PDVA.</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State does not legally recognize the specialized services for domestic violence victims as social services.</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State does not offer adequate support for women victims of domestic violence as there is insufficient number of crisis centers in the country.</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State does not a</w:t>
      </w:r>
      <w:r>
        <w:rPr>
          <w:rFonts w:ascii="Arial" w:hAnsi="Arial" w:cs="Arial"/>
          <w:sz w:val="22"/>
          <w:szCs w:val="22"/>
        </w:rPr>
        <w:t>dopt and/or implement and periodically review and analyse</w:t>
      </w:r>
      <w:r>
        <w:rPr>
          <w:rFonts w:ascii="Arial" w:hAnsi="Arial" w:cs="Arial"/>
          <w:sz w:val="22"/>
          <w:szCs w:val="22"/>
          <w:lang w:val="en-US"/>
        </w:rPr>
        <w:t xml:space="preserve"> its national</w:t>
      </w:r>
      <w:r>
        <w:rPr>
          <w:rFonts w:ascii="Arial" w:hAnsi="Arial" w:cs="Arial"/>
          <w:sz w:val="22"/>
          <w:szCs w:val="22"/>
        </w:rPr>
        <w:t xml:space="preserve"> legislation to ensure its effectiveness in eliminating violence against women, emphasizing the prevention of violence and the prosecution of offenders</w:t>
      </w:r>
      <w:r>
        <w:rPr>
          <w:rFonts w:ascii="Arial" w:hAnsi="Arial" w:cs="Arial"/>
          <w:sz w:val="22"/>
          <w:szCs w:val="22"/>
          <w:lang w:val="en-US"/>
        </w:rPr>
        <w:t>.</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No mandatory training is provided for judges, lawyers and law enforcement personnel on the application of the PDVA.</w:t>
      </w:r>
    </w:p>
    <w:p w:rsidR="003A08DC" w:rsidRDefault="003A08DC" w:rsidP="00C14270">
      <w:pPr>
        <w:pStyle w:val="BodyTextIndent"/>
        <w:numPr>
          <w:ilvl w:val="0"/>
          <w:numId w:val="6"/>
        </w:numPr>
        <w:spacing w:after="0"/>
        <w:ind w:left="0"/>
        <w:jc w:val="both"/>
        <w:rPr>
          <w:rFonts w:ascii="Arial" w:hAnsi="Arial" w:cs="Arial"/>
          <w:sz w:val="22"/>
          <w:szCs w:val="22"/>
          <w:lang w:val="en-US"/>
        </w:rPr>
      </w:pPr>
      <w:r>
        <w:rPr>
          <w:rFonts w:ascii="Arial" w:hAnsi="Arial" w:cs="Arial"/>
          <w:sz w:val="22"/>
          <w:szCs w:val="22"/>
          <w:lang w:val="en-US"/>
        </w:rPr>
        <w:t xml:space="preserve">There is lack of State funded and supported research </w:t>
      </w:r>
      <w:r>
        <w:rPr>
          <w:rFonts w:ascii="Arial" w:hAnsi="Arial" w:cs="Arial"/>
          <w:sz w:val="22"/>
          <w:szCs w:val="22"/>
        </w:rPr>
        <w:t xml:space="preserve">on prevalence, causes and consequences of </w:t>
      </w:r>
      <w:r>
        <w:rPr>
          <w:rFonts w:ascii="Arial" w:hAnsi="Arial" w:cs="Arial"/>
          <w:sz w:val="22"/>
          <w:szCs w:val="22"/>
          <w:lang w:val="en-US"/>
        </w:rPr>
        <w:t xml:space="preserve">gender based </w:t>
      </w:r>
      <w:r>
        <w:rPr>
          <w:rFonts w:ascii="Arial" w:hAnsi="Arial" w:cs="Arial"/>
          <w:sz w:val="22"/>
          <w:szCs w:val="22"/>
        </w:rPr>
        <w:t>violence</w:t>
      </w:r>
      <w:r>
        <w:rPr>
          <w:rFonts w:ascii="Arial" w:hAnsi="Arial" w:cs="Arial"/>
          <w:sz w:val="22"/>
          <w:szCs w:val="22"/>
          <w:lang w:val="en-US"/>
        </w:rPr>
        <w:t>.</w:t>
      </w:r>
    </w:p>
    <w:p w:rsidR="003A08DC" w:rsidRDefault="003A08DC" w:rsidP="00C14270">
      <w:pPr>
        <w:pStyle w:val="BodyTextIndent"/>
        <w:numPr>
          <w:ilvl w:val="0"/>
          <w:numId w:val="6"/>
        </w:numPr>
        <w:spacing w:after="0"/>
        <w:ind w:left="0"/>
        <w:jc w:val="both"/>
        <w:rPr>
          <w:rFonts w:ascii="Arial" w:hAnsi="Arial" w:cs="Arial"/>
          <w:sz w:val="22"/>
          <w:szCs w:val="22"/>
          <w:lang w:val="en-US"/>
        </w:rPr>
      </w:pPr>
      <w:r>
        <w:rPr>
          <w:rFonts w:ascii="Arial" w:hAnsi="Arial" w:cs="Arial"/>
          <w:sz w:val="22"/>
          <w:szCs w:val="22"/>
          <w:lang w:val="en-US"/>
        </w:rPr>
        <w:t>There is lack of official statistics on the number of domestic violence cases – both criminal and civil, their prevalence and pervasiveness.</w:t>
      </w:r>
    </w:p>
    <w:p w:rsidR="000D59F5" w:rsidRDefault="000D59F5" w:rsidP="000D59F5">
      <w:pPr>
        <w:pStyle w:val="BodyTextIndent"/>
        <w:spacing w:after="0"/>
        <w:ind w:left="0"/>
        <w:jc w:val="both"/>
        <w:rPr>
          <w:rFonts w:ascii="Arial" w:hAnsi="Arial" w:cs="Arial"/>
          <w:sz w:val="22"/>
          <w:szCs w:val="22"/>
          <w:lang w:val="en-US"/>
        </w:rPr>
      </w:pPr>
    </w:p>
    <w:p w:rsidR="003A08DC" w:rsidRPr="00896760" w:rsidRDefault="003A08DC" w:rsidP="00C14270">
      <w:pPr>
        <w:pStyle w:val="ListParagraph"/>
        <w:numPr>
          <w:ilvl w:val="0"/>
          <w:numId w:val="7"/>
        </w:numPr>
        <w:ind w:left="0"/>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en-US"/>
        </w:rPr>
        <w:t>Trafficking and exploitation of prostitution of women and girls</w:t>
      </w:r>
    </w:p>
    <w:p w:rsidR="00AF74E8" w:rsidRDefault="00AF74E8" w:rsidP="00AF74E8">
      <w:pPr>
        <w:pStyle w:val="ListParagraph"/>
        <w:ind w:left="0"/>
        <w:jc w:val="both"/>
        <w:rPr>
          <w:rFonts w:ascii="Arial" w:hAnsi="Arial" w:cs="Arial"/>
          <w:b/>
          <w:bCs/>
          <w:sz w:val="22"/>
          <w:szCs w:val="22"/>
          <w:lang w:val="en-US"/>
        </w:rPr>
      </w:pP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Although under the Criminal Proceedings Code, the victims of trafficking have the right to be legally represented during the criminal proceedings both in their capacity of civil claimant and witness (Articles 75 (1) </w:t>
      </w:r>
      <w:r>
        <w:rPr>
          <w:rFonts w:ascii="Arial" w:hAnsi="Arial" w:cs="Arial"/>
          <w:i/>
          <w:iCs/>
          <w:sz w:val="22"/>
          <w:szCs w:val="22"/>
          <w:lang w:val="en-US"/>
        </w:rPr>
        <w:t>in fine</w:t>
      </w:r>
      <w:r>
        <w:rPr>
          <w:rFonts w:ascii="Arial" w:hAnsi="Arial" w:cs="Arial"/>
          <w:sz w:val="22"/>
          <w:szCs w:val="22"/>
          <w:lang w:val="en-US"/>
        </w:rPr>
        <w:t xml:space="preserve"> and 122 (2), the investigation and prosecution authorities do not inform the victims of their right to be legally represented.</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Although the Victims’ Assistance and Financial Compensation Act provides explicitly for free legal aid to victims of trafficking if “</w:t>
      </w:r>
      <w:r>
        <w:rPr>
          <w:rFonts w:ascii="Arial" w:hAnsi="Arial" w:cs="Arial"/>
          <w:i/>
          <w:iCs/>
          <w:sz w:val="22"/>
          <w:szCs w:val="22"/>
          <w:lang w:val="en-US"/>
        </w:rPr>
        <w:t>they do not have financial means to pay an attorney, wish to have one and it is in the interest of justice to have one</w:t>
      </w:r>
      <w:r>
        <w:rPr>
          <w:rFonts w:ascii="Arial" w:hAnsi="Arial" w:cs="Arial"/>
          <w:sz w:val="22"/>
          <w:szCs w:val="22"/>
          <w:lang w:val="en-US"/>
        </w:rPr>
        <w:t>” (Article 23 (2) of the Legal Aid Act in conjunction with Article 10 of the Compensation Act), there has not been any case documented where a victim of trafficking has requested free legal aid.</w:t>
      </w:r>
    </w:p>
    <w:p w:rsidR="003A08DC" w:rsidRDefault="003A08DC" w:rsidP="00C14270">
      <w:pPr>
        <w:pStyle w:val="ListParagraph"/>
        <w:numPr>
          <w:ilvl w:val="0"/>
          <w:numId w:val="6"/>
        </w:numPr>
        <w:ind w:left="0"/>
        <w:jc w:val="both"/>
        <w:rPr>
          <w:rFonts w:ascii="Arial" w:hAnsi="Arial" w:cs="Arial"/>
          <w:sz w:val="22"/>
          <w:szCs w:val="22"/>
          <w:lang w:val="en-GB"/>
        </w:rPr>
      </w:pPr>
      <w:r>
        <w:rPr>
          <w:rFonts w:ascii="Arial" w:hAnsi="Arial" w:cs="Arial"/>
          <w:sz w:val="22"/>
          <w:szCs w:val="22"/>
          <w:lang w:val="en-GB"/>
        </w:rPr>
        <w:t>Article 73 (1) of the Criminal Proceedings Code imposes on the court and prosecution authorities a duty to inform the victim of her right to file a claim for compensation of the damages caused as a result of the crime. Pursuant to article 84 (1), the victim may file, in the course of the trial, a civil claim for compensation of the moral and non-moral damages caused and has the right to join the trial as a civil claimant.</w:t>
      </w:r>
    </w:p>
    <w:p w:rsidR="003A08DC" w:rsidRDefault="003A08DC" w:rsidP="00C14270">
      <w:pPr>
        <w:pStyle w:val="Default"/>
        <w:numPr>
          <w:ilvl w:val="0"/>
          <w:numId w:val="6"/>
        </w:numPr>
        <w:ind w:left="0"/>
        <w:jc w:val="both"/>
        <w:rPr>
          <w:rFonts w:ascii="Arial" w:hAnsi="Arial" w:cs="Arial"/>
          <w:color w:val="auto"/>
          <w:sz w:val="22"/>
          <w:szCs w:val="22"/>
          <w:lang w:val="en-GB"/>
        </w:rPr>
      </w:pPr>
      <w:r>
        <w:rPr>
          <w:rFonts w:ascii="Arial" w:hAnsi="Arial" w:cs="Arial"/>
          <w:color w:val="auto"/>
          <w:sz w:val="22"/>
          <w:szCs w:val="22"/>
          <w:lang w:val="en-GB"/>
        </w:rPr>
        <w:t xml:space="preserve">Although the prosecution and court authorities have a statutory obligation to inform the victims about their right to take part in the trial as civil claimants, it most often remains unclear for the victims what the substance of this right is. The victims do not have information of the reasonable amount of compensation to claim and the appropriate evidence to adduce. Most importantly, the victims are unaware of the possible means to guarantee the actual payment of the compensation awarded, after the verdict becomes final. </w:t>
      </w:r>
    </w:p>
    <w:p w:rsidR="003A08DC" w:rsidRDefault="003A08DC" w:rsidP="00C14270">
      <w:pPr>
        <w:pStyle w:val="ListParagraph"/>
        <w:numPr>
          <w:ilvl w:val="0"/>
          <w:numId w:val="6"/>
        </w:numPr>
        <w:ind w:left="0"/>
        <w:jc w:val="both"/>
        <w:rPr>
          <w:rFonts w:ascii="Arial" w:hAnsi="Arial" w:cs="Arial"/>
          <w:sz w:val="22"/>
          <w:szCs w:val="22"/>
          <w:lang w:val="en-GB"/>
        </w:rPr>
      </w:pPr>
      <w:r>
        <w:rPr>
          <w:rFonts w:ascii="Arial" w:hAnsi="Arial" w:cs="Arial"/>
          <w:sz w:val="22"/>
          <w:szCs w:val="22"/>
          <w:lang w:val="en-GB"/>
        </w:rPr>
        <w:t>The prosecution authorities hardly ever request preliminary measures aimed at guaranteeing the payment of the fine (and possibly the confiscation) which the trafficker will be obliged to pay the State under the final verdict. Such a preliminary measure would benefit the victim as well, for the collection of the compensation, which the trafficker will be obliged to pay her, under the same verdict.</w:t>
      </w:r>
    </w:p>
    <w:p w:rsidR="003A08DC" w:rsidRDefault="003A08DC" w:rsidP="00C14270">
      <w:pPr>
        <w:pStyle w:val="ListParagraph"/>
        <w:numPr>
          <w:ilvl w:val="0"/>
          <w:numId w:val="6"/>
        </w:numPr>
        <w:ind w:left="0"/>
        <w:jc w:val="both"/>
        <w:rPr>
          <w:rFonts w:ascii="Arial" w:hAnsi="Arial" w:cs="Arial"/>
          <w:b/>
          <w:bCs/>
          <w:sz w:val="22"/>
          <w:szCs w:val="22"/>
          <w:lang w:val="en-GB"/>
        </w:rPr>
      </w:pPr>
      <w:r>
        <w:rPr>
          <w:rFonts w:ascii="Arial" w:hAnsi="Arial" w:cs="Arial"/>
          <w:sz w:val="22"/>
          <w:szCs w:val="22"/>
          <w:lang w:val="en-GB"/>
        </w:rPr>
        <w:t xml:space="preserve">If the victim does not file a compensation claim before the criminal court or considers that the compensation awarded does not cover all damages, the victim disposes of another option, namely to claim compensation under the </w:t>
      </w:r>
      <w:r>
        <w:rPr>
          <w:rStyle w:val="Strong"/>
          <w:rFonts w:ascii="Arial" w:hAnsi="Arial" w:cs="Arial"/>
          <w:b w:val="0"/>
          <w:bCs w:val="0"/>
          <w:sz w:val="22"/>
          <w:szCs w:val="22"/>
          <w:lang w:val="en-GB"/>
        </w:rPr>
        <w:t>Obligations and Contracts Act</w:t>
      </w:r>
      <w:r>
        <w:rPr>
          <w:rFonts w:ascii="Arial" w:hAnsi="Arial" w:cs="Arial"/>
          <w:b/>
          <w:bCs/>
          <w:sz w:val="22"/>
          <w:szCs w:val="22"/>
          <w:lang w:val="en-GB"/>
        </w:rPr>
        <w:t xml:space="preserve"> t</w:t>
      </w:r>
      <w:r>
        <w:rPr>
          <w:rFonts w:ascii="Arial" w:hAnsi="Arial" w:cs="Arial"/>
          <w:sz w:val="22"/>
          <w:szCs w:val="22"/>
          <w:lang w:val="en-GB"/>
        </w:rPr>
        <w:t xml:space="preserve">o a civil court and the case follows the rules of the </w:t>
      </w:r>
      <w:r>
        <w:rPr>
          <w:rStyle w:val="Strong"/>
          <w:rFonts w:ascii="Arial" w:hAnsi="Arial" w:cs="Arial"/>
          <w:b w:val="0"/>
          <w:bCs w:val="0"/>
          <w:sz w:val="22"/>
          <w:szCs w:val="22"/>
          <w:lang w:val="en-GB"/>
        </w:rPr>
        <w:t>Civil Proceedings Code</w:t>
      </w:r>
      <w:r>
        <w:rPr>
          <w:rFonts w:ascii="Arial" w:hAnsi="Arial" w:cs="Arial"/>
          <w:b/>
          <w:bCs/>
          <w:sz w:val="22"/>
          <w:szCs w:val="22"/>
          <w:lang w:val="en-GB"/>
        </w:rPr>
        <w:t xml:space="preserve">. </w:t>
      </w:r>
      <w:r>
        <w:rPr>
          <w:rFonts w:ascii="Arial" w:hAnsi="Arial" w:cs="Arial"/>
          <w:sz w:val="22"/>
          <w:szCs w:val="22"/>
          <w:lang w:val="en-GB"/>
        </w:rPr>
        <w:t>However,</w:t>
      </w:r>
      <w:r>
        <w:rPr>
          <w:rFonts w:ascii="Arial" w:hAnsi="Arial" w:cs="Arial"/>
          <w:b/>
          <w:bCs/>
          <w:sz w:val="22"/>
          <w:szCs w:val="22"/>
          <w:lang w:val="en-GB"/>
        </w:rPr>
        <w:t xml:space="preserve"> </w:t>
      </w:r>
      <w:r>
        <w:rPr>
          <w:rFonts w:ascii="Arial" w:hAnsi="Arial" w:cs="Arial"/>
          <w:sz w:val="22"/>
          <w:szCs w:val="22"/>
          <w:lang w:val="en-GB"/>
        </w:rPr>
        <w:t>the chances that the victims learn about the possibility to claim compensation under the Civil Proceedings Code are insignificant.</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GB"/>
        </w:rPr>
        <w:t>Pursuant to Article 3 of the Victims’ Assistance and Financial Compensation Act, financial compensation may be awarded to victims who survived trafficking and have suffered non-moral damages. The law does not provide for financial compensation of moral damages</w:t>
      </w:r>
      <w:r>
        <w:rPr>
          <w:rFonts w:ascii="Arial" w:hAnsi="Arial" w:cs="Arial"/>
          <w:sz w:val="22"/>
          <w:szCs w:val="22"/>
        </w:rPr>
        <w:t xml:space="preserve">. </w:t>
      </w:r>
      <w:r>
        <w:rPr>
          <w:rFonts w:ascii="Arial" w:hAnsi="Arial" w:cs="Arial"/>
          <w:sz w:val="22"/>
          <w:szCs w:val="22"/>
          <w:lang w:val="en-US"/>
        </w:rPr>
        <w:t>It only provides for financial compensation of a list of pecuniary damages, enumerated in Article 14. However, most of them are irrelevant for the crime “human trafficking”.</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In addition, </w:t>
      </w:r>
      <w:r>
        <w:rPr>
          <w:rFonts w:ascii="Arial" w:hAnsi="Arial" w:cs="Arial"/>
          <w:sz w:val="22"/>
          <w:szCs w:val="22"/>
          <w:lang w:val="en-GB"/>
        </w:rPr>
        <w:t xml:space="preserve">the maximum amount of financial compensation provided in the law </w:t>
      </w:r>
      <w:r w:rsidR="008529CF">
        <w:rPr>
          <w:rFonts w:ascii="Arial" w:hAnsi="Arial" w:cs="Arial"/>
          <w:sz w:val="22"/>
          <w:szCs w:val="22"/>
          <w:lang w:val="en-GB"/>
        </w:rPr>
        <w:t>–</w:t>
      </w:r>
      <w:r>
        <w:rPr>
          <w:rFonts w:ascii="Arial" w:hAnsi="Arial" w:cs="Arial"/>
          <w:sz w:val="22"/>
          <w:szCs w:val="22"/>
          <w:lang w:val="en-GB"/>
        </w:rPr>
        <w:t xml:space="preserve"> </w:t>
      </w:r>
      <w:r w:rsidR="008529CF">
        <w:rPr>
          <w:rFonts w:ascii="Arial" w:hAnsi="Arial" w:cs="Arial"/>
          <w:sz w:val="22"/>
          <w:szCs w:val="22"/>
          <w:lang w:val="en-GB"/>
        </w:rPr>
        <w:t xml:space="preserve">up to </w:t>
      </w:r>
      <w:r>
        <w:rPr>
          <w:rFonts w:ascii="Arial" w:hAnsi="Arial" w:cs="Arial"/>
          <w:sz w:val="22"/>
          <w:szCs w:val="22"/>
          <w:lang w:val="en-GB"/>
        </w:rPr>
        <w:t>EUR 5</w:t>
      </w:r>
      <w:r w:rsidR="008529CF">
        <w:rPr>
          <w:rFonts w:ascii="Arial" w:hAnsi="Arial" w:cs="Arial"/>
          <w:sz w:val="22"/>
          <w:szCs w:val="22"/>
          <w:lang w:val="en-GB"/>
        </w:rPr>
        <w:t>0</w:t>
      </w:r>
      <w:r>
        <w:rPr>
          <w:rFonts w:ascii="Arial" w:hAnsi="Arial" w:cs="Arial"/>
          <w:sz w:val="22"/>
          <w:szCs w:val="22"/>
          <w:lang w:val="en-GB"/>
        </w:rPr>
        <w:t>00 - is insufficient, especially on the background of the value of the assets acquired by the State from the traffickers.</w:t>
      </w:r>
    </w:p>
    <w:p w:rsidR="003A08DC" w:rsidRDefault="003A08DC" w:rsidP="00C14270">
      <w:pPr>
        <w:jc w:val="both"/>
        <w:rPr>
          <w:rFonts w:ascii="Arial" w:hAnsi="Arial" w:cs="Arial"/>
          <w:sz w:val="22"/>
          <w:szCs w:val="22"/>
          <w:lang w:val="en-US"/>
        </w:rPr>
      </w:pPr>
    </w:p>
    <w:p w:rsidR="003A08DC" w:rsidRPr="00896760" w:rsidRDefault="003A08DC" w:rsidP="00C1427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ІV</w:t>
      </w:r>
      <w:r w:rsidRPr="00896760">
        <w:rPr>
          <w:rFonts w:ascii="Arial" w:hAnsi="Arial" w:cs="Arial"/>
          <w:b/>
          <w:bCs/>
          <w:color w:val="C0504D" w:themeColor="accent2"/>
          <w:sz w:val="22"/>
          <w:szCs w:val="22"/>
          <w:lang w:val="en-US"/>
        </w:rPr>
        <w:t>. Education</w:t>
      </w:r>
    </w:p>
    <w:p w:rsidR="00AF74E8" w:rsidRDefault="00AF74E8" w:rsidP="00C14270">
      <w:pPr>
        <w:jc w:val="both"/>
        <w:rPr>
          <w:rFonts w:ascii="Arial" w:hAnsi="Arial" w:cs="Arial"/>
          <w:b/>
          <w:bCs/>
          <w:sz w:val="22"/>
          <w:szCs w:val="22"/>
          <w:lang w:val="en-US"/>
        </w:rPr>
      </w:pP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Although the Bulgarian government has adopted many documents in the past 15 years which introduce policies and programs for development and improvement of economic, social and health situation of Roma people, it must be noted that the country’s second biggest minority group is still at the very bottom of all spheres of social organization. The progress in educational reforms is no exception despite the presence of these political frameworks.</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There is a tendency for increasing the level of illiteracy among Roma.</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Data collection is a whole discourse in figuring out the number of Roma population in Bulgaria. From here – the exact number of Roma students both in school and university is also uncertain. The data from the National Statistical Institute remains central in defining the </w:t>
      </w:r>
      <w:r>
        <w:rPr>
          <w:rFonts w:ascii="Arial" w:hAnsi="Arial" w:cs="Arial"/>
          <w:sz w:val="22"/>
          <w:szCs w:val="22"/>
          <w:lang w:val="en-US"/>
        </w:rPr>
        <w:lastRenderedPageBreak/>
        <w:t xml:space="preserve">number of Roma people in Bulgaria, and in particular the </w:t>
      </w:r>
      <w:r>
        <w:rPr>
          <w:rFonts w:ascii="Arial" w:hAnsi="Arial" w:cs="Arial"/>
          <w:sz w:val="22"/>
          <w:szCs w:val="22"/>
        </w:rPr>
        <w:t>enrolment and dropout</w:t>
      </w:r>
      <w:r>
        <w:rPr>
          <w:rFonts w:ascii="Arial" w:hAnsi="Arial" w:cs="Arial"/>
          <w:sz w:val="22"/>
          <w:szCs w:val="22"/>
          <w:lang w:val="en-US"/>
        </w:rPr>
        <w:t xml:space="preserve"> rates of Roma girls and boys. However, it is gender neutral. In addition, the data from census 2011 includes no statistics on education, minorities and gender. </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When taking into account the gender dimension, the most thorough data is provided by the NGO sector. Muslim Roma girls and boys have the biggest gender difference when it comes to dropping out of school. </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Numerous reports explain the dropping out of Roma students and in particular girls with reasons which could be found both in the Roma community, the Bulgarian educational system and social prejudices towards the minorities. Some of the major problems they face are poverty and patriarchal traditions which urge girls to stay at home and help the household, early marriages, parents’ low level of education and lack of understanding the assets of education, no knowledge on the national language, children being raised by grandparents because of parents working abroad, bad infrastructure.</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reports also outline the impact of the economic cr</w:t>
      </w:r>
      <w:r w:rsidR="008529CF">
        <w:rPr>
          <w:rFonts w:ascii="Arial" w:hAnsi="Arial" w:cs="Arial"/>
          <w:sz w:val="22"/>
          <w:szCs w:val="22"/>
          <w:lang w:val="en-US"/>
        </w:rPr>
        <w:t>isis which has affected the</w:t>
      </w:r>
      <w:r>
        <w:rPr>
          <w:rFonts w:ascii="Arial" w:hAnsi="Arial" w:cs="Arial"/>
          <w:sz w:val="22"/>
          <w:szCs w:val="22"/>
          <w:lang w:val="en-US"/>
        </w:rPr>
        <w:t xml:space="preserve"> bridal fair and one could have found a girl cheaper. Among the “colorful setting”, media also bring to light another concern, namely fears of loss of virginity as a reason for girls to drop out of school. Virginity is also considered the highest virtue of a future bride and a prerequisite for receiving a good price for her.</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Bulgarian educational system has also a contribution to the dropping out of school of Roma children. According to experts, despite the presence of many political frameworks, there is no complete governmental policy on the processes of integration and desegregation of Roma. The bigger part of the strategies and other related documents have been formally adopted without any plans for their realization. The desegregation policy of Roma in schools is done mechanically and has no effect.</w:t>
      </w:r>
    </w:p>
    <w:p w:rsidR="003A08DC" w:rsidRDefault="003A08DC" w:rsidP="00C14270">
      <w:pPr>
        <w:pStyle w:val="ListParagraph"/>
        <w:numPr>
          <w:ilvl w:val="0"/>
          <w:numId w:val="6"/>
        </w:numPr>
        <w:autoSpaceDE w:val="0"/>
        <w:autoSpaceDN w:val="0"/>
        <w:adjustRightInd w:val="0"/>
        <w:ind w:left="0"/>
        <w:jc w:val="both"/>
        <w:rPr>
          <w:rFonts w:ascii="Arial" w:hAnsi="Arial" w:cs="Arial"/>
          <w:sz w:val="22"/>
          <w:szCs w:val="22"/>
          <w:lang w:val="en-US"/>
        </w:rPr>
      </w:pPr>
      <w:r>
        <w:rPr>
          <w:rFonts w:ascii="Arial" w:hAnsi="Arial" w:cs="Arial"/>
          <w:sz w:val="22"/>
          <w:szCs w:val="22"/>
          <w:lang w:val="en-US"/>
        </w:rPr>
        <w:t>Among the educational reasons the major issues are lack of appropriate studying materials for Roma students; lack of subjects in school focusing on ethnic culture; teachers who are not sensitive to Roma culture and traditions.</w:t>
      </w:r>
    </w:p>
    <w:p w:rsidR="003A08DC" w:rsidRDefault="003A08DC" w:rsidP="00C14270">
      <w:pPr>
        <w:pStyle w:val="ListParagraph"/>
        <w:numPr>
          <w:ilvl w:val="0"/>
          <w:numId w:val="6"/>
        </w:numPr>
        <w:autoSpaceDE w:val="0"/>
        <w:autoSpaceDN w:val="0"/>
        <w:adjustRightInd w:val="0"/>
        <w:ind w:left="0"/>
        <w:jc w:val="both"/>
        <w:rPr>
          <w:rFonts w:ascii="Arial" w:hAnsi="Arial" w:cs="Arial"/>
          <w:sz w:val="22"/>
          <w:szCs w:val="22"/>
          <w:lang w:val="en-US"/>
        </w:rPr>
      </w:pPr>
      <w:r>
        <w:rPr>
          <w:rFonts w:ascii="Arial" w:hAnsi="Arial" w:cs="Arial"/>
          <w:sz w:val="22"/>
          <w:szCs w:val="22"/>
          <w:lang w:val="en-US"/>
        </w:rPr>
        <w:t>Parallel to that, Bulgarian schools do not involve parents in school activities and do not lead a dialogue with them. The measures they apply to “motivate” them to send their children to school are mainly restrictive for example, by cutting welfare when their children miss out classes. Social prejudices to minority groups are also an obstacle to the integration of Roma.</w:t>
      </w:r>
    </w:p>
    <w:p w:rsidR="003A08DC" w:rsidRDefault="003A08DC" w:rsidP="00C14270">
      <w:pPr>
        <w:jc w:val="both"/>
        <w:rPr>
          <w:rFonts w:ascii="Arial" w:hAnsi="Arial" w:cs="Arial"/>
          <w:sz w:val="22"/>
          <w:szCs w:val="22"/>
          <w:lang w:val="en-US"/>
        </w:rPr>
      </w:pPr>
    </w:p>
    <w:p w:rsidR="003A08DC" w:rsidRPr="00896760" w:rsidRDefault="003A08DC" w:rsidP="00C1427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V</w:t>
      </w:r>
      <w:r w:rsidRPr="00896760">
        <w:rPr>
          <w:rFonts w:ascii="Arial" w:hAnsi="Arial" w:cs="Arial"/>
          <w:b/>
          <w:bCs/>
          <w:color w:val="C0504D" w:themeColor="accent2"/>
          <w:sz w:val="22"/>
          <w:szCs w:val="22"/>
          <w:lang w:val="en-US"/>
        </w:rPr>
        <w:t>. Health</w:t>
      </w:r>
    </w:p>
    <w:p w:rsidR="00AF74E8" w:rsidRDefault="00AF74E8" w:rsidP="00C14270">
      <w:pPr>
        <w:jc w:val="both"/>
        <w:rPr>
          <w:rFonts w:ascii="Arial" w:hAnsi="Arial" w:cs="Arial"/>
          <w:b/>
          <w:bCs/>
          <w:sz w:val="22"/>
          <w:szCs w:val="22"/>
          <w:lang w:val="en-US"/>
        </w:rPr>
      </w:pPr>
    </w:p>
    <w:p w:rsidR="003A08DC" w:rsidRDefault="003A08DC" w:rsidP="00C14270">
      <w:pPr>
        <w:pStyle w:val="ListParagraph"/>
        <w:numPr>
          <w:ilvl w:val="0"/>
          <w:numId w:val="6"/>
        </w:numPr>
        <w:ind w:left="0"/>
        <w:jc w:val="both"/>
        <w:rPr>
          <w:rFonts w:ascii="Arial" w:hAnsi="Arial" w:cs="Arial"/>
          <w:sz w:val="22"/>
          <w:szCs w:val="22"/>
          <w:lang w:val="en-US"/>
        </w:rPr>
      </w:pPr>
      <w:r>
        <w:rPr>
          <w:rFonts w:ascii="Arial" w:eastAsia="TTCC37o00" w:hAnsi="Arial" w:cs="Arial"/>
          <w:sz w:val="22"/>
          <w:szCs w:val="22"/>
          <w:lang w:val="en-US"/>
        </w:rPr>
        <w:t>Most of the services available for young people are either vertical or sectorial and do not take into account diverse needs and fail to cover simultaneously different sectors. Further, there has been no coordination mechanism for referral.</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 xml:space="preserve">In most of the municipal districts the services directed towards young people are not priority for the local decision makers.   </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Despite many positive examples and good practices, among which there are the attempts to introduce compulsory sexuality education in schools and to improve the access to youth services and information, the Bulgarian health, social and educational systems are still not flexible enough to respond to the needs of the Bulgarian youth.</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A detailed analysis of a Summary Report on the access of young people to sexual and reproductive health services unambiguously shows that the young people aged 10-14 from ethnic minorities who live in the rural parts of the country, as well as the persons who are excluded from the social security system, seek and receive limited number of services. The research shows that the typical group that benefits from these kinds of services comprises of young people aged 15 – 24 who define themselves as Bulgarians and live in the cities, have financial resources and a social security.</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 xml:space="preserve">The </w:t>
      </w:r>
      <w:proofErr w:type="gramStart"/>
      <w:r>
        <w:rPr>
          <w:rFonts w:ascii="Arial" w:eastAsia="TTCC37o00" w:hAnsi="Arial" w:cs="Arial"/>
          <w:sz w:val="22"/>
          <w:szCs w:val="22"/>
          <w:lang w:val="en-US"/>
        </w:rPr>
        <w:t>lack of sufficient perspectives for young people’s future realization contribute</w:t>
      </w:r>
      <w:proofErr w:type="gramEnd"/>
      <w:r>
        <w:rPr>
          <w:rFonts w:ascii="Arial" w:eastAsia="TTCC37o00" w:hAnsi="Arial" w:cs="Arial"/>
          <w:sz w:val="22"/>
          <w:szCs w:val="22"/>
          <w:lang w:val="en-US"/>
        </w:rPr>
        <w:t xml:space="preserve"> to risky behavior in regard of their social and health wellbeing.</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 xml:space="preserve">60% of the newly registered HIV/AIDS infections in Bulgaria are of young people between 15-29 years old. 21% of the young people aged 16-24 did sex with more than one partner </w:t>
      </w:r>
      <w:r>
        <w:rPr>
          <w:rFonts w:ascii="Arial" w:eastAsia="TTCC37o00" w:hAnsi="Arial" w:cs="Arial"/>
          <w:sz w:val="22"/>
          <w:szCs w:val="22"/>
          <w:lang w:val="en-US"/>
        </w:rPr>
        <w:lastRenderedPageBreak/>
        <w:t>within a month. Half of the Bulgarian youths did their first sex intercourse on 16 years or younger as 39% of them did not use condoms.</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The level of knowledge on HIV/AIDS is low. According to the UN index on knowledge on HIV/AIDS, the level of awareness in Bulgaria is only 23%. At the same time 8% of the Bulgarian youth has active sexual life before the age of 15. A youth website reveals that Bulgaria ranks second after Russia with high levels of pregnancies and births between the ages of 15-19 years. In 2009, more than 10 000 girls have given birth before turning 20 as nearly 500 of them have been under 15 years of age.</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Sexuality education is not a compulsory and separate subject in the Bulgarian school curricula.</w:t>
      </w:r>
    </w:p>
    <w:p w:rsidR="003A08DC" w:rsidRDefault="003A08DC" w:rsidP="00C14270">
      <w:pPr>
        <w:pStyle w:val="NormalWeb"/>
        <w:numPr>
          <w:ilvl w:val="0"/>
          <w:numId w:val="6"/>
        </w:numPr>
        <w:spacing w:before="0" w:beforeAutospacing="0" w:after="0" w:afterAutospacing="0"/>
        <w:ind w:left="0"/>
        <w:jc w:val="both"/>
        <w:rPr>
          <w:rFonts w:ascii="Arial" w:eastAsia="TTCC37o00" w:hAnsi="Arial" w:cs="Arial"/>
          <w:color w:val="auto"/>
          <w:sz w:val="22"/>
          <w:szCs w:val="22"/>
          <w:lang w:val="en-US"/>
        </w:rPr>
      </w:pPr>
      <w:r>
        <w:rPr>
          <w:rFonts w:ascii="Arial" w:eastAsia="TTCC37o00" w:hAnsi="Arial" w:cs="Arial"/>
          <w:color w:val="auto"/>
          <w:sz w:val="22"/>
          <w:szCs w:val="22"/>
          <w:lang w:val="en-US"/>
        </w:rPr>
        <w:t>School environment is not suitable for young people to acquire comprehensive sexuality education and the respondents in a Summary report do not even rank it among their reliable sources of information.</w:t>
      </w:r>
    </w:p>
    <w:p w:rsidR="003A08DC" w:rsidRDefault="003A08DC" w:rsidP="00C14270">
      <w:pPr>
        <w:pStyle w:val="ListParagraph"/>
        <w:numPr>
          <w:ilvl w:val="0"/>
          <w:numId w:val="6"/>
        </w:numPr>
        <w:ind w:left="0"/>
        <w:jc w:val="both"/>
        <w:rPr>
          <w:rFonts w:ascii="Arial" w:eastAsia="TTCC37o00" w:hAnsi="Arial" w:cs="Arial"/>
          <w:sz w:val="22"/>
          <w:szCs w:val="22"/>
          <w:lang w:val="en-US"/>
        </w:rPr>
      </w:pPr>
      <w:r>
        <w:rPr>
          <w:rFonts w:ascii="Arial" w:eastAsia="TTCC37o00" w:hAnsi="Arial" w:cs="Arial"/>
          <w:sz w:val="22"/>
          <w:szCs w:val="22"/>
          <w:lang w:val="en-US"/>
        </w:rPr>
        <w:t>There is no centralized and unified idea about what sexuality education on contraception, HIV and STIs prevention should be like. There are existing policies but they remain out of the practice of the educational system. The services and education on these topics is mainly provided by the NGO sector.</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Reports on verbal and physical abuse of women by hospital staff during abortion and delivery are very common in Bulgaria, albeit primarily oral. Therefore, they leave very little trace. Socially, the most typical and omnipresent ill-treatment of </w:t>
      </w:r>
      <w:proofErr w:type="spellStart"/>
      <w:r>
        <w:rPr>
          <w:rFonts w:ascii="Arial" w:hAnsi="Arial" w:cs="Arial"/>
          <w:sz w:val="22"/>
          <w:szCs w:val="22"/>
          <w:lang w:val="en-US"/>
        </w:rPr>
        <w:t>labouring</w:t>
      </w:r>
      <w:proofErr w:type="spellEnd"/>
      <w:r>
        <w:rPr>
          <w:rFonts w:ascii="Arial" w:hAnsi="Arial" w:cs="Arial"/>
          <w:sz w:val="22"/>
          <w:szCs w:val="22"/>
          <w:lang w:val="en-US"/>
        </w:rPr>
        <w:t xml:space="preserve"> women, such as shouting at them, making sarcastic and vulgar remarks, forbidding them to scream, and slapping them, is widely accepted as the natural way of birth.</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The </w:t>
      </w:r>
      <w:proofErr w:type="spellStart"/>
      <w:r>
        <w:rPr>
          <w:rFonts w:ascii="Arial" w:hAnsi="Arial" w:cs="Arial"/>
          <w:sz w:val="22"/>
          <w:szCs w:val="22"/>
          <w:lang w:val="en-US"/>
        </w:rPr>
        <w:t>labouring</w:t>
      </w:r>
      <w:proofErr w:type="spellEnd"/>
      <w:r>
        <w:rPr>
          <w:rFonts w:ascii="Arial" w:hAnsi="Arial" w:cs="Arial"/>
          <w:sz w:val="22"/>
          <w:szCs w:val="22"/>
          <w:lang w:val="en-US"/>
        </w:rPr>
        <w:t xml:space="preserve"> women are expected to be apologetic and docile. Disobedience may be punished by inflicting unnecessary pain by staff during delivery.</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Roma women are segregated and ignored.</w:t>
      </w: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 xml:space="preserve">Similar experiences are shared by women who suffered miscarriages or underwent abortions. The women are approached with continuous requests for money during the miscarriage and while in pain; they are threatened, coerced, and shamed. Some report that during abortion, no nurse was present and only male staff. </w:t>
      </w:r>
    </w:p>
    <w:p w:rsidR="003A08DC" w:rsidRDefault="003A08DC" w:rsidP="00C14270">
      <w:pPr>
        <w:pStyle w:val="ListParagraph"/>
        <w:numPr>
          <w:ilvl w:val="0"/>
          <w:numId w:val="6"/>
        </w:numPr>
        <w:ind w:left="0"/>
        <w:jc w:val="both"/>
        <w:rPr>
          <w:rFonts w:ascii="Arial" w:eastAsia="TTCC37o00" w:hAnsi="Arial"/>
          <w:sz w:val="22"/>
          <w:szCs w:val="22"/>
          <w:lang w:val="en-US"/>
        </w:rPr>
      </w:pPr>
      <w:r>
        <w:rPr>
          <w:rFonts w:ascii="Arial" w:hAnsi="Arial" w:cs="Arial"/>
          <w:sz w:val="22"/>
          <w:szCs w:val="22"/>
          <w:lang w:val="en-US"/>
        </w:rPr>
        <w:t>There is no quantitative data whatsoever in respect of the abuse suffered by women in maternity wards in Bulgaria. There is no comprehensive and specialized research or investigation of this issue, nor are there any successful attempts at strategic litigation as ways of addressing the problem and creating publicity.</w:t>
      </w:r>
      <w:r w:rsidR="000E4988">
        <w:rPr>
          <w:rFonts w:ascii="Arial" w:hAnsi="Arial" w:cs="Arial"/>
          <w:sz w:val="22"/>
          <w:szCs w:val="22"/>
          <w:lang w:val="en-US"/>
        </w:rPr>
        <w:t xml:space="preserve"> Only recently, the Media started paying attention to the issue but after the deaths of several women while in labor.</w:t>
      </w:r>
    </w:p>
    <w:p w:rsidR="003A08DC" w:rsidRDefault="003A08DC" w:rsidP="00C14270">
      <w:pPr>
        <w:jc w:val="both"/>
        <w:rPr>
          <w:rFonts w:ascii="Arial" w:hAnsi="Arial" w:cs="Arial"/>
          <w:sz w:val="22"/>
          <w:szCs w:val="22"/>
          <w:lang w:val="en-US"/>
        </w:rPr>
      </w:pPr>
    </w:p>
    <w:p w:rsidR="003A08DC" w:rsidRPr="00896760" w:rsidRDefault="003A08DC" w:rsidP="00C14270">
      <w:pPr>
        <w:jc w:val="both"/>
        <w:rPr>
          <w:rFonts w:ascii="Arial" w:hAnsi="Arial" w:cs="Arial"/>
          <w:b/>
          <w:bCs/>
          <w:color w:val="C0504D" w:themeColor="accent2"/>
          <w:sz w:val="22"/>
          <w:szCs w:val="22"/>
          <w:lang w:val="en-US"/>
        </w:rPr>
      </w:pPr>
      <w:r w:rsidRPr="00896760">
        <w:rPr>
          <w:rFonts w:ascii="Arial" w:hAnsi="Arial" w:cs="Arial"/>
          <w:b/>
          <w:bCs/>
          <w:color w:val="C0504D" w:themeColor="accent2"/>
          <w:sz w:val="22"/>
          <w:szCs w:val="22"/>
          <w:lang w:val="ru-RU"/>
        </w:rPr>
        <w:t>VІ</w:t>
      </w:r>
      <w:r w:rsidRPr="00896760">
        <w:rPr>
          <w:rFonts w:ascii="Arial" w:hAnsi="Arial" w:cs="Arial"/>
          <w:b/>
          <w:bCs/>
          <w:color w:val="C0504D" w:themeColor="accent2"/>
          <w:sz w:val="22"/>
          <w:szCs w:val="22"/>
          <w:lang w:val="en-US"/>
        </w:rPr>
        <w:t>. Disadvantaged groups of women</w:t>
      </w:r>
    </w:p>
    <w:p w:rsidR="00AF74E8" w:rsidRDefault="00AF74E8" w:rsidP="00C14270">
      <w:pPr>
        <w:jc w:val="both"/>
        <w:rPr>
          <w:rFonts w:ascii="Arial" w:hAnsi="Arial" w:cs="Arial"/>
          <w:b/>
          <w:bCs/>
          <w:sz w:val="22"/>
          <w:szCs w:val="22"/>
          <w:lang w:val="en-US"/>
        </w:rPr>
      </w:pPr>
    </w:p>
    <w:p w:rsidR="003A08DC" w:rsidRDefault="003A08DC" w:rsidP="00C14270">
      <w:pPr>
        <w:pStyle w:val="Default"/>
        <w:numPr>
          <w:ilvl w:val="0"/>
          <w:numId w:val="6"/>
        </w:numPr>
        <w:ind w:left="0"/>
        <w:jc w:val="both"/>
        <w:rPr>
          <w:rFonts w:ascii="Arial" w:hAnsi="Arial" w:cs="Arial"/>
          <w:color w:val="auto"/>
          <w:sz w:val="22"/>
          <w:szCs w:val="22"/>
        </w:rPr>
      </w:pPr>
      <w:r>
        <w:rPr>
          <w:rFonts w:ascii="Arial" w:hAnsi="Arial" w:cs="Arial"/>
          <w:color w:val="auto"/>
          <w:sz w:val="22"/>
          <w:szCs w:val="22"/>
        </w:rPr>
        <w:t xml:space="preserve">Bulgarian authorities and the courts </w:t>
      </w:r>
      <w:r>
        <w:rPr>
          <w:rFonts w:ascii="Arial" w:hAnsi="Arial" w:cs="Arial"/>
          <w:color w:val="auto"/>
          <w:sz w:val="22"/>
          <w:szCs w:val="22"/>
          <w:lang w:val="en-US"/>
        </w:rPr>
        <w:t xml:space="preserve">fail </w:t>
      </w:r>
      <w:r>
        <w:rPr>
          <w:rFonts w:ascii="Arial" w:hAnsi="Arial" w:cs="Arial"/>
          <w:color w:val="auto"/>
          <w:sz w:val="22"/>
          <w:szCs w:val="22"/>
        </w:rPr>
        <w:t xml:space="preserve">to consider </w:t>
      </w:r>
      <w:r>
        <w:rPr>
          <w:rFonts w:ascii="Arial" w:hAnsi="Arial" w:cs="Arial"/>
          <w:color w:val="auto"/>
          <w:sz w:val="22"/>
          <w:szCs w:val="22"/>
          <w:lang w:val="en-US"/>
        </w:rPr>
        <w:t>asylum applications in</w:t>
      </w:r>
      <w:r>
        <w:rPr>
          <w:rFonts w:ascii="Arial" w:hAnsi="Arial" w:cs="Arial"/>
          <w:color w:val="auto"/>
          <w:sz w:val="22"/>
          <w:szCs w:val="22"/>
        </w:rPr>
        <w:t xml:space="preserve"> the context of possible gender-related persecution</w:t>
      </w:r>
      <w:r>
        <w:rPr>
          <w:rFonts w:ascii="Arial" w:hAnsi="Arial" w:cs="Arial"/>
          <w:color w:val="auto"/>
          <w:sz w:val="22"/>
          <w:szCs w:val="22"/>
          <w:lang w:val="en-US"/>
        </w:rPr>
        <w:t>, which</w:t>
      </w:r>
      <w:r>
        <w:rPr>
          <w:rFonts w:ascii="Arial" w:hAnsi="Arial" w:cs="Arial"/>
          <w:color w:val="auto"/>
          <w:sz w:val="22"/>
          <w:szCs w:val="22"/>
        </w:rPr>
        <w:t xml:space="preserve"> constitutes discrimination. The refusal of the </w:t>
      </w:r>
      <w:r>
        <w:rPr>
          <w:rFonts w:ascii="Arial" w:hAnsi="Arial" w:cs="Arial"/>
          <w:color w:val="auto"/>
          <w:sz w:val="22"/>
          <w:szCs w:val="22"/>
          <w:lang w:val="en-US"/>
        </w:rPr>
        <w:t>S</w:t>
      </w:r>
      <w:r>
        <w:rPr>
          <w:rFonts w:ascii="Arial" w:hAnsi="Arial" w:cs="Arial"/>
          <w:color w:val="auto"/>
          <w:sz w:val="22"/>
          <w:szCs w:val="22"/>
        </w:rPr>
        <w:t>tate to comply with the modern standards of asylum and refugee law in respect of women’s rights to equal treatment is a serious violation of its procedural obligations.</w:t>
      </w:r>
    </w:p>
    <w:p w:rsidR="003A08DC" w:rsidRDefault="003A08DC" w:rsidP="00C14270">
      <w:pPr>
        <w:pStyle w:val="NormalWeb"/>
        <w:numPr>
          <w:ilvl w:val="0"/>
          <w:numId w:val="6"/>
        </w:numPr>
        <w:spacing w:before="0" w:beforeAutospacing="0" w:after="0" w:afterAutospacing="0"/>
        <w:ind w:left="0"/>
        <w:jc w:val="both"/>
        <w:rPr>
          <w:rFonts w:ascii="Arial" w:hAnsi="Arial" w:cs="Arial"/>
          <w:color w:val="auto"/>
          <w:sz w:val="22"/>
          <w:szCs w:val="22"/>
          <w:lang w:val="en-US"/>
        </w:rPr>
      </w:pPr>
      <w:r>
        <w:rPr>
          <w:rStyle w:val="google-src-text"/>
          <w:rFonts w:ascii="Arial" w:hAnsi="Arial" w:cs="Arial"/>
          <w:color w:val="auto"/>
          <w:sz w:val="22"/>
          <w:szCs w:val="22"/>
        </w:rPr>
        <w:t xml:space="preserve">Disadvantaged social categories </w:t>
      </w:r>
      <w:r>
        <w:rPr>
          <w:rStyle w:val="google-src-text"/>
          <w:rFonts w:ascii="Arial" w:hAnsi="Arial" w:cs="Arial"/>
          <w:color w:val="auto"/>
          <w:sz w:val="22"/>
          <w:szCs w:val="22"/>
          <w:lang w:val="en-US"/>
        </w:rPr>
        <w:t xml:space="preserve">are </w:t>
      </w:r>
      <w:r>
        <w:rPr>
          <w:rStyle w:val="google-src-text"/>
          <w:rFonts w:ascii="Arial" w:hAnsi="Arial" w:cs="Arial"/>
          <w:color w:val="auto"/>
          <w:sz w:val="22"/>
          <w:szCs w:val="22"/>
        </w:rPr>
        <w:t>exposed to risk of social exclusion</w:t>
      </w:r>
      <w:r>
        <w:rPr>
          <w:rStyle w:val="google-src-text"/>
          <w:rFonts w:ascii="Arial" w:hAnsi="Arial" w:cs="Arial"/>
          <w:color w:val="auto"/>
          <w:sz w:val="22"/>
          <w:szCs w:val="22"/>
          <w:lang w:val="en-US"/>
        </w:rPr>
        <w:t>.</w:t>
      </w:r>
    </w:p>
    <w:p w:rsidR="003A08DC" w:rsidRDefault="003A08DC" w:rsidP="00C14270">
      <w:pPr>
        <w:pStyle w:val="ListParagraph"/>
        <w:numPr>
          <w:ilvl w:val="0"/>
          <w:numId w:val="6"/>
        </w:numPr>
        <w:ind w:left="0"/>
        <w:jc w:val="both"/>
        <w:rPr>
          <w:rFonts w:ascii="Arial" w:hAnsi="Arial" w:cs="Arial"/>
          <w:sz w:val="22"/>
          <w:szCs w:val="22"/>
          <w:lang w:val="en-US"/>
        </w:rPr>
      </w:pPr>
      <w:r>
        <w:rPr>
          <w:rStyle w:val="google-src-text"/>
          <w:rFonts w:ascii="Arial" w:hAnsi="Arial" w:cs="Arial"/>
          <w:sz w:val="22"/>
          <w:szCs w:val="22"/>
          <w:lang w:val="en-US"/>
        </w:rPr>
        <w:t>Women victims of gender based violence and discrimination, y</w:t>
      </w:r>
      <w:proofErr w:type="spellStart"/>
      <w:r>
        <w:rPr>
          <w:rFonts w:ascii="Arial" w:hAnsi="Arial" w:cs="Arial"/>
          <w:sz w:val="22"/>
          <w:szCs w:val="22"/>
          <w:lang w:val="fr-FR"/>
        </w:rPr>
        <w:t>oung</w:t>
      </w:r>
      <w:proofErr w:type="spellEnd"/>
      <w:r>
        <w:rPr>
          <w:rFonts w:ascii="Arial" w:hAnsi="Arial" w:cs="Arial"/>
          <w:sz w:val="22"/>
          <w:szCs w:val="22"/>
          <w:lang w:val="fr-FR"/>
        </w:rPr>
        <w:t xml:space="preserve"> </w:t>
      </w:r>
      <w:proofErr w:type="spellStart"/>
      <w:r>
        <w:rPr>
          <w:rFonts w:ascii="Arial" w:hAnsi="Arial" w:cs="Arial"/>
          <w:sz w:val="22"/>
          <w:szCs w:val="22"/>
          <w:lang w:val="fr-FR"/>
        </w:rPr>
        <w:t>women</w:t>
      </w:r>
      <w:proofErr w:type="spellEnd"/>
      <w:r>
        <w:rPr>
          <w:rFonts w:ascii="Arial" w:hAnsi="Arial" w:cs="Arial"/>
          <w:sz w:val="22"/>
          <w:szCs w:val="22"/>
          <w:lang w:val="fr-FR"/>
        </w:rPr>
        <w:t xml:space="preserve">, </w:t>
      </w:r>
      <w:r>
        <w:rPr>
          <w:rFonts w:ascii="Arial" w:eastAsia="SimSun" w:hAnsi="Arial" w:cs="Arial"/>
          <w:sz w:val="22"/>
          <w:szCs w:val="22"/>
          <w:lang w:val="en-US"/>
        </w:rPr>
        <w:t xml:space="preserve">minority women, </w:t>
      </w:r>
      <w:r>
        <w:rPr>
          <w:rFonts w:ascii="Arial" w:hAnsi="Arial" w:cs="Arial"/>
          <w:sz w:val="22"/>
          <w:szCs w:val="22"/>
          <w:lang w:val="en-US"/>
        </w:rPr>
        <w:t xml:space="preserve">rural women, </w:t>
      </w:r>
      <w:r>
        <w:rPr>
          <w:rFonts w:ascii="Arial" w:eastAsia="SimSun" w:hAnsi="Arial" w:cs="Arial"/>
          <w:sz w:val="22"/>
          <w:szCs w:val="22"/>
          <w:lang w:val="en-US"/>
        </w:rPr>
        <w:t xml:space="preserve">foreign women and migrant women </w:t>
      </w:r>
      <w:r>
        <w:rPr>
          <w:rFonts w:ascii="Arial" w:hAnsi="Arial" w:cs="Arial"/>
          <w:sz w:val="22"/>
          <w:szCs w:val="22"/>
          <w:lang w:val="en-US"/>
        </w:rPr>
        <w:t>tend to be the most economically dependent in Bulgaria, the most isolated from the society, the most exposed to danger of losing their children in judicial proceedings, they are at risk to be extradited and/or expelled from Bulgaria.</w:t>
      </w:r>
    </w:p>
    <w:p w:rsidR="003A08DC" w:rsidRDefault="003A08DC" w:rsidP="00C14270">
      <w:pPr>
        <w:pStyle w:val="ListParagraph"/>
        <w:numPr>
          <w:ilvl w:val="0"/>
          <w:numId w:val="6"/>
        </w:numPr>
        <w:ind w:left="0"/>
        <w:jc w:val="both"/>
        <w:rPr>
          <w:rStyle w:val="google-src-text"/>
        </w:rPr>
      </w:pPr>
      <w:r>
        <w:rPr>
          <w:rFonts w:ascii="Arial" w:hAnsi="Arial" w:cs="Arial"/>
          <w:sz w:val="22"/>
          <w:szCs w:val="22"/>
          <w:lang w:val="en-US"/>
        </w:rPr>
        <w:t xml:space="preserve">The reasons being: language barrier; lack of legitimate personal documents/visas; culture differences; religious reasons; restrictive bilateral legal agreements on family matters; </w:t>
      </w:r>
      <w:r>
        <w:rPr>
          <w:rStyle w:val="google-src-text"/>
          <w:rFonts w:ascii="Arial" w:hAnsi="Arial" w:cs="Arial"/>
          <w:sz w:val="22"/>
          <w:szCs w:val="22"/>
        </w:rPr>
        <w:t>family constraints and traditional norms regarding women's and gender roles; lack of information regarding legislation on equal opportunities and non-discrimination; difficulties in reconciling family and work due, among others, to the lack of accessible social services of caring of dependent family members; l</w:t>
      </w:r>
      <w:r>
        <w:rPr>
          <w:rFonts w:ascii="Arial" w:hAnsi="Arial" w:cs="Arial"/>
          <w:sz w:val="22"/>
          <w:szCs w:val="22"/>
          <w:lang w:val="en-US"/>
        </w:rPr>
        <w:t xml:space="preserve">illiteracy or lack of proper education; </w:t>
      </w:r>
      <w:r>
        <w:rPr>
          <w:rStyle w:val="google-src-text"/>
          <w:rFonts w:ascii="Arial" w:hAnsi="Arial" w:cs="Arial"/>
          <w:sz w:val="22"/>
          <w:szCs w:val="22"/>
        </w:rPr>
        <w:t xml:space="preserve">lack of self-confidence and esteem cultivated; </w:t>
      </w:r>
      <w:r>
        <w:rPr>
          <w:rFonts w:ascii="Arial" w:hAnsi="Arial" w:cs="Arial"/>
          <w:sz w:val="22"/>
          <w:szCs w:val="22"/>
          <w:lang w:val="en-US"/>
        </w:rPr>
        <w:t xml:space="preserve">deceases preventing them from social communication and </w:t>
      </w:r>
      <w:proofErr w:type="spellStart"/>
      <w:r>
        <w:rPr>
          <w:rFonts w:ascii="Arial" w:hAnsi="Arial" w:cs="Arial"/>
          <w:sz w:val="22"/>
          <w:szCs w:val="22"/>
          <w:lang w:val="en-US"/>
        </w:rPr>
        <w:t>labour</w:t>
      </w:r>
      <w:proofErr w:type="spellEnd"/>
      <w:r>
        <w:rPr>
          <w:rFonts w:ascii="Arial" w:hAnsi="Arial" w:cs="Arial"/>
          <w:sz w:val="22"/>
          <w:szCs w:val="22"/>
          <w:lang w:val="en-US"/>
        </w:rPr>
        <w:t xml:space="preserve"> </w:t>
      </w:r>
      <w:r>
        <w:rPr>
          <w:rFonts w:ascii="Arial" w:hAnsi="Arial" w:cs="Arial"/>
          <w:sz w:val="22"/>
          <w:szCs w:val="22"/>
          <w:lang w:val="en-US"/>
        </w:rPr>
        <w:lastRenderedPageBreak/>
        <w:t xml:space="preserve">realization; minority marginalization; </w:t>
      </w:r>
      <w:r>
        <w:rPr>
          <w:rStyle w:val="google-src-text"/>
          <w:rFonts w:ascii="Arial" w:hAnsi="Arial" w:cs="Arial"/>
          <w:sz w:val="22"/>
          <w:szCs w:val="22"/>
        </w:rPr>
        <w:t>discriminatory attitude of employers; negative image in the Media, etc.</w:t>
      </w:r>
    </w:p>
    <w:p w:rsidR="003A08DC" w:rsidRDefault="003A08DC" w:rsidP="00C14270">
      <w:pPr>
        <w:jc w:val="both"/>
        <w:rPr>
          <w:b/>
          <w:bCs/>
          <w:lang w:val="en-US"/>
        </w:rPr>
      </w:pPr>
    </w:p>
    <w:p w:rsidR="003A08DC" w:rsidRPr="00391586" w:rsidRDefault="003A08DC" w:rsidP="00C14270">
      <w:pPr>
        <w:jc w:val="both"/>
        <w:rPr>
          <w:rFonts w:ascii="Arial" w:hAnsi="Arial" w:cs="Arial"/>
          <w:b/>
          <w:bCs/>
          <w:color w:val="C0504D" w:themeColor="accent2"/>
          <w:sz w:val="22"/>
          <w:szCs w:val="22"/>
          <w:lang w:val="en-US"/>
        </w:rPr>
      </w:pPr>
      <w:r w:rsidRPr="00391586">
        <w:rPr>
          <w:rFonts w:ascii="Arial" w:hAnsi="Arial" w:cs="Arial"/>
          <w:b/>
          <w:bCs/>
          <w:color w:val="C0504D" w:themeColor="accent2"/>
          <w:sz w:val="22"/>
          <w:szCs w:val="22"/>
          <w:lang w:val="ru-RU"/>
        </w:rPr>
        <w:t>VІІ</w:t>
      </w:r>
      <w:r w:rsidRPr="00391586">
        <w:rPr>
          <w:rFonts w:ascii="Arial" w:hAnsi="Arial" w:cs="Arial"/>
          <w:b/>
          <w:bCs/>
          <w:color w:val="C0504D" w:themeColor="accent2"/>
          <w:sz w:val="22"/>
          <w:szCs w:val="22"/>
          <w:lang w:val="en-US"/>
        </w:rPr>
        <w:t xml:space="preserve">. Recommendations </w:t>
      </w:r>
    </w:p>
    <w:p w:rsidR="003A08DC" w:rsidRDefault="003A08DC" w:rsidP="00C14270">
      <w:pPr>
        <w:jc w:val="both"/>
        <w:rPr>
          <w:rFonts w:ascii="Arial" w:hAnsi="Arial" w:cs="Arial"/>
          <w:b/>
          <w:bCs/>
          <w:sz w:val="22"/>
          <w:szCs w:val="22"/>
          <w:lang w:val="en-US"/>
        </w:rPr>
      </w:pPr>
    </w:p>
    <w:p w:rsidR="003A08DC" w:rsidRDefault="003A08DC" w:rsidP="00C14270">
      <w:pPr>
        <w:pStyle w:val="ListParagraph"/>
        <w:numPr>
          <w:ilvl w:val="0"/>
          <w:numId w:val="6"/>
        </w:numPr>
        <w:ind w:left="0"/>
        <w:jc w:val="both"/>
        <w:rPr>
          <w:rFonts w:ascii="Arial" w:hAnsi="Arial" w:cs="Arial"/>
          <w:sz w:val="22"/>
          <w:szCs w:val="22"/>
          <w:lang w:val="en-US"/>
        </w:rPr>
      </w:pPr>
      <w:r>
        <w:rPr>
          <w:rFonts w:ascii="Arial" w:hAnsi="Arial" w:cs="Arial"/>
          <w:sz w:val="22"/>
          <w:szCs w:val="22"/>
          <w:lang w:val="en-US"/>
        </w:rPr>
        <w:t>The following recommendations cover all six areas of concern outlined in the report and could contribute to the CEDAW Committee Concluding observations.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 xml:space="preserve">Ratify the Convention on preventing and </w:t>
      </w:r>
      <w:r w:rsidR="00786626">
        <w:rPr>
          <w:rFonts w:ascii="Arial" w:hAnsi="Arial" w:cs="Arial"/>
          <w:sz w:val="22"/>
          <w:szCs w:val="22"/>
          <w:lang w:val="en-US"/>
        </w:rPr>
        <w:t>combating</w:t>
      </w:r>
      <w:r>
        <w:rPr>
          <w:rFonts w:ascii="Arial" w:hAnsi="Arial" w:cs="Arial"/>
          <w:sz w:val="22"/>
          <w:szCs w:val="22"/>
          <w:lang w:val="en-US"/>
        </w:rPr>
        <w:t xml:space="preserve"> all forms of violence against women, including domestic violence (</w:t>
      </w:r>
      <w:r w:rsidR="00786626">
        <w:rPr>
          <w:rFonts w:ascii="Arial" w:hAnsi="Arial" w:cs="Arial"/>
          <w:sz w:val="22"/>
          <w:szCs w:val="22"/>
          <w:lang w:val="en-US"/>
        </w:rPr>
        <w:t xml:space="preserve">the Istanbul Convention or </w:t>
      </w:r>
      <w:r>
        <w:rPr>
          <w:rFonts w:ascii="Arial" w:hAnsi="Arial" w:cs="Arial"/>
          <w:sz w:val="22"/>
          <w:szCs w:val="22"/>
          <w:lang w:val="en-US"/>
        </w:rPr>
        <w:t>Convention No210 of the Council of Europe);</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Ratify Protocol 12 to the European Convention on Human Rights and Fundamental Freedoms;</w:t>
      </w:r>
    </w:p>
    <w:p w:rsidR="003A08DC" w:rsidRDefault="003A08DC" w:rsidP="00C14270">
      <w:pPr>
        <w:pStyle w:val="ListParagraph"/>
        <w:numPr>
          <w:ilvl w:val="0"/>
          <w:numId w:val="8"/>
        </w:numPr>
        <w:ind w:left="0"/>
        <w:jc w:val="both"/>
        <w:rPr>
          <w:rFonts w:ascii="Arial" w:eastAsia="Times New Roman" w:hAnsi="Arial"/>
          <w:sz w:val="22"/>
          <w:szCs w:val="22"/>
          <w:lang w:val="en-US"/>
        </w:rPr>
      </w:pPr>
      <w:r>
        <w:rPr>
          <w:rFonts w:ascii="Arial" w:eastAsia="Times New Roman" w:hAnsi="Arial"/>
          <w:sz w:val="22"/>
          <w:szCs w:val="22"/>
        </w:rPr>
        <w:t>Take all the necessary measures to disseminate knowledge of the provisions of the</w:t>
      </w:r>
      <w:r>
        <w:rPr>
          <w:rFonts w:ascii="Arial" w:hAnsi="Arial" w:cs="Arial"/>
          <w:sz w:val="22"/>
          <w:szCs w:val="22"/>
          <w:lang w:val="en-US"/>
        </w:rPr>
        <w:t xml:space="preserve"> CEDAW, its Optional protocol and its General Recommendations</w:t>
      </w:r>
      <w:r>
        <w:rPr>
          <w:rFonts w:ascii="Arial" w:eastAsia="Times New Roman" w:hAnsi="Arial"/>
          <w:sz w:val="22"/>
          <w:szCs w:val="22"/>
        </w:rPr>
        <w:t xml:space="preserve"> among judges, prosecutors and lawyers to enable them to invoke and apply the </w:t>
      </w:r>
      <w:r>
        <w:rPr>
          <w:rFonts w:ascii="Arial" w:eastAsia="Times New Roman" w:hAnsi="Arial"/>
          <w:sz w:val="22"/>
          <w:szCs w:val="22"/>
          <w:lang w:val="en-US"/>
        </w:rPr>
        <w:t>Convention</w:t>
      </w:r>
      <w:r>
        <w:rPr>
          <w:rFonts w:ascii="Arial" w:eastAsia="Times New Roman" w:hAnsi="Arial"/>
          <w:sz w:val="22"/>
          <w:szCs w:val="22"/>
        </w:rPr>
        <w:t xml:space="preserve"> in relevant cases</w:t>
      </w:r>
      <w:r>
        <w:rPr>
          <w:rFonts w:ascii="Arial" w:eastAsia="Times New Roman" w:hAnsi="Arial"/>
          <w:sz w:val="22"/>
          <w:szCs w:val="22"/>
          <w:lang w:val="en-US"/>
        </w:rPr>
        <w:t>;</w:t>
      </w:r>
    </w:p>
    <w:p w:rsidR="003A08DC" w:rsidRDefault="000E4988" w:rsidP="00C14270">
      <w:pPr>
        <w:pStyle w:val="H23G"/>
        <w:numPr>
          <w:ilvl w:val="0"/>
          <w:numId w:val="8"/>
        </w:numPr>
        <w:spacing w:before="0" w:after="0" w:line="240" w:lineRule="auto"/>
        <w:ind w:left="0" w:right="0"/>
        <w:jc w:val="both"/>
        <w:rPr>
          <w:rFonts w:ascii="Arial" w:eastAsia="Calibri" w:hAnsi="Arial" w:cs="Arial"/>
          <w:b w:val="0"/>
          <w:bCs w:val="0"/>
        </w:rPr>
      </w:pPr>
      <w:r>
        <w:rPr>
          <w:rFonts w:ascii="Arial" w:hAnsi="Arial" w:cs="Arial"/>
          <w:b w:val="0"/>
          <w:bCs w:val="0"/>
        </w:rPr>
        <w:t>Create a gender equality organ under the gender equality legislation, provide financial means for the implementation of the legislation and provide for sanctions for the lack of implementation of the gender equality policies prescribed to be introduced in all the State institutions</w:t>
      </w:r>
      <w:r w:rsidR="003A08DC">
        <w:rPr>
          <w:rFonts w:ascii="Arial" w:hAnsi="Arial" w:cs="Arial"/>
          <w:b w:val="0"/>
          <w:bCs w:val="0"/>
        </w:rPr>
        <w:t>;</w:t>
      </w:r>
    </w:p>
    <w:p w:rsidR="003A08DC" w:rsidRDefault="003A08DC" w:rsidP="00C14270">
      <w:pPr>
        <w:pStyle w:val="H23G"/>
        <w:numPr>
          <w:ilvl w:val="0"/>
          <w:numId w:val="8"/>
        </w:numPr>
        <w:spacing w:before="0" w:after="0" w:line="240" w:lineRule="auto"/>
        <w:ind w:left="0" w:right="0"/>
        <w:jc w:val="both"/>
        <w:rPr>
          <w:rFonts w:ascii="Arial" w:hAnsi="Arial" w:cs="Arial"/>
          <w:b w:val="0"/>
          <w:bCs w:val="0"/>
          <w:lang w:val="en-US"/>
        </w:rPr>
      </w:pPr>
      <w:r>
        <w:rPr>
          <w:rFonts w:ascii="Arial" w:hAnsi="Arial" w:cs="Arial"/>
          <w:b w:val="0"/>
          <w:bCs w:val="0"/>
          <w:lang w:val="en-US"/>
        </w:rPr>
        <w:t>Adopt</w:t>
      </w:r>
      <w:r>
        <w:rPr>
          <w:rFonts w:ascii="Arial" w:hAnsi="Arial" w:cs="Arial"/>
          <w:b w:val="0"/>
          <w:bCs w:val="0"/>
        </w:rPr>
        <w:t xml:space="preserve"> comprehensive approach to overcome traditional stereotypes regarding the roles of women in family and society, including political, legal and awareness-raising measures involving state officials and civil society</w:t>
      </w:r>
      <w:r>
        <w:rPr>
          <w:rFonts w:ascii="Arial" w:hAnsi="Arial" w:cs="Arial"/>
          <w:b w:val="0"/>
          <w:bCs w:val="0"/>
          <w:lang w:val="en-US"/>
        </w:rPr>
        <w:t xml:space="preserve"> as well as the </w:t>
      </w:r>
      <w:r>
        <w:rPr>
          <w:rFonts w:ascii="Arial" w:hAnsi="Arial" w:cs="Arial"/>
          <w:b w:val="0"/>
          <w:bCs w:val="0"/>
        </w:rPr>
        <w:t>media</w:t>
      </w:r>
      <w:r>
        <w:rPr>
          <w:rFonts w:ascii="Arial" w:hAnsi="Arial" w:cs="Arial"/>
          <w:b w:val="0"/>
          <w:bCs w:val="0"/>
          <w:lang w:val="en-US"/>
        </w:rPr>
        <w:t>;</w:t>
      </w:r>
    </w:p>
    <w:p w:rsidR="00F35FF2" w:rsidRDefault="00F35FF2" w:rsidP="00F35FF2">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 xml:space="preserve">Classify properly </w:t>
      </w:r>
      <w:r>
        <w:rPr>
          <w:rFonts w:ascii="Arial" w:hAnsi="Arial" w:cs="Arial"/>
          <w:sz w:val="22"/>
          <w:szCs w:val="22"/>
        </w:rPr>
        <w:t>domestic violence</w:t>
      </w:r>
      <w:r>
        <w:rPr>
          <w:rFonts w:ascii="Arial" w:hAnsi="Arial" w:cs="Arial"/>
          <w:sz w:val="22"/>
          <w:szCs w:val="22"/>
          <w:lang w:val="en-US"/>
        </w:rPr>
        <w:t xml:space="preserve"> as </w:t>
      </w:r>
      <w:r>
        <w:rPr>
          <w:rFonts w:ascii="Arial" w:hAnsi="Arial" w:cs="Arial"/>
          <w:sz w:val="22"/>
          <w:szCs w:val="22"/>
        </w:rPr>
        <w:t>a criminal offence</w:t>
      </w:r>
      <w:r>
        <w:rPr>
          <w:rFonts w:ascii="Arial" w:hAnsi="Arial" w:cs="Arial"/>
          <w:sz w:val="22"/>
          <w:szCs w:val="22"/>
          <w:lang w:val="en-US"/>
        </w:rPr>
        <w:t>;</w:t>
      </w:r>
    </w:p>
    <w:p w:rsidR="00F35FF2" w:rsidRPr="000E4988" w:rsidRDefault="00F35FF2" w:rsidP="00F35FF2">
      <w:pPr>
        <w:pStyle w:val="ListParagraph"/>
        <w:numPr>
          <w:ilvl w:val="0"/>
          <w:numId w:val="8"/>
        </w:numPr>
        <w:ind w:left="0"/>
        <w:jc w:val="both"/>
        <w:rPr>
          <w:rFonts w:ascii="Arial" w:hAnsi="Arial" w:cs="Arial"/>
          <w:sz w:val="22"/>
          <w:szCs w:val="22"/>
          <w:lang w:val="en-US"/>
        </w:rPr>
      </w:pPr>
      <w:r>
        <w:rPr>
          <w:rFonts w:ascii="Arial" w:eastAsia="Times New Roman" w:hAnsi="Arial"/>
          <w:sz w:val="22"/>
          <w:szCs w:val="22"/>
          <w:lang w:val="en-US"/>
        </w:rPr>
        <w:t xml:space="preserve">Classify </w:t>
      </w:r>
      <w:r>
        <w:rPr>
          <w:rFonts w:ascii="Arial" w:eastAsia="Times New Roman" w:hAnsi="Arial"/>
          <w:sz w:val="22"/>
          <w:szCs w:val="22"/>
        </w:rPr>
        <w:t xml:space="preserve">properly </w:t>
      </w:r>
      <w:r>
        <w:rPr>
          <w:rFonts w:ascii="Arial" w:eastAsia="Times New Roman" w:hAnsi="Arial"/>
          <w:sz w:val="22"/>
          <w:szCs w:val="22"/>
          <w:lang w:val="en-US"/>
        </w:rPr>
        <w:t>stalking as a criminal offence;</w:t>
      </w:r>
    </w:p>
    <w:p w:rsidR="00F35FF2" w:rsidRDefault="00F35FF2" w:rsidP="00F35FF2">
      <w:pPr>
        <w:pStyle w:val="ListParagraph"/>
        <w:numPr>
          <w:ilvl w:val="0"/>
          <w:numId w:val="8"/>
        </w:numPr>
        <w:ind w:left="0"/>
        <w:jc w:val="both"/>
        <w:rPr>
          <w:rFonts w:ascii="Arial" w:hAnsi="Arial" w:cs="Arial"/>
          <w:sz w:val="22"/>
          <w:szCs w:val="22"/>
          <w:lang w:val="en-US"/>
        </w:rPr>
      </w:pPr>
      <w:r>
        <w:rPr>
          <w:rFonts w:ascii="Arial" w:eastAsia="Times New Roman" w:hAnsi="Arial"/>
          <w:sz w:val="22"/>
          <w:szCs w:val="22"/>
          <w:lang w:val="en-US"/>
        </w:rPr>
        <w:t>Classify psycho-social domestic violence as a criminal offence;</w:t>
      </w:r>
    </w:p>
    <w:p w:rsidR="00F35FF2" w:rsidRDefault="00F35FF2" w:rsidP="00F35FF2">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Classify explicitly rape within marriage as a criminal offence;</w:t>
      </w:r>
    </w:p>
    <w:p w:rsidR="003A08DC" w:rsidRPr="000E4988"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C</w:t>
      </w:r>
      <w:r>
        <w:rPr>
          <w:rFonts w:ascii="Arial" w:hAnsi="Arial" w:cs="Arial"/>
          <w:sz w:val="22"/>
          <w:szCs w:val="22"/>
        </w:rPr>
        <w:t>lassify all forms of violence within the family as criminal offences</w:t>
      </w:r>
      <w:r>
        <w:rPr>
          <w:rFonts w:ascii="Arial" w:hAnsi="Arial" w:cs="Arial"/>
          <w:sz w:val="22"/>
          <w:szCs w:val="22"/>
          <w:lang w:val="en-US"/>
        </w:rPr>
        <w:t xml:space="preserve"> (in particular, amend A</w:t>
      </w:r>
      <w:r>
        <w:rPr>
          <w:rFonts w:ascii="Arial" w:eastAsia="Times New Roman" w:hAnsi="Arial"/>
          <w:sz w:val="22"/>
          <w:szCs w:val="22"/>
        </w:rPr>
        <w:t>rticle 161</w:t>
      </w:r>
      <w:r>
        <w:rPr>
          <w:rFonts w:ascii="Arial" w:eastAsia="Times New Roman" w:hAnsi="Arial"/>
          <w:sz w:val="22"/>
          <w:szCs w:val="22"/>
          <w:lang w:val="en-US"/>
        </w:rPr>
        <w:t xml:space="preserve">, paragraph </w:t>
      </w:r>
      <w:r>
        <w:rPr>
          <w:rFonts w:ascii="Arial" w:eastAsia="Times New Roman" w:hAnsi="Arial"/>
          <w:sz w:val="22"/>
          <w:szCs w:val="22"/>
        </w:rPr>
        <w:t>1 of the Penal Code</w:t>
      </w:r>
      <w:r>
        <w:rPr>
          <w:rFonts w:ascii="Arial" w:eastAsia="Times New Roman" w:hAnsi="Arial"/>
          <w:sz w:val="22"/>
          <w:szCs w:val="22"/>
          <w:lang w:val="en-US"/>
        </w:rPr>
        <w:t>);</w:t>
      </w:r>
    </w:p>
    <w:p w:rsidR="003A08DC" w:rsidRDefault="003A08DC" w:rsidP="00C14270">
      <w:pPr>
        <w:pStyle w:val="ListParagraph"/>
        <w:numPr>
          <w:ilvl w:val="0"/>
          <w:numId w:val="8"/>
        </w:numPr>
        <w:autoSpaceDE w:val="0"/>
        <w:autoSpaceDN w:val="0"/>
        <w:adjustRightInd w:val="0"/>
        <w:ind w:left="0"/>
        <w:jc w:val="both"/>
        <w:rPr>
          <w:rFonts w:ascii="Arial" w:hAnsi="Arial" w:cs="Arial"/>
          <w:color w:val="000000"/>
          <w:sz w:val="22"/>
          <w:szCs w:val="22"/>
          <w:lang w:val="en-US"/>
        </w:rPr>
      </w:pPr>
      <w:r>
        <w:rPr>
          <w:rFonts w:ascii="Arial" w:hAnsi="Arial" w:cs="Arial"/>
          <w:color w:val="000000"/>
          <w:sz w:val="22"/>
          <w:szCs w:val="22"/>
        </w:rPr>
        <w:t>Amend article 10 (1) of the</w:t>
      </w:r>
      <w:r>
        <w:rPr>
          <w:rFonts w:ascii="Arial" w:hAnsi="Arial" w:cs="Arial"/>
          <w:color w:val="000000"/>
          <w:sz w:val="22"/>
          <w:szCs w:val="22"/>
          <w:lang w:val="en-US"/>
        </w:rPr>
        <w:t xml:space="preserve"> PDVA </w:t>
      </w:r>
      <w:r>
        <w:rPr>
          <w:rFonts w:ascii="Arial" w:hAnsi="Arial" w:cs="Arial"/>
          <w:color w:val="000000"/>
          <w:sz w:val="22"/>
          <w:szCs w:val="22"/>
        </w:rPr>
        <w:t>so as to remove the one-month time limit and to ensure that protection orders are</w:t>
      </w:r>
      <w:r>
        <w:rPr>
          <w:rFonts w:ascii="Arial" w:hAnsi="Arial" w:cs="Arial"/>
          <w:color w:val="000000"/>
          <w:sz w:val="22"/>
          <w:szCs w:val="22"/>
          <w:lang w:val="en-US"/>
        </w:rPr>
        <w:t xml:space="preserve"> </w:t>
      </w:r>
      <w:r>
        <w:rPr>
          <w:rFonts w:ascii="Arial" w:hAnsi="Arial" w:cs="Arial"/>
          <w:color w:val="000000"/>
          <w:sz w:val="22"/>
          <w:szCs w:val="22"/>
        </w:rPr>
        <w:t>available without placing undue administrative and legal burdens on applicants</w:t>
      </w:r>
      <w:r>
        <w:rPr>
          <w:rFonts w:ascii="Arial" w:hAnsi="Arial" w:cs="Arial"/>
          <w:color w:val="000000"/>
          <w:sz w:val="22"/>
          <w:szCs w:val="22"/>
          <w:lang w:val="en-US"/>
        </w:rPr>
        <w:t>;</w:t>
      </w:r>
    </w:p>
    <w:p w:rsidR="003A08DC" w:rsidRDefault="003A08DC" w:rsidP="00C14270">
      <w:pPr>
        <w:pStyle w:val="ListParagraph"/>
        <w:numPr>
          <w:ilvl w:val="0"/>
          <w:numId w:val="8"/>
        </w:numPr>
        <w:autoSpaceDE w:val="0"/>
        <w:autoSpaceDN w:val="0"/>
        <w:adjustRightInd w:val="0"/>
        <w:ind w:left="0"/>
        <w:jc w:val="both"/>
        <w:rPr>
          <w:rFonts w:ascii="Arial" w:hAnsi="Arial" w:cs="Arial"/>
          <w:color w:val="000000"/>
          <w:sz w:val="22"/>
          <w:szCs w:val="22"/>
          <w:lang w:val="en-US"/>
        </w:rPr>
      </w:pPr>
      <w:r>
        <w:rPr>
          <w:rFonts w:ascii="Arial" w:hAnsi="Arial" w:cs="Arial"/>
          <w:color w:val="000000"/>
          <w:sz w:val="22"/>
          <w:szCs w:val="22"/>
        </w:rPr>
        <w:t xml:space="preserve">Ensure that the provisions in the </w:t>
      </w:r>
      <w:r>
        <w:rPr>
          <w:rFonts w:ascii="Arial" w:hAnsi="Arial" w:cs="Arial"/>
          <w:color w:val="000000"/>
          <w:sz w:val="22"/>
          <w:szCs w:val="22"/>
          <w:lang w:val="en-US"/>
        </w:rPr>
        <w:t>PDVA</w:t>
      </w:r>
      <w:r>
        <w:rPr>
          <w:rFonts w:ascii="Arial" w:hAnsi="Arial" w:cs="Arial"/>
          <w:color w:val="000000"/>
          <w:sz w:val="22"/>
          <w:szCs w:val="22"/>
        </w:rPr>
        <w:t xml:space="preserve"> ease the burden of proof in favour of the victim by amending</w:t>
      </w:r>
      <w:r>
        <w:rPr>
          <w:rFonts w:ascii="Arial" w:hAnsi="Arial" w:cs="Arial"/>
          <w:color w:val="000000"/>
          <w:sz w:val="22"/>
          <w:szCs w:val="22"/>
          <w:lang w:val="en-US"/>
        </w:rPr>
        <w:t xml:space="preserve"> </w:t>
      </w:r>
      <w:r>
        <w:rPr>
          <w:rFonts w:ascii="Arial" w:hAnsi="Arial" w:cs="Arial"/>
          <w:color w:val="000000"/>
          <w:sz w:val="22"/>
          <w:szCs w:val="22"/>
        </w:rPr>
        <w:t>the Law</w:t>
      </w:r>
      <w:r>
        <w:rPr>
          <w:rFonts w:ascii="Arial" w:hAnsi="Arial" w:cs="Arial"/>
          <w:color w:val="000000"/>
          <w:sz w:val="22"/>
          <w:szCs w:val="22"/>
          <w:lang w:val="en-US"/>
        </w:rPr>
        <w:t xml:space="preserve"> </w:t>
      </w:r>
      <w:r>
        <w:rPr>
          <w:rFonts w:ascii="Arial" w:hAnsi="Arial" w:cs="Arial"/>
          <w:color w:val="000000"/>
          <w:sz w:val="22"/>
          <w:szCs w:val="22"/>
        </w:rPr>
        <w:t>accordingly</w:t>
      </w:r>
      <w:r>
        <w:rPr>
          <w:rFonts w:ascii="Arial" w:hAnsi="Arial" w:cs="Arial"/>
          <w:color w:val="000000"/>
          <w:sz w:val="22"/>
          <w:szCs w:val="22"/>
          <w:lang w:val="en-US"/>
        </w:rPr>
        <w:t>;</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eastAsia="Times New Roman" w:hAnsi="Arial"/>
          <w:sz w:val="22"/>
          <w:szCs w:val="22"/>
          <w:lang w:val="en-US"/>
        </w:rPr>
        <w:t>Provide p</w:t>
      </w:r>
      <w:r>
        <w:rPr>
          <w:rFonts w:ascii="Arial" w:hAnsi="Arial" w:cs="Arial"/>
          <w:sz w:val="22"/>
          <w:szCs w:val="22"/>
          <w:lang w:val="en-US"/>
        </w:rPr>
        <w:t xml:space="preserve">ossibility for the Police to initiate proceedings under the PDVA in cases where emergency protection orders are needed;  </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Legally recognize the Counseling centers of the NGOs providing services for domestic violence victims (legal counseling, psycho-social counseling, work with couples, job search consultancy and work with the perpetrators), as social services;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Adopt a methodology for the work of the Counseling centers in order to ensure equal protection of the victims throughout the country.</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color w:val="000000"/>
          <w:sz w:val="22"/>
          <w:szCs w:val="22"/>
        </w:rPr>
        <w:t xml:space="preserve">Ensure that a sufficient number of state-funded </w:t>
      </w:r>
      <w:r>
        <w:rPr>
          <w:rFonts w:ascii="Arial" w:hAnsi="Arial" w:cs="Arial"/>
          <w:color w:val="000000"/>
          <w:sz w:val="22"/>
          <w:szCs w:val="22"/>
          <w:lang w:val="en-US"/>
        </w:rPr>
        <w:t>crisis centers</w:t>
      </w:r>
      <w:r>
        <w:rPr>
          <w:rFonts w:ascii="Arial" w:hAnsi="Arial" w:cs="Arial"/>
          <w:color w:val="000000"/>
          <w:sz w:val="22"/>
          <w:szCs w:val="22"/>
        </w:rPr>
        <w:t xml:space="preserve"> are available to victims of domestic violence and their children</w:t>
      </w:r>
      <w:r>
        <w:rPr>
          <w:rFonts w:ascii="Arial" w:hAnsi="Arial" w:cs="Arial"/>
          <w:color w:val="000000"/>
          <w:sz w:val="22"/>
          <w:szCs w:val="22"/>
          <w:lang w:val="en-US"/>
        </w:rPr>
        <w:t xml:space="preserve">, especially </w:t>
      </w:r>
      <w:r>
        <w:rPr>
          <w:rFonts w:ascii="Arial" w:hAnsi="Arial" w:cs="Arial"/>
          <w:sz w:val="22"/>
          <w:szCs w:val="22"/>
          <w:lang w:val="en-US"/>
        </w:rPr>
        <w:t>in the small cities, villages and remote places;</w:t>
      </w:r>
    </w:p>
    <w:p w:rsidR="003A08DC" w:rsidRDefault="003A08DC" w:rsidP="00C14270">
      <w:pPr>
        <w:pStyle w:val="ListParagraph"/>
        <w:numPr>
          <w:ilvl w:val="0"/>
          <w:numId w:val="8"/>
        </w:numPr>
        <w:autoSpaceDE w:val="0"/>
        <w:autoSpaceDN w:val="0"/>
        <w:adjustRightInd w:val="0"/>
        <w:ind w:left="0"/>
        <w:jc w:val="both"/>
        <w:rPr>
          <w:rFonts w:ascii="Arial" w:hAnsi="Arial" w:cs="Arial"/>
          <w:color w:val="000000"/>
          <w:sz w:val="22"/>
          <w:szCs w:val="22"/>
          <w:lang w:val="en-US"/>
        </w:rPr>
      </w:pPr>
      <w:r>
        <w:rPr>
          <w:rFonts w:ascii="Arial" w:hAnsi="Arial" w:cs="Arial"/>
          <w:sz w:val="22"/>
          <w:szCs w:val="22"/>
          <w:lang w:val="en-US"/>
        </w:rPr>
        <w:t xml:space="preserve">Provide shelter without bureaucratic proceedings in the process of application and ensure the crisis centers are not of residential type in order not to re-victimize the people in need forcing them into yet another dependency; </w:t>
      </w:r>
    </w:p>
    <w:p w:rsidR="003A08DC" w:rsidRDefault="003A08DC" w:rsidP="00C14270">
      <w:pPr>
        <w:pStyle w:val="ListParagraph"/>
        <w:numPr>
          <w:ilvl w:val="0"/>
          <w:numId w:val="8"/>
        </w:numPr>
        <w:ind w:left="0"/>
        <w:jc w:val="both"/>
        <w:rPr>
          <w:rFonts w:ascii="Arial" w:eastAsia="Times New Roman" w:hAnsi="Arial"/>
          <w:color w:val="000000"/>
          <w:sz w:val="22"/>
          <w:szCs w:val="22"/>
          <w:lang w:val="en-US"/>
        </w:rPr>
      </w:pPr>
      <w:r>
        <w:rPr>
          <w:rFonts w:ascii="Arial" w:eastAsia="Times New Roman" w:hAnsi="Arial"/>
          <w:color w:val="000000"/>
          <w:sz w:val="22"/>
          <w:szCs w:val="22"/>
        </w:rPr>
        <w:t>Adequately fund and place the responsibility for the management of the domestic violence shelters, hotlines and other related services with NGOs</w:t>
      </w:r>
      <w:r>
        <w:rPr>
          <w:rFonts w:ascii="Arial" w:eastAsia="Times New Roman" w:hAnsi="Arial"/>
          <w:color w:val="000000"/>
          <w:sz w:val="22"/>
          <w:szCs w:val="22"/>
          <w:lang w:val="en-US"/>
        </w:rPr>
        <w:t>;</w:t>
      </w:r>
    </w:p>
    <w:p w:rsidR="003A08DC" w:rsidRDefault="003A08DC" w:rsidP="00C14270">
      <w:pPr>
        <w:pStyle w:val="ListParagraph"/>
        <w:numPr>
          <w:ilvl w:val="0"/>
          <w:numId w:val="8"/>
        </w:numPr>
        <w:ind w:left="0"/>
        <w:jc w:val="both"/>
        <w:rPr>
          <w:rFonts w:ascii="Arial" w:eastAsia="Times New Roman" w:hAnsi="Arial"/>
          <w:color w:val="000000"/>
          <w:sz w:val="22"/>
          <w:szCs w:val="22"/>
          <w:lang w:val="en-US"/>
        </w:rPr>
      </w:pPr>
      <w:r>
        <w:rPr>
          <w:rFonts w:ascii="Arial" w:eastAsia="Times New Roman" w:hAnsi="Arial"/>
          <w:color w:val="000000"/>
          <w:sz w:val="22"/>
          <w:szCs w:val="22"/>
        </w:rPr>
        <w:t>Provide adequate and consistent funding to non-governmental organizations working against domestic violence</w:t>
      </w:r>
      <w:r>
        <w:rPr>
          <w:rFonts w:ascii="Arial" w:hAnsi="Arial" w:cs="Arial"/>
          <w:color w:val="000000"/>
          <w:sz w:val="22"/>
          <w:szCs w:val="22"/>
          <w:lang w:val="en-US"/>
        </w:rPr>
        <w:t>;</w:t>
      </w:r>
    </w:p>
    <w:p w:rsidR="003A08DC" w:rsidRDefault="003A08DC" w:rsidP="00C14270">
      <w:pPr>
        <w:pStyle w:val="ListParagraph"/>
        <w:numPr>
          <w:ilvl w:val="0"/>
          <w:numId w:val="8"/>
        </w:numPr>
        <w:ind w:left="0"/>
        <w:jc w:val="both"/>
        <w:rPr>
          <w:rFonts w:ascii="Arial" w:hAnsi="Arial" w:cs="Arial"/>
          <w:color w:val="000000"/>
          <w:sz w:val="22"/>
          <w:szCs w:val="22"/>
          <w:lang w:val="en-US"/>
        </w:rPr>
      </w:pPr>
      <w:r>
        <w:rPr>
          <w:rFonts w:ascii="Arial" w:eastAsia="Times New Roman" w:hAnsi="Arial"/>
          <w:color w:val="000000"/>
          <w:sz w:val="22"/>
          <w:szCs w:val="22"/>
        </w:rPr>
        <w:t>Make a clear financial commitment to mee</w:t>
      </w:r>
      <w:r>
        <w:rPr>
          <w:rFonts w:ascii="Arial" w:hAnsi="Arial" w:cs="Arial"/>
          <w:color w:val="000000"/>
          <w:sz w:val="22"/>
          <w:szCs w:val="22"/>
        </w:rPr>
        <w:t xml:space="preserve">ting the objectives in the </w:t>
      </w:r>
      <w:r>
        <w:rPr>
          <w:rFonts w:ascii="Arial" w:hAnsi="Arial" w:cs="Arial"/>
          <w:color w:val="000000"/>
          <w:sz w:val="22"/>
          <w:szCs w:val="22"/>
          <w:lang w:val="en-US"/>
        </w:rPr>
        <w:t>PDVA;</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lastRenderedPageBreak/>
        <w:t>En</w:t>
      </w:r>
      <w:r>
        <w:rPr>
          <w:rFonts w:ascii="Arial" w:hAnsi="Arial" w:cs="Arial"/>
          <w:sz w:val="22"/>
          <w:szCs w:val="22"/>
        </w:rPr>
        <w:t>sure that domestic violence cases – both criminal and civil, are systematically investigated, that those responsible are brought to justice and punished, and that adequate compensation is provided to the victims</w:t>
      </w:r>
      <w:r>
        <w:rPr>
          <w:rFonts w:ascii="Arial" w:hAnsi="Arial" w:cs="Arial"/>
          <w:sz w:val="22"/>
          <w:szCs w:val="22"/>
          <w:lang w:val="en-US"/>
        </w:rPr>
        <w:t>;</w:t>
      </w:r>
    </w:p>
    <w:p w:rsidR="003A08DC" w:rsidRDefault="003A08DC" w:rsidP="00C14270">
      <w:pPr>
        <w:pStyle w:val="ListParagraph"/>
        <w:numPr>
          <w:ilvl w:val="0"/>
          <w:numId w:val="8"/>
        </w:numPr>
        <w:ind w:left="0"/>
        <w:jc w:val="both"/>
        <w:rPr>
          <w:rFonts w:ascii="Arial" w:hAnsi="Arial" w:cs="Arial"/>
          <w:color w:val="000000"/>
          <w:sz w:val="22"/>
          <w:szCs w:val="22"/>
          <w:lang w:val="en-US"/>
        </w:rPr>
      </w:pPr>
      <w:r>
        <w:rPr>
          <w:rFonts w:ascii="Arial" w:hAnsi="Arial" w:cs="Arial"/>
          <w:color w:val="000000"/>
          <w:sz w:val="22"/>
          <w:szCs w:val="22"/>
        </w:rPr>
        <w:t>Provide mandatory training for judges, lawyers and law enforcement</w:t>
      </w:r>
      <w:r>
        <w:rPr>
          <w:rFonts w:ascii="Arial" w:hAnsi="Arial" w:cs="Arial"/>
          <w:color w:val="000000"/>
          <w:sz w:val="22"/>
          <w:szCs w:val="22"/>
          <w:lang w:val="en-US"/>
        </w:rPr>
        <w:t xml:space="preserve"> </w:t>
      </w:r>
      <w:r>
        <w:rPr>
          <w:rFonts w:ascii="Arial" w:hAnsi="Arial" w:cs="Arial"/>
          <w:color w:val="000000"/>
          <w:sz w:val="22"/>
          <w:szCs w:val="22"/>
        </w:rPr>
        <w:t xml:space="preserve">personnel on the application of the </w:t>
      </w:r>
      <w:r>
        <w:rPr>
          <w:rFonts w:ascii="Arial" w:hAnsi="Arial" w:cs="Arial"/>
          <w:color w:val="000000"/>
          <w:sz w:val="22"/>
          <w:szCs w:val="22"/>
          <w:lang w:val="en-US"/>
        </w:rPr>
        <w:t>PDVA</w:t>
      </w:r>
      <w:r>
        <w:rPr>
          <w:rFonts w:ascii="Arial" w:hAnsi="Arial" w:cs="Arial"/>
          <w:color w:val="000000"/>
          <w:sz w:val="22"/>
          <w:szCs w:val="22"/>
        </w:rPr>
        <w:t>, including on the definition of domestic violence and on gender stereotypes</w:t>
      </w:r>
      <w:r>
        <w:rPr>
          <w:rFonts w:ascii="Arial" w:hAnsi="Arial" w:cs="Arial"/>
          <w:color w:val="000000"/>
          <w:sz w:val="22"/>
          <w:szCs w:val="22"/>
          <w:lang w:val="en-US"/>
        </w:rPr>
        <w:t>;</w:t>
      </w:r>
    </w:p>
    <w:p w:rsidR="003A08DC" w:rsidRDefault="003A08DC" w:rsidP="00C14270">
      <w:pPr>
        <w:pStyle w:val="ListParagraph"/>
        <w:numPr>
          <w:ilvl w:val="0"/>
          <w:numId w:val="8"/>
        </w:numPr>
        <w:ind w:left="0"/>
        <w:jc w:val="both"/>
        <w:rPr>
          <w:rFonts w:ascii="Arial" w:eastAsia="Times New Roman" w:hAnsi="Arial"/>
          <w:color w:val="000000"/>
          <w:sz w:val="22"/>
          <w:szCs w:val="22"/>
          <w:lang w:val="en-US"/>
        </w:rPr>
      </w:pPr>
      <w:r>
        <w:rPr>
          <w:rFonts w:ascii="Arial" w:eastAsia="Times New Roman" w:hAnsi="Arial"/>
          <w:color w:val="000000"/>
          <w:sz w:val="22"/>
          <w:szCs w:val="22"/>
        </w:rPr>
        <w:t xml:space="preserve">Continue to work to increase the coordinated community response between police, </w:t>
      </w:r>
      <w:r>
        <w:rPr>
          <w:rFonts w:ascii="Arial" w:hAnsi="Arial" w:cs="Arial"/>
          <w:color w:val="000000"/>
          <w:sz w:val="22"/>
          <w:szCs w:val="22"/>
          <w:lang w:val="en-US"/>
        </w:rPr>
        <w:t xml:space="preserve">prosecution, </w:t>
      </w:r>
      <w:r>
        <w:rPr>
          <w:rFonts w:ascii="Arial" w:eastAsia="Times New Roman" w:hAnsi="Arial"/>
          <w:color w:val="000000"/>
          <w:sz w:val="22"/>
          <w:szCs w:val="22"/>
        </w:rPr>
        <w:t xml:space="preserve">courts, </w:t>
      </w:r>
      <w:r>
        <w:rPr>
          <w:rFonts w:ascii="Arial" w:hAnsi="Arial" w:cs="Arial"/>
          <w:color w:val="000000"/>
          <w:sz w:val="22"/>
          <w:szCs w:val="22"/>
          <w:lang w:val="en-US"/>
        </w:rPr>
        <w:t>social service</w:t>
      </w:r>
      <w:r>
        <w:rPr>
          <w:rFonts w:ascii="Arial" w:eastAsia="Times New Roman" w:hAnsi="Arial"/>
          <w:color w:val="000000"/>
          <w:sz w:val="22"/>
          <w:szCs w:val="22"/>
        </w:rPr>
        <w:t>, health care providers,</w:t>
      </w:r>
      <w:r>
        <w:rPr>
          <w:rFonts w:ascii="Arial" w:eastAsia="Times New Roman" w:hAnsi="Arial"/>
          <w:color w:val="000000"/>
          <w:sz w:val="22"/>
          <w:szCs w:val="22"/>
          <w:lang w:val="en-US"/>
        </w:rPr>
        <w:t xml:space="preserve"> NGOs</w:t>
      </w:r>
      <w:r>
        <w:rPr>
          <w:rFonts w:ascii="Arial" w:eastAsia="Times New Roman" w:hAnsi="Arial"/>
          <w:color w:val="000000"/>
          <w:sz w:val="22"/>
          <w:szCs w:val="22"/>
        </w:rPr>
        <w:t xml:space="preserve"> and </w:t>
      </w:r>
      <w:r>
        <w:rPr>
          <w:rFonts w:ascii="Arial" w:hAnsi="Arial" w:cs="Arial"/>
          <w:color w:val="000000"/>
          <w:sz w:val="22"/>
          <w:szCs w:val="22"/>
          <w:lang w:val="en-US"/>
        </w:rPr>
        <w:t>M</w:t>
      </w:r>
      <w:r>
        <w:rPr>
          <w:rFonts w:ascii="Arial" w:eastAsia="Times New Roman" w:hAnsi="Arial"/>
          <w:color w:val="000000"/>
          <w:sz w:val="22"/>
          <w:szCs w:val="22"/>
        </w:rPr>
        <w:t>edia</w:t>
      </w:r>
      <w:r>
        <w:rPr>
          <w:rFonts w:ascii="Arial" w:eastAsia="Times New Roman" w:hAnsi="Arial"/>
          <w:color w:val="000000"/>
          <w:sz w:val="22"/>
          <w:szCs w:val="22"/>
          <w:lang w:val="en-US"/>
        </w:rPr>
        <w:t xml:space="preserve"> in order to ensure effective implementation of the PDVA, including through adopting a Coordinated mechanism in cases of domestic violence</w:t>
      </w:r>
      <w:r>
        <w:rPr>
          <w:rFonts w:ascii="Arial" w:hAnsi="Arial" w:cs="Arial"/>
          <w:color w:val="000000"/>
          <w:sz w:val="22"/>
          <w:szCs w:val="22"/>
          <w:lang w:val="en-US"/>
        </w:rPr>
        <w:t>;</w:t>
      </w:r>
    </w:p>
    <w:p w:rsidR="003A08DC" w:rsidRDefault="003A08DC" w:rsidP="00C14270">
      <w:pPr>
        <w:pStyle w:val="ListParagraph"/>
        <w:numPr>
          <w:ilvl w:val="0"/>
          <w:numId w:val="8"/>
        </w:numPr>
        <w:ind w:left="0"/>
        <w:jc w:val="both"/>
        <w:rPr>
          <w:rFonts w:ascii="Arial" w:eastAsia="Times New Roman" w:hAnsi="Arial"/>
          <w:sz w:val="22"/>
          <w:szCs w:val="22"/>
          <w:lang w:val="en-US"/>
        </w:rPr>
      </w:pPr>
      <w:r>
        <w:rPr>
          <w:rFonts w:ascii="Arial" w:eastAsia="Times New Roman" w:hAnsi="Arial"/>
          <w:sz w:val="22"/>
          <w:szCs w:val="22"/>
          <w:lang w:val="en-US"/>
        </w:rPr>
        <w:t>V</w:t>
      </w:r>
      <w:r>
        <w:rPr>
          <w:rFonts w:ascii="Arial" w:eastAsia="Times New Roman" w:hAnsi="Arial"/>
          <w:sz w:val="22"/>
          <w:szCs w:val="22"/>
        </w:rPr>
        <w:t>igorously pursue its efforts to prevent domestic violence, in particular domestic violence against women, and encourage the victims to report the cases to the authorities</w:t>
      </w:r>
      <w:r>
        <w:rPr>
          <w:rFonts w:ascii="Arial" w:eastAsia="Times New Roman" w:hAnsi="Arial"/>
          <w:sz w:val="22"/>
          <w:szCs w:val="22"/>
          <w:lang w:val="en-US"/>
        </w:rPr>
        <w:t>;</w:t>
      </w:r>
    </w:p>
    <w:p w:rsidR="003A08DC" w:rsidRDefault="003A08DC" w:rsidP="00C14270">
      <w:pPr>
        <w:pStyle w:val="ListParagraph"/>
        <w:numPr>
          <w:ilvl w:val="0"/>
          <w:numId w:val="8"/>
        </w:numPr>
        <w:ind w:left="0"/>
        <w:jc w:val="both"/>
        <w:rPr>
          <w:rFonts w:ascii="Arial" w:eastAsia="Times New Roman" w:hAnsi="Arial"/>
          <w:sz w:val="22"/>
          <w:szCs w:val="22"/>
          <w:lang w:val="en-US"/>
        </w:rPr>
      </w:pPr>
      <w:r>
        <w:rPr>
          <w:rFonts w:ascii="Arial" w:eastAsia="Times New Roman" w:hAnsi="Arial"/>
          <w:sz w:val="22"/>
          <w:szCs w:val="22"/>
          <w:lang w:val="en-US"/>
        </w:rPr>
        <w:t>I</w:t>
      </w:r>
      <w:r>
        <w:rPr>
          <w:rFonts w:ascii="Arial" w:eastAsia="Times New Roman" w:hAnsi="Arial"/>
          <w:sz w:val="22"/>
          <w:szCs w:val="22"/>
        </w:rPr>
        <w:t xml:space="preserve">nitiate </w:t>
      </w:r>
      <w:r>
        <w:rPr>
          <w:rFonts w:ascii="Arial" w:eastAsia="Times New Roman" w:hAnsi="Arial"/>
          <w:sz w:val="22"/>
          <w:szCs w:val="22"/>
          <w:lang w:val="en-US"/>
        </w:rPr>
        <w:t xml:space="preserve">regular </w:t>
      </w:r>
      <w:r>
        <w:rPr>
          <w:rFonts w:ascii="Arial" w:eastAsia="Times New Roman" w:hAnsi="Arial"/>
          <w:sz w:val="22"/>
          <w:szCs w:val="22"/>
        </w:rPr>
        <w:t>gender sensitive monitoring of</w:t>
      </w:r>
      <w:r>
        <w:rPr>
          <w:rFonts w:ascii="Arial" w:eastAsia="Times New Roman" w:hAnsi="Arial"/>
          <w:sz w:val="22"/>
          <w:szCs w:val="22"/>
          <w:lang w:val="en-US"/>
        </w:rPr>
        <w:t xml:space="preserve"> domestic violence cases – both criminal and civil - </w:t>
      </w:r>
      <w:r>
        <w:rPr>
          <w:rFonts w:ascii="Arial" w:eastAsia="Times New Roman" w:hAnsi="Arial"/>
          <w:sz w:val="22"/>
          <w:szCs w:val="22"/>
        </w:rPr>
        <w:t>and analyse the reasons why they are rarely reported</w:t>
      </w:r>
      <w:r>
        <w:rPr>
          <w:rFonts w:ascii="Arial" w:eastAsia="Times New Roman" w:hAnsi="Arial"/>
          <w:sz w:val="22"/>
          <w:szCs w:val="22"/>
          <w:lang w:val="en-US"/>
        </w:rPr>
        <w:t>;</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eastAsia="Times New Roman" w:hAnsi="Arial"/>
          <w:sz w:val="22"/>
          <w:szCs w:val="22"/>
          <w:lang w:val="en-US"/>
        </w:rPr>
        <w:t xml:space="preserve">Ensure </w:t>
      </w:r>
      <w:r>
        <w:rPr>
          <w:rFonts w:ascii="Arial" w:hAnsi="Arial" w:cs="Arial"/>
          <w:sz w:val="22"/>
          <w:szCs w:val="22"/>
          <w:lang w:val="en-US"/>
        </w:rPr>
        <w:t xml:space="preserve">State funded and supported research </w:t>
      </w:r>
      <w:r>
        <w:rPr>
          <w:rFonts w:ascii="Arial" w:hAnsi="Arial" w:cs="Arial"/>
          <w:sz w:val="22"/>
          <w:szCs w:val="22"/>
        </w:rPr>
        <w:t xml:space="preserve">on prevalence, causes and consequences of </w:t>
      </w:r>
      <w:r>
        <w:rPr>
          <w:rFonts w:ascii="Arial" w:hAnsi="Arial" w:cs="Arial"/>
          <w:sz w:val="22"/>
          <w:szCs w:val="22"/>
          <w:lang w:val="en-US"/>
        </w:rPr>
        <w:t xml:space="preserve">gender based </w:t>
      </w:r>
      <w:r>
        <w:rPr>
          <w:rFonts w:ascii="Arial" w:hAnsi="Arial" w:cs="Arial"/>
          <w:sz w:val="22"/>
          <w:szCs w:val="22"/>
        </w:rPr>
        <w:t>violence</w:t>
      </w:r>
      <w:r>
        <w:rPr>
          <w:rFonts w:ascii="Arial" w:hAnsi="Arial" w:cs="Arial"/>
          <w:sz w:val="22"/>
          <w:szCs w:val="22"/>
          <w:lang w:val="en-US"/>
        </w:rPr>
        <w:t>;</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A</w:t>
      </w:r>
      <w:r>
        <w:rPr>
          <w:rFonts w:ascii="Arial" w:hAnsi="Arial" w:cs="Arial"/>
          <w:sz w:val="22"/>
          <w:szCs w:val="22"/>
        </w:rPr>
        <w:t>dopt and/or implement and periodically review and analyse</w:t>
      </w:r>
      <w:r>
        <w:rPr>
          <w:rFonts w:ascii="Arial" w:hAnsi="Arial" w:cs="Arial"/>
          <w:sz w:val="22"/>
          <w:szCs w:val="22"/>
          <w:lang w:val="en-US"/>
        </w:rPr>
        <w:t xml:space="preserve"> its national</w:t>
      </w:r>
      <w:r>
        <w:rPr>
          <w:rFonts w:ascii="Arial" w:hAnsi="Arial" w:cs="Arial"/>
          <w:sz w:val="22"/>
          <w:szCs w:val="22"/>
        </w:rPr>
        <w:t xml:space="preserve"> legislation to ensure its effectiveness in eliminating violence against women, emphasizing the prevention of violence and the prosecution of offenders</w:t>
      </w:r>
      <w:r>
        <w:rPr>
          <w:rFonts w:ascii="Arial" w:hAnsi="Arial" w:cs="Arial"/>
          <w:sz w:val="22"/>
          <w:szCs w:val="22"/>
          <w:lang w:val="en-US"/>
        </w:rPr>
        <w:t>.</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Gather and provide official statistics on the number of complaints, prosecutions and convictions and the sentences imposed in cases of domestic violence, disaggregated by sex and age of victims and perpetrators;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Gather and provide official sex-disaggregated statistical data on the number of protection orders issued under the PDVA per year;</w:t>
      </w:r>
    </w:p>
    <w:p w:rsidR="003A08DC" w:rsidRDefault="003A08DC" w:rsidP="00C14270">
      <w:pPr>
        <w:pStyle w:val="ListParagraph"/>
        <w:numPr>
          <w:ilvl w:val="0"/>
          <w:numId w:val="8"/>
        </w:numPr>
        <w:ind w:left="0"/>
        <w:jc w:val="both"/>
        <w:rPr>
          <w:rFonts w:ascii="Arial" w:hAnsi="Arial" w:cs="Arial"/>
          <w:sz w:val="22"/>
          <w:szCs w:val="22"/>
          <w:lang w:val="en-GB"/>
        </w:rPr>
      </w:pPr>
      <w:r>
        <w:rPr>
          <w:rFonts w:ascii="Arial" w:hAnsi="Arial" w:cs="Arial"/>
          <w:sz w:val="22"/>
          <w:szCs w:val="22"/>
          <w:lang w:val="en-GB"/>
        </w:rPr>
        <w:t>Train the investigation and prosecution authorities to inform the victims of trafficking in human beings of their right to be legally represented;</w:t>
      </w:r>
    </w:p>
    <w:p w:rsidR="003A08DC" w:rsidRDefault="003A08DC" w:rsidP="00C14270">
      <w:pPr>
        <w:pStyle w:val="ListParagraph"/>
        <w:numPr>
          <w:ilvl w:val="0"/>
          <w:numId w:val="8"/>
        </w:numPr>
        <w:ind w:left="0"/>
        <w:jc w:val="both"/>
        <w:rPr>
          <w:rFonts w:ascii="Arial" w:hAnsi="Arial" w:cs="Arial"/>
          <w:sz w:val="22"/>
          <w:szCs w:val="22"/>
          <w:lang w:val="en-GB"/>
        </w:rPr>
      </w:pPr>
      <w:r>
        <w:rPr>
          <w:rFonts w:ascii="Arial" w:hAnsi="Arial" w:cs="Arial"/>
          <w:sz w:val="22"/>
          <w:szCs w:val="22"/>
          <w:lang w:val="en-GB"/>
        </w:rPr>
        <w:t>Draft a Code of Conduct for Hotline Consultants for victims of trafficking in human beings, including a recommendation to inform the victims of their right to have an attorney in the criminal proceedings;</w:t>
      </w:r>
    </w:p>
    <w:p w:rsidR="003A08DC" w:rsidRDefault="003A08DC" w:rsidP="00C14270">
      <w:pPr>
        <w:pStyle w:val="ListParagraph"/>
        <w:numPr>
          <w:ilvl w:val="0"/>
          <w:numId w:val="8"/>
        </w:numPr>
        <w:ind w:left="0"/>
        <w:jc w:val="both"/>
        <w:rPr>
          <w:rFonts w:ascii="Arial" w:hAnsi="Arial" w:cs="Arial"/>
          <w:sz w:val="22"/>
          <w:szCs w:val="22"/>
          <w:lang w:val="en-GB"/>
        </w:rPr>
      </w:pPr>
      <w:r>
        <w:rPr>
          <w:rFonts w:ascii="Arial" w:hAnsi="Arial" w:cs="Arial"/>
          <w:sz w:val="22"/>
          <w:szCs w:val="22"/>
          <w:lang w:val="en-GB"/>
        </w:rPr>
        <w:t>Establish, within the bar associations, separate registers for attorneys who wish to provide free legal aid to victims of trafficking in human beings in the criminal proceedings;</w:t>
      </w:r>
    </w:p>
    <w:p w:rsidR="003A08DC" w:rsidRDefault="003A08DC" w:rsidP="00C14270">
      <w:pPr>
        <w:pStyle w:val="ListParagraph"/>
        <w:numPr>
          <w:ilvl w:val="0"/>
          <w:numId w:val="8"/>
        </w:numPr>
        <w:ind w:left="0"/>
        <w:jc w:val="both"/>
        <w:rPr>
          <w:rFonts w:ascii="Arial" w:hAnsi="Arial" w:cs="Arial"/>
          <w:sz w:val="22"/>
          <w:szCs w:val="22"/>
          <w:lang w:val="en-GB"/>
        </w:rPr>
      </w:pPr>
      <w:r>
        <w:rPr>
          <w:rFonts w:ascii="Arial" w:hAnsi="Arial" w:cs="Arial"/>
          <w:sz w:val="22"/>
          <w:szCs w:val="22"/>
          <w:lang w:val="en-GB"/>
        </w:rPr>
        <w:t>Train the investigation and prosecution authorities to inform the victims of trafficking in human beings properly, in oral conversation and in an understandable language, the substance and the consequences of their right to claim compensation;</w:t>
      </w:r>
    </w:p>
    <w:p w:rsidR="003A08DC" w:rsidRDefault="003A08DC" w:rsidP="00C14270">
      <w:pPr>
        <w:pStyle w:val="ListParagraph"/>
        <w:numPr>
          <w:ilvl w:val="0"/>
          <w:numId w:val="8"/>
        </w:numPr>
        <w:ind w:left="0"/>
        <w:jc w:val="both"/>
        <w:rPr>
          <w:rFonts w:ascii="Arial" w:hAnsi="Arial" w:cs="Arial"/>
          <w:sz w:val="22"/>
          <w:szCs w:val="22"/>
          <w:lang w:val="en-GB"/>
        </w:rPr>
      </w:pPr>
      <w:r>
        <w:rPr>
          <w:rFonts w:ascii="Arial" w:hAnsi="Arial" w:cs="Arial"/>
          <w:sz w:val="22"/>
          <w:szCs w:val="22"/>
          <w:lang w:val="en-GB"/>
        </w:rPr>
        <w:t xml:space="preserve">Put in visible places in the buildings of the investigation offices, and also in hospitals, information flayers explaining the victims’ procedural rights; </w:t>
      </w:r>
    </w:p>
    <w:p w:rsidR="003A08DC" w:rsidRDefault="003A08DC" w:rsidP="00C14270">
      <w:pPr>
        <w:pStyle w:val="Default"/>
        <w:numPr>
          <w:ilvl w:val="0"/>
          <w:numId w:val="8"/>
        </w:numPr>
        <w:ind w:left="0"/>
        <w:jc w:val="both"/>
        <w:rPr>
          <w:rFonts w:ascii="Arial" w:hAnsi="Arial" w:cs="Arial"/>
          <w:color w:val="auto"/>
          <w:sz w:val="22"/>
          <w:szCs w:val="22"/>
          <w:lang w:val="en-GB"/>
        </w:rPr>
      </w:pPr>
      <w:r>
        <w:rPr>
          <w:rFonts w:ascii="Arial" w:hAnsi="Arial" w:cs="Arial"/>
          <w:color w:val="auto"/>
          <w:sz w:val="22"/>
          <w:szCs w:val="22"/>
          <w:lang w:val="en-GB"/>
        </w:rPr>
        <w:t>Create TV campaigns against trafficking in human beings, taking into account the considerable number of illiterate women among the victims;</w:t>
      </w:r>
    </w:p>
    <w:p w:rsidR="003A08DC" w:rsidRDefault="003A08DC" w:rsidP="00C14270">
      <w:pPr>
        <w:pStyle w:val="Default"/>
        <w:numPr>
          <w:ilvl w:val="0"/>
          <w:numId w:val="8"/>
        </w:numPr>
        <w:ind w:left="0"/>
        <w:jc w:val="both"/>
        <w:rPr>
          <w:rFonts w:ascii="Arial" w:hAnsi="Arial" w:cs="Arial"/>
          <w:color w:val="auto"/>
          <w:sz w:val="22"/>
          <w:szCs w:val="22"/>
          <w:lang w:val="en-GB"/>
        </w:rPr>
      </w:pPr>
      <w:r>
        <w:rPr>
          <w:rFonts w:ascii="Arial" w:hAnsi="Arial" w:cs="Arial"/>
          <w:color w:val="auto"/>
          <w:sz w:val="22"/>
          <w:szCs w:val="22"/>
          <w:lang w:val="en-GB"/>
        </w:rPr>
        <w:t>Amend the Compensation Act as to include financial compensation for moral damages;</w:t>
      </w:r>
    </w:p>
    <w:p w:rsidR="003A08DC" w:rsidRDefault="003A08DC" w:rsidP="00C14270">
      <w:pPr>
        <w:pStyle w:val="Default"/>
        <w:numPr>
          <w:ilvl w:val="0"/>
          <w:numId w:val="8"/>
        </w:numPr>
        <w:ind w:left="0"/>
        <w:jc w:val="both"/>
        <w:rPr>
          <w:rFonts w:ascii="Arial" w:hAnsi="Arial" w:cs="Arial"/>
          <w:color w:val="auto"/>
          <w:sz w:val="22"/>
          <w:szCs w:val="22"/>
          <w:lang w:val="en-GB"/>
        </w:rPr>
      </w:pPr>
      <w:r>
        <w:rPr>
          <w:rFonts w:ascii="Arial" w:hAnsi="Arial" w:cs="Arial"/>
          <w:color w:val="auto"/>
          <w:sz w:val="22"/>
          <w:szCs w:val="22"/>
          <w:lang w:val="en-GB"/>
        </w:rPr>
        <w:t xml:space="preserve">Increase significantly the budget allowed for compensations, granted by the State, accumulating it from the assets, which the State acquires from the traffickers on the basis of final court decisions. </w:t>
      </w:r>
    </w:p>
    <w:p w:rsidR="003A08DC" w:rsidRDefault="003A08DC" w:rsidP="00C14270">
      <w:pPr>
        <w:pStyle w:val="H23G"/>
        <w:numPr>
          <w:ilvl w:val="0"/>
          <w:numId w:val="8"/>
        </w:numPr>
        <w:spacing w:before="0" w:after="0" w:line="240" w:lineRule="auto"/>
        <w:ind w:left="0" w:right="0"/>
        <w:jc w:val="both"/>
        <w:rPr>
          <w:rStyle w:val="google-src-text"/>
          <w:b w:val="0"/>
          <w:bCs w:val="0"/>
        </w:rPr>
      </w:pPr>
      <w:r>
        <w:rPr>
          <w:rFonts w:ascii="Arial" w:hAnsi="Arial" w:cs="Arial"/>
          <w:b w:val="0"/>
          <w:bCs w:val="0"/>
        </w:rPr>
        <w:t xml:space="preserve">Consolidate </w:t>
      </w:r>
      <w:r>
        <w:rPr>
          <w:rStyle w:val="google-src-text"/>
          <w:rFonts w:ascii="Arial" w:hAnsi="Arial" w:cs="Arial"/>
          <w:b w:val="0"/>
          <w:bCs w:val="0"/>
        </w:rPr>
        <w:t xml:space="preserve">the motivational background for education and training of minority girls, taking into consideration </w:t>
      </w:r>
      <w:r>
        <w:rPr>
          <w:rStyle w:val="google-src-text"/>
          <w:rFonts w:ascii="Arial" w:hAnsi="Arial" w:cs="Arial"/>
          <w:b w:val="0"/>
          <w:bCs w:val="0"/>
          <w:lang w:val="en-US"/>
        </w:rPr>
        <w:t xml:space="preserve">the </w:t>
      </w:r>
      <w:r>
        <w:rPr>
          <w:rStyle w:val="google-src-text"/>
          <w:rFonts w:ascii="Arial" w:hAnsi="Arial" w:cs="Arial"/>
          <w:b w:val="0"/>
          <w:bCs w:val="0"/>
        </w:rPr>
        <w:t>differences within</w:t>
      </w:r>
      <w:r>
        <w:rPr>
          <w:rStyle w:val="google-src-text"/>
          <w:rFonts w:ascii="Arial" w:hAnsi="Arial" w:cs="Arial"/>
          <w:b w:val="0"/>
          <w:bCs w:val="0"/>
          <w:lang w:val="en-US"/>
        </w:rPr>
        <w:t xml:space="preserve"> the vulnerable groups</w:t>
      </w:r>
      <w:r>
        <w:rPr>
          <w:rStyle w:val="google-src-text"/>
          <w:rFonts w:ascii="Arial" w:hAnsi="Arial" w:cs="Arial"/>
          <w:b w:val="0"/>
          <w:bCs w:val="0"/>
        </w:rPr>
        <w:t>;</w:t>
      </w:r>
    </w:p>
    <w:p w:rsidR="003A08DC" w:rsidRDefault="003A08DC" w:rsidP="00C14270">
      <w:pPr>
        <w:pStyle w:val="H23G"/>
        <w:numPr>
          <w:ilvl w:val="0"/>
          <w:numId w:val="8"/>
        </w:numPr>
        <w:spacing w:before="0" w:after="0" w:line="240" w:lineRule="auto"/>
        <w:ind w:left="0" w:right="0"/>
        <w:jc w:val="both"/>
      </w:pPr>
      <w:r>
        <w:rPr>
          <w:rFonts w:ascii="Arial" w:hAnsi="Arial" w:cs="Arial"/>
          <w:b w:val="0"/>
          <w:bCs w:val="0"/>
        </w:rPr>
        <w:t>Adopt and implement a countrywide preventive mechanism for girls under the legal age for marriage through community awareness-raising strategies focusing on the consequences of the practice of early and informal marriage arrangements, and on the rights and duties of the persons involved;</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eastAsia="TTCC37o00" w:hAnsi="Arial" w:cs="Arial"/>
          <w:sz w:val="22"/>
          <w:szCs w:val="22"/>
          <w:lang w:val="en-US"/>
        </w:rPr>
        <w:t>Adopt legislation ensuring information and access to primary and specialized outpatient assistance for youth;</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eastAsia="TTCC37o00" w:hAnsi="Arial" w:cs="Arial"/>
          <w:sz w:val="22"/>
          <w:szCs w:val="22"/>
          <w:lang w:val="en-US"/>
        </w:rPr>
        <w:t>Build capacity among the youth in order to use effectively the available youth services in the primary and specialized outpatient assistance;</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eastAsia="TTCC37o00" w:hAnsi="Arial" w:cs="Arial"/>
          <w:sz w:val="22"/>
          <w:szCs w:val="22"/>
          <w:lang w:val="en-US"/>
        </w:rPr>
        <w:t>Create coordination mechanism for referral;</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eastAsia="TTCC37o00" w:hAnsi="Arial" w:cs="Arial"/>
          <w:sz w:val="22"/>
          <w:szCs w:val="22"/>
          <w:lang w:val="en-US"/>
        </w:rPr>
        <w:lastRenderedPageBreak/>
        <w:t>Ensure that in the municipal districts the services directed towards young people are of priority for the local decision makers;</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eastAsia="TTCC37o00" w:hAnsi="Arial" w:cs="Arial"/>
          <w:sz w:val="22"/>
          <w:szCs w:val="22"/>
          <w:lang w:val="en-US"/>
        </w:rPr>
        <w:t>Introduce compulsory sexuality education in schools and improve the access to youth services and information;</w:t>
      </w:r>
    </w:p>
    <w:p w:rsidR="003A08DC" w:rsidRDefault="003A08DC" w:rsidP="00C14270">
      <w:pPr>
        <w:pStyle w:val="ListParagraph"/>
        <w:numPr>
          <w:ilvl w:val="0"/>
          <w:numId w:val="8"/>
        </w:numPr>
        <w:ind w:left="0"/>
        <w:jc w:val="both"/>
        <w:rPr>
          <w:rFonts w:ascii="Arial" w:eastAsia="TTCC37o00" w:hAnsi="Arial" w:cs="Arial"/>
          <w:sz w:val="22"/>
          <w:szCs w:val="22"/>
          <w:lang w:val="en-US"/>
        </w:rPr>
      </w:pPr>
      <w:r>
        <w:rPr>
          <w:rFonts w:ascii="Arial" w:hAnsi="Arial" w:cs="Arial"/>
          <w:sz w:val="22"/>
          <w:szCs w:val="22"/>
          <w:lang w:val="en-US"/>
        </w:rPr>
        <w:t>Up-date the</w:t>
      </w:r>
      <w:r>
        <w:rPr>
          <w:rFonts w:ascii="Arial" w:eastAsia="TTCC37o00" w:hAnsi="Arial" w:cs="Arial"/>
          <w:sz w:val="22"/>
          <w:szCs w:val="22"/>
          <w:lang w:val="en-US"/>
        </w:rPr>
        <w:t xml:space="preserve"> existing policies in the educational system in the areas of </w:t>
      </w:r>
      <w:r>
        <w:rPr>
          <w:rFonts w:ascii="Arial" w:hAnsi="Arial" w:cs="Arial"/>
          <w:sz w:val="22"/>
          <w:szCs w:val="22"/>
          <w:lang w:val="en-US"/>
        </w:rPr>
        <w:t>sexual and reproductive health and rights</w:t>
      </w:r>
      <w:r>
        <w:rPr>
          <w:rFonts w:ascii="Arial" w:eastAsia="TTCC37o00" w:hAnsi="Arial" w:cs="Arial"/>
          <w:sz w:val="22"/>
          <w:szCs w:val="22"/>
          <w:lang w:val="en-US"/>
        </w:rPr>
        <w:t>;</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Investigate the issue of abuse of women in hospitals through direct visits;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Enforce penalties for hospital staff who abuse women during childbirth, miscarriage or abortion;</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Carry out training of hospital staff in ethics of assisting childbirth and the consequences of violations;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Introduce measures to prevent extortions;</w:t>
      </w:r>
    </w:p>
    <w:p w:rsidR="003A08DC" w:rsidRDefault="003A08DC" w:rsidP="00C14270">
      <w:pPr>
        <w:pStyle w:val="ListParagraph"/>
        <w:numPr>
          <w:ilvl w:val="0"/>
          <w:numId w:val="8"/>
        </w:numPr>
        <w:ind w:left="0"/>
        <w:jc w:val="both"/>
        <w:rPr>
          <w:rFonts w:ascii="Arial" w:hAnsi="Arial" w:cs="Arial"/>
          <w:sz w:val="22"/>
          <w:szCs w:val="22"/>
          <w:lang w:val="en-US"/>
        </w:rPr>
      </w:pPr>
      <w:r>
        <w:rPr>
          <w:rFonts w:ascii="Arial" w:hAnsi="Arial" w:cs="Arial"/>
          <w:sz w:val="22"/>
          <w:szCs w:val="22"/>
          <w:lang w:val="en-US"/>
        </w:rPr>
        <w:t>Introduce supervision and enforce accountability of the medical staff;</w:t>
      </w:r>
    </w:p>
    <w:p w:rsidR="003A08DC" w:rsidRDefault="003A08DC" w:rsidP="00C14270">
      <w:pPr>
        <w:pStyle w:val="Default"/>
        <w:widowControl w:val="0"/>
        <w:numPr>
          <w:ilvl w:val="0"/>
          <w:numId w:val="8"/>
        </w:numPr>
        <w:ind w:left="0"/>
        <w:jc w:val="both"/>
        <w:rPr>
          <w:rFonts w:ascii="Arial" w:hAnsi="Arial" w:cs="Arial"/>
          <w:color w:val="auto"/>
          <w:sz w:val="22"/>
          <w:szCs w:val="22"/>
        </w:rPr>
      </w:pPr>
      <w:r>
        <w:rPr>
          <w:rFonts w:ascii="Arial" w:hAnsi="Arial" w:cs="Arial"/>
          <w:color w:val="auto"/>
          <w:sz w:val="22"/>
          <w:szCs w:val="22"/>
        </w:rPr>
        <w:t>Introduce legislative changes to include rules about gender-related persecution into the Asylum and Refugees Act;</w:t>
      </w:r>
    </w:p>
    <w:p w:rsidR="003A08DC" w:rsidRDefault="003A08DC" w:rsidP="00C14270">
      <w:pPr>
        <w:pStyle w:val="Default"/>
        <w:widowControl w:val="0"/>
        <w:numPr>
          <w:ilvl w:val="0"/>
          <w:numId w:val="8"/>
        </w:numPr>
        <w:ind w:left="0"/>
        <w:jc w:val="both"/>
        <w:rPr>
          <w:rFonts w:ascii="Arial" w:hAnsi="Arial" w:cs="Arial"/>
          <w:color w:val="auto"/>
          <w:sz w:val="22"/>
          <w:szCs w:val="22"/>
          <w:lang w:val="en-US"/>
        </w:rPr>
      </w:pPr>
      <w:r>
        <w:rPr>
          <w:rFonts w:ascii="Arial" w:hAnsi="Arial" w:cs="Arial"/>
          <w:color w:val="auto"/>
          <w:sz w:val="22"/>
          <w:szCs w:val="22"/>
        </w:rPr>
        <w:t>Produce manuals on gender-related issues in asylum and refugee law, organize trainings, conferences and seminars for judges, prosecutors, lawyers, and the state agency employees</w:t>
      </w:r>
      <w:r>
        <w:rPr>
          <w:rFonts w:ascii="Arial" w:hAnsi="Arial" w:cs="Arial"/>
          <w:color w:val="auto"/>
          <w:sz w:val="22"/>
          <w:szCs w:val="22"/>
          <w:lang w:val="en-US"/>
        </w:rPr>
        <w:t>;</w:t>
      </w:r>
    </w:p>
    <w:p w:rsidR="003A08DC" w:rsidRDefault="003A08DC" w:rsidP="00C14270">
      <w:pPr>
        <w:pStyle w:val="NormalWeb"/>
        <w:numPr>
          <w:ilvl w:val="0"/>
          <w:numId w:val="8"/>
        </w:numPr>
        <w:spacing w:before="0" w:beforeAutospacing="0" w:after="0" w:afterAutospacing="0"/>
        <w:ind w:left="0"/>
        <w:jc w:val="both"/>
        <w:rPr>
          <w:rStyle w:val="google-src-text"/>
        </w:rPr>
      </w:pPr>
      <w:r>
        <w:rPr>
          <w:rStyle w:val="google-src-text"/>
          <w:rFonts w:ascii="Arial" w:hAnsi="Arial" w:cs="Arial"/>
          <w:color w:val="auto"/>
          <w:sz w:val="22"/>
          <w:szCs w:val="22"/>
          <w:lang w:val="en-US"/>
        </w:rPr>
        <w:t>P</w:t>
      </w:r>
      <w:r>
        <w:rPr>
          <w:rStyle w:val="google-src-text"/>
          <w:rFonts w:ascii="Arial" w:hAnsi="Arial" w:cs="Arial"/>
          <w:color w:val="auto"/>
          <w:sz w:val="22"/>
          <w:szCs w:val="22"/>
        </w:rPr>
        <w:t>romot</w:t>
      </w:r>
      <w:r>
        <w:rPr>
          <w:rStyle w:val="google-src-text"/>
          <w:rFonts w:ascii="Arial" w:hAnsi="Arial" w:cs="Arial"/>
          <w:color w:val="auto"/>
          <w:sz w:val="22"/>
          <w:szCs w:val="22"/>
          <w:lang w:val="en-US"/>
        </w:rPr>
        <w:t>e</w:t>
      </w:r>
      <w:r>
        <w:rPr>
          <w:rStyle w:val="google-src-text"/>
          <w:rFonts w:ascii="Arial" w:hAnsi="Arial" w:cs="Arial"/>
          <w:color w:val="auto"/>
          <w:sz w:val="22"/>
          <w:szCs w:val="22"/>
        </w:rPr>
        <w:t xml:space="preserve"> social inclusion </w:t>
      </w:r>
      <w:r>
        <w:rPr>
          <w:rStyle w:val="google-src-text"/>
          <w:rFonts w:ascii="Arial" w:hAnsi="Arial" w:cs="Arial"/>
          <w:color w:val="auto"/>
          <w:sz w:val="22"/>
          <w:szCs w:val="22"/>
          <w:lang w:val="en-US"/>
        </w:rPr>
        <w:t xml:space="preserve">and economic empowerment </w:t>
      </w:r>
      <w:r>
        <w:rPr>
          <w:rStyle w:val="google-src-text"/>
          <w:rFonts w:ascii="Arial" w:hAnsi="Arial" w:cs="Arial"/>
          <w:color w:val="auto"/>
          <w:sz w:val="22"/>
          <w:szCs w:val="22"/>
        </w:rPr>
        <w:t xml:space="preserve">among </w:t>
      </w:r>
      <w:r>
        <w:rPr>
          <w:rStyle w:val="google-src-text"/>
          <w:rFonts w:ascii="Arial" w:hAnsi="Arial" w:cs="Arial"/>
          <w:color w:val="auto"/>
          <w:sz w:val="22"/>
          <w:szCs w:val="22"/>
          <w:lang w:val="en-US"/>
        </w:rPr>
        <w:t>victims of gender based violence and discrimination, y</w:t>
      </w:r>
      <w:proofErr w:type="spellStart"/>
      <w:r>
        <w:rPr>
          <w:rFonts w:ascii="Arial" w:hAnsi="Arial" w:cs="Arial"/>
          <w:color w:val="auto"/>
          <w:sz w:val="22"/>
          <w:szCs w:val="22"/>
          <w:lang w:val="fr-FR"/>
        </w:rPr>
        <w:t>oung</w:t>
      </w:r>
      <w:proofErr w:type="spellEnd"/>
      <w:r>
        <w:rPr>
          <w:rFonts w:ascii="Arial" w:hAnsi="Arial" w:cs="Arial"/>
          <w:color w:val="auto"/>
          <w:sz w:val="22"/>
          <w:szCs w:val="22"/>
          <w:lang w:val="fr-FR"/>
        </w:rPr>
        <w:t xml:space="preserve"> </w:t>
      </w:r>
      <w:proofErr w:type="spellStart"/>
      <w:r>
        <w:rPr>
          <w:rFonts w:ascii="Arial" w:hAnsi="Arial" w:cs="Arial"/>
          <w:color w:val="auto"/>
          <w:sz w:val="22"/>
          <w:szCs w:val="22"/>
          <w:lang w:val="fr-FR"/>
        </w:rPr>
        <w:t>women</w:t>
      </w:r>
      <w:proofErr w:type="spellEnd"/>
      <w:r>
        <w:rPr>
          <w:rFonts w:ascii="Arial" w:hAnsi="Arial" w:cs="Arial"/>
          <w:color w:val="auto"/>
          <w:sz w:val="22"/>
          <w:szCs w:val="22"/>
          <w:lang w:val="fr-FR"/>
        </w:rPr>
        <w:t xml:space="preserve">, </w:t>
      </w:r>
      <w:r>
        <w:rPr>
          <w:rFonts w:ascii="Arial" w:eastAsia="SimSun" w:hAnsi="Arial" w:cs="Arial"/>
          <w:color w:val="auto"/>
          <w:sz w:val="22"/>
          <w:szCs w:val="22"/>
          <w:lang w:val="en-US"/>
        </w:rPr>
        <w:t xml:space="preserve">minority women, </w:t>
      </w:r>
      <w:r>
        <w:rPr>
          <w:rFonts w:ascii="Arial" w:hAnsi="Arial" w:cs="Arial"/>
          <w:color w:val="auto"/>
          <w:sz w:val="22"/>
          <w:szCs w:val="22"/>
          <w:lang w:val="en-US"/>
        </w:rPr>
        <w:t xml:space="preserve">rural women, </w:t>
      </w:r>
      <w:r>
        <w:rPr>
          <w:rFonts w:ascii="Arial" w:eastAsia="SimSun" w:hAnsi="Arial" w:cs="Arial"/>
          <w:color w:val="auto"/>
          <w:sz w:val="22"/>
          <w:szCs w:val="22"/>
          <w:lang w:val="en-US"/>
        </w:rPr>
        <w:t>foreign women and migrant women,</w:t>
      </w:r>
      <w:r>
        <w:rPr>
          <w:rStyle w:val="google-src-text"/>
          <w:rFonts w:ascii="Arial" w:hAnsi="Arial" w:cs="Arial"/>
          <w:color w:val="auto"/>
          <w:sz w:val="22"/>
          <w:szCs w:val="22"/>
        </w:rPr>
        <w:t xml:space="preserve"> based on the identification and recognition of their particular needs and interests;</w:t>
      </w:r>
    </w:p>
    <w:p w:rsidR="003A08DC" w:rsidRDefault="003A08DC" w:rsidP="00C14270">
      <w:pPr>
        <w:pStyle w:val="ListParagraph"/>
        <w:numPr>
          <w:ilvl w:val="0"/>
          <w:numId w:val="8"/>
        </w:numPr>
        <w:ind w:left="0"/>
        <w:jc w:val="both"/>
        <w:rPr>
          <w:rStyle w:val="google-src-text"/>
          <w:rFonts w:ascii="Arial" w:hAnsi="Arial" w:cs="Arial"/>
          <w:sz w:val="22"/>
          <w:szCs w:val="22"/>
          <w:lang w:val="en-US"/>
        </w:rPr>
      </w:pPr>
      <w:r>
        <w:rPr>
          <w:rStyle w:val="google-src-text"/>
          <w:rFonts w:ascii="Arial" w:hAnsi="Arial" w:cs="Arial"/>
          <w:sz w:val="22"/>
          <w:szCs w:val="22"/>
          <w:lang w:val="en-US"/>
        </w:rPr>
        <w:t>P</w:t>
      </w:r>
      <w:r>
        <w:rPr>
          <w:rStyle w:val="google-src-text"/>
          <w:rFonts w:ascii="Arial" w:hAnsi="Arial" w:cs="Arial"/>
          <w:sz w:val="22"/>
          <w:szCs w:val="22"/>
        </w:rPr>
        <w:t>romot</w:t>
      </w:r>
      <w:r>
        <w:rPr>
          <w:rStyle w:val="google-src-text"/>
          <w:rFonts w:ascii="Arial" w:hAnsi="Arial" w:cs="Arial"/>
          <w:sz w:val="22"/>
          <w:szCs w:val="22"/>
          <w:lang w:val="en-US"/>
        </w:rPr>
        <w:t>e</w:t>
      </w:r>
      <w:r>
        <w:rPr>
          <w:rStyle w:val="google-src-text"/>
          <w:rFonts w:ascii="Arial" w:hAnsi="Arial" w:cs="Arial"/>
          <w:sz w:val="22"/>
          <w:szCs w:val="22"/>
        </w:rPr>
        <w:t xml:space="preserve"> an inclusive and cohesive society</w:t>
      </w:r>
      <w:r>
        <w:rPr>
          <w:rStyle w:val="google-src-text"/>
          <w:rFonts w:ascii="Arial" w:hAnsi="Arial" w:cs="Arial"/>
          <w:sz w:val="22"/>
          <w:szCs w:val="22"/>
          <w:lang w:val="en-US"/>
        </w:rPr>
        <w:t xml:space="preserve"> which </w:t>
      </w:r>
      <w:r>
        <w:rPr>
          <w:rStyle w:val="google-src-text"/>
          <w:rFonts w:ascii="Arial" w:hAnsi="Arial" w:cs="Arial"/>
          <w:sz w:val="22"/>
          <w:szCs w:val="22"/>
        </w:rPr>
        <w:t>transcends differences in terms of ethnicity, gender, age,</w:t>
      </w:r>
      <w:r>
        <w:rPr>
          <w:rStyle w:val="google-src-text"/>
          <w:rFonts w:ascii="Arial" w:hAnsi="Arial" w:cs="Arial"/>
          <w:sz w:val="22"/>
          <w:szCs w:val="22"/>
          <w:lang w:val="en-US"/>
        </w:rPr>
        <w:t xml:space="preserve"> nationality</w:t>
      </w:r>
      <w:r>
        <w:rPr>
          <w:rStyle w:val="google-src-text"/>
          <w:rFonts w:ascii="Arial" w:hAnsi="Arial" w:cs="Arial"/>
          <w:sz w:val="22"/>
          <w:szCs w:val="22"/>
        </w:rPr>
        <w:t xml:space="preserve"> and social status;</w:t>
      </w:r>
    </w:p>
    <w:p w:rsidR="003A08DC" w:rsidRDefault="003A08DC" w:rsidP="00C14270">
      <w:pPr>
        <w:pStyle w:val="ListParagraph"/>
        <w:numPr>
          <w:ilvl w:val="0"/>
          <w:numId w:val="8"/>
        </w:numPr>
        <w:ind w:left="0"/>
        <w:jc w:val="both"/>
        <w:rPr>
          <w:rStyle w:val="google-src-text"/>
          <w:rFonts w:ascii="Arial" w:hAnsi="Arial" w:cs="Arial"/>
          <w:sz w:val="22"/>
          <w:szCs w:val="22"/>
          <w:lang w:val="en-US"/>
        </w:rPr>
      </w:pPr>
      <w:r>
        <w:rPr>
          <w:rStyle w:val="google-src-text"/>
          <w:rFonts w:ascii="Arial" w:hAnsi="Arial" w:cs="Arial"/>
          <w:sz w:val="22"/>
          <w:szCs w:val="22"/>
          <w:lang w:val="en-US"/>
        </w:rPr>
        <w:t>E</w:t>
      </w:r>
      <w:r>
        <w:rPr>
          <w:rStyle w:val="google-src-text"/>
          <w:rFonts w:ascii="Arial" w:hAnsi="Arial" w:cs="Arial"/>
          <w:sz w:val="22"/>
          <w:szCs w:val="22"/>
        </w:rPr>
        <w:t>liminat</w:t>
      </w:r>
      <w:r>
        <w:rPr>
          <w:rStyle w:val="google-src-text"/>
          <w:rFonts w:ascii="Arial" w:hAnsi="Arial" w:cs="Arial"/>
          <w:sz w:val="22"/>
          <w:szCs w:val="22"/>
          <w:lang w:val="en-US"/>
        </w:rPr>
        <w:t xml:space="preserve">e </w:t>
      </w:r>
      <w:r>
        <w:rPr>
          <w:rStyle w:val="google-src-text"/>
          <w:rFonts w:ascii="Arial" w:hAnsi="Arial" w:cs="Arial"/>
          <w:sz w:val="22"/>
          <w:szCs w:val="22"/>
        </w:rPr>
        <w:t xml:space="preserve">discriminatory practices based on criteria such as ethnic origin, gender, age, </w:t>
      </w:r>
      <w:r>
        <w:rPr>
          <w:rStyle w:val="google-src-text"/>
          <w:rFonts w:ascii="Arial" w:hAnsi="Arial" w:cs="Arial"/>
          <w:sz w:val="22"/>
          <w:szCs w:val="22"/>
          <w:lang w:val="en-US"/>
        </w:rPr>
        <w:t>nationality and social status</w:t>
      </w:r>
      <w:r>
        <w:rPr>
          <w:rStyle w:val="google-src-text"/>
          <w:rFonts w:ascii="Arial" w:hAnsi="Arial" w:cs="Arial"/>
          <w:sz w:val="22"/>
          <w:szCs w:val="22"/>
        </w:rPr>
        <w:t>;</w:t>
      </w:r>
    </w:p>
    <w:p w:rsidR="003A08DC" w:rsidRDefault="003A08DC" w:rsidP="00C14270">
      <w:pPr>
        <w:pStyle w:val="ListParagraph"/>
        <w:numPr>
          <w:ilvl w:val="0"/>
          <w:numId w:val="8"/>
        </w:numPr>
        <w:ind w:left="0"/>
        <w:jc w:val="both"/>
        <w:rPr>
          <w:rFonts w:eastAsia="Times New Roman"/>
        </w:rPr>
      </w:pPr>
      <w:r>
        <w:rPr>
          <w:rFonts w:ascii="Arial" w:eastAsia="Times New Roman" w:hAnsi="Arial"/>
          <w:sz w:val="22"/>
          <w:szCs w:val="22"/>
          <w:lang w:val="en-US"/>
        </w:rPr>
        <w:t>Pursue its</w:t>
      </w:r>
      <w:r>
        <w:rPr>
          <w:rFonts w:ascii="Arial" w:eastAsia="Times New Roman" w:hAnsi="Arial"/>
          <w:sz w:val="22"/>
          <w:szCs w:val="22"/>
        </w:rPr>
        <w:t xml:space="preserve"> efforts to eradicate stereotypes and widespread discrimination against Roma </w:t>
      </w:r>
      <w:r>
        <w:rPr>
          <w:rFonts w:ascii="Arial" w:eastAsia="Times New Roman" w:hAnsi="Arial"/>
          <w:sz w:val="22"/>
          <w:szCs w:val="22"/>
          <w:lang w:val="en-US"/>
        </w:rPr>
        <w:t xml:space="preserve">women and girls </w:t>
      </w:r>
      <w:r>
        <w:rPr>
          <w:rFonts w:ascii="Arial" w:eastAsia="Times New Roman" w:hAnsi="Arial"/>
          <w:sz w:val="22"/>
          <w:szCs w:val="22"/>
        </w:rPr>
        <w:t>by, among other things, increasing awareness-raising campaigns that promote tolerance and respect for diversity</w:t>
      </w:r>
      <w:r>
        <w:rPr>
          <w:rFonts w:ascii="Arial" w:eastAsia="Times New Roman" w:hAnsi="Arial"/>
          <w:sz w:val="22"/>
          <w:szCs w:val="22"/>
          <w:lang w:val="en-US"/>
        </w:rPr>
        <w:t>;</w:t>
      </w:r>
    </w:p>
    <w:p w:rsidR="003A08DC" w:rsidRDefault="003A08DC" w:rsidP="00C14270">
      <w:pPr>
        <w:pStyle w:val="ListParagraph"/>
        <w:numPr>
          <w:ilvl w:val="0"/>
          <w:numId w:val="8"/>
        </w:numPr>
        <w:ind w:left="0"/>
        <w:jc w:val="both"/>
        <w:rPr>
          <w:rFonts w:ascii="Arial" w:eastAsia="Times New Roman" w:hAnsi="Arial"/>
          <w:sz w:val="22"/>
          <w:szCs w:val="22"/>
          <w:lang w:val="en-US"/>
        </w:rPr>
      </w:pPr>
      <w:r>
        <w:rPr>
          <w:rFonts w:ascii="Arial" w:eastAsia="Times New Roman" w:hAnsi="Arial"/>
          <w:sz w:val="22"/>
          <w:szCs w:val="22"/>
          <w:lang w:val="en-US"/>
        </w:rPr>
        <w:t>Provide accurate information on the status of women in rural areas to assist policy-makers as well as advocates to improve the status of women and enhance their contribution to local development;</w:t>
      </w:r>
    </w:p>
    <w:p w:rsidR="003A08DC" w:rsidRDefault="003A08DC" w:rsidP="00C14270">
      <w:pPr>
        <w:pStyle w:val="NormalWeb"/>
        <w:numPr>
          <w:ilvl w:val="0"/>
          <w:numId w:val="8"/>
        </w:numPr>
        <w:spacing w:before="0" w:beforeAutospacing="0" w:after="0" w:afterAutospacing="0"/>
        <w:ind w:left="0"/>
        <w:jc w:val="both"/>
        <w:rPr>
          <w:rStyle w:val="google-src-text"/>
          <w:rFonts w:cs="Arial"/>
          <w:color w:val="auto"/>
        </w:rPr>
      </w:pPr>
      <w:r>
        <w:rPr>
          <w:rStyle w:val="google-src-text"/>
          <w:rFonts w:ascii="Arial" w:hAnsi="Arial" w:cs="Arial"/>
          <w:color w:val="auto"/>
          <w:sz w:val="22"/>
          <w:szCs w:val="22"/>
          <w:lang w:val="en-US"/>
        </w:rPr>
        <w:t>C</w:t>
      </w:r>
      <w:r>
        <w:rPr>
          <w:rStyle w:val="google-src-text"/>
          <w:rFonts w:ascii="Arial" w:hAnsi="Arial" w:cs="Arial"/>
          <w:color w:val="auto"/>
          <w:sz w:val="22"/>
          <w:szCs w:val="22"/>
        </w:rPr>
        <w:t>reat</w:t>
      </w:r>
      <w:r>
        <w:rPr>
          <w:rStyle w:val="google-src-text"/>
          <w:rFonts w:ascii="Arial" w:hAnsi="Arial" w:cs="Arial"/>
          <w:color w:val="auto"/>
          <w:sz w:val="22"/>
          <w:szCs w:val="22"/>
          <w:lang w:val="en-US"/>
        </w:rPr>
        <w:t xml:space="preserve">e </w:t>
      </w:r>
      <w:r>
        <w:rPr>
          <w:rStyle w:val="google-src-text"/>
          <w:rFonts w:ascii="Arial" w:hAnsi="Arial" w:cs="Arial"/>
          <w:color w:val="auto"/>
          <w:sz w:val="22"/>
          <w:szCs w:val="22"/>
        </w:rPr>
        <w:t>and consolidat</w:t>
      </w:r>
      <w:r>
        <w:rPr>
          <w:rStyle w:val="google-src-text"/>
          <w:rFonts w:ascii="Arial" w:hAnsi="Arial" w:cs="Arial"/>
          <w:color w:val="auto"/>
          <w:sz w:val="22"/>
          <w:szCs w:val="22"/>
          <w:lang w:val="en-US"/>
        </w:rPr>
        <w:t>e</w:t>
      </w:r>
      <w:r>
        <w:rPr>
          <w:rStyle w:val="google-src-text"/>
          <w:rFonts w:ascii="Arial" w:hAnsi="Arial" w:cs="Arial"/>
          <w:color w:val="auto"/>
          <w:sz w:val="22"/>
          <w:szCs w:val="22"/>
        </w:rPr>
        <w:t xml:space="preserve"> cooperation among </w:t>
      </w:r>
      <w:r>
        <w:rPr>
          <w:rStyle w:val="google-src-text"/>
          <w:rFonts w:ascii="Arial" w:hAnsi="Arial" w:cs="Arial"/>
          <w:color w:val="auto"/>
          <w:sz w:val="22"/>
          <w:szCs w:val="22"/>
          <w:lang w:val="en-US"/>
        </w:rPr>
        <w:t>the vulnerable women, their communities and the society as a whole;</w:t>
      </w:r>
    </w:p>
    <w:p w:rsidR="003A08DC" w:rsidRDefault="003A08DC" w:rsidP="00C14270">
      <w:pPr>
        <w:pStyle w:val="ListParagraph"/>
        <w:numPr>
          <w:ilvl w:val="0"/>
          <w:numId w:val="8"/>
        </w:numPr>
        <w:ind w:left="0"/>
        <w:jc w:val="both"/>
        <w:rPr>
          <w:rFonts w:eastAsia="Times New Roman"/>
        </w:rPr>
      </w:pPr>
      <w:r>
        <w:rPr>
          <w:rFonts w:ascii="Arial" w:eastAsia="Times New Roman" w:hAnsi="Arial"/>
          <w:sz w:val="22"/>
          <w:szCs w:val="22"/>
          <w:lang w:val="en-US"/>
        </w:rPr>
        <w:t>A</w:t>
      </w:r>
      <w:r>
        <w:rPr>
          <w:rFonts w:ascii="Arial" w:eastAsia="Times New Roman" w:hAnsi="Arial"/>
          <w:sz w:val="22"/>
          <w:szCs w:val="22"/>
        </w:rPr>
        <w:t>dopt measures to promote equal access to opportunities and services in all fields and at all levels through appropriate actions in order to address existing inequalities</w:t>
      </w:r>
      <w:r>
        <w:rPr>
          <w:rFonts w:ascii="Arial" w:eastAsia="Times New Roman" w:hAnsi="Arial"/>
          <w:sz w:val="22"/>
          <w:szCs w:val="22"/>
          <w:lang w:val="en-US"/>
        </w:rPr>
        <w:t>;</w:t>
      </w:r>
    </w:p>
    <w:p w:rsidR="003A08DC" w:rsidRDefault="003A08DC" w:rsidP="00C14270">
      <w:pPr>
        <w:pStyle w:val="NormalWeb"/>
        <w:numPr>
          <w:ilvl w:val="0"/>
          <w:numId w:val="8"/>
        </w:numPr>
        <w:spacing w:before="0" w:beforeAutospacing="0" w:after="0" w:afterAutospacing="0"/>
        <w:ind w:left="0"/>
        <w:jc w:val="both"/>
        <w:rPr>
          <w:rStyle w:val="google-src-text"/>
          <w:rFonts w:cs="Arial"/>
          <w:color w:val="auto"/>
        </w:rPr>
      </w:pPr>
      <w:r>
        <w:rPr>
          <w:rStyle w:val="google-src-text"/>
          <w:rFonts w:ascii="Arial" w:hAnsi="Arial" w:cs="Arial"/>
          <w:color w:val="auto"/>
          <w:sz w:val="22"/>
          <w:szCs w:val="22"/>
          <w:lang w:val="en-US"/>
        </w:rPr>
        <w:t xml:space="preserve">Adopt measures </w:t>
      </w:r>
      <w:r>
        <w:rPr>
          <w:rStyle w:val="google-src-text"/>
          <w:rFonts w:ascii="Arial" w:hAnsi="Arial" w:cs="Arial"/>
          <w:color w:val="auto"/>
          <w:sz w:val="22"/>
          <w:szCs w:val="22"/>
        </w:rPr>
        <w:t>reconciling professional life (career) with family life through affirmative actions support</w:t>
      </w:r>
      <w:proofErr w:type="spellStart"/>
      <w:r>
        <w:rPr>
          <w:rStyle w:val="google-src-text"/>
          <w:rFonts w:ascii="Arial" w:hAnsi="Arial" w:cs="Arial"/>
          <w:color w:val="auto"/>
          <w:sz w:val="22"/>
          <w:szCs w:val="22"/>
          <w:lang w:val="en-US"/>
        </w:rPr>
        <w:t>ing</w:t>
      </w:r>
      <w:proofErr w:type="spellEnd"/>
      <w:r>
        <w:rPr>
          <w:rStyle w:val="google-src-text"/>
          <w:rFonts w:ascii="Arial" w:hAnsi="Arial" w:cs="Arial"/>
          <w:color w:val="auto"/>
          <w:sz w:val="22"/>
          <w:szCs w:val="22"/>
          <w:lang w:val="en-US"/>
        </w:rPr>
        <w:t xml:space="preserve"> women</w:t>
      </w:r>
      <w:r>
        <w:rPr>
          <w:rStyle w:val="google-src-text"/>
          <w:rFonts w:ascii="Arial" w:hAnsi="Arial" w:cs="Arial"/>
          <w:color w:val="auto"/>
          <w:sz w:val="22"/>
          <w:szCs w:val="22"/>
        </w:rPr>
        <w:t xml:space="preserve"> to find a </w:t>
      </w:r>
      <w:r>
        <w:rPr>
          <w:rStyle w:val="google-src-text"/>
          <w:rFonts w:ascii="Arial" w:hAnsi="Arial" w:cs="Arial"/>
          <w:color w:val="auto"/>
          <w:sz w:val="22"/>
          <w:szCs w:val="22"/>
          <w:lang w:val="en-US"/>
        </w:rPr>
        <w:t xml:space="preserve">stable </w:t>
      </w:r>
      <w:r>
        <w:rPr>
          <w:rStyle w:val="google-src-text"/>
          <w:rFonts w:ascii="Arial" w:hAnsi="Arial" w:cs="Arial"/>
          <w:color w:val="auto"/>
          <w:sz w:val="22"/>
          <w:szCs w:val="22"/>
        </w:rPr>
        <w:t>job;</w:t>
      </w:r>
    </w:p>
    <w:p w:rsidR="003A08DC" w:rsidRDefault="003A08DC" w:rsidP="00C14270">
      <w:pPr>
        <w:pStyle w:val="NormalWeb"/>
        <w:numPr>
          <w:ilvl w:val="0"/>
          <w:numId w:val="8"/>
        </w:numPr>
        <w:spacing w:before="0" w:beforeAutospacing="0" w:after="0" w:afterAutospacing="0"/>
        <w:ind w:left="0"/>
        <w:jc w:val="both"/>
        <w:rPr>
          <w:rStyle w:val="google-src-text"/>
          <w:rFonts w:ascii="Arial" w:hAnsi="Arial" w:cs="Arial"/>
          <w:color w:val="auto"/>
          <w:sz w:val="22"/>
          <w:szCs w:val="22"/>
          <w:lang w:val="en-US"/>
        </w:rPr>
      </w:pPr>
      <w:r>
        <w:rPr>
          <w:rStyle w:val="google-src-text"/>
          <w:rFonts w:ascii="Arial" w:hAnsi="Arial" w:cs="Arial"/>
          <w:color w:val="auto"/>
          <w:sz w:val="22"/>
          <w:szCs w:val="22"/>
          <w:lang w:val="en-US"/>
        </w:rPr>
        <w:t>R</w:t>
      </w:r>
      <w:r>
        <w:rPr>
          <w:rStyle w:val="google-src-text"/>
          <w:rFonts w:ascii="Arial" w:hAnsi="Arial" w:cs="Arial"/>
          <w:color w:val="auto"/>
          <w:sz w:val="22"/>
          <w:szCs w:val="22"/>
        </w:rPr>
        <w:t>a</w:t>
      </w:r>
      <w:proofErr w:type="spellStart"/>
      <w:r>
        <w:rPr>
          <w:rStyle w:val="google-src-text"/>
          <w:rFonts w:ascii="Arial" w:hAnsi="Arial" w:cs="Arial"/>
          <w:color w:val="auto"/>
          <w:sz w:val="22"/>
          <w:szCs w:val="22"/>
          <w:lang w:val="en-US"/>
        </w:rPr>
        <w:t>ise</w:t>
      </w:r>
      <w:proofErr w:type="spellEnd"/>
      <w:r>
        <w:rPr>
          <w:rStyle w:val="google-src-text"/>
          <w:rFonts w:ascii="Arial" w:hAnsi="Arial" w:cs="Arial"/>
          <w:color w:val="auto"/>
          <w:sz w:val="22"/>
          <w:szCs w:val="22"/>
          <w:lang w:val="en-US"/>
        </w:rPr>
        <w:t xml:space="preserve"> </w:t>
      </w:r>
      <w:r>
        <w:rPr>
          <w:rStyle w:val="google-src-text"/>
          <w:rFonts w:ascii="Arial" w:hAnsi="Arial" w:cs="Arial"/>
          <w:color w:val="auto"/>
          <w:sz w:val="22"/>
          <w:szCs w:val="22"/>
        </w:rPr>
        <w:t xml:space="preserve">occupational ratio among </w:t>
      </w:r>
      <w:r>
        <w:rPr>
          <w:rStyle w:val="google-src-text"/>
          <w:rFonts w:ascii="Arial" w:hAnsi="Arial" w:cs="Arial"/>
          <w:color w:val="auto"/>
          <w:sz w:val="22"/>
          <w:szCs w:val="22"/>
          <w:lang w:val="en-US"/>
        </w:rPr>
        <w:t xml:space="preserve">the </w:t>
      </w:r>
      <w:r>
        <w:rPr>
          <w:rStyle w:val="google-src-text"/>
          <w:rFonts w:ascii="Arial" w:hAnsi="Arial" w:cs="Arial"/>
          <w:color w:val="auto"/>
          <w:sz w:val="22"/>
          <w:szCs w:val="22"/>
        </w:rPr>
        <w:t>categories exposed to the risk of social exclusion;</w:t>
      </w:r>
    </w:p>
    <w:p w:rsidR="003A08DC" w:rsidRDefault="003A08DC" w:rsidP="00C14270">
      <w:pPr>
        <w:jc w:val="both"/>
        <w:rPr>
          <w:b/>
          <w:bCs/>
        </w:rPr>
      </w:pPr>
    </w:p>
    <w:p w:rsidR="00C36E03" w:rsidRDefault="00C36E03" w:rsidP="00C14270"/>
    <w:sectPr w:rsidR="00C36E03" w:rsidSect="00DD06FA">
      <w:headerReference w:type="default" r:id="rId1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17C" w:rsidRDefault="0089717C" w:rsidP="003A08DC">
      <w:r>
        <w:separator/>
      </w:r>
    </w:p>
  </w:endnote>
  <w:endnote w:type="continuationSeparator" w:id="0">
    <w:p w:rsidR="0089717C" w:rsidRDefault="0089717C" w:rsidP="003A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TCC37o00">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C18" w:rsidRDefault="00EE3C18">
    <w:pPr>
      <w:pStyle w:val="Footer"/>
    </w:pPr>
    <w:r>
      <w:rPr>
        <w:noProof/>
        <w:lang w:val="ru-RU" w:eastAsia="ru-RU"/>
      </w:rPr>
      <mc:AlternateContent>
        <mc:Choice Requires="wpg">
          <w:drawing>
            <wp:anchor distT="0" distB="0" distL="114300" distR="114300" simplePos="0" relativeHeight="251659264" behindDoc="0" locked="0" layoutInCell="1" allowOverlap="1" wp14:anchorId="4117C19F" wp14:editId="476BCD00">
              <wp:simplePos x="0" y="0"/>
              <wp:positionH relativeFrom="page">
                <wp:align>center</wp:align>
              </wp:positionH>
              <wp:positionV relativeFrom="line">
                <wp:align>top</wp:align>
              </wp:positionV>
              <wp:extent cx="7366635" cy="347345"/>
              <wp:effectExtent l="0" t="0" r="5715" b="0"/>
              <wp:wrapTopAndBottom/>
              <wp:docPr id="265"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266" name="Rectangle 157"/>
                      <wps:cNvSpPr>
                        <a:spLocks noChangeArrowheads="1"/>
                      </wps:cNvSpPr>
                      <wps:spPr bwMode="auto">
                        <a:xfrm>
                          <a:off x="374" y="14903"/>
                          <a:ext cx="9346" cy="432"/>
                        </a:xfrm>
                        <a:prstGeom prst="rect">
                          <a:avLst/>
                        </a:prstGeom>
                        <a:solidFill>
                          <a:schemeClr val="accent2">
                            <a:lumMod val="75000"/>
                          </a:schemeClr>
                        </a:solidFill>
                        <a:extLst>
                          <a:ext uri="{91240B29-F687-4F45-9708-019B960494DF}">
                            <a14:hiddenLine xmlns:a14="http://schemas.microsoft.com/office/drawing/2010/main" w="9525">
                              <a:solidFill>
                                <a:srgbClr val="943634"/>
                              </a:solidFill>
                              <a:miter lim="800000"/>
                              <a:headEnd/>
                              <a:tailEnd/>
                            </a14:hiddenLine>
                          </a:ext>
                        </a:extLst>
                      </wps:spPr>
                      <wps:txbx>
                        <w:txbxContent>
                          <w:p w:rsidR="00EE3C18" w:rsidRPr="00EE3C18" w:rsidRDefault="00EE3C18" w:rsidP="00EE3C18">
                            <w:pPr>
                              <w:pStyle w:val="Header"/>
                              <w:jc w:val="center"/>
                              <w:rPr>
                                <w:color w:val="FFFFFF" w:themeColor="background1"/>
                              </w:rPr>
                            </w:pPr>
                            <w:r w:rsidRPr="00EE3C18">
                              <w:rPr>
                                <w:rFonts w:ascii="Arial" w:hAnsi="Arial" w:cs="Arial"/>
                                <w:b/>
                                <w:bCs/>
                                <w:color w:val="FFFFFF" w:themeColor="background1"/>
                                <w:lang w:val="en-US"/>
                              </w:rPr>
                              <w:t>SHADOW REPORT SUBMITTED TO THE CEDAW</w:t>
                            </w:r>
                          </w:p>
                        </w:txbxContent>
                      </wps:txbx>
                      <wps:bodyPr rot="0" vert="horz" wrap="square" lIns="91440" tIns="45720" rIns="91440" bIns="45720" anchor="t" anchorCtr="0" upright="1">
                        <a:noAutofit/>
                      </wps:bodyPr>
                    </wps:wsp>
                    <wps:wsp>
                      <wps:cNvPr id="267" name="Rectangle 158"/>
                      <wps:cNvSpPr>
                        <a:spLocks noChangeArrowheads="1"/>
                      </wps:cNvSpPr>
                      <wps:spPr bwMode="auto">
                        <a:xfrm>
                          <a:off x="9763" y="14903"/>
                          <a:ext cx="2102" cy="432"/>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EE3C18" w:rsidRDefault="00EE3C18">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1A726E" w:rsidRPr="001A726E">
                              <w:rPr>
                                <w:noProof/>
                                <w:color w:val="FFFFFF" w:themeColor="background1"/>
                              </w:rPr>
                              <w:t>1</w:t>
                            </w:r>
                            <w:r>
                              <w:rPr>
                                <w:noProof/>
                                <w:color w:val="FFFFFF" w:themeColor="background1"/>
                              </w:rPr>
                              <w:fldChar w:fldCharType="end"/>
                            </w:r>
                          </w:p>
                        </w:txbxContent>
                      </wps:txbx>
                      <wps:bodyPr rot="0" vert="horz" wrap="square" lIns="91440" tIns="45720" rIns="91440" bIns="45720" anchor="t" anchorCtr="0" upright="1">
                        <a:noAutofit/>
                      </wps:bodyPr>
                    </wps:wsp>
                    <wps:wsp>
                      <wps:cNvPr id="268" name="Rectangle 159"/>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 o:spid="_x0000_s1026"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">
              <v:rect id="Rectangle 157" o:spid="_x0000_s1027" style="position:absolute;left:374;top:14903;width:934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64KMcA&#10;AADcAAAADwAAAGRycy9kb3ducmV2LnhtbESPQWvCQBSE7wX/w/KE3uqmHoJEVymhgmipNe2hvT2y&#10;z2xo9m3Irknqr3cLhR6HmfmGWW1G24ieOl87VvA4S0AQl07XXCn4eN8+LED4gKyxcUwKfsjDZj25&#10;W2Gm3cAn6otQiQhhn6ECE0KbSelLQxb9zLXE0Tu7zmKIsquk7nCIcNvIeZKk0mLNccFgS7mh8ru4&#10;WAWf++L18GZe+iHPvy7P1+ZYyPKs1P10fFqCCDSG//Bfe6cVzNMUfs/EI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uCjHAAAA3AAAAA8AAAAAAAAAAAAAAAAAmAIAAGRy&#10;cy9kb3ducmV2LnhtbFBLBQYAAAAABAAEAPUAAACMAwAAAAA=&#10;" fillcolor="#943634 [2405]" stroked="f" strokecolor="#943634">
                <v:textbox>
                  <w:txbxContent>
                    <w:p w:rsidR="00EE3C18" w:rsidRPr="00EE3C18" w:rsidRDefault="00EE3C18" w:rsidP="00EE3C18">
                      <w:pPr>
                        <w:pStyle w:val="Header"/>
                        <w:jc w:val="center"/>
                        <w:rPr>
                          <w:color w:val="FFFFFF" w:themeColor="background1"/>
                        </w:rPr>
                      </w:pPr>
                      <w:r w:rsidRPr="00EE3C18">
                        <w:rPr>
                          <w:rFonts w:ascii="Arial" w:hAnsi="Arial" w:cs="Arial"/>
                          <w:b/>
                          <w:bCs/>
                          <w:color w:val="FFFFFF" w:themeColor="background1"/>
                          <w:lang w:val="en-US"/>
                        </w:rPr>
                        <w:t>SHADOW REPORT SUBMITTED TO THE CEDAW</w:t>
                      </w:r>
                    </w:p>
                  </w:txbxContent>
                </v:textbox>
              </v:rect>
              <v:rect id="Rectangle 158" o:spid="_x0000_s1028" style="position:absolute;left:9763;top:14903;width:210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y8cMA&#10;AADcAAAADwAAAGRycy9kb3ducmV2LnhtbESPwWrDMBBE74H+g9hAb7GcQN3iWglJwNBbaWrIdbE2&#10;trG1MpJqO/36qlDocZiZN0xxWMwgJnK+s6xgm6QgiGurO24UVJ/l5gWED8gaB8uk4E4eDvuHVYG5&#10;tjN/0HQJjYgQ9jkqaEMYcyl93ZJBn9iROHo36wyGKF0jtcM5ws0gd2maSYMdx4UWRzq3VPeXL6PA&#10;DFTqXnPvqvdr/5R9n8rKn5R6XC/HVxCBlvAf/mu/aQW77Bl+z8Qj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xy8cMAAADcAAAADwAAAAAAAAAAAAAAAACYAgAAZHJzL2Rv&#10;d25yZXYueG1sUEsFBgAAAAAEAAQA9QAAAIgDAAAAAA==&#10;" fillcolor="#943634 [2405]" stroked="f">
                <v:textbox>
                  <w:txbxContent>
                    <w:p w:rsidR="00EE3C18" w:rsidRDefault="00EE3C18">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1A726E" w:rsidRPr="001A726E">
                        <w:rPr>
                          <w:noProof/>
                          <w:color w:val="FFFFFF" w:themeColor="background1"/>
                        </w:rPr>
                        <w:t>1</w:t>
                      </w:r>
                      <w:r>
                        <w:rPr>
                          <w:noProof/>
                          <w:color w:val="FFFFFF" w:themeColor="background1"/>
                        </w:rPr>
                        <w:fldChar w:fldCharType="end"/>
                      </w:r>
                    </w:p>
                  </w:txbxContent>
                </v:textbox>
              </v:rect>
              <v:rect id="Rectangle 159" o:spid="_x0000_s1029" style="position:absolute;left:321;top:14850;width:11601;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1URcEA&#10;AADcAAAADwAAAGRycy9kb3ducmV2LnhtbERPz2vCMBS+C/sfwhvsZtMJK9I1SjcUdipMhW23R/OW&#10;FJuX0kTb/ffLQfD48f2utrPrxZXG0HlW8JzlIIhbrzs2Ck7H/XINIkRkjb1nUvBHAbabh0WFpfYT&#10;f9L1EI1IIRxKVGBjHEopQ2vJYcj8QJy4Xz86jAmORuoRpxTuernK80I67Dg1WBzo3VJ7Plycgt3w&#10;09QvJsj6K9rvs3+b9rYxSj09zvUriEhzvItv7g+tYFWktelMOgJ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9VEXBAAAA3AAAAA8AAAAAAAAAAAAAAAAAmAIAAGRycy9kb3du&#10;cmV2LnhtbFBLBQYAAAAABAAEAPUAAACGAwAAAAA=&#10;" filled="f"/>
              <w10:wrap type="topAndBottom" anchorx="page" anchory="line"/>
            </v:group>
          </w:pict>
        </mc:Fallback>
      </mc:AlternateContent>
    </w:r>
  </w:p>
  <w:p w:rsidR="00EE3C18" w:rsidRDefault="00EE3C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17C" w:rsidRDefault="0089717C" w:rsidP="003A08DC">
      <w:r>
        <w:separator/>
      </w:r>
    </w:p>
  </w:footnote>
  <w:footnote w:type="continuationSeparator" w:id="0">
    <w:p w:rsidR="0089717C" w:rsidRDefault="0089717C" w:rsidP="003A0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511"/>
      <w:gridCol w:w="2791"/>
    </w:tblGrid>
    <w:tr w:rsidR="00EE3C18">
      <w:tc>
        <w:tcPr>
          <w:tcW w:w="3500" w:type="pct"/>
          <w:tcBorders>
            <w:bottom w:val="single" w:sz="4" w:space="0" w:color="auto"/>
          </w:tcBorders>
          <w:vAlign w:val="bottom"/>
        </w:tcPr>
        <w:p w:rsidR="00EE3C18" w:rsidRDefault="00EE3C18" w:rsidP="00EE3C18">
          <w:pPr>
            <w:pStyle w:val="Header"/>
            <w:rPr>
              <w:noProof/>
              <w:color w:val="76923C" w:themeColor="accent3" w:themeShade="BF"/>
            </w:rPr>
          </w:pPr>
          <w:r w:rsidRPr="00CF250B">
            <w:rPr>
              <w:color w:val="C0504D"/>
              <w:lang w:val="en-US"/>
            </w:rPr>
            <w:t xml:space="preserve">Gender Alternatives Foundation                                                          </w:t>
          </w:r>
          <w:r>
            <w:rPr>
              <w:color w:val="C0504D"/>
              <w:lang w:val="en-US"/>
            </w:rPr>
            <w:t xml:space="preserve">                               </w:t>
          </w:r>
          <w:r w:rsidRPr="00CF250B">
            <w:rPr>
              <w:color w:val="C0504D"/>
              <w:lang w:val="en-US"/>
            </w:rPr>
            <w:t xml:space="preserve">                                                                        </w:t>
          </w:r>
          <w:r w:rsidRPr="007D0761">
            <w:rPr>
              <w:color w:val="C0504D" w:themeColor="accent2"/>
              <w:sz w:val="20"/>
              <w:szCs w:val="20"/>
              <w:lang w:val="en-US"/>
            </w:rPr>
            <w:t>www.genderalternatives.org</w:t>
          </w:r>
        </w:p>
      </w:tc>
      <w:tc>
        <w:tcPr>
          <w:tcW w:w="1500" w:type="pct"/>
          <w:tcBorders>
            <w:bottom w:val="single" w:sz="4" w:space="0" w:color="943634" w:themeColor="accent2" w:themeShade="BF"/>
          </w:tcBorders>
          <w:shd w:val="clear" w:color="auto" w:fill="943634" w:themeFill="accent2" w:themeFillShade="BF"/>
          <w:vAlign w:val="bottom"/>
        </w:tcPr>
        <w:p w:rsidR="00EE3C18" w:rsidRDefault="00EE3C18" w:rsidP="00EE3C18">
          <w:pPr>
            <w:pStyle w:val="Header"/>
            <w:jc w:val="right"/>
            <w:rPr>
              <w:color w:val="FFFFFF" w:themeColor="background1"/>
            </w:rPr>
          </w:pPr>
          <w:r w:rsidRPr="00EE3C18">
            <w:rPr>
              <w:rFonts w:ascii="Arial" w:hAnsi="Arial" w:cs="Arial"/>
              <w:b/>
              <w:bCs/>
              <w:color w:val="FFFFFF" w:themeColor="background1"/>
              <w:lang w:val="en-US"/>
            </w:rPr>
            <w:t>CEDAW</w:t>
          </w:r>
        </w:p>
      </w:tc>
    </w:tr>
  </w:tbl>
  <w:p w:rsidR="00EE3C18" w:rsidRDefault="00EE3C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E1D93"/>
    <w:multiLevelType w:val="hybridMultilevel"/>
    <w:tmpl w:val="4BAC792E"/>
    <w:lvl w:ilvl="0" w:tplc="04020015">
      <w:start w:val="1"/>
      <w:numFmt w:val="upperLetter"/>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0CE56521"/>
    <w:multiLevelType w:val="hybridMultilevel"/>
    <w:tmpl w:val="3140DED2"/>
    <w:lvl w:ilvl="0" w:tplc="986E506C">
      <w:start w:val="1"/>
      <w:numFmt w:val="decimal"/>
      <w:lvlText w:val="%1."/>
      <w:lvlJc w:val="left"/>
      <w:pPr>
        <w:ind w:left="720" w:hanging="360"/>
      </w:pPr>
      <w:rPr>
        <w:b/>
        <w:bCs/>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
    <w:nsid w:val="321C15BE"/>
    <w:multiLevelType w:val="multilevel"/>
    <w:tmpl w:val="A470E61C"/>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54B31F1B"/>
    <w:multiLevelType w:val="multilevel"/>
    <w:tmpl w:val="EA9ACCF0"/>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nsid w:val="5BFD501A"/>
    <w:multiLevelType w:val="hybridMultilevel"/>
    <w:tmpl w:val="04DE36C2"/>
    <w:lvl w:ilvl="0" w:tplc="04020015">
      <w:start w:val="1"/>
      <w:numFmt w:val="upperLetter"/>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5">
    <w:nsid w:val="6044658A"/>
    <w:multiLevelType w:val="hybridMultilevel"/>
    <w:tmpl w:val="7884C556"/>
    <w:lvl w:ilvl="0" w:tplc="04020001">
      <w:start w:val="1"/>
      <w:numFmt w:val="bullet"/>
      <w:lvlText w:val=""/>
      <w:lvlJc w:val="left"/>
      <w:pPr>
        <w:ind w:left="720" w:hanging="360"/>
      </w:pPr>
      <w:rPr>
        <w:rFonts w:ascii="Symbol" w:hAnsi="Symbol" w:cs="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6">
    <w:nsid w:val="641B3D3A"/>
    <w:multiLevelType w:val="multilevel"/>
    <w:tmpl w:val="3370E05E"/>
    <w:lvl w:ilvl="0">
      <w:start w:val="2"/>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nsid w:val="64C36C53"/>
    <w:multiLevelType w:val="hybridMultilevel"/>
    <w:tmpl w:val="93E8D43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58E"/>
    <w:rsid w:val="000C2534"/>
    <w:rsid w:val="000D069C"/>
    <w:rsid w:val="000D59F5"/>
    <w:rsid w:val="000E117B"/>
    <w:rsid w:val="000E4988"/>
    <w:rsid w:val="00183388"/>
    <w:rsid w:val="001A726E"/>
    <w:rsid w:val="0020007C"/>
    <w:rsid w:val="002B2613"/>
    <w:rsid w:val="00302D92"/>
    <w:rsid w:val="003657C5"/>
    <w:rsid w:val="0039108F"/>
    <w:rsid w:val="00391586"/>
    <w:rsid w:val="003A08DC"/>
    <w:rsid w:val="004D4B18"/>
    <w:rsid w:val="005B1D77"/>
    <w:rsid w:val="006C5E99"/>
    <w:rsid w:val="00786626"/>
    <w:rsid w:val="008529CF"/>
    <w:rsid w:val="00896760"/>
    <w:rsid w:val="0089717C"/>
    <w:rsid w:val="008B3938"/>
    <w:rsid w:val="00926D46"/>
    <w:rsid w:val="009E3368"/>
    <w:rsid w:val="00A0258E"/>
    <w:rsid w:val="00AF74E8"/>
    <w:rsid w:val="00B73BEE"/>
    <w:rsid w:val="00BC0FD2"/>
    <w:rsid w:val="00BC3A14"/>
    <w:rsid w:val="00C11EC2"/>
    <w:rsid w:val="00C14270"/>
    <w:rsid w:val="00C272FF"/>
    <w:rsid w:val="00C33447"/>
    <w:rsid w:val="00C36E03"/>
    <w:rsid w:val="00C84F82"/>
    <w:rsid w:val="00D11D90"/>
    <w:rsid w:val="00D6607D"/>
    <w:rsid w:val="00D9034F"/>
    <w:rsid w:val="00DB3292"/>
    <w:rsid w:val="00DD06FA"/>
    <w:rsid w:val="00DD3741"/>
    <w:rsid w:val="00ED0AAB"/>
    <w:rsid w:val="00EE3C18"/>
    <w:rsid w:val="00F0048A"/>
    <w:rsid w:val="00F01AC3"/>
    <w:rsid w:val="00F167C7"/>
    <w:rsid w:val="00F33809"/>
    <w:rsid w:val="00F35FF2"/>
    <w:rsid w:val="00F51B46"/>
    <w:rsid w:val="00F84BF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08F"/>
    <w:pPr>
      <w:spacing w:after="0" w:line="240" w:lineRule="auto"/>
    </w:pPr>
    <w:rPr>
      <w:rFonts w:ascii="Times New Roman" w:eastAsia="MS Mincho"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08DC"/>
    <w:rPr>
      <w:color w:val="0000FF"/>
      <w:u w:val="single"/>
    </w:rPr>
  </w:style>
  <w:style w:type="paragraph" w:styleId="NormalWeb">
    <w:name w:val="Normal (Web)"/>
    <w:basedOn w:val="Normal"/>
    <w:uiPriority w:val="99"/>
    <w:semiHidden/>
    <w:unhideWhenUsed/>
    <w:rsid w:val="003A08DC"/>
    <w:pPr>
      <w:spacing w:before="100" w:beforeAutospacing="1" w:after="100" w:afterAutospacing="1"/>
    </w:pPr>
    <w:rPr>
      <w:rFonts w:ascii="Verdana" w:hAnsi="Verdana" w:cs="Verdana"/>
      <w:color w:val="555555"/>
      <w:sz w:val="13"/>
      <w:szCs w:val="13"/>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r Char Char Char Char Char,footnote text Char Char Char Char"/>
    <w:basedOn w:val="DefaultParagraphFont"/>
    <w:link w:val="FootnoteText"/>
    <w:uiPriority w:val="99"/>
    <w:semiHidden/>
    <w:locked/>
    <w:rsid w:val="003A08DC"/>
    <w:rPr>
      <w:rFonts w:ascii="Times New Roman" w:eastAsia="MS Mincho" w:hAnsi="Times New Roman" w:cs="Times New Roman"/>
    </w:rPr>
  </w:style>
  <w:style w:type="paragraph" w:styleId="FootnoteText">
    <w:name w:val="footnote text"/>
    <w:aliases w:val="Footnote Text Char Char Char Char Char,Footnote Text Char Char Char Char,Footnote reference,FA Fu,Footnote Text Char Char Char,footnote text Char Char Char Char Char,footnote text Char Char Char"/>
    <w:basedOn w:val="Normal"/>
    <w:link w:val="FootnoteTextChar1"/>
    <w:uiPriority w:val="99"/>
    <w:semiHidden/>
    <w:unhideWhenUsed/>
    <w:rsid w:val="003A08DC"/>
    <w:rPr>
      <w:sz w:val="22"/>
      <w:szCs w:val="22"/>
      <w:lang w:eastAsia="en-US"/>
    </w:rPr>
  </w:style>
  <w:style w:type="character" w:customStyle="1" w:styleId="FootnoteTextChar">
    <w:name w:val="Footnote Text Char"/>
    <w:basedOn w:val="DefaultParagraphFont"/>
    <w:uiPriority w:val="99"/>
    <w:semiHidden/>
    <w:rsid w:val="003A08DC"/>
    <w:rPr>
      <w:rFonts w:ascii="Times New Roman" w:eastAsia="MS Mincho" w:hAnsi="Times New Roman" w:cs="Times New Roman"/>
      <w:sz w:val="20"/>
      <w:szCs w:val="20"/>
      <w:lang w:eastAsia="bg-BG"/>
    </w:rPr>
  </w:style>
  <w:style w:type="paragraph" w:styleId="BodyTextIndent">
    <w:name w:val="Body Text Indent"/>
    <w:basedOn w:val="Normal"/>
    <w:link w:val="BodyTextIndentChar"/>
    <w:uiPriority w:val="99"/>
    <w:semiHidden/>
    <w:unhideWhenUsed/>
    <w:rsid w:val="003A08DC"/>
    <w:pPr>
      <w:spacing w:after="120"/>
      <w:ind w:left="283"/>
    </w:pPr>
  </w:style>
  <w:style w:type="character" w:customStyle="1" w:styleId="BodyTextIndentChar">
    <w:name w:val="Body Text Indent Char"/>
    <w:basedOn w:val="DefaultParagraphFont"/>
    <w:link w:val="BodyTextIndent"/>
    <w:uiPriority w:val="99"/>
    <w:semiHidden/>
    <w:rsid w:val="003A08DC"/>
    <w:rPr>
      <w:rFonts w:ascii="Times New Roman" w:eastAsia="MS Mincho" w:hAnsi="Times New Roman" w:cs="Times New Roman"/>
      <w:sz w:val="24"/>
      <w:szCs w:val="24"/>
      <w:lang w:eastAsia="bg-BG"/>
    </w:rPr>
  </w:style>
  <w:style w:type="paragraph" w:styleId="ListParagraph">
    <w:name w:val="List Paragraph"/>
    <w:basedOn w:val="Normal"/>
    <w:uiPriority w:val="99"/>
    <w:qFormat/>
    <w:rsid w:val="003A08DC"/>
    <w:pPr>
      <w:ind w:left="720"/>
    </w:pPr>
  </w:style>
  <w:style w:type="paragraph" w:customStyle="1" w:styleId="Default">
    <w:name w:val="Default"/>
    <w:uiPriority w:val="99"/>
    <w:rsid w:val="003A08DC"/>
    <w:pPr>
      <w:autoSpaceDE w:val="0"/>
      <w:autoSpaceDN w:val="0"/>
      <w:adjustRightInd w:val="0"/>
      <w:spacing w:after="0" w:line="240" w:lineRule="auto"/>
    </w:pPr>
    <w:rPr>
      <w:rFonts w:ascii="Times New Roman" w:eastAsia="MS Mincho" w:hAnsi="Times New Roman" w:cs="Times New Roman"/>
      <w:color w:val="000000"/>
      <w:sz w:val="24"/>
      <w:szCs w:val="24"/>
      <w:lang w:eastAsia="bg-BG"/>
    </w:rPr>
  </w:style>
  <w:style w:type="character" w:customStyle="1" w:styleId="H23GChar">
    <w:name w:val="_ H_2/3_G Char"/>
    <w:link w:val="H23G"/>
    <w:uiPriority w:val="99"/>
    <w:locked/>
    <w:rsid w:val="003A08DC"/>
    <w:rPr>
      <w:rFonts w:ascii="Times New Roman" w:hAnsi="Times New Roman" w:cs="Times New Roman"/>
      <w:b/>
      <w:bCs/>
      <w:lang w:val="en-GB"/>
    </w:rPr>
  </w:style>
  <w:style w:type="paragraph" w:customStyle="1" w:styleId="H23G">
    <w:name w:val="_ H_2/3_G"/>
    <w:basedOn w:val="Normal"/>
    <w:next w:val="Normal"/>
    <w:link w:val="H23GChar"/>
    <w:uiPriority w:val="99"/>
    <w:rsid w:val="003A08DC"/>
    <w:pPr>
      <w:keepNext/>
      <w:keepLines/>
      <w:tabs>
        <w:tab w:val="right" w:pos="851"/>
      </w:tabs>
      <w:suppressAutoHyphens/>
      <w:spacing w:before="240" w:after="120" w:line="240" w:lineRule="exact"/>
      <w:ind w:left="1134" w:right="1134" w:hanging="1134"/>
    </w:pPr>
    <w:rPr>
      <w:rFonts w:eastAsiaTheme="minorHAnsi"/>
      <w:b/>
      <w:bCs/>
      <w:sz w:val="22"/>
      <w:szCs w:val="22"/>
      <w:lang w:val="en-GB" w:eastAsia="en-US"/>
    </w:rPr>
  </w:style>
  <w:style w:type="character" w:styleId="FootnoteReference">
    <w:name w:val="footnote reference"/>
    <w:aliases w:val="Footnotes refss"/>
    <w:basedOn w:val="DefaultParagraphFont"/>
    <w:uiPriority w:val="99"/>
    <w:semiHidden/>
    <w:unhideWhenUsed/>
    <w:rsid w:val="003A08DC"/>
    <w:rPr>
      <w:vertAlign w:val="superscript"/>
    </w:rPr>
  </w:style>
  <w:style w:type="character" w:customStyle="1" w:styleId="google-src-text">
    <w:name w:val="google-src-text"/>
    <w:basedOn w:val="DefaultParagraphFont"/>
    <w:uiPriority w:val="99"/>
    <w:rsid w:val="003A08DC"/>
  </w:style>
  <w:style w:type="character" w:styleId="Strong">
    <w:name w:val="Strong"/>
    <w:basedOn w:val="DefaultParagraphFont"/>
    <w:uiPriority w:val="99"/>
    <w:qFormat/>
    <w:rsid w:val="003A08DC"/>
    <w:rPr>
      <w:b/>
      <w:bCs/>
    </w:rPr>
  </w:style>
  <w:style w:type="paragraph" w:styleId="Header">
    <w:name w:val="header"/>
    <w:basedOn w:val="Normal"/>
    <w:link w:val="HeaderChar"/>
    <w:uiPriority w:val="99"/>
    <w:unhideWhenUsed/>
    <w:rsid w:val="00EE3C18"/>
    <w:pPr>
      <w:tabs>
        <w:tab w:val="center" w:pos="4677"/>
        <w:tab w:val="right" w:pos="9355"/>
      </w:tabs>
    </w:pPr>
  </w:style>
  <w:style w:type="character" w:customStyle="1" w:styleId="HeaderChar">
    <w:name w:val="Header Char"/>
    <w:basedOn w:val="DefaultParagraphFont"/>
    <w:link w:val="Header"/>
    <w:uiPriority w:val="99"/>
    <w:rsid w:val="00EE3C18"/>
    <w:rPr>
      <w:rFonts w:ascii="Times New Roman" w:eastAsia="MS Mincho" w:hAnsi="Times New Roman" w:cs="Times New Roman"/>
      <w:sz w:val="24"/>
      <w:szCs w:val="24"/>
      <w:lang w:eastAsia="bg-BG"/>
    </w:rPr>
  </w:style>
  <w:style w:type="paragraph" w:styleId="Footer">
    <w:name w:val="footer"/>
    <w:basedOn w:val="Normal"/>
    <w:link w:val="FooterChar"/>
    <w:uiPriority w:val="99"/>
    <w:unhideWhenUsed/>
    <w:rsid w:val="00EE3C18"/>
    <w:pPr>
      <w:tabs>
        <w:tab w:val="center" w:pos="4677"/>
        <w:tab w:val="right" w:pos="9355"/>
      </w:tabs>
    </w:pPr>
  </w:style>
  <w:style w:type="character" w:customStyle="1" w:styleId="FooterChar">
    <w:name w:val="Footer Char"/>
    <w:basedOn w:val="DefaultParagraphFont"/>
    <w:link w:val="Footer"/>
    <w:uiPriority w:val="99"/>
    <w:rsid w:val="00EE3C18"/>
    <w:rPr>
      <w:rFonts w:ascii="Times New Roman" w:eastAsia="MS Mincho" w:hAnsi="Times New Roman" w:cs="Times New Roman"/>
      <w:sz w:val="24"/>
      <w:szCs w:val="24"/>
      <w:lang w:eastAsia="bg-BG"/>
    </w:rPr>
  </w:style>
  <w:style w:type="paragraph" w:styleId="BalloonText">
    <w:name w:val="Balloon Text"/>
    <w:basedOn w:val="Normal"/>
    <w:link w:val="BalloonTextChar"/>
    <w:uiPriority w:val="99"/>
    <w:semiHidden/>
    <w:unhideWhenUsed/>
    <w:rsid w:val="00EE3C18"/>
    <w:rPr>
      <w:rFonts w:ascii="Tahoma" w:hAnsi="Tahoma" w:cs="Tahoma"/>
      <w:sz w:val="16"/>
      <w:szCs w:val="16"/>
    </w:rPr>
  </w:style>
  <w:style w:type="character" w:customStyle="1" w:styleId="BalloonTextChar">
    <w:name w:val="Balloon Text Char"/>
    <w:basedOn w:val="DefaultParagraphFont"/>
    <w:link w:val="BalloonText"/>
    <w:uiPriority w:val="99"/>
    <w:semiHidden/>
    <w:rsid w:val="00EE3C18"/>
    <w:rPr>
      <w:rFonts w:ascii="Tahoma" w:eastAsia="MS Mincho" w:hAnsi="Tahoma" w:cs="Tahoma"/>
      <w:sz w:val="16"/>
      <w:szCs w:val="16"/>
      <w:lang w:eastAsia="bg-BG"/>
    </w:rPr>
  </w:style>
  <w:style w:type="paragraph" w:styleId="NoSpacing">
    <w:name w:val="No Spacing"/>
    <w:link w:val="NoSpacingChar"/>
    <w:uiPriority w:val="1"/>
    <w:qFormat/>
    <w:rsid w:val="00EE3C1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E3C18"/>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08F"/>
    <w:pPr>
      <w:spacing w:after="0" w:line="240" w:lineRule="auto"/>
    </w:pPr>
    <w:rPr>
      <w:rFonts w:ascii="Times New Roman" w:eastAsia="MS Mincho"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08DC"/>
    <w:rPr>
      <w:color w:val="0000FF"/>
      <w:u w:val="single"/>
    </w:rPr>
  </w:style>
  <w:style w:type="paragraph" w:styleId="NormalWeb">
    <w:name w:val="Normal (Web)"/>
    <w:basedOn w:val="Normal"/>
    <w:uiPriority w:val="99"/>
    <w:semiHidden/>
    <w:unhideWhenUsed/>
    <w:rsid w:val="003A08DC"/>
    <w:pPr>
      <w:spacing w:before="100" w:beforeAutospacing="1" w:after="100" w:afterAutospacing="1"/>
    </w:pPr>
    <w:rPr>
      <w:rFonts w:ascii="Verdana" w:hAnsi="Verdana" w:cs="Verdana"/>
      <w:color w:val="555555"/>
      <w:sz w:val="13"/>
      <w:szCs w:val="13"/>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r Char Char Char Char Char,footnote text Char Char Char Char"/>
    <w:basedOn w:val="DefaultParagraphFont"/>
    <w:link w:val="FootnoteText"/>
    <w:uiPriority w:val="99"/>
    <w:semiHidden/>
    <w:locked/>
    <w:rsid w:val="003A08DC"/>
    <w:rPr>
      <w:rFonts w:ascii="Times New Roman" w:eastAsia="MS Mincho" w:hAnsi="Times New Roman" w:cs="Times New Roman"/>
    </w:rPr>
  </w:style>
  <w:style w:type="paragraph" w:styleId="FootnoteText">
    <w:name w:val="footnote text"/>
    <w:aliases w:val="Footnote Text Char Char Char Char Char,Footnote Text Char Char Char Char,Footnote reference,FA Fu,Footnote Text Char Char Char,footnote text Char Char Char Char Char,footnote text Char Char Char"/>
    <w:basedOn w:val="Normal"/>
    <w:link w:val="FootnoteTextChar1"/>
    <w:uiPriority w:val="99"/>
    <w:semiHidden/>
    <w:unhideWhenUsed/>
    <w:rsid w:val="003A08DC"/>
    <w:rPr>
      <w:sz w:val="22"/>
      <w:szCs w:val="22"/>
      <w:lang w:eastAsia="en-US"/>
    </w:rPr>
  </w:style>
  <w:style w:type="character" w:customStyle="1" w:styleId="FootnoteTextChar">
    <w:name w:val="Footnote Text Char"/>
    <w:basedOn w:val="DefaultParagraphFont"/>
    <w:uiPriority w:val="99"/>
    <w:semiHidden/>
    <w:rsid w:val="003A08DC"/>
    <w:rPr>
      <w:rFonts w:ascii="Times New Roman" w:eastAsia="MS Mincho" w:hAnsi="Times New Roman" w:cs="Times New Roman"/>
      <w:sz w:val="20"/>
      <w:szCs w:val="20"/>
      <w:lang w:eastAsia="bg-BG"/>
    </w:rPr>
  </w:style>
  <w:style w:type="paragraph" w:styleId="BodyTextIndent">
    <w:name w:val="Body Text Indent"/>
    <w:basedOn w:val="Normal"/>
    <w:link w:val="BodyTextIndentChar"/>
    <w:uiPriority w:val="99"/>
    <w:semiHidden/>
    <w:unhideWhenUsed/>
    <w:rsid w:val="003A08DC"/>
    <w:pPr>
      <w:spacing w:after="120"/>
      <w:ind w:left="283"/>
    </w:pPr>
  </w:style>
  <w:style w:type="character" w:customStyle="1" w:styleId="BodyTextIndentChar">
    <w:name w:val="Body Text Indent Char"/>
    <w:basedOn w:val="DefaultParagraphFont"/>
    <w:link w:val="BodyTextIndent"/>
    <w:uiPriority w:val="99"/>
    <w:semiHidden/>
    <w:rsid w:val="003A08DC"/>
    <w:rPr>
      <w:rFonts w:ascii="Times New Roman" w:eastAsia="MS Mincho" w:hAnsi="Times New Roman" w:cs="Times New Roman"/>
      <w:sz w:val="24"/>
      <w:szCs w:val="24"/>
      <w:lang w:eastAsia="bg-BG"/>
    </w:rPr>
  </w:style>
  <w:style w:type="paragraph" w:styleId="ListParagraph">
    <w:name w:val="List Paragraph"/>
    <w:basedOn w:val="Normal"/>
    <w:uiPriority w:val="99"/>
    <w:qFormat/>
    <w:rsid w:val="003A08DC"/>
    <w:pPr>
      <w:ind w:left="720"/>
    </w:pPr>
  </w:style>
  <w:style w:type="paragraph" w:customStyle="1" w:styleId="Default">
    <w:name w:val="Default"/>
    <w:uiPriority w:val="99"/>
    <w:rsid w:val="003A08DC"/>
    <w:pPr>
      <w:autoSpaceDE w:val="0"/>
      <w:autoSpaceDN w:val="0"/>
      <w:adjustRightInd w:val="0"/>
      <w:spacing w:after="0" w:line="240" w:lineRule="auto"/>
    </w:pPr>
    <w:rPr>
      <w:rFonts w:ascii="Times New Roman" w:eastAsia="MS Mincho" w:hAnsi="Times New Roman" w:cs="Times New Roman"/>
      <w:color w:val="000000"/>
      <w:sz w:val="24"/>
      <w:szCs w:val="24"/>
      <w:lang w:eastAsia="bg-BG"/>
    </w:rPr>
  </w:style>
  <w:style w:type="character" w:customStyle="1" w:styleId="H23GChar">
    <w:name w:val="_ H_2/3_G Char"/>
    <w:link w:val="H23G"/>
    <w:uiPriority w:val="99"/>
    <w:locked/>
    <w:rsid w:val="003A08DC"/>
    <w:rPr>
      <w:rFonts w:ascii="Times New Roman" w:hAnsi="Times New Roman" w:cs="Times New Roman"/>
      <w:b/>
      <w:bCs/>
      <w:lang w:val="en-GB"/>
    </w:rPr>
  </w:style>
  <w:style w:type="paragraph" w:customStyle="1" w:styleId="H23G">
    <w:name w:val="_ H_2/3_G"/>
    <w:basedOn w:val="Normal"/>
    <w:next w:val="Normal"/>
    <w:link w:val="H23GChar"/>
    <w:uiPriority w:val="99"/>
    <w:rsid w:val="003A08DC"/>
    <w:pPr>
      <w:keepNext/>
      <w:keepLines/>
      <w:tabs>
        <w:tab w:val="right" w:pos="851"/>
      </w:tabs>
      <w:suppressAutoHyphens/>
      <w:spacing w:before="240" w:after="120" w:line="240" w:lineRule="exact"/>
      <w:ind w:left="1134" w:right="1134" w:hanging="1134"/>
    </w:pPr>
    <w:rPr>
      <w:rFonts w:eastAsiaTheme="minorHAnsi"/>
      <w:b/>
      <w:bCs/>
      <w:sz w:val="22"/>
      <w:szCs w:val="22"/>
      <w:lang w:val="en-GB" w:eastAsia="en-US"/>
    </w:rPr>
  </w:style>
  <w:style w:type="character" w:styleId="FootnoteReference">
    <w:name w:val="footnote reference"/>
    <w:aliases w:val="Footnotes refss"/>
    <w:basedOn w:val="DefaultParagraphFont"/>
    <w:uiPriority w:val="99"/>
    <w:semiHidden/>
    <w:unhideWhenUsed/>
    <w:rsid w:val="003A08DC"/>
    <w:rPr>
      <w:vertAlign w:val="superscript"/>
    </w:rPr>
  </w:style>
  <w:style w:type="character" w:customStyle="1" w:styleId="google-src-text">
    <w:name w:val="google-src-text"/>
    <w:basedOn w:val="DefaultParagraphFont"/>
    <w:uiPriority w:val="99"/>
    <w:rsid w:val="003A08DC"/>
  </w:style>
  <w:style w:type="character" w:styleId="Strong">
    <w:name w:val="Strong"/>
    <w:basedOn w:val="DefaultParagraphFont"/>
    <w:uiPriority w:val="99"/>
    <w:qFormat/>
    <w:rsid w:val="003A08DC"/>
    <w:rPr>
      <w:b/>
      <w:bCs/>
    </w:rPr>
  </w:style>
  <w:style w:type="paragraph" w:styleId="Header">
    <w:name w:val="header"/>
    <w:basedOn w:val="Normal"/>
    <w:link w:val="HeaderChar"/>
    <w:uiPriority w:val="99"/>
    <w:unhideWhenUsed/>
    <w:rsid w:val="00EE3C18"/>
    <w:pPr>
      <w:tabs>
        <w:tab w:val="center" w:pos="4677"/>
        <w:tab w:val="right" w:pos="9355"/>
      </w:tabs>
    </w:pPr>
  </w:style>
  <w:style w:type="character" w:customStyle="1" w:styleId="HeaderChar">
    <w:name w:val="Header Char"/>
    <w:basedOn w:val="DefaultParagraphFont"/>
    <w:link w:val="Header"/>
    <w:uiPriority w:val="99"/>
    <w:rsid w:val="00EE3C18"/>
    <w:rPr>
      <w:rFonts w:ascii="Times New Roman" w:eastAsia="MS Mincho" w:hAnsi="Times New Roman" w:cs="Times New Roman"/>
      <w:sz w:val="24"/>
      <w:szCs w:val="24"/>
      <w:lang w:eastAsia="bg-BG"/>
    </w:rPr>
  </w:style>
  <w:style w:type="paragraph" w:styleId="Footer">
    <w:name w:val="footer"/>
    <w:basedOn w:val="Normal"/>
    <w:link w:val="FooterChar"/>
    <w:uiPriority w:val="99"/>
    <w:unhideWhenUsed/>
    <w:rsid w:val="00EE3C18"/>
    <w:pPr>
      <w:tabs>
        <w:tab w:val="center" w:pos="4677"/>
        <w:tab w:val="right" w:pos="9355"/>
      </w:tabs>
    </w:pPr>
  </w:style>
  <w:style w:type="character" w:customStyle="1" w:styleId="FooterChar">
    <w:name w:val="Footer Char"/>
    <w:basedOn w:val="DefaultParagraphFont"/>
    <w:link w:val="Footer"/>
    <w:uiPriority w:val="99"/>
    <w:rsid w:val="00EE3C18"/>
    <w:rPr>
      <w:rFonts w:ascii="Times New Roman" w:eastAsia="MS Mincho" w:hAnsi="Times New Roman" w:cs="Times New Roman"/>
      <w:sz w:val="24"/>
      <w:szCs w:val="24"/>
      <w:lang w:eastAsia="bg-BG"/>
    </w:rPr>
  </w:style>
  <w:style w:type="paragraph" w:styleId="BalloonText">
    <w:name w:val="Balloon Text"/>
    <w:basedOn w:val="Normal"/>
    <w:link w:val="BalloonTextChar"/>
    <w:uiPriority w:val="99"/>
    <w:semiHidden/>
    <w:unhideWhenUsed/>
    <w:rsid w:val="00EE3C18"/>
    <w:rPr>
      <w:rFonts w:ascii="Tahoma" w:hAnsi="Tahoma" w:cs="Tahoma"/>
      <w:sz w:val="16"/>
      <w:szCs w:val="16"/>
    </w:rPr>
  </w:style>
  <w:style w:type="character" w:customStyle="1" w:styleId="BalloonTextChar">
    <w:name w:val="Balloon Text Char"/>
    <w:basedOn w:val="DefaultParagraphFont"/>
    <w:link w:val="BalloonText"/>
    <w:uiPriority w:val="99"/>
    <w:semiHidden/>
    <w:rsid w:val="00EE3C18"/>
    <w:rPr>
      <w:rFonts w:ascii="Tahoma" w:eastAsia="MS Mincho" w:hAnsi="Tahoma" w:cs="Tahoma"/>
      <w:sz w:val="16"/>
      <w:szCs w:val="16"/>
      <w:lang w:eastAsia="bg-BG"/>
    </w:rPr>
  </w:style>
  <w:style w:type="paragraph" w:styleId="NoSpacing">
    <w:name w:val="No Spacing"/>
    <w:link w:val="NoSpacingChar"/>
    <w:uiPriority w:val="1"/>
    <w:qFormat/>
    <w:rsid w:val="00EE3C1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E3C18"/>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4130480E144113B59AEBAB6ABBDB6D"/>
        <w:category>
          <w:name w:val="General"/>
          <w:gallery w:val="placeholder"/>
        </w:category>
        <w:types>
          <w:type w:val="bbPlcHdr"/>
        </w:types>
        <w:behaviors>
          <w:behavior w:val="content"/>
        </w:behaviors>
        <w:guid w:val="{1BDA8A6C-B29E-4708-AEB4-1C3F037240CB}"/>
      </w:docPartPr>
      <w:docPartBody>
        <w:p w:rsidR="000A7394" w:rsidRDefault="00450F97" w:rsidP="00450F97">
          <w:pPr>
            <w:pStyle w:val="7F4130480E144113B59AEBAB6ABBDB6D"/>
          </w:pPr>
          <w:r>
            <w:rPr>
              <w:rFonts w:asciiTheme="majorHAnsi" w:eastAsiaTheme="majorEastAsia" w:hAnsiTheme="majorHAnsi" w:cstheme="majorBidi"/>
              <w:b/>
              <w:bCs/>
              <w:color w:val="FFFFFF" w:themeColor="background1"/>
              <w:sz w:val="72"/>
              <w:szCs w:val="72"/>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TCC37o00">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F97"/>
    <w:rsid w:val="000A7394"/>
    <w:rsid w:val="00450F97"/>
    <w:rsid w:val="00902EEF"/>
    <w:rsid w:val="00CE6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6A6A8E5AE244E39E65C01AC8869C81">
    <w:name w:val="DC6A6A8E5AE244E39E65C01AC8869C81"/>
    <w:rsid w:val="00450F97"/>
  </w:style>
  <w:style w:type="paragraph" w:customStyle="1" w:styleId="4178A038365441E3A282E08DE53DF3AC">
    <w:name w:val="4178A038365441E3A282E08DE53DF3AC"/>
    <w:rsid w:val="00450F97"/>
  </w:style>
  <w:style w:type="paragraph" w:customStyle="1" w:styleId="7F4130480E144113B59AEBAB6ABBDB6D">
    <w:name w:val="7F4130480E144113B59AEBAB6ABBDB6D"/>
    <w:rsid w:val="00450F97"/>
  </w:style>
  <w:style w:type="paragraph" w:customStyle="1" w:styleId="D42A2F8AC74E4807AF760092EF343B3B">
    <w:name w:val="D42A2F8AC74E4807AF760092EF343B3B"/>
    <w:rsid w:val="00450F97"/>
  </w:style>
  <w:style w:type="paragraph" w:customStyle="1" w:styleId="CCD1B52941394FCBBC2DB7BC99918C8D">
    <w:name w:val="CCD1B52941394FCBBC2DB7BC99918C8D"/>
    <w:rsid w:val="00450F97"/>
  </w:style>
  <w:style w:type="paragraph" w:customStyle="1" w:styleId="494B50CD326246208A8933769D2866A4">
    <w:name w:val="494B50CD326246208A8933769D2866A4"/>
    <w:rsid w:val="00450F97"/>
  </w:style>
  <w:style w:type="paragraph" w:customStyle="1" w:styleId="BB1B8F1204444C59BED452666936623D">
    <w:name w:val="BB1B8F1204444C59BED452666936623D"/>
    <w:rsid w:val="00450F97"/>
  </w:style>
  <w:style w:type="paragraph" w:customStyle="1" w:styleId="BDECE7C218684B8CB9423798FCB48E0C">
    <w:name w:val="BDECE7C218684B8CB9423798FCB48E0C"/>
    <w:rsid w:val="00450F9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6A6A8E5AE244E39E65C01AC8869C81">
    <w:name w:val="DC6A6A8E5AE244E39E65C01AC8869C81"/>
    <w:rsid w:val="00450F97"/>
  </w:style>
  <w:style w:type="paragraph" w:customStyle="1" w:styleId="4178A038365441E3A282E08DE53DF3AC">
    <w:name w:val="4178A038365441E3A282E08DE53DF3AC"/>
    <w:rsid w:val="00450F97"/>
  </w:style>
  <w:style w:type="paragraph" w:customStyle="1" w:styleId="7F4130480E144113B59AEBAB6ABBDB6D">
    <w:name w:val="7F4130480E144113B59AEBAB6ABBDB6D"/>
    <w:rsid w:val="00450F97"/>
  </w:style>
  <w:style w:type="paragraph" w:customStyle="1" w:styleId="D42A2F8AC74E4807AF760092EF343B3B">
    <w:name w:val="D42A2F8AC74E4807AF760092EF343B3B"/>
    <w:rsid w:val="00450F97"/>
  </w:style>
  <w:style w:type="paragraph" w:customStyle="1" w:styleId="CCD1B52941394FCBBC2DB7BC99918C8D">
    <w:name w:val="CCD1B52941394FCBBC2DB7BC99918C8D"/>
    <w:rsid w:val="00450F97"/>
  </w:style>
  <w:style w:type="paragraph" w:customStyle="1" w:styleId="494B50CD326246208A8933769D2866A4">
    <w:name w:val="494B50CD326246208A8933769D2866A4"/>
    <w:rsid w:val="00450F97"/>
  </w:style>
  <w:style w:type="paragraph" w:customStyle="1" w:styleId="BB1B8F1204444C59BED452666936623D">
    <w:name w:val="BB1B8F1204444C59BED452666936623D"/>
    <w:rsid w:val="00450F97"/>
  </w:style>
  <w:style w:type="paragraph" w:customStyle="1" w:styleId="BDECE7C218684B8CB9423798FCB48E0C">
    <w:name w:val="BDECE7C218684B8CB9423798FCB48E0C"/>
    <w:rsid w:val="00450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2020-01-24T00:00:00</PublishDate>
  <Abstract> Presented by the Gender Alternatives Foundation January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383C38-9477-4A0C-94C1-F08C6EFD55B9}">
  <ds:schemaRefs>
    <ds:schemaRef ds:uri="http://schemas.openxmlformats.org/officeDocument/2006/bibliography"/>
  </ds:schemaRefs>
</ds:datastoreItem>
</file>

<file path=customXml/itemProps3.xml><?xml version="1.0" encoding="utf-8"?>
<ds:datastoreItem xmlns:ds="http://schemas.openxmlformats.org/officeDocument/2006/customXml" ds:itemID="{3BD892AD-660D-4466-A097-BC76EC28361C}"/>
</file>

<file path=customXml/itemProps4.xml><?xml version="1.0" encoding="utf-8"?>
<ds:datastoreItem xmlns:ds="http://schemas.openxmlformats.org/officeDocument/2006/customXml" ds:itemID="{83FE7BC5-D7B9-41AD-A201-A9A9E8FC8682}"/>
</file>

<file path=customXml/itemProps5.xml><?xml version="1.0" encoding="utf-8"?>
<ds:datastoreItem xmlns:ds="http://schemas.openxmlformats.org/officeDocument/2006/customXml" ds:itemID="{203C98C8-BD93-443A-A068-56F2E8613A70}"/>
</file>

<file path=docProps/app.xml><?xml version="1.0" encoding="utf-8"?>
<Properties xmlns="http://schemas.openxmlformats.org/officeDocument/2006/extended-properties" xmlns:vt="http://schemas.openxmlformats.org/officeDocument/2006/docPropsVTypes">
  <Template>Normal.dotm</Template>
  <TotalTime>15</TotalTime>
  <Pages>11</Pages>
  <Words>5180</Words>
  <Characters>29531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cbx</Company>
  <LinksUpToDate>false</LinksUpToDate>
  <CharactersWithSpaces>34642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Rada</cp:lastModifiedBy>
  <cp:revision>7</cp:revision>
  <cp:lastPrinted>2020-01-10T09:25:00Z</cp:lastPrinted>
  <dcterms:created xsi:type="dcterms:W3CDTF">2020-01-10T09:07:00Z</dcterms:created>
  <dcterms:modified xsi:type="dcterms:W3CDTF">2020-01-13T08:53:00Z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