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4C137D" w14:textId="18F89916" w:rsidR="00045ADD" w:rsidRPr="00045ADD" w:rsidRDefault="00045ADD" w:rsidP="00045ADD">
      <w:pPr>
        <w:jc w:val="center"/>
        <w:rPr>
          <w:b/>
          <w:bCs/>
          <w:sz w:val="56"/>
          <w:szCs w:val="56"/>
        </w:rPr>
      </w:pPr>
      <w:r w:rsidRPr="00045ADD">
        <w:rPr>
          <w:b/>
          <w:bCs/>
          <w:sz w:val="56"/>
          <w:szCs w:val="56"/>
        </w:rPr>
        <w:t>Success Capital Organisation</w:t>
      </w:r>
    </w:p>
    <w:p w14:paraId="1C26E32C" w14:textId="75A32D4B" w:rsidR="00045ADD" w:rsidRDefault="00045ADD" w:rsidP="00045ADD">
      <w:pPr>
        <w:jc w:val="center"/>
        <w:rPr>
          <w:b/>
          <w:bCs/>
        </w:rPr>
      </w:pPr>
    </w:p>
    <w:p w14:paraId="6FD4BFC3" w14:textId="100D7B54" w:rsidR="00045ADD" w:rsidRDefault="00045ADD" w:rsidP="00045ADD">
      <w:pPr>
        <w:jc w:val="center"/>
        <w:rPr>
          <w:b/>
          <w:bCs/>
        </w:rPr>
      </w:pPr>
      <w:r>
        <w:rPr>
          <w:noProof/>
        </w:rPr>
        <w:drawing>
          <wp:anchor distT="0" distB="0" distL="114300" distR="114300" simplePos="0" relativeHeight="251658240" behindDoc="1" locked="0" layoutInCell="1" allowOverlap="1" wp14:anchorId="24C9DBF2" wp14:editId="78FE1410">
            <wp:simplePos x="0" y="0"/>
            <wp:positionH relativeFrom="margin">
              <wp:align>center</wp:align>
            </wp:positionH>
            <wp:positionV relativeFrom="paragraph">
              <wp:posOffset>-1905</wp:posOffset>
            </wp:positionV>
            <wp:extent cx="2211661" cy="983254"/>
            <wp:effectExtent l="0" t="0" r="0" b="7620"/>
            <wp:wrapNone/>
            <wp:docPr id="19" name="Picture 19" descr="A logo with colorful flow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logo with colorful flowers&#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11661" cy="983254"/>
                    </a:xfrm>
                    <a:prstGeom prst="rect">
                      <a:avLst/>
                    </a:prstGeom>
                  </pic:spPr>
                </pic:pic>
              </a:graphicData>
            </a:graphic>
          </wp:anchor>
        </w:drawing>
      </w:r>
    </w:p>
    <w:p w14:paraId="1A47AD71" w14:textId="77777777" w:rsidR="00045ADD" w:rsidRDefault="00045ADD" w:rsidP="00045ADD">
      <w:pPr>
        <w:jc w:val="center"/>
        <w:rPr>
          <w:b/>
          <w:bCs/>
        </w:rPr>
      </w:pPr>
    </w:p>
    <w:p w14:paraId="7EE1AE51" w14:textId="77777777" w:rsidR="00045ADD" w:rsidRDefault="00045ADD" w:rsidP="00045ADD">
      <w:pPr>
        <w:jc w:val="center"/>
        <w:rPr>
          <w:b/>
          <w:bCs/>
        </w:rPr>
      </w:pPr>
    </w:p>
    <w:p w14:paraId="3EC11469" w14:textId="77777777" w:rsidR="00045ADD" w:rsidRDefault="00045ADD" w:rsidP="00045ADD">
      <w:pPr>
        <w:jc w:val="center"/>
        <w:rPr>
          <w:b/>
          <w:bCs/>
        </w:rPr>
      </w:pPr>
    </w:p>
    <w:p w14:paraId="1F9B58A6" w14:textId="77777777" w:rsidR="00045ADD" w:rsidRDefault="00045ADD" w:rsidP="00045ADD">
      <w:pPr>
        <w:jc w:val="center"/>
        <w:rPr>
          <w:b/>
          <w:bCs/>
        </w:rPr>
      </w:pPr>
    </w:p>
    <w:p w14:paraId="7CFD080B" w14:textId="43F022CE" w:rsidR="00045ADD" w:rsidRPr="00045ADD" w:rsidRDefault="00045ADD" w:rsidP="00045ADD">
      <w:pPr>
        <w:jc w:val="center"/>
        <w:rPr>
          <w:sz w:val="40"/>
          <w:szCs w:val="40"/>
          <w:lang w:val="de-DE"/>
        </w:rPr>
      </w:pPr>
      <w:hyperlink r:id="rId9" w:history="1">
        <w:r w:rsidRPr="00045ADD">
          <w:rPr>
            <w:rStyle w:val="Hyperlink"/>
            <w:sz w:val="40"/>
            <w:szCs w:val="40"/>
            <w:lang w:val="de-DE"/>
          </w:rPr>
          <w:t>www.successcapital.africa</w:t>
        </w:r>
      </w:hyperlink>
    </w:p>
    <w:p w14:paraId="0BE1C614" w14:textId="77777777" w:rsidR="00045ADD" w:rsidRPr="00045ADD" w:rsidRDefault="00045ADD" w:rsidP="00045ADD">
      <w:pPr>
        <w:jc w:val="center"/>
        <w:rPr>
          <w:sz w:val="40"/>
          <w:szCs w:val="40"/>
        </w:rPr>
      </w:pPr>
      <w:r w:rsidRPr="00045ADD">
        <w:rPr>
          <w:sz w:val="40"/>
          <w:szCs w:val="40"/>
        </w:rPr>
        <w:t xml:space="preserve">working in the nexus </w:t>
      </w:r>
    </w:p>
    <w:p w14:paraId="7FEC9F83" w14:textId="77777777" w:rsidR="00045ADD" w:rsidRPr="00045ADD" w:rsidRDefault="00045ADD" w:rsidP="00045ADD">
      <w:pPr>
        <w:jc w:val="center"/>
        <w:rPr>
          <w:sz w:val="40"/>
          <w:szCs w:val="40"/>
        </w:rPr>
      </w:pPr>
      <w:r w:rsidRPr="00045ADD">
        <w:rPr>
          <w:sz w:val="40"/>
          <w:szCs w:val="40"/>
        </w:rPr>
        <w:t xml:space="preserve">of </w:t>
      </w:r>
    </w:p>
    <w:p w14:paraId="12BB3E9D" w14:textId="77777777" w:rsidR="00045ADD" w:rsidRPr="00045ADD" w:rsidRDefault="00045ADD" w:rsidP="00045ADD">
      <w:pPr>
        <w:jc w:val="center"/>
        <w:rPr>
          <w:sz w:val="40"/>
          <w:szCs w:val="40"/>
        </w:rPr>
      </w:pPr>
      <w:r w:rsidRPr="00045ADD">
        <w:rPr>
          <w:sz w:val="40"/>
          <w:szCs w:val="40"/>
        </w:rPr>
        <w:t xml:space="preserve">human rights </w:t>
      </w:r>
    </w:p>
    <w:p w14:paraId="0E7AF310" w14:textId="77777777" w:rsidR="00045ADD" w:rsidRPr="00045ADD" w:rsidRDefault="00045ADD" w:rsidP="00045ADD">
      <w:pPr>
        <w:jc w:val="center"/>
        <w:rPr>
          <w:sz w:val="40"/>
          <w:szCs w:val="40"/>
        </w:rPr>
      </w:pPr>
      <w:r w:rsidRPr="00045ADD">
        <w:rPr>
          <w:sz w:val="40"/>
          <w:szCs w:val="40"/>
        </w:rPr>
        <w:t xml:space="preserve">and </w:t>
      </w:r>
    </w:p>
    <w:p w14:paraId="4ED3D2CA" w14:textId="345DD32B" w:rsidR="00045ADD" w:rsidRPr="00045ADD" w:rsidRDefault="00045ADD" w:rsidP="00045ADD">
      <w:pPr>
        <w:jc w:val="center"/>
        <w:rPr>
          <w:sz w:val="40"/>
          <w:szCs w:val="40"/>
        </w:rPr>
      </w:pPr>
      <w:r w:rsidRPr="00045ADD">
        <w:rPr>
          <w:sz w:val="40"/>
          <w:szCs w:val="40"/>
        </w:rPr>
        <w:t>sustainable development</w:t>
      </w:r>
    </w:p>
    <w:p w14:paraId="501D2224" w14:textId="77777777" w:rsidR="00045ADD" w:rsidRDefault="00045ADD" w:rsidP="00045ADD">
      <w:pPr>
        <w:jc w:val="center"/>
      </w:pPr>
    </w:p>
    <w:p w14:paraId="26076991" w14:textId="77777777" w:rsidR="00045ADD" w:rsidRDefault="00045ADD" w:rsidP="00045ADD"/>
    <w:p w14:paraId="52C89701" w14:textId="1E573E01" w:rsidR="00045ADD" w:rsidRPr="00045ADD" w:rsidRDefault="00045ADD" w:rsidP="00045ADD">
      <w:pPr>
        <w:jc w:val="center"/>
        <w:rPr>
          <w:i/>
          <w:iCs/>
          <w:sz w:val="36"/>
          <w:szCs w:val="36"/>
        </w:rPr>
      </w:pPr>
      <w:r w:rsidRPr="00045ADD">
        <w:rPr>
          <w:i/>
          <w:iCs/>
          <w:sz w:val="36"/>
          <w:szCs w:val="36"/>
        </w:rPr>
        <w:t>advancing gender, queer and climate justice</w:t>
      </w:r>
    </w:p>
    <w:p w14:paraId="318C5F24" w14:textId="77777777" w:rsidR="00045ADD" w:rsidRPr="00045ADD" w:rsidRDefault="00045ADD" w:rsidP="00045ADD"/>
    <w:p w14:paraId="0D58E8D6" w14:textId="77777777" w:rsidR="00045ADD" w:rsidRDefault="00045ADD" w:rsidP="00045ADD"/>
    <w:p w14:paraId="41AEA944" w14:textId="77777777" w:rsidR="00045ADD" w:rsidRDefault="00045ADD" w:rsidP="00045ADD"/>
    <w:p w14:paraId="7A907168" w14:textId="77777777" w:rsidR="00045ADD" w:rsidRDefault="00045ADD" w:rsidP="00045ADD"/>
    <w:p w14:paraId="27ED24D1" w14:textId="7E5FC28F" w:rsidR="00DE3988" w:rsidRDefault="00DE3988" w:rsidP="00DE3988">
      <w:pPr>
        <w:rPr>
          <w:lang w:val="en-US"/>
        </w:rPr>
      </w:pPr>
      <w:r>
        <w:rPr>
          <w:lang w:val="en-US"/>
        </w:rPr>
        <w:t xml:space="preserve">SUBMISSION TO THE </w:t>
      </w:r>
      <w:r w:rsidRPr="00DE3988">
        <w:rPr>
          <w:lang w:val="en-US"/>
        </w:rPr>
        <w:t>COMMITTEE ON THE ELIMINATION OF DISCRIMINATION AGAINST WOMEN (CEDAW)</w:t>
      </w:r>
      <w:r>
        <w:rPr>
          <w:lang w:val="en-US"/>
        </w:rPr>
        <w:t xml:space="preserve"> FOR CONSIDERATION FOR THE NINETY-FIRST SESSION: BOTSWANA</w:t>
      </w:r>
    </w:p>
    <w:p w14:paraId="3AE20278" w14:textId="4432CCAA" w:rsidR="00DE3988" w:rsidRDefault="00DE3988" w:rsidP="00DE3988">
      <w:pPr>
        <w:jc w:val="center"/>
        <w:rPr>
          <w:lang w:val="en-US"/>
        </w:rPr>
      </w:pPr>
      <w:r>
        <w:rPr>
          <w:lang w:val="en-US"/>
        </w:rPr>
        <w:t>May 2025</w:t>
      </w:r>
    </w:p>
    <w:p w14:paraId="6A0B04CD" w14:textId="5E3579EC" w:rsidR="00DE3988" w:rsidRPr="00DE3988" w:rsidRDefault="00DE3988" w:rsidP="00DE3988">
      <w:pPr>
        <w:jc w:val="center"/>
        <w:rPr>
          <w:lang w:val="en-US"/>
        </w:rPr>
      </w:pPr>
      <w:r>
        <w:rPr>
          <w:lang w:val="en-US"/>
        </w:rPr>
        <w:t>admin@successcapital.africa</w:t>
      </w:r>
    </w:p>
    <w:p w14:paraId="5D80B0CE" w14:textId="33E61660" w:rsidR="00DE3988" w:rsidRPr="00DE3988" w:rsidRDefault="00DE3988" w:rsidP="00045ADD">
      <w:pPr>
        <w:rPr>
          <w:b/>
          <w:bCs/>
        </w:rPr>
      </w:pPr>
      <w:r w:rsidRPr="00DE3988">
        <w:rPr>
          <w:b/>
          <w:bCs/>
        </w:rPr>
        <w:lastRenderedPageBreak/>
        <w:t>Introduction</w:t>
      </w:r>
    </w:p>
    <w:p w14:paraId="0622586F" w14:textId="64E8BB94" w:rsidR="00DE3988" w:rsidRDefault="00DE3988" w:rsidP="00DE3988">
      <w:pPr>
        <w:jc w:val="both"/>
      </w:pPr>
      <w:r>
        <w:t>This submission provides a targeted submission considering severely limited resources and institutional capacity. As a grassroots organisation in collaboration with other emerging civil society, diverse community members and allies – we reviewed a series of dialogues, literature reviews and advocacy outputs we co-created to diversify perspectives submitted for the current CEDAW review. It provides simple reflections and reviews to support the work of CEDAW and ensure no one is left behind in the process. It further provides independent responses as Success Capital and many of its collaborators were not included in country consultations. In light of this, only notable responses to the state report and follow up issues will be presented, with supporting information. The unequal and unjust resourcing landscape leaves little opportunity for grassroots organisations and communities to meaningfully engage with CEDAW.</w:t>
      </w:r>
    </w:p>
    <w:p w14:paraId="7AD0CDD6" w14:textId="77777777" w:rsidR="00DE3988" w:rsidRDefault="00DE3988" w:rsidP="00DE3988">
      <w:pPr>
        <w:jc w:val="both"/>
      </w:pPr>
    </w:p>
    <w:p w14:paraId="758E5AAB" w14:textId="3DD6EA36" w:rsidR="008B48BE" w:rsidRDefault="008B48BE" w:rsidP="008B48BE">
      <w:r w:rsidRPr="0057760A">
        <w:rPr>
          <w:b/>
          <w:bCs/>
        </w:rPr>
        <w:t>Comments on the report of the State party and its written replies to the list of</w:t>
      </w:r>
      <w:r w:rsidR="00494C33">
        <w:rPr>
          <w:b/>
          <w:bCs/>
        </w:rPr>
        <w:t xml:space="preserve"> </w:t>
      </w:r>
      <w:r w:rsidRPr="0057760A">
        <w:rPr>
          <w:b/>
          <w:bCs/>
        </w:rPr>
        <w:t>issues</w:t>
      </w:r>
    </w:p>
    <w:p w14:paraId="53761E0B" w14:textId="68B8C68A" w:rsidR="0057760A" w:rsidRDefault="00494C33" w:rsidP="0057760A">
      <w:pPr>
        <w:pStyle w:val="ListParagraph"/>
        <w:numPr>
          <w:ilvl w:val="0"/>
          <w:numId w:val="1"/>
        </w:numPr>
        <w:jc w:val="both"/>
      </w:pPr>
      <w:r>
        <w:t xml:space="preserve">The state report notes </w:t>
      </w:r>
      <w:r w:rsidR="0058529B">
        <w:t xml:space="preserve">nationwide consultations, including community-based organisations. Whilst several organisations would have participated, there was an exclusion of youth led, emerging and grassroots organisations that work with LGBTIQ+ Youth, volunteers, sex workers, technology and in climate justice. Those that did participate would either have meaningful resourcing provisions or access to government, national gender machinery, and UN development partner relationships. Civil society national structures continue to be elitist, concentrated in the capital or with prohibitive membership fees that cannot be budgeted for in normative civil society programming. </w:t>
      </w:r>
    </w:p>
    <w:p w14:paraId="6ECF8C0C" w14:textId="6559E166" w:rsidR="0057760A" w:rsidRDefault="0058529B" w:rsidP="0057760A">
      <w:pPr>
        <w:pStyle w:val="ListParagraph"/>
        <w:numPr>
          <w:ilvl w:val="0"/>
          <w:numId w:val="1"/>
        </w:numPr>
        <w:jc w:val="both"/>
      </w:pPr>
      <w:r>
        <w:t xml:space="preserve">This excludes largely underfunded and under-resourced setting such as the peri-urban/surrounding Gaborone, Central, Ngamiland West/Okavango, Chobe and Kgalagadi regions that often lack representation. </w:t>
      </w:r>
      <w:r w:rsidR="00494C33">
        <w:t>M</w:t>
      </w:r>
      <w:r>
        <w:t>issed opportunit</w:t>
      </w:r>
      <w:r w:rsidR="00494C33">
        <w:t>ies</w:t>
      </w:r>
      <w:r>
        <w:t xml:space="preserve"> to diversify perspectives and include civil society that are not in the Ministry or national network database despite evidence of impactful work.</w:t>
      </w:r>
      <w:r w:rsidR="0057760A">
        <w:t xml:space="preserve"> This is reflected in the lack of public information on how the </w:t>
      </w:r>
      <w:r w:rsidR="0057760A" w:rsidRPr="00611E0F">
        <w:t>National Gender Commission</w:t>
      </w:r>
      <w:r w:rsidR="0057760A">
        <w:t xml:space="preserve"> is constituted, appointed, along with the criteria used by the responsible Ministry.</w:t>
      </w:r>
    </w:p>
    <w:p w14:paraId="17D245C3" w14:textId="22EB811D" w:rsidR="0057760A" w:rsidRDefault="009958CD" w:rsidP="0057760A">
      <w:pPr>
        <w:pStyle w:val="ListParagraph"/>
        <w:numPr>
          <w:ilvl w:val="0"/>
          <w:numId w:val="1"/>
        </w:numPr>
        <w:jc w:val="both"/>
      </w:pPr>
      <w:r>
        <w:t xml:space="preserve">Widely reported GBV interventions carry little accountability and public participation oversight. </w:t>
      </w:r>
      <w:r w:rsidR="0057760A">
        <w:t xml:space="preserve">There is yet to be any meaningful review of the impact of </w:t>
      </w:r>
      <w:r>
        <w:t xml:space="preserve">Child friendly police stations, the work of the </w:t>
      </w:r>
      <w:r w:rsidRPr="00611E0F">
        <w:t>Inter-Ministerial Committee on GBV</w:t>
      </w:r>
      <w:r>
        <w:t xml:space="preserve">, and </w:t>
      </w:r>
      <w:r w:rsidR="0057760A" w:rsidRPr="00611E0F">
        <w:t>Specialised Courts by the Administration of Justice</w:t>
      </w:r>
      <w:r>
        <w:t xml:space="preserve"> respectively</w:t>
      </w:r>
      <w:r w:rsidR="0057760A">
        <w:t xml:space="preserve">. </w:t>
      </w:r>
      <w:r w:rsidR="00494C33">
        <w:t>NGO</w:t>
      </w:r>
      <w:r w:rsidR="0057760A">
        <w:t>s have yet to report on referring cases to these courts</w:t>
      </w:r>
      <w:r>
        <w:t xml:space="preserve"> within their normative community referral programming</w:t>
      </w:r>
      <w:r w:rsidR="0057760A">
        <w:t>. Similarly, 2020</w:t>
      </w:r>
      <w:r w:rsidR="00E93FF1">
        <w:t>/2021</w:t>
      </w:r>
      <w:r w:rsidR="0057760A">
        <w:t xml:space="preserve">’s </w:t>
      </w:r>
      <w:r w:rsidR="0057760A" w:rsidRPr="0057760A">
        <w:t>Sexual Offenders Registry Bill</w:t>
      </w:r>
      <w:r w:rsidR="0057760A">
        <w:t xml:space="preserve"> is yet to be operationalised. Reflecting state apathy and desensitisation to GBV in its variant forms.</w:t>
      </w:r>
    </w:p>
    <w:p w14:paraId="5E4F4872" w14:textId="53C3771A" w:rsidR="004A6A35" w:rsidRDefault="004A6A35" w:rsidP="0057760A">
      <w:pPr>
        <w:pStyle w:val="ListParagraph"/>
        <w:numPr>
          <w:ilvl w:val="0"/>
          <w:numId w:val="1"/>
        </w:numPr>
        <w:jc w:val="both"/>
      </w:pPr>
      <w:r>
        <w:lastRenderedPageBreak/>
        <w:t xml:space="preserve">Government transparency and reporting has significantly reduced since the COVID-10 pandemic. </w:t>
      </w:r>
      <w:r w:rsidR="00494C33">
        <w:t>T</w:t>
      </w:r>
      <w:r>
        <w:t>he lack of readily available reports from the Auditor General to track gender sensitive budgeting,</w:t>
      </w:r>
      <w:r>
        <w:rPr>
          <w:rStyle w:val="FootnoteReference"/>
        </w:rPr>
        <w:footnoteReference w:id="1"/>
      </w:r>
      <w:r>
        <w:t xml:space="preserve"> along with gender-based violence</w:t>
      </w:r>
      <w:r w:rsidR="00494C33">
        <w:t xml:space="preserve"> (GBV)</w:t>
      </w:r>
      <w:r>
        <w:t xml:space="preserve"> tracking through the Botswana Crime Statistics Report (2020</w:t>
      </w:r>
      <w:r w:rsidR="002E7AA8">
        <w:rPr>
          <w:rStyle w:val="FootnoteReference"/>
        </w:rPr>
        <w:footnoteReference w:id="2"/>
      </w:r>
      <w:r>
        <w:t xml:space="preserve">) and the Annual Botswana Police Service report which have not been published online since 2018. Requesting updates after formally meeting with the </w:t>
      </w:r>
      <w:r w:rsidRPr="004A6A35">
        <w:t>Gender and Child Protection Unit</w:t>
      </w:r>
      <w:r>
        <w:t xml:space="preserve"> in 2024, along with inquiring through the Public Relations Office in partnership with media has brought no positive outcome. Instead, haphazard reporting in press briefings without annual oversight or comparable data present a challenge in understanding the full extent of GBV in Botswana.</w:t>
      </w:r>
    </w:p>
    <w:p w14:paraId="3D89F3B7" w14:textId="42E2BB3F" w:rsidR="009958CD" w:rsidRDefault="009958CD" w:rsidP="0057760A">
      <w:pPr>
        <w:pStyle w:val="ListParagraph"/>
        <w:numPr>
          <w:ilvl w:val="0"/>
          <w:numId w:val="1"/>
        </w:numPr>
        <w:jc w:val="both"/>
      </w:pPr>
      <w:r>
        <w:t xml:space="preserve">The lack of transparency includes in the country CEDAW report. Initiatives reported on </w:t>
      </w:r>
      <w:r w:rsidR="002E7AA8">
        <w:t xml:space="preserve">supporting specific civil society organisations (to document human rights violations and to exit sex work respectively), along with </w:t>
      </w:r>
      <w:r>
        <w:t>engaging different stakeholders, men</w:t>
      </w:r>
      <w:r w:rsidR="002E7AA8">
        <w:t>,</w:t>
      </w:r>
      <w:r>
        <w:t xml:space="preserve"> and traditional leaders lack substantive insight on impact.  This includes where quantum figures on reach are presented. Leaving little </w:t>
      </w:r>
      <w:r w:rsidR="002E7AA8">
        <w:t xml:space="preserve">feminist </w:t>
      </w:r>
      <w:r>
        <w:t>analysis or comparability to review progress or change.</w:t>
      </w:r>
      <w:r w:rsidR="002E7AA8">
        <w:t xml:space="preserve"> This is because experiences and outcomes remain the same, with little transformative change for sex workers and broader key populations most impacted.</w:t>
      </w:r>
      <w:r>
        <w:t xml:space="preserve"> </w:t>
      </w:r>
    </w:p>
    <w:p w14:paraId="33AC66E9" w14:textId="70029468" w:rsidR="009958CD" w:rsidRDefault="009958CD" w:rsidP="0057760A">
      <w:pPr>
        <w:pStyle w:val="ListParagraph"/>
        <w:numPr>
          <w:ilvl w:val="0"/>
          <w:numId w:val="1"/>
        </w:numPr>
        <w:jc w:val="both"/>
      </w:pPr>
      <w:r>
        <w:t xml:space="preserve">The special interventions </w:t>
      </w:r>
      <w:r w:rsidR="00494C33">
        <w:t>for</w:t>
      </w:r>
      <w:r>
        <w:t xml:space="preserve"> representation are insufficient. Outcomes of the recent general election, the increasing reports of femicide and technology assisted </w:t>
      </w:r>
      <w:r w:rsidR="00494C33">
        <w:t>GBV</w:t>
      </w:r>
      <w:r>
        <w:t xml:space="preserve"> reflect this insufficiency. </w:t>
      </w:r>
      <w:r>
        <w:t>Botswana’s characterised with high levels of gender inequities, violence and patriarchal systems reflected in a) low representation in elected parliamentarians (</w:t>
      </w:r>
      <w:r w:rsidRPr="006A4DBF">
        <w:t xml:space="preserve">4.92% </w:t>
      </w:r>
      <w:r>
        <w:t xml:space="preserve">from </w:t>
      </w:r>
      <w:r w:rsidRPr="006A4DBF">
        <w:t>5.26%</w:t>
      </w:r>
      <w:r>
        <w:t>) despite 54% of women being registered voters in 2024, and b) almost 70% of women having experienced some form of violence in their lifetime.</w:t>
      </w:r>
      <w:r>
        <w:t xml:space="preserve"> This is also reflected in the 11</w:t>
      </w:r>
      <w:r w:rsidRPr="009958CD">
        <w:rPr>
          <w:vertAlign w:val="superscript"/>
        </w:rPr>
        <w:t>th</w:t>
      </w:r>
      <w:r>
        <w:t xml:space="preserve"> and 12</w:t>
      </w:r>
      <w:r w:rsidRPr="009958CD">
        <w:rPr>
          <w:vertAlign w:val="superscript"/>
        </w:rPr>
        <w:t>th</w:t>
      </w:r>
      <w:r>
        <w:t xml:space="preserve"> parliaments failing to declare GBV an emergency, despite having changed ruling party administrations and in contrast to political manifestos.</w:t>
      </w:r>
    </w:p>
    <w:p w14:paraId="58700C4F" w14:textId="53264DD1" w:rsidR="009958CD" w:rsidRDefault="00506CD7" w:rsidP="0057760A">
      <w:pPr>
        <w:pStyle w:val="ListParagraph"/>
        <w:numPr>
          <w:ilvl w:val="0"/>
          <w:numId w:val="1"/>
        </w:numPr>
        <w:jc w:val="both"/>
      </w:pPr>
      <w:r>
        <w:t xml:space="preserve">Progress on the </w:t>
      </w:r>
      <w:r w:rsidRPr="00611E0F">
        <w:t>commit</w:t>
      </w:r>
      <w:r>
        <w:t>ment</w:t>
      </w:r>
      <w:r w:rsidRPr="00611E0F">
        <w:t xml:space="preserve"> to achieving Universal Health Coverage (UHC)</w:t>
      </w:r>
      <w:r>
        <w:t xml:space="preserve"> is poor. Despite recent policy and structural changes</w:t>
      </w:r>
      <w:r w:rsidR="000C6649">
        <w:t xml:space="preserve"> under the new government</w:t>
      </w:r>
      <w:r>
        <w:t xml:space="preserve">. The period under review reflects a poor state health system characterised by commodity, staff, equipment and quality shortcomings. Several reports on Botswana’s national transition from development funding in HIV, key population estimates, AIDS impact, and discrimination index reflect a health system that needs review and renewal. Investments in health are yet to meet the Abuja Declaration targets for minimum budget allocation. This is not in alignment with the country’s ambitions for high income country status. </w:t>
      </w:r>
    </w:p>
    <w:p w14:paraId="0E0727E9" w14:textId="337EFA96" w:rsidR="000C6649" w:rsidRDefault="000C6649" w:rsidP="0057760A">
      <w:pPr>
        <w:pStyle w:val="ListParagraph"/>
        <w:numPr>
          <w:ilvl w:val="0"/>
          <w:numId w:val="1"/>
        </w:numPr>
        <w:jc w:val="both"/>
      </w:pPr>
      <w:r>
        <w:lastRenderedPageBreak/>
        <w:t xml:space="preserve">We support Government’s acknowledgement of </w:t>
      </w:r>
      <w:r w:rsidRPr="00611E0F">
        <w:t>unmet need</w:t>
      </w:r>
      <w:r>
        <w:t>s</w:t>
      </w:r>
      <w:r w:rsidRPr="00611E0F">
        <w:t xml:space="preserve"> for family planning, preventable maternal deaths, GBV and sexual transmission of HIV</w:t>
      </w:r>
      <w:r>
        <w:t xml:space="preserve">. Further acknowledging data gaps on the following experiences due to narrow legal and disaggregated data collection provisions: a) marital rape, b) Sex Worker and LGBTIQ+ related GBV and intimate partner violence, along with issues of b) unsafe abortion, including complications and after care services in such instances. </w:t>
      </w:r>
    </w:p>
    <w:p w14:paraId="3DBB3F19" w14:textId="1EFE9F0A" w:rsidR="000C6649" w:rsidRDefault="000C6649" w:rsidP="00494C33">
      <w:pPr>
        <w:pStyle w:val="ListParagraph"/>
        <w:numPr>
          <w:ilvl w:val="0"/>
          <w:numId w:val="1"/>
        </w:numPr>
        <w:jc w:val="both"/>
      </w:pPr>
      <w:r>
        <w:t xml:space="preserve">The increase in districts has not </w:t>
      </w:r>
      <w:r w:rsidR="00494C33">
        <w:t xml:space="preserve">equated to </w:t>
      </w:r>
      <w:r>
        <w:t>increased service delivery</w:t>
      </w:r>
      <w:r w:rsidR="00494C33">
        <w:t xml:space="preserve">: </w:t>
      </w:r>
      <w:r>
        <w:t>infrastructure, equipment, and policy frameworks are</w:t>
      </w:r>
      <w:r w:rsidR="00494C33">
        <w:t xml:space="preserve"> yet to increase</w:t>
      </w:r>
      <w:r>
        <w:t xml:space="preserve">. </w:t>
      </w:r>
      <w:r w:rsidR="00494C33">
        <w:t>P</w:t>
      </w:r>
      <w:r>
        <w:t xml:space="preserve">ersonnel have been redeployed or employed </w:t>
      </w:r>
      <w:r w:rsidR="00494C33">
        <w:t>however,</w:t>
      </w:r>
      <w:r>
        <w:t xml:space="preserve"> remote locations where health posts, schools (including disability inclusive centers), customary courts, and basic utility service points have yet to reach those most left behind. </w:t>
      </w:r>
    </w:p>
    <w:p w14:paraId="70FE83F0" w14:textId="120A7AFD" w:rsidR="008B48BE" w:rsidRDefault="000C6649" w:rsidP="008B48BE">
      <w:pPr>
        <w:pStyle w:val="ListParagraph"/>
        <w:numPr>
          <w:ilvl w:val="0"/>
          <w:numId w:val="1"/>
        </w:numPr>
        <w:jc w:val="both"/>
      </w:pPr>
      <w:r>
        <w:t xml:space="preserve">The </w:t>
      </w:r>
      <w:r w:rsidRPr="00611E0F">
        <w:t>Constitutional Review process</w:t>
      </w:r>
      <w:r>
        <w:t xml:space="preserve"> is seemingly reported as a success. However, the Government White Paper failed to reflect the will of the people and rather </w:t>
      </w:r>
      <w:r w:rsidR="00E93FF1">
        <w:t>reflected political nuances of the political administration at the time. Subsequent bills that infringed on the rights of citizens with foreign born parents, presidential benefits, and perpetuating of centralised power in government reflected the true nature of the Constitutional Review: unequal, unjust and void of human rights. Protests against the process, subsequent bills ensued, along with protests against the inclusion of intersex related provisions. This reflects a complex social dynamic that the state party report failed to reflect.</w:t>
      </w:r>
    </w:p>
    <w:p w14:paraId="44F82D92" w14:textId="267E38A7" w:rsidR="00CE30DB" w:rsidRDefault="00E93FF1" w:rsidP="00E93FF1">
      <w:pPr>
        <w:pStyle w:val="ListParagraph"/>
        <w:numPr>
          <w:ilvl w:val="0"/>
          <w:numId w:val="1"/>
        </w:numPr>
        <w:jc w:val="both"/>
      </w:pPr>
      <w:r w:rsidRPr="00E93FF1">
        <w:t>Government subventions remain exclusive to th</w:t>
      </w:r>
      <w:r>
        <w:t xml:space="preserve">ose in proximity to decision makers. There are no clear measures for accountability, transparency, sustainability and/or inclusion. The </w:t>
      </w:r>
      <w:r w:rsidRPr="00E93FF1">
        <w:t>2017 national policy guidelines on social contracting for NGOs</w:t>
      </w:r>
      <w:r>
        <w:t xml:space="preserve"> is yet to be operationalised. </w:t>
      </w:r>
      <w:r w:rsidR="00CE30DB">
        <w:t>Gender identity remains a barrier to accommodation in women’s shelters. More especially, with a death of a GBV victim in a shelter,</w:t>
      </w:r>
      <w:r w:rsidR="00CE30DB">
        <w:rPr>
          <w:rStyle w:val="FootnoteReference"/>
        </w:rPr>
        <w:footnoteReference w:id="3"/>
      </w:r>
      <w:r w:rsidR="00CE30DB">
        <w:t xml:space="preserve"> leaving questions on safeguarding protocols, quality assurance and accountability to survivors where the state provides funding.</w:t>
      </w:r>
    </w:p>
    <w:p w14:paraId="506434BB" w14:textId="61B82792" w:rsidR="00CE30DB" w:rsidRDefault="00CE30DB" w:rsidP="00E93FF1">
      <w:pPr>
        <w:pStyle w:val="ListParagraph"/>
        <w:numPr>
          <w:ilvl w:val="0"/>
          <w:numId w:val="1"/>
        </w:numPr>
        <w:jc w:val="both"/>
      </w:pPr>
      <w:r>
        <w:t xml:space="preserve">There have been instances where LGBTIQ+ youth needed emergency shelter, without any meaningful provisions supported by the state. The mentions of these provisions </w:t>
      </w:r>
      <w:r w:rsidR="007108A3">
        <w:t>are</w:t>
      </w:r>
      <w:r>
        <w:t xml:space="preserve"> void – as it alludes to collaboration. As the organisation that provided alternative to shelter at the height of the pandemic: these were not budgeted for or inclusive in women’s shelter. Success Capital provided guest house accommodation as a form of mutual aid. In the subsequent financial year under community health provisions, funding for LGBTIQ+ shelters was not allocated to LGBTIQ+ led organisations. Rather an HIV network with no readily available evidence of a shelter having been created. </w:t>
      </w:r>
    </w:p>
    <w:p w14:paraId="6DCA871B" w14:textId="3B015B95" w:rsidR="00E93FF1" w:rsidRDefault="00CE30DB" w:rsidP="00E93FF1">
      <w:pPr>
        <w:pStyle w:val="ListParagraph"/>
        <w:numPr>
          <w:ilvl w:val="0"/>
          <w:numId w:val="1"/>
        </w:numPr>
        <w:jc w:val="both"/>
      </w:pPr>
      <w:r>
        <w:t xml:space="preserve"> </w:t>
      </w:r>
      <w:r w:rsidR="00D378FD">
        <w:t xml:space="preserve">Under article 6 reporting, Sex work and LGBTIQ+ issues have been conflated in the state party report. This reflects poor representation of civil society </w:t>
      </w:r>
      <w:r w:rsidR="00D378FD">
        <w:lastRenderedPageBreak/>
        <w:t>consultations that participated in state consultations as they would not have been presented in that manner. It further reflects the limited disaggregated data available on lived experiences across districts, along with human rights violations experienced by both groups. It further reflects the lack of accountability of the state to prioritise these groups despite having explicit strategies and funding civil society organisations that work in these areas.</w:t>
      </w:r>
    </w:p>
    <w:p w14:paraId="56F2E3D6" w14:textId="01B80775" w:rsidR="00D378FD" w:rsidRDefault="00D378FD" w:rsidP="00E93FF1">
      <w:pPr>
        <w:pStyle w:val="ListParagraph"/>
        <w:numPr>
          <w:ilvl w:val="0"/>
          <w:numId w:val="1"/>
        </w:numPr>
        <w:jc w:val="both"/>
      </w:pPr>
      <w:r>
        <w:t>Under article 9 reporting, “</w:t>
      </w:r>
      <w:r w:rsidRPr="00611E0F">
        <w:t xml:space="preserve">children born from such union enjoy dual citizenship until the age of 21 </w:t>
      </w:r>
      <w:r>
        <w:t xml:space="preserve">years” reflects the government's position on dual citizenship despite 2022’s </w:t>
      </w:r>
      <w:r w:rsidRPr="00D378FD">
        <w:rPr>
          <w:i/>
          <w:iCs/>
        </w:rPr>
        <w:t>S</w:t>
      </w:r>
      <w:r w:rsidRPr="00D378FD">
        <w:rPr>
          <w:i/>
          <w:iCs/>
        </w:rPr>
        <w:t>ithabile Pauline Mathe v. Attorney General</w:t>
      </w:r>
      <w:r w:rsidR="00494C33">
        <w:rPr>
          <w:i/>
          <w:iCs/>
        </w:rPr>
        <w:t xml:space="preserve"> </w:t>
      </w:r>
      <w:r>
        <w:t>judgement on the equality of citizen rights</w:t>
      </w:r>
      <w:r w:rsidR="00F772B5">
        <w:t xml:space="preserve"> for children. Subsequently, Government had issued a statement intending to comply and harmonise operations with the judgement</w:t>
      </w:r>
      <w:r w:rsidR="00494C33">
        <w:t xml:space="preserve"> – in vain.</w:t>
      </w:r>
    </w:p>
    <w:p w14:paraId="4022966A" w14:textId="23D4022F" w:rsidR="00F772B5" w:rsidRDefault="00F772B5" w:rsidP="00E93FF1">
      <w:pPr>
        <w:pStyle w:val="ListParagraph"/>
        <w:numPr>
          <w:ilvl w:val="0"/>
          <w:numId w:val="1"/>
        </w:numPr>
        <w:jc w:val="both"/>
      </w:pPr>
      <w:r>
        <w:t>The 2018</w:t>
      </w:r>
      <w:r w:rsidRPr="00611E0F">
        <w:t xml:space="preserve"> Botswana Demographic Dividend Study</w:t>
      </w:r>
      <w:r>
        <w:t xml:space="preserve"> </w:t>
      </w:r>
      <w:r w:rsidR="00494C33">
        <w:t xml:space="preserve">is insufficient </w:t>
      </w:r>
      <w:r>
        <w:t>to report on unemployment</w:t>
      </w:r>
      <w:r w:rsidR="00494C33">
        <w:t xml:space="preserve">, as </w:t>
      </w:r>
      <w:r>
        <w:t>headline labour force, multi-topic household surveys and government public statements are available</w:t>
      </w:r>
      <w:r w:rsidR="00494C33">
        <w:t>.</w:t>
      </w:r>
      <w:r>
        <w:t xml:space="preserve"> Furthermore, failure to recognise care work means by design, many Batswana women are excluded from</w:t>
      </w:r>
      <w:r w:rsidR="00494C33">
        <w:t xml:space="preserve"> economic participation, </w:t>
      </w:r>
      <w:r>
        <w:t>data</w:t>
      </w:r>
      <w:r w:rsidR="00494C33">
        <w:t xml:space="preserve"> collection</w:t>
      </w:r>
      <w:r>
        <w:t xml:space="preserve"> despite </w:t>
      </w:r>
      <w:r w:rsidR="00494C33">
        <w:t xml:space="preserve">state-led </w:t>
      </w:r>
      <w:r>
        <w:t>economic empowerment</w:t>
      </w:r>
      <w:r w:rsidR="00494C33">
        <w:t xml:space="preserve"> and</w:t>
      </w:r>
      <w:r>
        <w:t xml:space="preserve"> poverty eradiation. </w:t>
      </w:r>
    </w:p>
    <w:p w14:paraId="04D14B99" w14:textId="04826DBA" w:rsidR="00F772B5" w:rsidRDefault="00F772B5" w:rsidP="00E93FF1">
      <w:pPr>
        <w:pStyle w:val="ListParagraph"/>
        <w:numPr>
          <w:ilvl w:val="0"/>
          <w:numId w:val="1"/>
        </w:numPr>
        <w:jc w:val="both"/>
      </w:pPr>
      <w:r>
        <w:t>The state report states</w:t>
      </w:r>
      <w:r w:rsidR="000A5EFD">
        <w:t>:</w:t>
      </w:r>
      <w:r>
        <w:t xml:space="preserve"> “t</w:t>
      </w:r>
      <w:r w:rsidRPr="00611E0F">
        <w:t>he main challenge that hinders effective implementation of the CEDAW is inadequate resources for institutional capacity development.</w:t>
      </w:r>
      <w:r>
        <w:t>” This is true, as the state continues to underfund gender mainstreaming and funding for broader civil society action. Most notably, for the majority demographic of youth led and serving organisations lead by citizens and key populations.</w:t>
      </w:r>
      <w:r w:rsidR="00C245D7">
        <w:rPr>
          <w:rStyle w:val="FootnoteReference"/>
        </w:rPr>
        <w:footnoteReference w:id="4"/>
      </w:r>
      <w:r>
        <w:t xml:space="preserve"> </w:t>
      </w:r>
    </w:p>
    <w:p w14:paraId="1144080C" w14:textId="77777777" w:rsidR="00815B90" w:rsidRDefault="00815B90" w:rsidP="00815B90">
      <w:pPr>
        <w:pStyle w:val="ListParagraph"/>
        <w:jc w:val="both"/>
      </w:pPr>
    </w:p>
    <w:p w14:paraId="6F0DFFDB" w14:textId="62997779" w:rsidR="00815B90" w:rsidRPr="00815B90" w:rsidRDefault="00450DC5" w:rsidP="00815B90">
      <w:pPr>
        <w:pStyle w:val="ListParagraph"/>
        <w:jc w:val="both"/>
        <w:rPr>
          <w:i/>
          <w:iCs/>
        </w:rPr>
      </w:pPr>
      <w:r w:rsidRPr="00815B90">
        <w:rPr>
          <w:i/>
          <w:iCs/>
        </w:rPr>
        <w:t>On the follow up inquir</w:t>
      </w:r>
      <w:r w:rsidR="00815B90" w:rsidRPr="00815B90">
        <w:rPr>
          <w:i/>
          <w:iCs/>
        </w:rPr>
        <w:t>ies</w:t>
      </w:r>
    </w:p>
    <w:p w14:paraId="1A1C0037" w14:textId="379529BA" w:rsidR="00450DC5" w:rsidRDefault="00450DC5" w:rsidP="00E93FF1">
      <w:pPr>
        <w:pStyle w:val="ListParagraph"/>
        <w:numPr>
          <w:ilvl w:val="0"/>
          <w:numId w:val="1"/>
        </w:numPr>
        <w:jc w:val="both"/>
      </w:pPr>
      <w:r>
        <w:t>The socialisation of CEDAW remains questionable. There is no immediate access to a) specific social media posts via search functions on Facebook, X or Tiktok that simplify CEDAW in Botswana, b) translation of CEDAW in local languages and/or c) active civil society programming specific to CEDAW unless integrated in general programmes.</w:t>
      </w:r>
    </w:p>
    <w:p w14:paraId="5E16E770" w14:textId="2E7F1DD9" w:rsidR="00450DC5" w:rsidRDefault="00450DC5" w:rsidP="00E93FF1">
      <w:pPr>
        <w:pStyle w:val="ListParagraph"/>
        <w:numPr>
          <w:ilvl w:val="0"/>
          <w:numId w:val="1"/>
        </w:numPr>
        <w:jc w:val="both"/>
      </w:pPr>
      <w:r>
        <w:t xml:space="preserve">Government limiting capacity building to training cohorts across the public sector leaves little to be desired. As this assumes a few days of training would ensure adequate capacity in understanding gender norms, diversity and nuances within various spheres of society. It further reflects a lack of priority as institutionalisation such as increasing staffing, standard operating procedures, </w:t>
      </w:r>
      <w:r w:rsidR="00815B90">
        <w:t>budget allocations, collaborations, rehabilitation and care related support systems are not reported on if any.</w:t>
      </w:r>
    </w:p>
    <w:p w14:paraId="3793754E" w14:textId="259AE0FA" w:rsidR="00815B90" w:rsidRDefault="00815B90" w:rsidP="00E93FF1">
      <w:pPr>
        <w:pStyle w:val="ListParagraph"/>
        <w:numPr>
          <w:ilvl w:val="0"/>
          <w:numId w:val="1"/>
        </w:numPr>
        <w:jc w:val="both"/>
      </w:pPr>
      <w:r>
        <w:lastRenderedPageBreak/>
        <w:t>The lack of meaningful cases that cite CEDAW is worrisome. This reflects the lack of institutionalisation of CEDAW within the justice system, including customary courts.</w:t>
      </w:r>
      <w:r>
        <w:rPr>
          <w:rStyle w:val="FootnoteReference"/>
        </w:rPr>
        <w:footnoteReference w:id="5"/>
      </w:r>
      <w:r w:rsidR="00375683">
        <w:t xml:space="preserve"> Furthermore, there is a gendered bias to sentencing between men and women, where more questionable reasons were afforded to men’s acquittal or dismissals.</w:t>
      </w:r>
      <w:r w:rsidR="00375683">
        <w:rPr>
          <w:rStyle w:val="FootnoteReference"/>
        </w:rPr>
        <w:footnoteReference w:id="6"/>
      </w:r>
    </w:p>
    <w:p w14:paraId="0A03D4E7" w14:textId="4FD27262" w:rsidR="009049C8" w:rsidRDefault="009049C8" w:rsidP="00E93FF1">
      <w:pPr>
        <w:pStyle w:val="ListParagraph"/>
        <w:numPr>
          <w:ilvl w:val="0"/>
          <w:numId w:val="1"/>
        </w:numPr>
        <w:jc w:val="both"/>
      </w:pPr>
      <w:r>
        <w:t xml:space="preserve">The state report truthfully reflects the lack of </w:t>
      </w:r>
      <w:r w:rsidRPr="009049C8">
        <w:t>legislative and policy measures put in place to fully implement the Protocol to the African Charter on Human and Peoples’ Rights on the Rights of Women in Africa, ratified by the State party in 2023.</w:t>
      </w:r>
      <w:r>
        <w:t xml:space="preserve"> In part, this is because socioeconomic rights are not justiciable in Botswana. Furthermore, decriminalisation does not equate to equality and non-discrimination. There is a need to strengthen provisions for equality and non-discrimination.</w:t>
      </w:r>
      <w:r>
        <w:rPr>
          <w:rStyle w:val="FootnoteReference"/>
        </w:rPr>
        <w:footnoteReference w:id="7"/>
      </w:r>
      <w:r>
        <w:t xml:space="preserve"> This includes in the workplace from sexual harassment as loopholes provide an environment for impunity.</w:t>
      </w:r>
    </w:p>
    <w:p w14:paraId="10D285F8" w14:textId="06108937" w:rsidR="002750C7" w:rsidRDefault="002750C7" w:rsidP="002750C7">
      <w:pPr>
        <w:pStyle w:val="ListParagraph"/>
        <w:numPr>
          <w:ilvl w:val="0"/>
          <w:numId w:val="1"/>
        </w:numPr>
        <w:jc w:val="both"/>
      </w:pPr>
      <w:r>
        <w:t xml:space="preserve">The </w:t>
      </w:r>
      <w:r w:rsidRPr="002750C7">
        <w:t>Ministry of Youth and Gender Affairs</w:t>
      </w:r>
      <w:r>
        <w:t xml:space="preserve"> remains one of the most underfunded ministries. Yet representing over half the population in gender and over 60% in youth. </w:t>
      </w:r>
      <w:r w:rsidR="00494C33">
        <w:t xml:space="preserve">There </w:t>
      </w:r>
      <w:r>
        <w:t xml:space="preserve">is no </w:t>
      </w:r>
      <w:r w:rsidRPr="002750C7">
        <w:t>gender-responsive fund to support civil society organizations</w:t>
      </w:r>
      <w:r>
        <w:t xml:space="preserve">. USD 530,000 </w:t>
      </w:r>
      <w:r w:rsidR="00494C33">
        <w:t>for</w:t>
      </w:r>
      <w:r>
        <w:t xml:space="preserve"> GBV, </w:t>
      </w:r>
      <w:r w:rsidR="00494C33">
        <w:t xml:space="preserve">whilst it </w:t>
      </w:r>
      <w:r>
        <w:t>costs USD 384 million.</w:t>
      </w:r>
      <w:r>
        <w:rPr>
          <w:rStyle w:val="FootnoteReference"/>
        </w:rPr>
        <w:footnoteReference w:id="8"/>
      </w:r>
      <w:r>
        <w:t xml:space="preserve"> </w:t>
      </w:r>
    </w:p>
    <w:p w14:paraId="47B506C8" w14:textId="77777777" w:rsidR="00045ADD" w:rsidRDefault="00045ADD" w:rsidP="00045ADD">
      <w:pPr>
        <w:pStyle w:val="ListParagraph"/>
        <w:numPr>
          <w:ilvl w:val="0"/>
          <w:numId w:val="1"/>
        </w:numPr>
      </w:pPr>
      <w:r>
        <w:t>Botswana needs more concerted efforts towards GBV. Comparable reviews have benchmarked with South Africa’s efforts,</w:t>
      </w:r>
      <w:r>
        <w:rPr>
          <w:rStyle w:val="FootnoteReference"/>
        </w:rPr>
        <w:footnoteReference w:id="9"/>
      </w:r>
      <w:r>
        <w:t xml:space="preserve"> serving as a baseline for possibilities if GBV were to be prioritised.</w:t>
      </w:r>
    </w:p>
    <w:p w14:paraId="774D7833" w14:textId="6B3659CB" w:rsidR="002750C7" w:rsidRDefault="00803CDC" w:rsidP="002750C7">
      <w:pPr>
        <w:pStyle w:val="ListParagraph"/>
        <w:numPr>
          <w:ilvl w:val="0"/>
          <w:numId w:val="1"/>
        </w:numPr>
        <w:jc w:val="both"/>
      </w:pPr>
      <w:r>
        <w:t>Responses from 4 to 9</w:t>
      </w:r>
      <w:r w:rsidR="00752722">
        <w:t>, 11</w:t>
      </w:r>
      <w:r w:rsidR="003E503D">
        <w:t xml:space="preserve">, </w:t>
      </w:r>
      <w:r w:rsidR="00752722">
        <w:t>14</w:t>
      </w:r>
      <w:r w:rsidR="003E503D">
        <w:t>, 16, and 17</w:t>
      </w:r>
      <w:r w:rsidR="00752722">
        <w:t xml:space="preserve"> </w:t>
      </w:r>
      <w:r>
        <w:t>reflect the nature of state reporting and transparency on the issues raised by the Committee. They do not provide explicit and comprehensive information</w:t>
      </w:r>
      <w:r w:rsidR="00752722">
        <w:t xml:space="preserve"> on the impact of interventions [if any]</w:t>
      </w:r>
      <w:r>
        <w:t xml:space="preserve"> to conclude on progress. Thus, it should be assumed that there is limited progress and accountability to citizens.</w:t>
      </w:r>
      <w:r w:rsidR="00752722">
        <w:t xml:space="preserve"> Our continuous advocacy for these issues </w:t>
      </w:r>
      <w:r w:rsidR="007108A3">
        <w:t>has</w:t>
      </w:r>
      <w:r w:rsidR="00752722">
        <w:t xml:space="preserve"> </w:t>
      </w:r>
      <w:r w:rsidR="007108A3">
        <w:t>led</w:t>
      </w:r>
      <w:r w:rsidR="00752722">
        <w:t xml:space="preserve"> to economic reprisals.</w:t>
      </w:r>
      <w:r w:rsidR="00752722">
        <w:rPr>
          <w:rStyle w:val="FootnoteReference"/>
        </w:rPr>
        <w:footnoteReference w:id="10"/>
      </w:r>
    </w:p>
    <w:p w14:paraId="49A1B96E" w14:textId="7237973C" w:rsidR="00752722" w:rsidRDefault="003E503D" w:rsidP="003E503D">
      <w:pPr>
        <w:pStyle w:val="ListParagraph"/>
        <w:numPr>
          <w:ilvl w:val="0"/>
          <w:numId w:val="1"/>
        </w:numPr>
        <w:jc w:val="both"/>
      </w:pPr>
      <w:r>
        <w:t xml:space="preserve">The deferment of </w:t>
      </w:r>
      <w:r w:rsidRPr="003E503D">
        <w:t>the Penal Code (Amendment) Bill N</w:t>
      </w:r>
      <w:r w:rsidR="00494C33">
        <w:t>o</w:t>
      </w:r>
      <w:r w:rsidRPr="003E503D">
        <w:t xml:space="preserve"> 29 of 2022 to delete section 164 (a) and (c) of the Penal Code</w:t>
      </w:r>
      <w:r>
        <w:t xml:space="preserve"> reflects Botswana’s blasé approach to LGBTIQ+ related rights. It is a breach of the rule of law and premise of the Constitutional provisions of the three arms of government. The Attorney General has made it clear that the provisions are not in effect. </w:t>
      </w:r>
      <w:r w:rsidR="007108A3">
        <w:t>Thus,</w:t>
      </w:r>
      <w:r>
        <w:t xml:space="preserve"> the text must reflect so.</w:t>
      </w:r>
    </w:p>
    <w:p w14:paraId="1B46E507" w14:textId="0C8C4C84" w:rsidR="007108A3" w:rsidRDefault="007108A3" w:rsidP="007108A3">
      <w:pPr>
        <w:pStyle w:val="ListParagraph"/>
        <w:numPr>
          <w:ilvl w:val="0"/>
          <w:numId w:val="1"/>
        </w:numPr>
        <w:jc w:val="both"/>
      </w:pPr>
      <w:r>
        <w:lastRenderedPageBreak/>
        <w:t>Meaningful, inclusive economic participation would have reduced Botswana’s top ranking in income inequality and poverty, particularly in rural and underserved areas. There is a need for more inclusive efforts that are affirmative of care and wellbeing in economic inclusion initiatives. This include ensuring illicit financial flows are curbed, progressive tax incentives for gender parity initiatives in the formal sector and blended financing for supporting state-sponsored care work provisions. This starts with recognising care work, including sex work, and establishing a wellbeing economy for intersectional approaches to encouraging productivity, safety and mental health in workplace environments.</w:t>
      </w:r>
    </w:p>
    <w:p w14:paraId="6D60C6BF" w14:textId="77777777" w:rsidR="007108A3" w:rsidRDefault="007108A3" w:rsidP="007108A3">
      <w:pPr>
        <w:pStyle w:val="ListParagraph"/>
        <w:jc w:val="both"/>
      </w:pPr>
    </w:p>
    <w:p w14:paraId="3D773EBA" w14:textId="743CD539" w:rsidR="008B48BE" w:rsidRPr="007108A3" w:rsidRDefault="008B48BE" w:rsidP="008B48BE">
      <w:pPr>
        <w:rPr>
          <w:b/>
          <w:bCs/>
        </w:rPr>
      </w:pPr>
      <w:r w:rsidRPr="007108A3">
        <w:rPr>
          <w:b/>
          <w:bCs/>
        </w:rPr>
        <w:t>Information highlighting priority concerns and suggesting country-specific recommendations to facilitate the work of the Committee</w:t>
      </w:r>
    </w:p>
    <w:p w14:paraId="0BAA8D0A" w14:textId="5F61DFD7" w:rsidR="007108A3" w:rsidRPr="007108A3" w:rsidRDefault="007108A3" w:rsidP="007108A3">
      <w:pPr>
        <w:pStyle w:val="ListParagraph"/>
        <w:numPr>
          <w:ilvl w:val="0"/>
          <w:numId w:val="2"/>
        </w:numPr>
        <w:jc w:val="both"/>
      </w:pPr>
      <w:r>
        <w:t xml:space="preserve">The need to prioritise the wellbeing of women and girls in their diversity through widening the scope for safe abortion. </w:t>
      </w:r>
      <w:r w:rsidRPr="007108A3">
        <w:rPr>
          <w:lang w:val="en-US"/>
        </w:rPr>
        <w:t xml:space="preserve">UNFPA reports that 12 million girls aged 15 to 19 years and 777000 under 15 years of age have </w:t>
      </w:r>
      <w:r w:rsidRPr="007108A3">
        <w:rPr>
          <w:lang w:val="en-US"/>
        </w:rPr>
        <w:t>given</w:t>
      </w:r>
      <w:r w:rsidRPr="007108A3">
        <w:rPr>
          <w:lang w:val="en-US"/>
        </w:rPr>
        <w:t xml:space="preserve"> birth each year in developing countries. Guttmacher Institute reports a further 5.6 million abortions in unintended pregnancies for girls between 15 and 19 in the same region. 3.9 million are unsafe. Almost 70%, over 25% higher than the global average of 45%. Unsafe abortion costs developing country health systems almost USD 6.9 billion in unsafe abortion related care.</w:t>
      </w:r>
    </w:p>
    <w:p w14:paraId="331FB5F3" w14:textId="09D329DD" w:rsidR="007108A3" w:rsidRDefault="00BA4A18" w:rsidP="001535E0">
      <w:pPr>
        <w:pStyle w:val="ListParagraph"/>
        <w:numPr>
          <w:ilvl w:val="0"/>
          <w:numId w:val="2"/>
        </w:numPr>
        <w:jc w:val="both"/>
      </w:pPr>
      <w:r>
        <w:t>The need for GBV to be declared an emergency by an act of parliament or presidential declaration to mobilise adequate infrastructure, resources and partnerships</w:t>
      </w:r>
      <w:r w:rsidR="001535E0">
        <w:t>. This is a demand of the citizens and civil society to ensure it is a priority – as it was declared a shadow pandemic at the height of the COVID-19 pandemic, without any signs of slowing its prevalence. Botswana has a history of leaders who are perpetrators on GBV, as with the last review that had the Head of Delegation to the CEDAW review facing allegations of abuse.</w:t>
      </w:r>
    </w:p>
    <w:p w14:paraId="7B944E68" w14:textId="5D678C4F" w:rsidR="001535E0" w:rsidRPr="001535E0" w:rsidRDefault="001535E0" w:rsidP="001535E0">
      <w:pPr>
        <w:pStyle w:val="ListParagraph"/>
        <w:numPr>
          <w:ilvl w:val="0"/>
          <w:numId w:val="2"/>
        </w:numPr>
        <w:jc w:val="both"/>
      </w:pPr>
      <w:r>
        <w:t xml:space="preserve">Illicit Financial Flows cost Botswana </w:t>
      </w:r>
      <w:r>
        <w:rPr>
          <w:lang w:val="en-ZA"/>
        </w:rPr>
        <w:t xml:space="preserve">an estimated USD </w:t>
      </w:r>
      <w:r w:rsidRPr="001535E0">
        <w:rPr>
          <w:lang w:val="en-ZA"/>
        </w:rPr>
        <w:t>856 million per annum</w:t>
      </w:r>
      <w:r>
        <w:rPr>
          <w:lang w:val="en-ZA"/>
        </w:rPr>
        <w:t xml:space="preserve">, along with corruption; this denies the country fiscus critical resources for strengthening investments, infrastructure and equitable social contracting for grassroots civil society engagement towards gender justice. </w:t>
      </w:r>
    </w:p>
    <w:p w14:paraId="7CFBD074" w14:textId="3FFD295E" w:rsidR="001535E0" w:rsidRDefault="001535E0" w:rsidP="001535E0">
      <w:pPr>
        <w:pStyle w:val="ListParagraph"/>
        <w:numPr>
          <w:ilvl w:val="0"/>
          <w:numId w:val="2"/>
        </w:numPr>
        <w:jc w:val="both"/>
      </w:pPr>
      <w:r>
        <w:t xml:space="preserve">Botswana should reflect its new human rights-based approach to governance through timely state reports to the African Commission on Human and People’s Rights, the African Peer Review Mechanism, Commission on the Status of Women, along with ratifying the African Youth Charter, the African Convention on Ending Violence Against Women and Girls and the International </w:t>
      </w:r>
      <w:r w:rsidRPr="001535E0">
        <w:t>Covenant on Economic, Social and Cultural Rights</w:t>
      </w:r>
      <w:r>
        <w:t>.</w:t>
      </w:r>
    </w:p>
    <w:p w14:paraId="2A17D6FA" w14:textId="491B4C6D" w:rsidR="001535E0" w:rsidRDefault="001535E0" w:rsidP="001535E0">
      <w:pPr>
        <w:pStyle w:val="ListParagraph"/>
        <w:numPr>
          <w:ilvl w:val="0"/>
          <w:numId w:val="2"/>
        </w:numPr>
        <w:jc w:val="both"/>
      </w:pPr>
      <w:r>
        <w:t xml:space="preserve">Botswana should adopt a more feminist approach to public participation and representation. Ensuring quota systems and fair representation through concerted efforts towards eliminating harmful gender norms, patriarchal systems </w:t>
      </w:r>
      <w:r>
        <w:lastRenderedPageBreak/>
        <w:t>that dominate public engagement and institutional barriers to meaningful agency and autonomy of all women.</w:t>
      </w:r>
    </w:p>
    <w:p w14:paraId="0D8F5E98" w14:textId="47CF6024" w:rsidR="001535E0" w:rsidRDefault="001535E0" w:rsidP="001535E0">
      <w:pPr>
        <w:pStyle w:val="ListParagraph"/>
        <w:numPr>
          <w:ilvl w:val="0"/>
          <w:numId w:val="2"/>
        </w:numPr>
        <w:jc w:val="both"/>
      </w:pPr>
      <w:r>
        <w:t xml:space="preserve">Botswana should streamline processes and policies for gender affirmative health and legal gender recognition. The prohibitive costs for transgender and gender diverse individuals remains a barrier to meaningful participation, engagement and bodily autonomy. This is a tangible step towards safeguarding and strengthening gender equality beyond binaries. </w:t>
      </w:r>
    </w:p>
    <w:p w14:paraId="4074FD87" w14:textId="3393FF5E" w:rsidR="001535E0" w:rsidRDefault="001535E0" w:rsidP="001535E0">
      <w:pPr>
        <w:pStyle w:val="ListParagraph"/>
        <w:numPr>
          <w:ilvl w:val="0"/>
          <w:numId w:val="2"/>
        </w:numPr>
        <w:jc w:val="both"/>
      </w:pPr>
      <w:r>
        <w:t>Botswana should adopt more inclusive birth registration processes and related data collection in acknowledging diverse sex characteristics. This will strengthen evidence-based policy making and support families</w:t>
      </w:r>
      <w:r w:rsidR="00513177">
        <w:t>, social workers and health practitioners</w:t>
      </w:r>
      <w:r>
        <w:t xml:space="preserve"> with</w:t>
      </w:r>
      <w:r w:rsidR="00513177">
        <w:t xml:space="preserve"> respecting</w:t>
      </w:r>
      <w:r>
        <w:t xml:space="preserve"> intersex </w:t>
      </w:r>
      <w:r w:rsidR="00513177">
        <w:t>related rights.</w:t>
      </w:r>
    </w:p>
    <w:p w14:paraId="7822379D" w14:textId="332CF939" w:rsidR="00513177" w:rsidRDefault="00513177" w:rsidP="001535E0">
      <w:pPr>
        <w:pStyle w:val="ListParagraph"/>
        <w:numPr>
          <w:ilvl w:val="0"/>
          <w:numId w:val="2"/>
        </w:numPr>
        <w:jc w:val="both"/>
      </w:pPr>
      <w:r>
        <w:t>UNICEF reports that 1 in 10 girls in Africa miss out on school due to period poverty. After over 190,000 sanitary pad donations and over 6000 signatures provided before the Constitutional Review commission calling for menstrual pad provisions for all people who menstruate (including transgender and gender diverse individuals), Botswana removed tax on sanitary pads. The current government will provide for targeted students; however this does not include those out of school, care givers and other diverse women. We reiterate our call for universal access for all, without condition.</w:t>
      </w:r>
    </w:p>
    <w:p w14:paraId="0B5974DA" w14:textId="7D573DFD" w:rsidR="00513177" w:rsidRDefault="00513177" w:rsidP="001535E0">
      <w:pPr>
        <w:pStyle w:val="ListParagraph"/>
        <w:numPr>
          <w:ilvl w:val="0"/>
          <w:numId w:val="2"/>
        </w:numPr>
        <w:jc w:val="both"/>
      </w:pPr>
      <w:r>
        <w:t>There should be intentional redistribution of wealth for the care, labour and informal work carried out in households. This should be affirmative of all genders, ensuring social protections and strengthening economic participation.</w:t>
      </w:r>
    </w:p>
    <w:p w14:paraId="3FD2BC1A" w14:textId="765FA838" w:rsidR="007108A3" w:rsidRDefault="00513177" w:rsidP="00C81A1B">
      <w:pPr>
        <w:pStyle w:val="ListParagraph"/>
        <w:numPr>
          <w:ilvl w:val="0"/>
          <w:numId w:val="2"/>
        </w:numPr>
        <w:jc w:val="both"/>
      </w:pPr>
      <w:r>
        <w:t>Sex work should be decriminalised despite ambiguity in law (as proceeds of crime and buggery laws are used against sex workers). This would strengthen protection and human rights of sex workers, particularly for seeking protection of the law in instances of GBV.</w:t>
      </w:r>
    </w:p>
    <w:p w14:paraId="3895CA5D" w14:textId="3D914F3C" w:rsidR="008B48BE" w:rsidRDefault="008B48BE" w:rsidP="008B48BE">
      <w:r w:rsidRPr="00183F48">
        <w:rPr>
          <w:b/>
          <w:bCs/>
        </w:rPr>
        <w:t>Information on the impact of measures taken by the States parties concerned in relation to the COVID-19 crisis on women's rights and gender equality and the integration of a gender perspective in COVID-19 recovery plans.</w:t>
      </w:r>
    </w:p>
    <w:p w14:paraId="76FE30EA" w14:textId="15CE67F7" w:rsidR="00183F48" w:rsidRDefault="00183F48" w:rsidP="00183F48">
      <w:pPr>
        <w:jc w:val="both"/>
      </w:pPr>
      <w:r>
        <w:t xml:space="preserve">Botswana’s COVID-19 response included a Presidential Task force that had low gender representation, focused on public health measures and centralised government procurement. The broader response was not gender affirmative, notably shutting down reproductive health and mental health services. Only one national primary hospital had the psychiatry department open, with little public transportation available for those without vehicles. Government focused on state employees, faith-based institutions and more elite civil society organisations with proximity to decision makers. More explicit reporting is included in our submissions to the </w:t>
      </w:r>
      <w:r w:rsidRPr="00183F48">
        <w:t xml:space="preserve">Working Group on discrimination against women and girls will present a thematic report on women’s and girls’ sexual and reproductive health and rights (SRHR) in situations of crisis to the 47th session of the </w:t>
      </w:r>
      <w:r w:rsidRPr="00183F48">
        <w:lastRenderedPageBreak/>
        <w:t>Human Rights Council in June 2021</w:t>
      </w:r>
      <w:r>
        <w:t>.</w:t>
      </w:r>
      <w:r>
        <w:rPr>
          <w:rStyle w:val="FootnoteReference"/>
        </w:rPr>
        <w:footnoteReference w:id="11"/>
      </w:r>
      <w:r>
        <w:t xml:space="preserve"> LGBTIQ+ and Sex Workers were not included despite significant challenges.</w:t>
      </w:r>
      <w:r>
        <w:rPr>
          <w:rStyle w:val="FootnoteReference"/>
        </w:rPr>
        <w:footnoteReference w:id="12"/>
      </w:r>
      <w:r>
        <w:t xml:space="preserve"> Almost four years later, this has not changed as Botswana recently experienced floods. Illuminating gaps in emergency response interventions, disability inclusion, braille inclusion and emergency preparedness for diverse community groups.</w:t>
      </w:r>
      <w:r>
        <w:rPr>
          <w:rStyle w:val="FootnoteReference"/>
        </w:rPr>
        <w:footnoteReference w:id="13"/>
      </w:r>
    </w:p>
    <w:p w14:paraId="367F4767" w14:textId="1FB8BA5E" w:rsidR="00183F48" w:rsidRDefault="00183F48" w:rsidP="00183F48">
      <w:pPr>
        <w:jc w:val="both"/>
      </w:pPr>
      <w:r>
        <w:t xml:space="preserve">COVID-19 donation funds from the general public and private sector are yet to be accounted for, with little transparency in how funds were spent. </w:t>
      </w:r>
      <w:r w:rsidR="000A5EFD">
        <w:t xml:space="preserve">Corruption related to procurement, abuse of state power and police brutality are yet to be addressed. This includes our organisation staff being leader being harassed, having phones confiscated and human rights breached. </w:t>
      </w:r>
      <w:r w:rsidR="00375683">
        <w:t>The adjudication of cases reduced significantly, along with the reporting on cases.</w:t>
      </w:r>
      <w:r w:rsidR="00375683">
        <w:rPr>
          <w:rStyle w:val="FootnoteReference"/>
        </w:rPr>
        <w:footnoteReference w:id="14"/>
      </w:r>
      <w:r w:rsidR="00375683">
        <w:t xml:space="preserve">  This reflects why the state did not report on adjudicated cases in its follow up to issues raised from the state report. </w:t>
      </w:r>
      <w:r w:rsidR="000A5EFD">
        <w:t>The human rights situation in Botswana slowly deteriorated with little accountability, remedy or recourse for diverse Batswana.</w:t>
      </w:r>
      <w:r w:rsidR="004E4B69">
        <w:t xml:space="preserve"> More notably, we have provided comprehensive, inclusive and intersectional perspectives on COVID-19 recovery measures including feminist policy interventions and economics.</w:t>
      </w:r>
      <w:r w:rsidR="004E4B69">
        <w:rPr>
          <w:rStyle w:val="FootnoteReference"/>
        </w:rPr>
        <w:footnoteReference w:id="15"/>
      </w:r>
    </w:p>
    <w:p w14:paraId="212A5F1B" w14:textId="77777777" w:rsidR="00DE3988" w:rsidRDefault="00DE3988" w:rsidP="00183F48">
      <w:pPr>
        <w:jc w:val="both"/>
      </w:pPr>
    </w:p>
    <w:p w14:paraId="22AEFC82" w14:textId="16637D4E" w:rsidR="00DE3988" w:rsidRPr="00DE3988" w:rsidRDefault="00DE3988" w:rsidP="00183F48">
      <w:pPr>
        <w:jc w:val="both"/>
        <w:rPr>
          <w:b/>
          <w:bCs/>
        </w:rPr>
      </w:pPr>
      <w:r w:rsidRPr="00DE3988">
        <w:rPr>
          <w:b/>
          <w:bCs/>
        </w:rPr>
        <w:t>Conclusion</w:t>
      </w:r>
    </w:p>
    <w:p w14:paraId="5BDB1C56" w14:textId="2EB0E336" w:rsidR="00DE3988" w:rsidRDefault="00DE3988" w:rsidP="00183F48">
      <w:pPr>
        <w:jc w:val="both"/>
      </w:pPr>
      <w:r>
        <w:t xml:space="preserve">Gender inequities continue to prevail </w:t>
      </w:r>
      <w:r w:rsidR="00513177">
        <w:t>despite</w:t>
      </w:r>
      <w:r>
        <w:t xml:space="preserve"> pockets of progress. Limited </w:t>
      </w:r>
      <w:r w:rsidR="00334DF0">
        <w:t xml:space="preserve">gendered </w:t>
      </w:r>
      <w:r>
        <w:t>data curation and availability will continue to fail Botswana’s progress</w:t>
      </w:r>
      <w:r w:rsidR="00334DF0">
        <w:t xml:space="preserve"> as many policies, laws and initiatives dominate the state report without much information on monitoring and evaluation. Resource allocations remain insignificant compared to other national budget priorities. The crosscutting nature of gender mainstreaming leaves little room for meaningful engagement, accountability and reporting at all levels of government. There are significant gaps in education, reproductive health,</w:t>
      </w:r>
      <w:r w:rsidR="004E4B69">
        <w:rPr>
          <w:rStyle w:val="FootnoteReference"/>
        </w:rPr>
        <w:footnoteReference w:id="16"/>
      </w:r>
      <w:r w:rsidR="00334DF0">
        <w:t xml:space="preserve"> climate justice, economic participation and political representation that need urgent attention to reflect the lived experiences of all women and girls in their diversity.</w:t>
      </w:r>
      <w:r w:rsidR="003E503D">
        <w:t xml:space="preserve"> The state report and responses to </w:t>
      </w:r>
      <w:r w:rsidR="003E503D">
        <w:lastRenderedPageBreak/>
        <w:t>follow up issues reflect inconsistency. For example, in equality and non-discrimination being touted as evident in law and society whilst subsequently reported as non existent for LGBTIQ+ individuals.</w:t>
      </w:r>
      <w:r w:rsidR="00334DF0">
        <w:t xml:space="preserve"> A comprehensive and feminist constitutional review is needed as a foundation to accelerate progress on gender equality, human rights equity and sustainable development for all.</w:t>
      </w:r>
    </w:p>
    <w:sectPr w:rsidR="00DE398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25A621" w14:textId="77777777" w:rsidR="00A447CF" w:rsidRDefault="00A447CF" w:rsidP="004A6A35">
      <w:pPr>
        <w:spacing w:after="0" w:line="240" w:lineRule="auto"/>
      </w:pPr>
      <w:r>
        <w:separator/>
      </w:r>
    </w:p>
  </w:endnote>
  <w:endnote w:type="continuationSeparator" w:id="0">
    <w:p w14:paraId="06C66F84" w14:textId="77777777" w:rsidR="00A447CF" w:rsidRDefault="00A447CF" w:rsidP="004A6A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D6F178" w14:textId="77777777" w:rsidR="00A447CF" w:rsidRDefault="00A447CF" w:rsidP="004A6A35">
      <w:pPr>
        <w:spacing w:after="0" w:line="240" w:lineRule="auto"/>
      </w:pPr>
      <w:r>
        <w:separator/>
      </w:r>
    </w:p>
  </w:footnote>
  <w:footnote w:type="continuationSeparator" w:id="0">
    <w:p w14:paraId="4DC57160" w14:textId="77777777" w:rsidR="00A447CF" w:rsidRDefault="00A447CF" w:rsidP="004A6A35">
      <w:pPr>
        <w:spacing w:after="0" w:line="240" w:lineRule="auto"/>
      </w:pPr>
      <w:r>
        <w:continuationSeparator/>
      </w:r>
    </w:p>
  </w:footnote>
  <w:footnote w:id="1">
    <w:p w14:paraId="5A3B3131" w14:textId="56B1DBD8" w:rsidR="004A6A35" w:rsidRPr="00494C33" w:rsidRDefault="004A6A35">
      <w:pPr>
        <w:pStyle w:val="FootnoteText"/>
      </w:pPr>
      <w:r>
        <w:rPr>
          <w:rStyle w:val="FootnoteReference"/>
        </w:rPr>
        <w:footnoteRef/>
      </w:r>
      <w:r w:rsidRPr="00494C33">
        <w:t xml:space="preserve"> </w:t>
      </w:r>
      <w:r w:rsidR="00494C33" w:rsidRPr="00494C33">
        <w:t>O</w:t>
      </w:r>
      <w:r w:rsidRPr="00494C33">
        <w:t xml:space="preserve">bserved: </w:t>
      </w:r>
      <w:hyperlink r:id="rId1" w:history="1">
        <w:r w:rsidRPr="00494C33">
          <w:rPr>
            <w:rStyle w:val="Hyperlink"/>
          </w:rPr>
          <w:t>https://www.gov.bw/business-compliance/accessing-government-audit-reports</w:t>
        </w:r>
      </w:hyperlink>
      <w:r w:rsidRPr="00494C33">
        <w:t xml:space="preserve"> </w:t>
      </w:r>
    </w:p>
  </w:footnote>
  <w:footnote w:id="2">
    <w:p w14:paraId="1AD4E5F0" w14:textId="16569913" w:rsidR="002E7AA8" w:rsidRDefault="002E7AA8">
      <w:pPr>
        <w:pStyle w:val="FootnoteText"/>
      </w:pPr>
      <w:r>
        <w:rPr>
          <w:rStyle w:val="FootnoteReference"/>
        </w:rPr>
        <w:footnoteRef/>
      </w:r>
      <w:r>
        <w:t xml:space="preserve"> Despite </w:t>
      </w:r>
      <w:r>
        <w:t>the state report reflecting 2022</w:t>
      </w:r>
      <w:r>
        <w:t xml:space="preserve">, this is not available: </w:t>
      </w:r>
      <w:hyperlink r:id="rId2" w:history="1">
        <w:r w:rsidR="00D378FD" w:rsidRPr="00DA66C0">
          <w:rPr>
            <w:rStyle w:val="Hyperlink"/>
          </w:rPr>
          <w:t>https://statsbots.org.bw/latest-publications/terms-use?title=crime&amp;field_keywords_value=&amp;field_release_date_value%5Bmin%5D%5Bdate%5D=&amp;field_release_date_value%5Bmax%5D%5Bdate%5D=&amp;field_sector_nid=All</w:t>
        </w:r>
      </w:hyperlink>
      <w:r>
        <w:t xml:space="preserve"> </w:t>
      </w:r>
    </w:p>
  </w:footnote>
  <w:footnote w:id="3">
    <w:p w14:paraId="535019A3" w14:textId="77777777" w:rsidR="00CE30DB" w:rsidRPr="00CE30DB" w:rsidRDefault="00CE30DB" w:rsidP="00CE30DB">
      <w:pPr>
        <w:pStyle w:val="FootnoteText"/>
      </w:pPr>
      <w:r>
        <w:rPr>
          <w:rStyle w:val="FootnoteReference"/>
        </w:rPr>
        <w:footnoteRef/>
      </w:r>
      <w:r w:rsidRPr="00CE30DB">
        <w:t xml:space="preserve"> Police spokesman Assistant Commissioner Dipheko</w:t>
      </w:r>
      <w:r>
        <w:t xml:space="preserve"> </w:t>
      </w:r>
      <w:r w:rsidRPr="00CE30DB">
        <w:t>Motube</w:t>
      </w:r>
      <w:r>
        <w:t xml:space="preserve"> addressing meda:</w:t>
      </w:r>
      <w:r w:rsidRPr="00CE30DB">
        <w:t xml:space="preserve">  </w:t>
      </w:r>
      <w:hyperlink r:id="rId3" w:history="1">
        <w:r w:rsidRPr="00CE30DB">
          <w:rPr>
            <w:rStyle w:val="Hyperlink"/>
          </w:rPr>
          <w:t>https://www.facebook.com/photo.php?fbid=637443618409612&amp;id=100064319394706&amp;set=a.551796770307631</w:t>
        </w:r>
      </w:hyperlink>
      <w:r w:rsidRPr="00CE30DB">
        <w:t xml:space="preserve"> </w:t>
      </w:r>
    </w:p>
  </w:footnote>
  <w:footnote w:id="4">
    <w:p w14:paraId="56E9C93E" w14:textId="2C48F58D" w:rsidR="00C245D7" w:rsidRPr="00C245D7" w:rsidRDefault="00C245D7">
      <w:pPr>
        <w:pStyle w:val="FootnoteText"/>
        <w:rPr>
          <w:b/>
          <w:bCs/>
        </w:rPr>
      </w:pPr>
      <w:r>
        <w:rPr>
          <w:rStyle w:val="FootnoteReference"/>
        </w:rPr>
        <w:footnoteRef/>
      </w:r>
      <w:r>
        <w:t xml:space="preserve"> Our statement reflecting grassroots civil society dynamics</w:t>
      </w:r>
      <w:r w:rsidR="00CA59CD">
        <w:t xml:space="preserve"> submitted to the</w:t>
      </w:r>
      <w:r w:rsidR="00CA59CD" w:rsidRPr="00CA59CD">
        <w:t xml:space="preserve"> </w:t>
      </w:r>
      <w:r w:rsidR="00CA59CD" w:rsidRPr="00CA59CD">
        <w:t>Ministry for State President</w:t>
      </w:r>
      <w:r w:rsidR="00CA59CD">
        <w:t xml:space="preserve"> on the same day</w:t>
      </w:r>
      <w:r>
        <w:t xml:space="preserve">: </w:t>
      </w:r>
      <w:hyperlink r:id="rId4" w:history="1">
        <w:r w:rsidRPr="00DA66C0">
          <w:rPr>
            <w:rStyle w:val="Hyperlink"/>
          </w:rPr>
          <w:t>https://successcapital.africa/news/worldngoday25/</w:t>
        </w:r>
      </w:hyperlink>
      <w:r>
        <w:t xml:space="preserve"> </w:t>
      </w:r>
      <w:r>
        <w:rPr>
          <w:b/>
          <w:bCs/>
        </w:rPr>
        <w:t xml:space="preserve"> </w:t>
      </w:r>
    </w:p>
  </w:footnote>
  <w:footnote w:id="5">
    <w:p w14:paraId="2F46EECB" w14:textId="5ED29E10" w:rsidR="00815B90" w:rsidRDefault="00815B90">
      <w:pPr>
        <w:pStyle w:val="FootnoteText"/>
      </w:pPr>
      <w:r>
        <w:rPr>
          <w:rStyle w:val="FootnoteReference"/>
        </w:rPr>
        <w:footnoteRef/>
      </w:r>
      <w:r>
        <w:t xml:space="preserve"> Can read more about the customary court system here: </w:t>
      </w:r>
      <w:hyperlink r:id="rId5" w:history="1">
        <w:r w:rsidRPr="00DA66C0">
          <w:rPr>
            <w:rStyle w:val="Hyperlink"/>
          </w:rPr>
          <w:t>https://successcapital.africa/wp-content/uploads/2020/03/Kgotla-Review.pdf</w:t>
        </w:r>
      </w:hyperlink>
      <w:r>
        <w:t xml:space="preserve"> </w:t>
      </w:r>
    </w:p>
  </w:footnote>
  <w:footnote w:id="6">
    <w:p w14:paraId="41B5A412" w14:textId="6F5719B4" w:rsidR="00375683" w:rsidRDefault="00375683">
      <w:pPr>
        <w:pStyle w:val="FootnoteText"/>
      </w:pPr>
      <w:r>
        <w:rPr>
          <w:rStyle w:val="FootnoteReference"/>
        </w:rPr>
        <w:footnoteRef/>
      </w:r>
      <w:r>
        <w:t xml:space="preserve"> As reviewed: </w:t>
      </w:r>
      <w:hyperlink r:id="rId6" w:history="1">
        <w:r w:rsidRPr="00DA66C0">
          <w:rPr>
            <w:rStyle w:val="Hyperlink"/>
          </w:rPr>
          <w:t>https://www.instagram.com/p/DFIE6nGo6dx/?img_index=1</w:t>
        </w:r>
      </w:hyperlink>
      <w:r>
        <w:t xml:space="preserve"> </w:t>
      </w:r>
    </w:p>
  </w:footnote>
  <w:footnote w:id="7">
    <w:p w14:paraId="455FD3A7" w14:textId="4EEE7EBA" w:rsidR="009049C8" w:rsidRDefault="009049C8">
      <w:pPr>
        <w:pStyle w:val="FootnoteText"/>
      </w:pPr>
      <w:r>
        <w:rPr>
          <w:rStyle w:val="FootnoteReference"/>
        </w:rPr>
        <w:footnoteRef/>
      </w:r>
      <w:r>
        <w:t xml:space="preserve"> See country reviews: </w:t>
      </w:r>
      <w:hyperlink r:id="rId7" w:history="1">
        <w:r w:rsidRPr="00DA66C0">
          <w:rPr>
            <w:rStyle w:val="Hyperlink"/>
          </w:rPr>
          <w:t>https://www.equalrightstrust.org/sites/default/files/ertdocs/Together%20for%20Equality%20-%202021.pdf</w:t>
        </w:r>
      </w:hyperlink>
      <w:r>
        <w:t xml:space="preserve"> </w:t>
      </w:r>
    </w:p>
  </w:footnote>
  <w:footnote w:id="8">
    <w:p w14:paraId="26FECA23" w14:textId="77446165" w:rsidR="002750C7" w:rsidRDefault="002750C7">
      <w:pPr>
        <w:pStyle w:val="FootnoteText"/>
      </w:pPr>
      <w:r>
        <w:rPr>
          <w:rStyle w:val="FootnoteReference"/>
        </w:rPr>
        <w:footnoteRef/>
      </w:r>
      <w:r>
        <w:t xml:space="preserve"> See review: </w:t>
      </w:r>
      <w:hyperlink r:id="rId8" w:history="1">
        <w:r w:rsidRPr="00DA66C0">
          <w:rPr>
            <w:rStyle w:val="Hyperlink"/>
          </w:rPr>
          <w:t>https://www.instagram.com/p/DFCQ4zGoUsN/?img_index=4</w:t>
        </w:r>
      </w:hyperlink>
      <w:r>
        <w:t xml:space="preserve"> </w:t>
      </w:r>
    </w:p>
  </w:footnote>
  <w:footnote w:id="9">
    <w:p w14:paraId="06D1F423" w14:textId="77777777" w:rsidR="00045ADD" w:rsidRDefault="00045ADD" w:rsidP="00045ADD">
      <w:pPr>
        <w:pStyle w:val="FootnoteText"/>
      </w:pPr>
      <w:r>
        <w:rPr>
          <w:rStyle w:val="FootnoteReference"/>
        </w:rPr>
        <w:footnoteRef/>
      </w:r>
      <w:r>
        <w:t xml:space="preserve"> See country comparable: </w:t>
      </w:r>
      <w:hyperlink r:id="rId9" w:history="1">
        <w:r w:rsidRPr="00DA66C0">
          <w:rPr>
            <w:rStyle w:val="Hyperlink"/>
          </w:rPr>
          <w:t>https://successcapital.africa/wp-content/uploads/2021/05/Review-Report-GBV-In-Botswana.pdf</w:t>
        </w:r>
      </w:hyperlink>
      <w:r>
        <w:t xml:space="preserve"> </w:t>
      </w:r>
    </w:p>
  </w:footnote>
  <w:footnote w:id="10">
    <w:p w14:paraId="6DF67222" w14:textId="1ECD2AB6" w:rsidR="00752722" w:rsidRDefault="00752722">
      <w:pPr>
        <w:pStyle w:val="FootnoteText"/>
      </w:pPr>
      <w:r>
        <w:rPr>
          <w:rStyle w:val="FootnoteReference"/>
        </w:rPr>
        <w:footnoteRef/>
      </w:r>
      <w:r>
        <w:t xml:space="preserve"> See more on the state of civic space and media reporting: </w:t>
      </w:r>
      <w:hyperlink r:id="rId10" w:history="1">
        <w:r w:rsidRPr="00DA66C0">
          <w:rPr>
            <w:rStyle w:val="Hyperlink"/>
          </w:rPr>
          <w:t>https://lens.civicus.org/interview/political-leadership-may-have-changed-but-the-state-still-controls-the-narrative-and-excludes-civil-society/</w:t>
        </w:r>
      </w:hyperlink>
      <w:r>
        <w:t xml:space="preserve"> </w:t>
      </w:r>
    </w:p>
  </w:footnote>
  <w:footnote w:id="11">
    <w:p w14:paraId="337BF7F1" w14:textId="3988AF92" w:rsidR="00183F48" w:rsidRPr="00183F48" w:rsidRDefault="00183F48">
      <w:pPr>
        <w:pStyle w:val="FootnoteText"/>
      </w:pPr>
      <w:r>
        <w:rPr>
          <w:rStyle w:val="FootnoteReference"/>
        </w:rPr>
        <w:footnoteRef/>
      </w:r>
      <w:r w:rsidRPr="00183F48">
        <w:t xml:space="preserve"> </w:t>
      </w:r>
      <w:hyperlink r:id="rId11" w:history="1">
        <w:r w:rsidRPr="00183F48">
          <w:rPr>
            <w:rStyle w:val="Hyperlink"/>
          </w:rPr>
          <w:t>https://successcapital.africa/wp-content/uploads/2020/08/Questionnaire_SRHRs-crisis_EN-Success-Capital-Responses.pdf</w:t>
        </w:r>
      </w:hyperlink>
      <w:r w:rsidRPr="00183F48">
        <w:t xml:space="preserve"> or</w:t>
      </w:r>
      <w:r>
        <w:t xml:space="preserve"> </w:t>
      </w:r>
      <w:hyperlink r:id="rId12" w:history="1">
        <w:r w:rsidRPr="00DA66C0">
          <w:rPr>
            <w:rStyle w:val="Hyperlink"/>
          </w:rPr>
          <w:t>https://www.ohchr.org/sites/default/files/Documents/Issues/Women/WG/ReproductiveHealthRights/CSOs/successcapital/submission.docx</w:t>
        </w:r>
      </w:hyperlink>
      <w:r>
        <w:t xml:space="preserve"> </w:t>
      </w:r>
    </w:p>
  </w:footnote>
  <w:footnote w:id="12">
    <w:p w14:paraId="0C50AB6C" w14:textId="48D6604E" w:rsidR="00183F48" w:rsidRDefault="00183F48">
      <w:pPr>
        <w:pStyle w:val="FootnoteText"/>
      </w:pPr>
      <w:r>
        <w:rPr>
          <w:rStyle w:val="FootnoteReference"/>
        </w:rPr>
        <w:footnoteRef/>
      </w:r>
      <w:r>
        <w:t xml:space="preserve"> Experiences documented here: </w:t>
      </w:r>
      <w:hyperlink r:id="rId13" w:history="1">
        <w:r w:rsidRPr="00DA66C0">
          <w:rPr>
            <w:rStyle w:val="Hyperlink"/>
          </w:rPr>
          <w:t>https://successcapital.africa/news/covid-19-communityexperiences/</w:t>
        </w:r>
      </w:hyperlink>
      <w:r>
        <w:t xml:space="preserve">, </w:t>
      </w:r>
      <w:hyperlink r:id="rId14" w:history="1">
        <w:r w:rsidRPr="00DA66C0">
          <w:rPr>
            <w:rStyle w:val="Hyperlink"/>
          </w:rPr>
          <w:t>https://successcapital.africa/wp-content/uploads/2020/05/COVID-19-Community-Experiences.pdf</w:t>
        </w:r>
      </w:hyperlink>
      <w:r>
        <w:t xml:space="preserve">, </w:t>
      </w:r>
      <w:hyperlink r:id="rId15" w:history="1">
        <w:r w:rsidRPr="00DA66C0">
          <w:rPr>
            <w:rStyle w:val="Hyperlink"/>
          </w:rPr>
          <w:t>https://successcapital.africa/news/lessons-from-covid-19/</w:t>
        </w:r>
      </w:hyperlink>
      <w:r>
        <w:t xml:space="preserve"> and  </w:t>
      </w:r>
      <w:hyperlink r:id="rId16" w:history="1">
        <w:r w:rsidRPr="00DA66C0">
          <w:rPr>
            <w:rStyle w:val="Hyperlink"/>
          </w:rPr>
          <w:t>https://successcapital.africa/news/how-important-is-mental-health/</w:t>
        </w:r>
      </w:hyperlink>
      <w:r>
        <w:t>.</w:t>
      </w:r>
    </w:p>
  </w:footnote>
  <w:footnote w:id="13">
    <w:p w14:paraId="0CB85614" w14:textId="0C7E05D6" w:rsidR="00183F48" w:rsidRDefault="00183F48">
      <w:pPr>
        <w:pStyle w:val="FootnoteText"/>
      </w:pPr>
      <w:r>
        <w:rPr>
          <w:rStyle w:val="FootnoteReference"/>
        </w:rPr>
        <w:footnoteRef/>
      </w:r>
      <w:r>
        <w:t xml:space="preserve"> </w:t>
      </w:r>
      <w:hyperlink r:id="rId17" w:history="1">
        <w:r w:rsidRPr="00DA66C0">
          <w:rPr>
            <w:rStyle w:val="Hyperlink"/>
          </w:rPr>
          <w:t>https://www.washingtonblade.com/2025/02/28/us-funding-freeze-exacerbates-flood-aftermath-for-lgbtq-batswana/</w:t>
        </w:r>
      </w:hyperlink>
      <w:r>
        <w:t xml:space="preserve"> </w:t>
      </w:r>
    </w:p>
  </w:footnote>
  <w:footnote w:id="14">
    <w:p w14:paraId="31DE46C0" w14:textId="2525C9A7" w:rsidR="00375683" w:rsidRDefault="00375683">
      <w:pPr>
        <w:pStyle w:val="FootnoteText"/>
      </w:pPr>
      <w:r>
        <w:rPr>
          <w:rStyle w:val="FootnoteReference"/>
        </w:rPr>
        <w:footnoteRef/>
      </w:r>
      <w:r>
        <w:t xml:space="preserve"> As reviewed: </w:t>
      </w:r>
      <w:hyperlink r:id="rId18" w:history="1">
        <w:r w:rsidRPr="00DA66C0">
          <w:rPr>
            <w:rStyle w:val="Hyperlink"/>
          </w:rPr>
          <w:t>https://www.instagram.com/p/DFIE6nGo6dx/?img_index=1</w:t>
        </w:r>
      </w:hyperlink>
      <w:r>
        <w:t xml:space="preserve"> </w:t>
      </w:r>
    </w:p>
  </w:footnote>
  <w:footnote w:id="15">
    <w:p w14:paraId="0CD27B06" w14:textId="57E4A0EA" w:rsidR="004E4B69" w:rsidRDefault="004E4B69">
      <w:pPr>
        <w:pStyle w:val="FootnoteText"/>
      </w:pPr>
      <w:r>
        <w:rPr>
          <w:rStyle w:val="FootnoteReference"/>
        </w:rPr>
        <w:footnoteRef/>
      </w:r>
      <w:r>
        <w:t xml:space="preserve"> Two reports, curated as feminist alternatives to COVID-19 interventions, responses and recovery, whilst the other unpacks feminist economics for Botswana: </w:t>
      </w:r>
      <w:hyperlink r:id="rId19" w:history="1">
        <w:r w:rsidRPr="00DA66C0">
          <w:rPr>
            <w:rStyle w:val="Hyperlink"/>
          </w:rPr>
          <w:t>https://successcapital.africa/news/feminista/</w:t>
        </w:r>
      </w:hyperlink>
      <w:r>
        <w:t xml:space="preserve"> </w:t>
      </w:r>
    </w:p>
  </w:footnote>
  <w:footnote w:id="16">
    <w:p w14:paraId="582F12EF" w14:textId="1E401241" w:rsidR="004E4B69" w:rsidRPr="004E4B69" w:rsidRDefault="004E4B69">
      <w:pPr>
        <w:pStyle w:val="FootnoteText"/>
      </w:pPr>
      <w:r>
        <w:rPr>
          <w:rStyle w:val="FootnoteReference"/>
        </w:rPr>
        <w:footnoteRef/>
      </w:r>
      <w:r>
        <w:t xml:space="preserve"> See efforts on bodily autonomy &amp; integrity grounded on lived experiences:</w:t>
      </w:r>
      <w:r w:rsidRPr="004E4B69">
        <w:t xml:space="preserve"> </w:t>
      </w:r>
      <w:hyperlink r:id="rId20" w:history="1">
        <w:r w:rsidRPr="00DA66C0">
          <w:rPr>
            <w:rStyle w:val="Hyperlink"/>
          </w:rPr>
          <w:t>https://successcapital.africa/news/bai</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57AE3"/>
    <w:multiLevelType w:val="hybridMultilevel"/>
    <w:tmpl w:val="64C08644"/>
    <w:lvl w:ilvl="0" w:tplc="7B68DA92">
      <w:start w:val="1"/>
      <w:numFmt w:val="bullet"/>
      <w:lvlText w:val=""/>
      <w:lvlJc w:val="left"/>
      <w:pPr>
        <w:tabs>
          <w:tab w:val="num" w:pos="720"/>
        </w:tabs>
        <w:ind w:left="720" w:hanging="360"/>
      </w:pPr>
      <w:rPr>
        <w:rFonts w:ascii="Wingdings" w:hAnsi="Wingdings" w:hint="default"/>
      </w:rPr>
    </w:lvl>
    <w:lvl w:ilvl="1" w:tplc="9CAAA80E">
      <w:start w:val="1"/>
      <w:numFmt w:val="bullet"/>
      <w:lvlText w:val=""/>
      <w:lvlJc w:val="left"/>
      <w:pPr>
        <w:tabs>
          <w:tab w:val="num" w:pos="1440"/>
        </w:tabs>
        <w:ind w:left="1440" w:hanging="360"/>
      </w:pPr>
      <w:rPr>
        <w:rFonts w:ascii="Wingdings" w:hAnsi="Wingdings" w:hint="default"/>
      </w:rPr>
    </w:lvl>
    <w:lvl w:ilvl="2" w:tplc="B002BE30" w:tentative="1">
      <w:start w:val="1"/>
      <w:numFmt w:val="bullet"/>
      <w:lvlText w:val=""/>
      <w:lvlJc w:val="left"/>
      <w:pPr>
        <w:tabs>
          <w:tab w:val="num" w:pos="2160"/>
        </w:tabs>
        <w:ind w:left="2160" w:hanging="360"/>
      </w:pPr>
      <w:rPr>
        <w:rFonts w:ascii="Wingdings" w:hAnsi="Wingdings" w:hint="default"/>
      </w:rPr>
    </w:lvl>
    <w:lvl w:ilvl="3" w:tplc="F0162344" w:tentative="1">
      <w:start w:val="1"/>
      <w:numFmt w:val="bullet"/>
      <w:lvlText w:val=""/>
      <w:lvlJc w:val="left"/>
      <w:pPr>
        <w:tabs>
          <w:tab w:val="num" w:pos="2880"/>
        </w:tabs>
        <w:ind w:left="2880" w:hanging="360"/>
      </w:pPr>
      <w:rPr>
        <w:rFonts w:ascii="Wingdings" w:hAnsi="Wingdings" w:hint="default"/>
      </w:rPr>
    </w:lvl>
    <w:lvl w:ilvl="4" w:tplc="6F2415B6" w:tentative="1">
      <w:start w:val="1"/>
      <w:numFmt w:val="bullet"/>
      <w:lvlText w:val=""/>
      <w:lvlJc w:val="left"/>
      <w:pPr>
        <w:tabs>
          <w:tab w:val="num" w:pos="3600"/>
        </w:tabs>
        <w:ind w:left="3600" w:hanging="360"/>
      </w:pPr>
      <w:rPr>
        <w:rFonts w:ascii="Wingdings" w:hAnsi="Wingdings" w:hint="default"/>
      </w:rPr>
    </w:lvl>
    <w:lvl w:ilvl="5" w:tplc="3ADA42B0" w:tentative="1">
      <w:start w:val="1"/>
      <w:numFmt w:val="bullet"/>
      <w:lvlText w:val=""/>
      <w:lvlJc w:val="left"/>
      <w:pPr>
        <w:tabs>
          <w:tab w:val="num" w:pos="4320"/>
        </w:tabs>
        <w:ind w:left="4320" w:hanging="360"/>
      </w:pPr>
      <w:rPr>
        <w:rFonts w:ascii="Wingdings" w:hAnsi="Wingdings" w:hint="default"/>
      </w:rPr>
    </w:lvl>
    <w:lvl w:ilvl="6" w:tplc="D34A39D6" w:tentative="1">
      <w:start w:val="1"/>
      <w:numFmt w:val="bullet"/>
      <w:lvlText w:val=""/>
      <w:lvlJc w:val="left"/>
      <w:pPr>
        <w:tabs>
          <w:tab w:val="num" w:pos="5040"/>
        </w:tabs>
        <w:ind w:left="5040" w:hanging="360"/>
      </w:pPr>
      <w:rPr>
        <w:rFonts w:ascii="Wingdings" w:hAnsi="Wingdings" w:hint="default"/>
      </w:rPr>
    </w:lvl>
    <w:lvl w:ilvl="7" w:tplc="56E4CC0A" w:tentative="1">
      <w:start w:val="1"/>
      <w:numFmt w:val="bullet"/>
      <w:lvlText w:val=""/>
      <w:lvlJc w:val="left"/>
      <w:pPr>
        <w:tabs>
          <w:tab w:val="num" w:pos="5760"/>
        </w:tabs>
        <w:ind w:left="5760" w:hanging="360"/>
      </w:pPr>
      <w:rPr>
        <w:rFonts w:ascii="Wingdings" w:hAnsi="Wingdings" w:hint="default"/>
      </w:rPr>
    </w:lvl>
    <w:lvl w:ilvl="8" w:tplc="20722A70"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F371B8"/>
    <w:multiLevelType w:val="hybridMultilevel"/>
    <w:tmpl w:val="0BB6B0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7035FF"/>
    <w:multiLevelType w:val="hybridMultilevel"/>
    <w:tmpl w:val="B490AA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6313D52"/>
    <w:multiLevelType w:val="hybridMultilevel"/>
    <w:tmpl w:val="6C743EBE"/>
    <w:lvl w:ilvl="0" w:tplc="70B0A64C">
      <w:start w:val="1"/>
      <w:numFmt w:val="bullet"/>
      <w:lvlText w:val=""/>
      <w:lvlJc w:val="left"/>
      <w:pPr>
        <w:tabs>
          <w:tab w:val="num" w:pos="720"/>
        </w:tabs>
        <w:ind w:left="720" w:hanging="360"/>
      </w:pPr>
      <w:rPr>
        <w:rFonts w:ascii="Wingdings" w:hAnsi="Wingdings" w:hint="default"/>
      </w:rPr>
    </w:lvl>
    <w:lvl w:ilvl="1" w:tplc="27B48F0A">
      <w:start w:val="1"/>
      <w:numFmt w:val="bullet"/>
      <w:lvlText w:val=""/>
      <w:lvlJc w:val="left"/>
      <w:pPr>
        <w:tabs>
          <w:tab w:val="num" w:pos="1440"/>
        </w:tabs>
        <w:ind w:left="1440" w:hanging="360"/>
      </w:pPr>
      <w:rPr>
        <w:rFonts w:ascii="Wingdings" w:hAnsi="Wingdings" w:hint="default"/>
      </w:rPr>
    </w:lvl>
    <w:lvl w:ilvl="2" w:tplc="EFEE10E8" w:tentative="1">
      <w:start w:val="1"/>
      <w:numFmt w:val="bullet"/>
      <w:lvlText w:val=""/>
      <w:lvlJc w:val="left"/>
      <w:pPr>
        <w:tabs>
          <w:tab w:val="num" w:pos="2160"/>
        </w:tabs>
        <w:ind w:left="2160" w:hanging="360"/>
      </w:pPr>
      <w:rPr>
        <w:rFonts w:ascii="Wingdings" w:hAnsi="Wingdings" w:hint="default"/>
      </w:rPr>
    </w:lvl>
    <w:lvl w:ilvl="3" w:tplc="E880325C" w:tentative="1">
      <w:start w:val="1"/>
      <w:numFmt w:val="bullet"/>
      <w:lvlText w:val=""/>
      <w:lvlJc w:val="left"/>
      <w:pPr>
        <w:tabs>
          <w:tab w:val="num" w:pos="2880"/>
        </w:tabs>
        <w:ind w:left="2880" w:hanging="360"/>
      </w:pPr>
      <w:rPr>
        <w:rFonts w:ascii="Wingdings" w:hAnsi="Wingdings" w:hint="default"/>
      </w:rPr>
    </w:lvl>
    <w:lvl w:ilvl="4" w:tplc="4798DF08" w:tentative="1">
      <w:start w:val="1"/>
      <w:numFmt w:val="bullet"/>
      <w:lvlText w:val=""/>
      <w:lvlJc w:val="left"/>
      <w:pPr>
        <w:tabs>
          <w:tab w:val="num" w:pos="3600"/>
        </w:tabs>
        <w:ind w:left="3600" w:hanging="360"/>
      </w:pPr>
      <w:rPr>
        <w:rFonts w:ascii="Wingdings" w:hAnsi="Wingdings" w:hint="default"/>
      </w:rPr>
    </w:lvl>
    <w:lvl w:ilvl="5" w:tplc="F1F0410C" w:tentative="1">
      <w:start w:val="1"/>
      <w:numFmt w:val="bullet"/>
      <w:lvlText w:val=""/>
      <w:lvlJc w:val="left"/>
      <w:pPr>
        <w:tabs>
          <w:tab w:val="num" w:pos="4320"/>
        </w:tabs>
        <w:ind w:left="4320" w:hanging="360"/>
      </w:pPr>
      <w:rPr>
        <w:rFonts w:ascii="Wingdings" w:hAnsi="Wingdings" w:hint="default"/>
      </w:rPr>
    </w:lvl>
    <w:lvl w:ilvl="6" w:tplc="CD06ED1C" w:tentative="1">
      <w:start w:val="1"/>
      <w:numFmt w:val="bullet"/>
      <w:lvlText w:val=""/>
      <w:lvlJc w:val="left"/>
      <w:pPr>
        <w:tabs>
          <w:tab w:val="num" w:pos="5040"/>
        </w:tabs>
        <w:ind w:left="5040" w:hanging="360"/>
      </w:pPr>
      <w:rPr>
        <w:rFonts w:ascii="Wingdings" w:hAnsi="Wingdings" w:hint="default"/>
      </w:rPr>
    </w:lvl>
    <w:lvl w:ilvl="7" w:tplc="EB5228C2" w:tentative="1">
      <w:start w:val="1"/>
      <w:numFmt w:val="bullet"/>
      <w:lvlText w:val=""/>
      <w:lvlJc w:val="left"/>
      <w:pPr>
        <w:tabs>
          <w:tab w:val="num" w:pos="5760"/>
        </w:tabs>
        <w:ind w:left="5760" w:hanging="360"/>
      </w:pPr>
      <w:rPr>
        <w:rFonts w:ascii="Wingdings" w:hAnsi="Wingdings" w:hint="default"/>
      </w:rPr>
    </w:lvl>
    <w:lvl w:ilvl="8" w:tplc="0D421CE8" w:tentative="1">
      <w:start w:val="1"/>
      <w:numFmt w:val="bullet"/>
      <w:lvlText w:val=""/>
      <w:lvlJc w:val="left"/>
      <w:pPr>
        <w:tabs>
          <w:tab w:val="num" w:pos="6480"/>
        </w:tabs>
        <w:ind w:left="6480" w:hanging="360"/>
      </w:pPr>
      <w:rPr>
        <w:rFonts w:ascii="Wingdings" w:hAnsi="Wingdings" w:hint="default"/>
      </w:rPr>
    </w:lvl>
  </w:abstractNum>
  <w:num w:numId="1" w16cid:durableId="2110004307">
    <w:abstractNumId w:val="2"/>
  </w:num>
  <w:num w:numId="2" w16cid:durableId="362050634">
    <w:abstractNumId w:val="1"/>
  </w:num>
  <w:num w:numId="3" w16cid:durableId="1054811885">
    <w:abstractNumId w:val="0"/>
  </w:num>
  <w:num w:numId="4" w16cid:durableId="7379442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8BE"/>
    <w:rsid w:val="00045ADD"/>
    <w:rsid w:val="000A5EFD"/>
    <w:rsid w:val="000C6649"/>
    <w:rsid w:val="001535E0"/>
    <w:rsid w:val="00183F48"/>
    <w:rsid w:val="00215C00"/>
    <w:rsid w:val="002750C7"/>
    <w:rsid w:val="002E7AA8"/>
    <w:rsid w:val="00334DF0"/>
    <w:rsid w:val="00375683"/>
    <w:rsid w:val="003E503D"/>
    <w:rsid w:val="00450DC5"/>
    <w:rsid w:val="00494C33"/>
    <w:rsid w:val="004A6A35"/>
    <w:rsid w:val="004E4B69"/>
    <w:rsid w:val="0050081B"/>
    <w:rsid w:val="00506CD7"/>
    <w:rsid w:val="00513177"/>
    <w:rsid w:val="0057760A"/>
    <w:rsid w:val="0058529B"/>
    <w:rsid w:val="007108A3"/>
    <w:rsid w:val="00713E2E"/>
    <w:rsid w:val="00752722"/>
    <w:rsid w:val="00803CDC"/>
    <w:rsid w:val="00815B90"/>
    <w:rsid w:val="008175D4"/>
    <w:rsid w:val="008B48BE"/>
    <w:rsid w:val="009049C8"/>
    <w:rsid w:val="009958CD"/>
    <w:rsid w:val="00A447CF"/>
    <w:rsid w:val="00BA4A18"/>
    <w:rsid w:val="00C245D7"/>
    <w:rsid w:val="00CA59CD"/>
    <w:rsid w:val="00CE30DB"/>
    <w:rsid w:val="00D378FD"/>
    <w:rsid w:val="00DE3988"/>
    <w:rsid w:val="00E93FF1"/>
    <w:rsid w:val="00F772B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5498F"/>
  <w15:chartTrackingRefBased/>
  <w15:docId w15:val="{EAA59EB1-0B94-4C60-8218-20DF962D8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48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48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B48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48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48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48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48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48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48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8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48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B48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48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48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48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48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48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48BE"/>
    <w:rPr>
      <w:rFonts w:eastAsiaTheme="majorEastAsia" w:cstheme="majorBidi"/>
      <w:color w:val="272727" w:themeColor="text1" w:themeTint="D8"/>
    </w:rPr>
  </w:style>
  <w:style w:type="paragraph" w:styleId="Title">
    <w:name w:val="Title"/>
    <w:basedOn w:val="Normal"/>
    <w:next w:val="Normal"/>
    <w:link w:val="TitleChar"/>
    <w:uiPriority w:val="10"/>
    <w:qFormat/>
    <w:rsid w:val="008B48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48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48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48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8BE"/>
    <w:pPr>
      <w:spacing w:before="160"/>
      <w:jc w:val="center"/>
    </w:pPr>
    <w:rPr>
      <w:i/>
      <w:iCs/>
      <w:color w:val="404040" w:themeColor="text1" w:themeTint="BF"/>
    </w:rPr>
  </w:style>
  <w:style w:type="character" w:customStyle="1" w:styleId="QuoteChar">
    <w:name w:val="Quote Char"/>
    <w:basedOn w:val="DefaultParagraphFont"/>
    <w:link w:val="Quote"/>
    <w:uiPriority w:val="29"/>
    <w:rsid w:val="008B48BE"/>
    <w:rPr>
      <w:i/>
      <w:iCs/>
      <w:color w:val="404040" w:themeColor="text1" w:themeTint="BF"/>
    </w:rPr>
  </w:style>
  <w:style w:type="paragraph" w:styleId="ListParagraph">
    <w:name w:val="List Paragraph"/>
    <w:basedOn w:val="Normal"/>
    <w:uiPriority w:val="34"/>
    <w:qFormat/>
    <w:rsid w:val="008B48BE"/>
    <w:pPr>
      <w:ind w:left="720"/>
      <w:contextualSpacing/>
    </w:pPr>
  </w:style>
  <w:style w:type="character" w:styleId="IntenseEmphasis">
    <w:name w:val="Intense Emphasis"/>
    <w:basedOn w:val="DefaultParagraphFont"/>
    <w:uiPriority w:val="21"/>
    <w:qFormat/>
    <w:rsid w:val="008B48BE"/>
    <w:rPr>
      <w:i/>
      <w:iCs/>
      <w:color w:val="0F4761" w:themeColor="accent1" w:themeShade="BF"/>
    </w:rPr>
  </w:style>
  <w:style w:type="paragraph" w:styleId="IntenseQuote">
    <w:name w:val="Intense Quote"/>
    <w:basedOn w:val="Normal"/>
    <w:next w:val="Normal"/>
    <w:link w:val="IntenseQuoteChar"/>
    <w:uiPriority w:val="30"/>
    <w:qFormat/>
    <w:rsid w:val="008B48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48BE"/>
    <w:rPr>
      <w:i/>
      <w:iCs/>
      <w:color w:val="0F4761" w:themeColor="accent1" w:themeShade="BF"/>
    </w:rPr>
  </w:style>
  <w:style w:type="character" w:styleId="IntenseReference">
    <w:name w:val="Intense Reference"/>
    <w:basedOn w:val="DefaultParagraphFont"/>
    <w:uiPriority w:val="32"/>
    <w:qFormat/>
    <w:rsid w:val="008B48BE"/>
    <w:rPr>
      <w:b/>
      <w:bCs/>
      <w:smallCaps/>
      <w:color w:val="0F4761" w:themeColor="accent1" w:themeShade="BF"/>
      <w:spacing w:val="5"/>
    </w:rPr>
  </w:style>
  <w:style w:type="paragraph" w:styleId="FootnoteText">
    <w:name w:val="footnote text"/>
    <w:basedOn w:val="Normal"/>
    <w:link w:val="FootnoteTextChar"/>
    <w:uiPriority w:val="99"/>
    <w:semiHidden/>
    <w:unhideWhenUsed/>
    <w:rsid w:val="004A6A3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A6A35"/>
    <w:rPr>
      <w:sz w:val="20"/>
      <w:szCs w:val="20"/>
    </w:rPr>
  </w:style>
  <w:style w:type="character" w:styleId="FootnoteReference">
    <w:name w:val="footnote reference"/>
    <w:basedOn w:val="DefaultParagraphFont"/>
    <w:uiPriority w:val="99"/>
    <w:semiHidden/>
    <w:unhideWhenUsed/>
    <w:rsid w:val="004A6A35"/>
    <w:rPr>
      <w:vertAlign w:val="superscript"/>
    </w:rPr>
  </w:style>
  <w:style w:type="character" w:styleId="Hyperlink">
    <w:name w:val="Hyperlink"/>
    <w:basedOn w:val="DefaultParagraphFont"/>
    <w:uiPriority w:val="99"/>
    <w:unhideWhenUsed/>
    <w:rsid w:val="004A6A35"/>
    <w:rPr>
      <w:color w:val="467886" w:themeColor="hyperlink"/>
      <w:u w:val="single"/>
    </w:rPr>
  </w:style>
  <w:style w:type="character" w:styleId="UnresolvedMention">
    <w:name w:val="Unresolved Mention"/>
    <w:basedOn w:val="DefaultParagraphFont"/>
    <w:uiPriority w:val="99"/>
    <w:semiHidden/>
    <w:unhideWhenUsed/>
    <w:rsid w:val="004A6A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4232365">
      <w:bodyDiv w:val="1"/>
      <w:marLeft w:val="0"/>
      <w:marRight w:val="0"/>
      <w:marTop w:val="0"/>
      <w:marBottom w:val="0"/>
      <w:divBdr>
        <w:top w:val="none" w:sz="0" w:space="0" w:color="auto"/>
        <w:left w:val="none" w:sz="0" w:space="0" w:color="auto"/>
        <w:bottom w:val="none" w:sz="0" w:space="0" w:color="auto"/>
        <w:right w:val="none" w:sz="0" w:space="0" w:color="auto"/>
      </w:divBdr>
    </w:div>
    <w:div w:id="1051802331">
      <w:bodyDiv w:val="1"/>
      <w:marLeft w:val="0"/>
      <w:marRight w:val="0"/>
      <w:marTop w:val="0"/>
      <w:marBottom w:val="0"/>
      <w:divBdr>
        <w:top w:val="none" w:sz="0" w:space="0" w:color="auto"/>
        <w:left w:val="none" w:sz="0" w:space="0" w:color="auto"/>
        <w:bottom w:val="none" w:sz="0" w:space="0" w:color="auto"/>
        <w:right w:val="none" w:sz="0" w:space="0" w:color="auto"/>
      </w:divBdr>
    </w:div>
    <w:div w:id="1056972810">
      <w:bodyDiv w:val="1"/>
      <w:marLeft w:val="0"/>
      <w:marRight w:val="0"/>
      <w:marTop w:val="0"/>
      <w:marBottom w:val="0"/>
      <w:divBdr>
        <w:top w:val="none" w:sz="0" w:space="0" w:color="auto"/>
        <w:left w:val="none" w:sz="0" w:space="0" w:color="auto"/>
        <w:bottom w:val="none" w:sz="0" w:space="0" w:color="auto"/>
        <w:right w:val="none" w:sz="0" w:space="0" w:color="auto"/>
      </w:divBdr>
    </w:div>
    <w:div w:id="1293631884">
      <w:bodyDiv w:val="1"/>
      <w:marLeft w:val="0"/>
      <w:marRight w:val="0"/>
      <w:marTop w:val="0"/>
      <w:marBottom w:val="0"/>
      <w:divBdr>
        <w:top w:val="none" w:sz="0" w:space="0" w:color="auto"/>
        <w:left w:val="none" w:sz="0" w:space="0" w:color="auto"/>
        <w:bottom w:val="none" w:sz="0" w:space="0" w:color="auto"/>
        <w:right w:val="none" w:sz="0" w:space="0" w:color="auto"/>
      </w:divBdr>
      <w:divsChild>
        <w:div w:id="1483501911">
          <w:marLeft w:val="720"/>
          <w:marRight w:val="0"/>
          <w:marTop w:val="0"/>
          <w:marBottom w:val="0"/>
          <w:divBdr>
            <w:top w:val="none" w:sz="0" w:space="0" w:color="auto"/>
            <w:left w:val="none" w:sz="0" w:space="0" w:color="auto"/>
            <w:bottom w:val="none" w:sz="0" w:space="0" w:color="auto"/>
            <w:right w:val="none" w:sz="0" w:space="0" w:color="auto"/>
          </w:divBdr>
        </w:div>
      </w:divsChild>
    </w:div>
    <w:div w:id="1945574679">
      <w:bodyDiv w:val="1"/>
      <w:marLeft w:val="0"/>
      <w:marRight w:val="0"/>
      <w:marTop w:val="0"/>
      <w:marBottom w:val="0"/>
      <w:divBdr>
        <w:top w:val="none" w:sz="0" w:space="0" w:color="auto"/>
        <w:left w:val="none" w:sz="0" w:space="0" w:color="auto"/>
        <w:bottom w:val="none" w:sz="0" w:space="0" w:color="auto"/>
        <w:right w:val="none" w:sz="0" w:space="0" w:color="auto"/>
      </w:divBdr>
    </w:div>
    <w:div w:id="2075270635">
      <w:bodyDiv w:val="1"/>
      <w:marLeft w:val="0"/>
      <w:marRight w:val="0"/>
      <w:marTop w:val="0"/>
      <w:marBottom w:val="0"/>
      <w:divBdr>
        <w:top w:val="none" w:sz="0" w:space="0" w:color="auto"/>
        <w:left w:val="none" w:sz="0" w:space="0" w:color="auto"/>
        <w:bottom w:val="none" w:sz="0" w:space="0" w:color="auto"/>
        <w:right w:val="none" w:sz="0" w:space="0" w:color="auto"/>
      </w:divBdr>
      <w:divsChild>
        <w:div w:id="1040979869">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successcapital.africa"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instagram.com/p/DFCQ4zGoUsN/?img_index=4" TargetMode="External"/><Relationship Id="rId13" Type="http://schemas.openxmlformats.org/officeDocument/2006/relationships/hyperlink" Target="https://successcapital.africa/news/covid-19-communityexperiences/" TargetMode="External"/><Relationship Id="rId18" Type="http://schemas.openxmlformats.org/officeDocument/2006/relationships/hyperlink" Target="https://www.instagram.com/p/DFIE6nGo6dx/?img_index=1" TargetMode="External"/><Relationship Id="rId3" Type="http://schemas.openxmlformats.org/officeDocument/2006/relationships/hyperlink" Target="https://www.facebook.com/photo.php?fbid=637443618409612&amp;id=100064319394706&amp;set=a.551796770307631" TargetMode="External"/><Relationship Id="rId7" Type="http://schemas.openxmlformats.org/officeDocument/2006/relationships/hyperlink" Target="https://www.equalrightstrust.org/sites/default/files/ertdocs/Together%20for%20Equality%20-%202021.pdf" TargetMode="External"/><Relationship Id="rId12" Type="http://schemas.openxmlformats.org/officeDocument/2006/relationships/hyperlink" Target="https://www.ohchr.org/sites/default/files/Documents/Issues/Women/WG/ReproductiveHealthRights/CSOs/successcapital/submission.docx" TargetMode="External"/><Relationship Id="rId17" Type="http://schemas.openxmlformats.org/officeDocument/2006/relationships/hyperlink" Target="https://www.washingtonblade.com/2025/02/28/us-funding-freeze-exacerbates-flood-aftermath-for-lgbtq-batswana/" TargetMode="External"/><Relationship Id="rId2" Type="http://schemas.openxmlformats.org/officeDocument/2006/relationships/hyperlink" Target="https://statsbots.org.bw/latest-publications/terms-use?title=crime&amp;field_keywords_value=&amp;field_release_date_value%5Bmin%5D%5Bdate%5D=&amp;field_release_date_value%5Bmax%5D%5Bdate%5D=&amp;field_sector_nid=All" TargetMode="External"/><Relationship Id="rId16" Type="http://schemas.openxmlformats.org/officeDocument/2006/relationships/hyperlink" Target="https://successcapital.africa/news/how-important-is-mental-health/" TargetMode="External"/><Relationship Id="rId20" Type="http://schemas.openxmlformats.org/officeDocument/2006/relationships/hyperlink" Target="https://successcapital.africa/news/bai" TargetMode="External"/><Relationship Id="rId1" Type="http://schemas.openxmlformats.org/officeDocument/2006/relationships/hyperlink" Target="https://www.gov.bw/business-compliance/accessing-government-audit-reports" TargetMode="External"/><Relationship Id="rId6" Type="http://schemas.openxmlformats.org/officeDocument/2006/relationships/hyperlink" Target="https://www.instagram.com/p/DFIE6nGo6dx/?img_index=1" TargetMode="External"/><Relationship Id="rId11" Type="http://schemas.openxmlformats.org/officeDocument/2006/relationships/hyperlink" Target="https://successcapital.africa/wp-content/uploads/2020/08/Questionnaire_SRHRs-crisis_EN-Success-Capital-Responses.pdf" TargetMode="External"/><Relationship Id="rId5" Type="http://schemas.openxmlformats.org/officeDocument/2006/relationships/hyperlink" Target="https://successcapital.africa/wp-content/uploads/2020/03/Kgotla-Review.pdf" TargetMode="External"/><Relationship Id="rId15" Type="http://schemas.openxmlformats.org/officeDocument/2006/relationships/hyperlink" Target="https://successcapital.africa/news/lessons-from-covid-19/" TargetMode="External"/><Relationship Id="rId10" Type="http://schemas.openxmlformats.org/officeDocument/2006/relationships/hyperlink" Target="https://lens.civicus.org/interview/political-leadership-may-have-changed-but-the-state-still-controls-the-narrative-and-excludes-civil-society/" TargetMode="External"/><Relationship Id="rId19" Type="http://schemas.openxmlformats.org/officeDocument/2006/relationships/hyperlink" Target="https://successcapital.africa/news/feminista/" TargetMode="External"/><Relationship Id="rId4" Type="http://schemas.openxmlformats.org/officeDocument/2006/relationships/hyperlink" Target="https://successcapital.africa/news/worldngoday25/" TargetMode="External"/><Relationship Id="rId9" Type="http://schemas.openxmlformats.org/officeDocument/2006/relationships/hyperlink" Target="https://successcapital.africa/wp-content/uploads/2021/05/Review-Report-GBV-In-Botswana.pdf" TargetMode="External"/><Relationship Id="rId14" Type="http://schemas.openxmlformats.org/officeDocument/2006/relationships/hyperlink" Target="https://successcapital.africa/wp-content/uploads/2020/05/COVID-19-Community-Experienc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DEA4BF-52D7-4C1A-9657-FC73F9203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3169</Words>
  <Characters>18671</Characters>
  <Application>Microsoft Office Word</Application>
  <DocSecurity>0</DocSecurity>
  <Lines>316</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Dumiso Gatsha</dc:creator>
  <cp:keywords/>
  <dc:description/>
  <cp:lastModifiedBy>Dumiso Gatsha</cp:lastModifiedBy>
  <cp:revision>12</cp:revision>
  <dcterms:created xsi:type="dcterms:W3CDTF">2025-05-19T06:07:00Z</dcterms:created>
  <dcterms:modified xsi:type="dcterms:W3CDTF">2025-05-19T20:22:00Z</dcterms:modified>
</cp:coreProperties>
</file>