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EC7AA" w14:textId="28F7D51C" w:rsidR="00302432" w:rsidRPr="00966BD1" w:rsidRDefault="005D1139" w:rsidP="00302432">
      <w:pPr>
        <w:pStyle w:val="paragraph"/>
        <w:tabs>
          <w:tab w:val="left" w:pos="90"/>
        </w:tabs>
        <w:spacing w:before="0" w:beforeAutospacing="0" w:after="0" w:afterAutospacing="0"/>
        <w:jc w:val="center"/>
        <w:textAlignment w:val="baseline"/>
      </w:pPr>
      <w:bookmarkStart w:id="0" w:name="_Toc143210361"/>
      <w:r w:rsidRPr="00966BD1">
        <w:rPr>
          <w:rStyle w:val="normaltextrun"/>
          <w:b/>
          <w:bCs/>
          <w:lang w:val="en-IE"/>
        </w:rPr>
        <w:t>United States of America</w:t>
      </w:r>
    </w:p>
    <w:p w14:paraId="126EBD65" w14:textId="77777777" w:rsidR="00302432" w:rsidRPr="00966BD1" w:rsidRDefault="00302432" w:rsidP="00302432">
      <w:pPr>
        <w:pStyle w:val="paragraph"/>
        <w:spacing w:before="0" w:beforeAutospacing="0" w:after="0" w:afterAutospacing="0"/>
        <w:jc w:val="center"/>
        <w:textAlignment w:val="baseline"/>
        <w:rPr>
          <w:color w:val="000000"/>
        </w:rPr>
      </w:pPr>
      <w:r w:rsidRPr="00966BD1">
        <w:rPr>
          <w:rStyle w:val="eop"/>
          <w:color w:val="000000"/>
        </w:rPr>
        <w:t> </w:t>
      </w:r>
    </w:p>
    <w:p w14:paraId="3D649040" w14:textId="77777777" w:rsidR="00302432" w:rsidRPr="00966BD1" w:rsidRDefault="00302432" w:rsidP="00302432">
      <w:pPr>
        <w:pStyle w:val="paragraph"/>
        <w:spacing w:before="0" w:beforeAutospacing="0" w:after="0" w:afterAutospacing="0"/>
        <w:jc w:val="center"/>
        <w:textAlignment w:val="baseline"/>
        <w:rPr>
          <w:color w:val="000000"/>
        </w:rPr>
      </w:pPr>
      <w:r w:rsidRPr="00966BD1">
        <w:rPr>
          <w:rStyle w:val="eop"/>
          <w:color w:val="000000"/>
        </w:rPr>
        <w:t> </w:t>
      </w:r>
    </w:p>
    <w:p w14:paraId="55FEC8CE" w14:textId="40DB7CE2" w:rsidR="00302432" w:rsidRPr="00966BD1" w:rsidRDefault="00302432" w:rsidP="00302432">
      <w:pPr>
        <w:pStyle w:val="paragraph"/>
        <w:spacing w:before="0" w:beforeAutospacing="0" w:after="0" w:afterAutospacing="0"/>
        <w:jc w:val="center"/>
        <w:textAlignment w:val="baseline"/>
        <w:rPr>
          <w:color w:val="000000"/>
        </w:rPr>
      </w:pPr>
      <w:r w:rsidRPr="00966BD1">
        <w:rPr>
          <w:rStyle w:val="normaltextrun"/>
          <w:b/>
          <w:bCs/>
          <w:color w:val="000000"/>
          <w:lang w:val="en-IE"/>
        </w:rPr>
        <w:t>Submission to the Human Rights Committee for the</w:t>
      </w:r>
      <w:r w:rsidR="00FD2EEF" w:rsidRPr="00966BD1">
        <w:rPr>
          <w:rStyle w:val="normaltextrun"/>
          <w:b/>
          <w:bCs/>
          <w:color w:val="000000"/>
          <w:lang w:val="en-IE"/>
        </w:rPr>
        <w:t xml:space="preserve"> Committee’s</w:t>
      </w:r>
    </w:p>
    <w:p w14:paraId="2A6A73B5" w14:textId="7F090F2D" w:rsidR="00302432" w:rsidRPr="00966BD1" w:rsidRDefault="00302432" w:rsidP="00302432">
      <w:pPr>
        <w:pStyle w:val="paragraph"/>
        <w:spacing w:before="0" w:beforeAutospacing="0" w:after="0" w:afterAutospacing="0"/>
        <w:jc w:val="center"/>
        <w:textAlignment w:val="baseline"/>
        <w:rPr>
          <w:color w:val="000000"/>
        </w:rPr>
      </w:pPr>
      <w:r w:rsidRPr="00966BD1">
        <w:rPr>
          <w:rStyle w:val="normaltextrun"/>
          <w:b/>
          <w:bCs/>
          <w:color w:val="000000"/>
          <w:lang w:val="en-IE"/>
        </w:rPr>
        <w:t>13</w:t>
      </w:r>
      <w:r w:rsidR="00C9401E" w:rsidRPr="00966BD1">
        <w:rPr>
          <w:rStyle w:val="normaltextrun"/>
          <w:b/>
          <w:bCs/>
          <w:color w:val="000000"/>
          <w:lang w:val="en-IE"/>
        </w:rPr>
        <w:t>9</w:t>
      </w:r>
      <w:r w:rsidRPr="00966BD1">
        <w:rPr>
          <w:rStyle w:val="normaltextrun"/>
          <w:b/>
          <w:bCs/>
          <w:color w:val="000000"/>
          <w:vertAlign w:val="superscript"/>
          <w:lang w:val="en-IE"/>
        </w:rPr>
        <w:t>th</w:t>
      </w:r>
      <w:r w:rsidRPr="00966BD1">
        <w:rPr>
          <w:rStyle w:val="normaltextrun"/>
          <w:b/>
          <w:bCs/>
          <w:color w:val="000000"/>
          <w:lang w:val="en-IE"/>
        </w:rPr>
        <w:t xml:space="preserve"> Session </w:t>
      </w:r>
      <w:r w:rsidR="00FD2EEF" w:rsidRPr="00966BD1">
        <w:rPr>
          <w:rStyle w:val="normaltextrun"/>
          <w:b/>
          <w:bCs/>
          <w:color w:val="000000"/>
          <w:lang w:val="en-IE"/>
        </w:rPr>
        <w:t>on</w:t>
      </w:r>
      <w:r w:rsidRPr="00966BD1">
        <w:rPr>
          <w:rStyle w:val="normaltextrun"/>
          <w:b/>
          <w:bCs/>
          <w:color w:val="000000"/>
          <w:lang w:val="en-IE"/>
        </w:rPr>
        <w:t xml:space="preserve"> the United Nations</w:t>
      </w:r>
      <w:r w:rsidR="002C5E78" w:rsidRPr="00966BD1">
        <w:rPr>
          <w:rStyle w:val="normaltextrun"/>
          <w:b/>
          <w:bCs/>
          <w:color w:val="000000"/>
          <w:lang w:val="en-IE"/>
        </w:rPr>
        <w:t xml:space="preserve"> </w:t>
      </w:r>
      <w:r w:rsidRPr="00966BD1">
        <w:rPr>
          <w:rStyle w:val="normaltextrun"/>
          <w:b/>
          <w:bCs/>
          <w:color w:val="000000"/>
          <w:lang w:val="en-IE"/>
        </w:rPr>
        <w:t xml:space="preserve">International Covenant on Civil and Political Rights, </w:t>
      </w:r>
      <w:r w:rsidR="00C9401E" w:rsidRPr="00966BD1">
        <w:rPr>
          <w:rStyle w:val="normaltextrun"/>
          <w:b/>
          <w:bCs/>
          <w:color w:val="000000"/>
          <w:lang w:val="en-IE"/>
        </w:rPr>
        <w:t>09</w:t>
      </w:r>
      <w:r w:rsidRPr="00966BD1">
        <w:rPr>
          <w:rStyle w:val="normaltextrun"/>
          <w:b/>
          <w:bCs/>
          <w:color w:val="000000"/>
          <w:lang w:val="en-IE"/>
        </w:rPr>
        <w:t xml:space="preserve"> </w:t>
      </w:r>
      <w:r w:rsidR="00C9401E" w:rsidRPr="00966BD1">
        <w:rPr>
          <w:rStyle w:val="normaltextrun"/>
          <w:b/>
          <w:bCs/>
          <w:color w:val="000000"/>
          <w:lang w:val="en-IE"/>
        </w:rPr>
        <w:t>October</w:t>
      </w:r>
      <w:r w:rsidRPr="00966BD1">
        <w:rPr>
          <w:rStyle w:val="normaltextrun"/>
          <w:b/>
          <w:bCs/>
          <w:color w:val="000000"/>
          <w:lang w:val="en-IE"/>
        </w:rPr>
        <w:t xml:space="preserve"> 2023 – </w:t>
      </w:r>
      <w:r w:rsidR="00716920" w:rsidRPr="00966BD1">
        <w:rPr>
          <w:rStyle w:val="normaltextrun"/>
          <w:b/>
          <w:bCs/>
          <w:color w:val="000000"/>
          <w:lang w:val="en-IE"/>
        </w:rPr>
        <w:t>03</w:t>
      </w:r>
      <w:r w:rsidRPr="00966BD1">
        <w:rPr>
          <w:rStyle w:val="normaltextrun"/>
          <w:b/>
          <w:bCs/>
          <w:color w:val="000000"/>
          <w:lang w:val="en-IE"/>
        </w:rPr>
        <w:t xml:space="preserve"> </w:t>
      </w:r>
      <w:r w:rsidR="00C9401E" w:rsidRPr="00966BD1">
        <w:rPr>
          <w:rStyle w:val="normaltextrun"/>
          <w:b/>
          <w:bCs/>
          <w:color w:val="000000"/>
          <w:lang w:val="en-IE"/>
        </w:rPr>
        <w:t>November</w:t>
      </w:r>
      <w:r w:rsidRPr="00966BD1">
        <w:rPr>
          <w:rStyle w:val="normaltextrun"/>
          <w:b/>
          <w:bCs/>
          <w:color w:val="000000"/>
          <w:lang w:val="en-IE"/>
        </w:rPr>
        <w:t xml:space="preserve"> 2023</w:t>
      </w:r>
    </w:p>
    <w:p w14:paraId="50E5BDAC" w14:textId="55CE9333" w:rsidR="00302432" w:rsidRPr="00966BD1" w:rsidRDefault="00570B5C" w:rsidP="00302432">
      <w:pPr>
        <w:pStyle w:val="paragraph"/>
        <w:spacing w:before="0" w:beforeAutospacing="0" w:after="0" w:afterAutospacing="0"/>
        <w:jc w:val="center"/>
        <w:textAlignment w:val="baseline"/>
        <w:rPr>
          <w:color w:val="000000"/>
        </w:rPr>
      </w:pPr>
      <w:r w:rsidRPr="00966BD1">
        <w:rPr>
          <w:rStyle w:val="normaltextrun"/>
          <w:i/>
          <w:iCs/>
          <w:color w:val="000000"/>
          <w:lang w:val="en-IE"/>
        </w:rPr>
        <w:t xml:space="preserve">Fifth Periodic </w:t>
      </w:r>
      <w:r w:rsidR="00302432" w:rsidRPr="00966BD1">
        <w:rPr>
          <w:rStyle w:val="normaltextrun"/>
          <w:i/>
          <w:iCs/>
          <w:color w:val="000000"/>
          <w:lang w:val="en-IE"/>
        </w:rPr>
        <w:t xml:space="preserve">Review of </w:t>
      </w:r>
      <w:r w:rsidR="002732FA" w:rsidRPr="00966BD1">
        <w:rPr>
          <w:rStyle w:val="normaltextrun"/>
          <w:i/>
          <w:iCs/>
          <w:color w:val="000000"/>
          <w:lang w:val="en-IE"/>
        </w:rPr>
        <w:t xml:space="preserve">report submitted by </w:t>
      </w:r>
      <w:r w:rsidR="00716920" w:rsidRPr="00966BD1">
        <w:rPr>
          <w:rStyle w:val="normaltextrun"/>
          <w:i/>
          <w:iCs/>
          <w:color w:val="000000"/>
          <w:lang w:val="en-IE"/>
        </w:rPr>
        <w:t>United States of Americ</w:t>
      </w:r>
      <w:r w:rsidR="00302432" w:rsidRPr="00966BD1">
        <w:rPr>
          <w:rStyle w:val="normaltextrun"/>
          <w:i/>
          <w:iCs/>
          <w:color w:val="000000"/>
          <w:lang w:val="en-IE"/>
        </w:rPr>
        <w:t>a under</w:t>
      </w:r>
      <w:r w:rsidR="002732FA" w:rsidRPr="00966BD1">
        <w:rPr>
          <w:rStyle w:val="normaltextrun"/>
          <w:i/>
          <w:iCs/>
          <w:color w:val="000000"/>
          <w:lang w:val="en-IE"/>
        </w:rPr>
        <w:t xml:space="preserve"> article </w:t>
      </w:r>
      <w:r w:rsidR="002C5E78" w:rsidRPr="00966BD1">
        <w:rPr>
          <w:rStyle w:val="normaltextrun"/>
          <w:i/>
          <w:iCs/>
          <w:color w:val="000000"/>
          <w:lang w:val="en-IE"/>
        </w:rPr>
        <w:t>40 of</w:t>
      </w:r>
      <w:r w:rsidR="00302432" w:rsidRPr="00966BD1">
        <w:rPr>
          <w:rStyle w:val="normaltextrun"/>
          <w:i/>
          <w:iCs/>
          <w:color w:val="000000"/>
          <w:lang w:val="en-IE"/>
        </w:rPr>
        <w:t xml:space="preserve"> the </w:t>
      </w:r>
      <w:bookmarkStart w:id="1" w:name="_Hlk125622533"/>
      <w:r w:rsidR="00302432" w:rsidRPr="00966BD1">
        <w:rPr>
          <w:rStyle w:val="normaltextrun"/>
          <w:i/>
          <w:iCs/>
          <w:color w:val="000000"/>
          <w:lang w:val="en-IE"/>
        </w:rPr>
        <w:t>International Covenant on Civil and Political Rights</w:t>
      </w:r>
      <w:bookmarkEnd w:id="1"/>
    </w:p>
    <w:p w14:paraId="18AA3DF0" w14:textId="77777777" w:rsidR="00302432" w:rsidRPr="00966BD1" w:rsidRDefault="00302432" w:rsidP="00302432">
      <w:pPr>
        <w:pStyle w:val="paragraph"/>
        <w:spacing w:before="0" w:beforeAutospacing="0" w:after="0" w:afterAutospacing="0"/>
        <w:jc w:val="center"/>
        <w:textAlignment w:val="baseline"/>
        <w:rPr>
          <w:color w:val="000000"/>
        </w:rPr>
      </w:pPr>
      <w:r w:rsidRPr="00966BD1">
        <w:rPr>
          <w:rStyle w:val="eop"/>
          <w:color w:val="000000"/>
        </w:rPr>
        <w:t> </w:t>
      </w:r>
    </w:p>
    <w:p w14:paraId="5616DA7B" w14:textId="2680D309" w:rsidR="00302432" w:rsidRPr="00966BD1" w:rsidRDefault="00302432" w:rsidP="00771E1B">
      <w:pPr>
        <w:pStyle w:val="paragraph"/>
        <w:spacing w:before="0" w:beforeAutospacing="0" w:after="0" w:afterAutospacing="0"/>
        <w:jc w:val="center"/>
        <w:textAlignment w:val="baseline"/>
        <w:rPr>
          <w:color w:val="000000"/>
        </w:rPr>
      </w:pPr>
    </w:p>
    <w:p w14:paraId="17D48A07" w14:textId="5DC802F2" w:rsidR="00302432" w:rsidRPr="00694B69" w:rsidRDefault="17EDF1C3" w:rsidP="00ED2E68">
      <w:pPr>
        <w:pStyle w:val="paragraph"/>
        <w:spacing w:before="0" w:beforeAutospacing="0" w:after="0" w:afterAutospacing="0"/>
        <w:jc w:val="center"/>
        <w:textAlignment w:val="baseline"/>
        <w:rPr>
          <w:rStyle w:val="eop"/>
          <w:b/>
          <w:bCs/>
        </w:rPr>
      </w:pPr>
      <w:r w:rsidRPr="00694B69">
        <w:rPr>
          <w:rStyle w:val="eop"/>
          <w:b/>
          <w:bCs/>
          <w:color w:val="000000" w:themeColor="text1"/>
        </w:rPr>
        <w:t xml:space="preserve">Treatment of Foreign Nationals, including Refugees and Asylum-seekers, </w:t>
      </w:r>
      <w:r w:rsidR="000B5FAC" w:rsidRPr="00694B69">
        <w:rPr>
          <w:rStyle w:val="eop"/>
          <w:b/>
          <w:bCs/>
          <w:color w:val="000000" w:themeColor="text1"/>
        </w:rPr>
        <w:t>D</w:t>
      </w:r>
      <w:r w:rsidRPr="00694B69">
        <w:rPr>
          <w:rStyle w:val="eop"/>
          <w:b/>
          <w:bCs/>
          <w:color w:val="000000" w:themeColor="text1"/>
        </w:rPr>
        <w:t xml:space="preserve">isparately </w:t>
      </w:r>
      <w:r w:rsidR="000B5FAC" w:rsidRPr="00694B69">
        <w:rPr>
          <w:rStyle w:val="eop"/>
          <w:b/>
          <w:bCs/>
          <w:color w:val="000000" w:themeColor="text1"/>
        </w:rPr>
        <w:t xml:space="preserve">Impacting </w:t>
      </w:r>
      <w:r w:rsidRPr="00694B69">
        <w:rPr>
          <w:rStyle w:val="eop"/>
          <w:b/>
          <w:bCs/>
          <w:color w:val="000000" w:themeColor="text1"/>
        </w:rPr>
        <w:t xml:space="preserve">Black </w:t>
      </w:r>
      <w:r w:rsidR="000B5FAC" w:rsidRPr="00694B69">
        <w:rPr>
          <w:rStyle w:val="eop"/>
          <w:b/>
          <w:bCs/>
          <w:color w:val="000000" w:themeColor="text1"/>
        </w:rPr>
        <w:t xml:space="preserve">People </w:t>
      </w:r>
      <w:r w:rsidRPr="00694B69">
        <w:rPr>
          <w:rStyle w:val="eop"/>
          <w:b/>
          <w:bCs/>
          <w:color w:val="000000" w:themeColor="text1"/>
        </w:rPr>
        <w:t xml:space="preserve">and other </w:t>
      </w:r>
      <w:r w:rsidR="000B5FAC" w:rsidRPr="00694B69">
        <w:rPr>
          <w:rStyle w:val="eop"/>
          <w:b/>
          <w:bCs/>
          <w:color w:val="000000" w:themeColor="text1"/>
        </w:rPr>
        <w:t xml:space="preserve">Peoples Protected </w:t>
      </w:r>
      <w:r w:rsidRPr="00694B69">
        <w:rPr>
          <w:rStyle w:val="eop"/>
          <w:b/>
          <w:bCs/>
          <w:color w:val="000000" w:themeColor="text1"/>
        </w:rPr>
        <w:t xml:space="preserve">by the Covenant and the Convention </w:t>
      </w:r>
      <w:r w:rsidR="00857625">
        <w:rPr>
          <w:rStyle w:val="eop"/>
          <w:b/>
          <w:bCs/>
          <w:color w:val="000000" w:themeColor="text1"/>
        </w:rPr>
        <w:t>on</w:t>
      </w:r>
      <w:r w:rsidRPr="00694B69">
        <w:rPr>
          <w:rStyle w:val="eop"/>
          <w:b/>
          <w:bCs/>
          <w:color w:val="000000" w:themeColor="text1"/>
        </w:rPr>
        <w:t xml:space="preserve"> the Elimination of All Forms of Racial Discrimination</w:t>
      </w:r>
    </w:p>
    <w:p w14:paraId="79C2D0C8" w14:textId="77777777" w:rsidR="009B3FC3" w:rsidRPr="00966BD1" w:rsidRDefault="009B3FC3" w:rsidP="00302432">
      <w:pPr>
        <w:pStyle w:val="paragraph"/>
        <w:spacing w:before="0" w:beforeAutospacing="0" w:after="0" w:afterAutospacing="0"/>
        <w:textAlignment w:val="baseline"/>
      </w:pPr>
    </w:p>
    <w:p w14:paraId="4FBFE1A5" w14:textId="77777777" w:rsidR="00302432" w:rsidRPr="00966BD1" w:rsidRDefault="00302432" w:rsidP="00302432">
      <w:pPr>
        <w:pStyle w:val="paragraph"/>
        <w:spacing w:before="0" w:beforeAutospacing="0" w:after="0" w:afterAutospacing="0"/>
        <w:jc w:val="center"/>
        <w:textAlignment w:val="baseline"/>
      </w:pPr>
      <w:r w:rsidRPr="00966BD1">
        <w:rPr>
          <w:rStyle w:val="normaltextrun"/>
          <w:b/>
          <w:bCs/>
        </w:rPr>
        <w:t>Submitted By:</w:t>
      </w:r>
    </w:p>
    <w:p w14:paraId="5B40FC61" w14:textId="690C7ADB" w:rsidR="0055776E" w:rsidRDefault="46F8E2AB" w:rsidP="00C22E67">
      <w:pPr>
        <w:pStyle w:val="paragraph"/>
        <w:spacing w:before="0" w:beforeAutospacing="0" w:after="0" w:afterAutospacing="0"/>
        <w:jc w:val="center"/>
        <w:textAlignment w:val="baseline"/>
      </w:pPr>
      <w:r w:rsidRPr="00966BD1">
        <w:rPr>
          <w:rStyle w:val="normaltextrun"/>
        </w:rPr>
        <w:t>Haitian Bridge Alliance, the UndocuBlack Network, Cameroon Advocacy Network, Center for Constitutional Rights, National Immigrant Justice Center, RFK Human Rights,</w:t>
      </w:r>
      <w:r w:rsidR="00391F8A">
        <w:rPr>
          <w:rStyle w:val="normaltextrun"/>
        </w:rPr>
        <w:t xml:space="preserve"> Institute for Justice &amp; Democracy in Haiti,</w:t>
      </w:r>
      <w:r w:rsidRPr="00966BD1">
        <w:rPr>
          <w:rStyle w:val="normaltextrun"/>
        </w:rPr>
        <w:t xml:space="preserve"> and </w:t>
      </w:r>
      <w:r w:rsidR="00391F8A">
        <w:rPr>
          <w:rStyle w:val="normaltextrun"/>
        </w:rPr>
        <w:t xml:space="preserve">the </w:t>
      </w:r>
      <w:r w:rsidRPr="00966BD1">
        <w:rPr>
          <w:rStyle w:val="normaltextrun"/>
        </w:rPr>
        <w:t xml:space="preserve">University of Miami </w:t>
      </w:r>
      <w:r w:rsidR="00DD561A">
        <w:rPr>
          <w:rStyle w:val="normaltextrun"/>
        </w:rPr>
        <w:t xml:space="preserve">School of </w:t>
      </w:r>
      <w:r w:rsidRPr="00966BD1">
        <w:rPr>
          <w:rStyle w:val="normaltextrun"/>
        </w:rPr>
        <w:t xml:space="preserve">Law Human Rights Clinic </w:t>
      </w:r>
    </w:p>
    <w:p w14:paraId="6A9EB009" w14:textId="77777777" w:rsidR="00FA34FC" w:rsidRDefault="00056E41" w:rsidP="00FA34FC">
      <w:pPr>
        <w:pStyle w:val="paragraph"/>
        <w:spacing w:before="0" w:beforeAutospacing="0" w:after="0" w:afterAutospacing="0"/>
        <w:textAlignment w:val="baseline"/>
      </w:pPr>
      <w:r>
        <w:rPr>
          <w:noProof/>
        </w:rPr>
        <w:drawing>
          <wp:inline distT="0" distB="0" distL="0" distR="0" wp14:anchorId="76E6DAD4" wp14:editId="38BCC671">
            <wp:extent cx="1135380" cy="1135380"/>
            <wp:effectExtent l="0" t="0" r="7620" b="7620"/>
            <wp:docPr id="333905328" name="Picture 1" descr="A logo with text an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05328" name="Picture 1" descr="A logo with text and circl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5380" cy="1135380"/>
                    </a:xfrm>
                    <a:prstGeom prst="rect">
                      <a:avLst/>
                    </a:prstGeom>
                    <a:noFill/>
                    <a:ln>
                      <a:noFill/>
                    </a:ln>
                  </pic:spPr>
                </pic:pic>
              </a:graphicData>
            </a:graphic>
          </wp:inline>
        </w:drawing>
      </w:r>
      <w:r w:rsidR="00CD59AA">
        <w:t xml:space="preserve">       </w:t>
      </w:r>
      <w:r>
        <w:rPr>
          <w:noProof/>
        </w:rPr>
        <w:drawing>
          <wp:inline distT="0" distB="0" distL="0" distR="0" wp14:anchorId="154C6124" wp14:editId="002BDE12">
            <wp:extent cx="1066800" cy="1066800"/>
            <wp:effectExtent l="0" t="0" r="0" b="0"/>
            <wp:docPr id="111288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sidR="00CD59AA">
        <w:t xml:space="preserve">     </w:t>
      </w:r>
      <w:r>
        <w:rPr>
          <w:noProof/>
        </w:rPr>
        <w:drawing>
          <wp:inline distT="0" distB="0" distL="0" distR="0" wp14:anchorId="26392A3A" wp14:editId="3F41E156">
            <wp:extent cx="2054788" cy="922020"/>
            <wp:effectExtent l="0" t="0" r="3175" b="0"/>
            <wp:docPr id="12081805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4732" cy="935456"/>
                    </a:xfrm>
                    <a:prstGeom prst="rect">
                      <a:avLst/>
                    </a:prstGeom>
                    <a:noFill/>
                    <a:ln>
                      <a:noFill/>
                    </a:ln>
                  </pic:spPr>
                </pic:pic>
              </a:graphicData>
            </a:graphic>
          </wp:inline>
        </w:drawing>
      </w:r>
      <w:r w:rsidR="003E5DD6">
        <w:rPr>
          <w:noProof/>
        </w:rPr>
        <w:drawing>
          <wp:inline distT="0" distB="0" distL="0" distR="0" wp14:anchorId="483C9F5F" wp14:editId="4D8DDBB4">
            <wp:extent cx="1196340" cy="1196340"/>
            <wp:effectExtent l="0" t="0" r="0" b="0"/>
            <wp:docPr id="1499511862" name="Picture 4" descr="A blue flag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11862" name="Picture 4" descr="A blue flag with black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6340" cy="1196340"/>
                    </a:xfrm>
                    <a:prstGeom prst="rect">
                      <a:avLst/>
                    </a:prstGeom>
                    <a:noFill/>
                    <a:ln>
                      <a:noFill/>
                    </a:ln>
                  </pic:spPr>
                </pic:pic>
              </a:graphicData>
            </a:graphic>
          </wp:inline>
        </w:drawing>
      </w:r>
    </w:p>
    <w:p w14:paraId="3BC93E86" w14:textId="77777777" w:rsidR="00FA34FC" w:rsidRDefault="00FA34FC" w:rsidP="00FA34FC">
      <w:pPr>
        <w:pStyle w:val="paragraph"/>
        <w:spacing w:before="0" w:beforeAutospacing="0" w:after="0" w:afterAutospacing="0"/>
        <w:textAlignment w:val="baseline"/>
      </w:pPr>
    </w:p>
    <w:p w14:paraId="40BA9721" w14:textId="4C1C7AC5" w:rsidR="0055776E" w:rsidRDefault="00405B41" w:rsidP="008A46A7">
      <w:pPr>
        <w:pStyle w:val="paragraph"/>
        <w:spacing w:before="0" w:beforeAutospacing="0" w:after="0" w:afterAutospacing="0"/>
        <w:ind w:left="1440" w:firstLine="60"/>
        <w:textAlignment w:val="baseline"/>
      </w:pPr>
      <w:r>
        <w:rPr>
          <w:noProof/>
        </w:rPr>
        <w:drawing>
          <wp:inline distT="0" distB="0" distL="0" distR="0" wp14:anchorId="2D9C2C69" wp14:editId="7EF2AF74">
            <wp:extent cx="2357730" cy="624840"/>
            <wp:effectExtent l="0" t="0" r="5080" b="3810"/>
            <wp:docPr id="1159974941" name="Picture 9"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74941" name="Picture 9" descr="A black background with a black square&#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4721" cy="629343"/>
                    </a:xfrm>
                    <a:prstGeom prst="rect">
                      <a:avLst/>
                    </a:prstGeom>
                    <a:noFill/>
                    <a:ln>
                      <a:noFill/>
                    </a:ln>
                  </pic:spPr>
                </pic:pic>
              </a:graphicData>
            </a:graphic>
          </wp:inline>
        </w:drawing>
      </w:r>
      <w:r w:rsidR="00512DF1">
        <w:t xml:space="preserve">      </w:t>
      </w:r>
      <w:r w:rsidR="00056E41">
        <w:rPr>
          <w:noProof/>
        </w:rPr>
        <w:drawing>
          <wp:inline distT="0" distB="0" distL="0" distR="0" wp14:anchorId="6B5EEE9B" wp14:editId="353D79C7">
            <wp:extent cx="2004060" cy="805865"/>
            <wp:effectExtent l="0" t="0" r="0" b="0"/>
            <wp:docPr id="1118428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7239" cy="819207"/>
                    </a:xfrm>
                    <a:prstGeom prst="rect">
                      <a:avLst/>
                    </a:prstGeom>
                    <a:noFill/>
                    <a:ln>
                      <a:noFill/>
                    </a:ln>
                  </pic:spPr>
                </pic:pic>
              </a:graphicData>
            </a:graphic>
          </wp:inline>
        </w:drawing>
      </w:r>
      <w:r w:rsidR="008A46A7">
        <w:t xml:space="preserve">         </w:t>
      </w:r>
      <w:r w:rsidR="000B2874">
        <w:rPr>
          <w:noProof/>
        </w:rPr>
        <w:drawing>
          <wp:inline distT="0" distB="0" distL="0" distR="0" wp14:anchorId="4E394FBC" wp14:editId="442CF281">
            <wp:extent cx="2057400" cy="769121"/>
            <wp:effectExtent l="0" t="0" r="0" b="0"/>
            <wp:docPr id="17646931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0367" cy="781445"/>
                    </a:xfrm>
                    <a:prstGeom prst="rect">
                      <a:avLst/>
                    </a:prstGeom>
                    <a:noFill/>
                    <a:ln>
                      <a:noFill/>
                    </a:ln>
                  </pic:spPr>
                </pic:pic>
              </a:graphicData>
            </a:graphic>
          </wp:inline>
        </w:drawing>
      </w:r>
      <w:r w:rsidR="00512DF1">
        <w:t xml:space="preserve">      </w:t>
      </w:r>
      <w:r w:rsidR="000B2874">
        <w:t xml:space="preserve">   </w:t>
      </w:r>
      <w:r w:rsidR="008A46A7">
        <w:t xml:space="preserve">    </w:t>
      </w:r>
      <w:r w:rsidR="000B2874">
        <w:t xml:space="preserve"> </w:t>
      </w:r>
      <w:r>
        <w:t xml:space="preserve">  </w:t>
      </w:r>
      <w:r w:rsidR="00056E41">
        <w:rPr>
          <w:noProof/>
        </w:rPr>
        <w:drawing>
          <wp:inline distT="0" distB="0" distL="0" distR="0" wp14:anchorId="488D27B7" wp14:editId="6E974AFC">
            <wp:extent cx="1221288" cy="685800"/>
            <wp:effectExtent l="0" t="0" r="0" b="0"/>
            <wp:docPr id="4234823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3959" cy="715377"/>
                    </a:xfrm>
                    <a:prstGeom prst="rect">
                      <a:avLst/>
                    </a:prstGeom>
                    <a:noFill/>
                    <a:ln>
                      <a:noFill/>
                    </a:ln>
                  </pic:spPr>
                </pic:pic>
              </a:graphicData>
            </a:graphic>
          </wp:inline>
        </w:drawing>
      </w:r>
    </w:p>
    <w:p w14:paraId="52B81991" w14:textId="77777777" w:rsidR="0055776E" w:rsidRDefault="0055776E" w:rsidP="00302432">
      <w:pPr>
        <w:pStyle w:val="paragraph"/>
        <w:spacing w:before="0" w:beforeAutospacing="0" w:after="0" w:afterAutospacing="0"/>
        <w:textAlignment w:val="baseline"/>
      </w:pPr>
    </w:p>
    <w:p w14:paraId="459E6F44" w14:textId="77777777" w:rsidR="0000799B" w:rsidRDefault="0000799B" w:rsidP="00302432">
      <w:pPr>
        <w:pStyle w:val="paragraph"/>
        <w:spacing w:before="0" w:beforeAutospacing="0" w:after="0" w:afterAutospacing="0"/>
        <w:textAlignment w:val="baseline"/>
      </w:pPr>
    </w:p>
    <w:p w14:paraId="1B390F2E" w14:textId="73172916" w:rsidR="0055776E" w:rsidRPr="00407C51" w:rsidRDefault="00C22E67" w:rsidP="00407C51">
      <w:pPr>
        <w:pStyle w:val="paragraph"/>
        <w:spacing w:before="0" w:beforeAutospacing="0" w:after="0" w:afterAutospacing="0"/>
        <w:jc w:val="center"/>
        <w:textAlignment w:val="baseline"/>
        <w:rPr>
          <w:b/>
          <w:bCs/>
        </w:rPr>
      </w:pPr>
      <w:r w:rsidRPr="00407C51">
        <w:rPr>
          <w:b/>
          <w:bCs/>
        </w:rPr>
        <w:t>Endorsed By:</w:t>
      </w:r>
    </w:p>
    <w:p w14:paraId="0EE650F8" w14:textId="77777777" w:rsidR="0055776E" w:rsidRDefault="0055776E" w:rsidP="00302432">
      <w:pPr>
        <w:pStyle w:val="paragraph"/>
        <w:spacing w:before="0" w:beforeAutospacing="0" w:after="0" w:afterAutospacing="0"/>
        <w:textAlignment w:val="baseline"/>
      </w:pPr>
    </w:p>
    <w:p w14:paraId="4FEFC054" w14:textId="61FD17ED" w:rsidR="0055776E" w:rsidRDefault="00D71688" w:rsidP="00637DEE">
      <w:pPr>
        <w:pStyle w:val="paragraph"/>
        <w:spacing w:before="0" w:beforeAutospacing="0" w:after="0" w:afterAutospacing="0"/>
        <w:jc w:val="center"/>
        <w:textAlignment w:val="baseline"/>
      </w:pPr>
      <w:r>
        <w:t>Global Justice Clinic, New York University School of Law</w:t>
      </w:r>
      <w:r w:rsidR="00637DEE">
        <w:t>*</w:t>
      </w:r>
    </w:p>
    <w:p w14:paraId="4109814C" w14:textId="15EF51F6" w:rsidR="0055776E" w:rsidRPr="00966BD1" w:rsidRDefault="00366B52" w:rsidP="00366B52">
      <w:pPr>
        <w:pStyle w:val="paragraph"/>
        <w:spacing w:before="0" w:beforeAutospacing="0" w:after="0" w:afterAutospacing="0"/>
        <w:jc w:val="center"/>
        <w:textAlignment w:val="baseline"/>
      </w:pPr>
      <w:r>
        <w:t>Center for Gender &amp; Refugee Studies</w:t>
      </w:r>
    </w:p>
    <w:p w14:paraId="3158A495" w14:textId="75510EBF" w:rsidR="00302432" w:rsidRPr="00966BD1" w:rsidRDefault="00302432" w:rsidP="00302432">
      <w:pPr>
        <w:pStyle w:val="paragraph"/>
        <w:spacing w:before="0" w:beforeAutospacing="0" w:after="0" w:afterAutospacing="0"/>
        <w:jc w:val="center"/>
        <w:textAlignment w:val="baseline"/>
      </w:pPr>
    </w:p>
    <w:p w14:paraId="2220F44F" w14:textId="77777777" w:rsidR="00637DEE" w:rsidRDefault="00637DEE" w:rsidP="004B1785">
      <w:pPr>
        <w:tabs>
          <w:tab w:val="left" w:pos="6305"/>
        </w:tabs>
        <w:spacing w:after="160" w:line="259" w:lineRule="auto"/>
        <w:rPr>
          <w:rFonts w:ascii="Times New Roman" w:hAnsi="Times New Roman" w:cs="Times New Roman"/>
          <w:sz w:val="24"/>
          <w:szCs w:val="24"/>
        </w:rPr>
      </w:pPr>
    </w:p>
    <w:p w14:paraId="573634C5" w14:textId="0D8E2B54" w:rsidR="004B1785" w:rsidRDefault="004B1785" w:rsidP="004B1785">
      <w:pPr>
        <w:tabs>
          <w:tab w:val="left" w:pos="6305"/>
        </w:tabs>
        <w:spacing w:after="160" w:line="259" w:lineRule="auto"/>
        <w:rPr>
          <w:rFonts w:ascii="Times New Roman" w:hAnsi="Times New Roman" w:cs="Times New Roman"/>
          <w:sz w:val="24"/>
          <w:szCs w:val="24"/>
        </w:rPr>
      </w:pPr>
      <w:r>
        <w:rPr>
          <w:rFonts w:ascii="Times New Roman" w:hAnsi="Times New Roman" w:cs="Times New Roman"/>
          <w:sz w:val="24"/>
          <w:szCs w:val="24"/>
        </w:rPr>
        <w:tab/>
      </w:r>
    </w:p>
    <w:p w14:paraId="0DE7E9E7" w14:textId="184E71C1" w:rsidR="00C15B48" w:rsidRPr="00EC224D" w:rsidRDefault="00637DEE" w:rsidP="00637DEE">
      <w:pPr>
        <w:tabs>
          <w:tab w:val="left" w:pos="6305"/>
        </w:tabs>
        <w:spacing w:after="160" w:line="259" w:lineRule="auto"/>
        <w:jc w:val="center"/>
        <w:rPr>
          <w:rFonts w:ascii="Times New Roman" w:hAnsi="Times New Roman"/>
          <w:b/>
          <w:sz w:val="24"/>
          <w:szCs w:val="24"/>
        </w:rPr>
      </w:pPr>
      <w:r w:rsidRPr="00EC224D">
        <w:rPr>
          <w:rFonts w:ascii="Times New Roman" w:hAnsi="Times New Roman" w:cs="Times New Roman"/>
          <w:b/>
          <w:bCs/>
          <w:sz w:val="24"/>
          <w:szCs w:val="24"/>
        </w:rPr>
        <w:fldChar w:fldCharType="begin"/>
      </w:r>
      <w:r w:rsidRPr="00EC224D">
        <w:rPr>
          <w:rFonts w:ascii="Times New Roman" w:hAnsi="Times New Roman" w:cs="Times New Roman"/>
          <w:b/>
          <w:bCs/>
          <w:sz w:val="24"/>
          <w:szCs w:val="24"/>
        </w:rPr>
        <w:instrText xml:space="preserve"> DATE \@ "MMMM d, yyyy" </w:instrText>
      </w:r>
      <w:r w:rsidRPr="00EC224D">
        <w:rPr>
          <w:rFonts w:ascii="Times New Roman" w:hAnsi="Times New Roman" w:cs="Times New Roman"/>
          <w:b/>
          <w:bCs/>
          <w:sz w:val="24"/>
          <w:szCs w:val="24"/>
        </w:rPr>
        <w:fldChar w:fldCharType="separate"/>
      </w:r>
      <w:r w:rsidR="00E6635C">
        <w:rPr>
          <w:rFonts w:ascii="Times New Roman" w:hAnsi="Times New Roman" w:cs="Times New Roman"/>
          <w:b/>
          <w:bCs/>
          <w:noProof/>
          <w:sz w:val="24"/>
          <w:szCs w:val="24"/>
        </w:rPr>
        <w:t>September 12, 2023</w:t>
      </w:r>
      <w:r w:rsidRPr="00EC224D">
        <w:rPr>
          <w:rFonts w:ascii="Times New Roman" w:hAnsi="Times New Roman" w:cs="Times New Roman"/>
          <w:b/>
          <w:bCs/>
          <w:sz w:val="24"/>
          <w:szCs w:val="24"/>
        </w:rPr>
        <w:fldChar w:fldCharType="end"/>
      </w:r>
      <w:r w:rsidR="00C15B48" w:rsidRPr="00EC224D">
        <w:rPr>
          <w:rFonts w:ascii="Times New Roman" w:hAnsi="Times New Roman"/>
          <w:b/>
          <w:sz w:val="24"/>
          <w:szCs w:val="24"/>
        </w:rPr>
        <w:br w:type="page"/>
      </w:r>
    </w:p>
    <w:p w14:paraId="3AD761F9" w14:textId="13826EF8" w:rsidR="00BC7761" w:rsidRPr="00966BD1" w:rsidRDefault="00BC7761" w:rsidP="00966BD1">
      <w:pPr>
        <w:pStyle w:val="TOC1"/>
      </w:pPr>
      <w:r w:rsidRPr="00966BD1">
        <w:lastRenderedPageBreak/>
        <w:t>Table of Contents</w:t>
      </w:r>
    </w:p>
    <w:p w14:paraId="7DDC8163" w14:textId="3B5ECA3C" w:rsidR="000451AA" w:rsidRDefault="007A078A">
      <w:pPr>
        <w:pStyle w:val="TOC1"/>
        <w:rPr>
          <w:rFonts w:asciiTheme="minorHAnsi" w:eastAsiaTheme="minorEastAsia" w:hAnsiTheme="minorHAnsi" w:cstheme="minorBidi"/>
          <w:b w:val="0"/>
          <w:noProof/>
          <w:kern w:val="2"/>
          <w:sz w:val="24"/>
          <w:szCs w:val="24"/>
          <w14:ligatures w14:val="standardContextual"/>
        </w:rPr>
      </w:pPr>
      <w:r w:rsidRPr="00966BD1">
        <w:rPr>
          <w:rFonts w:cs="Times New Roman"/>
          <w:sz w:val="24"/>
          <w:szCs w:val="24"/>
        </w:rPr>
        <w:fldChar w:fldCharType="begin"/>
      </w:r>
      <w:r w:rsidR="00565469" w:rsidRPr="00966BD1">
        <w:rPr>
          <w:rFonts w:cs="Times New Roman"/>
          <w:sz w:val="24"/>
          <w:szCs w:val="24"/>
        </w:rPr>
        <w:instrText>TOC \o "1-4" \h \z \u</w:instrText>
      </w:r>
      <w:r w:rsidRPr="00966BD1">
        <w:rPr>
          <w:rFonts w:cs="Times New Roman"/>
          <w:sz w:val="24"/>
          <w:szCs w:val="24"/>
        </w:rPr>
        <w:fldChar w:fldCharType="separate"/>
      </w:r>
      <w:hyperlink w:anchor="_Toc145307859" w:history="1">
        <w:r w:rsidR="000451AA" w:rsidRPr="009E4F0D">
          <w:rPr>
            <w:rStyle w:val="Hyperlink"/>
            <w:noProof/>
          </w:rPr>
          <w:t>I.</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Introduction</w:t>
        </w:r>
        <w:r w:rsidR="000451AA">
          <w:rPr>
            <w:noProof/>
            <w:webHidden/>
          </w:rPr>
          <w:tab/>
        </w:r>
        <w:r w:rsidR="000451AA">
          <w:rPr>
            <w:noProof/>
            <w:webHidden/>
          </w:rPr>
          <w:fldChar w:fldCharType="begin"/>
        </w:r>
        <w:r w:rsidR="000451AA">
          <w:rPr>
            <w:noProof/>
            <w:webHidden/>
          </w:rPr>
          <w:instrText xml:space="preserve"> PAGEREF _Toc145307859 \h </w:instrText>
        </w:r>
        <w:r w:rsidR="000451AA">
          <w:rPr>
            <w:noProof/>
            <w:webHidden/>
          </w:rPr>
        </w:r>
        <w:r w:rsidR="000451AA">
          <w:rPr>
            <w:noProof/>
            <w:webHidden/>
          </w:rPr>
          <w:fldChar w:fldCharType="separate"/>
        </w:r>
        <w:r w:rsidR="00EC090C">
          <w:rPr>
            <w:noProof/>
            <w:webHidden/>
          </w:rPr>
          <w:t>3</w:t>
        </w:r>
        <w:r w:rsidR="000451AA">
          <w:rPr>
            <w:noProof/>
            <w:webHidden/>
          </w:rPr>
          <w:fldChar w:fldCharType="end"/>
        </w:r>
      </w:hyperlink>
    </w:p>
    <w:p w14:paraId="0F5CAA67" w14:textId="7CAFC95A" w:rsidR="000451AA" w:rsidRDefault="00000000">
      <w:pPr>
        <w:pStyle w:val="TOC1"/>
        <w:rPr>
          <w:rFonts w:asciiTheme="minorHAnsi" w:eastAsiaTheme="minorEastAsia" w:hAnsiTheme="minorHAnsi" w:cstheme="minorBidi"/>
          <w:b w:val="0"/>
          <w:noProof/>
          <w:kern w:val="2"/>
          <w:sz w:val="24"/>
          <w:szCs w:val="24"/>
          <w14:ligatures w14:val="standardContextual"/>
        </w:rPr>
      </w:pPr>
      <w:hyperlink w:anchor="_Toc145307860" w:history="1">
        <w:r w:rsidR="000451AA" w:rsidRPr="009E4F0D">
          <w:rPr>
            <w:rStyle w:val="Hyperlink"/>
            <w:noProof/>
          </w:rPr>
          <w:t>II.</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Executive Summary</w:t>
        </w:r>
        <w:r w:rsidR="000451AA">
          <w:rPr>
            <w:noProof/>
            <w:webHidden/>
          </w:rPr>
          <w:tab/>
        </w:r>
        <w:r w:rsidR="000451AA">
          <w:rPr>
            <w:noProof/>
            <w:webHidden/>
          </w:rPr>
          <w:fldChar w:fldCharType="begin"/>
        </w:r>
        <w:r w:rsidR="000451AA">
          <w:rPr>
            <w:noProof/>
            <w:webHidden/>
          </w:rPr>
          <w:instrText xml:space="preserve"> PAGEREF _Toc145307860 \h </w:instrText>
        </w:r>
        <w:r w:rsidR="000451AA">
          <w:rPr>
            <w:noProof/>
            <w:webHidden/>
          </w:rPr>
        </w:r>
        <w:r w:rsidR="000451AA">
          <w:rPr>
            <w:noProof/>
            <w:webHidden/>
          </w:rPr>
          <w:fldChar w:fldCharType="separate"/>
        </w:r>
        <w:r w:rsidR="00EC090C">
          <w:rPr>
            <w:noProof/>
            <w:webHidden/>
          </w:rPr>
          <w:t>3</w:t>
        </w:r>
        <w:r w:rsidR="000451AA">
          <w:rPr>
            <w:noProof/>
            <w:webHidden/>
          </w:rPr>
          <w:fldChar w:fldCharType="end"/>
        </w:r>
      </w:hyperlink>
    </w:p>
    <w:p w14:paraId="7101F992" w14:textId="0597B234" w:rsidR="000451AA" w:rsidRDefault="00000000">
      <w:pPr>
        <w:pStyle w:val="TOC1"/>
        <w:rPr>
          <w:rFonts w:asciiTheme="minorHAnsi" w:eastAsiaTheme="minorEastAsia" w:hAnsiTheme="minorHAnsi" w:cstheme="minorBidi"/>
          <w:b w:val="0"/>
          <w:noProof/>
          <w:kern w:val="2"/>
          <w:sz w:val="24"/>
          <w:szCs w:val="24"/>
          <w14:ligatures w14:val="standardContextual"/>
        </w:rPr>
      </w:pPr>
      <w:hyperlink w:anchor="_Toc145307861" w:history="1">
        <w:r w:rsidR="000451AA" w:rsidRPr="009E4F0D">
          <w:rPr>
            <w:rStyle w:val="Hyperlink"/>
            <w:noProof/>
          </w:rPr>
          <w:t>III.</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Constitutional and legal framework within which the Covenant is implemented (art. 2)</w:t>
        </w:r>
        <w:r w:rsidR="000451AA">
          <w:rPr>
            <w:noProof/>
            <w:webHidden/>
          </w:rPr>
          <w:tab/>
        </w:r>
        <w:r w:rsidR="000451AA">
          <w:rPr>
            <w:noProof/>
            <w:webHidden/>
          </w:rPr>
          <w:fldChar w:fldCharType="begin"/>
        </w:r>
        <w:r w:rsidR="000451AA">
          <w:rPr>
            <w:noProof/>
            <w:webHidden/>
          </w:rPr>
          <w:instrText xml:space="preserve"> PAGEREF _Toc145307861 \h </w:instrText>
        </w:r>
        <w:r w:rsidR="000451AA">
          <w:rPr>
            <w:noProof/>
            <w:webHidden/>
          </w:rPr>
        </w:r>
        <w:r w:rsidR="000451AA">
          <w:rPr>
            <w:noProof/>
            <w:webHidden/>
          </w:rPr>
          <w:fldChar w:fldCharType="separate"/>
        </w:r>
        <w:r w:rsidR="00EC090C">
          <w:rPr>
            <w:noProof/>
            <w:webHidden/>
          </w:rPr>
          <w:t>4</w:t>
        </w:r>
        <w:r w:rsidR="000451AA">
          <w:rPr>
            <w:noProof/>
            <w:webHidden/>
          </w:rPr>
          <w:fldChar w:fldCharType="end"/>
        </w:r>
      </w:hyperlink>
    </w:p>
    <w:p w14:paraId="73D0532B" w14:textId="2D15EC33"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62" w:history="1">
        <w:r w:rsidR="000451AA" w:rsidRPr="009E4F0D">
          <w:rPr>
            <w:rStyle w:val="Hyperlink"/>
            <w:rFonts w:cs="Times New Roman"/>
            <w:noProof/>
          </w:rPr>
          <w:t>A.</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U.S. Constitutional Framework</w:t>
        </w:r>
        <w:r w:rsidR="000451AA">
          <w:rPr>
            <w:noProof/>
            <w:webHidden/>
          </w:rPr>
          <w:tab/>
        </w:r>
        <w:r w:rsidR="000451AA">
          <w:rPr>
            <w:noProof/>
            <w:webHidden/>
          </w:rPr>
          <w:fldChar w:fldCharType="begin"/>
        </w:r>
        <w:r w:rsidR="000451AA">
          <w:rPr>
            <w:noProof/>
            <w:webHidden/>
          </w:rPr>
          <w:instrText xml:space="preserve"> PAGEREF _Toc145307862 \h </w:instrText>
        </w:r>
        <w:r w:rsidR="000451AA">
          <w:rPr>
            <w:noProof/>
            <w:webHidden/>
          </w:rPr>
        </w:r>
        <w:r w:rsidR="000451AA">
          <w:rPr>
            <w:noProof/>
            <w:webHidden/>
          </w:rPr>
          <w:fldChar w:fldCharType="separate"/>
        </w:r>
        <w:r w:rsidR="00EC090C">
          <w:rPr>
            <w:noProof/>
            <w:webHidden/>
          </w:rPr>
          <w:t>5</w:t>
        </w:r>
        <w:r w:rsidR="000451AA">
          <w:rPr>
            <w:noProof/>
            <w:webHidden/>
          </w:rPr>
          <w:fldChar w:fldCharType="end"/>
        </w:r>
      </w:hyperlink>
    </w:p>
    <w:p w14:paraId="1A137FA6" w14:textId="25963B1E"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63" w:history="1">
        <w:r w:rsidR="000451AA" w:rsidRPr="009E4F0D">
          <w:rPr>
            <w:rStyle w:val="Hyperlink"/>
            <w:rFonts w:cs="Times New Roman"/>
            <w:noProof/>
          </w:rPr>
          <w:t>B.</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International Covenant on Civil and Political Rights</w:t>
        </w:r>
        <w:r w:rsidR="000451AA">
          <w:rPr>
            <w:noProof/>
            <w:webHidden/>
          </w:rPr>
          <w:tab/>
        </w:r>
        <w:r w:rsidR="000451AA">
          <w:rPr>
            <w:noProof/>
            <w:webHidden/>
          </w:rPr>
          <w:fldChar w:fldCharType="begin"/>
        </w:r>
        <w:r w:rsidR="000451AA">
          <w:rPr>
            <w:noProof/>
            <w:webHidden/>
          </w:rPr>
          <w:instrText xml:space="preserve"> PAGEREF _Toc145307863 \h </w:instrText>
        </w:r>
        <w:r w:rsidR="000451AA">
          <w:rPr>
            <w:noProof/>
            <w:webHidden/>
          </w:rPr>
        </w:r>
        <w:r w:rsidR="000451AA">
          <w:rPr>
            <w:noProof/>
            <w:webHidden/>
          </w:rPr>
          <w:fldChar w:fldCharType="separate"/>
        </w:r>
        <w:r w:rsidR="00EC090C">
          <w:rPr>
            <w:noProof/>
            <w:webHidden/>
          </w:rPr>
          <w:t>5</w:t>
        </w:r>
        <w:r w:rsidR="000451AA">
          <w:rPr>
            <w:noProof/>
            <w:webHidden/>
          </w:rPr>
          <w:fldChar w:fldCharType="end"/>
        </w:r>
      </w:hyperlink>
    </w:p>
    <w:p w14:paraId="7914D3D9" w14:textId="6FA5AD68"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64" w:history="1">
        <w:r w:rsidR="000451AA" w:rsidRPr="009E4F0D">
          <w:rPr>
            <w:rStyle w:val="Hyperlink"/>
            <w:rFonts w:cs="Times New Roman"/>
            <w:noProof/>
          </w:rPr>
          <w:t>C.</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Other Relevant Treaties</w:t>
        </w:r>
        <w:r w:rsidR="000451AA">
          <w:rPr>
            <w:noProof/>
            <w:webHidden/>
          </w:rPr>
          <w:tab/>
        </w:r>
        <w:r w:rsidR="000451AA">
          <w:rPr>
            <w:noProof/>
            <w:webHidden/>
          </w:rPr>
          <w:fldChar w:fldCharType="begin"/>
        </w:r>
        <w:r w:rsidR="000451AA">
          <w:rPr>
            <w:noProof/>
            <w:webHidden/>
          </w:rPr>
          <w:instrText xml:space="preserve"> PAGEREF _Toc145307864 \h </w:instrText>
        </w:r>
        <w:r w:rsidR="000451AA">
          <w:rPr>
            <w:noProof/>
            <w:webHidden/>
          </w:rPr>
        </w:r>
        <w:r w:rsidR="000451AA">
          <w:rPr>
            <w:noProof/>
            <w:webHidden/>
          </w:rPr>
          <w:fldChar w:fldCharType="separate"/>
        </w:r>
        <w:r w:rsidR="00EC090C">
          <w:rPr>
            <w:noProof/>
            <w:webHidden/>
          </w:rPr>
          <w:t>5</w:t>
        </w:r>
        <w:r w:rsidR="000451AA">
          <w:rPr>
            <w:noProof/>
            <w:webHidden/>
          </w:rPr>
          <w:fldChar w:fldCharType="end"/>
        </w:r>
      </w:hyperlink>
    </w:p>
    <w:p w14:paraId="2F103627" w14:textId="3CEB690A"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65" w:history="1">
        <w:r w:rsidR="000451AA" w:rsidRPr="009E4F0D">
          <w:rPr>
            <w:rStyle w:val="Hyperlink"/>
            <w:rFonts w:cs="Times New Roman"/>
            <w:noProof/>
          </w:rPr>
          <w:t>D.</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U.S. Legislative Branch Laws and Executive Branch Policy under Law</w:t>
        </w:r>
        <w:r w:rsidR="000451AA">
          <w:rPr>
            <w:noProof/>
            <w:webHidden/>
          </w:rPr>
          <w:tab/>
        </w:r>
        <w:r w:rsidR="000451AA">
          <w:rPr>
            <w:noProof/>
            <w:webHidden/>
          </w:rPr>
          <w:fldChar w:fldCharType="begin"/>
        </w:r>
        <w:r w:rsidR="000451AA">
          <w:rPr>
            <w:noProof/>
            <w:webHidden/>
          </w:rPr>
          <w:instrText xml:space="preserve"> PAGEREF _Toc145307865 \h </w:instrText>
        </w:r>
        <w:r w:rsidR="000451AA">
          <w:rPr>
            <w:noProof/>
            <w:webHidden/>
          </w:rPr>
        </w:r>
        <w:r w:rsidR="000451AA">
          <w:rPr>
            <w:noProof/>
            <w:webHidden/>
          </w:rPr>
          <w:fldChar w:fldCharType="separate"/>
        </w:r>
        <w:r w:rsidR="00EC090C">
          <w:rPr>
            <w:noProof/>
            <w:webHidden/>
          </w:rPr>
          <w:t>6</w:t>
        </w:r>
        <w:r w:rsidR="000451AA">
          <w:rPr>
            <w:noProof/>
            <w:webHidden/>
          </w:rPr>
          <w:fldChar w:fldCharType="end"/>
        </w:r>
      </w:hyperlink>
    </w:p>
    <w:p w14:paraId="1BFA35A2" w14:textId="0830A1C8"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66" w:history="1">
        <w:r w:rsidR="000451AA" w:rsidRPr="009E4F0D">
          <w:rPr>
            <w:rStyle w:val="Hyperlink"/>
            <w:rFonts w:cs="Times New Roman"/>
            <w:noProof/>
          </w:rPr>
          <w:t>(1)</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Legislative Branch Laws</w:t>
        </w:r>
        <w:r w:rsidR="000451AA">
          <w:rPr>
            <w:noProof/>
            <w:webHidden/>
          </w:rPr>
          <w:tab/>
        </w:r>
        <w:r w:rsidR="000451AA">
          <w:rPr>
            <w:noProof/>
            <w:webHidden/>
          </w:rPr>
          <w:fldChar w:fldCharType="begin"/>
        </w:r>
        <w:r w:rsidR="000451AA">
          <w:rPr>
            <w:noProof/>
            <w:webHidden/>
          </w:rPr>
          <w:instrText xml:space="preserve"> PAGEREF _Toc145307866 \h </w:instrText>
        </w:r>
        <w:r w:rsidR="000451AA">
          <w:rPr>
            <w:noProof/>
            <w:webHidden/>
          </w:rPr>
        </w:r>
        <w:r w:rsidR="000451AA">
          <w:rPr>
            <w:noProof/>
            <w:webHidden/>
          </w:rPr>
          <w:fldChar w:fldCharType="separate"/>
        </w:r>
        <w:r w:rsidR="00EC090C">
          <w:rPr>
            <w:noProof/>
            <w:webHidden/>
          </w:rPr>
          <w:t>6</w:t>
        </w:r>
        <w:r w:rsidR="000451AA">
          <w:rPr>
            <w:noProof/>
            <w:webHidden/>
          </w:rPr>
          <w:fldChar w:fldCharType="end"/>
        </w:r>
      </w:hyperlink>
    </w:p>
    <w:p w14:paraId="6FE200AD" w14:textId="41BE7F30"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73" w:history="1">
        <w:r w:rsidR="000451AA" w:rsidRPr="009E4F0D">
          <w:rPr>
            <w:rStyle w:val="Hyperlink"/>
            <w:rFonts w:cs="Times New Roman"/>
            <w:noProof/>
          </w:rPr>
          <w:t>(2)</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Executive Branch Policies</w:t>
        </w:r>
        <w:r w:rsidR="000451AA">
          <w:rPr>
            <w:noProof/>
            <w:webHidden/>
          </w:rPr>
          <w:tab/>
        </w:r>
        <w:r w:rsidR="000451AA">
          <w:rPr>
            <w:noProof/>
            <w:webHidden/>
          </w:rPr>
          <w:fldChar w:fldCharType="begin"/>
        </w:r>
        <w:r w:rsidR="000451AA">
          <w:rPr>
            <w:noProof/>
            <w:webHidden/>
          </w:rPr>
          <w:instrText xml:space="preserve"> PAGEREF _Toc145307873 \h </w:instrText>
        </w:r>
        <w:r w:rsidR="000451AA">
          <w:rPr>
            <w:noProof/>
            <w:webHidden/>
          </w:rPr>
        </w:r>
        <w:r w:rsidR="000451AA">
          <w:rPr>
            <w:noProof/>
            <w:webHidden/>
          </w:rPr>
          <w:fldChar w:fldCharType="separate"/>
        </w:r>
        <w:r w:rsidR="00EC090C">
          <w:rPr>
            <w:noProof/>
            <w:webHidden/>
          </w:rPr>
          <w:t>7</w:t>
        </w:r>
        <w:r w:rsidR="000451AA">
          <w:rPr>
            <w:noProof/>
            <w:webHidden/>
          </w:rPr>
          <w:fldChar w:fldCharType="end"/>
        </w:r>
      </w:hyperlink>
    </w:p>
    <w:p w14:paraId="230C3D35" w14:textId="70BA6FEA" w:rsidR="000451AA" w:rsidRDefault="00000000">
      <w:pPr>
        <w:pStyle w:val="TOC1"/>
        <w:rPr>
          <w:rFonts w:asciiTheme="minorHAnsi" w:eastAsiaTheme="minorEastAsia" w:hAnsiTheme="minorHAnsi" w:cstheme="minorBidi"/>
          <w:b w:val="0"/>
          <w:noProof/>
          <w:kern w:val="2"/>
          <w:sz w:val="24"/>
          <w:szCs w:val="24"/>
          <w14:ligatures w14:val="standardContextual"/>
        </w:rPr>
      </w:pPr>
      <w:hyperlink w:anchor="_Toc145307881" w:history="1">
        <w:r w:rsidR="000451AA" w:rsidRPr="009E4F0D">
          <w:rPr>
            <w:rStyle w:val="Hyperlink"/>
            <w:noProof/>
          </w:rPr>
          <w:t>IV.</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Current and ongoing treatment of foreign nationals, including refugees and asylum seekers, disparately impacting Black people and other people protected by ICERD (arts. 2, 9, 10, 13, 14, 17, 23, 24 and 26)</w:t>
        </w:r>
        <w:r w:rsidR="000451AA">
          <w:rPr>
            <w:noProof/>
            <w:webHidden/>
          </w:rPr>
          <w:tab/>
        </w:r>
        <w:r w:rsidR="000451AA">
          <w:rPr>
            <w:noProof/>
            <w:webHidden/>
          </w:rPr>
          <w:fldChar w:fldCharType="begin"/>
        </w:r>
        <w:r w:rsidR="000451AA">
          <w:rPr>
            <w:noProof/>
            <w:webHidden/>
          </w:rPr>
          <w:instrText xml:space="preserve"> PAGEREF _Toc145307881 \h </w:instrText>
        </w:r>
        <w:r w:rsidR="000451AA">
          <w:rPr>
            <w:noProof/>
            <w:webHidden/>
          </w:rPr>
        </w:r>
        <w:r w:rsidR="000451AA">
          <w:rPr>
            <w:noProof/>
            <w:webHidden/>
          </w:rPr>
          <w:fldChar w:fldCharType="separate"/>
        </w:r>
        <w:r w:rsidR="00EC090C">
          <w:rPr>
            <w:noProof/>
            <w:webHidden/>
          </w:rPr>
          <w:t>11</w:t>
        </w:r>
        <w:r w:rsidR="000451AA">
          <w:rPr>
            <w:noProof/>
            <w:webHidden/>
          </w:rPr>
          <w:fldChar w:fldCharType="end"/>
        </w:r>
      </w:hyperlink>
    </w:p>
    <w:p w14:paraId="2794E722" w14:textId="16035654"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82" w:history="1">
        <w:r w:rsidR="000451AA" w:rsidRPr="009E4F0D">
          <w:rPr>
            <w:rStyle w:val="Hyperlink"/>
            <w:rFonts w:cs="Times New Roman"/>
            <w:noProof/>
          </w:rPr>
          <w:t>A.</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Intentional violations of non-refoulement through maritime interdictions, pushbacks, and deportations</w:t>
        </w:r>
        <w:r w:rsidR="000451AA">
          <w:rPr>
            <w:noProof/>
            <w:webHidden/>
          </w:rPr>
          <w:tab/>
        </w:r>
        <w:r w:rsidR="000451AA">
          <w:rPr>
            <w:noProof/>
            <w:webHidden/>
          </w:rPr>
          <w:fldChar w:fldCharType="begin"/>
        </w:r>
        <w:r w:rsidR="000451AA">
          <w:rPr>
            <w:noProof/>
            <w:webHidden/>
          </w:rPr>
          <w:instrText xml:space="preserve"> PAGEREF _Toc145307882 \h </w:instrText>
        </w:r>
        <w:r w:rsidR="000451AA">
          <w:rPr>
            <w:noProof/>
            <w:webHidden/>
          </w:rPr>
        </w:r>
        <w:r w:rsidR="000451AA">
          <w:rPr>
            <w:noProof/>
            <w:webHidden/>
          </w:rPr>
          <w:fldChar w:fldCharType="separate"/>
        </w:r>
        <w:r w:rsidR="00EC090C">
          <w:rPr>
            <w:noProof/>
            <w:webHidden/>
          </w:rPr>
          <w:t>11</w:t>
        </w:r>
        <w:r w:rsidR="000451AA">
          <w:rPr>
            <w:noProof/>
            <w:webHidden/>
          </w:rPr>
          <w:fldChar w:fldCharType="end"/>
        </w:r>
      </w:hyperlink>
    </w:p>
    <w:p w14:paraId="1673C4C4" w14:textId="1FE16F97"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83" w:history="1">
        <w:r w:rsidR="000451AA" w:rsidRPr="009E4F0D">
          <w:rPr>
            <w:rStyle w:val="Hyperlink"/>
            <w:rFonts w:cs="Times New Roman"/>
            <w:noProof/>
          </w:rPr>
          <w:t>(1)</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Ongoing maritime interdictions of Haitians</w:t>
        </w:r>
        <w:r w:rsidR="000451AA">
          <w:rPr>
            <w:noProof/>
            <w:webHidden/>
          </w:rPr>
          <w:tab/>
        </w:r>
        <w:r w:rsidR="000451AA">
          <w:rPr>
            <w:noProof/>
            <w:webHidden/>
          </w:rPr>
          <w:fldChar w:fldCharType="begin"/>
        </w:r>
        <w:r w:rsidR="000451AA">
          <w:rPr>
            <w:noProof/>
            <w:webHidden/>
          </w:rPr>
          <w:instrText xml:space="preserve"> PAGEREF _Toc145307883 \h </w:instrText>
        </w:r>
        <w:r w:rsidR="000451AA">
          <w:rPr>
            <w:noProof/>
            <w:webHidden/>
          </w:rPr>
        </w:r>
        <w:r w:rsidR="000451AA">
          <w:rPr>
            <w:noProof/>
            <w:webHidden/>
          </w:rPr>
          <w:fldChar w:fldCharType="separate"/>
        </w:r>
        <w:r w:rsidR="00EC090C">
          <w:rPr>
            <w:noProof/>
            <w:webHidden/>
          </w:rPr>
          <w:t>11</w:t>
        </w:r>
        <w:r w:rsidR="000451AA">
          <w:rPr>
            <w:noProof/>
            <w:webHidden/>
          </w:rPr>
          <w:fldChar w:fldCharType="end"/>
        </w:r>
      </w:hyperlink>
    </w:p>
    <w:p w14:paraId="72505CA1" w14:textId="00D27198"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84" w:history="1">
        <w:r w:rsidR="000451AA" w:rsidRPr="009E4F0D">
          <w:rPr>
            <w:rStyle w:val="Hyperlink"/>
            <w:rFonts w:cs="Times New Roman"/>
            <w:noProof/>
          </w:rPr>
          <w:t>(2)</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Ongoing Pushbacks at the U.S.’s land border with Mexico</w:t>
        </w:r>
        <w:r w:rsidR="000451AA">
          <w:rPr>
            <w:noProof/>
            <w:webHidden/>
          </w:rPr>
          <w:tab/>
        </w:r>
        <w:r w:rsidR="000451AA">
          <w:rPr>
            <w:noProof/>
            <w:webHidden/>
          </w:rPr>
          <w:fldChar w:fldCharType="begin"/>
        </w:r>
        <w:r w:rsidR="000451AA">
          <w:rPr>
            <w:noProof/>
            <w:webHidden/>
          </w:rPr>
          <w:instrText xml:space="preserve"> PAGEREF _Toc145307884 \h </w:instrText>
        </w:r>
        <w:r w:rsidR="000451AA">
          <w:rPr>
            <w:noProof/>
            <w:webHidden/>
          </w:rPr>
        </w:r>
        <w:r w:rsidR="000451AA">
          <w:rPr>
            <w:noProof/>
            <w:webHidden/>
          </w:rPr>
          <w:fldChar w:fldCharType="separate"/>
        </w:r>
        <w:r w:rsidR="00EC090C">
          <w:rPr>
            <w:noProof/>
            <w:webHidden/>
          </w:rPr>
          <w:t>12</w:t>
        </w:r>
        <w:r w:rsidR="000451AA">
          <w:rPr>
            <w:noProof/>
            <w:webHidden/>
          </w:rPr>
          <w:fldChar w:fldCharType="end"/>
        </w:r>
      </w:hyperlink>
    </w:p>
    <w:p w14:paraId="0FFE8CFE" w14:textId="0BA0B6EB"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85" w:history="1">
        <w:r w:rsidR="000451AA" w:rsidRPr="009E4F0D">
          <w:rPr>
            <w:rStyle w:val="Hyperlink"/>
            <w:rFonts w:cs="Times New Roman"/>
            <w:noProof/>
          </w:rPr>
          <w:t>(3)</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Ongoing Deportations to Haiti</w:t>
        </w:r>
        <w:r w:rsidR="000451AA" w:rsidRPr="009E4F0D">
          <w:rPr>
            <w:rStyle w:val="Hyperlink"/>
            <w:rFonts w:cs="Times New Roman"/>
            <w:i/>
            <w:iCs/>
            <w:noProof/>
          </w:rPr>
          <w:t xml:space="preserve">, </w:t>
        </w:r>
        <w:r w:rsidR="000451AA" w:rsidRPr="009E4F0D">
          <w:rPr>
            <w:rStyle w:val="Hyperlink"/>
            <w:rFonts w:cs="Times New Roman"/>
            <w:noProof/>
          </w:rPr>
          <w:t>Cameroon and other African and Black-majority States in violation of non-refoulement</w:t>
        </w:r>
        <w:r w:rsidR="000451AA">
          <w:rPr>
            <w:noProof/>
            <w:webHidden/>
          </w:rPr>
          <w:tab/>
        </w:r>
        <w:r w:rsidR="000451AA">
          <w:rPr>
            <w:noProof/>
            <w:webHidden/>
          </w:rPr>
          <w:fldChar w:fldCharType="begin"/>
        </w:r>
        <w:r w:rsidR="000451AA">
          <w:rPr>
            <w:noProof/>
            <w:webHidden/>
          </w:rPr>
          <w:instrText xml:space="preserve"> PAGEREF _Toc145307885 \h </w:instrText>
        </w:r>
        <w:r w:rsidR="000451AA">
          <w:rPr>
            <w:noProof/>
            <w:webHidden/>
          </w:rPr>
        </w:r>
        <w:r w:rsidR="000451AA">
          <w:rPr>
            <w:noProof/>
            <w:webHidden/>
          </w:rPr>
          <w:fldChar w:fldCharType="separate"/>
        </w:r>
        <w:r w:rsidR="00EC090C">
          <w:rPr>
            <w:noProof/>
            <w:webHidden/>
          </w:rPr>
          <w:t>13</w:t>
        </w:r>
        <w:r w:rsidR="000451AA">
          <w:rPr>
            <w:noProof/>
            <w:webHidden/>
          </w:rPr>
          <w:fldChar w:fldCharType="end"/>
        </w:r>
      </w:hyperlink>
    </w:p>
    <w:p w14:paraId="3373B388" w14:textId="2D2148F0"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86" w:history="1">
        <w:r w:rsidR="000451AA" w:rsidRPr="009E4F0D">
          <w:rPr>
            <w:rStyle w:val="Hyperlink"/>
            <w:rFonts w:cs="Times New Roman"/>
            <w:noProof/>
          </w:rPr>
          <w:t>B.</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Mass detention for civil immigrations proceedings and conditions of detention that violate the Covenant.</w:t>
        </w:r>
        <w:r w:rsidR="000451AA">
          <w:rPr>
            <w:noProof/>
            <w:webHidden/>
          </w:rPr>
          <w:tab/>
        </w:r>
        <w:r w:rsidR="000451AA">
          <w:rPr>
            <w:noProof/>
            <w:webHidden/>
          </w:rPr>
          <w:fldChar w:fldCharType="begin"/>
        </w:r>
        <w:r w:rsidR="000451AA">
          <w:rPr>
            <w:noProof/>
            <w:webHidden/>
          </w:rPr>
          <w:instrText xml:space="preserve"> PAGEREF _Toc145307886 \h </w:instrText>
        </w:r>
        <w:r w:rsidR="000451AA">
          <w:rPr>
            <w:noProof/>
            <w:webHidden/>
          </w:rPr>
        </w:r>
        <w:r w:rsidR="000451AA">
          <w:rPr>
            <w:noProof/>
            <w:webHidden/>
          </w:rPr>
          <w:fldChar w:fldCharType="separate"/>
        </w:r>
        <w:r w:rsidR="00EC090C">
          <w:rPr>
            <w:noProof/>
            <w:webHidden/>
          </w:rPr>
          <w:t>14</w:t>
        </w:r>
        <w:r w:rsidR="000451AA">
          <w:rPr>
            <w:noProof/>
            <w:webHidden/>
          </w:rPr>
          <w:fldChar w:fldCharType="end"/>
        </w:r>
      </w:hyperlink>
    </w:p>
    <w:p w14:paraId="78BB3847" w14:textId="6FF8F2BD"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87" w:history="1">
        <w:r w:rsidR="000451AA" w:rsidRPr="009E4F0D">
          <w:rPr>
            <w:rStyle w:val="Hyperlink"/>
            <w:rFonts w:cs="Times New Roman"/>
            <w:noProof/>
          </w:rPr>
          <w:t>C.</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Externalization of U.S. border control throughout the Americas, subjecting foreign nationals in extraterritorial settings to ongoing violations of the Covenant.</w:t>
        </w:r>
        <w:r w:rsidR="000451AA">
          <w:rPr>
            <w:noProof/>
            <w:webHidden/>
          </w:rPr>
          <w:tab/>
        </w:r>
        <w:r w:rsidR="000451AA">
          <w:rPr>
            <w:noProof/>
            <w:webHidden/>
          </w:rPr>
          <w:fldChar w:fldCharType="begin"/>
        </w:r>
        <w:r w:rsidR="000451AA">
          <w:rPr>
            <w:noProof/>
            <w:webHidden/>
          </w:rPr>
          <w:instrText xml:space="preserve"> PAGEREF _Toc145307887 \h </w:instrText>
        </w:r>
        <w:r w:rsidR="000451AA">
          <w:rPr>
            <w:noProof/>
            <w:webHidden/>
          </w:rPr>
        </w:r>
        <w:r w:rsidR="000451AA">
          <w:rPr>
            <w:noProof/>
            <w:webHidden/>
          </w:rPr>
          <w:fldChar w:fldCharType="separate"/>
        </w:r>
        <w:r w:rsidR="00EC090C">
          <w:rPr>
            <w:noProof/>
            <w:webHidden/>
          </w:rPr>
          <w:t>16</w:t>
        </w:r>
        <w:r w:rsidR="000451AA">
          <w:rPr>
            <w:noProof/>
            <w:webHidden/>
          </w:rPr>
          <w:fldChar w:fldCharType="end"/>
        </w:r>
      </w:hyperlink>
    </w:p>
    <w:p w14:paraId="416AEDC2" w14:textId="5E4EBE1A"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88" w:history="1">
        <w:r w:rsidR="000451AA" w:rsidRPr="009E4F0D">
          <w:rPr>
            <w:rStyle w:val="Hyperlink"/>
            <w:rFonts w:cs="Times New Roman"/>
            <w:noProof/>
          </w:rPr>
          <w:t>(1)</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Along the U.S.-Mexico Border: Effects of U.S partnerships and agreements with Mexico and ongoing violations of the Covenant</w:t>
        </w:r>
        <w:r w:rsidR="000451AA">
          <w:rPr>
            <w:noProof/>
            <w:webHidden/>
          </w:rPr>
          <w:tab/>
        </w:r>
        <w:r w:rsidR="000451AA">
          <w:rPr>
            <w:noProof/>
            <w:webHidden/>
          </w:rPr>
          <w:fldChar w:fldCharType="begin"/>
        </w:r>
        <w:r w:rsidR="000451AA">
          <w:rPr>
            <w:noProof/>
            <w:webHidden/>
          </w:rPr>
          <w:instrText xml:space="preserve"> PAGEREF _Toc145307888 \h </w:instrText>
        </w:r>
        <w:r w:rsidR="000451AA">
          <w:rPr>
            <w:noProof/>
            <w:webHidden/>
          </w:rPr>
        </w:r>
        <w:r w:rsidR="000451AA">
          <w:rPr>
            <w:noProof/>
            <w:webHidden/>
          </w:rPr>
          <w:fldChar w:fldCharType="separate"/>
        </w:r>
        <w:r w:rsidR="00EC090C">
          <w:rPr>
            <w:noProof/>
            <w:webHidden/>
          </w:rPr>
          <w:t>16</w:t>
        </w:r>
        <w:r w:rsidR="000451AA">
          <w:rPr>
            <w:noProof/>
            <w:webHidden/>
          </w:rPr>
          <w:fldChar w:fldCharType="end"/>
        </w:r>
      </w:hyperlink>
    </w:p>
    <w:p w14:paraId="3E300FF5" w14:textId="5BFC7A90" w:rsidR="000451AA" w:rsidRDefault="00000000">
      <w:pPr>
        <w:pStyle w:val="TOC3"/>
        <w:rPr>
          <w:rFonts w:asciiTheme="minorHAnsi" w:eastAsiaTheme="minorEastAsia" w:hAnsiTheme="minorHAnsi" w:cstheme="minorBidi"/>
          <w:noProof/>
          <w:kern w:val="2"/>
          <w:sz w:val="24"/>
          <w:szCs w:val="24"/>
          <w:u w:val="none"/>
          <w14:ligatures w14:val="standardContextual"/>
        </w:rPr>
      </w:pPr>
      <w:hyperlink w:anchor="_Toc145307889" w:history="1">
        <w:r w:rsidR="000451AA" w:rsidRPr="009E4F0D">
          <w:rPr>
            <w:rStyle w:val="Hyperlink"/>
            <w:rFonts w:cs="Times New Roman"/>
            <w:noProof/>
          </w:rPr>
          <w:t>(2)</w:t>
        </w:r>
        <w:r w:rsidR="000451AA">
          <w:rPr>
            <w:rFonts w:asciiTheme="minorHAnsi" w:eastAsiaTheme="minorEastAsia" w:hAnsiTheme="minorHAnsi" w:cstheme="minorBidi"/>
            <w:noProof/>
            <w:kern w:val="2"/>
            <w:sz w:val="24"/>
            <w:szCs w:val="24"/>
            <w:u w:val="none"/>
            <w14:ligatures w14:val="standardContextual"/>
          </w:rPr>
          <w:tab/>
        </w:r>
        <w:r w:rsidR="000451AA" w:rsidRPr="009E4F0D">
          <w:rPr>
            <w:rStyle w:val="Hyperlink"/>
            <w:rFonts w:cs="Times New Roman"/>
            <w:noProof/>
          </w:rPr>
          <w:t xml:space="preserve">The </w:t>
        </w:r>
        <w:r w:rsidR="006B4347">
          <w:rPr>
            <w:rStyle w:val="Hyperlink"/>
            <w:rFonts w:cs="Times New Roman"/>
            <w:noProof/>
          </w:rPr>
          <w:t>Darién</w:t>
        </w:r>
        <w:r w:rsidR="000451AA" w:rsidRPr="009E4F0D">
          <w:rPr>
            <w:rStyle w:val="Hyperlink"/>
            <w:rFonts w:cs="Times New Roman"/>
            <w:noProof/>
          </w:rPr>
          <w:t xml:space="preserve"> Gap: Effects of U.S. agreements and partnerships in Panama and ongoing violations of the Covenant</w:t>
        </w:r>
        <w:r w:rsidR="000451AA">
          <w:rPr>
            <w:noProof/>
            <w:webHidden/>
          </w:rPr>
          <w:tab/>
        </w:r>
        <w:r w:rsidR="000451AA">
          <w:rPr>
            <w:noProof/>
            <w:webHidden/>
          </w:rPr>
          <w:fldChar w:fldCharType="begin"/>
        </w:r>
        <w:r w:rsidR="000451AA">
          <w:rPr>
            <w:noProof/>
            <w:webHidden/>
          </w:rPr>
          <w:instrText xml:space="preserve"> PAGEREF _Toc145307889 \h </w:instrText>
        </w:r>
        <w:r w:rsidR="000451AA">
          <w:rPr>
            <w:noProof/>
            <w:webHidden/>
          </w:rPr>
        </w:r>
        <w:r w:rsidR="000451AA">
          <w:rPr>
            <w:noProof/>
            <w:webHidden/>
          </w:rPr>
          <w:fldChar w:fldCharType="separate"/>
        </w:r>
        <w:r w:rsidR="00EC090C">
          <w:rPr>
            <w:noProof/>
            <w:webHidden/>
          </w:rPr>
          <w:t>17</w:t>
        </w:r>
        <w:r w:rsidR="000451AA">
          <w:rPr>
            <w:noProof/>
            <w:webHidden/>
          </w:rPr>
          <w:fldChar w:fldCharType="end"/>
        </w:r>
      </w:hyperlink>
    </w:p>
    <w:p w14:paraId="54E0F3BB" w14:textId="38DA4278" w:rsidR="000451AA" w:rsidRDefault="00000000">
      <w:pPr>
        <w:pStyle w:val="TOC1"/>
        <w:rPr>
          <w:rFonts w:asciiTheme="minorHAnsi" w:eastAsiaTheme="minorEastAsia" w:hAnsiTheme="minorHAnsi" w:cstheme="minorBidi"/>
          <w:b w:val="0"/>
          <w:noProof/>
          <w:kern w:val="2"/>
          <w:sz w:val="24"/>
          <w:szCs w:val="24"/>
          <w14:ligatures w14:val="standardContextual"/>
        </w:rPr>
      </w:pPr>
      <w:hyperlink w:anchor="_Toc145307890" w:history="1">
        <w:r w:rsidR="000451AA" w:rsidRPr="009E4F0D">
          <w:rPr>
            <w:rStyle w:val="Hyperlink"/>
            <w:noProof/>
          </w:rPr>
          <w:t>V.</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Foreign nationals subject to violations through the U.S. Prevention through Deterrence policies and practices do not have the right to an effective legal remedy as guaranteed under the Covenant.</w:t>
        </w:r>
        <w:r w:rsidR="000451AA">
          <w:rPr>
            <w:noProof/>
            <w:webHidden/>
          </w:rPr>
          <w:tab/>
        </w:r>
        <w:r w:rsidR="000451AA">
          <w:rPr>
            <w:noProof/>
            <w:webHidden/>
          </w:rPr>
          <w:fldChar w:fldCharType="begin"/>
        </w:r>
        <w:r w:rsidR="000451AA">
          <w:rPr>
            <w:noProof/>
            <w:webHidden/>
          </w:rPr>
          <w:instrText xml:space="preserve"> PAGEREF _Toc145307890 \h </w:instrText>
        </w:r>
        <w:r w:rsidR="000451AA">
          <w:rPr>
            <w:noProof/>
            <w:webHidden/>
          </w:rPr>
        </w:r>
        <w:r w:rsidR="000451AA">
          <w:rPr>
            <w:noProof/>
            <w:webHidden/>
          </w:rPr>
          <w:fldChar w:fldCharType="separate"/>
        </w:r>
        <w:r w:rsidR="00EC090C">
          <w:rPr>
            <w:noProof/>
            <w:webHidden/>
          </w:rPr>
          <w:t>18</w:t>
        </w:r>
        <w:r w:rsidR="000451AA">
          <w:rPr>
            <w:noProof/>
            <w:webHidden/>
          </w:rPr>
          <w:fldChar w:fldCharType="end"/>
        </w:r>
      </w:hyperlink>
    </w:p>
    <w:p w14:paraId="54F342F2" w14:textId="0C432FCB"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91" w:history="1">
        <w:r w:rsidR="000451AA" w:rsidRPr="009E4F0D">
          <w:rPr>
            <w:rStyle w:val="Hyperlink"/>
            <w:rFonts w:cs="Times New Roman"/>
            <w:noProof/>
          </w:rPr>
          <w:t>A.</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Access to justice for violation of prohibition against refoulement and harms occurring outside of State’s territory.</w:t>
        </w:r>
        <w:r w:rsidR="000451AA">
          <w:rPr>
            <w:noProof/>
            <w:webHidden/>
          </w:rPr>
          <w:tab/>
        </w:r>
        <w:r w:rsidR="000451AA">
          <w:rPr>
            <w:noProof/>
            <w:webHidden/>
          </w:rPr>
          <w:fldChar w:fldCharType="begin"/>
        </w:r>
        <w:r w:rsidR="000451AA">
          <w:rPr>
            <w:noProof/>
            <w:webHidden/>
          </w:rPr>
          <w:instrText xml:space="preserve"> PAGEREF _Toc145307891 \h </w:instrText>
        </w:r>
        <w:r w:rsidR="000451AA">
          <w:rPr>
            <w:noProof/>
            <w:webHidden/>
          </w:rPr>
        </w:r>
        <w:r w:rsidR="000451AA">
          <w:rPr>
            <w:noProof/>
            <w:webHidden/>
          </w:rPr>
          <w:fldChar w:fldCharType="separate"/>
        </w:r>
        <w:r w:rsidR="00EC090C">
          <w:rPr>
            <w:noProof/>
            <w:webHidden/>
          </w:rPr>
          <w:t>18</w:t>
        </w:r>
        <w:r w:rsidR="000451AA">
          <w:rPr>
            <w:noProof/>
            <w:webHidden/>
          </w:rPr>
          <w:fldChar w:fldCharType="end"/>
        </w:r>
      </w:hyperlink>
    </w:p>
    <w:p w14:paraId="135C1AFA" w14:textId="2D7BB2FB"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92" w:history="1">
        <w:r w:rsidR="000451AA" w:rsidRPr="009E4F0D">
          <w:rPr>
            <w:rStyle w:val="Hyperlink"/>
            <w:rFonts w:cs="Times New Roman"/>
            <w:noProof/>
          </w:rPr>
          <w:t>B.</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Access to judicial remedies for arbitrary detention and harms suffered</w:t>
        </w:r>
        <w:r w:rsidR="000451AA">
          <w:rPr>
            <w:noProof/>
            <w:webHidden/>
          </w:rPr>
          <w:tab/>
        </w:r>
        <w:r w:rsidR="000451AA">
          <w:rPr>
            <w:noProof/>
            <w:webHidden/>
          </w:rPr>
          <w:fldChar w:fldCharType="begin"/>
        </w:r>
        <w:r w:rsidR="000451AA">
          <w:rPr>
            <w:noProof/>
            <w:webHidden/>
          </w:rPr>
          <w:instrText xml:space="preserve"> PAGEREF _Toc145307892 \h </w:instrText>
        </w:r>
        <w:r w:rsidR="000451AA">
          <w:rPr>
            <w:noProof/>
            <w:webHidden/>
          </w:rPr>
        </w:r>
        <w:r w:rsidR="000451AA">
          <w:rPr>
            <w:noProof/>
            <w:webHidden/>
          </w:rPr>
          <w:fldChar w:fldCharType="separate"/>
        </w:r>
        <w:r w:rsidR="00EC090C">
          <w:rPr>
            <w:noProof/>
            <w:webHidden/>
          </w:rPr>
          <w:t>19</w:t>
        </w:r>
        <w:r w:rsidR="000451AA">
          <w:rPr>
            <w:noProof/>
            <w:webHidden/>
          </w:rPr>
          <w:fldChar w:fldCharType="end"/>
        </w:r>
      </w:hyperlink>
    </w:p>
    <w:p w14:paraId="4F83B339" w14:textId="4FDDBD21" w:rsidR="000451AA" w:rsidRDefault="00000000">
      <w:pPr>
        <w:pStyle w:val="TOC2"/>
        <w:rPr>
          <w:rFonts w:asciiTheme="minorHAnsi" w:eastAsiaTheme="minorEastAsia" w:hAnsiTheme="minorHAnsi" w:cstheme="minorBidi"/>
          <w:b w:val="0"/>
          <w:noProof/>
          <w:kern w:val="2"/>
          <w:sz w:val="24"/>
          <w:szCs w:val="24"/>
          <w14:ligatures w14:val="standardContextual"/>
        </w:rPr>
      </w:pPr>
      <w:hyperlink w:anchor="_Toc145307893" w:history="1">
        <w:r w:rsidR="000451AA" w:rsidRPr="009E4F0D">
          <w:rPr>
            <w:rStyle w:val="Hyperlink"/>
            <w:rFonts w:cs="Times New Roman"/>
            <w:noProof/>
          </w:rPr>
          <w:t>C.</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rFonts w:cs="Times New Roman"/>
            <w:noProof/>
          </w:rPr>
          <w:t>Access to judicial remedies for racial discrimination based on disparate impact</w:t>
        </w:r>
        <w:r w:rsidR="000451AA">
          <w:rPr>
            <w:noProof/>
            <w:webHidden/>
          </w:rPr>
          <w:tab/>
        </w:r>
        <w:r w:rsidR="000451AA">
          <w:rPr>
            <w:noProof/>
            <w:webHidden/>
          </w:rPr>
          <w:fldChar w:fldCharType="begin"/>
        </w:r>
        <w:r w:rsidR="000451AA">
          <w:rPr>
            <w:noProof/>
            <w:webHidden/>
          </w:rPr>
          <w:instrText xml:space="preserve"> PAGEREF _Toc145307893 \h </w:instrText>
        </w:r>
        <w:r w:rsidR="000451AA">
          <w:rPr>
            <w:noProof/>
            <w:webHidden/>
          </w:rPr>
        </w:r>
        <w:r w:rsidR="000451AA">
          <w:rPr>
            <w:noProof/>
            <w:webHidden/>
          </w:rPr>
          <w:fldChar w:fldCharType="separate"/>
        </w:r>
        <w:r w:rsidR="00EC090C">
          <w:rPr>
            <w:noProof/>
            <w:webHidden/>
          </w:rPr>
          <w:t>20</w:t>
        </w:r>
        <w:r w:rsidR="000451AA">
          <w:rPr>
            <w:noProof/>
            <w:webHidden/>
          </w:rPr>
          <w:fldChar w:fldCharType="end"/>
        </w:r>
      </w:hyperlink>
    </w:p>
    <w:p w14:paraId="0A7F79B6" w14:textId="00A4437C" w:rsidR="000451AA" w:rsidRDefault="00000000">
      <w:pPr>
        <w:pStyle w:val="TOC1"/>
        <w:rPr>
          <w:rFonts w:asciiTheme="minorHAnsi" w:eastAsiaTheme="minorEastAsia" w:hAnsiTheme="minorHAnsi" w:cstheme="minorBidi"/>
          <w:b w:val="0"/>
          <w:noProof/>
          <w:kern w:val="2"/>
          <w:sz w:val="24"/>
          <w:szCs w:val="24"/>
          <w14:ligatures w14:val="standardContextual"/>
        </w:rPr>
      </w:pPr>
      <w:hyperlink w:anchor="_Toc145307894" w:history="1">
        <w:r w:rsidR="000451AA" w:rsidRPr="009E4F0D">
          <w:rPr>
            <w:rStyle w:val="Hyperlink"/>
            <w:noProof/>
          </w:rPr>
          <w:t>VI.</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The lack of global reparatory justice for slavery, colonialism, and neo-colonial imperialism and ongoing violations against the right to self-determination, such as the U.S. with Haiti, are root causes of the transnational migration and forced displacemet of Black people.</w:t>
        </w:r>
        <w:r w:rsidR="000451AA">
          <w:rPr>
            <w:noProof/>
            <w:webHidden/>
          </w:rPr>
          <w:tab/>
        </w:r>
        <w:r w:rsidR="000451AA">
          <w:rPr>
            <w:noProof/>
            <w:webHidden/>
          </w:rPr>
          <w:fldChar w:fldCharType="begin"/>
        </w:r>
        <w:r w:rsidR="000451AA">
          <w:rPr>
            <w:noProof/>
            <w:webHidden/>
          </w:rPr>
          <w:instrText xml:space="preserve"> PAGEREF _Toc145307894 \h </w:instrText>
        </w:r>
        <w:r w:rsidR="000451AA">
          <w:rPr>
            <w:noProof/>
            <w:webHidden/>
          </w:rPr>
        </w:r>
        <w:r w:rsidR="000451AA">
          <w:rPr>
            <w:noProof/>
            <w:webHidden/>
          </w:rPr>
          <w:fldChar w:fldCharType="separate"/>
        </w:r>
        <w:r w:rsidR="00EC090C">
          <w:rPr>
            <w:noProof/>
            <w:webHidden/>
          </w:rPr>
          <w:t>20</w:t>
        </w:r>
        <w:r w:rsidR="000451AA">
          <w:rPr>
            <w:noProof/>
            <w:webHidden/>
          </w:rPr>
          <w:fldChar w:fldCharType="end"/>
        </w:r>
      </w:hyperlink>
    </w:p>
    <w:p w14:paraId="576CF316" w14:textId="5F4CD5F4" w:rsidR="000451AA" w:rsidRDefault="00000000">
      <w:pPr>
        <w:pStyle w:val="TOC1"/>
        <w:rPr>
          <w:rFonts w:asciiTheme="minorHAnsi" w:eastAsiaTheme="minorEastAsia" w:hAnsiTheme="minorHAnsi" w:cstheme="minorBidi"/>
          <w:b w:val="0"/>
          <w:noProof/>
          <w:kern w:val="2"/>
          <w:sz w:val="24"/>
          <w:szCs w:val="24"/>
          <w14:ligatures w14:val="standardContextual"/>
        </w:rPr>
      </w:pPr>
      <w:hyperlink w:anchor="_Toc145307895" w:history="1">
        <w:r w:rsidR="000451AA" w:rsidRPr="009E4F0D">
          <w:rPr>
            <w:rStyle w:val="Hyperlink"/>
            <w:noProof/>
          </w:rPr>
          <w:t>VII.</w:t>
        </w:r>
        <w:r w:rsidR="000451AA">
          <w:rPr>
            <w:rFonts w:asciiTheme="minorHAnsi" w:eastAsiaTheme="minorEastAsia" w:hAnsiTheme="minorHAnsi" w:cstheme="minorBidi"/>
            <w:b w:val="0"/>
            <w:noProof/>
            <w:kern w:val="2"/>
            <w:sz w:val="24"/>
            <w:szCs w:val="24"/>
            <w14:ligatures w14:val="standardContextual"/>
          </w:rPr>
          <w:tab/>
        </w:r>
        <w:r w:rsidR="000451AA" w:rsidRPr="009E4F0D">
          <w:rPr>
            <w:rStyle w:val="Hyperlink"/>
            <w:noProof/>
          </w:rPr>
          <w:t>Conclusion and Recommendations</w:t>
        </w:r>
        <w:r w:rsidR="000451AA">
          <w:rPr>
            <w:noProof/>
            <w:webHidden/>
          </w:rPr>
          <w:tab/>
        </w:r>
        <w:r w:rsidR="000451AA">
          <w:rPr>
            <w:noProof/>
            <w:webHidden/>
          </w:rPr>
          <w:fldChar w:fldCharType="begin"/>
        </w:r>
        <w:r w:rsidR="000451AA">
          <w:rPr>
            <w:noProof/>
            <w:webHidden/>
          </w:rPr>
          <w:instrText xml:space="preserve"> PAGEREF _Toc145307895 \h </w:instrText>
        </w:r>
        <w:r w:rsidR="000451AA">
          <w:rPr>
            <w:noProof/>
            <w:webHidden/>
          </w:rPr>
        </w:r>
        <w:r w:rsidR="000451AA">
          <w:rPr>
            <w:noProof/>
            <w:webHidden/>
          </w:rPr>
          <w:fldChar w:fldCharType="separate"/>
        </w:r>
        <w:r w:rsidR="00EC090C">
          <w:rPr>
            <w:noProof/>
            <w:webHidden/>
          </w:rPr>
          <w:t>22</w:t>
        </w:r>
        <w:r w:rsidR="000451AA">
          <w:rPr>
            <w:noProof/>
            <w:webHidden/>
          </w:rPr>
          <w:fldChar w:fldCharType="end"/>
        </w:r>
      </w:hyperlink>
    </w:p>
    <w:p w14:paraId="69DABF7F" w14:textId="355F61E1" w:rsidR="00D16E20" w:rsidRPr="00966BD1" w:rsidRDefault="007A078A" w:rsidP="00BA4A9E">
      <w:pPr>
        <w:pStyle w:val="TOC1"/>
        <w:rPr>
          <w:rFonts w:cs="Times New Roman"/>
          <w:sz w:val="24"/>
          <w:szCs w:val="24"/>
        </w:rPr>
      </w:pPr>
      <w:r w:rsidRPr="00966BD1">
        <w:fldChar w:fldCharType="end"/>
      </w:r>
      <w:r w:rsidR="00565469" w:rsidRPr="00966BD1">
        <w:rPr>
          <w:rFonts w:cs="Times New Roman"/>
          <w:sz w:val="24"/>
          <w:szCs w:val="24"/>
        </w:rPr>
        <w:br w:type="page"/>
      </w:r>
    </w:p>
    <w:p w14:paraId="33A74565" w14:textId="37011830" w:rsidR="00D504C8" w:rsidRPr="00966BD1" w:rsidRDefault="46F8E2AB" w:rsidP="00BE62B0">
      <w:pPr>
        <w:pStyle w:val="Heading1"/>
        <w:numPr>
          <w:ilvl w:val="0"/>
          <w:numId w:val="2"/>
        </w:numPr>
        <w:ind w:left="720" w:hanging="720"/>
        <w:rPr>
          <w:sz w:val="24"/>
          <w:szCs w:val="24"/>
        </w:rPr>
      </w:pPr>
      <w:bookmarkStart w:id="2" w:name="_Toc145307859"/>
      <w:r w:rsidRPr="00966BD1">
        <w:rPr>
          <w:sz w:val="24"/>
          <w:szCs w:val="24"/>
        </w:rPr>
        <w:lastRenderedPageBreak/>
        <w:t>Introductio</w:t>
      </w:r>
      <w:bookmarkEnd w:id="0"/>
      <w:r w:rsidR="009B3FC3" w:rsidRPr="00966BD1">
        <w:rPr>
          <w:sz w:val="24"/>
          <w:szCs w:val="24"/>
        </w:rPr>
        <w:t>n</w:t>
      </w:r>
      <w:bookmarkEnd w:id="2"/>
      <w:r w:rsidR="009B3FC3" w:rsidRPr="00966BD1">
        <w:rPr>
          <w:sz w:val="24"/>
          <w:szCs w:val="24"/>
        </w:rPr>
        <w:t xml:space="preserve"> </w:t>
      </w:r>
    </w:p>
    <w:p w14:paraId="77D89B41" w14:textId="52F6841B" w:rsidR="007575F6" w:rsidRPr="00966BD1" w:rsidRDefault="00D2187E" w:rsidP="006F4FDD">
      <w:pPr>
        <w:pStyle w:val="ListParagraph"/>
        <w:rPr>
          <w:sz w:val="24"/>
          <w:szCs w:val="24"/>
        </w:rPr>
      </w:pPr>
      <w:r w:rsidRPr="00966BD1">
        <w:rPr>
          <w:sz w:val="24"/>
          <w:szCs w:val="24"/>
        </w:rPr>
        <w:t xml:space="preserve">This Shadow Report is submitted for the </w:t>
      </w:r>
      <w:r w:rsidR="00C96593" w:rsidRPr="00966BD1">
        <w:rPr>
          <w:sz w:val="24"/>
          <w:szCs w:val="24"/>
        </w:rPr>
        <w:t>fi</w:t>
      </w:r>
      <w:r w:rsidR="006472D6" w:rsidRPr="00966BD1">
        <w:rPr>
          <w:sz w:val="24"/>
          <w:szCs w:val="24"/>
        </w:rPr>
        <w:t>f</w:t>
      </w:r>
      <w:r w:rsidR="00C96593" w:rsidRPr="00966BD1">
        <w:rPr>
          <w:sz w:val="24"/>
          <w:szCs w:val="24"/>
        </w:rPr>
        <w:t>th</w:t>
      </w:r>
      <w:r w:rsidRPr="00966BD1">
        <w:rPr>
          <w:sz w:val="24"/>
          <w:szCs w:val="24"/>
        </w:rPr>
        <w:t xml:space="preserve"> periodic review of the United States</w:t>
      </w:r>
      <w:r w:rsidR="00570B5C" w:rsidRPr="00966BD1">
        <w:rPr>
          <w:sz w:val="24"/>
          <w:szCs w:val="24"/>
        </w:rPr>
        <w:t xml:space="preserve"> of America</w:t>
      </w:r>
      <w:r w:rsidRPr="00966BD1">
        <w:rPr>
          <w:sz w:val="24"/>
          <w:szCs w:val="24"/>
        </w:rPr>
        <w:t xml:space="preserve"> (“U</w:t>
      </w:r>
      <w:r w:rsidR="00CF7A41" w:rsidRPr="00966BD1">
        <w:rPr>
          <w:sz w:val="24"/>
          <w:szCs w:val="24"/>
        </w:rPr>
        <w:t>.</w:t>
      </w:r>
      <w:r w:rsidRPr="00966BD1">
        <w:rPr>
          <w:sz w:val="24"/>
          <w:szCs w:val="24"/>
        </w:rPr>
        <w:t>S</w:t>
      </w:r>
      <w:r w:rsidR="00CF7A41" w:rsidRPr="00966BD1">
        <w:rPr>
          <w:sz w:val="24"/>
          <w:szCs w:val="24"/>
        </w:rPr>
        <w:t>.</w:t>
      </w:r>
      <w:r w:rsidRPr="00966BD1">
        <w:rPr>
          <w:sz w:val="24"/>
          <w:szCs w:val="24"/>
        </w:rPr>
        <w:t xml:space="preserve">”) by the </w:t>
      </w:r>
      <w:r w:rsidR="00CD2543" w:rsidRPr="00966BD1">
        <w:rPr>
          <w:sz w:val="24"/>
          <w:szCs w:val="24"/>
        </w:rPr>
        <w:t>Human Rights Committee</w:t>
      </w:r>
      <w:r w:rsidRPr="00966BD1">
        <w:rPr>
          <w:sz w:val="24"/>
          <w:szCs w:val="24"/>
        </w:rPr>
        <w:t xml:space="preserve"> (“Committee”). The </w:t>
      </w:r>
      <w:r w:rsidR="00933959" w:rsidRPr="00966BD1">
        <w:rPr>
          <w:sz w:val="24"/>
          <w:szCs w:val="24"/>
        </w:rPr>
        <w:t>r</w:t>
      </w:r>
      <w:r w:rsidRPr="00966BD1">
        <w:rPr>
          <w:sz w:val="24"/>
          <w:szCs w:val="24"/>
        </w:rPr>
        <w:t xml:space="preserve">eport </w:t>
      </w:r>
      <w:r w:rsidR="003310A9" w:rsidRPr="00966BD1">
        <w:rPr>
          <w:sz w:val="24"/>
          <w:szCs w:val="24"/>
        </w:rPr>
        <w:t xml:space="preserve">provides data, research, </w:t>
      </w:r>
      <w:r w:rsidR="00D124F8" w:rsidRPr="00966BD1">
        <w:rPr>
          <w:sz w:val="24"/>
          <w:szCs w:val="24"/>
        </w:rPr>
        <w:t xml:space="preserve">and </w:t>
      </w:r>
      <w:r w:rsidR="003310A9" w:rsidRPr="00966BD1">
        <w:rPr>
          <w:sz w:val="24"/>
          <w:szCs w:val="24"/>
        </w:rPr>
        <w:t>analysis on the</w:t>
      </w:r>
      <w:r w:rsidRPr="00966BD1">
        <w:rPr>
          <w:sz w:val="24"/>
          <w:szCs w:val="24"/>
        </w:rPr>
        <w:t xml:space="preserve"> U</w:t>
      </w:r>
      <w:r w:rsidR="00CF7A41" w:rsidRPr="00966BD1">
        <w:rPr>
          <w:sz w:val="24"/>
          <w:szCs w:val="24"/>
        </w:rPr>
        <w:t>.</w:t>
      </w:r>
      <w:r w:rsidRPr="00966BD1">
        <w:rPr>
          <w:sz w:val="24"/>
          <w:szCs w:val="24"/>
        </w:rPr>
        <w:t>S</w:t>
      </w:r>
      <w:r w:rsidR="00CF7A41" w:rsidRPr="00966BD1">
        <w:rPr>
          <w:sz w:val="24"/>
          <w:szCs w:val="24"/>
        </w:rPr>
        <w:t>.</w:t>
      </w:r>
      <w:r w:rsidRPr="00966BD1">
        <w:rPr>
          <w:sz w:val="24"/>
          <w:szCs w:val="24"/>
        </w:rPr>
        <w:t xml:space="preserve"> </w:t>
      </w:r>
      <w:r w:rsidR="007F52FF" w:rsidRPr="00966BD1">
        <w:rPr>
          <w:sz w:val="24"/>
          <w:szCs w:val="24"/>
        </w:rPr>
        <w:t xml:space="preserve">treatment of foreign nationals, including </w:t>
      </w:r>
      <w:r w:rsidR="00212D97">
        <w:rPr>
          <w:sz w:val="24"/>
          <w:szCs w:val="24"/>
        </w:rPr>
        <w:t xml:space="preserve">migrants, </w:t>
      </w:r>
      <w:r w:rsidR="007F52FF" w:rsidRPr="00966BD1">
        <w:rPr>
          <w:sz w:val="24"/>
          <w:szCs w:val="24"/>
        </w:rPr>
        <w:t>refugees</w:t>
      </w:r>
      <w:r w:rsidR="00212D97">
        <w:rPr>
          <w:sz w:val="24"/>
          <w:szCs w:val="24"/>
        </w:rPr>
        <w:t>,</w:t>
      </w:r>
      <w:r w:rsidR="007F52FF" w:rsidRPr="00966BD1">
        <w:rPr>
          <w:sz w:val="24"/>
          <w:szCs w:val="24"/>
        </w:rPr>
        <w:t xml:space="preserve"> and </w:t>
      </w:r>
      <w:r w:rsidR="00A04940" w:rsidRPr="00966BD1">
        <w:rPr>
          <w:sz w:val="24"/>
          <w:szCs w:val="24"/>
        </w:rPr>
        <w:t>asylum</w:t>
      </w:r>
      <w:r w:rsidR="007F52FF" w:rsidRPr="00966BD1">
        <w:rPr>
          <w:sz w:val="24"/>
          <w:szCs w:val="24"/>
        </w:rPr>
        <w:t xml:space="preserve"> seekers</w:t>
      </w:r>
      <w:r w:rsidR="00212D97">
        <w:rPr>
          <w:sz w:val="24"/>
          <w:szCs w:val="24"/>
        </w:rPr>
        <w:t xml:space="preserve"> (collectively referred herein as “migrants” unless otherwise indicated)</w:t>
      </w:r>
      <w:r w:rsidR="00D90C90" w:rsidRPr="00966BD1">
        <w:rPr>
          <w:sz w:val="24"/>
          <w:szCs w:val="24"/>
        </w:rPr>
        <w:t>,</w:t>
      </w:r>
      <w:r w:rsidR="00556A21" w:rsidRPr="00966BD1">
        <w:rPr>
          <w:sz w:val="24"/>
          <w:szCs w:val="24"/>
        </w:rPr>
        <w:t xml:space="preserve"> </w:t>
      </w:r>
      <w:r w:rsidR="00CA67AB" w:rsidRPr="00966BD1">
        <w:rPr>
          <w:sz w:val="24"/>
          <w:szCs w:val="24"/>
        </w:rPr>
        <w:t>in violation of the International Covenant on Civil and Political Rights (“Co</w:t>
      </w:r>
      <w:r w:rsidR="00DD1990" w:rsidRPr="00966BD1">
        <w:rPr>
          <w:sz w:val="24"/>
          <w:szCs w:val="24"/>
        </w:rPr>
        <w:t>venant</w:t>
      </w:r>
      <w:r w:rsidR="00CA67AB" w:rsidRPr="00966BD1">
        <w:rPr>
          <w:sz w:val="24"/>
          <w:szCs w:val="24"/>
        </w:rPr>
        <w:t xml:space="preserve">”). </w:t>
      </w:r>
      <w:r w:rsidR="001823F3" w:rsidRPr="00966BD1">
        <w:rPr>
          <w:sz w:val="24"/>
          <w:szCs w:val="24"/>
        </w:rPr>
        <w:t xml:space="preserve">It </w:t>
      </w:r>
      <w:r w:rsidR="00D124F8" w:rsidRPr="00966BD1">
        <w:rPr>
          <w:sz w:val="24"/>
          <w:szCs w:val="24"/>
        </w:rPr>
        <w:t>focus</w:t>
      </w:r>
      <w:r w:rsidR="001823F3" w:rsidRPr="00966BD1">
        <w:rPr>
          <w:sz w:val="24"/>
          <w:szCs w:val="24"/>
        </w:rPr>
        <w:t>es</w:t>
      </w:r>
      <w:r w:rsidR="00D124F8" w:rsidRPr="00966BD1">
        <w:rPr>
          <w:sz w:val="24"/>
          <w:szCs w:val="24"/>
        </w:rPr>
        <w:t xml:space="preserve"> on </w:t>
      </w:r>
      <w:r w:rsidR="00DE1B1D" w:rsidRPr="00966BD1">
        <w:rPr>
          <w:sz w:val="24"/>
          <w:szCs w:val="24"/>
        </w:rPr>
        <w:t>Black people in transnational migration</w:t>
      </w:r>
      <w:r w:rsidR="001823F3" w:rsidRPr="00966BD1">
        <w:rPr>
          <w:sz w:val="24"/>
          <w:szCs w:val="24"/>
        </w:rPr>
        <w:t>, including Haitians, Cameroonians</w:t>
      </w:r>
      <w:r w:rsidR="00546D62" w:rsidRPr="00966BD1">
        <w:rPr>
          <w:sz w:val="24"/>
          <w:szCs w:val="24"/>
        </w:rPr>
        <w:t>, and other people of African descent</w:t>
      </w:r>
      <w:r w:rsidR="00DE1B1D" w:rsidRPr="00966BD1">
        <w:rPr>
          <w:sz w:val="24"/>
          <w:szCs w:val="24"/>
        </w:rPr>
        <w:t xml:space="preserve">. </w:t>
      </w:r>
    </w:p>
    <w:p w14:paraId="1B9361F1" w14:textId="72335AE4" w:rsidR="00D2187E" w:rsidRPr="00966BD1" w:rsidRDefault="00327EC6" w:rsidP="006F4FDD">
      <w:pPr>
        <w:pStyle w:val="ListParagraph"/>
        <w:rPr>
          <w:sz w:val="24"/>
          <w:szCs w:val="24"/>
        </w:rPr>
      </w:pPr>
      <w:r w:rsidRPr="00966BD1">
        <w:rPr>
          <w:sz w:val="24"/>
          <w:szCs w:val="24"/>
        </w:rPr>
        <w:t>The</w:t>
      </w:r>
      <w:r w:rsidR="00205051" w:rsidRPr="00966BD1">
        <w:rPr>
          <w:sz w:val="24"/>
          <w:szCs w:val="24"/>
        </w:rPr>
        <w:t xml:space="preserve"> </w:t>
      </w:r>
      <w:r w:rsidR="00933959" w:rsidRPr="00966BD1">
        <w:rPr>
          <w:sz w:val="24"/>
          <w:szCs w:val="24"/>
        </w:rPr>
        <w:t>r</w:t>
      </w:r>
      <w:r w:rsidR="00205051" w:rsidRPr="00966BD1">
        <w:rPr>
          <w:sz w:val="24"/>
          <w:szCs w:val="24"/>
        </w:rPr>
        <w:t xml:space="preserve">eport provides data, research, and analysis on </w:t>
      </w:r>
      <w:r w:rsidR="009037A4" w:rsidRPr="00966BD1">
        <w:rPr>
          <w:sz w:val="24"/>
          <w:szCs w:val="24"/>
        </w:rPr>
        <w:t>the</w:t>
      </w:r>
      <w:r w:rsidR="00B120FB" w:rsidRPr="00966BD1">
        <w:rPr>
          <w:sz w:val="24"/>
          <w:szCs w:val="24"/>
        </w:rPr>
        <w:t xml:space="preserve"> right to life,</w:t>
      </w:r>
      <w:r w:rsidR="009037A4" w:rsidRPr="00966BD1">
        <w:rPr>
          <w:sz w:val="24"/>
          <w:szCs w:val="24"/>
        </w:rPr>
        <w:t xml:space="preserve"> </w:t>
      </w:r>
      <w:r w:rsidR="00F02940" w:rsidRPr="00966BD1">
        <w:rPr>
          <w:sz w:val="24"/>
          <w:szCs w:val="24"/>
        </w:rPr>
        <w:t xml:space="preserve">and security of person, the </w:t>
      </w:r>
      <w:r w:rsidR="009037A4" w:rsidRPr="00966BD1">
        <w:rPr>
          <w:sz w:val="24"/>
          <w:szCs w:val="24"/>
        </w:rPr>
        <w:t>prohibition of torture and cruel, inhumane or degrading treatment or punishment,</w:t>
      </w:r>
      <w:r w:rsidR="00870365" w:rsidRPr="00966BD1">
        <w:rPr>
          <w:sz w:val="24"/>
          <w:szCs w:val="24"/>
        </w:rPr>
        <w:t xml:space="preserve"> </w:t>
      </w:r>
      <w:r w:rsidR="005874EE" w:rsidRPr="00966BD1">
        <w:rPr>
          <w:sz w:val="24"/>
          <w:szCs w:val="24"/>
        </w:rPr>
        <w:t xml:space="preserve">the prohibition of </w:t>
      </w:r>
      <w:r w:rsidR="005874EE" w:rsidRPr="00343E0F">
        <w:rPr>
          <w:sz w:val="24"/>
          <w:szCs w:val="24"/>
        </w:rPr>
        <w:t>refoulement</w:t>
      </w:r>
      <w:r w:rsidR="008A3E4B" w:rsidRPr="00966BD1">
        <w:rPr>
          <w:sz w:val="24"/>
          <w:szCs w:val="24"/>
        </w:rPr>
        <w:t xml:space="preserve">, </w:t>
      </w:r>
      <w:r w:rsidR="00B120FB" w:rsidRPr="00966BD1">
        <w:rPr>
          <w:sz w:val="24"/>
          <w:szCs w:val="24"/>
        </w:rPr>
        <w:t xml:space="preserve">the </w:t>
      </w:r>
      <w:r w:rsidR="00870365" w:rsidRPr="00966BD1">
        <w:rPr>
          <w:sz w:val="24"/>
          <w:szCs w:val="24"/>
        </w:rPr>
        <w:t>treatment of persons deprived</w:t>
      </w:r>
      <w:r w:rsidR="00B120FB" w:rsidRPr="00966BD1">
        <w:rPr>
          <w:sz w:val="24"/>
          <w:szCs w:val="24"/>
        </w:rPr>
        <w:t xml:space="preserve"> of</w:t>
      </w:r>
      <w:r w:rsidR="00870365" w:rsidRPr="00966BD1">
        <w:rPr>
          <w:sz w:val="24"/>
          <w:szCs w:val="24"/>
        </w:rPr>
        <w:t xml:space="preserve"> their liberty</w:t>
      </w:r>
      <w:r w:rsidR="00A24EF1" w:rsidRPr="00966BD1">
        <w:rPr>
          <w:sz w:val="24"/>
          <w:szCs w:val="24"/>
        </w:rPr>
        <w:t xml:space="preserve">, </w:t>
      </w:r>
      <w:r w:rsidR="00762C7A" w:rsidRPr="00966BD1">
        <w:rPr>
          <w:sz w:val="24"/>
          <w:szCs w:val="24"/>
        </w:rPr>
        <w:t>excessive use of force by law enforcement agents</w:t>
      </w:r>
      <w:r w:rsidR="005874EE" w:rsidRPr="00966BD1">
        <w:rPr>
          <w:sz w:val="24"/>
          <w:szCs w:val="24"/>
        </w:rPr>
        <w:t>,</w:t>
      </w:r>
      <w:r w:rsidR="00B94F3D" w:rsidRPr="00966BD1">
        <w:rPr>
          <w:sz w:val="24"/>
          <w:szCs w:val="24"/>
        </w:rPr>
        <w:t xml:space="preserve"> the right to non-discrimination</w:t>
      </w:r>
      <w:r w:rsidR="00762C7A" w:rsidRPr="00966BD1">
        <w:rPr>
          <w:sz w:val="24"/>
          <w:szCs w:val="24"/>
        </w:rPr>
        <w:t>,</w:t>
      </w:r>
      <w:r w:rsidR="00B94F3D" w:rsidRPr="00966BD1">
        <w:rPr>
          <w:sz w:val="24"/>
          <w:szCs w:val="24"/>
        </w:rPr>
        <w:t xml:space="preserve"> </w:t>
      </w:r>
      <w:r w:rsidR="008A6656" w:rsidRPr="00966BD1">
        <w:rPr>
          <w:sz w:val="24"/>
          <w:szCs w:val="24"/>
        </w:rPr>
        <w:t xml:space="preserve">the right to an effective remedy, </w:t>
      </w:r>
      <w:r w:rsidR="00B94F3D" w:rsidRPr="00966BD1">
        <w:rPr>
          <w:sz w:val="24"/>
          <w:szCs w:val="24"/>
        </w:rPr>
        <w:t>and</w:t>
      </w:r>
      <w:r w:rsidR="00762C7A" w:rsidRPr="00966BD1">
        <w:rPr>
          <w:sz w:val="24"/>
          <w:szCs w:val="24"/>
        </w:rPr>
        <w:t xml:space="preserve"> the right to self-determination</w:t>
      </w:r>
      <w:r w:rsidR="00633888" w:rsidRPr="00966BD1">
        <w:rPr>
          <w:sz w:val="24"/>
          <w:szCs w:val="24"/>
        </w:rPr>
        <w:t xml:space="preserve">. </w:t>
      </w:r>
      <w:r w:rsidR="00D2187E" w:rsidRPr="00966BD1">
        <w:rPr>
          <w:sz w:val="24"/>
          <w:szCs w:val="24"/>
        </w:rPr>
        <w:t>We thank the Committee for the opportunity to share this information and its consideration of the actions we recommend to address these serious violations.</w:t>
      </w:r>
    </w:p>
    <w:p w14:paraId="05AE63BC" w14:textId="77777777" w:rsidR="00D2187E" w:rsidRPr="00966BD1" w:rsidRDefault="00D2187E" w:rsidP="00183705">
      <w:pPr>
        <w:jc w:val="both"/>
        <w:rPr>
          <w:rFonts w:ascii="Times New Roman" w:hAnsi="Times New Roman" w:cs="Times New Roman"/>
          <w:sz w:val="24"/>
          <w:szCs w:val="24"/>
        </w:rPr>
      </w:pPr>
    </w:p>
    <w:p w14:paraId="3293A49F" w14:textId="0C276BA3" w:rsidR="00E674C6" w:rsidRPr="008D1EA9" w:rsidRDefault="30954339" w:rsidP="008D1EA9">
      <w:pPr>
        <w:pStyle w:val="Heading1"/>
        <w:numPr>
          <w:ilvl w:val="0"/>
          <w:numId w:val="57"/>
        </w:numPr>
        <w:ind w:left="720"/>
        <w:rPr>
          <w:sz w:val="24"/>
          <w:szCs w:val="24"/>
        </w:rPr>
      </w:pPr>
      <w:bookmarkStart w:id="3" w:name="_Toc143210362"/>
      <w:bookmarkStart w:id="4" w:name="_Toc145307860"/>
      <w:r w:rsidRPr="008D1EA9">
        <w:rPr>
          <w:sz w:val="24"/>
          <w:szCs w:val="24"/>
        </w:rPr>
        <w:t>Executive Summary</w:t>
      </w:r>
      <w:bookmarkEnd w:id="3"/>
      <w:bookmarkEnd w:id="4"/>
    </w:p>
    <w:p w14:paraId="1F00566D" w14:textId="3732E2BA" w:rsidR="00433810" w:rsidRPr="00966BD1" w:rsidRDefault="72C78327" w:rsidP="00433810">
      <w:pPr>
        <w:pStyle w:val="ListParagraph"/>
        <w:rPr>
          <w:sz w:val="24"/>
          <w:szCs w:val="24"/>
        </w:rPr>
      </w:pPr>
      <w:r w:rsidRPr="00966BD1">
        <w:rPr>
          <w:sz w:val="24"/>
          <w:szCs w:val="24"/>
        </w:rPr>
        <w:t xml:space="preserve">Anti-Blackness is not an anomaly within the </w:t>
      </w:r>
      <w:r w:rsidR="007D12ED">
        <w:rPr>
          <w:sz w:val="24"/>
          <w:szCs w:val="24"/>
        </w:rPr>
        <w:t>U.S.</w:t>
      </w:r>
      <w:r w:rsidRPr="00966BD1">
        <w:rPr>
          <w:sz w:val="24"/>
          <w:szCs w:val="24"/>
        </w:rPr>
        <w:t xml:space="preserve"> immigration enforcement system; it is the standard. This defining characteristic of disparate treatment based on race and nationality is in violation of both U.S. domestic law and numerous international human rights treaties and obligations. Yet, the U.S. continues to harm vulnerable populations seeking refuge within its borders. Most recently, these harms manifest in the form of deterrence policies, mandatory detention, lack of due process for detained individuals, arbitrary bond amounts</w:t>
      </w:r>
      <w:r w:rsidR="00433810" w:rsidRPr="00966BD1">
        <w:rPr>
          <w:sz w:val="24"/>
          <w:szCs w:val="24"/>
        </w:rPr>
        <w:t>,</w:t>
      </w:r>
      <w:r w:rsidRPr="00966BD1">
        <w:rPr>
          <w:sz w:val="24"/>
          <w:szCs w:val="24"/>
        </w:rPr>
        <w:t xml:space="preserve"> and deportations to deadly conditions. When it comes to recent “pull factors” for migration from majority Black countries such as Haiti, the adage “we are here, because you were there” rings true. With little to no recourse in the form of reparations or other remedies for the historic violence and lingering consequences of colonialism, slavery, and imperialism, the U.S. must welcome those seeking asylum within its borders in a dignified manner. This report analyzes the deliberate ways in which the U.S. fall</w:t>
      </w:r>
      <w:r w:rsidR="00433810" w:rsidRPr="00966BD1">
        <w:rPr>
          <w:sz w:val="24"/>
          <w:szCs w:val="24"/>
        </w:rPr>
        <w:t>s</w:t>
      </w:r>
      <w:r w:rsidRPr="00966BD1">
        <w:rPr>
          <w:sz w:val="24"/>
          <w:szCs w:val="24"/>
        </w:rPr>
        <w:t xml:space="preserve"> short of this duty.</w:t>
      </w:r>
    </w:p>
    <w:p w14:paraId="77287686" w14:textId="07D54FB8" w:rsidR="00433810" w:rsidRPr="00966BD1" w:rsidRDefault="72C78327" w:rsidP="00433810">
      <w:pPr>
        <w:pStyle w:val="ListParagraph"/>
        <w:rPr>
          <w:sz w:val="24"/>
          <w:szCs w:val="24"/>
        </w:rPr>
      </w:pPr>
      <w:r w:rsidRPr="00966BD1">
        <w:rPr>
          <w:rFonts w:eastAsia="Times New Roman"/>
          <w:color w:val="000000" w:themeColor="text1"/>
          <w:sz w:val="24"/>
          <w:szCs w:val="24"/>
        </w:rPr>
        <w:t>The first Black migrants in the U.S. were forcibly brought for the exploitation of their labor. Some of the earliest forms of policing and legal restrictions on the movement of Black bodies in the U.S. were slave patrols. From its inception, the U.S. used its constitution and policy making regime to restrict the rights of Black people. From codifying the absurd notion that Black people were only 3/5</w:t>
      </w:r>
      <w:r w:rsidRPr="00966BD1">
        <w:rPr>
          <w:rFonts w:eastAsia="Times New Roman"/>
          <w:color w:val="000000" w:themeColor="text1"/>
          <w:sz w:val="24"/>
          <w:szCs w:val="24"/>
          <w:vertAlign w:val="superscript"/>
        </w:rPr>
        <w:t>ths</w:t>
      </w:r>
      <w:r w:rsidRPr="00966BD1">
        <w:rPr>
          <w:rFonts w:eastAsia="Times New Roman"/>
          <w:color w:val="000000" w:themeColor="text1"/>
          <w:sz w:val="24"/>
          <w:szCs w:val="24"/>
        </w:rPr>
        <w:t xml:space="preserve"> of a human being, to the adoption of modern “prevention </w:t>
      </w:r>
      <w:r w:rsidR="0050041C">
        <w:rPr>
          <w:rFonts w:eastAsia="Times New Roman"/>
          <w:color w:val="000000" w:themeColor="text1"/>
          <w:sz w:val="24"/>
          <w:szCs w:val="24"/>
        </w:rPr>
        <w:t>through</w:t>
      </w:r>
      <w:r w:rsidR="0050041C" w:rsidRPr="00966BD1">
        <w:rPr>
          <w:rFonts w:eastAsia="Times New Roman"/>
          <w:color w:val="000000" w:themeColor="text1"/>
          <w:sz w:val="24"/>
          <w:szCs w:val="24"/>
        </w:rPr>
        <w:t xml:space="preserve"> </w:t>
      </w:r>
      <w:r w:rsidRPr="00966BD1">
        <w:rPr>
          <w:rFonts w:eastAsia="Times New Roman"/>
          <w:color w:val="000000" w:themeColor="text1"/>
          <w:sz w:val="24"/>
          <w:szCs w:val="24"/>
        </w:rPr>
        <w:t xml:space="preserve">deterrence” policies, the U.S. continues to pursue its goal of preventing migrants of African descent, especially Haitians, from </w:t>
      </w:r>
      <w:r w:rsidR="00212D97">
        <w:rPr>
          <w:rFonts w:eastAsia="Times New Roman"/>
          <w:color w:val="000000" w:themeColor="text1"/>
          <w:sz w:val="24"/>
          <w:szCs w:val="24"/>
        </w:rPr>
        <w:t>seeking security</w:t>
      </w:r>
      <w:r w:rsidRPr="00966BD1">
        <w:rPr>
          <w:rFonts w:eastAsia="Times New Roman"/>
          <w:color w:val="000000" w:themeColor="text1"/>
          <w:sz w:val="24"/>
          <w:szCs w:val="24"/>
        </w:rPr>
        <w:t xml:space="preserve">. </w:t>
      </w:r>
    </w:p>
    <w:p w14:paraId="247876B3" w14:textId="2E42AAD4" w:rsidR="00433810" w:rsidRPr="00966BD1" w:rsidRDefault="00212D97" w:rsidP="00433810">
      <w:pPr>
        <w:pStyle w:val="ListParagraph"/>
        <w:rPr>
          <w:sz w:val="24"/>
          <w:szCs w:val="24"/>
        </w:rPr>
      </w:pPr>
      <w:r>
        <w:rPr>
          <w:rFonts w:eastAsia="Times New Roman"/>
          <w:color w:val="000000" w:themeColor="text1"/>
          <w:sz w:val="24"/>
          <w:szCs w:val="24"/>
        </w:rPr>
        <w:t>T</w:t>
      </w:r>
      <w:r w:rsidRPr="00966BD1">
        <w:rPr>
          <w:rFonts w:eastAsia="Times New Roman"/>
          <w:color w:val="000000" w:themeColor="text1"/>
          <w:sz w:val="24"/>
          <w:szCs w:val="24"/>
        </w:rPr>
        <w:t xml:space="preserve">he increased militarization of the Southern border </w:t>
      </w:r>
      <w:r>
        <w:rPr>
          <w:rFonts w:eastAsia="Times New Roman"/>
          <w:color w:val="000000" w:themeColor="text1"/>
          <w:sz w:val="24"/>
          <w:szCs w:val="24"/>
        </w:rPr>
        <w:t>is</w:t>
      </w:r>
      <w:r w:rsidR="72C78327" w:rsidRPr="00966BD1">
        <w:rPr>
          <w:rFonts w:eastAsia="Times New Roman"/>
          <w:color w:val="000000" w:themeColor="text1"/>
          <w:sz w:val="24"/>
          <w:szCs w:val="24"/>
        </w:rPr>
        <w:t xml:space="preserve"> </w:t>
      </w:r>
      <w:r>
        <w:rPr>
          <w:rFonts w:eastAsia="Times New Roman"/>
          <w:color w:val="000000" w:themeColor="text1"/>
          <w:sz w:val="24"/>
          <w:szCs w:val="24"/>
        </w:rPr>
        <w:t xml:space="preserve">a </w:t>
      </w:r>
      <w:r w:rsidR="72C78327" w:rsidRPr="00966BD1">
        <w:rPr>
          <w:rFonts w:eastAsia="Times New Roman"/>
          <w:color w:val="000000" w:themeColor="text1"/>
          <w:sz w:val="24"/>
          <w:szCs w:val="24"/>
        </w:rPr>
        <w:t xml:space="preserve">palpable example of the U.S. dedication to restricting the rights of migrants. Through federal budget increases for the </w:t>
      </w:r>
      <w:r w:rsidR="000A00A3">
        <w:rPr>
          <w:rFonts w:eastAsia="Times New Roman"/>
          <w:color w:val="000000" w:themeColor="text1"/>
          <w:sz w:val="24"/>
          <w:szCs w:val="24"/>
        </w:rPr>
        <w:lastRenderedPageBreak/>
        <w:t xml:space="preserve">U.S. </w:t>
      </w:r>
      <w:r w:rsidR="72C78327" w:rsidRPr="00966BD1">
        <w:rPr>
          <w:rFonts w:eastAsia="Times New Roman"/>
          <w:color w:val="000000" w:themeColor="text1"/>
          <w:sz w:val="24"/>
          <w:szCs w:val="24"/>
        </w:rPr>
        <w:t>Department of Homeland Security and local policies from border states and towns, we</w:t>
      </w:r>
      <w:r w:rsidR="00433810" w:rsidRPr="00966BD1">
        <w:rPr>
          <w:rFonts w:eastAsia="Times New Roman"/>
          <w:color w:val="000000" w:themeColor="text1"/>
          <w:sz w:val="24"/>
          <w:szCs w:val="24"/>
        </w:rPr>
        <w:t xml:space="preserve"> have</w:t>
      </w:r>
      <w:r w:rsidR="72C78327" w:rsidRPr="00966BD1">
        <w:rPr>
          <w:rFonts w:eastAsia="Times New Roman"/>
          <w:color w:val="000000" w:themeColor="text1"/>
          <w:sz w:val="24"/>
          <w:szCs w:val="24"/>
        </w:rPr>
        <w:t xml:space="preserve"> seen the construction of a physical border wall, the denial of the right to asylum through metering and </w:t>
      </w:r>
      <w:r w:rsidR="00433810" w:rsidRPr="00966BD1">
        <w:rPr>
          <w:rFonts w:eastAsia="Times New Roman"/>
          <w:color w:val="000000" w:themeColor="text1"/>
          <w:sz w:val="24"/>
          <w:szCs w:val="24"/>
        </w:rPr>
        <w:t xml:space="preserve">the </w:t>
      </w:r>
      <w:r w:rsidR="72C78327" w:rsidRPr="00966BD1">
        <w:rPr>
          <w:rFonts w:eastAsia="Times New Roman"/>
          <w:color w:val="000000" w:themeColor="text1"/>
          <w:sz w:val="24"/>
          <w:szCs w:val="24"/>
        </w:rPr>
        <w:t>Title 42</w:t>
      </w:r>
      <w:r w:rsidR="00433810" w:rsidRPr="00966BD1">
        <w:rPr>
          <w:rFonts w:eastAsia="Times New Roman"/>
          <w:color w:val="000000" w:themeColor="text1"/>
          <w:sz w:val="24"/>
          <w:szCs w:val="24"/>
        </w:rPr>
        <w:t xml:space="preserve"> policies</w:t>
      </w:r>
      <w:r w:rsidR="72C78327" w:rsidRPr="00966BD1">
        <w:rPr>
          <w:rFonts w:eastAsia="Times New Roman"/>
          <w:color w:val="000000" w:themeColor="text1"/>
          <w:sz w:val="24"/>
          <w:szCs w:val="24"/>
        </w:rPr>
        <w:t xml:space="preserve">, and the busing of migrants from the border to interior cities such as New York and Washington DC. The U.S. has also manipulated its diplomatic relations to expand the reach of deterrence policies through bilateral agreements, safe-third country agreements, and joint military operations. These efforts create the false notion that Black migrants might find safety in several countries while </w:t>
      </w:r>
      <w:r w:rsidR="72C78327" w:rsidRPr="00966BD1">
        <w:rPr>
          <w:rFonts w:eastAsia="Times New Roman"/>
          <w:i/>
          <w:iCs/>
          <w:color w:val="000000" w:themeColor="text1"/>
          <w:sz w:val="24"/>
          <w:szCs w:val="24"/>
        </w:rPr>
        <w:t>en</w:t>
      </w:r>
      <w:r w:rsidR="00433810" w:rsidRPr="00966BD1">
        <w:rPr>
          <w:rFonts w:eastAsia="Times New Roman"/>
          <w:i/>
          <w:iCs/>
          <w:color w:val="000000" w:themeColor="text1"/>
          <w:sz w:val="24"/>
          <w:szCs w:val="24"/>
        </w:rPr>
        <w:t xml:space="preserve"> </w:t>
      </w:r>
      <w:r w:rsidR="72C78327" w:rsidRPr="00966BD1">
        <w:rPr>
          <w:rFonts w:eastAsia="Times New Roman"/>
          <w:i/>
          <w:iCs/>
          <w:color w:val="000000" w:themeColor="text1"/>
          <w:sz w:val="24"/>
          <w:szCs w:val="24"/>
        </w:rPr>
        <w:t>route</w:t>
      </w:r>
      <w:r w:rsidR="72C78327" w:rsidRPr="00966BD1">
        <w:rPr>
          <w:rFonts w:eastAsia="Times New Roman"/>
          <w:color w:val="000000" w:themeColor="text1"/>
          <w:sz w:val="24"/>
          <w:szCs w:val="24"/>
        </w:rPr>
        <w:t xml:space="preserve"> to the U.S. </w:t>
      </w:r>
      <w:r w:rsidR="00433810" w:rsidRPr="00966BD1">
        <w:rPr>
          <w:rFonts w:eastAsia="Times New Roman"/>
          <w:color w:val="000000" w:themeColor="text1"/>
          <w:sz w:val="24"/>
          <w:szCs w:val="24"/>
        </w:rPr>
        <w:t>M</w:t>
      </w:r>
      <w:r w:rsidR="72C78327" w:rsidRPr="00966BD1">
        <w:rPr>
          <w:rFonts w:eastAsia="Times New Roman"/>
          <w:color w:val="000000" w:themeColor="text1"/>
          <w:sz w:val="24"/>
          <w:szCs w:val="24"/>
        </w:rPr>
        <w:t xml:space="preserve">any of the countries </w:t>
      </w:r>
      <w:r w:rsidR="000A00A3">
        <w:rPr>
          <w:rFonts w:eastAsia="Times New Roman"/>
          <w:color w:val="000000" w:themeColor="text1"/>
          <w:sz w:val="24"/>
          <w:szCs w:val="24"/>
        </w:rPr>
        <w:t>with whom</w:t>
      </w:r>
      <w:r w:rsidR="72C78327" w:rsidRPr="00966BD1">
        <w:rPr>
          <w:rFonts w:eastAsia="Times New Roman"/>
          <w:color w:val="000000" w:themeColor="text1"/>
          <w:sz w:val="24"/>
          <w:szCs w:val="24"/>
        </w:rPr>
        <w:t xml:space="preserve"> the U.S. </w:t>
      </w:r>
      <w:r w:rsidR="000A00A3">
        <w:rPr>
          <w:rFonts w:eastAsia="Times New Roman"/>
          <w:color w:val="000000" w:themeColor="text1"/>
          <w:sz w:val="24"/>
          <w:szCs w:val="24"/>
        </w:rPr>
        <w:t>enters</w:t>
      </w:r>
      <w:r w:rsidR="72C78327" w:rsidRPr="00966BD1">
        <w:rPr>
          <w:rFonts w:eastAsia="Times New Roman"/>
          <w:color w:val="000000" w:themeColor="text1"/>
          <w:sz w:val="24"/>
          <w:szCs w:val="24"/>
        </w:rPr>
        <w:t xml:space="preserve"> these agreements have little to no infrastructure for seeking asylum, are rife with anti-Black </w:t>
      </w:r>
      <w:r w:rsidR="0019094A">
        <w:rPr>
          <w:rFonts w:eastAsia="Times New Roman"/>
          <w:color w:val="000000" w:themeColor="text1"/>
          <w:sz w:val="24"/>
          <w:szCs w:val="24"/>
        </w:rPr>
        <w:t>racism</w:t>
      </w:r>
      <w:r w:rsidR="00433810" w:rsidRPr="00966BD1">
        <w:rPr>
          <w:rFonts w:eastAsia="Times New Roman"/>
          <w:color w:val="000000" w:themeColor="text1"/>
          <w:sz w:val="24"/>
          <w:szCs w:val="24"/>
        </w:rPr>
        <w:t>,</w:t>
      </w:r>
      <w:r w:rsidR="72C78327" w:rsidRPr="00966BD1">
        <w:rPr>
          <w:rFonts w:eastAsia="Times New Roman"/>
          <w:color w:val="000000" w:themeColor="text1"/>
          <w:sz w:val="24"/>
          <w:szCs w:val="24"/>
        </w:rPr>
        <w:t xml:space="preserve"> and have their own internal issues causing their nationals to also flee and seek refuge in the U.S. </w:t>
      </w:r>
    </w:p>
    <w:p w14:paraId="79FD606A" w14:textId="78403B32" w:rsidR="00433810" w:rsidRPr="00966BD1" w:rsidRDefault="72C78327" w:rsidP="009B3FC3">
      <w:pPr>
        <w:pStyle w:val="ListParagraph"/>
        <w:rPr>
          <w:rFonts w:eastAsia="Times New Roman"/>
          <w:color w:val="000000" w:themeColor="text1"/>
          <w:sz w:val="24"/>
          <w:szCs w:val="24"/>
        </w:rPr>
      </w:pPr>
      <w:r w:rsidRPr="00966BD1">
        <w:rPr>
          <w:rFonts w:eastAsia="Times New Roman"/>
          <w:color w:val="000000" w:themeColor="text1"/>
          <w:sz w:val="24"/>
          <w:szCs w:val="24"/>
        </w:rPr>
        <w:t>The U.S.’ violations of international human rights through its immigration deterrence policies can be categorized into three areas</w:t>
      </w:r>
      <w:r w:rsidR="008F1158" w:rsidRPr="00966BD1">
        <w:rPr>
          <w:rFonts w:eastAsia="Times New Roman"/>
          <w:color w:val="000000" w:themeColor="text1"/>
          <w:sz w:val="24"/>
          <w:szCs w:val="24"/>
        </w:rPr>
        <w:t>:</w:t>
      </w:r>
      <w:r w:rsidRPr="00966BD1">
        <w:rPr>
          <w:rFonts w:eastAsia="Times New Roman"/>
          <w:color w:val="000000" w:themeColor="text1"/>
          <w:sz w:val="24"/>
          <w:szCs w:val="24"/>
        </w:rPr>
        <w:t xml:space="preserve"> </w:t>
      </w:r>
      <w:r w:rsidR="008F1158" w:rsidRPr="00966BD1">
        <w:rPr>
          <w:rFonts w:eastAsia="Times New Roman"/>
          <w:color w:val="000000" w:themeColor="text1"/>
          <w:sz w:val="24"/>
          <w:szCs w:val="24"/>
        </w:rPr>
        <w:t xml:space="preserve">(1) </w:t>
      </w:r>
      <w:r w:rsidRPr="00966BD1">
        <w:rPr>
          <w:rFonts w:eastAsia="Times New Roman"/>
          <w:color w:val="000000" w:themeColor="text1"/>
          <w:sz w:val="24"/>
          <w:szCs w:val="24"/>
        </w:rPr>
        <w:t xml:space="preserve">violations of </w:t>
      </w:r>
      <w:r w:rsidRPr="00266478">
        <w:rPr>
          <w:rFonts w:eastAsia="Times New Roman"/>
          <w:color w:val="000000" w:themeColor="text1"/>
          <w:sz w:val="24"/>
          <w:szCs w:val="24"/>
        </w:rPr>
        <w:t>non</w:t>
      </w:r>
      <w:r w:rsidR="00433810" w:rsidRPr="00266478">
        <w:rPr>
          <w:rFonts w:eastAsia="Times New Roman"/>
          <w:color w:val="000000" w:themeColor="text1"/>
          <w:sz w:val="24"/>
          <w:szCs w:val="24"/>
        </w:rPr>
        <w:t>-</w:t>
      </w:r>
      <w:r w:rsidRPr="00266478">
        <w:rPr>
          <w:rFonts w:eastAsia="Times New Roman"/>
          <w:color w:val="000000" w:themeColor="text1"/>
          <w:sz w:val="24"/>
          <w:szCs w:val="24"/>
        </w:rPr>
        <w:t>refoulement</w:t>
      </w:r>
      <w:r w:rsidR="008F1158" w:rsidRPr="00966BD1">
        <w:rPr>
          <w:rFonts w:eastAsia="Times New Roman"/>
          <w:color w:val="000000" w:themeColor="text1"/>
          <w:sz w:val="24"/>
          <w:szCs w:val="24"/>
        </w:rPr>
        <w:t>—t</w:t>
      </w:r>
      <w:r w:rsidRPr="00966BD1">
        <w:rPr>
          <w:rFonts w:eastAsia="Times New Roman"/>
          <w:color w:val="000000" w:themeColor="text1"/>
          <w:sz w:val="24"/>
          <w:szCs w:val="24"/>
        </w:rPr>
        <w:t xml:space="preserve">hrough </w:t>
      </w:r>
      <w:r w:rsidR="00E644E8">
        <w:rPr>
          <w:rFonts w:eastAsia="Times New Roman"/>
          <w:color w:val="000000" w:themeColor="text1"/>
          <w:sz w:val="24"/>
          <w:szCs w:val="24"/>
        </w:rPr>
        <w:t>m</w:t>
      </w:r>
      <w:r w:rsidR="00E644E8" w:rsidRPr="00966BD1">
        <w:rPr>
          <w:rFonts w:eastAsia="Times New Roman"/>
          <w:color w:val="000000" w:themeColor="text1"/>
          <w:sz w:val="24"/>
          <w:szCs w:val="24"/>
        </w:rPr>
        <w:t xml:space="preserve">aritime </w:t>
      </w:r>
      <w:r w:rsidR="00E644E8">
        <w:rPr>
          <w:rFonts w:eastAsia="Times New Roman"/>
          <w:color w:val="000000" w:themeColor="text1"/>
          <w:sz w:val="24"/>
          <w:szCs w:val="24"/>
        </w:rPr>
        <w:t>i</w:t>
      </w:r>
      <w:r w:rsidR="00E644E8" w:rsidRPr="00966BD1">
        <w:rPr>
          <w:rFonts w:eastAsia="Times New Roman"/>
          <w:color w:val="000000" w:themeColor="text1"/>
          <w:sz w:val="24"/>
          <w:szCs w:val="24"/>
        </w:rPr>
        <w:t xml:space="preserve">nterdictions </w:t>
      </w:r>
      <w:r w:rsidRPr="00966BD1">
        <w:rPr>
          <w:rFonts w:eastAsia="Times New Roman"/>
          <w:color w:val="000000" w:themeColor="text1"/>
          <w:sz w:val="24"/>
          <w:szCs w:val="24"/>
        </w:rPr>
        <w:t>and ongoing deportations</w:t>
      </w:r>
      <w:r w:rsidR="008F1158" w:rsidRPr="00966BD1">
        <w:rPr>
          <w:rFonts w:eastAsia="Times New Roman"/>
          <w:color w:val="000000" w:themeColor="text1"/>
          <w:sz w:val="24"/>
          <w:szCs w:val="24"/>
        </w:rPr>
        <w:t>;</w:t>
      </w:r>
      <w:r w:rsidRPr="00966BD1">
        <w:rPr>
          <w:rFonts w:eastAsia="Times New Roman"/>
          <w:color w:val="000000" w:themeColor="text1"/>
          <w:sz w:val="24"/>
          <w:szCs w:val="24"/>
        </w:rPr>
        <w:t xml:space="preserve"> </w:t>
      </w:r>
      <w:r w:rsidR="008F1158" w:rsidRPr="00966BD1">
        <w:rPr>
          <w:rFonts w:eastAsia="Times New Roman"/>
          <w:color w:val="000000" w:themeColor="text1"/>
          <w:sz w:val="24"/>
          <w:szCs w:val="24"/>
        </w:rPr>
        <w:t xml:space="preserve">(2) </w:t>
      </w:r>
      <w:r w:rsidRPr="00966BD1">
        <w:rPr>
          <w:rFonts w:eastAsia="Times New Roman"/>
          <w:color w:val="000000" w:themeColor="text1"/>
          <w:sz w:val="24"/>
          <w:szCs w:val="24"/>
        </w:rPr>
        <w:t xml:space="preserve">the use of mandatory/mass detention and detention conditions that </w:t>
      </w:r>
      <w:r w:rsidR="000A00A3">
        <w:rPr>
          <w:rFonts w:eastAsia="Times New Roman"/>
          <w:color w:val="000000" w:themeColor="text1"/>
          <w:sz w:val="24"/>
          <w:szCs w:val="24"/>
        </w:rPr>
        <w:t>amount to</w:t>
      </w:r>
      <w:r w:rsidRPr="00966BD1">
        <w:rPr>
          <w:rFonts w:eastAsia="Times New Roman"/>
          <w:color w:val="000000" w:themeColor="text1"/>
          <w:sz w:val="24"/>
          <w:szCs w:val="24"/>
        </w:rPr>
        <w:t xml:space="preserve"> arbitrary deprivations of life and liberty and torture</w:t>
      </w:r>
      <w:r w:rsidR="008F1158" w:rsidRPr="00966BD1">
        <w:rPr>
          <w:rFonts w:eastAsia="Times New Roman"/>
          <w:color w:val="000000" w:themeColor="text1"/>
          <w:sz w:val="24"/>
          <w:szCs w:val="24"/>
        </w:rPr>
        <w:t>;</w:t>
      </w:r>
      <w:r w:rsidRPr="00966BD1">
        <w:rPr>
          <w:rFonts w:eastAsia="Times New Roman"/>
          <w:color w:val="000000" w:themeColor="text1"/>
          <w:sz w:val="24"/>
          <w:szCs w:val="24"/>
        </w:rPr>
        <w:t xml:space="preserve"> and </w:t>
      </w:r>
      <w:r w:rsidR="008F1158" w:rsidRPr="00966BD1">
        <w:rPr>
          <w:rFonts w:eastAsia="Times New Roman"/>
          <w:color w:val="000000" w:themeColor="text1"/>
          <w:sz w:val="24"/>
          <w:szCs w:val="24"/>
        </w:rPr>
        <w:t xml:space="preserve">(3) </w:t>
      </w:r>
      <w:r w:rsidRPr="00966BD1">
        <w:rPr>
          <w:rFonts w:eastAsia="Times New Roman"/>
          <w:color w:val="000000" w:themeColor="text1"/>
          <w:sz w:val="24"/>
          <w:szCs w:val="24"/>
        </w:rPr>
        <w:t xml:space="preserve">the externalization of  U.S border control by expanding the effective control of U.S. border policy to countries far from U.S. territory. Each of these categories of harm uniquely and disparately impacts Black migrants. </w:t>
      </w:r>
    </w:p>
    <w:p w14:paraId="337EAED6" w14:textId="25A839B0" w:rsidR="00433810" w:rsidRPr="00966BD1" w:rsidRDefault="72C78327" w:rsidP="009B3FC3">
      <w:pPr>
        <w:pStyle w:val="ListParagraph"/>
        <w:rPr>
          <w:rFonts w:eastAsia="Times New Roman"/>
          <w:color w:val="000000" w:themeColor="text1"/>
          <w:sz w:val="24"/>
          <w:szCs w:val="24"/>
        </w:rPr>
      </w:pPr>
      <w:r w:rsidRPr="00966BD1">
        <w:rPr>
          <w:rFonts w:eastAsia="Times New Roman"/>
          <w:color w:val="000000" w:themeColor="text1"/>
          <w:sz w:val="24"/>
          <w:szCs w:val="24"/>
        </w:rPr>
        <w:t xml:space="preserve">Despite multiple lawsuits and the outcry of advocacy groups highlighting the illegality of these practices, </w:t>
      </w:r>
      <w:r w:rsidR="000A00A3">
        <w:rPr>
          <w:rFonts w:eastAsia="Times New Roman"/>
          <w:color w:val="000000" w:themeColor="text1"/>
          <w:sz w:val="24"/>
          <w:szCs w:val="24"/>
        </w:rPr>
        <w:t xml:space="preserve">victims of </w:t>
      </w:r>
      <w:r w:rsidRPr="00966BD1">
        <w:rPr>
          <w:rFonts w:eastAsia="Times New Roman"/>
          <w:color w:val="000000" w:themeColor="text1"/>
          <w:sz w:val="24"/>
          <w:szCs w:val="24"/>
        </w:rPr>
        <w:t xml:space="preserve">the U.S.’ violation of </w:t>
      </w:r>
      <w:r w:rsidR="00EB5ED8" w:rsidRPr="00266478">
        <w:rPr>
          <w:rFonts w:eastAsia="Times New Roman"/>
          <w:color w:val="000000" w:themeColor="text1"/>
          <w:sz w:val="24"/>
          <w:szCs w:val="24"/>
        </w:rPr>
        <w:t>non-refoulement</w:t>
      </w:r>
      <w:r w:rsidRPr="00966BD1">
        <w:rPr>
          <w:rFonts w:eastAsia="Times New Roman"/>
          <w:color w:val="000000" w:themeColor="text1"/>
          <w:sz w:val="24"/>
          <w:szCs w:val="24"/>
        </w:rPr>
        <w:t>, arbitrary detention, and general racial discrimination</w:t>
      </w:r>
      <w:r w:rsidR="000A00A3">
        <w:rPr>
          <w:rFonts w:eastAsia="Times New Roman"/>
          <w:color w:val="000000" w:themeColor="text1"/>
          <w:sz w:val="24"/>
          <w:szCs w:val="24"/>
        </w:rPr>
        <w:t xml:space="preserve"> have </w:t>
      </w:r>
      <w:r w:rsidR="000A00A3" w:rsidRPr="00966BD1">
        <w:rPr>
          <w:rFonts w:eastAsia="Times New Roman"/>
          <w:color w:val="000000" w:themeColor="text1"/>
          <w:sz w:val="24"/>
          <w:szCs w:val="24"/>
        </w:rPr>
        <w:t>no access to judicial remedies</w:t>
      </w:r>
      <w:r w:rsidRPr="00966BD1">
        <w:rPr>
          <w:rFonts w:eastAsia="Times New Roman"/>
          <w:color w:val="000000" w:themeColor="text1"/>
          <w:sz w:val="24"/>
          <w:szCs w:val="24"/>
        </w:rPr>
        <w:t xml:space="preserve">. </w:t>
      </w:r>
      <w:r w:rsidR="00C23B2A">
        <w:rPr>
          <w:rFonts w:eastAsia="Times New Roman"/>
          <w:color w:val="000000" w:themeColor="text1"/>
          <w:sz w:val="24"/>
          <w:szCs w:val="24"/>
        </w:rPr>
        <w:t xml:space="preserve">As suggested by former </w:t>
      </w:r>
      <w:r w:rsidR="008C40E6" w:rsidRPr="00966BD1">
        <w:rPr>
          <w:sz w:val="24"/>
          <w:szCs w:val="24"/>
        </w:rPr>
        <w:t xml:space="preserve">Special Rapporteur on Contemporary Forms of Racism, Racial Discrimination, Xenophobia and Related Intolerance </w:t>
      </w:r>
      <w:r w:rsidR="00C23B2A">
        <w:rPr>
          <w:rFonts w:eastAsia="Times New Roman"/>
          <w:color w:val="000000" w:themeColor="text1"/>
          <w:sz w:val="24"/>
          <w:szCs w:val="24"/>
        </w:rPr>
        <w:t>E. Tendayi Achiume, m</w:t>
      </w:r>
      <w:r w:rsidR="000A00A3">
        <w:rPr>
          <w:rFonts w:eastAsia="Times New Roman"/>
          <w:color w:val="000000" w:themeColor="text1"/>
          <w:sz w:val="24"/>
          <w:szCs w:val="24"/>
        </w:rPr>
        <w:t>igration and forced displacement must be analyzed with</w:t>
      </w:r>
      <w:r w:rsidRPr="00966BD1">
        <w:rPr>
          <w:rFonts w:eastAsia="Times New Roman"/>
          <w:color w:val="000000" w:themeColor="text1"/>
          <w:sz w:val="24"/>
          <w:szCs w:val="24"/>
        </w:rPr>
        <w:t xml:space="preserve"> the added context of a lack of global reparatory justice for slavery, colonialism, and neo-colonial imperialism, as well as ongoing violations against the right to self-determination for majority Black countries such as Haiti.</w:t>
      </w:r>
      <w:r w:rsidR="00C23B2A">
        <w:rPr>
          <w:rStyle w:val="EndnoteReference"/>
          <w:rFonts w:eastAsia="Times New Roman"/>
          <w:color w:val="000000" w:themeColor="text1"/>
          <w:sz w:val="24"/>
          <w:szCs w:val="24"/>
        </w:rPr>
        <w:endnoteReference w:id="2"/>
      </w:r>
      <w:r w:rsidRPr="00966BD1">
        <w:rPr>
          <w:rFonts w:eastAsia="Times New Roman"/>
          <w:color w:val="000000" w:themeColor="text1"/>
          <w:sz w:val="24"/>
          <w:szCs w:val="24"/>
        </w:rPr>
        <w:t xml:space="preserve"> </w:t>
      </w:r>
    </w:p>
    <w:p w14:paraId="370C0D51" w14:textId="4ED9868A" w:rsidR="72C78327" w:rsidRPr="00966BD1" w:rsidRDefault="72C78327" w:rsidP="00ED2E68">
      <w:pPr>
        <w:pStyle w:val="ListParagraph"/>
        <w:rPr>
          <w:rFonts w:eastAsia="Times New Roman"/>
          <w:color w:val="000000" w:themeColor="text1"/>
          <w:sz w:val="24"/>
          <w:szCs w:val="24"/>
        </w:rPr>
      </w:pPr>
      <w:r w:rsidRPr="00966BD1">
        <w:rPr>
          <w:rFonts w:eastAsia="Times New Roman"/>
          <w:color w:val="000000" w:themeColor="text1"/>
          <w:sz w:val="24"/>
          <w:szCs w:val="24"/>
        </w:rPr>
        <w:t>This report interrogates the U.S.</w:t>
      </w:r>
      <w:r w:rsidR="004120C0">
        <w:rPr>
          <w:rFonts w:eastAsia="Times New Roman"/>
          <w:color w:val="000000" w:themeColor="text1"/>
          <w:sz w:val="24"/>
          <w:szCs w:val="24"/>
        </w:rPr>
        <w:t>’s</w:t>
      </w:r>
      <w:r w:rsidRPr="00966BD1">
        <w:rPr>
          <w:rFonts w:eastAsia="Times New Roman"/>
          <w:color w:val="000000" w:themeColor="text1"/>
          <w:sz w:val="24"/>
          <w:szCs w:val="24"/>
        </w:rPr>
        <w:t xml:space="preserve"> intentional dismissal of its obligations under its own domestic laws, the Covenant, </w:t>
      </w:r>
      <w:r w:rsidR="00433810" w:rsidRPr="00966BD1">
        <w:rPr>
          <w:rFonts w:eastAsia="Times New Roman"/>
          <w:color w:val="000000" w:themeColor="text1"/>
          <w:sz w:val="24"/>
          <w:szCs w:val="24"/>
        </w:rPr>
        <w:t xml:space="preserve">the </w:t>
      </w:r>
      <w:r w:rsidRPr="00966BD1">
        <w:rPr>
          <w:rFonts w:eastAsia="Times New Roman"/>
          <w:color w:val="000000" w:themeColor="text1"/>
          <w:sz w:val="24"/>
          <w:szCs w:val="24"/>
        </w:rPr>
        <w:t>Protocol relating to the Status of Refugees</w:t>
      </w:r>
      <w:r w:rsidR="007432A1" w:rsidRPr="00966BD1">
        <w:rPr>
          <w:rFonts w:eastAsia="Times New Roman"/>
          <w:color w:val="000000" w:themeColor="text1"/>
          <w:sz w:val="24"/>
          <w:szCs w:val="24"/>
        </w:rPr>
        <w:t xml:space="preserve"> (</w:t>
      </w:r>
      <w:r w:rsidR="008F1158" w:rsidRPr="00966BD1">
        <w:rPr>
          <w:rFonts w:eastAsia="Times New Roman"/>
          <w:color w:val="000000" w:themeColor="text1"/>
          <w:sz w:val="24"/>
          <w:szCs w:val="24"/>
        </w:rPr>
        <w:t>“</w:t>
      </w:r>
      <w:r w:rsidR="007432A1" w:rsidRPr="00966BD1">
        <w:rPr>
          <w:rFonts w:eastAsia="Times New Roman"/>
          <w:color w:val="000000" w:themeColor="text1"/>
          <w:sz w:val="24"/>
          <w:szCs w:val="24"/>
        </w:rPr>
        <w:t>Refugee Protocol</w:t>
      </w:r>
      <w:r w:rsidR="008F1158" w:rsidRPr="00966BD1">
        <w:rPr>
          <w:rFonts w:eastAsia="Times New Roman"/>
          <w:color w:val="000000" w:themeColor="text1"/>
          <w:sz w:val="24"/>
          <w:szCs w:val="24"/>
        </w:rPr>
        <w:t>”</w:t>
      </w:r>
      <w:r w:rsidR="007432A1" w:rsidRPr="00966BD1">
        <w:rPr>
          <w:rFonts w:eastAsia="Times New Roman"/>
          <w:color w:val="000000" w:themeColor="text1"/>
          <w:sz w:val="24"/>
          <w:szCs w:val="24"/>
        </w:rPr>
        <w:t>)</w:t>
      </w:r>
      <w:r w:rsidRPr="00966BD1">
        <w:rPr>
          <w:rFonts w:eastAsia="Times New Roman"/>
          <w:color w:val="000000" w:themeColor="text1"/>
          <w:sz w:val="24"/>
          <w:szCs w:val="24"/>
        </w:rPr>
        <w:t>, the Convention against Torture and Other Cruel, Inhuman or Degrading Treatment</w:t>
      </w:r>
      <w:r w:rsidR="007432A1" w:rsidRPr="00966BD1">
        <w:rPr>
          <w:rFonts w:eastAsia="Times New Roman"/>
          <w:color w:val="000000" w:themeColor="text1"/>
          <w:sz w:val="24"/>
          <w:szCs w:val="24"/>
        </w:rPr>
        <w:t xml:space="preserve"> (</w:t>
      </w:r>
      <w:r w:rsidR="008F1158" w:rsidRPr="00966BD1">
        <w:rPr>
          <w:rFonts w:eastAsia="Times New Roman"/>
          <w:color w:val="000000" w:themeColor="text1"/>
          <w:sz w:val="24"/>
          <w:szCs w:val="24"/>
        </w:rPr>
        <w:t>“</w:t>
      </w:r>
      <w:r w:rsidR="007432A1" w:rsidRPr="00966BD1">
        <w:rPr>
          <w:rFonts w:eastAsia="Times New Roman"/>
          <w:color w:val="000000" w:themeColor="text1"/>
          <w:sz w:val="24"/>
          <w:szCs w:val="24"/>
        </w:rPr>
        <w:t>CAT</w:t>
      </w:r>
      <w:r w:rsidR="008F1158" w:rsidRPr="00966BD1">
        <w:rPr>
          <w:rFonts w:eastAsia="Times New Roman"/>
          <w:color w:val="000000" w:themeColor="text1"/>
          <w:sz w:val="24"/>
          <w:szCs w:val="24"/>
        </w:rPr>
        <w:t>”</w:t>
      </w:r>
      <w:r w:rsidR="007432A1" w:rsidRPr="00966BD1">
        <w:rPr>
          <w:rFonts w:eastAsia="Times New Roman"/>
          <w:color w:val="000000" w:themeColor="text1"/>
          <w:sz w:val="24"/>
          <w:szCs w:val="24"/>
        </w:rPr>
        <w:t>)</w:t>
      </w:r>
      <w:r w:rsidRPr="00966BD1">
        <w:rPr>
          <w:rFonts w:eastAsia="Times New Roman"/>
          <w:color w:val="000000" w:themeColor="text1"/>
          <w:sz w:val="24"/>
          <w:szCs w:val="24"/>
        </w:rPr>
        <w:t xml:space="preserve">, and </w:t>
      </w:r>
      <w:r w:rsidR="00C23B2A">
        <w:rPr>
          <w:rFonts w:eastAsia="Times New Roman"/>
          <w:color w:val="000000" w:themeColor="text1"/>
          <w:sz w:val="24"/>
          <w:szCs w:val="24"/>
        </w:rPr>
        <w:t xml:space="preserve">the </w:t>
      </w:r>
      <w:r w:rsidRPr="00966BD1">
        <w:rPr>
          <w:rFonts w:eastAsia="Times New Roman"/>
          <w:color w:val="000000" w:themeColor="text1"/>
          <w:sz w:val="24"/>
          <w:szCs w:val="24"/>
        </w:rPr>
        <w:t>International Convention on the Elimination of All Forms of Racial Discrimination</w:t>
      </w:r>
      <w:r w:rsidR="007432A1" w:rsidRPr="00966BD1">
        <w:rPr>
          <w:rFonts w:eastAsia="Times New Roman"/>
          <w:color w:val="000000" w:themeColor="text1"/>
          <w:sz w:val="24"/>
          <w:szCs w:val="24"/>
        </w:rPr>
        <w:t xml:space="preserve"> (</w:t>
      </w:r>
      <w:r w:rsidR="008F1158" w:rsidRPr="00966BD1">
        <w:rPr>
          <w:rFonts w:eastAsia="Times New Roman"/>
          <w:color w:val="000000" w:themeColor="text1"/>
          <w:sz w:val="24"/>
          <w:szCs w:val="24"/>
        </w:rPr>
        <w:t>“</w:t>
      </w:r>
      <w:r w:rsidR="00146F4D" w:rsidRPr="00966BD1">
        <w:rPr>
          <w:rFonts w:eastAsia="Times New Roman"/>
          <w:color w:val="000000" w:themeColor="text1"/>
          <w:sz w:val="24"/>
          <w:szCs w:val="24"/>
        </w:rPr>
        <w:t>I</w:t>
      </w:r>
      <w:r w:rsidR="007432A1" w:rsidRPr="00966BD1">
        <w:rPr>
          <w:rFonts w:eastAsia="Times New Roman"/>
          <w:color w:val="000000" w:themeColor="text1"/>
          <w:sz w:val="24"/>
          <w:szCs w:val="24"/>
        </w:rPr>
        <w:t>CERD</w:t>
      </w:r>
      <w:r w:rsidR="008F1158" w:rsidRPr="00966BD1">
        <w:rPr>
          <w:rFonts w:eastAsia="Times New Roman"/>
          <w:color w:val="000000" w:themeColor="text1"/>
          <w:sz w:val="24"/>
          <w:szCs w:val="24"/>
        </w:rPr>
        <w:t>”</w:t>
      </w:r>
      <w:r w:rsidR="007432A1" w:rsidRPr="00966BD1">
        <w:rPr>
          <w:rFonts w:eastAsia="Times New Roman"/>
          <w:color w:val="000000" w:themeColor="text1"/>
          <w:sz w:val="24"/>
          <w:szCs w:val="24"/>
        </w:rPr>
        <w:t>)</w:t>
      </w:r>
      <w:r w:rsidRPr="00966BD1">
        <w:rPr>
          <w:rFonts w:eastAsia="Times New Roman"/>
          <w:color w:val="000000" w:themeColor="text1"/>
          <w:sz w:val="24"/>
          <w:szCs w:val="24"/>
        </w:rPr>
        <w:t>. It also presents clear recommendation</w:t>
      </w:r>
      <w:r w:rsidR="004120C0">
        <w:rPr>
          <w:rFonts w:eastAsia="Times New Roman"/>
          <w:color w:val="000000" w:themeColor="text1"/>
          <w:sz w:val="24"/>
          <w:szCs w:val="24"/>
        </w:rPr>
        <w:t>s</w:t>
      </w:r>
      <w:r w:rsidRPr="00966BD1">
        <w:rPr>
          <w:rFonts w:eastAsia="Times New Roman"/>
          <w:color w:val="000000" w:themeColor="text1"/>
          <w:sz w:val="24"/>
          <w:szCs w:val="24"/>
        </w:rPr>
        <w:t xml:space="preserve"> to remedy the aforementioned harms.</w:t>
      </w:r>
    </w:p>
    <w:p w14:paraId="1A6A504F" w14:textId="3230C588" w:rsidR="00396172" w:rsidRPr="00966BD1" w:rsidRDefault="00396172" w:rsidP="72C78327">
      <w:pPr>
        <w:jc w:val="both"/>
        <w:rPr>
          <w:rFonts w:ascii="Times New Roman" w:hAnsi="Times New Roman" w:cs="Times New Roman"/>
          <w:sz w:val="24"/>
          <w:szCs w:val="24"/>
        </w:rPr>
      </w:pPr>
    </w:p>
    <w:p w14:paraId="5411EECD" w14:textId="1180A2B5" w:rsidR="00955622" w:rsidRPr="00966BD1" w:rsidRDefault="30954339" w:rsidP="00BE62B0">
      <w:pPr>
        <w:pStyle w:val="Heading1"/>
        <w:ind w:left="720"/>
        <w:rPr>
          <w:sz w:val="24"/>
          <w:szCs w:val="24"/>
        </w:rPr>
      </w:pPr>
      <w:bookmarkStart w:id="5" w:name="_Toc143210363"/>
      <w:bookmarkStart w:id="6" w:name="_Toc145307861"/>
      <w:r w:rsidRPr="00966BD1">
        <w:rPr>
          <w:sz w:val="24"/>
          <w:szCs w:val="24"/>
        </w:rPr>
        <w:t xml:space="preserve">Constitutional and legal framework </w:t>
      </w:r>
      <w:r w:rsidR="00C23B2A">
        <w:rPr>
          <w:sz w:val="24"/>
          <w:szCs w:val="24"/>
        </w:rPr>
        <w:t>implementing the</w:t>
      </w:r>
      <w:r w:rsidRPr="00966BD1">
        <w:rPr>
          <w:sz w:val="24"/>
          <w:szCs w:val="24"/>
        </w:rPr>
        <w:t xml:space="preserve"> Covenant (art. 2)</w:t>
      </w:r>
      <w:bookmarkEnd w:id="5"/>
      <w:bookmarkEnd w:id="6"/>
    </w:p>
    <w:p w14:paraId="59791DFD" w14:textId="3F16D1FE" w:rsidR="00036381" w:rsidRPr="00966BD1" w:rsidRDefault="007432A1" w:rsidP="00036381">
      <w:pPr>
        <w:pStyle w:val="ListParagraph"/>
        <w:rPr>
          <w:sz w:val="24"/>
          <w:szCs w:val="24"/>
        </w:rPr>
      </w:pPr>
      <w:bookmarkStart w:id="7" w:name="_Toc143210364"/>
      <w:r w:rsidRPr="00966BD1">
        <w:rPr>
          <w:sz w:val="24"/>
          <w:szCs w:val="24"/>
        </w:rPr>
        <w:t>The U.S. has a rigorous constitutional and legal framework that purports to protect rights, but s</w:t>
      </w:r>
      <w:r w:rsidR="72C78327" w:rsidRPr="00966BD1">
        <w:rPr>
          <w:sz w:val="24"/>
          <w:szCs w:val="24"/>
        </w:rPr>
        <w:t xml:space="preserve">ince its inception the U.S. has designed and manipulated </w:t>
      </w:r>
      <w:r w:rsidRPr="00966BD1">
        <w:rPr>
          <w:sz w:val="24"/>
          <w:szCs w:val="24"/>
        </w:rPr>
        <w:t>this</w:t>
      </w:r>
      <w:r w:rsidR="72C78327" w:rsidRPr="00966BD1">
        <w:rPr>
          <w:sz w:val="24"/>
          <w:szCs w:val="24"/>
        </w:rPr>
        <w:t xml:space="preserve"> framework to exclude non-white people considered non-citizens or foreign nationals from accessing protections under domestic and international law, including under the Covenant. As detailed below, and using its reservations to international human rights treaties, the U.S. legal framework empower</w:t>
      </w:r>
      <w:r w:rsidRPr="00966BD1">
        <w:rPr>
          <w:sz w:val="24"/>
          <w:szCs w:val="24"/>
        </w:rPr>
        <w:t>s</w:t>
      </w:r>
      <w:r w:rsidR="72C78327" w:rsidRPr="00966BD1">
        <w:rPr>
          <w:sz w:val="24"/>
          <w:szCs w:val="24"/>
        </w:rPr>
        <w:t xml:space="preserve"> a broad array of strategies to deter and prevent Black, </w:t>
      </w:r>
      <w:r w:rsidR="000F44B4" w:rsidRPr="00966BD1">
        <w:rPr>
          <w:sz w:val="24"/>
          <w:szCs w:val="24"/>
        </w:rPr>
        <w:t>I</w:t>
      </w:r>
      <w:r w:rsidR="72C78327" w:rsidRPr="00966BD1">
        <w:rPr>
          <w:sz w:val="24"/>
          <w:szCs w:val="24"/>
        </w:rPr>
        <w:t xml:space="preserve">ndigenous, and other </w:t>
      </w:r>
      <w:r w:rsidR="72C78327" w:rsidRPr="00966BD1">
        <w:rPr>
          <w:sz w:val="24"/>
          <w:szCs w:val="24"/>
        </w:rPr>
        <w:lastRenderedPageBreak/>
        <w:t xml:space="preserve">non-white peoples from the Global South from exercising their rights to human mobility, presenting at the U.S. border, and entering the </w:t>
      </w:r>
      <w:r w:rsidR="00E6635C" w:rsidRPr="00966BD1">
        <w:rPr>
          <w:sz w:val="24"/>
          <w:szCs w:val="24"/>
        </w:rPr>
        <w:t>U.S.</w:t>
      </w:r>
    </w:p>
    <w:p w14:paraId="79EE21CB" w14:textId="3F61D92D" w:rsidR="000362C9" w:rsidRPr="00966BD1" w:rsidRDefault="002F5949" w:rsidP="00036381">
      <w:pPr>
        <w:pStyle w:val="ListParagraph"/>
        <w:rPr>
          <w:sz w:val="24"/>
          <w:szCs w:val="24"/>
        </w:rPr>
      </w:pPr>
      <w:r w:rsidRPr="00966BD1">
        <w:rPr>
          <w:sz w:val="24"/>
          <w:szCs w:val="24"/>
        </w:rPr>
        <w:t>The U.S.</w:t>
      </w:r>
      <w:r w:rsidR="00747FE7" w:rsidRPr="00966BD1">
        <w:rPr>
          <w:sz w:val="24"/>
          <w:szCs w:val="24"/>
        </w:rPr>
        <w:t xml:space="preserve"> created its</w:t>
      </w:r>
      <w:r w:rsidRPr="00966BD1">
        <w:rPr>
          <w:sz w:val="24"/>
          <w:szCs w:val="24"/>
        </w:rPr>
        <w:t xml:space="preserve"> ongoing </w:t>
      </w:r>
      <w:r w:rsidR="005E5CDA" w:rsidRPr="00966BD1">
        <w:rPr>
          <w:sz w:val="24"/>
          <w:szCs w:val="24"/>
        </w:rPr>
        <w:t>“</w:t>
      </w:r>
      <w:r w:rsidRPr="00966BD1">
        <w:rPr>
          <w:sz w:val="24"/>
          <w:szCs w:val="24"/>
        </w:rPr>
        <w:t>Prevention through Deterrence</w:t>
      </w:r>
      <w:r w:rsidR="005E5CDA" w:rsidRPr="00966BD1">
        <w:rPr>
          <w:sz w:val="24"/>
          <w:szCs w:val="24"/>
        </w:rPr>
        <w:t>”</w:t>
      </w:r>
      <w:r w:rsidRPr="00966BD1">
        <w:rPr>
          <w:sz w:val="24"/>
          <w:szCs w:val="24"/>
        </w:rPr>
        <w:t xml:space="preserve"> policies and practices partly in response to new political sentiment coalescing around the </w:t>
      </w:r>
      <w:r w:rsidR="00A008FA" w:rsidRPr="00966BD1">
        <w:rPr>
          <w:sz w:val="24"/>
          <w:szCs w:val="24"/>
        </w:rPr>
        <w:t>migration</w:t>
      </w:r>
      <w:r w:rsidRPr="00966BD1">
        <w:rPr>
          <w:sz w:val="24"/>
          <w:szCs w:val="24"/>
        </w:rPr>
        <w:t xml:space="preserve"> of Black people</w:t>
      </w:r>
      <w:r w:rsidR="00A008FA" w:rsidRPr="00966BD1">
        <w:rPr>
          <w:sz w:val="24"/>
          <w:szCs w:val="24"/>
        </w:rPr>
        <w:t>, particularly Haitian nationals,</w:t>
      </w:r>
      <w:r w:rsidRPr="00966BD1">
        <w:rPr>
          <w:sz w:val="24"/>
          <w:szCs w:val="24"/>
        </w:rPr>
        <w:t xml:space="preserve"> seeking legal protections through rights guaranteed by the Covenant.</w:t>
      </w:r>
      <w:bookmarkStart w:id="8" w:name="_Ref145400497"/>
      <w:bookmarkEnd w:id="7"/>
      <w:r w:rsidR="000362C9" w:rsidRPr="00966BD1">
        <w:rPr>
          <w:sz w:val="24"/>
          <w:szCs w:val="24"/>
          <w:vertAlign w:val="superscript"/>
        </w:rPr>
        <w:endnoteReference w:id="3"/>
      </w:r>
      <w:bookmarkEnd w:id="8"/>
      <w:r w:rsidR="000362C9" w:rsidRPr="00966BD1">
        <w:rPr>
          <w:sz w:val="24"/>
          <w:szCs w:val="24"/>
        </w:rPr>
        <w:t xml:space="preserve"> As alleged by plaintiffs in </w:t>
      </w:r>
      <w:r w:rsidR="000362C9" w:rsidRPr="00966BD1">
        <w:rPr>
          <w:i/>
          <w:iCs/>
          <w:sz w:val="24"/>
          <w:szCs w:val="24"/>
        </w:rPr>
        <w:t>H</w:t>
      </w:r>
      <w:r w:rsidR="000362C9">
        <w:rPr>
          <w:i/>
          <w:iCs/>
          <w:sz w:val="24"/>
          <w:szCs w:val="24"/>
        </w:rPr>
        <w:t>aitian Bridge Alliance et al.</w:t>
      </w:r>
      <w:r w:rsidR="000362C9" w:rsidRPr="00966BD1">
        <w:rPr>
          <w:i/>
          <w:iCs/>
          <w:sz w:val="24"/>
          <w:szCs w:val="24"/>
        </w:rPr>
        <w:t xml:space="preserve"> v. Biden</w:t>
      </w:r>
      <w:r w:rsidR="000362C9" w:rsidRPr="00966BD1">
        <w:rPr>
          <w:sz w:val="24"/>
          <w:szCs w:val="24"/>
        </w:rPr>
        <w:t>, these Prevention through Deterrence policies, including the “Haitian Deterrence Policy,” are animated by “a discriminatory purpose toward Black and Haitian migrants; a desire to keep Black and Haitian migrants out of the country; and a plan to send a message to other Haitian asylum seekers not to come to the United States.”</w:t>
      </w:r>
      <w:bookmarkStart w:id="9" w:name="_Ref145400072"/>
      <w:r w:rsidR="000362C9" w:rsidRPr="00966BD1">
        <w:rPr>
          <w:sz w:val="24"/>
          <w:szCs w:val="24"/>
          <w:vertAlign w:val="superscript"/>
        </w:rPr>
        <w:endnoteReference w:id="4"/>
      </w:r>
      <w:bookmarkEnd w:id="9"/>
      <w:r w:rsidR="000362C9" w:rsidRPr="00966BD1">
        <w:rPr>
          <w:sz w:val="24"/>
          <w:szCs w:val="24"/>
        </w:rPr>
        <w:t xml:space="preserve"> The Prevention through Deterrence polic</w:t>
      </w:r>
      <w:r w:rsidR="000362C9">
        <w:rPr>
          <w:sz w:val="24"/>
          <w:szCs w:val="24"/>
        </w:rPr>
        <w:t>i</w:t>
      </w:r>
      <w:r w:rsidR="000362C9" w:rsidRPr="00966BD1">
        <w:rPr>
          <w:sz w:val="24"/>
          <w:szCs w:val="24"/>
        </w:rPr>
        <w:t xml:space="preserve">es have a special focus on Haitian nationals, but they impact all African people, People of African Descent, and other non-white peoples subject to racism, as defined by </w:t>
      </w:r>
      <w:r w:rsidR="000362C9">
        <w:rPr>
          <w:sz w:val="24"/>
          <w:szCs w:val="24"/>
        </w:rPr>
        <w:t>I</w:t>
      </w:r>
      <w:r w:rsidR="000362C9" w:rsidRPr="00966BD1">
        <w:rPr>
          <w:sz w:val="24"/>
          <w:szCs w:val="24"/>
        </w:rPr>
        <w:t xml:space="preserve">CERD.  </w:t>
      </w:r>
    </w:p>
    <w:p w14:paraId="5EFD66D5" w14:textId="7E032396" w:rsidR="000362C9" w:rsidRPr="00966BD1" w:rsidRDefault="000362C9" w:rsidP="00F13A9D">
      <w:pPr>
        <w:pStyle w:val="Heading2"/>
        <w:rPr>
          <w:rFonts w:cs="Times New Roman"/>
          <w:sz w:val="24"/>
          <w:szCs w:val="24"/>
        </w:rPr>
      </w:pPr>
      <w:bookmarkStart w:id="10" w:name="_Toc145307862"/>
      <w:r w:rsidRPr="00966BD1">
        <w:rPr>
          <w:rFonts w:cs="Times New Roman"/>
          <w:sz w:val="24"/>
          <w:szCs w:val="24"/>
        </w:rPr>
        <w:t>U.S. Constitutional Framework</w:t>
      </w:r>
      <w:bookmarkEnd w:id="10"/>
    </w:p>
    <w:p w14:paraId="6566623B" w14:textId="4FB7622C" w:rsidR="000362C9" w:rsidRPr="00966BD1" w:rsidRDefault="000362C9" w:rsidP="000455C7">
      <w:pPr>
        <w:pStyle w:val="ListParagraph"/>
        <w:rPr>
          <w:sz w:val="24"/>
          <w:szCs w:val="24"/>
        </w:rPr>
      </w:pPr>
      <w:r w:rsidRPr="00966BD1">
        <w:rPr>
          <w:sz w:val="24"/>
          <w:szCs w:val="24"/>
        </w:rPr>
        <w:t>The U.S. Constitution creates a three-part governmental system</w:t>
      </w:r>
      <w:r w:rsidRPr="00966BD1">
        <w:rPr>
          <w:rStyle w:val="EndnoteReference"/>
          <w:sz w:val="24"/>
          <w:szCs w:val="24"/>
        </w:rPr>
        <w:endnoteReference w:id="5"/>
      </w:r>
      <w:r w:rsidRPr="00966BD1">
        <w:rPr>
          <w:sz w:val="24"/>
          <w:szCs w:val="24"/>
        </w:rPr>
        <w:t xml:space="preserve"> composed of an executive, legislative, and judicial branch.</w:t>
      </w:r>
      <w:r w:rsidRPr="00966BD1">
        <w:rPr>
          <w:rStyle w:val="EndnoteReference"/>
          <w:sz w:val="24"/>
          <w:szCs w:val="24"/>
        </w:rPr>
        <w:endnoteReference w:id="6"/>
      </w:r>
      <w:r w:rsidRPr="00966BD1">
        <w:rPr>
          <w:sz w:val="24"/>
          <w:szCs w:val="24"/>
        </w:rPr>
        <w:t xml:space="preserve"> The executive branch is empowered to make and enter into treaties on behalf of the U.S.;</w:t>
      </w:r>
      <w:r w:rsidRPr="00966BD1">
        <w:rPr>
          <w:rStyle w:val="EndnoteReference"/>
          <w:sz w:val="24"/>
          <w:szCs w:val="24"/>
        </w:rPr>
        <w:endnoteReference w:id="7"/>
      </w:r>
      <w:r w:rsidRPr="00966BD1">
        <w:rPr>
          <w:sz w:val="24"/>
          <w:szCs w:val="24"/>
        </w:rPr>
        <w:t xml:space="preserve"> though the Constitution requires the legislative branch to accede to treaties in order for them to take domestic effect.</w:t>
      </w:r>
      <w:r w:rsidRPr="00966BD1">
        <w:rPr>
          <w:rStyle w:val="EndnoteReference"/>
          <w:sz w:val="24"/>
          <w:szCs w:val="24"/>
        </w:rPr>
        <w:endnoteReference w:id="8"/>
      </w:r>
      <w:r w:rsidRPr="00966BD1">
        <w:rPr>
          <w:sz w:val="24"/>
          <w:szCs w:val="24"/>
        </w:rPr>
        <w:t xml:space="preserve"> Courts and localities are bound by treaties once given effect, subject to reservations or declarations made upon ratification.</w:t>
      </w:r>
      <w:r w:rsidRPr="00966BD1">
        <w:rPr>
          <w:rStyle w:val="EndnoteReference"/>
          <w:sz w:val="24"/>
          <w:szCs w:val="24"/>
        </w:rPr>
        <w:endnoteReference w:id="9"/>
      </w:r>
      <w:r w:rsidRPr="00966BD1">
        <w:rPr>
          <w:sz w:val="24"/>
          <w:szCs w:val="24"/>
        </w:rPr>
        <w:t xml:space="preserve"> </w:t>
      </w:r>
    </w:p>
    <w:p w14:paraId="23D3650D" w14:textId="20A8C8F7" w:rsidR="000362C9" w:rsidRPr="00966BD1" w:rsidRDefault="000362C9" w:rsidP="000455C7">
      <w:pPr>
        <w:pStyle w:val="ListParagraph"/>
        <w:rPr>
          <w:sz w:val="24"/>
          <w:szCs w:val="24"/>
        </w:rPr>
      </w:pPr>
      <w:r w:rsidRPr="00966BD1">
        <w:rPr>
          <w:sz w:val="24"/>
          <w:szCs w:val="24"/>
        </w:rPr>
        <w:t>The legislative branch is responsible for creating laws regarding naturalization and citizenship; the executive branch is responsible for enforcement; and the judicial branch is responsible for adjudicating cases and controversies related to citizenship and the treatment of foreign nationals.</w:t>
      </w:r>
      <w:r w:rsidRPr="00966BD1">
        <w:rPr>
          <w:rStyle w:val="EndnoteReference"/>
          <w:sz w:val="24"/>
          <w:szCs w:val="24"/>
        </w:rPr>
        <w:endnoteReference w:id="10"/>
      </w:r>
      <w:r w:rsidRPr="00966BD1">
        <w:rPr>
          <w:sz w:val="24"/>
          <w:szCs w:val="24"/>
        </w:rPr>
        <w:t xml:space="preserve"> </w:t>
      </w:r>
    </w:p>
    <w:p w14:paraId="21A2849E" w14:textId="0389F80B" w:rsidR="000362C9" w:rsidRPr="00966BD1" w:rsidRDefault="000362C9" w:rsidP="00F13A9D">
      <w:pPr>
        <w:pStyle w:val="Heading2"/>
        <w:rPr>
          <w:rFonts w:cs="Times New Roman"/>
          <w:sz w:val="24"/>
          <w:szCs w:val="24"/>
        </w:rPr>
      </w:pPr>
      <w:bookmarkStart w:id="11" w:name="_Toc145307863"/>
      <w:r w:rsidRPr="00966BD1">
        <w:rPr>
          <w:rFonts w:cs="Times New Roman"/>
          <w:sz w:val="24"/>
          <w:szCs w:val="24"/>
        </w:rPr>
        <w:t>International Covenant on Civil and Political Rights</w:t>
      </w:r>
      <w:bookmarkEnd w:id="11"/>
    </w:p>
    <w:p w14:paraId="589A425F" w14:textId="5A9FCAB1" w:rsidR="000362C9" w:rsidRPr="00ED2E68" w:rsidRDefault="000362C9" w:rsidP="00254D82">
      <w:pPr>
        <w:pStyle w:val="ListParagraph"/>
        <w:rPr>
          <w:sz w:val="24"/>
          <w:szCs w:val="24"/>
        </w:rPr>
      </w:pPr>
      <w:r w:rsidRPr="00966BD1">
        <w:rPr>
          <w:sz w:val="24"/>
          <w:szCs w:val="24"/>
        </w:rPr>
        <w:t xml:space="preserve">The </w:t>
      </w:r>
      <w:r>
        <w:rPr>
          <w:sz w:val="24"/>
          <w:szCs w:val="24"/>
        </w:rPr>
        <w:t>U.S.</w:t>
      </w:r>
      <w:r w:rsidRPr="00966BD1">
        <w:rPr>
          <w:sz w:val="24"/>
          <w:szCs w:val="24"/>
        </w:rPr>
        <w:t xml:space="preserve"> ratified the Covenant in 1992.</w:t>
      </w:r>
      <w:bookmarkStart w:id="12" w:name="_Ref145400248"/>
      <w:r w:rsidRPr="00966BD1">
        <w:rPr>
          <w:rStyle w:val="EndnoteReference"/>
          <w:sz w:val="24"/>
          <w:szCs w:val="24"/>
        </w:rPr>
        <w:endnoteReference w:id="11"/>
      </w:r>
      <w:bookmarkEnd w:id="12"/>
      <w:r w:rsidRPr="00966BD1">
        <w:rPr>
          <w:sz w:val="24"/>
          <w:szCs w:val="24"/>
        </w:rPr>
        <w:t xml:space="preserve"> </w:t>
      </w:r>
      <w:r w:rsidRPr="00ED2E68">
        <w:rPr>
          <w:sz w:val="24"/>
          <w:szCs w:val="24"/>
        </w:rPr>
        <w:t xml:space="preserve">The U.S. asserts that the Convention does not apply to foreign nationals </w:t>
      </w:r>
      <w:r w:rsidR="00C23B2A">
        <w:rPr>
          <w:sz w:val="24"/>
          <w:szCs w:val="24"/>
        </w:rPr>
        <w:t xml:space="preserve">or </w:t>
      </w:r>
      <w:r w:rsidRPr="00ED2E68">
        <w:rPr>
          <w:sz w:val="24"/>
          <w:szCs w:val="24"/>
        </w:rPr>
        <w:t>to foreign nationals under the U.S.’s effective control while outside of U.S. territory, including the Covenant’s prohibition against refoulement.</w:t>
      </w:r>
      <w:bookmarkStart w:id="13" w:name="_Ref145400186"/>
      <w:r w:rsidRPr="00966BD1">
        <w:rPr>
          <w:rStyle w:val="EndnoteReference"/>
          <w:sz w:val="24"/>
          <w:szCs w:val="24"/>
        </w:rPr>
        <w:endnoteReference w:id="12"/>
      </w:r>
      <w:bookmarkEnd w:id="13"/>
      <w:r w:rsidRPr="00ED2E68">
        <w:rPr>
          <w:sz w:val="24"/>
          <w:szCs w:val="24"/>
        </w:rPr>
        <w:t xml:space="preserve"> </w:t>
      </w:r>
      <w:r w:rsidR="00C23B2A">
        <w:rPr>
          <w:sz w:val="24"/>
          <w:szCs w:val="24"/>
        </w:rPr>
        <w:t>R</w:t>
      </w:r>
      <w:r w:rsidRPr="00ED2E68">
        <w:rPr>
          <w:sz w:val="24"/>
          <w:szCs w:val="24"/>
        </w:rPr>
        <w:t>eservations make the Convention non-self-executing—claiming that the provisions in U.S. law already guarantee adequate protections against racism—and so no person, citizen or non-citizen, can assert a claim or access judicial remedies based on the Covenant.</w:t>
      </w:r>
    </w:p>
    <w:p w14:paraId="1F6C8B64" w14:textId="385B046C" w:rsidR="000362C9" w:rsidRPr="00966BD1" w:rsidRDefault="000362C9" w:rsidP="00F13A9D">
      <w:pPr>
        <w:pStyle w:val="Heading2"/>
        <w:rPr>
          <w:rFonts w:cs="Times New Roman"/>
          <w:sz w:val="24"/>
          <w:szCs w:val="24"/>
        </w:rPr>
      </w:pPr>
      <w:bookmarkStart w:id="14" w:name="_Toc143210365"/>
      <w:bookmarkStart w:id="15" w:name="_Toc145307864"/>
      <w:r w:rsidRPr="00966BD1">
        <w:rPr>
          <w:rFonts w:cs="Times New Roman"/>
          <w:sz w:val="24"/>
          <w:szCs w:val="24"/>
        </w:rPr>
        <w:t>Other Relevant Treaties</w:t>
      </w:r>
      <w:bookmarkEnd w:id="14"/>
      <w:bookmarkEnd w:id="15"/>
    </w:p>
    <w:p w14:paraId="517D6E28" w14:textId="6621F70C" w:rsidR="000362C9" w:rsidRPr="00966BD1" w:rsidRDefault="000362C9">
      <w:pPr>
        <w:pStyle w:val="ListParagraph"/>
        <w:rPr>
          <w:rFonts w:eastAsia="Calibri"/>
          <w:sz w:val="24"/>
          <w:szCs w:val="24"/>
        </w:rPr>
      </w:pPr>
      <w:r w:rsidRPr="00966BD1">
        <w:rPr>
          <w:sz w:val="24"/>
          <w:szCs w:val="24"/>
        </w:rPr>
        <w:t>In 1968, the U.S. became a party to the 1967 Protocol relating to the Status of Refugees and thus the substantive framework of the 1951 Refugee Convention.</w:t>
      </w:r>
      <w:r w:rsidRPr="00966BD1">
        <w:rPr>
          <w:rStyle w:val="EndnoteReference"/>
          <w:sz w:val="24"/>
          <w:szCs w:val="24"/>
        </w:rPr>
        <w:endnoteReference w:id="13"/>
      </w:r>
      <w:r w:rsidRPr="00966BD1">
        <w:rPr>
          <w:sz w:val="24"/>
          <w:szCs w:val="24"/>
        </w:rPr>
        <w:t xml:space="preserve"> The treaty prohibits governments from returning refugees to a country where their life or liberty would be threatened on the basis of a protected ground, and from imposing penalties on refugees who entered without inspection in search of asylum if they present themselves to immigration authorities without delay.</w:t>
      </w:r>
      <w:r w:rsidRPr="00966BD1">
        <w:rPr>
          <w:rStyle w:val="EndnoteReference"/>
          <w:sz w:val="24"/>
          <w:szCs w:val="24"/>
        </w:rPr>
        <w:endnoteReference w:id="14"/>
      </w:r>
      <w:r w:rsidRPr="00966BD1">
        <w:rPr>
          <w:sz w:val="24"/>
          <w:szCs w:val="24"/>
        </w:rPr>
        <w:t xml:space="preserve"> </w:t>
      </w:r>
    </w:p>
    <w:p w14:paraId="0EE2E423" w14:textId="3F2FE069" w:rsidR="000362C9" w:rsidRPr="00966BD1" w:rsidRDefault="000362C9" w:rsidP="00F32242">
      <w:pPr>
        <w:pStyle w:val="ListParagraph"/>
        <w:rPr>
          <w:sz w:val="24"/>
          <w:szCs w:val="24"/>
        </w:rPr>
      </w:pPr>
      <w:r w:rsidRPr="00966BD1">
        <w:rPr>
          <w:sz w:val="24"/>
          <w:szCs w:val="24"/>
        </w:rPr>
        <w:lastRenderedPageBreak/>
        <w:t>In 1994, the U</w:t>
      </w:r>
      <w:r w:rsidR="00C23B2A">
        <w:rPr>
          <w:sz w:val="24"/>
          <w:szCs w:val="24"/>
        </w:rPr>
        <w:t>.</w:t>
      </w:r>
      <w:r w:rsidRPr="00966BD1">
        <w:rPr>
          <w:sz w:val="24"/>
          <w:szCs w:val="24"/>
        </w:rPr>
        <w:t>S</w:t>
      </w:r>
      <w:r w:rsidR="00C23B2A">
        <w:rPr>
          <w:sz w:val="24"/>
          <w:szCs w:val="24"/>
        </w:rPr>
        <w:t>.</w:t>
      </w:r>
      <w:r w:rsidRPr="00966BD1">
        <w:rPr>
          <w:sz w:val="24"/>
          <w:szCs w:val="24"/>
        </w:rPr>
        <w:t xml:space="preserve"> acceded to the </w:t>
      </w:r>
      <w:r w:rsidR="00C23B2A">
        <w:rPr>
          <w:sz w:val="24"/>
          <w:szCs w:val="24"/>
        </w:rPr>
        <w:t>CAT</w:t>
      </w:r>
      <w:r w:rsidRPr="00966BD1">
        <w:rPr>
          <w:sz w:val="24"/>
          <w:szCs w:val="24"/>
        </w:rPr>
        <w:t>,</w:t>
      </w:r>
      <w:r w:rsidRPr="00966BD1">
        <w:rPr>
          <w:rStyle w:val="EndnoteReference"/>
          <w:sz w:val="24"/>
          <w:szCs w:val="24"/>
        </w:rPr>
        <w:endnoteReference w:id="15"/>
      </w:r>
      <w:r w:rsidRPr="00966BD1">
        <w:rPr>
          <w:sz w:val="24"/>
          <w:szCs w:val="24"/>
        </w:rPr>
        <w:t xml:space="preserve"> which prohibits States from returning any individual to a country where it is more likely than not that she would face torture.</w:t>
      </w:r>
      <w:r w:rsidRPr="00966BD1">
        <w:rPr>
          <w:rStyle w:val="EndnoteReference"/>
          <w:sz w:val="24"/>
          <w:szCs w:val="24"/>
        </w:rPr>
        <w:endnoteReference w:id="16"/>
      </w:r>
      <w:r w:rsidRPr="00966BD1">
        <w:rPr>
          <w:sz w:val="24"/>
          <w:szCs w:val="24"/>
        </w:rPr>
        <w:t xml:space="preserve"> </w:t>
      </w:r>
    </w:p>
    <w:p w14:paraId="578F16B4" w14:textId="0E5C3BEC" w:rsidR="000362C9" w:rsidRPr="00ED2E68" w:rsidRDefault="000362C9" w:rsidP="00FC6D87">
      <w:pPr>
        <w:pStyle w:val="ListParagraph"/>
        <w:rPr>
          <w:sz w:val="24"/>
          <w:szCs w:val="24"/>
        </w:rPr>
      </w:pPr>
      <w:r w:rsidRPr="00966BD1">
        <w:rPr>
          <w:sz w:val="24"/>
          <w:szCs w:val="24"/>
        </w:rPr>
        <w:t>The U.S. signed the ICERD in 1966, amid a mass movement for human rights for people of African descent, but the legislature did not accede to the treaty until 1994—with significant reservations</w:t>
      </w:r>
      <w:r w:rsidRPr="00966BD1">
        <w:rPr>
          <w:rStyle w:val="EndnoteReference"/>
          <w:sz w:val="24"/>
          <w:szCs w:val="24"/>
        </w:rPr>
        <w:endnoteReference w:id="17"/>
      </w:r>
      <w:r>
        <w:rPr>
          <w:sz w:val="24"/>
          <w:szCs w:val="24"/>
        </w:rPr>
        <w:t xml:space="preserve"> and ongoing assertions that discrimination towards non-citizens is not regulated by ICERD.</w:t>
      </w:r>
      <w:bookmarkStart w:id="16" w:name="_Ref145400364"/>
      <w:r>
        <w:rPr>
          <w:rStyle w:val="EndnoteReference"/>
          <w:sz w:val="24"/>
          <w:szCs w:val="24"/>
        </w:rPr>
        <w:endnoteReference w:id="18"/>
      </w:r>
      <w:bookmarkEnd w:id="16"/>
    </w:p>
    <w:p w14:paraId="24465F69" w14:textId="7AEA8E15" w:rsidR="000362C9" w:rsidRPr="00966BD1" w:rsidRDefault="000362C9" w:rsidP="006C2E1E">
      <w:pPr>
        <w:pStyle w:val="ListParagraph"/>
        <w:rPr>
          <w:sz w:val="24"/>
          <w:szCs w:val="24"/>
        </w:rPr>
      </w:pPr>
      <w:r w:rsidRPr="00966BD1">
        <w:rPr>
          <w:sz w:val="24"/>
          <w:szCs w:val="24"/>
        </w:rPr>
        <w:t xml:space="preserve">In April 2023, </w:t>
      </w:r>
      <w:r w:rsidR="00EB5ED8">
        <w:rPr>
          <w:sz w:val="24"/>
          <w:szCs w:val="24"/>
        </w:rPr>
        <w:t>the</w:t>
      </w:r>
      <w:r w:rsidRPr="00966BD1">
        <w:rPr>
          <w:sz w:val="24"/>
          <w:szCs w:val="24"/>
        </w:rPr>
        <w:t xml:space="preserve"> </w:t>
      </w:r>
      <w:r w:rsidRPr="00FC6D87">
        <w:rPr>
          <w:sz w:val="24"/>
          <w:szCs w:val="24"/>
        </w:rPr>
        <w:t>Committee on the Elimination of All Forms of Racial Discrimination (“CERD”)</w:t>
      </w:r>
      <w:r w:rsidRPr="00966BD1">
        <w:rPr>
          <w:sz w:val="24"/>
          <w:szCs w:val="24"/>
        </w:rPr>
        <w:t xml:space="preserve"> reiterated to the U.S. and all States in the Americas the need to protect Haitians in human mobility; called on the U.S. and States in the Americas to immediately suspend all deportations and returns of Haitians to Haiti; and called on the U.S. and States to take other measures immediately to comply with ICERD in the context of transnational migration.</w:t>
      </w:r>
      <w:r>
        <w:rPr>
          <w:rStyle w:val="EndnoteReference"/>
          <w:sz w:val="24"/>
          <w:szCs w:val="24"/>
        </w:rPr>
        <w:endnoteReference w:id="19"/>
      </w:r>
    </w:p>
    <w:p w14:paraId="437C9B2C" w14:textId="0F7372A8" w:rsidR="000362C9" w:rsidRPr="00966BD1" w:rsidRDefault="000362C9" w:rsidP="00036381">
      <w:pPr>
        <w:pStyle w:val="Heading2"/>
        <w:rPr>
          <w:rFonts w:cs="Times New Roman"/>
          <w:sz w:val="24"/>
          <w:szCs w:val="24"/>
        </w:rPr>
      </w:pPr>
      <w:bookmarkStart w:id="17" w:name="_Toc143210368"/>
      <w:bookmarkStart w:id="18" w:name="_Toc145307865"/>
      <w:r w:rsidRPr="00966BD1">
        <w:rPr>
          <w:rFonts w:cs="Times New Roman"/>
          <w:sz w:val="24"/>
          <w:szCs w:val="24"/>
        </w:rPr>
        <w:t>U.S. Legislative Branch Laws and Executive Branch Polic</w:t>
      </w:r>
      <w:r>
        <w:rPr>
          <w:rFonts w:cs="Times New Roman"/>
          <w:sz w:val="24"/>
          <w:szCs w:val="24"/>
        </w:rPr>
        <w:t>ies</w:t>
      </w:r>
      <w:r w:rsidRPr="00966BD1">
        <w:rPr>
          <w:rFonts w:cs="Times New Roman"/>
          <w:sz w:val="24"/>
          <w:szCs w:val="24"/>
        </w:rPr>
        <w:t xml:space="preserve"> under Law</w:t>
      </w:r>
      <w:bookmarkEnd w:id="17"/>
      <w:bookmarkEnd w:id="18"/>
    </w:p>
    <w:p w14:paraId="3A02B98F" w14:textId="70C79751" w:rsidR="000362C9" w:rsidRPr="00966BD1" w:rsidRDefault="000362C9" w:rsidP="006E172D">
      <w:pPr>
        <w:pStyle w:val="ListParagraph"/>
        <w:rPr>
          <w:sz w:val="24"/>
          <w:szCs w:val="24"/>
        </w:rPr>
      </w:pPr>
      <w:r w:rsidRPr="00966BD1">
        <w:rPr>
          <w:sz w:val="24"/>
          <w:szCs w:val="24"/>
        </w:rPr>
        <w:t>The U.S. has enacted law and policy designed to violate the Covenant’s prohibitions against refoulement, torture, and arbitrary detention; its guarantees of the right to life, liberty, security and integrity of the person; the application of the Covenant in extraterritorial settings; and the Covenant’s right to an effective legal remedy.</w:t>
      </w:r>
    </w:p>
    <w:p w14:paraId="758C9F51" w14:textId="6DB4F8CF" w:rsidR="000362C9" w:rsidRPr="00966BD1" w:rsidRDefault="000362C9" w:rsidP="00B23EF1">
      <w:pPr>
        <w:pStyle w:val="Heading3"/>
        <w:rPr>
          <w:rFonts w:cs="Times New Roman"/>
          <w:sz w:val="24"/>
        </w:rPr>
      </w:pPr>
      <w:bookmarkStart w:id="19" w:name="_Toc143210369"/>
      <w:bookmarkStart w:id="20" w:name="_Toc145307866"/>
      <w:r w:rsidRPr="00966BD1">
        <w:rPr>
          <w:rFonts w:cs="Times New Roman"/>
          <w:sz w:val="24"/>
        </w:rPr>
        <w:t>Legislative Branch Laws</w:t>
      </w:r>
      <w:bookmarkEnd w:id="19"/>
      <w:bookmarkEnd w:id="20"/>
    </w:p>
    <w:p w14:paraId="120E9BAD" w14:textId="29D0ABE5" w:rsidR="000362C9" w:rsidRPr="00966BD1" w:rsidRDefault="000362C9" w:rsidP="00F37A22">
      <w:pPr>
        <w:pStyle w:val="ListParagraph"/>
        <w:rPr>
          <w:sz w:val="24"/>
          <w:szCs w:val="24"/>
        </w:rPr>
      </w:pPr>
      <w:r w:rsidRPr="00966BD1">
        <w:rPr>
          <w:sz w:val="24"/>
          <w:szCs w:val="24"/>
        </w:rPr>
        <w:t>The original U.S. naturalization laws restricted citizenship to “white persons”</w:t>
      </w:r>
      <w:r w:rsidRPr="00966BD1">
        <w:rPr>
          <w:rStyle w:val="EndnoteReference"/>
          <w:sz w:val="24"/>
          <w:szCs w:val="24"/>
        </w:rPr>
        <w:endnoteReference w:id="20"/>
      </w:r>
      <w:r w:rsidRPr="00966BD1">
        <w:rPr>
          <w:sz w:val="24"/>
          <w:szCs w:val="24"/>
        </w:rPr>
        <w:t xml:space="preserve"> and rendered people of African descent non-citizens, capable of being owned as property, forced into involuntary servitude, traded, separated from families, tortured, and unable to access the courts or seek justice for crimes perpetrated against them.</w:t>
      </w:r>
      <w:r w:rsidRPr="00966BD1">
        <w:rPr>
          <w:rStyle w:val="EndnoteReference"/>
          <w:sz w:val="24"/>
          <w:szCs w:val="24"/>
        </w:rPr>
        <w:endnoteReference w:id="21"/>
      </w:r>
      <w:r w:rsidRPr="00966BD1">
        <w:rPr>
          <w:sz w:val="24"/>
          <w:szCs w:val="24"/>
        </w:rPr>
        <w:t xml:space="preserve"> Following a brutal civil war in the mid-19th Century, the </w:t>
      </w:r>
      <w:r>
        <w:rPr>
          <w:sz w:val="24"/>
          <w:szCs w:val="24"/>
        </w:rPr>
        <w:t>U.S.</w:t>
      </w:r>
      <w:r w:rsidRPr="00966BD1">
        <w:rPr>
          <w:sz w:val="24"/>
          <w:szCs w:val="24"/>
        </w:rPr>
        <w:t xml:space="preserve"> amended its constitution to provide citizenship to all people born in the U.S.—thus granting citizenship to all people of African descent born in the U.S. who had previously been denied.</w:t>
      </w:r>
      <w:r w:rsidRPr="00966BD1">
        <w:rPr>
          <w:rStyle w:val="EndnoteReference"/>
          <w:sz w:val="24"/>
          <w:szCs w:val="24"/>
        </w:rPr>
        <w:endnoteReference w:id="22"/>
      </w:r>
      <w:r w:rsidRPr="00966BD1">
        <w:rPr>
          <w:sz w:val="24"/>
          <w:szCs w:val="24"/>
        </w:rPr>
        <w:t xml:space="preserve"> Shortly thereafter, the legislative branch amended its original naturalization laws to allow for people of African descent to seek citizenship if they did not already have it, though people of Asian descent were still barred until 1952.</w:t>
      </w:r>
      <w:r w:rsidRPr="00966BD1">
        <w:rPr>
          <w:rStyle w:val="EndnoteReference"/>
          <w:sz w:val="24"/>
          <w:szCs w:val="24"/>
        </w:rPr>
        <w:endnoteReference w:id="23"/>
      </w:r>
      <w:r w:rsidRPr="00966BD1">
        <w:rPr>
          <w:sz w:val="24"/>
          <w:szCs w:val="24"/>
        </w:rPr>
        <w:t xml:space="preserve"> </w:t>
      </w:r>
    </w:p>
    <w:p w14:paraId="27662F5F" w14:textId="21DBDD4D" w:rsidR="000362C9" w:rsidRPr="00966BD1" w:rsidRDefault="000362C9" w:rsidP="006F4FDD">
      <w:pPr>
        <w:pStyle w:val="ListParagraph"/>
        <w:rPr>
          <w:sz w:val="24"/>
          <w:szCs w:val="24"/>
        </w:rPr>
      </w:pPr>
      <w:r w:rsidRPr="00966BD1">
        <w:rPr>
          <w:sz w:val="24"/>
          <w:szCs w:val="24"/>
        </w:rPr>
        <w:t xml:space="preserve">In 1952, the </w:t>
      </w:r>
      <w:r>
        <w:rPr>
          <w:sz w:val="24"/>
          <w:szCs w:val="24"/>
        </w:rPr>
        <w:t>U.S.</w:t>
      </w:r>
      <w:r w:rsidRPr="00966BD1">
        <w:rPr>
          <w:sz w:val="24"/>
          <w:szCs w:val="24"/>
        </w:rPr>
        <w:t xml:space="preserve"> synthesized its various provisions into one act entitled the Immigration and Nationality Act (“INA”). In 1965, amidst the Civil Rights Movement, the legislature amended the INA to lift a racial quota system that had in effect limited non-citizens of African descent from seeking U.S. citizenship. </w:t>
      </w:r>
    </w:p>
    <w:p w14:paraId="0F9B5074" w14:textId="34050081" w:rsidR="000362C9" w:rsidRPr="00966BD1" w:rsidRDefault="000362C9" w:rsidP="002C2FC5">
      <w:pPr>
        <w:pStyle w:val="ListParagraph"/>
        <w:rPr>
          <w:sz w:val="24"/>
          <w:szCs w:val="24"/>
        </w:rPr>
      </w:pPr>
      <w:r w:rsidRPr="00966BD1">
        <w:rPr>
          <w:sz w:val="24"/>
          <w:szCs w:val="24"/>
        </w:rPr>
        <w:t>The INA includes sweeping mandatory detention provisions and allows executive branch discretionary detention</w:t>
      </w:r>
      <w:r w:rsidR="001A644F">
        <w:rPr>
          <w:sz w:val="24"/>
          <w:szCs w:val="24"/>
        </w:rPr>
        <w:t>.</w:t>
      </w:r>
      <w:r w:rsidRPr="00966BD1">
        <w:rPr>
          <w:rStyle w:val="EndnoteReference"/>
          <w:sz w:val="24"/>
          <w:szCs w:val="24"/>
        </w:rPr>
        <w:endnoteReference w:id="24"/>
      </w:r>
    </w:p>
    <w:p w14:paraId="0B5D74B1" w14:textId="1C3F7966" w:rsidR="000362C9" w:rsidRPr="00966BD1" w:rsidRDefault="000362C9" w:rsidP="00884AFD">
      <w:pPr>
        <w:pStyle w:val="ListParagraph"/>
        <w:rPr>
          <w:sz w:val="24"/>
          <w:szCs w:val="24"/>
        </w:rPr>
      </w:pPr>
      <w:r w:rsidRPr="00966BD1">
        <w:rPr>
          <w:sz w:val="24"/>
          <w:szCs w:val="24"/>
        </w:rPr>
        <w:t>Under the INA, “any alien who is physically present in the United States or who arrives in the United States (whether or not it is at a port of arrival), irrespective of the alien’s status may apply for asylum.”</w:t>
      </w:r>
      <w:r w:rsidRPr="00966BD1">
        <w:rPr>
          <w:rStyle w:val="EndnoteReference"/>
          <w:sz w:val="24"/>
          <w:szCs w:val="24"/>
        </w:rPr>
        <w:endnoteReference w:id="25"/>
      </w:r>
    </w:p>
    <w:p w14:paraId="19109C14" w14:textId="7D2FFF5C" w:rsidR="000362C9" w:rsidRDefault="000362C9" w:rsidP="004245BA">
      <w:pPr>
        <w:pStyle w:val="ListParagraph"/>
        <w:rPr>
          <w:sz w:val="24"/>
          <w:szCs w:val="24"/>
        </w:rPr>
      </w:pPr>
      <w:r w:rsidRPr="00966BD1">
        <w:rPr>
          <w:sz w:val="24"/>
          <w:szCs w:val="24"/>
        </w:rPr>
        <w:lastRenderedPageBreak/>
        <w:t>The INA and other legislative provisions give the Executive Branch broad and sweeping authority.</w:t>
      </w:r>
      <w:r w:rsidR="003B570C" w:rsidRPr="00966BD1">
        <w:rPr>
          <w:rStyle w:val="EndnoteReference"/>
          <w:sz w:val="24"/>
          <w:szCs w:val="24"/>
        </w:rPr>
        <w:endnoteReference w:id="26"/>
      </w:r>
      <w:r w:rsidRPr="00966BD1">
        <w:rPr>
          <w:sz w:val="24"/>
          <w:szCs w:val="24"/>
        </w:rPr>
        <w:t xml:space="preserve"> </w:t>
      </w:r>
      <w:r w:rsidR="001A644F">
        <w:rPr>
          <w:sz w:val="24"/>
          <w:szCs w:val="24"/>
        </w:rPr>
        <w:t>Other</w:t>
      </w:r>
      <w:r w:rsidRPr="00966BD1">
        <w:rPr>
          <w:sz w:val="24"/>
          <w:szCs w:val="24"/>
        </w:rPr>
        <w:t xml:space="preserve"> laws also empower the Executive Branch with broad and sweeping authority to enact policy related to the border and immigration.</w:t>
      </w:r>
      <w:bookmarkStart w:id="21" w:name="_Ref145400335"/>
      <w:r w:rsidRPr="00966BD1">
        <w:rPr>
          <w:rStyle w:val="EndnoteReference"/>
          <w:sz w:val="24"/>
          <w:szCs w:val="24"/>
        </w:rPr>
        <w:endnoteReference w:id="27"/>
      </w:r>
      <w:bookmarkEnd w:id="21"/>
      <w:r w:rsidRPr="004D2919">
        <w:rPr>
          <w:sz w:val="24"/>
          <w:szCs w:val="24"/>
        </w:rPr>
        <w:t xml:space="preserve"> </w:t>
      </w:r>
    </w:p>
    <w:p w14:paraId="303D16C1" w14:textId="0033ED9F" w:rsidR="000362C9" w:rsidRPr="00966BD1" w:rsidRDefault="000362C9" w:rsidP="00764425">
      <w:pPr>
        <w:pStyle w:val="ListParagraph"/>
        <w:rPr>
          <w:szCs w:val="24"/>
        </w:rPr>
      </w:pPr>
      <w:r>
        <w:rPr>
          <w:sz w:val="24"/>
          <w:szCs w:val="24"/>
        </w:rPr>
        <w:t xml:space="preserve">Though the U.S. </w:t>
      </w:r>
      <w:r w:rsidRPr="00966BD1">
        <w:rPr>
          <w:sz w:val="24"/>
          <w:szCs w:val="24"/>
        </w:rPr>
        <w:t>created domestic legislation on asylees and refugees following its accession to the 1967 Protocol with the 1980 Refugee Act</w:t>
      </w:r>
      <w:r>
        <w:rPr>
          <w:sz w:val="24"/>
          <w:szCs w:val="24"/>
        </w:rPr>
        <w:t>,</w:t>
      </w:r>
      <w:r w:rsidRPr="00E43FBD">
        <w:rPr>
          <w:rStyle w:val="EndnoteReference"/>
          <w:sz w:val="24"/>
          <w:szCs w:val="24"/>
        </w:rPr>
        <w:t xml:space="preserve"> </w:t>
      </w:r>
      <w:r w:rsidRPr="00966BD1">
        <w:rPr>
          <w:rStyle w:val="EndnoteReference"/>
          <w:sz w:val="24"/>
          <w:szCs w:val="24"/>
        </w:rPr>
        <w:endnoteReference w:id="28"/>
      </w:r>
      <w:r w:rsidRPr="00966BD1">
        <w:rPr>
          <w:sz w:val="24"/>
          <w:szCs w:val="24"/>
        </w:rPr>
        <w:t xml:space="preserve"> </w:t>
      </w:r>
      <w:r w:rsidR="001A644F">
        <w:rPr>
          <w:sz w:val="24"/>
          <w:szCs w:val="24"/>
        </w:rPr>
        <w:t xml:space="preserve">the subsequent </w:t>
      </w:r>
      <w:r>
        <w:rPr>
          <w:sz w:val="24"/>
          <w:szCs w:val="24"/>
        </w:rPr>
        <w:t>1986 Immigration Reform and Control Act</w:t>
      </w:r>
      <w:r w:rsidRPr="00966BD1">
        <w:rPr>
          <w:rStyle w:val="EndnoteReference"/>
          <w:sz w:val="24"/>
          <w:szCs w:val="24"/>
        </w:rPr>
        <w:endnoteReference w:id="29"/>
      </w:r>
      <w:r w:rsidRPr="00966BD1">
        <w:rPr>
          <w:sz w:val="24"/>
          <w:szCs w:val="24"/>
        </w:rPr>
        <w:t xml:space="preserve"> </w:t>
      </w:r>
      <w:r>
        <w:rPr>
          <w:sz w:val="24"/>
          <w:szCs w:val="24"/>
        </w:rPr>
        <w:t>and the “1996 laws”</w:t>
      </w:r>
      <w:r w:rsidRPr="00966BD1">
        <w:rPr>
          <w:rStyle w:val="EndnoteReference"/>
          <w:sz w:val="24"/>
          <w:szCs w:val="24"/>
        </w:rPr>
        <w:endnoteReference w:id="30"/>
      </w:r>
      <w:r>
        <w:rPr>
          <w:sz w:val="24"/>
          <w:szCs w:val="24"/>
        </w:rPr>
        <w:t xml:space="preserve"> expanded its border enforcement and detention capabilities; </w:t>
      </w:r>
      <w:r w:rsidRPr="00966BD1">
        <w:rPr>
          <w:sz w:val="24"/>
          <w:szCs w:val="24"/>
        </w:rPr>
        <w:t xml:space="preserve">expanded </w:t>
      </w:r>
      <w:r w:rsidR="001A644F">
        <w:rPr>
          <w:sz w:val="24"/>
          <w:szCs w:val="24"/>
        </w:rPr>
        <w:t>its</w:t>
      </w:r>
      <w:r w:rsidRPr="00966BD1">
        <w:rPr>
          <w:sz w:val="24"/>
          <w:szCs w:val="24"/>
        </w:rPr>
        <w:t xml:space="preserve"> authority to deport foreign nationals on the basis of contact with the State’s criminal justice system</w:t>
      </w:r>
      <w:r>
        <w:rPr>
          <w:sz w:val="24"/>
          <w:szCs w:val="24"/>
        </w:rPr>
        <w:t>;</w:t>
      </w:r>
      <w:r w:rsidRPr="00966BD1">
        <w:rPr>
          <w:sz w:val="24"/>
          <w:szCs w:val="24"/>
        </w:rPr>
        <w:t xml:space="preserve"> and created an expedited removal process that allows for deportations without judicial review.</w:t>
      </w:r>
      <w:r w:rsidRPr="00966BD1">
        <w:rPr>
          <w:rStyle w:val="EndnoteReference"/>
          <w:sz w:val="24"/>
          <w:szCs w:val="24"/>
        </w:rPr>
        <w:endnoteReference w:id="31"/>
      </w:r>
    </w:p>
    <w:p w14:paraId="5BECCC4C" w14:textId="7C7D2BFF" w:rsidR="000362C9" w:rsidRPr="00966BD1" w:rsidRDefault="000362C9" w:rsidP="00C85F20">
      <w:pPr>
        <w:pStyle w:val="ListParagraph"/>
        <w:rPr>
          <w:sz w:val="24"/>
          <w:szCs w:val="24"/>
        </w:rPr>
      </w:pPr>
      <w:r w:rsidRPr="00966BD1">
        <w:rPr>
          <w:sz w:val="24"/>
          <w:szCs w:val="24"/>
        </w:rPr>
        <w:t>As a result of the 1996 laws, the racial disparities infect</w:t>
      </w:r>
      <w:r w:rsidR="001A644F">
        <w:rPr>
          <w:sz w:val="24"/>
          <w:szCs w:val="24"/>
        </w:rPr>
        <w:t>ing</w:t>
      </w:r>
      <w:r w:rsidRPr="00966BD1">
        <w:rPr>
          <w:sz w:val="24"/>
          <w:szCs w:val="24"/>
        </w:rPr>
        <w:t xml:space="preserve"> the U.S. criminal system are directly transferred to the U.S. immigration system. Black and Brown immigrants who have contact with the criminal system often as a result of racially discriminatory police and adjudication practices face a second harsh punishment of detention and deportation.</w:t>
      </w:r>
      <w:r w:rsidRPr="00966BD1">
        <w:rPr>
          <w:rStyle w:val="EndnoteReference"/>
          <w:sz w:val="24"/>
          <w:szCs w:val="24"/>
        </w:rPr>
        <w:endnoteReference w:id="32"/>
      </w:r>
      <w:r w:rsidRPr="00966BD1">
        <w:rPr>
          <w:sz w:val="24"/>
          <w:szCs w:val="24"/>
        </w:rPr>
        <w:t xml:space="preserve"> </w:t>
      </w:r>
    </w:p>
    <w:p w14:paraId="33F8EA50" w14:textId="1102EB81" w:rsidR="000362C9" w:rsidRPr="00966BD1" w:rsidRDefault="000362C9" w:rsidP="00000C2B">
      <w:pPr>
        <w:pStyle w:val="ListParagraph"/>
        <w:rPr>
          <w:sz w:val="24"/>
          <w:szCs w:val="24"/>
        </w:rPr>
      </w:pPr>
      <w:r w:rsidRPr="00966BD1">
        <w:rPr>
          <w:sz w:val="24"/>
          <w:szCs w:val="24"/>
        </w:rPr>
        <w:t xml:space="preserve">The Homeland Security Act of 2002 reorganized agencies within the executive branch </w:t>
      </w:r>
      <w:r w:rsidR="001A644F">
        <w:rPr>
          <w:sz w:val="24"/>
          <w:szCs w:val="24"/>
        </w:rPr>
        <w:t>to</w:t>
      </w:r>
      <w:r w:rsidRPr="00966BD1">
        <w:rPr>
          <w:sz w:val="24"/>
          <w:szCs w:val="24"/>
        </w:rPr>
        <w:t xml:space="preserve"> regulat</w:t>
      </w:r>
      <w:r w:rsidR="001A644F">
        <w:rPr>
          <w:sz w:val="24"/>
          <w:szCs w:val="24"/>
        </w:rPr>
        <w:t>e</w:t>
      </w:r>
      <w:r w:rsidRPr="00966BD1">
        <w:rPr>
          <w:sz w:val="24"/>
          <w:szCs w:val="24"/>
        </w:rPr>
        <w:t xml:space="preserve"> immigration based on security interests and the so-called War on Terror. It created a new agency</w:t>
      </w:r>
      <w:r>
        <w:rPr>
          <w:sz w:val="24"/>
          <w:szCs w:val="24"/>
        </w:rPr>
        <w:t>,</w:t>
      </w:r>
      <w:r w:rsidRPr="00966BD1">
        <w:rPr>
          <w:sz w:val="24"/>
          <w:szCs w:val="24"/>
        </w:rPr>
        <w:t xml:space="preserve"> the Department of Homeland Security (“DHS”)</w:t>
      </w:r>
      <w:r>
        <w:rPr>
          <w:sz w:val="24"/>
          <w:szCs w:val="24"/>
        </w:rPr>
        <w:t>,</w:t>
      </w:r>
      <w:r w:rsidRPr="00966BD1">
        <w:rPr>
          <w:sz w:val="24"/>
          <w:szCs w:val="24"/>
        </w:rPr>
        <w:t xml:space="preserve"> and provided the </w:t>
      </w:r>
      <w:r w:rsidR="00EB5ED8">
        <w:rPr>
          <w:sz w:val="24"/>
          <w:szCs w:val="24"/>
        </w:rPr>
        <w:t xml:space="preserve">DHS </w:t>
      </w:r>
      <w:r w:rsidRPr="00966BD1">
        <w:rPr>
          <w:sz w:val="24"/>
          <w:szCs w:val="24"/>
        </w:rPr>
        <w:t>Secretary</w:t>
      </w:r>
      <w:r>
        <w:rPr>
          <w:sz w:val="24"/>
          <w:szCs w:val="24"/>
        </w:rPr>
        <w:t xml:space="preserve"> </w:t>
      </w:r>
      <w:r w:rsidR="001A644F">
        <w:rPr>
          <w:sz w:val="24"/>
          <w:szCs w:val="24"/>
        </w:rPr>
        <w:t xml:space="preserve">with </w:t>
      </w:r>
      <w:r w:rsidRPr="005411D2">
        <w:rPr>
          <w:sz w:val="24"/>
          <w:szCs w:val="24"/>
        </w:rPr>
        <w:t>"the power and duty to control and guard the boundaries and borders of the United States against the illegal entry of aliens</w:t>
      </w:r>
      <w:r>
        <w:rPr>
          <w:sz w:val="24"/>
          <w:szCs w:val="24"/>
        </w:rPr>
        <w:t>.</w:t>
      </w:r>
      <w:r w:rsidRPr="005411D2">
        <w:rPr>
          <w:sz w:val="24"/>
          <w:szCs w:val="24"/>
        </w:rPr>
        <w:t>"</w:t>
      </w:r>
      <w:r w:rsidRPr="00966BD1">
        <w:rPr>
          <w:rStyle w:val="EndnoteReference"/>
          <w:sz w:val="24"/>
          <w:szCs w:val="24"/>
        </w:rPr>
        <w:endnoteReference w:id="33"/>
      </w:r>
      <w:r w:rsidRPr="00966BD1">
        <w:rPr>
          <w:sz w:val="24"/>
          <w:szCs w:val="24"/>
        </w:rPr>
        <w:t> </w:t>
      </w:r>
    </w:p>
    <w:p w14:paraId="7AE9032A" w14:textId="014061FE" w:rsidR="000362C9" w:rsidRPr="00966BD1" w:rsidRDefault="000362C9" w:rsidP="00981EC7">
      <w:pPr>
        <w:pStyle w:val="Heading3"/>
        <w:rPr>
          <w:rFonts w:cs="Times New Roman"/>
          <w:sz w:val="24"/>
        </w:rPr>
      </w:pPr>
      <w:bookmarkStart w:id="22" w:name="_Toc143210370"/>
      <w:bookmarkStart w:id="23" w:name="_Toc145307873"/>
      <w:r w:rsidRPr="00966BD1">
        <w:rPr>
          <w:rFonts w:cs="Times New Roman"/>
          <w:sz w:val="24"/>
        </w:rPr>
        <w:t>Executive Branch Policies</w:t>
      </w:r>
      <w:bookmarkEnd w:id="22"/>
      <w:bookmarkEnd w:id="23"/>
    </w:p>
    <w:p w14:paraId="6476CA77" w14:textId="536F3CBD" w:rsidR="000362C9" w:rsidRPr="00966BD1" w:rsidRDefault="000362C9" w:rsidP="00197004">
      <w:pPr>
        <w:pStyle w:val="Heading4"/>
        <w:numPr>
          <w:ilvl w:val="0"/>
          <w:numId w:val="36"/>
        </w:numPr>
        <w:rPr>
          <w:rFonts w:cs="Times New Roman"/>
          <w:sz w:val="24"/>
        </w:rPr>
      </w:pPr>
      <w:bookmarkStart w:id="24" w:name="_Toc145307874"/>
      <w:r w:rsidRPr="00966BD1">
        <w:rPr>
          <w:rFonts w:cs="Times New Roman"/>
          <w:sz w:val="24"/>
        </w:rPr>
        <w:t>1978 Haitian Program</w:t>
      </w:r>
      <w:bookmarkEnd w:id="24"/>
    </w:p>
    <w:p w14:paraId="482D4BD9" w14:textId="38115B93" w:rsidR="000362C9" w:rsidRPr="00966BD1" w:rsidRDefault="000362C9" w:rsidP="00E630B0">
      <w:pPr>
        <w:pStyle w:val="ListParagraph"/>
        <w:rPr>
          <w:sz w:val="24"/>
          <w:szCs w:val="24"/>
        </w:rPr>
      </w:pPr>
      <w:r w:rsidRPr="00966BD1">
        <w:rPr>
          <w:sz w:val="24"/>
          <w:szCs w:val="24"/>
        </w:rPr>
        <w:t>In 1978, as part of a broader campaign to “craft immigration policies that specifically targeted Haitians for disparate treatment to keep them off U.S. soil,”</w:t>
      </w:r>
      <w:r w:rsidRPr="00966BD1">
        <w:rPr>
          <w:rStyle w:val="EndnoteReference"/>
          <w:sz w:val="24"/>
          <w:szCs w:val="24"/>
        </w:rPr>
        <w:endnoteReference w:id="34"/>
      </w:r>
      <w:r w:rsidRPr="00966BD1">
        <w:rPr>
          <w:sz w:val="24"/>
          <w:szCs w:val="24"/>
        </w:rPr>
        <w:t xml:space="preserve"> the Executive Branch created a policy known as the “Haitian Program,” which “jailed arriving Haitians and universally denied their asylum claims despite known atrocities being committed by the Duvalier regime at the time.”</w:t>
      </w:r>
      <w:r w:rsidRPr="00966BD1">
        <w:rPr>
          <w:rStyle w:val="EndnoteReference"/>
          <w:sz w:val="24"/>
          <w:szCs w:val="24"/>
        </w:rPr>
        <w:endnoteReference w:id="35"/>
      </w:r>
      <w:r w:rsidRPr="00966BD1">
        <w:rPr>
          <w:sz w:val="24"/>
          <w:szCs w:val="24"/>
        </w:rPr>
        <w:t xml:space="preserve"> </w:t>
      </w:r>
    </w:p>
    <w:p w14:paraId="101B7C7A" w14:textId="65597B4C" w:rsidR="000362C9" w:rsidRPr="00966BD1" w:rsidRDefault="000362C9" w:rsidP="00197004">
      <w:pPr>
        <w:pStyle w:val="Heading4"/>
        <w:numPr>
          <w:ilvl w:val="0"/>
          <w:numId w:val="36"/>
        </w:numPr>
        <w:rPr>
          <w:rFonts w:cs="Times New Roman"/>
          <w:sz w:val="24"/>
        </w:rPr>
      </w:pPr>
      <w:bookmarkStart w:id="25" w:name="_Toc145307875"/>
      <w:r w:rsidRPr="00966BD1">
        <w:rPr>
          <w:rFonts w:cs="Times New Roman"/>
          <w:sz w:val="24"/>
        </w:rPr>
        <w:t>1980-present Maritime Interdictions in Florida Straits and the Caribbean Sea</w:t>
      </w:r>
      <w:bookmarkEnd w:id="25"/>
    </w:p>
    <w:p w14:paraId="245C84CF" w14:textId="51F5F77E" w:rsidR="000362C9" w:rsidRPr="00966BD1" w:rsidRDefault="000362C9" w:rsidP="00DB37F1">
      <w:pPr>
        <w:pStyle w:val="ListParagraph"/>
        <w:rPr>
          <w:sz w:val="24"/>
          <w:szCs w:val="24"/>
        </w:rPr>
      </w:pPr>
      <w:r w:rsidRPr="00966BD1">
        <w:rPr>
          <w:sz w:val="24"/>
          <w:szCs w:val="24"/>
        </w:rPr>
        <w:t>Since 1980, successive executive branch administrations have attempted to deter Haitian</w:t>
      </w:r>
      <w:r w:rsidR="000F6AD9">
        <w:rPr>
          <w:sz w:val="24"/>
          <w:szCs w:val="24"/>
        </w:rPr>
        <w:t>s</w:t>
      </w:r>
      <w:r w:rsidRPr="00966BD1">
        <w:rPr>
          <w:sz w:val="24"/>
          <w:szCs w:val="24"/>
        </w:rPr>
        <w:t xml:space="preserve"> from accessing asylum in the </w:t>
      </w:r>
      <w:r>
        <w:rPr>
          <w:sz w:val="24"/>
          <w:szCs w:val="24"/>
        </w:rPr>
        <w:t>U.S.</w:t>
      </w:r>
      <w:r w:rsidRPr="00966BD1">
        <w:rPr>
          <w:sz w:val="24"/>
          <w:szCs w:val="24"/>
        </w:rPr>
        <w:t xml:space="preserve"> </w:t>
      </w:r>
      <w:r w:rsidR="000F6AD9">
        <w:rPr>
          <w:sz w:val="24"/>
          <w:szCs w:val="24"/>
        </w:rPr>
        <w:t xml:space="preserve">by using </w:t>
      </w:r>
      <w:r w:rsidRPr="00966BD1">
        <w:rPr>
          <w:sz w:val="24"/>
          <w:szCs w:val="24"/>
        </w:rPr>
        <w:t>maritime interdictions in international waters.</w:t>
      </w:r>
      <w:r w:rsidRPr="00966BD1">
        <w:rPr>
          <w:sz w:val="24"/>
          <w:szCs w:val="24"/>
          <w:vertAlign w:val="superscript"/>
        </w:rPr>
        <w:endnoteReference w:id="36"/>
      </w:r>
      <w:r w:rsidRPr="00966BD1">
        <w:rPr>
          <w:sz w:val="24"/>
          <w:szCs w:val="24"/>
        </w:rPr>
        <w:t xml:space="preserve"> Employing the power granted under the INA to suspend entry of “any aliens” whose entry it deems “would be detrimental to the interests of the United States,” Presidents have issued four executive orders governing maritime interdictions in the Florida Straits and Caribbean Sea.</w:t>
      </w:r>
      <w:r w:rsidRPr="00966BD1">
        <w:rPr>
          <w:rStyle w:val="EndnoteReference"/>
          <w:sz w:val="24"/>
          <w:szCs w:val="24"/>
        </w:rPr>
        <w:endnoteReference w:id="37"/>
      </w:r>
      <w:r w:rsidRPr="00966BD1">
        <w:rPr>
          <w:sz w:val="24"/>
          <w:szCs w:val="24"/>
        </w:rPr>
        <w:t xml:space="preserve"> </w:t>
      </w:r>
    </w:p>
    <w:p w14:paraId="7ED3759E" w14:textId="5ED0A91D" w:rsidR="000362C9" w:rsidRPr="00966BD1" w:rsidRDefault="000362C9" w:rsidP="002D26E1">
      <w:pPr>
        <w:pStyle w:val="ListParagraph"/>
        <w:rPr>
          <w:sz w:val="24"/>
          <w:szCs w:val="24"/>
        </w:rPr>
      </w:pPr>
      <w:r w:rsidRPr="00966BD1">
        <w:rPr>
          <w:sz w:val="24"/>
          <w:szCs w:val="24"/>
        </w:rPr>
        <w:t>Since surviving judicial branch review and being reorganized after the creation of DHS, the U.S. Maritime Migrant Interdiction Operations, housed in the DHS and led by the U.S. Coast Guard, employ “air and sea military assets” to patrol the Florida straits and the Caribbean Sea to intercept people attempting to migrate to the U.S. by sea, primarily from Haiti and Cuba.</w:t>
      </w:r>
      <w:r w:rsidRPr="00966BD1">
        <w:rPr>
          <w:sz w:val="24"/>
          <w:szCs w:val="24"/>
          <w:vertAlign w:val="superscript"/>
        </w:rPr>
        <w:endnoteReference w:id="38"/>
      </w:r>
      <w:r w:rsidRPr="00966BD1">
        <w:rPr>
          <w:sz w:val="24"/>
          <w:szCs w:val="24"/>
        </w:rPr>
        <w:t xml:space="preserve"> DHS</w:t>
      </w:r>
      <w:r w:rsidR="000F6AD9">
        <w:rPr>
          <w:sz w:val="24"/>
          <w:szCs w:val="24"/>
        </w:rPr>
        <w:t xml:space="preserve"> </w:t>
      </w:r>
      <w:r w:rsidRPr="00966BD1">
        <w:rPr>
          <w:sz w:val="24"/>
          <w:szCs w:val="24"/>
        </w:rPr>
        <w:t>intercept</w:t>
      </w:r>
      <w:r w:rsidR="000F6AD9">
        <w:rPr>
          <w:sz w:val="24"/>
          <w:szCs w:val="24"/>
        </w:rPr>
        <w:t>s</w:t>
      </w:r>
      <w:r w:rsidRPr="00966BD1">
        <w:rPr>
          <w:sz w:val="24"/>
          <w:szCs w:val="24"/>
        </w:rPr>
        <w:t xml:space="preserve"> boats “as far from U.S. borders as possible.”</w:t>
      </w:r>
      <w:bookmarkStart w:id="26" w:name="_Ref145400476"/>
      <w:r w:rsidRPr="00966BD1">
        <w:rPr>
          <w:sz w:val="24"/>
          <w:szCs w:val="24"/>
          <w:vertAlign w:val="superscript"/>
        </w:rPr>
        <w:endnoteReference w:id="39"/>
      </w:r>
      <w:bookmarkEnd w:id="26"/>
      <w:r w:rsidRPr="00966BD1">
        <w:rPr>
          <w:sz w:val="24"/>
          <w:szCs w:val="24"/>
        </w:rPr>
        <w:t xml:space="preserve"> As </w:t>
      </w:r>
      <w:r w:rsidR="000F6AD9">
        <w:rPr>
          <w:sz w:val="24"/>
          <w:szCs w:val="24"/>
        </w:rPr>
        <w:lastRenderedPageBreak/>
        <w:t>declared</w:t>
      </w:r>
      <w:r w:rsidRPr="00966BD1">
        <w:rPr>
          <w:sz w:val="24"/>
          <w:szCs w:val="24"/>
        </w:rPr>
        <w:t xml:space="preserve"> by the </w:t>
      </w:r>
      <w:r w:rsidR="004435D1">
        <w:rPr>
          <w:sz w:val="24"/>
          <w:szCs w:val="24"/>
        </w:rPr>
        <w:t xml:space="preserve">DHS </w:t>
      </w:r>
      <w:r w:rsidRPr="00966BD1">
        <w:rPr>
          <w:sz w:val="24"/>
          <w:szCs w:val="24"/>
        </w:rPr>
        <w:t>Secretary, “any migrant intercepted at sea, regardless of their nationality, will not be permitted to enter the United States.“</w:t>
      </w:r>
      <w:r w:rsidRPr="00966BD1">
        <w:rPr>
          <w:sz w:val="24"/>
          <w:szCs w:val="24"/>
          <w:vertAlign w:val="superscript"/>
        </w:rPr>
        <w:endnoteReference w:id="40"/>
      </w:r>
      <w:r w:rsidRPr="00966BD1">
        <w:rPr>
          <w:sz w:val="24"/>
          <w:szCs w:val="24"/>
        </w:rPr>
        <w:t xml:space="preserve"> </w:t>
      </w:r>
    </w:p>
    <w:p w14:paraId="3A866AA6" w14:textId="14152767" w:rsidR="000362C9" w:rsidRPr="00966BD1" w:rsidRDefault="000362C9" w:rsidP="00DB37F1">
      <w:pPr>
        <w:pStyle w:val="ListParagraph"/>
        <w:rPr>
          <w:sz w:val="24"/>
          <w:szCs w:val="24"/>
        </w:rPr>
      </w:pPr>
      <w:r w:rsidRPr="00966BD1">
        <w:rPr>
          <w:sz w:val="24"/>
          <w:szCs w:val="24"/>
        </w:rPr>
        <w:t>The Executive Branch maintains the position that its obligations to asylum seekers under international and domestic law are not engaged when it operates in international waters,</w:t>
      </w:r>
      <w:r w:rsidRPr="00966BD1">
        <w:rPr>
          <w:sz w:val="24"/>
          <w:szCs w:val="24"/>
          <w:vertAlign w:val="superscript"/>
        </w:rPr>
        <w:endnoteReference w:id="41"/>
      </w:r>
      <w:r w:rsidRPr="00966BD1">
        <w:rPr>
          <w:sz w:val="24"/>
          <w:szCs w:val="24"/>
        </w:rPr>
        <w:t xml:space="preserve"> even though the Human Rights Committee has expressly stated that such practice is outside the rule of law.</w:t>
      </w:r>
      <w:r w:rsidRPr="00966BD1">
        <w:rPr>
          <w:sz w:val="24"/>
          <w:szCs w:val="24"/>
          <w:vertAlign w:val="superscript"/>
        </w:rPr>
        <w:endnoteReference w:id="42"/>
      </w:r>
    </w:p>
    <w:p w14:paraId="6860FFBB" w14:textId="43E47388" w:rsidR="000362C9" w:rsidRPr="00966BD1" w:rsidRDefault="000362C9" w:rsidP="00737145">
      <w:pPr>
        <w:pStyle w:val="Heading4"/>
        <w:rPr>
          <w:rFonts w:cs="Times New Roman"/>
          <w:sz w:val="24"/>
        </w:rPr>
      </w:pPr>
      <w:bookmarkStart w:id="27" w:name="_Toc145307876"/>
      <w:r w:rsidRPr="00966BD1">
        <w:rPr>
          <w:rFonts w:cs="Times New Roman"/>
          <w:sz w:val="24"/>
        </w:rPr>
        <w:t>1981 Executive Branch Policy of Detention as Deterrence</w:t>
      </w:r>
      <w:bookmarkEnd w:id="27"/>
    </w:p>
    <w:p w14:paraId="67688F3F" w14:textId="6AAF1A59" w:rsidR="000362C9" w:rsidRPr="00966BD1" w:rsidRDefault="000362C9" w:rsidP="00530A46">
      <w:pPr>
        <w:pStyle w:val="ListParagraph"/>
        <w:rPr>
          <w:sz w:val="24"/>
          <w:szCs w:val="24"/>
        </w:rPr>
      </w:pPr>
      <w:r w:rsidRPr="00966BD1">
        <w:rPr>
          <w:sz w:val="24"/>
          <w:szCs w:val="24"/>
        </w:rPr>
        <w:t xml:space="preserve">In addition to responding to the increase in Haitian and Cuban seeking asylum by sea in the seventies and in 1980-1981 with maritime interdictions, the Executive Branch in 1981 </w:t>
      </w:r>
      <w:r w:rsidR="00DA763D">
        <w:rPr>
          <w:sz w:val="24"/>
          <w:szCs w:val="24"/>
        </w:rPr>
        <w:t>started detaining asylum seekers</w:t>
      </w:r>
      <w:r w:rsidRPr="00966BD1">
        <w:rPr>
          <w:sz w:val="24"/>
          <w:szCs w:val="24"/>
        </w:rPr>
        <w:t xml:space="preserve"> as a strategy to deter </w:t>
      </w:r>
      <w:r w:rsidR="00DA763D">
        <w:rPr>
          <w:sz w:val="24"/>
          <w:szCs w:val="24"/>
        </w:rPr>
        <w:t xml:space="preserve">people from </w:t>
      </w:r>
      <w:r w:rsidRPr="00966BD1">
        <w:rPr>
          <w:sz w:val="24"/>
          <w:szCs w:val="24"/>
        </w:rPr>
        <w:t>migrating to the U.S.</w:t>
      </w:r>
      <w:r w:rsidRPr="00966BD1">
        <w:rPr>
          <w:rStyle w:val="EndnoteReference"/>
          <w:sz w:val="24"/>
          <w:szCs w:val="24"/>
        </w:rPr>
        <w:endnoteReference w:id="43"/>
      </w:r>
    </w:p>
    <w:p w14:paraId="09047E01" w14:textId="200773E5" w:rsidR="000362C9" w:rsidRPr="00966BD1" w:rsidRDefault="000362C9" w:rsidP="00737145">
      <w:pPr>
        <w:pStyle w:val="Heading4"/>
        <w:rPr>
          <w:rFonts w:cs="Times New Roman"/>
          <w:sz w:val="24"/>
        </w:rPr>
      </w:pPr>
      <w:bookmarkStart w:id="28" w:name="_Toc145307877"/>
      <w:r w:rsidRPr="00966BD1">
        <w:rPr>
          <w:rFonts w:cs="Times New Roman"/>
          <w:sz w:val="24"/>
        </w:rPr>
        <w:t>1994 Executive Branch’s Border Policy of Prevention through Deterrence</w:t>
      </w:r>
      <w:bookmarkEnd w:id="28"/>
      <w:r w:rsidRPr="00966BD1">
        <w:rPr>
          <w:rFonts w:cs="Times New Roman"/>
          <w:sz w:val="24"/>
        </w:rPr>
        <w:t xml:space="preserve"> </w:t>
      </w:r>
    </w:p>
    <w:p w14:paraId="7CCA458C" w14:textId="0CA49081" w:rsidR="000362C9" w:rsidRPr="00966BD1" w:rsidRDefault="000362C9" w:rsidP="00CF640E">
      <w:pPr>
        <w:pStyle w:val="ListParagraph"/>
        <w:rPr>
          <w:sz w:val="24"/>
          <w:szCs w:val="24"/>
        </w:rPr>
      </w:pPr>
      <w:r w:rsidRPr="00966BD1">
        <w:rPr>
          <w:sz w:val="24"/>
          <w:szCs w:val="24"/>
        </w:rPr>
        <w:t>The Executive Branch adopted a border policy of ‘prevention through deterrence’ in 1994.</w:t>
      </w:r>
      <w:r w:rsidRPr="00966BD1">
        <w:rPr>
          <w:rStyle w:val="EndnoteReference"/>
          <w:sz w:val="24"/>
          <w:szCs w:val="24"/>
        </w:rPr>
        <w:endnoteReference w:id="44"/>
      </w:r>
      <w:r w:rsidRPr="00966BD1">
        <w:rPr>
          <w:sz w:val="24"/>
          <w:szCs w:val="24"/>
        </w:rPr>
        <w:t xml:space="preserve"> The policy “sought to deter irregular border crossing by ‘disrupt[ing]...traditional entry and smuggling routes’ so migrants would be ‘forced over’ more ‘hostile terrain’ far away from populated areas where those at risk of death by exposure to harsh elements might be able to seek help.”</w:t>
      </w:r>
      <w:r w:rsidRPr="00966BD1">
        <w:rPr>
          <w:rStyle w:val="EndnoteReference"/>
          <w:sz w:val="24"/>
          <w:szCs w:val="24"/>
        </w:rPr>
        <w:endnoteReference w:id="45"/>
      </w:r>
    </w:p>
    <w:p w14:paraId="4A625FD6" w14:textId="4B773178" w:rsidR="000362C9" w:rsidRPr="00966BD1" w:rsidRDefault="000362C9" w:rsidP="00A23766">
      <w:pPr>
        <w:pStyle w:val="Heading4"/>
        <w:rPr>
          <w:rFonts w:cs="Times New Roman"/>
          <w:sz w:val="24"/>
        </w:rPr>
      </w:pPr>
      <w:bookmarkStart w:id="29" w:name="_Toc145307878"/>
      <w:r w:rsidRPr="00966BD1">
        <w:rPr>
          <w:rFonts w:cs="Times New Roman"/>
          <w:sz w:val="24"/>
        </w:rPr>
        <w:t>1980s-present Border Militarization</w:t>
      </w:r>
      <w:bookmarkEnd w:id="29"/>
    </w:p>
    <w:p w14:paraId="460074B6" w14:textId="2C118545" w:rsidR="000362C9" w:rsidRPr="00966BD1" w:rsidRDefault="000362C9" w:rsidP="00483A83">
      <w:pPr>
        <w:pStyle w:val="ListParagraph"/>
        <w:rPr>
          <w:sz w:val="24"/>
          <w:szCs w:val="24"/>
        </w:rPr>
      </w:pPr>
      <w:r w:rsidRPr="00966BD1">
        <w:rPr>
          <w:sz w:val="24"/>
          <w:szCs w:val="24"/>
        </w:rPr>
        <w:t xml:space="preserve">With its explicit adoption of “Prevention through Deterrence” strategies, the U.S. has poured resources into militarizing its southern border to prevent and deter </w:t>
      </w:r>
      <w:r w:rsidR="005109A7">
        <w:rPr>
          <w:sz w:val="24"/>
          <w:szCs w:val="24"/>
        </w:rPr>
        <w:t>migration access</w:t>
      </w:r>
      <w:r w:rsidRPr="00966BD1">
        <w:rPr>
          <w:sz w:val="24"/>
          <w:szCs w:val="24"/>
        </w:rPr>
        <w:t>.</w:t>
      </w:r>
      <w:r w:rsidRPr="00966BD1">
        <w:rPr>
          <w:rStyle w:val="EndnoteReference"/>
          <w:sz w:val="24"/>
          <w:szCs w:val="24"/>
        </w:rPr>
        <w:endnoteReference w:id="46"/>
      </w:r>
      <w:r w:rsidRPr="00966BD1">
        <w:rPr>
          <w:sz w:val="24"/>
          <w:szCs w:val="24"/>
        </w:rPr>
        <w:t xml:space="preserve"> Since the Homeland Security Act took effect, the budget </w:t>
      </w:r>
      <w:r w:rsidR="005109A7">
        <w:rPr>
          <w:sz w:val="24"/>
          <w:szCs w:val="24"/>
        </w:rPr>
        <w:t>for</w:t>
      </w:r>
      <w:r w:rsidRPr="00966BD1">
        <w:rPr>
          <w:sz w:val="24"/>
          <w:szCs w:val="24"/>
        </w:rPr>
        <w:t xml:space="preserve"> immigration detention and border securitization </w:t>
      </w:r>
      <w:r w:rsidR="005109A7">
        <w:rPr>
          <w:sz w:val="24"/>
          <w:szCs w:val="24"/>
        </w:rPr>
        <w:t xml:space="preserve">has </w:t>
      </w:r>
      <w:r w:rsidRPr="00966BD1">
        <w:rPr>
          <w:sz w:val="24"/>
          <w:szCs w:val="24"/>
        </w:rPr>
        <w:t>tripl</w:t>
      </w:r>
      <w:r w:rsidR="005109A7">
        <w:rPr>
          <w:sz w:val="24"/>
          <w:szCs w:val="24"/>
        </w:rPr>
        <w:t>ed</w:t>
      </w:r>
      <w:r w:rsidRPr="00966BD1">
        <w:rPr>
          <w:sz w:val="24"/>
          <w:szCs w:val="24"/>
        </w:rPr>
        <w:t>.</w:t>
      </w:r>
      <w:r w:rsidRPr="00966BD1">
        <w:rPr>
          <w:rStyle w:val="EndnoteReference"/>
          <w:sz w:val="24"/>
          <w:szCs w:val="24"/>
        </w:rPr>
        <w:endnoteReference w:id="47"/>
      </w:r>
      <w:r w:rsidRPr="00966BD1">
        <w:rPr>
          <w:sz w:val="24"/>
          <w:szCs w:val="24"/>
        </w:rPr>
        <w:t xml:space="preserve"> Both the Executive Branch</w:t>
      </w:r>
      <w:r w:rsidRPr="00966BD1">
        <w:rPr>
          <w:rStyle w:val="EndnoteReference"/>
          <w:sz w:val="24"/>
          <w:szCs w:val="24"/>
        </w:rPr>
        <w:endnoteReference w:id="48"/>
      </w:r>
      <w:r w:rsidRPr="00966BD1">
        <w:rPr>
          <w:sz w:val="24"/>
          <w:szCs w:val="24"/>
        </w:rPr>
        <w:t xml:space="preserve"> and local governments on the border have continued to construct a physical border wall as well as us</w:t>
      </w:r>
      <w:r w:rsidR="00464AEF">
        <w:rPr>
          <w:sz w:val="24"/>
          <w:szCs w:val="24"/>
        </w:rPr>
        <w:t>e</w:t>
      </w:r>
      <w:r w:rsidRPr="00966BD1">
        <w:rPr>
          <w:sz w:val="24"/>
          <w:szCs w:val="24"/>
        </w:rPr>
        <w:t xml:space="preserve"> military and technological resources to prevent and deter people from entering the U.S. or applying for protections under U.S. naturalization law. </w:t>
      </w:r>
    </w:p>
    <w:p w14:paraId="56809BB4" w14:textId="23DDDAF5" w:rsidR="000362C9" w:rsidRPr="00966BD1" w:rsidRDefault="000362C9" w:rsidP="005721F4">
      <w:pPr>
        <w:pStyle w:val="ListParagraph"/>
        <w:rPr>
          <w:sz w:val="24"/>
          <w:szCs w:val="24"/>
        </w:rPr>
      </w:pPr>
      <w:r w:rsidRPr="00966BD1">
        <w:rPr>
          <w:sz w:val="24"/>
          <w:szCs w:val="24"/>
        </w:rPr>
        <w:t>In its 2006 Concluding Observations on the U.S., the Committee “remain</w:t>
      </w:r>
      <w:r w:rsidR="005109A7">
        <w:rPr>
          <w:sz w:val="24"/>
          <w:szCs w:val="24"/>
        </w:rPr>
        <w:t>[ed]</w:t>
      </w:r>
      <w:r w:rsidRPr="00966BD1">
        <w:rPr>
          <w:sz w:val="24"/>
          <w:szCs w:val="24"/>
        </w:rPr>
        <w:t xml:space="preserve"> concerned about the increased level of militarization on the southwest border with Mexico” and emphasized the </w:t>
      </w:r>
      <w:r w:rsidR="005109A7">
        <w:rPr>
          <w:sz w:val="24"/>
          <w:szCs w:val="24"/>
        </w:rPr>
        <w:t>need for</w:t>
      </w:r>
      <w:r w:rsidRPr="00966BD1">
        <w:rPr>
          <w:sz w:val="24"/>
          <w:szCs w:val="24"/>
        </w:rPr>
        <w:t xml:space="preserve"> immigration enforcement that complies with the rights under the Covenant.</w:t>
      </w:r>
      <w:bookmarkStart w:id="30" w:name="_Ref145401187"/>
      <w:r w:rsidRPr="00966BD1">
        <w:rPr>
          <w:sz w:val="24"/>
          <w:szCs w:val="24"/>
          <w:vertAlign w:val="superscript"/>
        </w:rPr>
        <w:endnoteReference w:id="49"/>
      </w:r>
      <w:bookmarkEnd w:id="30"/>
    </w:p>
    <w:p w14:paraId="073F3DFF" w14:textId="1125B85B" w:rsidR="000362C9" w:rsidRPr="00966BD1" w:rsidRDefault="000362C9" w:rsidP="00A23766">
      <w:pPr>
        <w:pStyle w:val="Heading4"/>
        <w:rPr>
          <w:rFonts w:cs="Times New Roman"/>
          <w:sz w:val="24"/>
        </w:rPr>
      </w:pPr>
      <w:bookmarkStart w:id="31" w:name="_Toc145307879"/>
      <w:r w:rsidRPr="00966BD1">
        <w:rPr>
          <w:rFonts w:cs="Times New Roman"/>
          <w:sz w:val="24"/>
        </w:rPr>
        <w:t>2016-present Pushback Policies: Metering, Title 42, including the mass expulsions of Haitians in Del Rio, Texas, and the “Asylum/Transit Ban”</w:t>
      </w:r>
      <w:bookmarkEnd w:id="31"/>
      <w:r w:rsidRPr="00966BD1">
        <w:rPr>
          <w:rFonts w:cs="Times New Roman"/>
          <w:sz w:val="24"/>
        </w:rPr>
        <w:t xml:space="preserve"> </w:t>
      </w:r>
    </w:p>
    <w:p w14:paraId="208CCF74" w14:textId="7EF654FC" w:rsidR="000362C9" w:rsidRPr="00DA32E0" w:rsidRDefault="00464AEF" w:rsidP="00DA32E0">
      <w:pPr>
        <w:pStyle w:val="ListParagraph"/>
      </w:pPr>
      <w:r w:rsidRPr="00DA32E0">
        <w:rPr>
          <w:sz w:val="24"/>
          <w:szCs w:val="24"/>
        </w:rPr>
        <w:t xml:space="preserve">Since </w:t>
      </w:r>
      <w:r w:rsidR="000362C9" w:rsidRPr="00DA32E0">
        <w:rPr>
          <w:sz w:val="24"/>
          <w:szCs w:val="24"/>
        </w:rPr>
        <w:t xml:space="preserve">2016, DHS </w:t>
      </w:r>
      <w:r w:rsidRPr="00DA32E0">
        <w:rPr>
          <w:sz w:val="24"/>
          <w:szCs w:val="24"/>
        </w:rPr>
        <w:t xml:space="preserve">has been implementing some form of </w:t>
      </w:r>
      <w:r w:rsidR="000362C9" w:rsidRPr="00DA32E0">
        <w:rPr>
          <w:sz w:val="24"/>
          <w:szCs w:val="24"/>
        </w:rPr>
        <w:t>metering, a policy through which U.S. Customs and Border Protection (“CBP”—a sub-agency within the DHS) restrict</w:t>
      </w:r>
      <w:r w:rsidRPr="00DA32E0">
        <w:rPr>
          <w:sz w:val="24"/>
          <w:szCs w:val="24"/>
        </w:rPr>
        <w:t>ed</w:t>
      </w:r>
      <w:r w:rsidR="000362C9" w:rsidRPr="00DA32E0">
        <w:rPr>
          <w:sz w:val="24"/>
          <w:szCs w:val="24"/>
        </w:rPr>
        <w:t xml:space="preserve"> access to the asylum process at U.S.-Mexico ports of entry by mandating that officers turn back asylum seekers at the border. </w:t>
      </w:r>
      <w:r w:rsidR="000362C9" w:rsidRPr="00266478">
        <w:rPr>
          <w:sz w:val="24"/>
          <w:szCs w:val="24"/>
        </w:rPr>
        <w:t>The metering policy started in 2016 at the San Ysidro Port of Entry</w:t>
      </w:r>
      <w:r w:rsidR="000362C9" w:rsidRPr="00966BD1">
        <w:rPr>
          <w:rStyle w:val="EndnoteReference"/>
          <w:sz w:val="24"/>
          <w:szCs w:val="24"/>
        </w:rPr>
        <w:endnoteReference w:id="50"/>
      </w:r>
      <w:r w:rsidR="000362C9" w:rsidRPr="00266478">
        <w:rPr>
          <w:sz w:val="24"/>
          <w:szCs w:val="24"/>
        </w:rPr>
        <w:t xml:space="preserve"> in response to an increase in the number of Haitian migrants presenting at the U.S.-Mexico border. </w:t>
      </w:r>
      <w:r w:rsidR="00AE0E46">
        <w:rPr>
          <w:sz w:val="24"/>
          <w:szCs w:val="24"/>
        </w:rPr>
        <w:t>A local paper</w:t>
      </w:r>
      <w:r w:rsidR="000362C9" w:rsidRPr="00266478">
        <w:rPr>
          <w:sz w:val="24"/>
          <w:szCs w:val="24"/>
        </w:rPr>
        <w:t xml:space="preserve"> published a story entitled “Surge of Haitians at San </w:t>
      </w:r>
      <w:r w:rsidR="000362C9" w:rsidRPr="00266478">
        <w:rPr>
          <w:sz w:val="24"/>
          <w:szCs w:val="24"/>
        </w:rPr>
        <w:lastRenderedPageBreak/>
        <w:t>Ysidro Port of Entry,” noting a swell of approximately 200 migrants around the port. In response, a senior DHS official emailed the port director at San Ysidro: “Need to get that asylum line out of the public viewing.” In turn, the port director instructed his staff, “[we] need to get this under control. The media is asking about our influx of Haitians . . . I would like to have this done immediately.”</w:t>
      </w:r>
      <w:r w:rsidR="000362C9" w:rsidRPr="00966BD1">
        <w:rPr>
          <w:rStyle w:val="EndnoteReference"/>
          <w:sz w:val="24"/>
          <w:szCs w:val="24"/>
        </w:rPr>
        <w:endnoteReference w:id="51"/>
      </w:r>
      <w:r w:rsidR="000362C9" w:rsidRPr="00266478">
        <w:rPr>
          <w:sz w:val="24"/>
          <w:szCs w:val="24"/>
        </w:rPr>
        <w:t xml:space="preserve"> </w:t>
      </w:r>
    </w:p>
    <w:p w14:paraId="3ABFF862" w14:textId="519AAC50" w:rsidR="000362C9" w:rsidRPr="00266478" w:rsidRDefault="00DA32E0" w:rsidP="00DA32E0">
      <w:pPr>
        <w:pStyle w:val="ListParagraph"/>
        <w:rPr>
          <w:sz w:val="24"/>
          <w:szCs w:val="24"/>
        </w:rPr>
      </w:pPr>
      <w:r>
        <w:rPr>
          <w:sz w:val="24"/>
          <w:szCs w:val="24"/>
        </w:rPr>
        <w:t xml:space="preserve">As a result, </w:t>
      </w:r>
      <w:r w:rsidRPr="00966BD1">
        <w:rPr>
          <w:sz w:val="24"/>
          <w:szCs w:val="24"/>
        </w:rPr>
        <w:t>CBP coordinat</w:t>
      </w:r>
      <w:r>
        <w:rPr>
          <w:sz w:val="24"/>
          <w:szCs w:val="24"/>
        </w:rPr>
        <w:t>ed</w:t>
      </w:r>
      <w:r w:rsidRPr="00966BD1">
        <w:rPr>
          <w:sz w:val="24"/>
          <w:szCs w:val="24"/>
        </w:rPr>
        <w:t xml:space="preserve"> with Mexican immigration authorities and other third parties to implement an illegal waitlist system that create</w:t>
      </w:r>
      <w:r>
        <w:rPr>
          <w:sz w:val="24"/>
          <w:szCs w:val="24"/>
        </w:rPr>
        <w:t>d</w:t>
      </w:r>
      <w:r w:rsidRPr="00966BD1">
        <w:rPr>
          <w:sz w:val="24"/>
          <w:szCs w:val="24"/>
        </w:rPr>
        <w:t xml:space="preserve"> life-threatening delays in processing asylum seekers. </w:t>
      </w:r>
      <w:r>
        <w:rPr>
          <w:sz w:val="24"/>
          <w:szCs w:val="24"/>
        </w:rPr>
        <w:t>S</w:t>
      </w:r>
      <w:r w:rsidRPr="00966BD1">
        <w:rPr>
          <w:sz w:val="24"/>
          <w:szCs w:val="24"/>
        </w:rPr>
        <w:t>ome tens of thousands of individuals w</w:t>
      </w:r>
      <w:r w:rsidR="001765A3">
        <w:rPr>
          <w:sz w:val="24"/>
          <w:szCs w:val="24"/>
        </w:rPr>
        <w:t>ould be</w:t>
      </w:r>
      <w:r w:rsidRPr="00966BD1">
        <w:rPr>
          <w:sz w:val="24"/>
          <w:szCs w:val="24"/>
        </w:rPr>
        <w:t xml:space="preserve"> turned back from applying from asylum even when they had already reached U.S. territory, a fact that CBP internally acknowledged </w:t>
      </w:r>
      <w:r>
        <w:rPr>
          <w:sz w:val="24"/>
          <w:szCs w:val="24"/>
        </w:rPr>
        <w:t>broke</w:t>
      </w:r>
      <w:r w:rsidRPr="00966BD1">
        <w:rPr>
          <w:sz w:val="24"/>
          <w:szCs w:val="24"/>
        </w:rPr>
        <w:t xml:space="preserve"> federal immigration rules and </w:t>
      </w:r>
      <w:r>
        <w:rPr>
          <w:sz w:val="24"/>
          <w:szCs w:val="24"/>
        </w:rPr>
        <w:t>l</w:t>
      </w:r>
      <w:r w:rsidRPr="00966BD1">
        <w:rPr>
          <w:sz w:val="24"/>
          <w:szCs w:val="24"/>
        </w:rPr>
        <w:t>aws.</w:t>
      </w:r>
      <w:r w:rsidRPr="00966BD1">
        <w:rPr>
          <w:sz w:val="24"/>
          <w:szCs w:val="24"/>
          <w:vertAlign w:val="superscript"/>
        </w:rPr>
        <w:endnoteReference w:id="52"/>
      </w:r>
      <w:r>
        <w:rPr>
          <w:sz w:val="24"/>
          <w:szCs w:val="24"/>
        </w:rPr>
        <w:t xml:space="preserve"> </w:t>
      </w:r>
      <w:r>
        <w:rPr>
          <w:rFonts w:eastAsia="Times New Roman"/>
          <w:sz w:val="24"/>
          <w:szCs w:val="24"/>
        </w:rPr>
        <w:t>T</w:t>
      </w:r>
      <w:r w:rsidR="000362C9" w:rsidRPr="00266478">
        <w:rPr>
          <w:rFonts w:eastAsia="Times New Roman"/>
          <w:sz w:val="24"/>
          <w:szCs w:val="24"/>
        </w:rPr>
        <w:t>he metering policy was implemented across nearly every pedestrian port of entry along the U.S.-Mexico border</w:t>
      </w:r>
      <w:r w:rsidR="007E0C5F">
        <w:rPr>
          <w:rFonts w:eastAsia="Times New Roman"/>
          <w:sz w:val="24"/>
          <w:szCs w:val="24"/>
        </w:rPr>
        <w:t>, but was ultimately struck down in 2021 by a federal court in California</w:t>
      </w:r>
      <w:r w:rsidR="00020CFA">
        <w:rPr>
          <w:rFonts w:eastAsia="Times New Roman"/>
          <w:sz w:val="24"/>
          <w:szCs w:val="24"/>
        </w:rPr>
        <w:t xml:space="preserve"> (though the government has appealed)</w:t>
      </w:r>
      <w:r w:rsidR="000362C9" w:rsidRPr="00266478">
        <w:rPr>
          <w:rFonts w:eastAsia="Times New Roman"/>
          <w:sz w:val="24"/>
          <w:szCs w:val="24"/>
        </w:rPr>
        <w:t>.</w:t>
      </w:r>
      <w:r w:rsidR="007E0C5F">
        <w:rPr>
          <w:rStyle w:val="EndnoteReference"/>
          <w:rFonts w:eastAsia="Times New Roman"/>
          <w:sz w:val="24"/>
          <w:szCs w:val="24"/>
        </w:rPr>
        <w:endnoteReference w:id="53"/>
      </w:r>
    </w:p>
    <w:p w14:paraId="68C55834" w14:textId="4030139F" w:rsidR="000362C9" w:rsidRPr="00966BD1" w:rsidRDefault="00DA32E0" w:rsidP="00B34E9B">
      <w:pPr>
        <w:pStyle w:val="ListParagraph"/>
        <w:rPr>
          <w:sz w:val="24"/>
          <w:szCs w:val="24"/>
        </w:rPr>
      </w:pPr>
      <w:r>
        <w:rPr>
          <w:sz w:val="24"/>
          <w:szCs w:val="24"/>
        </w:rPr>
        <w:t>In March 2020, u</w:t>
      </w:r>
      <w:r w:rsidR="000362C9" w:rsidRPr="00966BD1">
        <w:rPr>
          <w:sz w:val="24"/>
          <w:szCs w:val="24"/>
        </w:rPr>
        <w:t>nder the guise of a public health emergency, the President Trump and Biden administrations wielded a public health</w:t>
      </w:r>
      <w:r w:rsidR="00AE0E46">
        <w:rPr>
          <w:sz w:val="24"/>
          <w:szCs w:val="24"/>
        </w:rPr>
        <w:t xml:space="preserve"> policy</w:t>
      </w:r>
      <w:r w:rsidR="000362C9" w:rsidRPr="00966BD1">
        <w:rPr>
          <w:sz w:val="24"/>
          <w:szCs w:val="24"/>
        </w:rPr>
        <w:t xml:space="preserve"> (that had not been invoked since 1929) to expel </w:t>
      </w:r>
      <w:r>
        <w:rPr>
          <w:sz w:val="24"/>
          <w:szCs w:val="24"/>
        </w:rPr>
        <w:t xml:space="preserve">over a million </w:t>
      </w:r>
      <w:r w:rsidR="000362C9" w:rsidRPr="00966BD1">
        <w:rPr>
          <w:sz w:val="24"/>
          <w:szCs w:val="24"/>
        </w:rPr>
        <w:t>migrants during the COVID-19 pandemic without a screening for asylum</w:t>
      </w:r>
      <w:r>
        <w:rPr>
          <w:sz w:val="24"/>
          <w:szCs w:val="24"/>
        </w:rPr>
        <w:t xml:space="preserve"> or CAT protection.</w:t>
      </w:r>
      <w:r w:rsidR="000362C9" w:rsidRPr="00966BD1">
        <w:rPr>
          <w:rStyle w:val="EndnoteReference"/>
          <w:sz w:val="24"/>
          <w:szCs w:val="24"/>
        </w:rPr>
        <w:endnoteReference w:id="54"/>
      </w:r>
      <w:r w:rsidR="000362C9" w:rsidRPr="00966BD1">
        <w:rPr>
          <w:sz w:val="24"/>
          <w:szCs w:val="24"/>
        </w:rPr>
        <w:t xml:space="preserve"> This DHS policy caused Daniel Foote, the U.S. Special Envoy to Haiti, to resign in protest, noting that he refused to “be associated with the United States’ inhumane, counterproductive decision to deport thousands of Haitian refugees and [] immigrants to Haiti . . . a country where American officials are confined to secure compounds because of the danger posed by armed gangs.”</w:t>
      </w:r>
      <w:r w:rsidR="000362C9" w:rsidRPr="00966BD1">
        <w:rPr>
          <w:rStyle w:val="EndnoteReference"/>
          <w:sz w:val="24"/>
          <w:szCs w:val="24"/>
        </w:rPr>
        <w:endnoteReference w:id="55"/>
      </w:r>
    </w:p>
    <w:p w14:paraId="3AEEFD7A" w14:textId="75711C55" w:rsidR="000362C9" w:rsidRPr="00966BD1" w:rsidRDefault="000362C9" w:rsidP="00D8175E">
      <w:pPr>
        <w:pStyle w:val="ListParagraph"/>
        <w:rPr>
          <w:sz w:val="24"/>
          <w:szCs w:val="24"/>
        </w:rPr>
      </w:pPr>
      <w:r w:rsidRPr="00966BD1">
        <w:rPr>
          <w:sz w:val="24"/>
          <w:szCs w:val="24"/>
        </w:rPr>
        <w:t>The Title 42 policy exert</w:t>
      </w:r>
      <w:r w:rsidR="00803A3F">
        <w:rPr>
          <w:sz w:val="24"/>
          <w:szCs w:val="24"/>
        </w:rPr>
        <w:t>ed</w:t>
      </w:r>
      <w:r w:rsidRPr="00966BD1">
        <w:rPr>
          <w:sz w:val="24"/>
          <w:szCs w:val="24"/>
        </w:rPr>
        <w:t xml:space="preserve"> extreme forms of State violence on Haitian nationals in Del Rio, Texas in September 2021. From September 9 to 25, 2021, at least 15,000 Haitians</w:t>
      </w:r>
      <w:r w:rsidR="00AE0E46">
        <w:rPr>
          <w:sz w:val="24"/>
          <w:szCs w:val="24"/>
        </w:rPr>
        <w:t xml:space="preserve"> and </w:t>
      </w:r>
      <w:r w:rsidRPr="00966BD1">
        <w:rPr>
          <w:sz w:val="24"/>
          <w:szCs w:val="24"/>
        </w:rPr>
        <w:t>other nationals were held in a makeshift CBP encampment near the Del Rio International Bridge in Texas after they crossed the U</w:t>
      </w:r>
      <w:r w:rsidR="00803A3F">
        <w:rPr>
          <w:sz w:val="24"/>
          <w:szCs w:val="24"/>
        </w:rPr>
        <w:t>.</w:t>
      </w:r>
      <w:r w:rsidRPr="00966BD1">
        <w:rPr>
          <w:sz w:val="24"/>
          <w:szCs w:val="24"/>
        </w:rPr>
        <w:t>S</w:t>
      </w:r>
      <w:r w:rsidR="00803A3F">
        <w:rPr>
          <w:sz w:val="24"/>
          <w:szCs w:val="24"/>
        </w:rPr>
        <w:t>.</w:t>
      </w:r>
      <w:r w:rsidRPr="00966BD1">
        <w:rPr>
          <w:sz w:val="24"/>
          <w:szCs w:val="24"/>
        </w:rPr>
        <w:t>-Mexico border</w:t>
      </w:r>
      <w:r w:rsidR="00AE0E46">
        <w:rPr>
          <w:sz w:val="24"/>
          <w:szCs w:val="24"/>
        </w:rPr>
        <w:t xml:space="preserve"> to seek asylum</w:t>
      </w:r>
      <w:r w:rsidRPr="00966BD1">
        <w:rPr>
          <w:sz w:val="24"/>
          <w:szCs w:val="24"/>
        </w:rPr>
        <w:t xml:space="preserve">. </w:t>
      </w:r>
      <w:r w:rsidR="00AE0E46">
        <w:rPr>
          <w:sz w:val="24"/>
          <w:szCs w:val="24"/>
        </w:rPr>
        <w:t xml:space="preserve">But </w:t>
      </w:r>
      <w:r w:rsidRPr="00966BD1">
        <w:rPr>
          <w:sz w:val="24"/>
          <w:szCs w:val="24"/>
        </w:rPr>
        <w:t>U.S. ports of entry remained closed due to the Title 42 policy</w:t>
      </w:r>
      <w:r w:rsidR="00AE0E46">
        <w:rPr>
          <w:sz w:val="24"/>
          <w:szCs w:val="24"/>
        </w:rPr>
        <w:t xml:space="preserve"> and t</w:t>
      </w:r>
      <w:r w:rsidRPr="00966BD1">
        <w:rPr>
          <w:sz w:val="24"/>
          <w:szCs w:val="24"/>
        </w:rPr>
        <w:t>he U.S. government responded with militarized force</w:t>
      </w:r>
      <w:r w:rsidR="00AE0E46">
        <w:rPr>
          <w:sz w:val="24"/>
          <w:szCs w:val="24"/>
        </w:rPr>
        <w:t>.</w:t>
      </w:r>
      <w:r w:rsidRPr="00966BD1">
        <w:rPr>
          <w:rStyle w:val="EndnoteReference"/>
          <w:sz w:val="24"/>
          <w:szCs w:val="24"/>
        </w:rPr>
        <w:endnoteReference w:id="56"/>
      </w:r>
      <w:r w:rsidRPr="00966BD1">
        <w:rPr>
          <w:sz w:val="24"/>
          <w:szCs w:val="24"/>
        </w:rPr>
        <w:t xml:space="preserve"> </w:t>
      </w:r>
      <w:r w:rsidR="00AE0E46">
        <w:rPr>
          <w:sz w:val="24"/>
          <w:szCs w:val="24"/>
        </w:rPr>
        <w:t xml:space="preserve">They </w:t>
      </w:r>
      <w:r w:rsidRPr="00966BD1">
        <w:rPr>
          <w:sz w:val="24"/>
          <w:szCs w:val="24"/>
        </w:rPr>
        <w:t>restrict</w:t>
      </w:r>
      <w:r w:rsidR="00AE0E46">
        <w:rPr>
          <w:sz w:val="24"/>
          <w:szCs w:val="24"/>
        </w:rPr>
        <w:t>ed</w:t>
      </w:r>
      <w:r w:rsidRPr="00966BD1">
        <w:rPr>
          <w:sz w:val="24"/>
          <w:szCs w:val="24"/>
        </w:rPr>
        <w:t xml:space="preserve"> movement within and out of the encampment</w:t>
      </w:r>
      <w:r w:rsidR="00803A3F">
        <w:rPr>
          <w:sz w:val="24"/>
          <w:szCs w:val="24"/>
        </w:rPr>
        <w:t>, which</w:t>
      </w:r>
      <w:r w:rsidRPr="00966BD1">
        <w:rPr>
          <w:sz w:val="24"/>
          <w:szCs w:val="24"/>
        </w:rPr>
        <w:t xml:space="preserve"> was blocked off using shoulder-height fences constructed of chicken wire and abutted the Rio Grande River. Texas state police troopers were stationed across the river’s northern bank, while Mexican state police and officers from Mexico’s National Migration Institute (“INM”) lined the southern bank. Because the U.S. government </w:t>
      </w:r>
      <w:r w:rsidR="00AE0E46">
        <w:rPr>
          <w:sz w:val="24"/>
          <w:szCs w:val="24"/>
        </w:rPr>
        <w:t xml:space="preserve">effectively detained these individuals and </w:t>
      </w:r>
      <w:r w:rsidRPr="00966BD1">
        <w:rPr>
          <w:sz w:val="24"/>
          <w:szCs w:val="24"/>
        </w:rPr>
        <w:t xml:space="preserve">prevented </w:t>
      </w:r>
      <w:r w:rsidR="00AE0E46">
        <w:rPr>
          <w:sz w:val="24"/>
          <w:szCs w:val="24"/>
        </w:rPr>
        <w:t>them</w:t>
      </w:r>
      <w:r w:rsidR="00AE0E46" w:rsidRPr="00966BD1">
        <w:rPr>
          <w:sz w:val="24"/>
          <w:szCs w:val="24"/>
        </w:rPr>
        <w:t xml:space="preserve"> </w:t>
      </w:r>
      <w:r w:rsidRPr="00966BD1">
        <w:rPr>
          <w:sz w:val="24"/>
          <w:szCs w:val="24"/>
        </w:rPr>
        <w:t>from leaving the encampment</w:t>
      </w:r>
      <w:r w:rsidR="00803A3F">
        <w:rPr>
          <w:sz w:val="24"/>
          <w:szCs w:val="24"/>
        </w:rPr>
        <w:t>, the</w:t>
      </w:r>
      <w:r w:rsidR="00AE0E46">
        <w:rPr>
          <w:sz w:val="24"/>
          <w:szCs w:val="24"/>
        </w:rPr>
        <w:t>y</w:t>
      </w:r>
      <w:r w:rsidRPr="00966BD1">
        <w:rPr>
          <w:sz w:val="24"/>
          <w:szCs w:val="24"/>
        </w:rPr>
        <w:t xml:space="preserve"> owed the</w:t>
      </w:r>
      <w:r w:rsidR="00AE0E46">
        <w:rPr>
          <w:sz w:val="24"/>
          <w:szCs w:val="24"/>
        </w:rPr>
        <w:t xml:space="preserve"> people in the encampment</w:t>
      </w:r>
      <w:r w:rsidRPr="00966BD1">
        <w:rPr>
          <w:sz w:val="24"/>
          <w:szCs w:val="24"/>
        </w:rPr>
        <w:t xml:space="preserve"> a duty of care</w:t>
      </w:r>
      <w:r w:rsidR="00803A3F">
        <w:rPr>
          <w:sz w:val="24"/>
          <w:szCs w:val="24"/>
        </w:rPr>
        <w:t xml:space="preserve"> </w:t>
      </w:r>
      <w:r w:rsidRPr="00966BD1">
        <w:rPr>
          <w:sz w:val="24"/>
          <w:szCs w:val="24"/>
        </w:rPr>
        <w:t>to provide basic human necessities.</w:t>
      </w:r>
      <w:r w:rsidRPr="00966BD1">
        <w:rPr>
          <w:rStyle w:val="EndnoteReference"/>
          <w:sz w:val="24"/>
          <w:szCs w:val="24"/>
        </w:rPr>
        <w:endnoteReference w:id="57"/>
      </w:r>
      <w:r w:rsidR="00803A3F">
        <w:rPr>
          <w:sz w:val="24"/>
          <w:szCs w:val="24"/>
        </w:rPr>
        <w:t xml:space="preserve"> </w:t>
      </w:r>
      <w:r w:rsidR="001765A3">
        <w:rPr>
          <w:sz w:val="24"/>
          <w:szCs w:val="24"/>
        </w:rPr>
        <w:t xml:space="preserve">Instead, </w:t>
      </w:r>
      <w:r w:rsidR="00803A3F">
        <w:rPr>
          <w:sz w:val="24"/>
          <w:szCs w:val="24"/>
        </w:rPr>
        <w:t xml:space="preserve">the </w:t>
      </w:r>
      <w:r w:rsidRPr="00966BD1">
        <w:rPr>
          <w:sz w:val="24"/>
          <w:szCs w:val="24"/>
        </w:rPr>
        <w:t xml:space="preserve">people trapped in the encampment were subjected to </w:t>
      </w:r>
      <w:r w:rsidR="00803A3F">
        <w:rPr>
          <w:sz w:val="24"/>
          <w:szCs w:val="24"/>
        </w:rPr>
        <w:t xml:space="preserve">desert heat, no housing, </w:t>
      </w:r>
      <w:r w:rsidRPr="00966BD1">
        <w:rPr>
          <w:sz w:val="24"/>
          <w:szCs w:val="24"/>
        </w:rPr>
        <w:t>hunger, dehydration, medical neglect, and other inhumane conditions as they awaited processing by CBP.</w:t>
      </w:r>
      <w:r w:rsidRPr="00966BD1">
        <w:rPr>
          <w:rStyle w:val="EndnoteReference"/>
          <w:sz w:val="24"/>
          <w:szCs w:val="24"/>
        </w:rPr>
        <w:endnoteReference w:id="58"/>
      </w:r>
    </w:p>
    <w:p w14:paraId="7D7F0A7B" w14:textId="4FF801C6" w:rsidR="000362C9" w:rsidRPr="00966BD1" w:rsidRDefault="0018156C" w:rsidP="00D8175E">
      <w:pPr>
        <w:pStyle w:val="ListParagraph"/>
        <w:rPr>
          <w:sz w:val="24"/>
          <w:szCs w:val="24"/>
        </w:rPr>
      </w:pPr>
      <w:r>
        <w:rPr>
          <w:sz w:val="24"/>
          <w:szCs w:val="24"/>
        </w:rPr>
        <w:t xml:space="preserve">The </w:t>
      </w:r>
      <w:r w:rsidR="000362C9" w:rsidRPr="00966BD1">
        <w:rPr>
          <w:sz w:val="24"/>
          <w:szCs w:val="24"/>
        </w:rPr>
        <w:t xml:space="preserve">U.S. government authorized a first-of-its-kind “emergency” contract with a private prison company </w:t>
      </w:r>
      <w:r>
        <w:rPr>
          <w:sz w:val="24"/>
          <w:szCs w:val="24"/>
        </w:rPr>
        <w:t xml:space="preserve">to rapidly deport thousands of these individuals </w:t>
      </w:r>
      <w:r w:rsidR="000362C9" w:rsidRPr="00966BD1">
        <w:rPr>
          <w:sz w:val="24"/>
          <w:szCs w:val="24"/>
        </w:rPr>
        <w:t>to Haiti. The contract was entered without full and fair competition and ultimately cost nearly 1900% more per flight than the average cost of a deportation flight.</w:t>
      </w:r>
      <w:r w:rsidR="000362C9" w:rsidRPr="00966BD1">
        <w:rPr>
          <w:rStyle w:val="EndnoteReference"/>
          <w:sz w:val="24"/>
          <w:szCs w:val="24"/>
        </w:rPr>
        <w:endnoteReference w:id="59"/>
      </w:r>
    </w:p>
    <w:p w14:paraId="0DC216BC" w14:textId="7686A4DC" w:rsidR="000362C9" w:rsidRPr="00966BD1" w:rsidRDefault="000362C9" w:rsidP="00D8175E">
      <w:pPr>
        <w:pStyle w:val="ListParagraph"/>
        <w:rPr>
          <w:sz w:val="24"/>
          <w:szCs w:val="24"/>
        </w:rPr>
      </w:pPr>
      <w:r w:rsidRPr="00966BD1">
        <w:rPr>
          <w:sz w:val="24"/>
          <w:szCs w:val="24"/>
        </w:rPr>
        <w:lastRenderedPageBreak/>
        <w:t xml:space="preserve">As described in the </w:t>
      </w:r>
      <w:r w:rsidR="0018156C">
        <w:rPr>
          <w:sz w:val="24"/>
          <w:szCs w:val="24"/>
        </w:rPr>
        <w:t>c</w:t>
      </w:r>
      <w:r w:rsidRPr="00966BD1">
        <w:rPr>
          <w:sz w:val="24"/>
          <w:szCs w:val="24"/>
        </w:rPr>
        <w:t xml:space="preserve">omplaint in </w:t>
      </w:r>
      <w:r w:rsidRPr="00966BD1">
        <w:rPr>
          <w:i/>
          <w:iCs/>
          <w:sz w:val="24"/>
          <w:szCs w:val="24"/>
        </w:rPr>
        <w:t>H</w:t>
      </w:r>
      <w:r w:rsidR="00343E0F">
        <w:rPr>
          <w:i/>
          <w:iCs/>
          <w:sz w:val="24"/>
          <w:szCs w:val="24"/>
        </w:rPr>
        <w:t>aitian Bridge Alliance</w:t>
      </w:r>
      <w:r w:rsidRPr="00966BD1">
        <w:rPr>
          <w:i/>
          <w:iCs/>
          <w:sz w:val="24"/>
          <w:szCs w:val="24"/>
        </w:rPr>
        <w:t xml:space="preserve"> </w:t>
      </w:r>
      <w:r>
        <w:rPr>
          <w:i/>
          <w:iCs/>
          <w:sz w:val="24"/>
          <w:szCs w:val="24"/>
        </w:rPr>
        <w:t xml:space="preserve">et al. </w:t>
      </w:r>
      <w:r w:rsidRPr="00966BD1">
        <w:rPr>
          <w:i/>
          <w:iCs/>
          <w:sz w:val="24"/>
          <w:szCs w:val="24"/>
        </w:rPr>
        <w:t>v. Biden</w:t>
      </w:r>
      <w:r w:rsidRPr="00966BD1">
        <w:rPr>
          <w:sz w:val="24"/>
          <w:szCs w:val="24"/>
        </w:rPr>
        <w:t>,</w:t>
      </w:r>
      <w:r>
        <w:rPr>
          <w:sz w:val="24"/>
          <w:szCs w:val="24"/>
        </w:rPr>
        <w:t xml:space="preserve"> </w:t>
      </w:r>
      <w:r w:rsidR="0018156C">
        <w:rPr>
          <w:sz w:val="24"/>
          <w:szCs w:val="24"/>
        </w:rPr>
        <w:t xml:space="preserve">a </w:t>
      </w:r>
      <w:r>
        <w:rPr>
          <w:sz w:val="24"/>
          <w:szCs w:val="24"/>
        </w:rPr>
        <w:t>lawsuit</w:t>
      </w:r>
      <w:r w:rsidR="0018156C">
        <w:rPr>
          <w:sz w:val="24"/>
          <w:szCs w:val="24"/>
        </w:rPr>
        <w:t xml:space="preserve"> pending in U.S. district court that was</w:t>
      </w:r>
      <w:r>
        <w:rPr>
          <w:sz w:val="24"/>
          <w:szCs w:val="24"/>
        </w:rPr>
        <w:t xml:space="preserve"> filed by the victims,</w:t>
      </w:r>
      <w:r w:rsidRPr="00966BD1">
        <w:rPr>
          <w:sz w:val="24"/>
          <w:szCs w:val="24"/>
        </w:rPr>
        <w:t xml:space="preserve"> the U.S. intentionally organized a “brutal and rapid expulsion of asylum seekers.”</w:t>
      </w:r>
      <w:r w:rsidRPr="00966BD1">
        <w:rPr>
          <w:rStyle w:val="EndnoteReference"/>
          <w:sz w:val="24"/>
          <w:szCs w:val="24"/>
        </w:rPr>
        <w:endnoteReference w:id="60"/>
      </w:r>
      <w:r w:rsidRPr="00966BD1">
        <w:rPr>
          <w:sz w:val="24"/>
          <w:szCs w:val="24"/>
        </w:rPr>
        <w:t xml:space="preserve"> The complaint alleges: “In the resulting series of expulsion flights to Haiti, ICE officials expelled at least one mother with a days-old-baby born in the United States. Some expelled individuals did not even realize they had been sent to Haiti until they got off the plane, because officers had lied about where the asylum seekers were being taken. Many individuals were expelled in shackles;</w:t>
      </w:r>
      <w:r w:rsidR="0018156C">
        <w:rPr>
          <w:sz w:val="24"/>
          <w:szCs w:val="24"/>
        </w:rPr>
        <w:t xml:space="preserve"> … </w:t>
      </w:r>
      <w:r w:rsidRPr="00966BD1">
        <w:rPr>
          <w:sz w:val="24"/>
          <w:szCs w:val="24"/>
        </w:rPr>
        <w:t>none were given an opportunity to request asylum or screening for fear or risk of torture and death upon return to Haiti or Mexico.”</w:t>
      </w:r>
      <w:r w:rsidRPr="00966BD1">
        <w:rPr>
          <w:rStyle w:val="EndnoteReference"/>
          <w:sz w:val="24"/>
          <w:szCs w:val="24"/>
        </w:rPr>
        <w:endnoteReference w:id="61"/>
      </w:r>
    </w:p>
    <w:p w14:paraId="0B7F8973" w14:textId="23DABBF1" w:rsidR="000362C9" w:rsidRPr="00966BD1" w:rsidRDefault="000362C9">
      <w:pPr>
        <w:pStyle w:val="ListParagraph"/>
        <w:rPr>
          <w:rFonts w:eastAsia="Calibri"/>
          <w:sz w:val="24"/>
          <w:szCs w:val="24"/>
        </w:rPr>
      </w:pPr>
      <w:r w:rsidRPr="00966BD1">
        <w:rPr>
          <w:sz w:val="24"/>
          <w:szCs w:val="24"/>
        </w:rPr>
        <w:t xml:space="preserve">The Biden administration has </w:t>
      </w:r>
      <w:r w:rsidR="0018156C">
        <w:rPr>
          <w:sz w:val="24"/>
          <w:szCs w:val="24"/>
        </w:rPr>
        <w:t>tried</w:t>
      </w:r>
      <w:r w:rsidR="0018156C" w:rsidRPr="00966BD1">
        <w:rPr>
          <w:sz w:val="24"/>
          <w:szCs w:val="24"/>
        </w:rPr>
        <w:t xml:space="preserve"> </w:t>
      </w:r>
      <w:r w:rsidRPr="00966BD1">
        <w:rPr>
          <w:sz w:val="24"/>
          <w:szCs w:val="24"/>
        </w:rPr>
        <w:t xml:space="preserve">to dismiss the lawsuit filed by victims, including Mirard Joseph whom CBP officers assaulted on horseback, </w:t>
      </w:r>
      <w:r>
        <w:rPr>
          <w:sz w:val="24"/>
          <w:szCs w:val="24"/>
        </w:rPr>
        <w:t xml:space="preserve">images of </w:t>
      </w:r>
      <w:r w:rsidRPr="00966BD1">
        <w:rPr>
          <w:sz w:val="24"/>
          <w:szCs w:val="24"/>
        </w:rPr>
        <w:t>which caused international outrage and empty promises of accountability as his photo went viral.</w:t>
      </w:r>
      <w:r w:rsidRPr="00966BD1">
        <w:rPr>
          <w:rStyle w:val="EndnoteReference"/>
          <w:sz w:val="24"/>
          <w:szCs w:val="24"/>
        </w:rPr>
        <w:endnoteReference w:id="62"/>
      </w:r>
    </w:p>
    <w:p w14:paraId="6C8C4AF3" w14:textId="77777777" w:rsidR="000362C9" w:rsidRPr="00966BD1" w:rsidRDefault="000362C9" w:rsidP="00893E2C">
      <w:pPr>
        <w:pStyle w:val="Heading4"/>
        <w:rPr>
          <w:rFonts w:cs="Times New Roman"/>
          <w:sz w:val="24"/>
        </w:rPr>
      </w:pPr>
      <w:bookmarkStart w:id="33" w:name="_Toc145307880"/>
      <w:r w:rsidRPr="00966BD1">
        <w:rPr>
          <w:rFonts w:cs="Times New Roman"/>
          <w:sz w:val="24"/>
        </w:rPr>
        <w:t>Bi-lateral agreements, safe-third country agreements, and joint military operations</w:t>
      </w:r>
      <w:bookmarkEnd w:id="33"/>
    </w:p>
    <w:p w14:paraId="62D3C2FA" w14:textId="3BCADCAB" w:rsidR="000362C9" w:rsidRPr="00966BD1" w:rsidRDefault="000362C9" w:rsidP="00C475B6">
      <w:pPr>
        <w:pStyle w:val="ListParagraph"/>
        <w:rPr>
          <w:sz w:val="24"/>
          <w:szCs w:val="24"/>
        </w:rPr>
      </w:pPr>
      <w:r w:rsidRPr="00966BD1">
        <w:rPr>
          <w:sz w:val="24"/>
          <w:szCs w:val="24"/>
        </w:rPr>
        <w:t>Formal and informal U.S. agreements with countries in the Americas result in new restrictions, closed borders, and other measures that increasingly restrict access to asylum protection throughout the region and expose people to ongoing violations under the Covenant. As the Special Rapporteur on Contemporary Forms of Racism</w:t>
      </w:r>
      <w:r w:rsidR="00357D07">
        <w:rPr>
          <w:sz w:val="24"/>
          <w:szCs w:val="24"/>
        </w:rPr>
        <w:t xml:space="preserve"> </w:t>
      </w:r>
      <w:r w:rsidRPr="00966BD1">
        <w:rPr>
          <w:sz w:val="24"/>
          <w:szCs w:val="24"/>
        </w:rPr>
        <w:t>observed, “the racist and xenophobic politics of the United States are enforced even beyond the territories of that country because they are outsourced for enforcement by Mexican and other officials long before refugees and migrants even approach the US border.”</w:t>
      </w:r>
      <w:bookmarkStart w:id="34" w:name="_Ref145400958"/>
      <w:r w:rsidRPr="00966BD1">
        <w:rPr>
          <w:rStyle w:val="EndnoteReference"/>
          <w:sz w:val="24"/>
          <w:szCs w:val="24"/>
        </w:rPr>
        <w:endnoteReference w:id="63"/>
      </w:r>
      <w:bookmarkEnd w:id="34"/>
      <w:r w:rsidRPr="00966BD1">
        <w:rPr>
          <w:sz w:val="24"/>
          <w:szCs w:val="24"/>
        </w:rPr>
        <w:t xml:space="preserve"> </w:t>
      </w:r>
    </w:p>
    <w:p w14:paraId="4AC3C7B0" w14:textId="35D16509" w:rsidR="000362C9" w:rsidRPr="00966BD1" w:rsidRDefault="000362C9" w:rsidP="00C475B6">
      <w:pPr>
        <w:pStyle w:val="ListParagraph"/>
        <w:rPr>
          <w:sz w:val="24"/>
          <w:szCs w:val="24"/>
        </w:rPr>
      </w:pPr>
      <w:r w:rsidRPr="00966BD1">
        <w:rPr>
          <w:sz w:val="24"/>
          <w:szCs w:val="24"/>
        </w:rPr>
        <w:t>U.S. pressure on its southern border also extends to other regional actors, such as Colombia,</w:t>
      </w:r>
      <w:r w:rsidRPr="00966BD1">
        <w:rPr>
          <w:rStyle w:val="EndnoteReference"/>
          <w:sz w:val="24"/>
          <w:szCs w:val="24"/>
        </w:rPr>
        <w:endnoteReference w:id="64"/>
      </w:r>
      <w:r w:rsidRPr="00966BD1">
        <w:rPr>
          <w:sz w:val="24"/>
          <w:szCs w:val="24"/>
        </w:rPr>
        <w:t xml:space="preserve"> Guatemala,</w:t>
      </w:r>
      <w:r w:rsidRPr="00966BD1">
        <w:rPr>
          <w:rStyle w:val="EndnoteReference"/>
          <w:sz w:val="24"/>
          <w:szCs w:val="24"/>
        </w:rPr>
        <w:endnoteReference w:id="65"/>
      </w:r>
      <w:r w:rsidRPr="00966BD1">
        <w:rPr>
          <w:sz w:val="24"/>
          <w:szCs w:val="24"/>
        </w:rPr>
        <w:t xml:space="preserve"> and Mexico.</w:t>
      </w:r>
      <w:r w:rsidRPr="00966BD1">
        <w:rPr>
          <w:rStyle w:val="EndnoteReference"/>
          <w:sz w:val="24"/>
          <w:szCs w:val="24"/>
        </w:rPr>
        <w:endnoteReference w:id="66"/>
      </w:r>
      <w:r w:rsidRPr="00966BD1">
        <w:rPr>
          <w:sz w:val="24"/>
          <w:szCs w:val="24"/>
        </w:rPr>
        <w:t xml:space="preserve"> Although the </w:t>
      </w:r>
      <w:r>
        <w:rPr>
          <w:sz w:val="24"/>
          <w:szCs w:val="24"/>
        </w:rPr>
        <w:t>U.S.</w:t>
      </w:r>
      <w:r w:rsidRPr="00966BD1">
        <w:rPr>
          <w:sz w:val="24"/>
          <w:szCs w:val="24"/>
        </w:rPr>
        <w:t xml:space="preserve"> justifies these agreements with its southern neighbors </w:t>
      </w:r>
      <w:r w:rsidR="00357D07">
        <w:rPr>
          <w:sz w:val="24"/>
          <w:szCs w:val="24"/>
        </w:rPr>
        <w:t>as</w:t>
      </w:r>
      <w:r w:rsidRPr="00966BD1">
        <w:rPr>
          <w:sz w:val="24"/>
          <w:szCs w:val="24"/>
        </w:rPr>
        <w:t xml:space="preserve"> fighting smuggling networks, the intent to halt migration is </w:t>
      </w:r>
      <w:r w:rsidR="00357D07">
        <w:rPr>
          <w:sz w:val="24"/>
          <w:szCs w:val="24"/>
        </w:rPr>
        <w:t>key</w:t>
      </w:r>
      <w:r w:rsidRPr="00966BD1">
        <w:rPr>
          <w:sz w:val="24"/>
          <w:szCs w:val="24"/>
        </w:rPr>
        <w:t xml:space="preserve"> to a 2023 campaign launched by the U.S., Colombia, and Panama.</w:t>
      </w:r>
      <w:r w:rsidRPr="00966BD1">
        <w:rPr>
          <w:rStyle w:val="EndnoteReference"/>
          <w:sz w:val="24"/>
          <w:szCs w:val="24"/>
        </w:rPr>
        <w:endnoteReference w:id="67"/>
      </w:r>
      <w:r w:rsidRPr="00966BD1">
        <w:rPr>
          <w:sz w:val="24"/>
          <w:szCs w:val="24"/>
        </w:rPr>
        <w:t xml:space="preserve"> Such efforts would choke asylum access before migrants reach the U.S. border.</w:t>
      </w:r>
    </w:p>
    <w:p w14:paraId="669174CB" w14:textId="2E3360AD" w:rsidR="000362C9" w:rsidRPr="00966BD1" w:rsidRDefault="000362C9" w:rsidP="00AA5944">
      <w:pPr>
        <w:pStyle w:val="ListParagraph"/>
        <w:rPr>
          <w:sz w:val="24"/>
          <w:szCs w:val="24"/>
        </w:rPr>
      </w:pPr>
      <w:r w:rsidRPr="00966BD1">
        <w:rPr>
          <w:sz w:val="24"/>
          <w:szCs w:val="24"/>
        </w:rPr>
        <w:t xml:space="preserve">In recent years, the </w:t>
      </w:r>
      <w:r>
        <w:rPr>
          <w:sz w:val="24"/>
          <w:szCs w:val="24"/>
        </w:rPr>
        <w:t>U.S.</w:t>
      </w:r>
      <w:r w:rsidRPr="00966BD1">
        <w:rPr>
          <w:sz w:val="24"/>
          <w:szCs w:val="24"/>
        </w:rPr>
        <w:t xml:space="preserve"> has subsidized and fueled the dramatic expansion of Panama’s border enforcement to track and </w:t>
      </w:r>
      <w:r w:rsidR="00357D07">
        <w:rPr>
          <w:sz w:val="24"/>
          <w:szCs w:val="24"/>
        </w:rPr>
        <w:t>restrict</w:t>
      </w:r>
      <w:r w:rsidR="00357D07" w:rsidRPr="00966BD1">
        <w:rPr>
          <w:sz w:val="24"/>
          <w:szCs w:val="24"/>
        </w:rPr>
        <w:t xml:space="preserve"> </w:t>
      </w:r>
      <w:r w:rsidRPr="00966BD1">
        <w:rPr>
          <w:sz w:val="24"/>
          <w:szCs w:val="24"/>
        </w:rPr>
        <w:t>migration north to the U.S. For many Latin American, Caribbean, and transcontinental asylum seekers from Africa, Panama has become their first touchpoint with the U.S. enforcement apparatus.</w:t>
      </w:r>
      <w:bookmarkStart w:id="35" w:name="_Ref145400867"/>
      <w:r w:rsidRPr="00966BD1">
        <w:rPr>
          <w:rStyle w:val="EndnoteReference"/>
          <w:sz w:val="24"/>
          <w:szCs w:val="24"/>
        </w:rPr>
        <w:endnoteReference w:id="68"/>
      </w:r>
      <w:bookmarkEnd w:id="35"/>
      <w:r w:rsidRPr="00966BD1">
        <w:rPr>
          <w:sz w:val="24"/>
          <w:szCs w:val="24"/>
        </w:rPr>
        <w:t xml:space="preserve"> The U.S. has supplied Panamanian authorities with biometrics capability to track migrants and capture their information as they head north to the </w:t>
      </w:r>
      <w:r>
        <w:rPr>
          <w:sz w:val="24"/>
          <w:szCs w:val="24"/>
        </w:rPr>
        <w:t>U.S</w:t>
      </w:r>
      <w:r w:rsidRPr="00966BD1">
        <w:rPr>
          <w:sz w:val="24"/>
          <w:szCs w:val="24"/>
        </w:rPr>
        <w:t>.</w:t>
      </w:r>
      <w:r w:rsidRPr="00966BD1">
        <w:rPr>
          <w:rStyle w:val="EndnoteReference"/>
          <w:sz w:val="24"/>
          <w:szCs w:val="24"/>
        </w:rPr>
        <w:endnoteReference w:id="69"/>
      </w:r>
      <w:r w:rsidRPr="00966BD1">
        <w:rPr>
          <w:sz w:val="24"/>
          <w:szCs w:val="24"/>
        </w:rPr>
        <w:t> </w:t>
      </w:r>
    </w:p>
    <w:p w14:paraId="3C2B0A1B" w14:textId="34B49EE1" w:rsidR="000362C9" w:rsidRPr="00966BD1" w:rsidRDefault="000362C9" w:rsidP="00AA5944">
      <w:pPr>
        <w:pStyle w:val="ListParagraph"/>
        <w:rPr>
          <w:sz w:val="24"/>
          <w:szCs w:val="24"/>
        </w:rPr>
      </w:pPr>
      <w:r w:rsidRPr="00966BD1">
        <w:rPr>
          <w:sz w:val="24"/>
          <w:szCs w:val="24"/>
        </w:rPr>
        <w:t>The U.S. military has also been working with Panama and Colombia to train their border forces and expand the securitization of their borders—further expanding over a century of U.S. military presence in Panama.</w:t>
      </w:r>
      <w:r w:rsidRPr="00966BD1">
        <w:rPr>
          <w:rStyle w:val="EndnoteReference"/>
          <w:sz w:val="24"/>
          <w:szCs w:val="24"/>
        </w:rPr>
        <w:endnoteReference w:id="70"/>
      </w:r>
      <w:r w:rsidRPr="00966BD1">
        <w:rPr>
          <w:sz w:val="24"/>
          <w:szCs w:val="24"/>
        </w:rPr>
        <w:t xml:space="preserve"> Panamanian enforcement and security-based cooperation with the </w:t>
      </w:r>
      <w:r>
        <w:rPr>
          <w:sz w:val="24"/>
          <w:szCs w:val="24"/>
        </w:rPr>
        <w:t>U.S.</w:t>
      </w:r>
      <w:r w:rsidRPr="00966BD1">
        <w:rPr>
          <w:sz w:val="24"/>
          <w:szCs w:val="24"/>
        </w:rPr>
        <w:t xml:space="preserve"> has endured</w:t>
      </w:r>
      <w:r w:rsidRPr="00966BD1">
        <w:rPr>
          <w:rStyle w:val="EndnoteReference"/>
          <w:sz w:val="24"/>
          <w:szCs w:val="24"/>
        </w:rPr>
        <w:endnoteReference w:id="71"/>
      </w:r>
      <w:r w:rsidRPr="00966BD1">
        <w:rPr>
          <w:sz w:val="24"/>
          <w:szCs w:val="24"/>
        </w:rPr>
        <w:t xml:space="preserve"> in spite of ample evidence that the needs facing migrants, including a growing number of children,</w:t>
      </w:r>
      <w:r w:rsidRPr="00966BD1">
        <w:rPr>
          <w:rStyle w:val="EndnoteReference"/>
          <w:sz w:val="24"/>
          <w:szCs w:val="24"/>
        </w:rPr>
        <w:endnoteReference w:id="72"/>
      </w:r>
      <w:r w:rsidRPr="00966BD1">
        <w:rPr>
          <w:sz w:val="24"/>
          <w:szCs w:val="24"/>
        </w:rPr>
        <w:t xml:space="preserve"> are humanitarian in nature </w:t>
      </w:r>
      <w:r w:rsidR="00357D07">
        <w:rPr>
          <w:sz w:val="24"/>
          <w:szCs w:val="24"/>
        </w:rPr>
        <w:t>and do not require</w:t>
      </w:r>
      <w:r w:rsidRPr="00966BD1">
        <w:rPr>
          <w:sz w:val="24"/>
          <w:szCs w:val="24"/>
        </w:rPr>
        <w:t xml:space="preserve"> a militarized and surveillance response. In April 2023, the U.S. announced joint military operations with the Panamanian and </w:t>
      </w:r>
      <w:r w:rsidR="003F5B74">
        <w:rPr>
          <w:sz w:val="24"/>
          <w:szCs w:val="24"/>
        </w:rPr>
        <w:t>Colombia</w:t>
      </w:r>
      <w:r w:rsidRPr="00966BD1">
        <w:rPr>
          <w:sz w:val="24"/>
          <w:szCs w:val="24"/>
        </w:rPr>
        <w:t>n militaries.</w:t>
      </w:r>
      <w:r w:rsidRPr="00966BD1">
        <w:rPr>
          <w:rStyle w:val="EndnoteReference"/>
          <w:sz w:val="24"/>
          <w:szCs w:val="24"/>
        </w:rPr>
        <w:endnoteReference w:id="73"/>
      </w:r>
    </w:p>
    <w:p w14:paraId="265974DA" w14:textId="79CD90D7" w:rsidR="000362C9" w:rsidRPr="00966BD1" w:rsidRDefault="000362C9" w:rsidP="00AA5944">
      <w:pPr>
        <w:pStyle w:val="ListParagraph"/>
        <w:rPr>
          <w:sz w:val="24"/>
          <w:szCs w:val="24"/>
        </w:rPr>
      </w:pPr>
      <w:r w:rsidRPr="00966BD1">
        <w:rPr>
          <w:sz w:val="24"/>
          <w:szCs w:val="24"/>
        </w:rPr>
        <w:lastRenderedPageBreak/>
        <w:t>The Trump administration pursued agreements with Mexico and Central American nations to formalize the pushback of migrants seeking protection at its borders. Threatening to cut millions of foreign assistance programs, President Trump pressured the governments of El Salvador, Honduras, and Guatemala to enter into “safe” third country agreements, absent any indicia that these nations currently had the capacity to protect the rights of asylum seekers. Far from “safe third countries,” these agreements amounted to “deportation[s] with a layover” according to human rights watchdogs.</w:t>
      </w:r>
      <w:r w:rsidRPr="00966BD1">
        <w:rPr>
          <w:sz w:val="24"/>
          <w:szCs w:val="24"/>
          <w:vertAlign w:val="superscript"/>
        </w:rPr>
        <w:endnoteReference w:id="74"/>
      </w:r>
    </w:p>
    <w:p w14:paraId="59650046" w14:textId="5FAC377F" w:rsidR="000362C9" w:rsidRPr="00966BD1" w:rsidRDefault="000362C9" w:rsidP="00966BD1">
      <w:pPr>
        <w:pStyle w:val="Heading1"/>
        <w:numPr>
          <w:ilvl w:val="0"/>
          <w:numId w:val="55"/>
        </w:numPr>
        <w:ind w:left="720"/>
        <w:rPr>
          <w:sz w:val="24"/>
          <w:szCs w:val="24"/>
        </w:rPr>
      </w:pPr>
      <w:bookmarkStart w:id="36" w:name="_Toc143210372"/>
      <w:bookmarkStart w:id="37" w:name="_Toc145307881"/>
      <w:r w:rsidRPr="00966BD1">
        <w:rPr>
          <w:sz w:val="24"/>
          <w:szCs w:val="24"/>
        </w:rPr>
        <w:t>Current and ongoing treatment of foreign nationals, including refugees and asylum seekers, disparately impacting Black people and other people protected by ICERD (arts. 2, 9, 10, 13, 14, 17, 23, 24 and 26)</w:t>
      </w:r>
      <w:bookmarkEnd w:id="36"/>
      <w:bookmarkEnd w:id="37"/>
    </w:p>
    <w:p w14:paraId="55263F71" w14:textId="07C556E3" w:rsidR="000362C9" w:rsidRPr="00966BD1" w:rsidRDefault="000362C9" w:rsidP="00A0486A">
      <w:pPr>
        <w:pStyle w:val="ListParagraph"/>
        <w:rPr>
          <w:sz w:val="24"/>
          <w:szCs w:val="24"/>
        </w:rPr>
      </w:pPr>
      <w:r w:rsidRPr="00966BD1">
        <w:rPr>
          <w:sz w:val="24"/>
          <w:szCs w:val="24"/>
        </w:rPr>
        <w:t xml:space="preserve">The U.S.’s Prevention through Deterrence policy and practice includes the following three parts: (A) intentional violations of </w:t>
      </w:r>
      <w:r w:rsidR="00EB5ED8" w:rsidRPr="00266478">
        <w:rPr>
          <w:sz w:val="24"/>
          <w:szCs w:val="24"/>
        </w:rPr>
        <w:t>non-refoulement</w:t>
      </w:r>
      <w:r w:rsidRPr="00966BD1">
        <w:rPr>
          <w:sz w:val="24"/>
          <w:szCs w:val="24"/>
        </w:rPr>
        <w:t xml:space="preserve">—through </w:t>
      </w:r>
      <w:r>
        <w:rPr>
          <w:sz w:val="24"/>
          <w:szCs w:val="24"/>
        </w:rPr>
        <w:t>m</w:t>
      </w:r>
      <w:r w:rsidRPr="00966BD1">
        <w:rPr>
          <w:sz w:val="24"/>
          <w:szCs w:val="24"/>
        </w:rPr>
        <w:t xml:space="preserve">aritime </w:t>
      </w:r>
      <w:r>
        <w:rPr>
          <w:sz w:val="24"/>
          <w:szCs w:val="24"/>
        </w:rPr>
        <w:t>i</w:t>
      </w:r>
      <w:r w:rsidRPr="00966BD1">
        <w:rPr>
          <w:sz w:val="24"/>
          <w:szCs w:val="24"/>
        </w:rPr>
        <w:t>nterdictions, “pushbacks,”</w:t>
      </w:r>
      <w:bookmarkStart w:id="38" w:name="_Ref145401721"/>
      <w:r w:rsidRPr="00966BD1">
        <w:rPr>
          <w:rStyle w:val="EndnoteReference"/>
          <w:sz w:val="24"/>
          <w:szCs w:val="24"/>
        </w:rPr>
        <w:endnoteReference w:id="75"/>
      </w:r>
      <w:bookmarkEnd w:id="38"/>
      <w:r w:rsidRPr="00966BD1">
        <w:rPr>
          <w:sz w:val="24"/>
          <w:szCs w:val="24"/>
        </w:rPr>
        <w:t xml:space="preserve"> especially at the U.S.’s land border with Mexico, and ongoing deportations to places where it is likely the people will experience deprivations of rights under the Covenant; (B) mass detention and conditions of detention that violate the Covenant’s guarantees against arbitrary deprivations of life and liberty and its prohibition against torture; and (C) externalization of U.S border control on spaces far from U.S territory, using regional, bi-lateral, and multilateral agreements and joint military partnerships, and spreading U.S. Prevention through Deterrence policies and practices, including the Haitian Deterrence Policy. These laws, policies, and practices disparately target and impact Black people and other people protected by ICERD.</w:t>
      </w:r>
    </w:p>
    <w:p w14:paraId="114BC235" w14:textId="38A2E8C1" w:rsidR="000362C9" w:rsidRPr="00966BD1" w:rsidRDefault="000362C9" w:rsidP="00197004">
      <w:pPr>
        <w:pStyle w:val="Heading2"/>
        <w:numPr>
          <w:ilvl w:val="0"/>
          <w:numId w:val="38"/>
        </w:numPr>
        <w:ind w:left="1800"/>
        <w:rPr>
          <w:rFonts w:cs="Times New Roman"/>
          <w:sz w:val="24"/>
          <w:szCs w:val="24"/>
        </w:rPr>
      </w:pPr>
      <w:bookmarkStart w:id="39" w:name="_Toc145307882"/>
      <w:bookmarkStart w:id="40" w:name="_Toc143210373"/>
      <w:r w:rsidRPr="00966BD1">
        <w:rPr>
          <w:rFonts w:cs="Times New Roman"/>
          <w:sz w:val="24"/>
          <w:szCs w:val="24"/>
        </w:rPr>
        <w:t xml:space="preserve">Intentional violations of </w:t>
      </w:r>
      <w:r w:rsidR="00EB5ED8" w:rsidRPr="00266478">
        <w:rPr>
          <w:rFonts w:cs="Times New Roman"/>
          <w:sz w:val="24"/>
          <w:szCs w:val="24"/>
        </w:rPr>
        <w:t>non-refoulement</w:t>
      </w:r>
      <w:r w:rsidRPr="00966BD1">
        <w:rPr>
          <w:rFonts w:cs="Times New Roman"/>
          <w:sz w:val="24"/>
          <w:szCs w:val="24"/>
        </w:rPr>
        <w:t xml:space="preserve"> through maritime interdictions, pushbacks, and deportations</w:t>
      </w:r>
      <w:bookmarkEnd w:id="39"/>
      <w:r w:rsidRPr="00966BD1">
        <w:rPr>
          <w:rFonts w:cs="Times New Roman"/>
          <w:sz w:val="24"/>
          <w:szCs w:val="24"/>
        </w:rPr>
        <w:t xml:space="preserve"> </w:t>
      </w:r>
      <w:bookmarkEnd w:id="40"/>
    </w:p>
    <w:p w14:paraId="547CF796" w14:textId="5F3C5F7B" w:rsidR="000362C9" w:rsidRPr="00966BD1" w:rsidRDefault="000362C9" w:rsidP="00197004">
      <w:pPr>
        <w:pStyle w:val="Heading3"/>
        <w:numPr>
          <w:ilvl w:val="0"/>
          <w:numId w:val="39"/>
        </w:numPr>
        <w:rPr>
          <w:rFonts w:cs="Times New Roman"/>
          <w:sz w:val="24"/>
        </w:rPr>
      </w:pPr>
      <w:bookmarkStart w:id="41" w:name="_Toc143210374"/>
      <w:bookmarkStart w:id="42" w:name="_Toc145307883"/>
      <w:r w:rsidRPr="00966BD1">
        <w:rPr>
          <w:rFonts w:cs="Times New Roman"/>
          <w:sz w:val="24"/>
        </w:rPr>
        <w:t>Ongoing maritime interdictions of Haitians</w:t>
      </w:r>
      <w:bookmarkEnd w:id="41"/>
      <w:bookmarkEnd w:id="42"/>
      <w:r w:rsidRPr="00966BD1">
        <w:rPr>
          <w:rFonts w:cs="Times New Roman"/>
          <w:sz w:val="24"/>
        </w:rPr>
        <w:t xml:space="preserve"> </w:t>
      </w:r>
    </w:p>
    <w:p w14:paraId="715B51ED" w14:textId="6B55B1DA" w:rsidR="000362C9" w:rsidRPr="00966BD1" w:rsidRDefault="000362C9" w:rsidP="00360B3A">
      <w:pPr>
        <w:pStyle w:val="ListParagraph"/>
        <w:rPr>
          <w:sz w:val="24"/>
          <w:szCs w:val="24"/>
        </w:rPr>
      </w:pPr>
      <w:r w:rsidRPr="00966BD1">
        <w:rPr>
          <w:sz w:val="24"/>
          <w:szCs w:val="24"/>
        </w:rPr>
        <w:t xml:space="preserve">Through its maritime interdiction operations, the U.S. detains people aboard military ships and at an offshore detention center—with no ability to contact family or legal counsel—and then </w:t>
      </w:r>
      <w:r w:rsidR="00F82185">
        <w:rPr>
          <w:sz w:val="24"/>
          <w:szCs w:val="24"/>
        </w:rPr>
        <w:t>without judicial review</w:t>
      </w:r>
      <w:r w:rsidR="00F82185" w:rsidRPr="00966BD1">
        <w:rPr>
          <w:sz w:val="24"/>
          <w:szCs w:val="24"/>
        </w:rPr>
        <w:t xml:space="preserve"> </w:t>
      </w:r>
      <w:r w:rsidRPr="00966BD1">
        <w:rPr>
          <w:sz w:val="24"/>
          <w:szCs w:val="24"/>
        </w:rPr>
        <w:t xml:space="preserve">returns them to countries of origin with </w:t>
      </w:r>
      <w:r w:rsidR="0018156C">
        <w:rPr>
          <w:sz w:val="24"/>
          <w:szCs w:val="24"/>
        </w:rPr>
        <w:t xml:space="preserve">disregard for </w:t>
      </w:r>
      <w:r w:rsidRPr="00966BD1">
        <w:rPr>
          <w:sz w:val="24"/>
          <w:szCs w:val="24"/>
        </w:rPr>
        <w:t>national and international legal protections afforded to migrants, refugees, and asylum seekers, including the Covenant’s guarantee against refoulement.</w:t>
      </w:r>
    </w:p>
    <w:p w14:paraId="5762DBF2" w14:textId="16C4CEE6" w:rsidR="000362C9" w:rsidRPr="00966BD1" w:rsidRDefault="000362C9" w:rsidP="00360B3A">
      <w:pPr>
        <w:pStyle w:val="ListParagraph"/>
        <w:rPr>
          <w:sz w:val="24"/>
          <w:szCs w:val="24"/>
        </w:rPr>
      </w:pPr>
      <w:r w:rsidRPr="00966BD1">
        <w:rPr>
          <w:sz w:val="24"/>
          <w:szCs w:val="24"/>
        </w:rPr>
        <w:t>Once interception occurs, the U.S. takes people aboard Coast Guard ships, where, as described in a February 2023 article by a U.S. Coast Guard leader, “[</w:t>
      </w:r>
      <w:proofErr w:type="spellStart"/>
      <w:r w:rsidRPr="00966BD1">
        <w:rPr>
          <w:sz w:val="24"/>
          <w:szCs w:val="24"/>
        </w:rPr>
        <w:t>i</w:t>
      </w:r>
      <w:proofErr w:type="spellEnd"/>
      <w:r w:rsidRPr="00966BD1">
        <w:rPr>
          <w:sz w:val="24"/>
          <w:szCs w:val="24"/>
        </w:rPr>
        <w:t>]t is not uncommon for hundreds of migrants to be squeezed on a flight deck measuring 1,500 square feet”; where “hundreds of temporary migrants live, eat, sleep, defecate, and receive medical care in this one spot, sometimes for days on end, until repatriation can be coordinated;” and where “the situation is also often on the verge of devolving into riots” and “operations are, in no small way, akin to combat.”</w:t>
      </w:r>
      <w:r w:rsidRPr="00966BD1">
        <w:rPr>
          <w:sz w:val="24"/>
          <w:szCs w:val="24"/>
          <w:vertAlign w:val="superscript"/>
        </w:rPr>
        <w:endnoteReference w:id="76"/>
      </w:r>
      <w:r w:rsidRPr="00966BD1">
        <w:rPr>
          <w:sz w:val="24"/>
          <w:szCs w:val="24"/>
        </w:rPr>
        <w:t xml:space="preserve"> </w:t>
      </w:r>
    </w:p>
    <w:p w14:paraId="069CADA8" w14:textId="2E939183" w:rsidR="000362C9" w:rsidRPr="00966BD1" w:rsidRDefault="000362C9" w:rsidP="00360B3A">
      <w:pPr>
        <w:pStyle w:val="ListParagraph"/>
        <w:rPr>
          <w:sz w:val="24"/>
          <w:szCs w:val="24"/>
        </w:rPr>
      </w:pPr>
      <w:r w:rsidRPr="00966BD1">
        <w:rPr>
          <w:sz w:val="24"/>
          <w:szCs w:val="24"/>
        </w:rPr>
        <w:t xml:space="preserve">In this environment, DHS asserts that Coast Guard operatives employ a ‘manifestation of fear’ test, where they visually scan people on board the ship to determine whether </w:t>
      </w:r>
      <w:r w:rsidR="00BA4A9E" w:rsidRPr="00966BD1">
        <w:rPr>
          <w:sz w:val="24"/>
          <w:szCs w:val="24"/>
        </w:rPr>
        <w:t>anyone demonstrates</w:t>
      </w:r>
      <w:r w:rsidRPr="00966BD1">
        <w:rPr>
          <w:sz w:val="24"/>
          <w:szCs w:val="24"/>
        </w:rPr>
        <w:t xml:space="preserve"> a fear of return to their country of origin. No verbal questions are asked of </w:t>
      </w:r>
      <w:r w:rsidRPr="00966BD1">
        <w:rPr>
          <w:sz w:val="24"/>
          <w:szCs w:val="24"/>
        </w:rPr>
        <w:lastRenderedPageBreak/>
        <w:t>migrants, though the U.S. government claims that a person can shout out</w:t>
      </w:r>
      <w:r w:rsidR="00E271BA">
        <w:rPr>
          <w:sz w:val="24"/>
          <w:szCs w:val="24"/>
        </w:rPr>
        <w:t>.</w:t>
      </w:r>
      <w:r w:rsidRPr="00966BD1">
        <w:rPr>
          <w:rStyle w:val="EndnoteReference"/>
          <w:sz w:val="24"/>
          <w:szCs w:val="24"/>
        </w:rPr>
        <w:endnoteReference w:id="77"/>
      </w:r>
      <w:r w:rsidRPr="00966BD1">
        <w:rPr>
          <w:sz w:val="24"/>
          <w:szCs w:val="24"/>
        </w:rPr>
        <w:t xml:space="preserve"> </w:t>
      </w:r>
      <w:r w:rsidR="00E271BA">
        <w:rPr>
          <w:sz w:val="24"/>
          <w:szCs w:val="24"/>
        </w:rPr>
        <w:t>A</w:t>
      </w:r>
      <w:r w:rsidRPr="00966BD1">
        <w:rPr>
          <w:sz w:val="24"/>
          <w:szCs w:val="24"/>
        </w:rPr>
        <w:t>ccess to counsel is not allowed. If a Coast Guard agent identif</w:t>
      </w:r>
      <w:r w:rsidR="00E271BA">
        <w:rPr>
          <w:sz w:val="24"/>
          <w:szCs w:val="24"/>
        </w:rPr>
        <w:t>ies</w:t>
      </w:r>
      <w:r w:rsidRPr="00966BD1">
        <w:rPr>
          <w:sz w:val="24"/>
          <w:szCs w:val="24"/>
        </w:rPr>
        <w:t xml:space="preserve"> a person as manifesting fear, that person can be transferred to the Migrant Operation Center located on the island of Guantanamo Bay (which is also used to hold enemy combatants) for a “credible fear interview,” a process created through the U.S.’s expedited removal laws, where an Executive Branch official within DHS asks questions and deci</w:t>
      </w:r>
      <w:r w:rsidR="0018156C">
        <w:rPr>
          <w:sz w:val="24"/>
          <w:szCs w:val="24"/>
        </w:rPr>
        <w:t>des</w:t>
      </w:r>
      <w:r w:rsidRPr="00966BD1">
        <w:rPr>
          <w:sz w:val="24"/>
          <w:szCs w:val="24"/>
        </w:rPr>
        <w:t xml:space="preserve"> whether the person </w:t>
      </w:r>
      <w:r w:rsidR="0018156C">
        <w:rPr>
          <w:sz w:val="24"/>
          <w:szCs w:val="24"/>
        </w:rPr>
        <w:t>credibly</w:t>
      </w:r>
      <w:r w:rsidRPr="00966BD1">
        <w:rPr>
          <w:sz w:val="24"/>
          <w:szCs w:val="24"/>
        </w:rPr>
        <w:t xml:space="preserve"> fear</w:t>
      </w:r>
      <w:r w:rsidR="0018156C">
        <w:rPr>
          <w:sz w:val="24"/>
          <w:szCs w:val="24"/>
        </w:rPr>
        <w:t>s</w:t>
      </w:r>
      <w:r w:rsidRPr="00966BD1">
        <w:rPr>
          <w:sz w:val="24"/>
          <w:szCs w:val="24"/>
        </w:rPr>
        <w:t xml:space="preserve"> returning to their country.</w:t>
      </w:r>
    </w:p>
    <w:p w14:paraId="43BEB83C" w14:textId="3291232F" w:rsidR="000362C9" w:rsidRPr="00966BD1" w:rsidRDefault="000362C9" w:rsidP="00360B3A">
      <w:pPr>
        <w:pStyle w:val="ListParagraph"/>
        <w:rPr>
          <w:sz w:val="24"/>
          <w:szCs w:val="24"/>
        </w:rPr>
      </w:pPr>
      <w:r w:rsidRPr="00966BD1">
        <w:rPr>
          <w:sz w:val="24"/>
          <w:szCs w:val="24"/>
        </w:rPr>
        <w:t>Maritime interdictions have increas</w:t>
      </w:r>
      <w:r w:rsidR="00E271BA">
        <w:rPr>
          <w:sz w:val="24"/>
          <w:szCs w:val="24"/>
        </w:rPr>
        <w:t>ed since 2018;</w:t>
      </w:r>
      <w:r w:rsidRPr="00966BD1">
        <w:rPr>
          <w:sz w:val="24"/>
          <w:szCs w:val="24"/>
        </w:rPr>
        <w:t xml:space="preserve"> in fiscal year 2022, the Coast Guard interdicted more than 12,000 Haitians and Cubans.</w:t>
      </w:r>
      <w:r w:rsidRPr="00966BD1">
        <w:rPr>
          <w:sz w:val="24"/>
          <w:szCs w:val="24"/>
          <w:vertAlign w:val="superscript"/>
        </w:rPr>
        <w:endnoteReference w:id="78"/>
      </w:r>
      <w:r w:rsidRPr="00966BD1">
        <w:rPr>
          <w:sz w:val="24"/>
          <w:szCs w:val="24"/>
        </w:rPr>
        <w:t xml:space="preserve"> Throughout this process, from being interdicted, to being visually scanned, to possibly receiving a more in-depth credible fear interview, people cannot be located by family or by legal counsel. The vast majority of these interactions lead to </w:t>
      </w:r>
      <w:r w:rsidR="00E271BA">
        <w:rPr>
          <w:sz w:val="24"/>
          <w:szCs w:val="24"/>
        </w:rPr>
        <w:t>deportation</w:t>
      </w:r>
      <w:r w:rsidRPr="00966BD1">
        <w:rPr>
          <w:sz w:val="24"/>
          <w:szCs w:val="24"/>
        </w:rPr>
        <w:t xml:space="preserve"> to their country of origin or to a third country. According to the </w:t>
      </w:r>
      <w:r w:rsidR="00212D97">
        <w:rPr>
          <w:sz w:val="24"/>
          <w:szCs w:val="24"/>
        </w:rPr>
        <w:t>DHS</w:t>
      </w:r>
      <w:r w:rsidRPr="00966BD1">
        <w:rPr>
          <w:sz w:val="24"/>
          <w:szCs w:val="24"/>
        </w:rPr>
        <w:t>’s 2020 Maritime Law Enforcement Assessment, the U.S. Coast Guard “employs repatriation agreements with the Dominican Republic, Haiti, and Cuba; the three most frequent nationalities interdicted in the Caribbean region.”</w:t>
      </w:r>
      <w:r w:rsidRPr="00966BD1">
        <w:rPr>
          <w:sz w:val="24"/>
          <w:szCs w:val="24"/>
          <w:vertAlign w:val="superscript"/>
        </w:rPr>
        <w:endnoteReference w:id="79"/>
      </w:r>
      <w:r w:rsidRPr="00966BD1">
        <w:rPr>
          <w:sz w:val="24"/>
          <w:szCs w:val="24"/>
        </w:rPr>
        <w:t xml:space="preserve"> Under new rules created by the Executive Branch, “Circumvention of Lawful Pathways,</w:t>
      </w:r>
      <w:r w:rsidR="00020CFA">
        <w:rPr>
          <w:sz w:val="24"/>
          <w:szCs w:val="24"/>
        </w:rPr>
        <w:t>”</w:t>
      </w:r>
      <w:r w:rsidRPr="00966BD1">
        <w:rPr>
          <w:sz w:val="24"/>
          <w:szCs w:val="24"/>
        </w:rPr>
        <w:t xml:space="preserve"> people who are interdicted at sea are barred from applying for certain forms of humanitarian parole.</w:t>
      </w:r>
      <w:r w:rsidRPr="00966BD1">
        <w:rPr>
          <w:rStyle w:val="EndnoteReference"/>
          <w:sz w:val="24"/>
          <w:szCs w:val="24"/>
        </w:rPr>
        <w:endnoteReference w:id="80"/>
      </w:r>
    </w:p>
    <w:p w14:paraId="06AEA41A" w14:textId="7EC12D73" w:rsidR="000362C9" w:rsidRPr="00966BD1" w:rsidRDefault="00212D97" w:rsidP="00360B3A">
      <w:pPr>
        <w:pStyle w:val="ListParagraph"/>
        <w:rPr>
          <w:sz w:val="24"/>
          <w:szCs w:val="24"/>
        </w:rPr>
      </w:pPr>
      <w:r>
        <w:rPr>
          <w:sz w:val="24"/>
          <w:szCs w:val="24"/>
        </w:rPr>
        <w:t>DHS</w:t>
      </w:r>
      <w:r w:rsidR="000362C9" w:rsidRPr="00966BD1">
        <w:rPr>
          <w:sz w:val="24"/>
          <w:szCs w:val="24"/>
        </w:rPr>
        <w:t>’s Office for Civil Rights and Civil Liberties (“CRCL”) opened an investigation in January 2023 into whether DHS policies relating to maritime interdictions diminishes the civil rights and civil liberties of migrants seeking protection.</w:t>
      </w:r>
      <w:r w:rsidR="000362C9" w:rsidRPr="00966BD1">
        <w:rPr>
          <w:sz w:val="24"/>
          <w:szCs w:val="24"/>
          <w:vertAlign w:val="superscript"/>
        </w:rPr>
        <w:endnoteReference w:id="81"/>
      </w:r>
    </w:p>
    <w:p w14:paraId="162F7A05" w14:textId="5A5A0561" w:rsidR="000362C9" w:rsidRPr="00966BD1" w:rsidRDefault="000362C9" w:rsidP="00F8047E">
      <w:pPr>
        <w:pStyle w:val="Heading3"/>
        <w:rPr>
          <w:rFonts w:cs="Times New Roman"/>
          <w:sz w:val="24"/>
        </w:rPr>
      </w:pPr>
      <w:bookmarkStart w:id="43" w:name="_Toc145307884"/>
      <w:bookmarkStart w:id="44" w:name="_Toc143210375"/>
      <w:r w:rsidRPr="00966BD1">
        <w:rPr>
          <w:rFonts w:cs="Times New Roman"/>
          <w:sz w:val="24"/>
        </w:rPr>
        <w:t>Ongoing Pushbacks at the U.S.’s land border with Mexico</w:t>
      </w:r>
      <w:bookmarkEnd w:id="43"/>
    </w:p>
    <w:p w14:paraId="5382693B" w14:textId="765960F7" w:rsidR="000362C9" w:rsidRPr="00966BD1" w:rsidRDefault="004A5257" w:rsidP="0059621C">
      <w:pPr>
        <w:pStyle w:val="ListParagraph"/>
        <w:rPr>
          <w:sz w:val="24"/>
          <w:szCs w:val="24"/>
        </w:rPr>
      </w:pPr>
      <w:r>
        <w:rPr>
          <w:sz w:val="24"/>
          <w:szCs w:val="24"/>
        </w:rPr>
        <w:t>From</w:t>
      </w:r>
      <w:r w:rsidR="000362C9" w:rsidRPr="00966BD1">
        <w:rPr>
          <w:sz w:val="24"/>
          <w:szCs w:val="24"/>
        </w:rPr>
        <w:t xml:space="preserve"> February through December 2020, the U.S. reported using 400,000 pushbacks on the southern U.S. border with Mexico.</w:t>
      </w:r>
      <w:r w:rsidR="000362C9" w:rsidRPr="00966BD1">
        <w:rPr>
          <w:rStyle w:val="EndnoteReference"/>
          <w:sz w:val="24"/>
          <w:szCs w:val="24"/>
        </w:rPr>
        <w:endnoteReference w:id="82"/>
      </w:r>
      <w:r w:rsidR="000362C9" w:rsidRPr="00966BD1">
        <w:rPr>
          <w:sz w:val="24"/>
          <w:szCs w:val="24"/>
        </w:rPr>
        <w:t xml:space="preserve"> </w:t>
      </w:r>
      <w:r w:rsidR="00385461">
        <w:rPr>
          <w:sz w:val="24"/>
          <w:szCs w:val="24"/>
        </w:rPr>
        <w:t>These p</w:t>
      </w:r>
      <w:r w:rsidR="000362C9" w:rsidRPr="00966BD1">
        <w:rPr>
          <w:sz w:val="24"/>
          <w:szCs w:val="24"/>
        </w:rPr>
        <w:t>ushbacks are ongoing. As stated above, the end of Title 42 expulsions in 2023 ushered in a return to metering, albeit in a slightly different form.</w:t>
      </w:r>
    </w:p>
    <w:p w14:paraId="0BE9387D" w14:textId="70535C0D" w:rsidR="000362C9" w:rsidRPr="00966BD1" w:rsidRDefault="000362C9" w:rsidP="00D11CD1">
      <w:pPr>
        <w:pStyle w:val="ListParagraph"/>
        <w:rPr>
          <w:sz w:val="24"/>
          <w:szCs w:val="24"/>
        </w:rPr>
      </w:pPr>
      <w:r w:rsidRPr="00966BD1">
        <w:rPr>
          <w:sz w:val="24"/>
          <w:szCs w:val="24"/>
        </w:rPr>
        <w:t>In conjunction with the publication of the rule “Circumvention of Lawful Pathways,”</w:t>
      </w:r>
      <w:r w:rsidRPr="00966BD1">
        <w:rPr>
          <w:sz w:val="24"/>
          <w:szCs w:val="24"/>
          <w:vertAlign w:val="superscript"/>
        </w:rPr>
        <w:endnoteReference w:id="83"/>
      </w:r>
      <w:r w:rsidRPr="00966BD1">
        <w:rPr>
          <w:sz w:val="24"/>
          <w:szCs w:val="24"/>
        </w:rPr>
        <w:t xml:space="preserve"> DHS and CBP rolled out “CBP One,” a mobile application migrants </w:t>
      </w:r>
      <w:r w:rsidR="004A4C66">
        <w:rPr>
          <w:sz w:val="24"/>
          <w:szCs w:val="24"/>
        </w:rPr>
        <w:t xml:space="preserve">are essentially required to use to </w:t>
      </w:r>
      <w:r w:rsidRPr="00966BD1">
        <w:rPr>
          <w:sz w:val="24"/>
          <w:szCs w:val="24"/>
        </w:rPr>
        <w:t xml:space="preserve">schedule an advance appointment to present </w:t>
      </w:r>
      <w:r w:rsidR="007E1A28">
        <w:rPr>
          <w:sz w:val="24"/>
          <w:szCs w:val="24"/>
        </w:rPr>
        <w:t xml:space="preserve">for </w:t>
      </w:r>
      <w:r w:rsidR="007E1A28" w:rsidRPr="007E1A28">
        <w:rPr>
          <w:sz w:val="24"/>
          <w:szCs w:val="24"/>
        </w:rPr>
        <w:t>inspection and processing, including processing for asylum, at ports of entry along the southern border</w:t>
      </w:r>
      <w:r w:rsidRPr="00966BD1">
        <w:rPr>
          <w:sz w:val="24"/>
          <w:szCs w:val="24"/>
        </w:rPr>
        <w:t xml:space="preserve">. </w:t>
      </w:r>
      <w:r w:rsidR="00AF3BED">
        <w:rPr>
          <w:sz w:val="24"/>
          <w:szCs w:val="24"/>
        </w:rPr>
        <w:t>L</w:t>
      </w:r>
      <w:r w:rsidRPr="00966BD1">
        <w:rPr>
          <w:sz w:val="24"/>
          <w:szCs w:val="24"/>
        </w:rPr>
        <w:t>ike metering in 2016, DHS’</w:t>
      </w:r>
      <w:r w:rsidR="00AF3BED">
        <w:rPr>
          <w:sz w:val="24"/>
          <w:szCs w:val="24"/>
        </w:rPr>
        <w:t>s</w:t>
      </w:r>
      <w:r w:rsidRPr="00966BD1">
        <w:rPr>
          <w:sz w:val="24"/>
          <w:szCs w:val="24"/>
        </w:rPr>
        <w:t xml:space="preserve"> policy harmed Black migrants the most, as predicted by advocates during the comment period before the rule was implemented.</w:t>
      </w:r>
      <w:r w:rsidRPr="00966BD1">
        <w:rPr>
          <w:sz w:val="24"/>
          <w:szCs w:val="24"/>
          <w:vertAlign w:val="superscript"/>
        </w:rPr>
        <w:endnoteReference w:id="84"/>
      </w:r>
      <w:r w:rsidRPr="00966BD1">
        <w:rPr>
          <w:sz w:val="24"/>
          <w:szCs w:val="24"/>
        </w:rPr>
        <w:t xml:space="preserve"> The app is functionally inaccessible for huge swaths of the migrant populations. The application prevented many individuals with darker complexions from making appointments because of photographic incapability. Many advocates recognized the difficulty Black migrants experienced obtaining appointments, including Felicia Rangel-Samponaro, co-director of the non-profit Sidewalk School, who </w:t>
      </w:r>
      <w:bookmarkStart w:id="45" w:name="_Hlk144282066"/>
      <w:r w:rsidRPr="00966BD1">
        <w:rPr>
          <w:sz w:val="24"/>
          <w:szCs w:val="24"/>
        </w:rPr>
        <w:t>observed that</w:t>
      </w:r>
      <w:bookmarkEnd w:id="45"/>
      <w:r w:rsidRPr="00966BD1">
        <w:rPr>
          <w:sz w:val="24"/>
          <w:szCs w:val="24"/>
        </w:rPr>
        <w:t xml:space="preserve"> “[t]here are about 4,000 Black asylum seekers waiting in Reynosa and at least another 1,000 Haitians in Matamoros. Hardly anyone is getting an asylum appointment.”</w:t>
      </w:r>
      <w:r w:rsidRPr="00966BD1">
        <w:rPr>
          <w:rStyle w:val="EndnoteReference"/>
          <w:sz w:val="24"/>
          <w:szCs w:val="24"/>
        </w:rPr>
        <w:endnoteReference w:id="85"/>
      </w:r>
      <w:r w:rsidRPr="00966BD1">
        <w:rPr>
          <w:sz w:val="24"/>
          <w:szCs w:val="24"/>
        </w:rPr>
        <w:t xml:space="preserve"> </w:t>
      </w:r>
    </w:p>
    <w:p w14:paraId="5A30C294" w14:textId="41D351D6" w:rsidR="000362C9" w:rsidRPr="00966BD1" w:rsidRDefault="000362C9" w:rsidP="008574DE">
      <w:pPr>
        <w:pStyle w:val="ListParagraph"/>
        <w:rPr>
          <w:sz w:val="24"/>
          <w:szCs w:val="24"/>
        </w:rPr>
      </w:pPr>
      <w:r w:rsidRPr="00966BD1">
        <w:rPr>
          <w:sz w:val="24"/>
          <w:szCs w:val="24"/>
        </w:rPr>
        <w:t xml:space="preserve">Observing that the application was metering in a different form, </w:t>
      </w:r>
      <w:r w:rsidR="00A54B1B">
        <w:rPr>
          <w:sz w:val="24"/>
          <w:szCs w:val="24"/>
        </w:rPr>
        <w:t>t</w:t>
      </w:r>
      <w:r w:rsidRPr="00966BD1">
        <w:rPr>
          <w:sz w:val="24"/>
          <w:szCs w:val="24"/>
        </w:rPr>
        <w:t xml:space="preserve">he same advocates and lawyers who brought the original </w:t>
      </w:r>
      <w:r w:rsidRPr="00966BD1">
        <w:rPr>
          <w:i/>
          <w:iCs/>
          <w:sz w:val="24"/>
          <w:szCs w:val="24"/>
        </w:rPr>
        <w:t xml:space="preserve">Al </w:t>
      </w:r>
      <w:proofErr w:type="spellStart"/>
      <w:r w:rsidRPr="00966BD1">
        <w:rPr>
          <w:i/>
          <w:iCs/>
          <w:sz w:val="24"/>
          <w:szCs w:val="24"/>
        </w:rPr>
        <w:t>Otro</w:t>
      </w:r>
      <w:proofErr w:type="spellEnd"/>
      <w:r w:rsidRPr="00966BD1">
        <w:rPr>
          <w:i/>
          <w:iCs/>
          <w:sz w:val="24"/>
          <w:szCs w:val="24"/>
        </w:rPr>
        <w:t xml:space="preserve"> Lado v. Mayorkas</w:t>
      </w:r>
      <w:r w:rsidRPr="00966BD1">
        <w:rPr>
          <w:sz w:val="24"/>
          <w:szCs w:val="24"/>
        </w:rPr>
        <w:t xml:space="preserve"> have </w:t>
      </w:r>
      <w:bookmarkStart w:id="46" w:name="_Hlk144282086"/>
      <w:r w:rsidRPr="00966BD1">
        <w:rPr>
          <w:sz w:val="24"/>
          <w:szCs w:val="24"/>
        </w:rPr>
        <w:t>sued again</w:t>
      </w:r>
      <w:bookmarkEnd w:id="46"/>
      <w:r w:rsidRPr="00966BD1">
        <w:rPr>
          <w:sz w:val="24"/>
          <w:szCs w:val="24"/>
        </w:rPr>
        <w:t xml:space="preserve"> in federal </w:t>
      </w:r>
      <w:r w:rsidRPr="00966BD1">
        <w:rPr>
          <w:sz w:val="24"/>
          <w:szCs w:val="24"/>
        </w:rPr>
        <w:lastRenderedPageBreak/>
        <w:t>court alleging that the practice is illegal, unconstitutional, and violates international human</w:t>
      </w:r>
      <w:r w:rsidR="00020CFA">
        <w:rPr>
          <w:sz w:val="24"/>
          <w:szCs w:val="24"/>
        </w:rPr>
        <w:t xml:space="preserve"> rights and refugee</w:t>
      </w:r>
      <w:r w:rsidRPr="00966BD1">
        <w:rPr>
          <w:sz w:val="24"/>
          <w:szCs w:val="24"/>
        </w:rPr>
        <w:t xml:space="preserve"> law.</w:t>
      </w:r>
      <w:r w:rsidRPr="00966BD1">
        <w:rPr>
          <w:rStyle w:val="EndnoteReference"/>
          <w:sz w:val="24"/>
          <w:szCs w:val="24"/>
        </w:rPr>
        <w:endnoteReference w:id="86"/>
      </w:r>
      <w:r w:rsidRPr="00966BD1">
        <w:rPr>
          <w:sz w:val="24"/>
          <w:szCs w:val="24"/>
        </w:rPr>
        <w:t xml:space="preserve"> As discussed further below, the combination of these ongoing pushbacks and bi-lateral agreements with Mexico continue to expose people waiting along the U.S.-Mexico border to ongoing violations of rights under the Covenant, with a disparate impact on Black people subject to racism and violence.</w:t>
      </w:r>
      <w:bookmarkStart w:id="47" w:name="_Ref145400992"/>
      <w:r w:rsidRPr="00966BD1">
        <w:rPr>
          <w:rStyle w:val="EndnoteReference"/>
          <w:sz w:val="24"/>
          <w:szCs w:val="24"/>
        </w:rPr>
        <w:endnoteReference w:id="87"/>
      </w:r>
      <w:bookmarkEnd w:id="47"/>
    </w:p>
    <w:p w14:paraId="3A3350CF" w14:textId="7090FA6B" w:rsidR="000362C9" w:rsidRPr="00966BD1" w:rsidRDefault="000362C9" w:rsidP="00326A04">
      <w:pPr>
        <w:pStyle w:val="Heading3"/>
        <w:rPr>
          <w:rFonts w:cs="Times New Roman"/>
          <w:sz w:val="24"/>
        </w:rPr>
      </w:pPr>
      <w:bookmarkStart w:id="48" w:name="_Toc145307885"/>
      <w:bookmarkStart w:id="49" w:name="_Toc143210376"/>
      <w:bookmarkEnd w:id="44"/>
      <w:r w:rsidRPr="00966BD1">
        <w:rPr>
          <w:rFonts w:cs="Times New Roman"/>
          <w:sz w:val="24"/>
        </w:rPr>
        <w:t>Ongoing Deportations to Haiti</w:t>
      </w:r>
      <w:r w:rsidRPr="00966BD1">
        <w:rPr>
          <w:rFonts w:eastAsiaTheme="minorEastAsia" w:cs="Times New Roman"/>
          <w:i/>
          <w:iCs/>
          <w:sz w:val="24"/>
        </w:rPr>
        <w:t xml:space="preserve">, </w:t>
      </w:r>
      <w:r w:rsidRPr="00966BD1">
        <w:rPr>
          <w:rFonts w:cs="Times New Roman"/>
          <w:sz w:val="24"/>
        </w:rPr>
        <w:t xml:space="preserve">Cameroon and other African and Black-majority States in violation of </w:t>
      </w:r>
      <w:bookmarkEnd w:id="48"/>
      <w:r w:rsidR="00EB5ED8">
        <w:rPr>
          <w:rFonts w:cs="Times New Roman"/>
          <w:i/>
          <w:iCs/>
          <w:sz w:val="24"/>
        </w:rPr>
        <w:t>non-refoulement</w:t>
      </w:r>
      <w:r w:rsidRPr="00966BD1">
        <w:rPr>
          <w:rFonts w:cs="Times New Roman"/>
          <w:sz w:val="24"/>
        </w:rPr>
        <w:t xml:space="preserve"> </w:t>
      </w:r>
    </w:p>
    <w:bookmarkEnd w:id="49"/>
    <w:p w14:paraId="44AB2751" w14:textId="3B487937" w:rsidR="000362C9" w:rsidRPr="00966BD1" w:rsidRDefault="000362C9" w:rsidP="00392B6F">
      <w:pPr>
        <w:pStyle w:val="ListParagraph"/>
        <w:rPr>
          <w:sz w:val="24"/>
          <w:szCs w:val="24"/>
        </w:rPr>
      </w:pPr>
      <w:r w:rsidRPr="00966BD1">
        <w:rPr>
          <w:sz w:val="24"/>
          <w:szCs w:val="24"/>
        </w:rPr>
        <w:t xml:space="preserve">Despite persistent and widespread calls to stop </w:t>
      </w:r>
      <w:r w:rsidR="00A54B1B">
        <w:rPr>
          <w:sz w:val="24"/>
          <w:szCs w:val="24"/>
        </w:rPr>
        <w:t xml:space="preserve">all </w:t>
      </w:r>
      <w:r w:rsidRPr="00966BD1">
        <w:rPr>
          <w:sz w:val="24"/>
          <w:szCs w:val="24"/>
        </w:rPr>
        <w:t>deportations to Haiti,</w:t>
      </w:r>
      <w:r w:rsidRPr="00966BD1">
        <w:rPr>
          <w:rStyle w:val="EndnoteReference"/>
          <w:sz w:val="24"/>
          <w:szCs w:val="24"/>
        </w:rPr>
        <w:endnoteReference w:id="88"/>
      </w:r>
      <w:r w:rsidRPr="00966BD1">
        <w:rPr>
          <w:sz w:val="24"/>
          <w:szCs w:val="24"/>
        </w:rPr>
        <w:t xml:space="preserve"> the U.S. expelled more than 26,000 Haitians between September 2021 and June 2022,</w:t>
      </w:r>
      <w:r w:rsidRPr="00966BD1">
        <w:rPr>
          <w:rStyle w:val="EndnoteReference"/>
          <w:sz w:val="24"/>
          <w:szCs w:val="24"/>
        </w:rPr>
        <w:endnoteReference w:id="89"/>
      </w:r>
      <w:r w:rsidRPr="00966BD1">
        <w:rPr>
          <w:sz w:val="24"/>
          <w:szCs w:val="24"/>
        </w:rPr>
        <w:t xml:space="preserve"> deported 1,532 people to Haiti in FY2022,</w:t>
      </w:r>
      <w:bookmarkStart w:id="50" w:name="_Ref145400538"/>
      <w:r w:rsidRPr="00966BD1">
        <w:rPr>
          <w:rStyle w:val="EndnoteReference"/>
          <w:sz w:val="24"/>
          <w:szCs w:val="24"/>
        </w:rPr>
        <w:endnoteReference w:id="90"/>
      </w:r>
      <w:bookmarkEnd w:id="50"/>
      <w:r w:rsidRPr="00966BD1">
        <w:rPr>
          <w:sz w:val="24"/>
          <w:szCs w:val="24"/>
        </w:rPr>
        <w:t xml:space="preserve"> and continue</w:t>
      </w:r>
      <w:r w:rsidR="00A54B1B">
        <w:rPr>
          <w:sz w:val="24"/>
          <w:szCs w:val="24"/>
        </w:rPr>
        <w:t>s</w:t>
      </w:r>
      <w:r w:rsidRPr="00966BD1">
        <w:rPr>
          <w:sz w:val="24"/>
          <w:szCs w:val="24"/>
        </w:rPr>
        <w:t xml:space="preserve"> to deport an undisclosed number of Haitians</w:t>
      </w:r>
      <w:r w:rsidR="00A54B1B">
        <w:rPr>
          <w:sz w:val="24"/>
          <w:szCs w:val="24"/>
        </w:rPr>
        <w:t>.</w:t>
      </w:r>
      <w:r w:rsidRPr="00966BD1">
        <w:rPr>
          <w:rStyle w:val="EndnoteReference"/>
          <w:sz w:val="24"/>
          <w:szCs w:val="24"/>
        </w:rPr>
        <w:endnoteReference w:id="91"/>
      </w:r>
      <w:r w:rsidRPr="00966BD1">
        <w:rPr>
          <w:sz w:val="24"/>
          <w:szCs w:val="24"/>
        </w:rPr>
        <w:t xml:space="preserve">   </w:t>
      </w:r>
    </w:p>
    <w:p w14:paraId="7510220B" w14:textId="18A12966" w:rsidR="000362C9" w:rsidRPr="00966BD1" w:rsidRDefault="000362C9" w:rsidP="00392B6F">
      <w:pPr>
        <w:pStyle w:val="ListParagraph"/>
        <w:rPr>
          <w:sz w:val="24"/>
          <w:szCs w:val="24"/>
        </w:rPr>
      </w:pPr>
      <w:r w:rsidRPr="00966BD1">
        <w:rPr>
          <w:sz w:val="24"/>
          <w:szCs w:val="24"/>
        </w:rPr>
        <w:t>U.S. deportations of individuals</w:t>
      </w:r>
      <w:r w:rsidR="008F005C">
        <w:rPr>
          <w:sz w:val="24"/>
          <w:szCs w:val="24"/>
        </w:rPr>
        <w:t xml:space="preserve"> who are</w:t>
      </w:r>
      <w:r w:rsidRPr="00966BD1">
        <w:rPr>
          <w:sz w:val="24"/>
          <w:szCs w:val="24"/>
        </w:rPr>
        <w:t xml:space="preserve"> ineligible for humanitarian relief from removal</w:t>
      </w:r>
      <w:r w:rsidR="00A54B1B">
        <w:rPr>
          <w:sz w:val="24"/>
          <w:szCs w:val="24"/>
        </w:rPr>
        <w:t xml:space="preserve"> </w:t>
      </w:r>
      <w:r w:rsidRPr="00966BD1">
        <w:rPr>
          <w:sz w:val="24"/>
          <w:szCs w:val="24"/>
        </w:rPr>
        <w:t xml:space="preserve">are concerning </w:t>
      </w:r>
      <w:r w:rsidR="008F005C">
        <w:rPr>
          <w:sz w:val="24"/>
          <w:szCs w:val="24"/>
        </w:rPr>
        <w:t>due to</w:t>
      </w:r>
      <w:r w:rsidRPr="00966BD1">
        <w:rPr>
          <w:sz w:val="24"/>
          <w:szCs w:val="24"/>
        </w:rPr>
        <w:t xml:space="preserve"> the Haitian government’s historical practice of illegally</w:t>
      </w:r>
      <w:r w:rsidR="00A54B1B">
        <w:rPr>
          <w:sz w:val="24"/>
          <w:szCs w:val="24"/>
        </w:rPr>
        <w:t xml:space="preserve"> </w:t>
      </w:r>
      <w:r w:rsidRPr="00966BD1">
        <w:rPr>
          <w:sz w:val="24"/>
          <w:szCs w:val="24"/>
        </w:rPr>
        <w:t xml:space="preserve">detaining individuals with criminal records who have been </w:t>
      </w:r>
      <w:r w:rsidR="008F005C">
        <w:rPr>
          <w:sz w:val="24"/>
          <w:szCs w:val="24"/>
        </w:rPr>
        <w:t>deported</w:t>
      </w:r>
      <w:r w:rsidRPr="00966BD1">
        <w:rPr>
          <w:sz w:val="24"/>
          <w:szCs w:val="24"/>
        </w:rPr>
        <w:t>.</w:t>
      </w:r>
      <w:r w:rsidRPr="00966BD1">
        <w:rPr>
          <w:rStyle w:val="EndnoteReference"/>
          <w:sz w:val="24"/>
          <w:szCs w:val="24"/>
        </w:rPr>
        <w:endnoteReference w:id="92"/>
      </w:r>
      <w:r w:rsidRPr="00966BD1">
        <w:rPr>
          <w:sz w:val="24"/>
          <w:szCs w:val="24"/>
        </w:rPr>
        <w:t xml:space="preserve"> Upon arrival, individuals deported to Haiti from the U.S. with past criminal records have been apprehended by the Haitian National Police, detained in horrific conditions where they face torture, and, in some cases, death.</w:t>
      </w:r>
      <w:r w:rsidRPr="00966BD1">
        <w:rPr>
          <w:rStyle w:val="EndnoteReference"/>
          <w:sz w:val="24"/>
          <w:szCs w:val="24"/>
        </w:rPr>
        <w:endnoteReference w:id="93"/>
      </w:r>
      <w:r w:rsidRPr="00966BD1">
        <w:rPr>
          <w:sz w:val="24"/>
          <w:szCs w:val="24"/>
        </w:rPr>
        <w:t xml:space="preserve"> In the prisons</w:t>
      </w:r>
      <w:r w:rsidR="00A54B1B">
        <w:rPr>
          <w:sz w:val="24"/>
          <w:szCs w:val="24"/>
        </w:rPr>
        <w:t>,</w:t>
      </w:r>
      <w:r w:rsidRPr="00966BD1">
        <w:rPr>
          <w:sz w:val="24"/>
          <w:szCs w:val="24"/>
        </w:rPr>
        <w:t xml:space="preserve"> deported individuals and other detainees are denied basic necessities, including physical safety, food, water, medical supplies, and adequate living conditions.</w:t>
      </w:r>
      <w:r w:rsidRPr="00966BD1">
        <w:rPr>
          <w:rStyle w:val="EndnoteReference"/>
          <w:sz w:val="24"/>
          <w:szCs w:val="24"/>
        </w:rPr>
        <w:endnoteReference w:id="94"/>
      </w:r>
      <w:r w:rsidRPr="00966BD1">
        <w:rPr>
          <w:sz w:val="24"/>
          <w:szCs w:val="24"/>
        </w:rPr>
        <w:t xml:space="preserve"> Prisoners who protest this treatment are met with retaliatory physical violence and threats of death from the prison guards.</w:t>
      </w:r>
      <w:r w:rsidRPr="00966BD1">
        <w:rPr>
          <w:rStyle w:val="EndnoteReference"/>
          <w:sz w:val="24"/>
          <w:szCs w:val="24"/>
        </w:rPr>
        <w:endnoteReference w:id="95"/>
      </w:r>
      <w:r w:rsidRPr="00966BD1">
        <w:rPr>
          <w:sz w:val="24"/>
          <w:szCs w:val="24"/>
        </w:rPr>
        <w:t xml:space="preserve"> </w:t>
      </w:r>
    </w:p>
    <w:p w14:paraId="06F6F51D" w14:textId="1ABD32F5" w:rsidR="000362C9" w:rsidRPr="00966BD1" w:rsidRDefault="000362C9" w:rsidP="00392B6F">
      <w:pPr>
        <w:pStyle w:val="ListParagraph"/>
        <w:rPr>
          <w:sz w:val="24"/>
          <w:szCs w:val="24"/>
        </w:rPr>
      </w:pPr>
      <w:r w:rsidRPr="00966BD1">
        <w:rPr>
          <w:sz w:val="24"/>
          <w:szCs w:val="24"/>
        </w:rPr>
        <w:t xml:space="preserve">In a </w:t>
      </w:r>
      <w:r w:rsidR="00A54B1B">
        <w:rPr>
          <w:sz w:val="24"/>
          <w:szCs w:val="24"/>
        </w:rPr>
        <w:t xml:space="preserve">March 2023 </w:t>
      </w:r>
      <w:r w:rsidRPr="00966BD1">
        <w:rPr>
          <w:sz w:val="24"/>
          <w:szCs w:val="24"/>
        </w:rPr>
        <w:t xml:space="preserve">thematic hearing on </w:t>
      </w:r>
      <w:r w:rsidR="00A54B1B">
        <w:rPr>
          <w:sz w:val="24"/>
          <w:szCs w:val="24"/>
        </w:rPr>
        <w:t>d</w:t>
      </w:r>
      <w:r w:rsidRPr="00966BD1">
        <w:rPr>
          <w:sz w:val="24"/>
          <w:szCs w:val="24"/>
        </w:rPr>
        <w:t xml:space="preserve">eportations from the </w:t>
      </w:r>
      <w:r>
        <w:rPr>
          <w:sz w:val="24"/>
          <w:szCs w:val="24"/>
        </w:rPr>
        <w:t>U.S.</w:t>
      </w:r>
      <w:r w:rsidRPr="00966BD1">
        <w:rPr>
          <w:sz w:val="24"/>
          <w:szCs w:val="24"/>
        </w:rPr>
        <w:t xml:space="preserve"> to Haiti </w:t>
      </w:r>
      <w:r w:rsidR="00A54B1B">
        <w:rPr>
          <w:sz w:val="24"/>
          <w:szCs w:val="24"/>
        </w:rPr>
        <w:t>before</w:t>
      </w:r>
      <w:r w:rsidRPr="00966BD1">
        <w:rPr>
          <w:sz w:val="24"/>
          <w:szCs w:val="24"/>
        </w:rPr>
        <w:t xml:space="preserve"> the Inter-American Commission on Human Rights (“IACHR”), advocates detailed the horror and hardship faced by individuals deported to Haiti as well as the impact on </w:t>
      </w:r>
      <w:r w:rsidR="008F005C">
        <w:rPr>
          <w:sz w:val="24"/>
          <w:szCs w:val="24"/>
        </w:rPr>
        <w:t xml:space="preserve">U.S. </w:t>
      </w:r>
      <w:r w:rsidRPr="00966BD1">
        <w:rPr>
          <w:sz w:val="24"/>
          <w:szCs w:val="24"/>
        </w:rPr>
        <w:t>family members left behind to deal with precarious economic and emotional situations created by the absence of their loved ones.</w:t>
      </w:r>
      <w:r w:rsidRPr="00966BD1">
        <w:rPr>
          <w:rStyle w:val="EndnoteReference"/>
          <w:sz w:val="24"/>
          <w:szCs w:val="24"/>
        </w:rPr>
        <w:endnoteReference w:id="96"/>
      </w:r>
      <w:r w:rsidRPr="00966BD1">
        <w:rPr>
          <w:sz w:val="24"/>
          <w:szCs w:val="24"/>
        </w:rPr>
        <w:t xml:space="preserve"> U.S. </w:t>
      </w:r>
      <w:r w:rsidR="00A54B1B">
        <w:rPr>
          <w:sz w:val="24"/>
          <w:szCs w:val="24"/>
        </w:rPr>
        <w:t xml:space="preserve">officials </w:t>
      </w:r>
      <w:r w:rsidRPr="00966BD1">
        <w:rPr>
          <w:sz w:val="24"/>
          <w:szCs w:val="24"/>
        </w:rPr>
        <w:t xml:space="preserve">at the </w:t>
      </w:r>
      <w:r w:rsidR="008F005C">
        <w:rPr>
          <w:sz w:val="24"/>
          <w:szCs w:val="24"/>
        </w:rPr>
        <w:t>IACHR</w:t>
      </w:r>
      <w:r w:rsidR="008F005C" w:rsidRPr="00966BD1">
        <w:rPr>
          <w:sz w:val="24"/>
          <w:szCs w:val="24"/>
        </w:rPr>
        <w:t xml:space="preserve"> </w:t>
      </w:r>
      <w:r w:rsidRPr="00966BD1">
        <w:rPr>
          <w:sz w:val="24"/>
          <w:szCs w:val="24"/>
        </w:rPr>
        <w:t>hearing insisted that U.S. courts apply a “totality of the circumstances” analysis in deportation proceedings, but failed to address how the U.S</w:t>
      </w:r>
      <w:r w:rsidR="00A54B1B">
        <w:rPr>
          <w:sz w:val="24"/>
          <w:szCs w:val="24"/>
        </w:rPr>
        <w:t>.</w:t>
      </w:r>
      <w:r w:rsidRPr="00966BD1">
        <w:rPr>
          <w:sz w:val="24"/>
          <w:szCs w:val="24"/>
        </w:rPr>
        <w:t xml:space="preserve"> regards the principle of non-refoulment in these proceedings.</w:t>
      </w:r>
      <w:r w:rsidRPr="00966BD1">
        <w:rPr>
          <w:rStyle w:val="EndnoteReference"/>
          <w:sz w:val="24"/>
          <w:szCs w:val="24"/>
        </w:rPr>
        <w:endnoteReference w:id="97"/>
      </w:r>
      <w:r w:rsidRPr="00966BD1">
        <w:rPr>
          <w:sz w:val="24"/>
          <w:szCs w:val="24"/>
        </w:rPr>
        <w:t xml:space="preserve"> </w:t>
      </w:r>
    </w:p>
    <w:p w14:paraId="355962AB" w14:textId="12F7A6A7" w:rsidR="000362C9" w:rsidRPr="00966BD1" w:rsidRDefault="000362C9" w:rsidP="00392B6F">
      <w:pPr>
        <w:pStyle w:val="ListParagraph"/>
        <w:rPr>
          <w:sz w:val="24"/>
          <w:szCs w:val="24"/>
        </w:rPr>
      </w:pPr>
      <w:r w:rsidRPr="00966BD1">
        <w:rPr>
          <w:sz w:val="24"/>
          <w:szCs w:val="24"/>
        </w:rPr>
        <w:t>In its concluding observations accompanying the U.S.</w:t>
      </w:r>
      <w:r w:rsidR="008F005C">
        <w:rPr>
          <w:sz w:val="24"/>
          <w:szCs w:val="24"/>
        </w:rPr>
        <w:t xml:space="preserve"> review</w:t>
      </w:r>
      <w:r w:rsidRPr="00966BD1">
        <w:rPr>
          <w:sz w:val="24"/>
          <w:szCs w:val="24"/>
        </w:rPr>
        <w:t xml:space="preserve"> during the 110</w:t>
      </w:r>
      <w:r w:rsidRPr="00966BD1">
        <w:rPr>
          <w:sz w:val="24"/>
          <w:szCs w:val="24"/>
          <w:vertAlign w:val="superscript"/>
        </w:rPr>
        <w:t>th</w:t>
      </w:r>
      <w:r w:rsidRPr="00966BD1">
        <w:rPr>
          <w:sz w:val="24"/>
          <w:szCs w:val="24"/>
        </w:rPr>
        <w:t xml:space="preserve"> session, the Human Rights Committee expressed its concern for “the mandatory nature of the deportation of foreigners, without regard to elements such as the seriousness of crimes and misdemeanors committed, the length of lawful stay in the United States, health status, family ties and the fate of spouses and children staying behind, or the humanitarian situation in the country of destination.”</w:t>
      </w:r>
      <w:bookmarkStart w:id="51" w:name="_Ref145401673"/>
      <w:r w:rsidRPr="00966BD1">
        <w:rPr>
          <w:sz w:val="24"/>
          <w:szCs w:val="24"/>
          <w:vertAlign w:val="superscript"/>
        </w:rPr>
        <w:endnoteReference w:id="98"/>
      </w:r>
      <w:bookmarkEnd w:id="51"/>
      <w:r w:rsidRPr="00966BD1">
        <w:rPr>
          <w:sz w:val="24"/>
          <w:szCs w:val="24"/>
        </w:rPr>
        <w:t xml:space="preserve"> The Committee also expressed its concern for “[The U.S.’s] reliance on diplomatic assurances that do not provide sufficient safeguards [for refoulment]” and “[The U.S.] position that the principle of non-refoulement is not covered by the Covenant, despite the Committee’s established jurisprudence and subsequent State practice (arts. 6 and 7).”</w:t>
      </w:r>
      <w:r w:rsidRPr="00966BD1">
        <w:rPr>
          <w:sz w:val="24"/>
          <w:szCs w:val="24"/>
          <w:vertAlign w:val="superscript"/>
        </w:rPr>
        <w:endnoteReference w:id="99"/>
      </w:r>
      <w:r w:rsidRPr="00966BD1">
        <w:rPr>
          <w:sz w:val="24"/>
          <w:szCs w:val="24"/>
          <w:lang w:val="en-GB"/>
        </w:rPr>
        <w:t xml:space="preserve"> The U.S. has demonstrated through its policies and actions in the context of deportations to Haiti </w:t>
      </w:r>
      <w:r w:rsidR="00A54B1B">
        <w:rPr>
          <w:sz w:val="24"/>
          <w:szCs w:val="24"/>
          <w:lang w:val="en-GB"/>
        </w:rPr>
        <w:t>a disregard for</w:t>
      </w:r>
      <w:r w:rsidRPr="00966BD1">
        <w:rPr>
          <w:sz w:val="24"/>
          <w:szCs w:val="24"/>
          <w:lang w:val="en-GB"/>
        </w:rPr>
        <w:t xml:space="preserve"> the </w:t>
      </w:r>
      <w:r w:rsidR="00A54B1B">
        <w:rPr>
          <w:sz w:val="24"/>
          <w:szCs w:val="24"/>
          <w:lang w:val="en-GB"/>
        </w:rPr>
        <w:t>Covenant</w:t>
      </w:r>
      <w:r w:rsidR="00A54B1B" w:rsidRPr="00966BD1">
        <w:rPr>
          <w:sz w:val="24"/>
          <w:szCs w:val="24"/>
        </w:rPr>
        <w:t xml:space="preserve"> </w:t>
      </w:r>
      <w:r w:rsidRPr="00966BD1">
        <w:rPr>
          <w:sz w:val="24"/>
          <w:szCs w:val="24"/>
        </w:rPr>
        <w:t>and the guidance provided by the Committee.</w:t>
      </w:r>
      <w:r w:rsidR="00FF2609" w:rsidRPr="00966BD1">
        <w:rPr>
          <w:sz w:val="24"/>
          <w:szCs w:val="24"/>
          <w:vertAlign w:val="superscript"/>
          <w:lang w:val="en-GB"/>
        </w:rPr>
        <w:endnoteReference w:id="100"/>
      </w:r>
    </w:p>
    <w:p w14:paraId="672AA319" w14:textId="41C10599" w:rsidR="000362C9" w:rsidRPr="00966BD1" w:rsidRDefault="000362C9" w:rsidP="00EF3D22">
      <w:pPr>
        <w:pStyle w:val="ListParagraph"/>
        <w:rPr>
          <w:sz w:val="24"/>
          <w:szCs w:val="24"/>
        </w:rPr>
      </w:pPr>
      <w:r w:rsidRPr="00966BD1">
        <w:rPr>
          <w:sz w:val="24"/>
          <w:szCs w:val="24"/>
        </w:rPr>
        <w:t xml:space="preserve">The U.S.’s aggressive focus on deporting Black immigrants, some of whom have lived in the </w:t>
      </w:r>
      <w:r>
        <w:rPr>
          <w:sz w:val="24"/>
          <w:szCs w:val="24"/>
        </w:rPr>
        <w:t>U.S.</w:t>
      </w:r>
      <w:r w:rsidRPr="00966BD1">
        <w:rPr>
          <w:sz w:val="24"/>
          <w:szCs w:val="24"/>
        </w:rPr>
        <w:t xml:space="preserve"> for decades or have fled certain death in other countries, is </w:t>
      </w:r>
      <w:r w:rsidRPr="00966BD1">
        <w:rPr>
          <w:sz w:val="24"/>
          <w:szCs w:val="24"/>
          <w:u w:val="single"/>
        </w:rPr>
        <w:t>​</w:t>
      </w:r>
      <w:r w:rsidRPr="00966BD1">
        <w:rPr>
          <w:sz w:val="24"/>
          <w:szCs w:val="24"/>
        </w:rPr>
        <w:t xml:space="preserve">not limited to Haitians. </w:t>
      </w:r>
      <w:r w:rsidRPr="00966BD1">
        <w:rPr>
          <w:sz w:val="24"/>
          <w:szCs w:val="24"/>
        </w:rPr>
        <w:lastRenderedPageBreak/>
        <w:t>On October 13, 2020, U.S. Immigration and Customs Enforcement (ICE) deported approximately 60 Cameroonian and 28 Congolese immigrants, most of whom fled persecution and violence in their native countries, on a secretive charter flight operated by Omni Air.</w:t>
      </w:r>
      <w:r w:rsidRPr="00966BD1">
        <w:rPr>
          <w:rStyle w:val="EndnoteReference"/>
          <w:sz w:val="24"/>
          <w:szCs w:val="24"/>
        </w:rPr>
        <w:endnoteReference w:id="101"/>
      </w:r>
      <w:r w:rsidRPr="00966BD1">
        <w:rPr>
          <w:sz w:val="24"/>
          <w:szCs w:val="24"/>
        </w:rPr>
        <w:t xml:space="preserve"> These deportations followed a mass expulsion involving nationals of Somalia, Kenya, Sudan, and Sri Lanka in September 2020, as well as others to West Africa and Jamaica over that summer. In FY 2022, ICE reports it deported hundreds of people to countries in West Africa, Central Africa, and the </w:t>
      </w:r>
      <w:r w:rsidR="00A54B1B" w:rsidRPr="00966BD1">
        <w:rPr>
          <w:sz w:val="24"/>
          <w:szCs w:val="24"/>
        </w:rPr>
        <w:t>Caribbean</w:t>
      </w:r>
      <w:r w:rsidRPr="00966BD1">
        <w:rPr>
          <w:sz w:val="24"/>
          <w:szCs w:val="24"/>
        </w:rPr>
        <w:t xml:space="preserve">, including 342 people to Jamaica, 33 people to the Democratic Republic of Congo, 20 people to Eritrea, 5 people to Ethiopia, 28 people to Cameroon, and 7 people to Mauritania. </w:t>
      </w:r>
      <w:r w:rsidRPr="00966BD1">
        <w:rPr>
          <w:rStyle w:val="EndnoteReference"/>
          <w:sz w:val="24"/>
          <w:szCs w:val="24"/>
        </w:rPr>
        <w:endnoteReference w:id="102"/>
      </w:r>
      <w:r w:rsidRPr="00966BD1">
        <w:rPr>
          <w:sz w:val="24"/>
          <w:szCs w:val="24"/>
        </w:rPr>
        <w:t xml:space="preserve">  </w:t>
      </w:r>
    </w:p>
    <w:p w14:paraId="5FF8C18E" w14:textId="25008983" w:rsidR="000362C9" w:rsidRPr="00966BD1" w:rsidRDefault="000362C9" w:rsidP="00EF3D22">
      <w:pPr>
        <w:pStyle w:val="ListParagraph"/>
        <w:rPr>
          <w:sz w:val="24"/>
          <w:szCs w:val="24"/>
        </w:rPr>
      </w:pPr>
      <w:r w:rsidRPr="00966BD1">
        <w:rPr>
          <w:sz w:val="24"/>
          <w:szCs w:val="24"/>
        </w:rPr>
        <w:t xml:space="preserve">Deportations of Black people in violation of </w:t>
      </w:r>
      <w:r w:rsidR="00EB5ED8" w:rsidRPr="00266478">
        <w:rPr>
          <w:sz w:val="24"/>
          <w:szCs w:val="24"/>
        </w:rPr>
        <w:t>non-refoulement</w:t>
      </w:r>
      <w:r w:rsidRPr="00966BD1">
        <w:rPr>
          <w:sz w:val="24"/>
          <w:szCs w:val="24"/>
        </w:rPr>
        <w:t xml:space="preserve"> are ongoing.</w:t>
      </w:r>
    </w:p>
    <w:p w14:paraId="6D6136F7" w14:textId="5F26B674" w:rsidR="000362C9" w:rsidRPr="00966BD1" w:rsidRDefault="000362C9" w:rsidP="00B8714E">
      <w:pPr>
        <w:pStyle w:val="Heading2"/>
        <w:rPr>
          <w:rFonts w:cs="Times New Roman"/>
          <w:sz w:val="24"/>
          <w:szCs w:val="24"/>
        </w:rPr>
      </w:pPr>
      <w:bookmarkStart w:id="52" w:name="_Toc143210377"/>
      <w:bookmarkStart w:id="53" w:name="_Toc145307886"/>
      <w:r w:rsidRPr="00966BD1">
        <w:rPr>
          <w:rFonts w:cs="Times New Roman"/>
          <w:sz w:val="24"/>
          <w:szCs w:val="24"/>
        </w:rPr>
        <w:t>Mass detention for civil immigrations proceedings</w:t>
      </w:r>
      <w:bookmarkEnd w:id="52"/>
      <w:r w:rsidRPr="00966BD1">
        <w:rPr>
          <w:rFonts w:cs="Times New Roman"/>
          <w:sz w:val="24"/>
          <w:szCs w:val="24"/>
        </w:rPr>
        <w:t xml:space="preserve"> and conditions of detention that violate the Covenant.</w:t>
      </w:r>
      <w:bookmarkEnd w:id="53"/>
    </w:p>
    <w:p w14:paraId="70454D73" w14:textId="6FABA56D" w:rsidR="000362C9" w:rsidRPr="00966BD1" w:rsidRDefault="000362C9" w:rsidP="00147603">
      <w:pPr>
        <w:pStyle w:val="ListParagraph"/>
        <w:rPr>
          <w:sz w:val="24"/>
          <w:szCs w:val="24"/>
        </w:rPr>
      </w:pPr>
      <w:r w:rsidRPr="00966BD1">
        <w:rPr>
          <w:sz w:val="24"/>
          <w:szCs w:val="24"/>
        </w:rPr>
        <w:t xml:space="preserve">The </w:t>
      </w:r>
      <w:r>
        <w:rPr>
          <w:sz w:val="24"/>
          <w:szCs w:val="24"/>
        </w:rPr>
        <w:t>U.S.</w:t>
      </w:r>
      <w:r w:rsidRPr="00966BD1">
        <w:rPr>
          <w:sz w:val="24"/>
          <w:szCs w:val="24"/>
        </w:rPr>
        <w:t xml:space="preserve"> uses immigration detention to imprison over 30,000 people a day in a nationwide network of remote and isolated private prisons and jails cut off from legal assistance.</w:t>
      </w:r>
      <w:r w:rsidRPr="00966BD1">
        <w:rPr>
          <w:sz w:val="24"/>
          <w:szCs w:val="24"/>
          <w:vertAlign w:val="superscript"/>
        </w:rPr>
        <w:endnoteReference w:id="103"/>
      </w:r>
      <w:r w:rsidRPr="00966BD1">
        <w:rPr>
          <w:sz w:val="24"/>
          <w:szCs w:val="24"/>
        </w:rPr>
        <w:t xml:space="preserve"> The U.S. government’s own investigators describe conditions of confinement in immigration detention as “barbaric” and “negligent.”</w:t>
      </w:r>
      <w:bookmarkStart w:id="54" w:name="_Ref145400720"/>
      <w:r w:rsidRPr="00966BD1">
        <w:rPr>
          <w:sz w:val="24"/>
          <w:szCs w:val="24"/>
          <w:vertAlign w:val="superscript"/>
        </w:rPr>
        <w:endnoteReference w:id="104"/>
      </w:r>
      <w:bookmarkEnd w:id="54"/>
      <w:r w:rsidRPr="00966BD1">
        <w:rPr>
          <w:sz w:val="24"/>
          <w:szCs w:val="24"/>
        </w:rPr>
        <w:t xml:space="preserve"> </w:t>
      </w:r>
      <w:r w:rsidR="00A54B1B">
        <w:rPr>
          <w:sz w:val="24"/>
          <w:szCs w:val="24"/>
        </w:rPr>
        <w:t>Detainees</w:t>
      </w:r>
      <w:r w:rsidRPr="00966BD1">
        <w:rPr>
          <w:sz w:val="24"/>
          <w:szCs w:val="24"/>
        </w:rPr>
        <w:t xml:space="preserve"> have suffered grave physical and psychological harms, including torture and death.</w:t>
      </w:r>
      <w:r w:rsidRPr="00966BD1">
        <w:rPr>
          <w:sz w:val="24"/>
          <w:szCs w:val="24"/>
          <w:vertAlign w:val="superscript"/>
        </w:rPr>
        <w:endnoteReference w:id="105"/>
      </w:r>
    </w:p>
    <w:p w14:paraId="329D30AD" w14:textId="4CC53E7A" w:rsidR="000362C9" w:rsidRPr="006F297B" w:rsidRDefault="000362C9" w:rsidP="00D11CD1">
      <w:pPr>
        <w:pStyle w:val="ListParagraph"/>
        <w:rPr>
          <w:sz w:val="24"/>
          <w:szCs w:val="24"/>
        </w:rPr>
      </w:pPr>
      <w:r w:rsidRPr="006F297B">
        <w:rPr>
          <w:sz w:val="24"/>
          <w:szCs w:val="24"/>
        </w:rPr>
        <w:t>This Committee has requested that the U.S. “provide information on the conditions within immigrant detention facilities, both publicly and privately owned, including access to health care” and information on “any oversight mechanisms in place” to safeguard against human rights abuses.</w:t>
      </w:r>
      <w:r w:rsidRPr="00966BD1">
        <w:rPr>
          <w:sz w:val="24"/>
          <w:szCs w:val="24"/>
          <w:vertAlign w:val="superscript"/>
        </w:rPr>
        <w:endnoteReference w:id="106"/>
      </w:r>
      <w:r w:rsidR="006F297B">
        <w:rPr>
          <w:sz w:val="24"/>
          <w:szCs w:val="24"/>
        </w:rPr>
        <w:t xml:space="preserve"> </w:t>
      </w:r>
      <w:r w:rsidRPr="006F297B">
        <w:rPr>
          <w:sz w:val="24"/>
          <w:szCs w:val="24"/>
        </w:rPr>
        <w:t xml:space="preserve">In response, the U.S. declines to comment on conditions of its detention facilities. </w:t>
      </w:r>
    </w:p>
    <w:p w14:paraId="536131F7" w14:textId="3E22E6C5" w:rsidR="000362C9" w:rsidRPr="00966BD1" w:rsidRDefault="000362C9" w:rsidP="00147603">
      <w:pPr>
        <w:pStyle w:val="ListParagraph"/>
        <w:rPr>
          <w:sz w:val="24"/>
          <w:szCs w:val="24"/>
        </w:rPr>
      </w:pPr>
      <w:r w:rsidRPr="00966BD1">
        <w:rPr>
          <w:sz w:val="24"/>
          <w:szCs w:val="24"/>
        </w:rPr>
        <w:t>Survivors and witnesses of human rights abuses in immigration detention describe official conduct and conditions of confinement that violate the inherent right to life (Art 6.1);</w:t>
      </w:r>
      <w:r w:rsidRPr="00966BD1">
        <w:rPr>
          <w:sz w:val="24"/>
          <w:szCs w:val="24"/>
          <w:vertAlign w:val="superscript"/>
        </w:rPr>
        <w:endnoteReference w:id="107"/>
      </w:r>
      <w:r w:rsidRPr="00966BD1">
        <w:rPr>
          <w:sz w:val="24"/>
          <w:szCs w:val="24"/>
        </w:rPr>
        <w:t xml:space="preserve"> the right to be free from cruel, inhuman, or degrading treatment or punishment (Art. 7);</w:t>
      </w:r>
      <w:r w:rsidRPr="00966BD1">
        <w:rPr>
          <w:sz w:val="24"/>
          <w:szCs w:val="24"/>
          <w:vertAlign w:val="superscript"/>
        </w:rPr>
        <w:endnoteReference w:id="108"/>
      </w:r>
      <w:r w:rsidRPr="00966BD1">
        <w:rPr>
          <w:sz w:val="24"/>
          <w:szCs w:val="24"/>
        </w:rPr>
        <w:t xml:space="preserve"> the right to be free from compulsory labor (Art. 8.3(a));</w:t>
      </w:r>
      <w:r w:rsidRPr="00966BD1">
        <w:rPr>
          <w:sz w:val="24"/>
          <w:szCs w:val="24"/>
          <w:vertAlign w:val="superscript"/>
        </w:rPr>
        <w:endnoteReference w:id="109"/>
      </w:r>
      <w:r w:rsidRPr="00966BD1">
        <w:rPr>
          <w:sz w:val="24"/>
          <w:szCs w:val="24"/>
        </w:rPr>
        <w:t xml:space="preserve"> the right to freedom from arbitrary detention (Art. 9);</w:t>
      </w:r>
      <w:bookmarkStart w:id="55" w:name="_Ref145400733"/>
      <w:r w:rsidRPr="00966BD1">
        <w:rPr>
          <w:sz w:val="24"/>
          <w:szCs w:val="24"/>
          <w:vertAlign w:val="superscript"/>
        </w:rPr>
        <w:endnoteReference w:id="110"/>
      </w:r>
      <w:bookmarkEnd w:id="55"/>
      <w:r w:rsidRPr="00966BD1">
        <w:rPr>
          <w:sz w:val="24"/>
          <w:szCs w:val="24"/>
        </w:rPr>
        <w:t xml:space="preserve"> the right of persons deprived of their liberty to be treated with humanity and with respect for the inherent dignity of the human person (Art. 10);</w:t>
      </w:r>
      <w:r w:rsidRPr="00966BD1">
        <w:rPr>
          <w:sz w:val="24"/>
          <w:szCs w:val="24"/>
          <w:vertAlign w:val="superscript"/>
        </w:rPr>
        <w:endnoteReference w:id="111"/>
      </w:r>
      <w:r w:rsidRPr="00966BD1">
        <w:rPr>
          <w:sz w:val="24"/>
          <w:szCs w:val="24"/>
        </w:rPr>
        <w:t xml:space="preserve"> the right to freedom of thought, conscience, and religion (Art. 18);</w:t>
      </w:r>
      <w:r w:rsidRPr="00966BD1">
        <w:rPr>
          <w:sz w:val="24"/>
          <w:szCs w:val="24"/>
          <w:vertAlign w:val="superscript"/>
        </w:rPr>
        <w:endnoteReference w:id="112"/>
      </w:r>
      <w:r w:rsidRPr="00966BD1">
        <w:rPr>
          <w:sz w:val="24"/>
          <w:szCs w:val="24"/>
        </w:rPr>
        <w:t xml:space="preserve"> and the guarantee to all persons of equal and effective protection against discrimination on any ground such as race, color, sex, language, religion, political or other opinion, or national or social origin, amongst other statuses (Art. 26).</w:t>
      </w:r>
      <w:r w:rsidRPr="00966BD1">
        <w:rPr>
          <w:sz w:val="24"/>
          <w:szCs w:val="24"/>
          <w:vertAlign w:val="superscript"/>
        </w:rPr>
        <w:endnoteReference w:id="113"/>
      </w:r>
    </w:p>
    <w:p w14:paraId="52C6B7C2" w14:textId="6C1731B5" w:rsidR="000362C9" w:rsidRPr="00966BD1" w:rsidRDefault="000362C9" w:rsidP="00147603">
      <w:pPr>
        <w:pStyle w:val="ListParagraph"/>
        <w:rPr>
          <w:sz w:val="24"/>
          <w:szCs w:val="24"/>
        </w:rPr>
      </w:pPr>
      <w:r w:rsidRPr="00966BD1">
        <w:rPr>
          <w:sz w:val="24"/>
          <w:szCs w:val="24"/>
        </w:rPr>
        <w:t xml:space="preserve">The </w:t>
      </w:r>
      <w:r>
        <w:rPr>
          <w:sz w:val="24"/>
          <w:szCs w:val="24"/>
        </w:rPr>
        <w:t>U.S.</w:t>
      </w:r>
      <w:r w:rsidRPr="00966BD1">
        <w:rPr>
          <w:sz w:val="24"/>
          <w:szCs w:val="24"/>
        </w:rPr>
        <w:t xml:space="preserve"> claim</w:t>
      </w:r>
      <w:r w:rsidR="006F297B">
        <w:rPr>
          <w:sz w:val="24"/>
          <w:szCs w:val="24"/>
        </w:rPr>
        <w:t>s</w:t>
      </w:r>
      <w:r w:rsidRPr="00966BD1">
        <w:rPr>
          <w:sz w:val="24"/>
          <w:szCs w:val="24"/>
        </w:rPr>
        <w:t xml:space="preserve"> that the </w:t>
      </w:r>
      <w:r w:rsidR="00212D97">
        <w:rPr>
          <w:sz w:val="24"/>
          <w:szCs w:val="24"/>
        </w:rPr>
        <w:t>DHS</w:t>
      </w:r>
      <w:r w:rsidRPr="00966BD1">
        <w:rPr>
          <w:sz w:val="24"/>
          <w:szCs w:val="24"/>
        </w:rPr>
        <w:t>’s Office of Inspector General “actively investigates conditions in immigration detention facilities, often based on unannounced visits.”</w:t>
      </w:r>
      <w:r w:rsidRPr="00966BD1">
        <w:rPr>
          <w:sz w:val="24"/>
          <w:szCs w:val="24"/>
          <w:vertAlign w:val="superscript"/>
        </w:rPr>
        <w:endnoteReference w:id="114"/>
      </w:r>
      <w:r w:rsidRPr="00966BD1">
        <w:rPr>
          <w:sz w:val="24"/>
          <w:szCs w:val="24"/>
        </w:rPr>
        <w:t xml:space="preserve"> It describes visits to four detention centers in 2019 where “the Inspector General recommended that ICE improve its oversight of detention facility management and operations” and how “all four facilities completed corrective actions related to the follow-up inspections.”</w:t>
      </w:r>
      <w:r w:rsidRPr="00966BD1">
        <w:rPr>
          <w:sz w:val="24"/>
          <w:szCs w:val="24"/>
          <w:vertAlign w:val="superscript"/>
        </w:rPr>
        <w:endnoteReference w:id="115"/>
      </w:r>
      <w:r w:rsidRPr="00966BD1">
        <w:rPr>
          <w:sz w:val="24"/>
          <w:szCs w:val="24"/>
        </w:rPr>
        <w:t xml:space="preserve"> </w:t>
      </w:r>
    </w:p>
    <w:p w14:paraId="2C845DF3" w14:textId="50DAE311" w:rsidR="000362C9" w:rsidRPr="00966BD1" w:rsidRDefault="000362C9" w:rsidP="00147603">
      <w:pPr>
        <w:pStyle w:val="ListParagraph"/>
        <w:rPr>
          <w:sz w:val="24"/>
          <w:szCs w:val="24"/>
        </w:rPr>
      </w:pPr>
      <w:r w:rsidRPr="00966BD1">
        <w:rPr>
          <w:sz w:val="24"/>
          <w:szCs w:val="24"/>
        </w:rPr>
        <w:t xml:space="preserve">But the </w:t>
      </w:r>
      <w:r>
        <w:rPr>
          <w:sz w:val="24"/>
          <w:szCs w:val="24"/>
        </w:rPr>
        <w:t>U.S.</w:t>
      </w:r>
      <w:r w:rsidRPr="00966BD1">
        <w:rPr>
          <w:sz w:val="24"/>
          <w:szCs w:val="24"/>
        </w:rPr>
        <w:t xml:space="preserve"> obscures from this Committee that U.S. immigration officials commonly ignore or dispute the Inspector General’s recommendations, which do not hold the force of </w:t>
      </w:r>
      <w:r w:rsidRPr="00966BD1">
        <w:rPr>
          <w:sz w:val="24"/>
          <w:szCs w:val="24"/>
        </w:rPr>
        <w:lastRenderedPageBreak/>
        <w:t>law. In 2022, the Inspector General twice recommended immediate closure of a detention center due to dangerous and inhumane conditions. U.S. immigration officials rebuked the Inspector General’s office as biased and refused to comply with the closure recommendations.</w:t>
      </w:r>
      <w:r w:rsidRPr="00966BD1">
        <w:rPr>
          <w:sz w:val="24"/>
          <w:szCs w:val="24"/>
          <w:vertAlign w:val="superscript"/>
        </w:rPr>
        <w:endnoteReference w:id="116"/>
      </w:r>
      <w:r w:rsidRPr="00966BD1">
        <w:rPr>
          <w:sz w:val="24"/>
          <w:szCs w:val="24"/>
        </w:rPr>
        <w:t xml:space="preserve"> </w:t>
      </w:r>
    </w:p>
    <w:p w14:paraId="7CFA5ED5" w14:textId="376F2665" w:rsidR="000362C9" w:rsidRPr="006F297B" w:rsidRDefault="000362C9" w:rsidP="00D11CD1">
      <w:pPr>
        <w:pStyle w:val="ListParagraph"/>
        <w:rPr>
          <w:sz w:val="24"/>
          <w:szCs w:val="24"/>
        </w:rPr>
      </w:pPr>
      <w:r w:rsidRPr="00966BD1">
        <w:rPr>
          <w:sz w:val="24"/>
          <w:szCs w:val="24"/>
        </w:rPr>
        <w:t>U.S. immigration officials inflict human rights abuses with ongoing impunity, according to credible, detailed reports by U.S. government oversight agencies, civil society organizations, and current and formerly detained individuals.</w:t>
      </w:r>
      <w:r w:rsidR="006F297B">
        <w:rPr>
          <w:sz w:val="24"/>
          <w:szCs w:val="24"/>
        </w:rPr>
        <w:t xml:space="preserve"> </w:t>
      </w:r>
      <w:r w:rsidRPr="00266478">
        <w:rPr>
          <w:sz w:val="24"/>
          <w:szCs w:val="24"/>
        </w:rPr>
        <w:t xml:space="preserve">In August 2023, a federal judge ordered the </w:t>
      </w:r>
      <w:r w:rsidR="000A00A3" w:rsidRPr="00266478">
        <w:rPr>
          <w:sz w:val="24"/>
          <w:szCs w:val="24"/>
        </w:rPr>
        <w:t>DHS</w:t>
      </w:r>
      <w:r w:rsidRPr="00266478">
        <w:rPr>
          <w:sz w:val="24"/>
          <w:szCs w:val="24"/>
        </w:rPr>
        <w:t>’s Office of Civil Rights and Civil Liberties</w:t>
      </w:r>
      <w:r w:rsidR="006F297B">
        <w:rPr>
          <w:sz w:val="24"/>
          <w:szCs w:val="24"/>
        </w:rPr>
        <w:t xml:space="preserve"> (“CRCL”)</w:t>
      </w:r>
      <w:r w:rsidRPr="00266478">
        <w:rPr>
          <w:sz w:val="24"/>
          <w:szCs w:val="24"/>
        </w:rPr>
        <w:t xml:space="preserve"> to release more than 1,600 pages of secret inspection reports it had illegally withheld from the public.</w:t>
      </w:r>
      <w:r w:rsidRPr="00966BD1">
        <w:rPr>
          <w:vertAlign w:val="superscript"/>
        </w:rPr>
        <w:endnoteReference w:id="117"/>
      </w:r>
      <w:r w:rsidRPr="00266478">
        <w:rPr>
          <w:sz w:val="24"/>
          <w:szCs w:val="24"/>
        </w:rPr>
        <w:t xml:space="preserve"> The reports examined more than two dozen detention facilities in 16 states, from 2017 to 2019.</w:t>
      </w:r>
      <w:r w:rsidRPr="00966BD1">
        <w:rPr>
          <w:vertAlign w:val="superscript"/>
        </w:rPr>
        <w:endnoteReference w:id="118"/>
      </w:r>
      <w:r w:rsidRPr="00266478">
        <w:rPr>
          <w:sz w:val="24"/>
          <w:szCs w:val="24"/>
        </w:rPr>
        <w:t xml:space="preserve"> </w:t>
      </w:r>
      <w:r w:rsidRPr="006F297B">
        <w:rPr>
          <w:sz w:val="24"/>
          <w:szCs w:val="24"/>
        </w:rPr>
        <w:t>The reports detail conditions common in facilities across the nation and over a sustained period of time: negligent medical and mental health care leading to serious injury and death, conditions of confinement described as “unsafe and filthy,” and racist and violent abuse of people in detention, including pepper-spraying of individuals with disabilities.</w:t>
      </w:r>
      <w:r w:rsidRPr="00966BD1">
        <w:rPr>
          <w:sz w:val="24"/>
          <w:szCs w:val="24"/>
          <w:vertAlign w:val="superscript"/>
        </w:rPr>
        <w:endnoteReference w:id="119"/>
      </w:r>
    </w:p>
    <w:p w14:paraId="2C1515B4" w14:textId="77777777" w:rsidR="000362C9" w:rsidRPr="00966BD1" w:rsidRDefault="000362C9" w:rsidP="00147603">
      <w:pPr>
        <w:pStyle w:val="ListParagraph"/>
        <w:rPr>
          <w:sz w:val="24"/>
          <w:szCs w:val="24"/>
        </w:rPr>
      </w:pPr>
      <w:r w:rsidRPr="00966BD1">
        <w:rPr>
          <w:sz w:val="24"/>
          <w:szCs w:val="24"/>
        </w:rPr>
        <w:t>These official reports are echoed by numerous scholarly studies, civil society complaints and reports, and firsthand testimonies from detained people containing reliable evidence of human rights abuses at the hands of U.S. immigration detention officials.</w:t>
      </w:r>
      <w:r w:rsidRPr="00966BD1">
        <w:rPr>
          <w:sz w:val="24"/>
          <w:szCs w:val="24"/>
          <w:vertAlign w:val="superscript"/>
        </w:rPr>
        <w:endnoteReference w:id="120"/>
      </w:r>
    </w:p>
    <w:p w14:paraId="3FEE6BD7" w14:textId="04D64008" w:rsidR="000362C9" w:rsidRPr="00966BD1" w:rsidRDefault="000362C9" w:rsidP="00147603">
      <w:pPr>
        <w:pStyle w:val="ListParagraph"/>
        <w:rPr>
          <w:sz w:val="24"/>
          <w:szCs w:val="24"/>
        </w:rPr>
      </w:pPr>
      <w:r w:rsidRPr="00966BD1">
        <w:rPr>
          <w:sz w:val="24"/>
          <w:szCs w:val="24"/>
        </w:rPr>
        <w:t xml:space="preserve">Black immigrants are especially vulnerable to abuse in immigration detention, as noted by </w:t>
      </w:r>
      <w:r>
        <w:rPr>
          <w:sz w:val="24"/>
          <w:szCs w:val="24"/>
        </w:rPr>
        <w:t>CERD</w:t>
      </w:r>
      <w:r w:rsidRPr="00966BD1">
        <w:rPr>
          <w:sz w:val="24"/>
          <w:szCs w:val="24"/>
        </w:rPr>
        <w:t xml:space="preserve"> in its August 2022 Concluding Observations upon review of the </w:t>
      </w:r>
      <w:r>
        <w:rPr>
          <w:sz w:val="24"/>
          <w:szCs w:val="24"/>
        </w:rPr>
        <w:t>U.S.</w:t>
      </w:r>
      <w:r w:rsidRPr="00966BD1">
        <w:rPr>
          <w:sz w:val="24"/>
          <w:szCs w:val="24"/>
          <w:vertAlign w:val="superscript"/>
        </w:rPr>
        <w:endnoteReference w:id="121"/>
      </w:r>
      <w:r w:rsidRPr="00966BD1">
        <w:rPr>
          <w:sz w:val="24"/>
          <w:szCs w:val="24"/>
        </w:rPr>
        <w:t xml:space="preserve"> Black people in immigration detention are more than six times more likely to be locked in solitary confinement than other racial groups.</w:t>
      </w:r>
      <w:r w:rsidRPr="00966BD1">
        <w:rPr>
          <w:sz w:val="24"/>
          <w:szCs w:val="24"/>
          <w:vertAlign w:val="superscript"/>
        </w:rPr>
        <w:endnoteReference w:id="122"/>
      </w:r>
      <w:r w:rsidRPr="00966BD1">
        <w:rPr>
          <w:sz w:val="24"/>
          <w:szCs w:val="24"/>
        </w:rPr>
        <w:t xml:space="preserve"> Black immigrants are more likely to suffer prolonged and arbitrary immigration detention, including longer periods of detention and lesser likelihood of release on bond or parole than individuals of other races.</w:t>
      </w:r>
      <w:r w:rsidRPr="00966BD1">
        <w:rPr>
          <w:sz w:val="24"/>
          <w:szCs w:val="24"/>
          <w:vertAlign w:val="superscript"/>
        </w:rPr>
        <w:endnoteReference w:id="123"/>
      </w:r>
      <w:r w:rsidRPr="00966BD1">
        <w:rPr>
          <w:sz w:val="24"/>
          <w:szCs w:val="24"/>
        </w:rPr>
        <w:t xml:space="preserve"> </w:t>
      </w:r>
      <w:r w:rsidR="006F297B">
        <w:rPr>
          <w:sz w:val="24"/>
          <w:szCs w:val="24"/>
        </w:rPr>
        <w:t>F</w:t>
      </w:r>
      <w:r w:rsidRPr="00966BD1">
        <w:rPr>
          <w:sz w:val="24"/>
          <w:szCs w:val="24"/>
        </w:rPr>
        <w:t>rom 2020 to 2022, at least a dozen civil rights complaints were filed before U.S. courts and agencies by Black immigrants detailing racist abuse and excessive force, anti-Black discrimination, and other human rights abuses while in detention.</w:t>
      </w:r>
      <w:r w:rsidRPr="00966BD1">
        <w:rPr>
          <w:sz w:val="24"/>
          <w:szCs w:val="24"/>
          <w:vertAlign w:val="superscript"/>
        </w:rPr>
        <w:endnoteReference w:id="124"/>
      </w:r>
    </w:p>
    <w:p w14:paraId="38ABDB97" w14:textId="1FAD2088" w:rsidR="000362C9" w:rsidRPr="00966BD1" w:rsidRDefault="000362C9" w:rsidP="00147603">
      <w:pPr>
        <w:pStyle w:val="ListParagraph"/>
        <w:rPr>
          <w:sz w:val="24"/>
          <w:szCs w:val="24"/>
        </w:rPr>
      </w:pPr>
      <w:r w:rsidRPr="00966BD1">
        <w:rPr>
          <w:sz w:val="24"/>
          <w:szCs w:val="24"/>
        </w:rPr>
        <w:t xml:space="preserve">Winn Correctional Center in Louisiana has been the subject of years of complaints about inadequate </w:t>
      </w:r>
      <w:hyperlink r:id="rId16">
        <w:r w:rsidRPr="00966BD1">
          <w:rPr>
            <w:sz w:val="24"/>
            <w:szCs w:val="24"/>
          </w:rPr>
          <w:t>medical care</w:t>
        </w:r>
      </w:hyperlink>
      <w:r w:rsidRPr="00966BD1">
        <w:rPr>
          <w:sz w:val="24"/>
          <w:szCs w:val="24"/>
        </w:rPr>
        <w:t xml:space="preserve">, </w:t>
      </w:r>
      <w:hyperlink r:id="rId17">
        <w:r w:rsidRPr="00966BD1">
          <w:rPr>
            <w:sz w:val="24"/>
            <w:szCs w:val="24"/>
          </w:rPr>
          <w:t xml:space="preserve">filthy conditions of confinement, and </w:t>
        </w:r>
      </w:hyperlink>
      <w:r w:rsidRPr="00966BD1">
        <w:rPr>
          <w:sz w:val="24"/>
          <w:szCs w:val="24"/>
        </w:rPr>
        <w:t>abuse of detainees.</w:t>
      </w:r>
      <w:r w:rsidRPr="00966BD1">
        <w:rPr>
          <w:sz w:val="24"/>
          <w:szCs w:val="24"/>
          <w:vertAlign w:val="superscript"/>
        </w:rPr>
        <w:endnoteReference w:id="125"/>
      </w:r>
      <w:r w:rsidRPr="00966BD1">
        <w:rPr>
          <w:sz w:val="24"/>
          <w:szCs w:val="24"/>
        </w:rPr>
        <w:t xml:space="preserve"> In 2021, </w:t>
      </w:r>
      <w:r w:rsidR="006F297B">
        <w:rPr>
          <w:sz w:val="24"/>
          <w:szCs w:val="24"/>
        </w:rPr>
        <w:t>CRCL</w:t>
      </w:r>
      <w:r w:rsidRPr="00966BD1">
        <w:rPr>
          <w:sz w:val="24"/>
          <w:szCs w:val="24"/>
        </w:rPr>
        <w:t xml:space="preserve"> recommended immediate closure of Winn due to “serious concerns for the health and safety of the detainees” and “a culture and conditions that can lead to abuse, mistreatment, and discrimination against detainees.”</w:t>
      </w:r>
      <w:r w:rsidRPr="00966BD1">
        <w:rPr>
          <w:sz w:val="24"/>
          <w:szCs w:val="24"/>
          <w:vertAlign w:val="superscript"/>
        </w:rPr>
        <w:endnoteReference w:id="126"/>
      </w:r>
      <w:r w:rsidRPr="00966BD1">
        <w:rPr>
          <w:sz w:val="24"/>
          <w:szCs w:val="24"/>
        </w:rPr>
        <w:t xml:space="preserve"> At least one individual held at Winn died due to denial of medical care.</w:t>
      </w:r>
      <w:r w:rsidRPr="00966BD1">
        <w:rPr>
          <w:sz w:val="24"/>
          <w:szCs w:val="24"/>
          <w:vertAlign w:val="superscript"/>
        </w:rPr>
        <w:endnoteReference w:id="127"/>
      </w:r>
      <w:r w:rsidRPr="00966BD1">
        <w:rPr>
          <w:sz w:val="24"/>
          <w:szCs w:val="24"/>
        </w:rPr>
        <w:t xml:space="preserve"> Another asylum seeker held there told reporters, “I never imagined or expected to receive this inhumane treatment.”</w:t>
      </w:r>
      <w:r w:rsidRPr="00966BD1">
        <w:rPr>
          <w:sz w:val="24"/>
          <w:szCs w:val="24"/>
          <w:vertAlign w:val="superscript"/>
        </w:rPr>
        <w:endnoteReference w:id="128"/>
      </w:r>
    </w:p>
    <w:p w14:paraId="34140A72" w14:textId="4FC5B87A" w:rsidR="000362C9" w:rsidRPr="00966BD1" w:rsidRDefault="000362C9" w:rsidP="00147603">
      <w:pPr>
        <w:pStyle w:val="ListParagraph"/>
        <w:rPr>
          <w:sz w:val="24"/>
          <w:szCs w:val="24"/>
        </w:rPr>
      </w:pPr>
      <w:r w:rsidRPr="00966BD1">
        <w:rPr>
          <w:sz w:val="24"/>
          <w:szCs w:val="24"/>
        </w:rPr>
        <w:t>Baker County Detention Center in Florida has also received scrutiny for cruel and degrading treatment of detained people. Since 2017, at least 191 complaints of human rights abuses at Baker have been recorded, detailing assault by guards, racist and anti-immigrant animus, abusive or unwarranted use of solitary confinement, sexual assault, and filthy conditions.</w:t>
      </w:r>
      <w:r w:rsidRPr="00966BD1">
        <w:rPr>
          <w:sz w:val="24"/>
          <w:szCs w:val="24"/>
          <w:vertAlign w:val="superscript"/>
        </w:rPr>
        <w:endnoteReference w:id="129"/>
      </w:r>
      <w:r w:rsidRPr="00966BD1">
        <w:rPr>
          <w:sz w:val="24"/>
          <w:szCs w:val="24"/>
        </w:rPr>
        <w:t xml:space="preserve"> In May 2023, a women formerly detained at Baker County Detention Center filed a sex trafficking civil lawsuit against guards who raped her in exchange for </w:t>
      </w:r>
      <w:r w:rsidRPr="00966BD1">
        <w:rPr>
          <w:sz w:val="24"/>
          <w:szCs w:val="24"/>
        </w:rPr>
        <w:lastRenderedPageBreak/>
        <w:t>access to toilet paper and sanctuary napkins and then locked her in solitary confinement when she reported the abuse.</w:t>
      </w:r>
      <w:r w:rsidRPr="00966BD1">
        <w:rPr>
          <w:sz w:val="24"/>
          <w:szCs w:val="24"/>
          <w:vertAlign w:val="superscript"/>
        </w:rPr>
        <w:endnoteReference w:id="130"/>
      </w:r>
    </w:p>
    <w:p w14:paraId="7FE1820A" w14:textId="576D32C8" w:rsidR="000362C9" w:rsidRPr="00966BD1" w:rsidRDefault="000362C9" w:rsidP="72C78327">
      <w:pPr>
        <w:pStyle w:val="ListParagraph"/>
        <w:rPr>
          <w:sz w:val="24"/>
          <w:szCs w:val="24"/>
          <w:vertAlign w:val="superscript"/>
        </w:rPr>
      </w:pPr>
      <w:r w:rsidRPr="00966BD1">
        <w:rPr>
          <w:sz w:val="24"/>
          <w:szCs w:val="24"/>
        </w:rPr>
        <w:t>Contracts with the federal government to detain immigrants at Winn Correctional Center and Baker County Detention Center are pending negotiation for renewal in 2024. Human rights advocates, led by current and formerly detained individuals, are calling instead for their permanent shutdown in light of damning records of abuse of detained people.</w:t>
      </w:r>
    </w:p>
    <w:p w14:paraId="561E084A" w14:textId="0E43E77F" w:rsidR="000362C9" w:rsidRPr="00966BD1" w:rsidRDefault="000362C9" w:rsidP="009E6F4A">
      <w:pPr>
        <w:pStyle w:val="Heading2"/>
        <w:rPr>
          <w:rFonts w:cs="Times New Roman"/>
          <w:sz w:val="24"/>
          <w:szCs w:val="24"/>
        </w:rPr>
      </w:pPr>
      <w:bookmarkStart w:id="57" w:name="_Toc143210378"/>
      <w:bookmarkStart w:id="58" w:name="_Toc145307887"/>
      <w:r w:rsidRPr="00966BD1">
        <w:rPr>
          <w:rFonts w:cs="Times New Roman"/>
          <w:sz w:val="24"/>
          <w:szCs w:val="24"/>
        </w:rPr>
        <w:t>Externalization of U.S. border control throughout the Americas, subjecting foreign nationals in extraterritorial settings to ongoing violations of the Covenant.</w:t>
      </w:r>
      <w:bookmarkEnd w:id="57"/>
      <w:bookmarkEnd w:id="58"/>
    </w:p>
    <w:p w14:paraId="64870790" w14:textId="1A9EA41B" w:rsidR="000362C9" w:rsidRPr="00966BD1" w:rsidRDefault="000362C9" w:rsidP="00043966">
      <w:pPr>
        <w:pStyle w:val="ListParagraph"/>
        <w:rPr>
          <w:sz w:val="24"/>
          <w:szCs w:val="24"/>
        </w:rPr>
      </w:pPr>
      <w:r w:rsidRPr="00966BD1">
        <w:rPr>
          <w:sz w:val="24"/>
          <w:szCs w:val="24"/>
        </w:rPr>
        <w:t xml:space="preserve">The U.S.’s Prevention through Deterrence policy and practice, intended to track or deter the migration as far from the U.S. border as possible, enabled by a variety of reservations and intentional violation of international law, creates zones of space throughout the Americas where people are subject to the effective control of the U.S. Executive Branch, including in the Florida Straits and in the Caribbean Sea as described above, but also along the U.S.’s Border with Mexico, and in </w:t>
      </w:r>
      <w:r w:rsidR="007F56B2">
        <w:rPr>
          <w:sz w:val="24"/>
          <w:szCs w:val="24"/>
        </w:rPr>
        <w:t>t</w:t>
      </w:r>
      <w:r w:rsidRPr="00966BD1">
        <w:rPr>
          <w:sz w:val="24"/>
          <w:szCs w:val="24"/>
        </w:rPr>
        <w:t xml:space="preserve">he </w:t>
      </w:r>
      <w:r w:rsidR="006B4347">
        <w:rPr>
          <w:sz w:val="24"/>
          <w:szCs w:val="24"/>
        </w:rPr>
        <w:t>Darién</w:t>
      </w:r>
      <w:r w:rsidRPr="00966BD1">
        <w:rPr>
          <w:sz w:val="24"/>
          <w:szCs w:val="24"/>
        </w:rPr>
        <w:t xml:space="preserve"> Gap. U.S. law and current judicial opinion enable Executive Branch policy and practice to carry the force of U.S. law and empowers a broad assertion of the Executive Branch’s authority in the context of law enforcement and military operations in these spaces. </w:t>
      </w:r>
    </w:p>
    <w:p w14:paraId="682B31EC" w14:textId="35D1129A" w:rsidR="000362C9" w:rsidRPr="00966BD1" w:rsidRDefault="000362C9" w:rsidP="00F7315F">
      <w:pPr>
        <w:pStyle w:val="Heading3"/>
        <w:numPr>
          <w:ilvl w:val="0"/>
          <w:numId w:val="48"/>
        </w:numPr>
        <w:rPr>
          <w:rFonts w:cs="Times New Roman"/>
          <w:sz w:val="24"/>
        </w:rPr>
      </w:pPr>
      <w:bookmarkStart w:id="59" w:name="_Toc143210380"/>
      <w:bookmarkStart w:id="60" w:name="_Toc145307888"/>
      <w:r w:rsidRPr="00966BD1">
        <w:rPr>
          <w:rFonts w:cs="Times New Roman"/>
          <w:sz w:val="24"/>
        </w:rPr>
        <w:t>Along the U.S.-Mexico Border: Effects of U.S partnerships and agreements with Mexico</w:t>
      </w:r>
      <w:bookmarkEnd w:id="59"/>
      <w:r w:rsidRPr="00966BD1">
        <w:rPr>
          <w:rFonts w:cs="Times New Roman"/>
          <w:sz w:val="24"/>
        </w:rPr>
        <w:t xml:space="preserve"> and ongoing violations of the Covenant</w:t>
      </w:r>
      <w:bookmarkEnd w:id="60"/>
    </w:p>
    <w:p w14:paraId="5765ED42" w14:textId="61CB9561" w:rsidR="000362C9" w:rsidRPr="00966BD1" w:rsidRDefault="000362C9" w:rsidP="008004EA">
      <w:pPr>
        <w:pStyle w:val="ListParagraph"/>
        <w:rPr>
          <w:sz w:val="24"/>
          <w:szCs w:val="24"/>
        </w:rPr>
      </w:pPr>
      <w:r w:rsidRPr="00966BD1">
        <w:rPr>
          <w:sz w:val="24"/>
          <w:szCs w:val="24"/>
        </w:rPr>
        <w:t>The Trump administration failed to secure a safe third country agreement with Mexico, though the U.S. similarly waged economic penalties and public pressure on its southern neighbor to enter a bilateral agreement.</w:t>
      </w:r>
      <w:r w:rsidRPr="00966BD1">
        <w:rPr>
          <w:rStyle w:val="EndnoteReference"/>
          <w:sz w:val="24"/>
          <w:szCs w:val="24"/>
        </w:rPr>
        <w:endnoteReference w:id="131"/>
      </w:r>
      <w:r w:rsidRPr="00966BD1">
        <w:rPr>
          <w:sz w:val="24"/>
          <w:szCs w:val="24"/>
        </w:rPr>
        <w:t xml:space="preserve"> Eventually, the U.S. reached a no less devastating policy with Mexico, sending tens of thousands of asylum seekers facing asylum adjudications in U.S. courts to wait in Mexican border towns.</w:t>
      </w:r>
      <w:r w:rsidRPr="00966BD1">
        <w:rPr>
          <w:rStyle w:val="EndnoteReference"/>
          <w:sz w:val="24"/>
          <w:szCs w:val="24"/>
        </w:rPr>
        <w:t xml:space="preserve"> </w:t>
      </w:r>
      <w:r w:rsidRPr="00966BD1">
        <w:rPr>
          <w:rStyle w:val="EndnoteReference"/>
          <w:sz w:val="24"/>
          <w:szCs w:val="24"/>
        </w:rPr>
        <w:endnoteReference w:id="132"/>
      </w:r>
      <w:r w:rsidRPr="00966BD1">
        <w:rPr>
          <w:sz w:val="24"/>
          <w:szCs w:val="24"/>
        </w:rPr>
        <w:t xml:space="preserve"> This policy, known as the Migrant Protection Protocols or “Remain in Mexico,” created a humanitarian crisis that endures to this day, fueling the presence of criminal cartels and corrupt Mexican authorities who prey on desperate individuals pushed back by the </w:t>
      </w:r>
      <w:r>
        <w:rPr>
          <w:sz w:val="24"/>
          <w:szCs w:val="24"/>
        </w:rPr>
        <w:t>U.S</w:t>
      </w:r>
      <w:r w:rsidRPr="00966BD1">
        <w:rPr>
          <w:sz w:val="24"/>
          <w:szCs w:val="24"/>
        </w:rPr>
        <w:t>. Today, migrants continue to wait in the same dangerous conditions in Mexico as they attempt to obtain a CBP One appointment, a process that regularly takes months.</w:t>
      </w:r>
      <w:r w:rsidRPr="00966BD1">
        <w:rPr>
          <w:rStyle w:val="EndnoteReference"/>
          <w:sz w:val="24"/>
          <w:szCs w:val="24"/>
        </w:rPr>
        <w:endnoteReference w:id="133"/>
      </w:r>
      <w:r w:rsidRPr="00966BD1">
        <w:rPr>
          <w:sz w:val="24"/>
          <w:szCs w:val="24"/>
        </w:rPr>
        <w:t xml:space="preserve"> Kidnappings, torture, extortion, rape, and even murder of asylum seekers has become a fixture for Mexican border towns, as a direct result of U.S. externalization policies.</w:t>
      </w:r>
      <w:r w:rsidRPr="00966BD1">
        <w:rPr>
          <w:rStyle w:val="EndnoteReference"/>
          <w:sz w:val="24"/>
          <w:szCs w:val="24"/>
        </w:rPr>
        <w:endnoteReference w:id="134"/>
      </w:r>
    </w:p>
    <w:p w14:paraId="04F8AFFD" w14:textId="3D353266" w:rsidR="000362C9" w:rsidRPr="00966BD1" w:rsidRDefault="000362C9" w:rsidP="008004EA">
      <w:pPr>
        <w:pStyle w:val="ListParagraph"/>
        <w:rPr>
          <w:sz w:val="24"/>
          <w:szCs w:val="24"/>
        </w:rPr>
      </w:pPr>
      <w:r w:rsidRPr="00966BD1">
        <w:rPr>
          <w:sz w:val="24"/>
          <w:szCs w:val="24"/>
        </w:rPr>
        <w:t>The Biden administration has continued to push the Mexican government to heavily regulate travel to and within Mexico to prevent migrants from reaching the U.S. Black migrants trapped in Mexico as a result of enforcement actions by Mexican migration officials have faced the brunt of the country’s hardline approach, including serious human rights abuses by Mexican authorities and months-long waits in inhumane conditions in southern Mexico.</w:t>
      </w:r>
      <w:r w:rsidRPr="00966BD1">
        <w:rPr>
          <w:rStyle w:val="EndnoteReference"/>
          <w:sz w:val="24"/>
          <w:szCs w:val="24"/>
        </w:rPr>
        <w:endnoteReference w:id="135"/>
      </w:r>
      <w:r w:rsidRPr="00966BD1">
        <w:rPr>
          <w:sz w:val="24"/>
          <w:szCs w:val="24"/>
        </w:rPr>
        <w:t xml:space="preserve"> In one shocking case, four Mexican police officers were arrested for the murder of a Haitian woman, who had been detained by the officers in southern Mexico in October 2021.</w:t>
      </w:r>
      <w:r w:rsidRPr="00966BD1">
        <w:rPr>
          <w:rStyle w:val="EndnoteReference"/>
          <w:sz w:val="24"/>
          <w:szCs w:val="24"/>
        </w:rPr>
        <w:endnoteReference w:id="136"/>
      </w:r>
      <w:r w:rsidRPr="00966BD1">
        <w:rPr>
          <w:sz w:val="24"/>
          <w:szCs w:val="24"/>
        </w:rPr>
        <w:t xml:space="preserve"> Haitian and other Black asylum seekers are also at risk of refoulement </w:t>
      </w:r>
      <w:r w:rsidRPr="00966BD1">
        <w:rPr>
          <w:sz w:val="24"/>
          <w:szCs w:val="24"/>
        </w:rPr>
        <w:lastRenderedPageBreak/>
        <w:t>in Mexico. Mexican authorities have even racially profiled and illegally deported Afro-descendent Mexican citizens.</w:t>
      </w:r>
      <w:r w:rsidRPr="00966BD1">
        <w:rPr>
          <w:rStyle w:val="EndnoteReference"/>
          <w:sz w:val="24"/>
          <w:szCs w:val="24"/>
        </w:rPr>
        <w:endnoteReference w:id="137"/>
      </w:r>
    </w:p>
    <w:p w14:paraId="081C2BBD" w14:textId="6A220D08" w:rsidR="000362C9" w:rsidRPr="00966BD1" w:rsidRDefault="000362C9" w:rsidP="005C6812">
      <w:pPr>
        <w:pStyle w:val="ListParagraph"/>
        <w:rPr>
          <w:sz w:val="24"/>
          <w:szCs w:val="24"/>
        </w:rPr>
      </w:pPr>
      <w:r w:rsidRPr="00966BD1">
        <w:rPr>
          <w:sz w:val="24"/>
          <w:szCs w:val="24"/>
        </w:rPr>
        <w:t xml:space="preserve">Unable to seek asylum in the </w:t>
      </w:r>
      <w:r>
        <w:rPr>
          <w:sz w:val="24"/>
          <w:szCs w:val="24"/>
        </w:rPr>
        <w:t>U.S.</w:t>
      </w:r>
      <w:r w:rsidRPr="00966BD1">
        <w:rPr>
          <w:sz w:val="24"/>
          <w:szCs w:val="24"/>
        </w:rPr>
        <w:t xml:space="preserve"> due to these policies at the border, unable to return to their home countries due to persecution and other life-threatening conditions, and unable to firmly settle elsewhere in the Americas because of discriminatory policies and treatment, many Haitians have been stuck for years in the U</w:t>
      </w:r>
      <w:r w:rsidR="007F56B2">
        <w:rPr>
          <w:sz w:val="24"/>
          <w:szCs w:val="24"/>
        </w:rPr>
        <w:t>.</w:t>
      </w:r>
      <w:r w:rsidRPr="00966BD1">
        <w:rPr>
          <w:sz w:val="24"/>
          <w:szCs w:val="24"/>
        </w:rPr>
        <w:t>S</w:t>
      </w:r>
      <w:r w:rsidR="007F56B2">
        <w:rPr>
          <w:sz w:val="24"/>
          <w:szCs w:val="24"/>
        </w:rPr>
        <w:t>.</w:t>
      </w:r>
      <w:r w:rsidRPr="00966BD1">
        <w:rPr>
          <w:sz w:val="24"/>
          <w:szCs w:val="24"/>
        </w:rPr>
        <w:t>-Mexico border region in dangerous, cartel-controlled territories in Mexico where they also face pervasive anti-Black discrimination. Exposure to violations of the Covenant while waiting along the U.S.-Mexico border are ongoing.</w:t>
      </w:r>
      <w:r w:rsidRPr="00966BD1">
        <w:rPr>
          <w:rStyle w:val="EndnoteReference"/>
          <w:sz w:val="24"/>
          <w:szCs w:val="24"/>
        </w:rPr>
        <w:endnoteReference w:id="138"/>
      </w:r>
    </w:p>
    <w:p w14:paraId="1984E981" w14:textId="4DF06BC7" w:rsidR="000362C9" w:rsidRPr="00966BD1" w:rsidRDefault="000362C9" w:rsidP="00EE77E3">
      <w:pPr>
        <w:pStyle w:val="Heading3"/>
        <w:rPr>
          <w:rFonts w:cs="Times New Roman"/>
          <w:sz w:val="24"/>
        </w:rPr>
      </w:pPr>
      <w:bookmarkStart w:id="61" w:name="_Toc145307889"/>
      <w:r w:rsidRPr="00966BD1">
        <w:rPr>
          <w:rFonts w:cs="Times New Roman"/>
          <w:sz w:val="24"/>
        </w:rPr>
        <w:t xml:space="preserve">The </w:t>
      </w:r>
      <w:r w:rsidR="006B4347">
        <w:rPr>
          <w:rFonts w:cs="Times New Roman"/>
          <w:sz w:val="24"/>
        </w:rPr>
        <w:t>Darién</w:t>
      </w:r>
      <w:r w:rsidRPr="00966BD1">
        <w:rPr>
          <w:rFonts w:cs="Times New Roman"/>
          <w:sz w:val="24"/>
        </w:rPr>
        <w:t xml:space="preserve"> Gap: Effects of U.S. agreements and partnerships in Panama and ongoing violations of the Covenant</w:t>
      </w:r>
      <w:bookmarkEnd w:id="61"/>
    </w:p>
    <w:p w14:paraId="20A2B342" w14:textId="55A69FF8" w:rsidR="000362C9" w:rsidRPr="00966BD1" w:rsidRDefault="000362C9" w:rsidP="00E54A68">
      <w:pPr>
        <w:pStyle w:val="ListParagraph"/>
        <w:rPr>
          <w:sz w:val="24"/>
          <w:szCs w:val="24"/>
        </w:rPr>
      </w:pPr>
      <w:r w:rsidRPr="00966BD1">
        <w:rPr>
          <w:sz w:val="24"/>
          <w:szCs w:val="24"/>
        </w:rPr>
        <w:t xml:space="preserve">As reported to the Human Rights Committee and the Committee on the Elimination of Discrimination Against Women in the Committee’s recent reviews of Panama, people in transnational migration through the </w:t>
      </w:r>
      <w:r w:rsidR="006B4347">
        <w:rPr>
          <w:sz w:val="24"/>
          <w:szCs w:val="24"/>
        </w:rPr>
        <w:t>Darién</w:t>
      </w:r>
      <w:r w:rsidRPr="00966BD1">
        <w:rPr>
          <w:sz w:val="24"/>
          <w:szCs w:val="24"/>
        </w:rPr>
        <w:t xml:space="preserve"> Gap are subjected to deprivations of life and sexual and gender-based violence. As Haitian Bridge Alliance documented to the Committees, Black women and girls transiting the country </w:t>
      </w:r>
      <w:r w:rsidR="00DA0A5D">
        <w:rPr>
          <w:sz w:val="24"/>
          <w:szCs w:val="24"/>
        </w:rPr>
        <w:t xml:space="preserve">are </w:t>
      </w:r>
      <w:r w:rsidRPr="00966BD1">
        <w:rPr>
          <w:sz w:val="24"/>
          <w:szCs w:val="24"/>
        </w:rPr>
        <w:t>subjected to sexual assault, in addition to reported killings and other serious human rights abuses, and a lack of access to justice for harms suffered.</w:t>
      </w:r>
      <w:r w:rsidRPr="00966BD1">
        <w:rPr>
          <w:rStyle w:val="EndnoteReference"/>
          <w:sz w:val="24"/>
          <w:szCs w:val="24"/>
        </w:rPr>
        <w:endnoteReference w:id="139"/>
      </w:r>
    </w:p>
    <w:p w14:paraId="0C0EC612" w14:textId="4FB57175" w:rsidR="000362C9" w:rsidRPr="00966BD1" w:rsidRDefault="000362C9" w:rsidP="00E54A68">
      <w:pPr>
        <w:pStyle w:val="ListParagraph"/>
        <w:rPr>
          <w:sz w:val="24"/>
          <w:szCs w:val="24"/>
        </w:rPr>
      </w:pPr>
      <w:r w:rsidRPr="00966BD1">
        <w:rPr>
          <w:sz w:val="24"/>
          <w:szCs w:val="24"/>
        </w:rPr>
        <w:t xml:space="preserve">Since at least the 2010 Earthquake in Haiti, the </w:t>
      </w:r>
      <w:r w:rsidR="006B4347">
        <w:rPr>
          <w:sz w:val="24"/>
          <w:szCs w:val="24"/>
        </w:rPr>
        <w:t>Darién</w:t>
      </w:r>
      <w:r w:rsidRPr="00966BD1">
        <w:rPr>
          <w:sz w:val="24"/>
          <w:szCs w:val="24"/>
        </w:rPr>
        <w:t xml:space="preserve"> Gap has increasingly become a passageway for transnational migration, including for Black women and girls.</w:t>
      </w:r>
      <w:r w:rsidRPr="00966BD1">
        <w:rPr>
          <w:rStyle w:val="EndnoteReference"/>
          <w:sz w:val="24"/>
          <w:szCs w:val="24"/>
        </w:rPr>
        <w:endnoteReference w:id="140"/>
      </w:r>
      <w:r w:rsidRPr="00966BD1">
        <w:rPr>
          <w:sz w:val="24"/>
          <w:szCs w:val="24"/>
        </w:rPr>
        <w:t xml:space="preserve"> The region becoming this pathway was partly in response to the lack of legal pathways created by U.S. Prevention through Deterrence policy and practices through the above-named and ongoing maritime interdictions, increasing pushbacks at the U.S. border, border militarization, detention, and refoulement practices. </w:t>
      </w:r>
    </w:p>
    <w:p w14:paraId="19E11D76" w14:textId="51C8C6AC" w:rsidR="000362C9" w:rsidRPr="00966BD1" w:rsidRDefault="000362C9" w:rsidP="00045DB9">
      <w:pPr>
        <w:pStyle w:val="ListParagraph"/>
        <w:rPr>
          <w:sz w:val="24"/>
          <w:szCs w:val="24"/>
        </w:rPr>
      </w:pPr>
      <w:r w:rsidRPr="00966BD1">
        <w:rPr>
          <w:sz w:val="24"/>
          <w:szCs w:val="24"/>
        </w:rPr>
        <w:t xml:space="preserve">An HBA-led delegation of U.S. civil society organizations in October 2022 witnessed the huge humanitarian and legal need for people transiting through the </w:t>
      </w:r>
      <w:r w:rsidR="006B4347">
        <w:rPr>
          <w:sz w:val="24"/>
          <w:szCs w:val="24"/>
        </w:rPr>
        <w:t>Darién</w:t>
      </w:r>
      <w:r w:rsidRPr="00966BD1">
        <w:rPr>
          <w:sz w:val="24"/>
          <w:szCs w:val="24"/>
        </w:rPr>
        <w:t xml:space="preserve"> Gap, from </w:t>
      </w:r>
      <w:r w:rsidR="003F5B74">
        <w:rPr>
          <w:sz w:val="24"/>
          <w:szCs w:val="24"/>
        </w:rPr>
        <w:t>Colombia</w:t>
      </w:r>
      <w:r w:rsidRPr="00966BD1">
        <w:rPr>
          <w:sz w:val="24"/>
          <w:szCs w:val="24"/>
        </w:rPr>
        <w:t xml:space="preserve"> to Panama, and ultimately to the </w:t>
      </w:r>
      <w:r>
        <w:rPr>
          <w:sz w:val="24"/>
          <w:szCs w:val="24"/>
        </w:rPr>
        <w:t>U.S.</w:t>
      </w:r>
      <w:r w:rsidRPr="00966BD1">
        <w:rPr>
          <w:sz w:val="24"/>
          <w:szCs w:val="24"/>
        </w:rPr>
        <w:t>-Mexico border. Black women and girls are at the epicenter of the structural violence caused by the U.S.’s externalization of Prevention through Deterrence border control policies and practices without regard to violations of the Covenant’s prohibition against non-refoulement or recognition of its applications in extraterritorial obligations when the State exerts effective control.</w:t>
      </w:r>
      <w:r>
        <w:rPr>
          <w:rStyle w:val="EndnoteReference"/>
          <w:sz w:val="24"/>
          <w:szCs w:val="24"/>
        </w:rPr>
        <w:endnoteReference w:id="141"/>
      </w:r>
      <w:r w:rsidRPr="00966BD1">
        <w:rPr>
          <w:sz w:val="24"/>
          <w:szCs w:val="24"/>
        </w:rPr>
        <w:t xml:space="preserve"> </w:t>
      </w:r>
    </w:p>
    <w:p w14:paraId="4DC304B1" w14:textId="04097B9C" w:rsidR="000362C9" w:rsidRPr="00966BD1" w:rsidRDefault="000362C9" w:rsidP="004A3B4F">
      <w:pPr>
        <w:pStyle w:val="ListParagraph"/>
        <w:rPr>
          <w:sz w:val="24"/>
          <w:szCs w:val="24"/>
        </w:rPr>
      </w:pPr>
      <w:r w:rsidRPr="00966BD1">
        <w:rPr>
          <w:sz w:val="24"/>
          <w:szCs w:val="24"/>
        </w:rPr>
        <w:t xml:space="preserve">The Panamanian and U.S. governments’ collusion to track and stop migration to the </w:t>
      </w:r>
      <w:r>
        <w:rPr>
          <w:sz w:val="24"/>
          <w:szCs w:val="24"/>
        </w:rPr>
        <w:t>U.S.</w:t>
      </w:r>
      <w:r w:rsidRPr="00966BD1">
        <w:rPr>
          <w:sz w:val="24"/>
          <w:szCs w:val="24"/>
        </w:rPr>
        <w:t xml:space="preserve"> has extended to restriction of humanitarian relief. The U.S. routinely leans on information-sharing by the Panamanian authorities to deny access to parole programs to Cubans, Haitians, Nicaraguans, and Venezuelans who cross into Panama without authorization.</w:t>
      </w:r>
      <w:r w:rsidRPr="00966BD1">
        <w:rPr>
          <w:rStyle w:val="EndnoteReference"/>
          <w:sz w:val="24"/>
          <w:szCs w:val="24"/>
        </w:rPr>
        <w:endnoteReference w:id="142"/>
      </w:r>
      <w:r w:rsidRPr="00966BD1">
        <w:rPr>
          <w:sz w:val="24"/>
          <w:szCs w:val="24"/>
        </w:rPr>
        <w:t> </w:t>
      </w:r>
    </w:p>
    <w:p w14:paraId="4F34A39F" w14:textId="1BFE0135" w:rsidR="000362C9" w:rsidRDefault="000362C9" w:rsidP="00266478">
      <w:pPr>
        <w:pStyle w:val="ListParagraph"/>
        <w:rPr>
          <w:sz w:val="24"/>
          <w:szCs w:val="24"/>
        </w:rPr>
      </w:pPr>
      <w:r w:rsidRPr="00DA0A5D">
        <w:rPr>
          <w:sz w:val="24"/>
          <w:szCs w:val="24"/>
        </w:rPr>
        <w:t xml:space="preserve">The U.S. is obligated to guarantee rights under the Covenant to the extent that it exerts effective control on people migrating through Panama’s </w:t>
      </w:r>
      <w:r w:rsidR="006B4347">
        <w:rPr>
          <w:sz w:val="24"/>
          <w:szCs w:val="24"/>
        </w:rPr>
        <w:t>Darién</w:t>
      </w:r>
      <w:r w:rsidRPr="00DA0A5D">
        <w:rPr>
          <w:sz w:val="24"/>
          <w:szCs w:val="24"/>
        </w:rPr>
        <w:t xml:space="preserve"> Gap. </w:t>
      </w:r>
    </w:p>
    <w:p w14:paraId="313BD6DF" w14:textId="77777777" w:rsidR="00366B52" w:rsidRPr="00DA0A5D" w:rsidRDefault="00366B52" w:rsidP="00366B52">
      <w:pPr>
        <w:pStyle w:val="ListParagraph"/>
        <w:numPr>
          <w:ilvl w:val="0"/>
          <w:numId w:val="0"/>
        </w:numPr>
        <w:ind w:left="720"/>
        <w:rPr>
          <w:sz w:val="24"/>
          <w:szCs w:val="24"/>
        </w:rPr>
      </w:pPr>
    </w:p>
    <w:p w14:paraId="29E0764E" w14:textId="77777777" w:rsidR="000362C9" w:rsidRPr="00966BD1" w:rsidRDefault="000362C9" w:rsidP="00966BD1">
      <w:pPr>
        <w:pStyle w:val="Heading1"/>
        <w:ind w:left="720"/>
        <w:rPr>
          <w:sz w:val="24"/>
          <w:szCs w:val="24"/>
        </w:rPr>
      </w:pPr>
      <w:bookmarkStart w:id="62" w:name="_Toc145307890"/>
      <w:r w:rsidRPr="00966BD1">
        <w:rPr>
          <w:sz w:val="24"/>
          <w:szCs w:val="24"/>
        </w:rPr>
        <w:lastRenderedPageBreak/>
        <w:t>Foreign nationals subject to violations through the U.S. Prevention through Deterrence policies and practices do not have the right to an effective legal remedy as guaranteed under the Covenant.</w:t>
      </w:r>
      <w:bookmarkEnd w:id="62"/>
    </w:p>
    <w:p w14:paraId="35060F5F" w14:textId="039BBC48" w:rsidR="000362C9" w:rsidRPr="00ED2E68" w:rsidRDefault="000362C9" w:rsidP="00147588">
      <w:pPr>
        <w:pStyle w:val="ListParagraph"/>
        <w:rPr>
          <w:sz w:val="24"/>
          <w:szCs w:val="24"/>
        </w:rPr>
      </w:pPr>
      <w:bookmarkStart w:id="63" w:name="_Toc143210383"/>
      <w:r w:rsidRPr="00966BD1">
        <w:rPr>
          <w:sz w:val="24"/>
          <w:szCs w:val="24"/>
        </w:rPr>
        <w:t>Article XIV of the Covenant guarantees the right to access courts, tribunals and equality before them, irrespective of nationality or status.</w:t>
      </w:r>
      <w:r w:rsidRPr="00966BD1">
        <w:rPr>
          <w:rStyle w:val="EndnoteReference"/>
          <w:sz w:val="24"/>
          <w:szCs w:val="24"/>
        </w:rPr>
        <w:endnoteReference w:id="143"/>
      </w:r>
      <w:r w:rsidRPr="00966BD1">
        <w:rPr>
          <w:sz w:val="24"/>
          <w:szCs w:val="24"/>
        </w:rPr>
        <w:t xml:space="preserve"> </w:t>
      </w:r>
      <w:r w:rsidRPr="00ED2E68">
        <w:rPr>
          <w:sz w:val="24"/>
          <w:szCs w:val="24"/>
        </w:rPr>
        <w:t>However, the U.S. does not fulfill this obligation through its mandatory detention provisions on foreign nationals</w:t>
      </w:r>
      <w:r w:rsidR="00DA0A5D">
        <w:rPr>
          <w:sz w:val="24"/>
          <w:szCs w:val="24"/>
        </w:rPr>
        <w:t xml:space="preserve"> and its</w:t>
      </w:r>
      <w:r w:rsidRPr="00ED2E68">
        <w:rPr>
          <w:sz w:val="24"/>
          <w:szCs w:val="24"/>
        </w:rPr>
        <w:t xml:space="preserve"> ongoing refoulement of foreign nationals</w:t>
      </w:r>
      <w:r w:rsidR="00DA0A5D">
        <w:rPr>
          <w:sz w:val="24"/>
          <w:szCs w:val="24"/>
        </w:rPr>
        <w:t>. Both</w:t>
      </w:r>
      <w:r w:rsidRPr="00ED2E68">
        <w:rPr>
          <w:sz w:val="24"/>
          <w:szCs w:val="24"/>
        </w:rPr>
        <w:t xml:space="preserve"> a</w:t>
      </w:r>
      <w:r w:rsidR="00DA0A5D">
        <w:rPr>
          <w:sz w:val="24"/>
          <w:szCs w:val="24"/>
        </w:rPr>
        <w:t xml:space="preserve">re </w:t>
      </w:r>
      <w:r w:rsidRPr="00ED2E68">
        <w:rPr>
          <w:sz w:val="24"/>
          <w:szCs w:val="24"/>
        </w:rPr>
        <w:t xml:space="preserve">legislative </w:t>
      </w:r>
      <w:r w:rsidR="00DA0A5D">
        <w:rPr>
          <w:sz w:val="24"/>
          <w:szCs w:val="24"/>
        </w:rPr>
        <w:t>policies</w:t>
      </w:r>
      <w:r w:rsidRPr="00ED2E68">
        <w:rPr>
          <w:sz w:val="24"/>
          <w:szCs w:val="24"/>
        </w:rPr>
        <w:t xml:space="preserve">, upheld by the judicial branch, and supported by the executive branch. </w:t>
      </w:r>
    </w:p>
    <w:p w14:paraId="44888801" w14:textId="1927A2CB" w:rsidR="000362C9" w:rsidRPr="00966BD1" w:rsidRDefault="000362C9" w:rsidP="00C669EF">
      <w:pPr>
        <w:pStyle w:val="Heading2"/>
        <w:numPr>
          <w:ilvl w:val="0"/>
          <w:numId w:val="45"/>
        </w:numPr>
        <w:ind w:left="1800"/>
        <w:rPr>
          <w:rFonts w:cs="Times New Roman"/>
          <w:sz w:val="24"/>
          <w:szCs w:val="24"/>
        </w:rPr>
      </w:pPr>
      <w:bookmarkStart w:id="64" w:name="_Toc145307891"/>
      <w:bookmarkStart w:id="65" w:name="_Toc143210385"/>
      <w:r w:rsidRPr="00966BD1">
        <w:rPr>
          <w:rFonts w:cs="Times New Roman"/>
          <w:sz w:val="24"/>
          <w:szCs w:val="24"/>
        </w:rPr>
        <w:t xml:space="preserve">Access to justice </w:t>
      </w:r>
      <w:bookmarkStart w:id="66" w:name="_Hlk145416073"/>
      <w:r w:rsidRPr="00966BD1">
        <w:rPr>
          <w:rFonts w:cs="Times New Roman"/>
          <w:sz w:val="24"/>
          <w:szCs w:val="24"/>
        </w:rPr>
        <w:t>for violation of prohibition against refoulement and harms occurring outside of State’s territory.</w:t>
      </w:r>
      <w:bookmarkEnd w:id="64"/>
    </w:p>
    <w:bookmarkEnd w:id="66"/>
    <w:p w14:paraId="1A3E68F8" w14:textId="3DAEF1F0" w:rsidR="000362C9" w:rsidRPr="00ED2E68" w:rsidRDefault="00EB5ED8" w:rsidP="00936D09">
      <w:pPr>
        <w:pStyle w:val="ListParagraph"/>
        <w:rPr>
          <w:sz w:val="24"/>
          <w:szCs w:val="24"/>
        </w:rPr>
      </w:pPr>
      <w:r w:rsidRPr="00266478">
        <w:rPr>
          <w:sz w:val="24"/>
          <w:szCs w:val="24"/>
        </w:rPr>
        <w:t>Non-refoulement</w:t>
      </w:r>
      <w:r w:rsidR="000362C9" w:rsidRPr="00966BD1">
        <w:rPr>
          <w:sz w:val="24"/>
          <w:szCs w:val="24"/>
        </w:rPr>
        <w:t xml:space="preserve"> has been described as the cornerstone of refugee law, enshrined in Article 33 of the 1951 Refugee Convention. It guarantees that no one should be returned to a country where they would face torture, cruel, inhuman, or degrading treatment or punishment and other irreparable harm. The Human Rights Committee has found a right </w:t>
      </w:r>
      <w:r w:rsidR="000362C9" w:rsidRPr="007F56B2">
        <w:rPr>
          <w:sz w:val="24"/>
          <w:szCs w:val="24"/>
        </w:rPr>
        <w:t xml:space="preserve">of </w:t>
      </w:r>
      <w:r w:rsidRPr="00266478">
        <w:rPr>
          <w:sz w:val="24"/>
          <w:szCs w:val="24"/>
        </w:rPr>
        <w:t>non-refoulement</w:t>
      </w:r>
      <w:r w:rsidR="000362C9" w:rsidRPr="007F56B2">
        <w:rPr>
          <w:sz w:val="24"/>
          <w:szCs w:val="24"/>
        </w:rPr>
        <w:t xml:space="preserve"> to be implicit in its provisions</w:t>
      </w:r>
      <w:r w:rsidR="000362C9" w:rsidRPr="007F56B2">
        <w:rPr>
          <w:sz w:val="24"/>
          <w:szCs w:val="24"/>
          <w:vertAlign w:val="superscript"/>
        </w:rPr>
        <w:t xml:space="preserve"> </w:t>
      </w:r>
      <w:r w:rsidR="000362C9" w:rsidRPr="007F56B2">
        <w:rPr>
          <w:sz w:val="24"/>
          <w:szCs w:val="24"/>
        </w:rPr>
        <w:t xml:space="preserve">where individuals face a real risk of their rights under the </w:t>
      </w:r>
      <w:r w:rsidR="005E7016">
        <w:rPr>
          <w:sz w:val="24"/>
          <w:szCs w:val="24"/>
        </w:rPr>
        <w:t>Covenant</w:t>
      </w:r>
      <w:r w:rsidR="005E7016" w:rsidRPr="007F56B2">
        <w:rPr>
          <w:sz w:val="24"/>
          <w:szCs w:val="24"/>
        </w:rPr>
        <w:t xml:space="preserve"> </w:t>
      </w:r>
      <w:r w:rsidR="000362C9" w:rsidRPr="007F56B2">
        <w:rPr>
          <w:sz w:val="24"/>
          <w:szCs w:val="24"/>
        </w:rPr>
        <w:t>being violated upon return to another country.</w:t>
      </w:r>
      <w:r w:rsidR="000362C9" w:rsidRPr="007F56B2">
        <w:rPr>
          <w:rStyle w:val="EndnoteReference"/>
          <w:color w:val="000000" w:themeColor="text1"/>
          <w:sz w:val="24"/>
          <w:szCs w:val="24"/>
        </w:rPr>
        <w:endnoteReference w:id="144"/>
      </w:r>
      <w:r w:rsidR="000362C9" w:rsidRPr="007F56B2">
        <w:rPr>
          <w:sz w:val="24"/>
          <w:szCs w:val="24"/>
        </w:rPr>
        <w:t xml:space="preserve"> </w:t>
      </w:r>
      <w:r w:rsidR="000362C9" w:rsidRPr="007F56B2">
        <w:rPr>
          <w:rFonts w:eastAsia="Times New Roman"/>
          <w:sz w:val="24"/>
          <w:szCs w:val="24"/>
        </w:rPr>
        <w:t>This protection would include</w:t>
      </w:r>
      <w:r w:rsidR="000362C9" w:rsidRPr="007F56B2">
        <w:rPr>
          <w:sz w:val="24"/>
          <w:szCs w:val="24"/>
        </w:rPr>
        <w:t xml:space="preserve">—as nearly all interpretations of the scope of </w:t>
      </w:r>
      <w:r w:rsidRPr="00266478">
        <w:rPr>
          <w:sz w:val="24"/>
          <w:szCs w:val="24"/>
        </w:rPr>
        <w:t>non-refoulement</w:t>
      </w:r>
      <w:r w:rsidR="000362C9" w:rsidRPr="007F56B2">
        <w:rPr>
          <w:sz w:val="24"/>
          <w:szCs w:val="24"/>
        </w:rPr>
        <w:t xml:space="preserve"> do—</w:t>
      </w:r>
      <w:r w:rsidR="000362C9" w:rsidRPr="007F56B2">
        <w:rPr>
          <w:rFonts w:eastAsia="Times New Roman"/>
          <w:sz w:val="24"/>
          <w:szCs w:val="24"/>
        </w:rPr>
        <w:t>a</w:t>
      </w:r>
      <w:r w:rsidR="000362C9" w:rsidRPr="00966BD1">
        <w:rPr>
          <w:rFonts w:eastAsia="Times New Roman"/>
          <w:sz w:val="24"/>
          <w:szCs w:val="24"/>
        </w:rPr>
        <w:t xml:space="preserve"> prohibition on rejection at the frontier or pushback operations because, to the </w:t>
      </w:r>
      <w:r w:rsidR="007F56B2">
        <w:rPr>
          <w:rFonts w:eastAsia="Times New Roman"/>
          <w:sz w:val="24"/>
          <w:szCs w:val="24"/>
        </w:rPr>
        <w:t>Committee</w:t>
      </w:r>
      <w:r w:rsidR="000362C9" w:rsidRPr="00966BD1">
        <w:rPr>
          <w:rFonts w:eastAsia="Times New Roman"/>
          <w:sz w:val="24"/>
          <w:szCs w:val="24"/>
        </w:rPr>
        <w:t xml:space="preserve">, the </w:t>
      </w:r>
      <w:r w:rsidR="005E7016">
        <w:rPr>
          <w:rFonts w:eastAsia="Times New Roman"/>
          <w:sz w:val="24"/>
          <w:szCs w:val="24"/>
        </w:rPr>
        <w:t>Covenant</w:t>
      </w:r>
      <w:r w:rsidR="005E7016" w:rsidRPr="00966BD1">
        <w:rPr>
          <w:rFonts w:eastAsia="Times New Roman"/>
          <w:sz w:val="24"/>
          <w:szCs w:val="24"/>
        </w:rPr>
        <w:t xml:space="preserve"> </w:t>
      </w:r>
      <w:r w:rsidR="000362C9" w:rsidRPr="00966BD1">
        <w:rPr>
          <w:rFonts w:eastAsia="Times New Roman"/>
          <w:sz w:val="24"/>
          <w:szCs w:val="24"/>
        </w:rPr>
        <w:t>applies wherever a State exercises jurisdiction or effective control over an individual.</w:t>
      </w:r>
      <w:r w:rsidR="000362C9" w:rsidRPr="00966BD1">
        <w:rPr>
          <w:rStyle w:val="EndnoteReference"/>
          <w:rFonts w:eastAsia="Times New Roman"/>
          <w:color w:val="000000" w:themeColor="text1"/>
          <w:sz w:val="24"/>
          <w:szCs w:val="24"/>
        </w:rPr>
        <w:endnoteReference w:id="145"/>
      </w:r>
      <w:r w:rsidR="000362C9" w:rsidRPr="00966BD1">
        <w:rPr>
          <w:sz w:val="24"/>
          <w:szCs w:val="24"/>
        </w:rPr>
        <w:t xml:space="preserve"> </w:t>
      </w:r>
      <w:r w:rsidR="000362C9" w:rsidRPr="00966BD1">
        <w:rPr>
          <w:rFonts w:eastAsia="Times New Roman"/>
          <w:sz w:val="24"/>
          <w:szCs w:val="24"/>
        </w:rPr>
        <w:t xml:space="preserve">International tribunals have long accepted that a State’s human rights obligations accrue wherever that State </w:t>
      </w:r>
      <w:r w:rsidR="000362C9" w:rsidRPr="00966BD1">
        <w:rPr>
          <w:sz w:val="24"/>
          <w:szCs w:val="24"/>
        </w:rPr>
        <w:t>exercises de facto control over the person.</w:t>
      </w:r>
      <w:r w:rsidR="000362C9" w:rsidRPr="00966BD1">
        <w:rPr>
          <w:rStyle w:val="EndnoteReference"/>
          <w:color w:val="000000" w:themeColor="text1"/>
          <w:sz w:val="24"/>
          <w:szCs w:val="24"/>
        </w:rPr>
        <w:endnoteReference w:id="146"/>
      </w:r>
      <w:r w:rsidR="000362C9" w:rsidRPr="00966BD1">
        <w:rPr>
          <w:i/>
          <w:iCs/>
          <w:sz w:val="24"/>
          <w:szCs w:val="24"/>
        </w:rPr>
        <w:t xml:space="preserve"> </w:t>
      </w:r>
      <w:r w:rsidR="005F1902">
        <w:rPr>
          <w:sz w:val="24"/>
          <w:szCs w:val="24"/>
        </w:rPr>
        <w:t>T</w:t>
      </w:r>
      <w:r w:rsidR="000362C9" w:rsidRPr="00966BD1">
        <w:rPr>
          <w:sz w:val="24"/>
          <w:szCs w:val="24"/>
        </w:rPr>
        <w:t xml:space="preserve">ribunals have used </w:t>
      </w:r>
      <w:r w:rsidR="005F1902">
        <w:rPr>
          <w:sz w:val="24"/>
          <w:szCs w:val="24"/>
        </w:rPr>
        <w:t>this reasoning</w:t>
      </w:r>
      <w:r w:rsidR="000362C9" w:rsidRPr="00966BD1">
        <w:rPr>
          <w:sz w:val="24"/>
          <w:szCs w:val="24"/>
        </w:rPr>
        <w:t xml:space="preserve"> to denounce pushbacks on the high seas</w:t>
      </w:r>
      <w:r w:rsidR="002A0886">
        <w:rPr>
          <w:sz w:val="24"/>
          <w:szCs w:val="24"/>
        </w:rPr>
        <w:t xml:space="preserve"> and </w:t>
      </w:r>
      <w:r w:rsidR="000362C9" w:rsidRPr="00966BD1">
        <w:rPr>
          <w:sz w:val="24"/>
          <w:szCs w:val="24"/>
        </w:rPr>
        <w:t>at the border.</w:t>
      </w:r>
      <w:r w:rsidR="000362C9" w:rsidRPr="00966BD1">
        <w:rPr>
          <w:rStyle w:val="EndnoteReference"/>
          <w:color w:val="000000" w:themeColor="text1"/>
          <w:sz w:val="24"/>
          <w:szCs w:val="24"/>
        </w:rPr>
        <w:endnoteReference w:id="147"/>
      </w:r>
      <w:r w:rsidR="000362C9" w:rsidRPr="00966BD1">
        <w:rPr>
          <w:sz w:val="24"/>
          <w:szCs w:val="24"/>
        </w:rPr>
        <w:t xml:space="preserve"> </w:t>
      </w:r>
    </w:p>
    <w:p w14:paraId="44D655B2" w14:textId="701F0A4C" w:rsidR="000362C9" w:rsidRPr="00B2364A" w:rsidRDefault="000362C9" w:rsidP="00C669EF">
      <w:pPr>
        <w:pStyle w:val="ListParagraph"/>
        <w:rPr>
          <w:sz w:val="24"/>
          <w:szCs w:val="24"/>
        </w:rPr>
      </w:pPr>
      <w:r w:rsidRPr="00966BD1">
        <w:rPr>
          <w:sz w:val="24"/>
          <w:szCs w:val="24"/>
        </w:rPr>
        <w:t>However, in 1993</w:t>
      </w:r>
      <w:r>
        <w:rPr>
          <w:sz w:val="24"/>
          <w:szCs w:val="24"/>
        </w:rPr>
        <w:t xml:space="preserve"> i</w:t>
      </w:r>
      <w:r w:rsidRPr="00966BD1">
        <w:rPr>
          <w:sz w:val="24"/>
          <w:szCs w:val="24"/>
        </w:rPr>
        <w:t xml:space="preserve">n </w:t>
      </w:r>
      <w:r w:rsidRPr="00966BD1">
        <w:rPr>
          <w:i/>
          <w:iCs/>
          <w:sz w:val="24"/>
          <w:szCs w:val="24"/>
        </w:rPr>
        <w:t>Sale v. Haitian Centers Council, Inc</w:t>
      </w:r>
      <w:r w:rsidRPr="00966BD1">
        <w:rPr>
          <w:sz w:val="24"/>
          <w:szCs w:val="24"/>
        </w:rPr>
        <w:t xml:space="preserve">., the </w:t>
      </w:r>
      <w:r>
        <w:rPr>
          <w:sz w:val="24"/>
          <w:szCs w:val="24"/>
        </w:rPr>
        <w:t>U.S.</w:t>
      </w:r>
      <w:r w:rsidRPr="00966BD1">
        <w:rPr>
          <w:sz w:val="24"/>
          <w:szCs w:val="24"/>
        </w:rPr>
        <w:t xml:space="preserve"> Supreme Court addressed the U.S. Coast Guard’s policy of interdicting (majority Haitian) migrants on the high seas and returning them to States where they were likely to face persecution.</w:t>
      </w:r>
      <w:r w:rsidRPr="00966BD1">
        <w:rPr>
          <w:rStyle w:val="EndnoteReference"/>
          <w:sz w:val="24"/>
          <w:szCs w:val="24"/>
        </w:rPr>
        <w:endnoteReference w:id="148"/>
      </w:r>
      <w:r w:rsidRPr="00966BD1">
        <w:rPr>
          <w:sz w:val="24"/>
          <w:szCs w:val="24"/>
        </w:rPr>
        <w:t xml:space="preserve"> </w:t>
      </w:r>
      <w:r w:rsidRPr="00966BD1">
        <w:rPr>
          <w:i/>
          <w:iCs/>
          <w:sz w:val="24"/>
          <w:szCs w:val="24"/>
        </w:rPr>
        <w:t>Sale</w:t>
      </w:r>
      <w:r w:rsidRPr="00966BD1">
        <w:rPr>
          <w:sz w:val="24"/>
          <w:szCs w:val="24"/>
        </w:rPr>
        <w:t xml:space="preserve"> held that Article 33 was silent on whether </w:t>
      </w:r>
      <w:r w:rsidRPr="00B2364A">
        <w:rPr>
          <w:sz w:val="24"/>
          <w:szCs w:val="24"/>
        </w:rPr>
        <w:t xml:space="preserve">the </w:t>
      </w:r>
      <w:r w:rsidR="00EB5ED8" w:rsidRPr="00B2364A">
        <w:rPr>
          <w:sz w:val="24"/>
          <w:szCs w:val="24"/>
        </w:rPr>
        <w:t>non-refoulement</w:t>
      </w:r>
      <w:r w:rsidRPr="00B2364A">
        <w:rPr>
          <w:sz w:val="24"/>
          <w:szCs w:val="24"/>
        </w:rPr>
        <w:t xml:space="preserve"> language applied to protect migrants interdicted by the U.S. Coast Guard.</w:t>
      </w:r>
      <w:r w:rsidRPr="00B2364A">
        <w:rPr>
          <w:rStyle w:val="EndnoteReference"/>
          <w:sz w:val="24"/>
          <w:szCs w:val="24"/>
        </w:rPr>
        <w:endnoteReference w:id="149"/>
      </w:r>
      <w:r w:rsidRPr="00B2364A">
        <w:rPr>
          <w:sz w:val="24"/>
          <w:szCs w:val="24"/>
        </w:rPr>
        <w:t xml:space="preserve"> </w:t>
      </w:r>
    </w:p>
    <w:p w14:paraId="26702148" w14:textId="0C519374" w:rsidR="005E7016" w:rsidRDefault="000362C9" w:rsidP="00FB05F0">
      <w:pPr>
        <w:pStyle w:val="ListParagraph"/>
        <w:ind w:hanging="450"/>
        <w:rPr>
          <w:sz w:val="24"/>
          <w:szCs w:val="24"/>
        </w:rPr>
      </w:pPr>
      <w:r w:rsidRPr="00B2364A">
        <w:rPr>
          <w:sz w:val="24"/>
          <w:szCs w:val="24"/>
        </w:rPr>
        <w:t xml:space="preserve">The UNHCR called Sale “a setback to modern international refugee law.” By the time Sale reached the Supreme Court in 1993, leading human rights organizations had made non-rejection at the frontier an essential part of </w:t>
      </w:r>
      <w:r w:rsidR="00EB5ED8" w:rsidRPr="00B2364A">
        <w:rPr>
          <w:sz w:val="24"/>
          <w:szCs w:val="24"/>
        </w:rPr>
        <w:t>non-refoulement</w:t>
      </w:r>
      <w:r w:rsidRPr="00B2364A">
        <w:rPr>
          <w:sz w:val="24"/>
          <w:szCs w:val="24"/>
        </w:rPr>
        <w:t>.</w:t>
      </w:r>
      <w:r w:rsidRPr="00966BD1">
        <w:rPr>
          <w:rStyle w:val="EndnoteReference"/>
          <w:color w:val="000000" w:themeColor="text1"/>
          <w:sz w:val="24"/>
          <w:szCs w:val="24"/>
        </w:rPr>
        <w:endnoteReference w:id="150"/>
      </w:r>
      <w:r w:rsidRPr="00966BD1">
        <w:rPr>
          <w:sz w:val="24"/>
          <w:szCs w:val="24"/>
        </w:rPr>
        <w:t xml:space="preserve"> Although </w:t>
      </w:r>
      <w:r w:rsidRPr="00966BD1">
        <w:rPr>
          <w:i/>
          <w:iCs/>
          <w:sz w:val="24"/>
          <w:szCs w:val="24"/>
        </w:rPr>
        <w:t>Sale</w:t>
      </w:r>
      <w:r w:rsidRPr="00966BD1">
        <w:rPr>
          <w:sz w:val="24"/>
          <w:szCs w:val="24"/>
        </w:rPr>
        <w:t xml:space="preserve"> read Article 33(1) not to include non-rejection at the frontier, th</w:t>
      </w:r>
      <w:r w:rsidR="005E7016">
        <w:rPr>
          <w:sz w:val="24"/>
          <w:szCs w:val="24"/>
        </w:rPr>
        <w:t>e IACHR immediately d</w:t>
      </w:r>
      <w:r w:rsidRPr="00966BD1">
        <w:rPr>
          <w:sz w:val="24"/>
          <w:szCs w:val="24"/>
        </w:rPr>
        <w:t>isagreed with</w:t>
      </w:r>
      <w:r w:rsidR="005E7016">
        <w:rPr>
          <w:sz w:val="24"/>
          <w:szCs w:val="24"/>
        </w:rPr>
        <w:t xml:space="preserve"> Court’s ruling</w:t>
      </w:r>
      <w:r w:rsidRPr="00966BD1">
        <w:rPr>
          <w:sz w:val="24"/>
          <w:szCs w:val="24"/>
        </w:rPr>
        <w:t xml:space="preserve"> in </w:t>
      </w:r>
      <w:r w:rsidRPr="00966BD1">
        <w:rPr>
          <w:i/>
          <w:iCs/>
          <w:sz w:val="24"/>
          <w:szCs w:val="24"/>
        </w:rPr>
        <w:t>Haitian Centre for Human Right</w:t>
      </w:r>
      <w:r>
        <w:rPr>
          <w:i/>
          <w:iCs/>
          <w:sz w:val="24"/>
          <w:szCs w:val="24"/>
        </w:rPr>
        <w:t xml:space="preserve">s </w:t>
      </w:r>
      <w:r w:rsidRPr="00966BD1">
        <w:rPr>
          <w:i/>
          <w:iCs/>
          <w:sz w:val="24"/>
          <w:szCs w:val="24"/>
        </w:rPr>
        <w:t>v. United States</w:t>
      </w:r>
      <w:r w:rsidRPr="00966BD1">
        <w:rPr>
          <w:sz w:val="24"/>
          <w:szCs w:val="24"/>
        </w:rPr>
        <w:t>.</w:t>
      </w:r>
      <w:r w:rsidRPr="00966BD1">
        <w:rPr>
          <w:rStyle w:val="EndnoteReference"/>
          <w:color w:val="000000" w:themeColor="text1"/>
          <w:sz w:val="24"/>
          <w:szCs w:val="24"/>
        </w:rPr>
        <w:endnoteReference w:id="151"/>
      </w:r>
      <w:r w:rsidRPr="00966BD1">
        <w:rPr>
          <w:sz w:val="24"/>
          <w:szCs w:val="24"/>
        </w:rPr>
        <w:t xml:space="preserve"> The Executive Committee of the UN High Commissioner for Refugees has stated that the “duty not to </w:t>
      </w:r>
      <w:proofErr w:type="spellStart"/>
      <w:r w:rsidRPr="00966BD1">
        <w:rPr>
          <w:i/>
          <w:iCs/>
          <w:sz w:val="24"/>
          <w:szCs w:val="24"/>
        </w:rPr>
        <w:t>refoule</w:t>
      </w:r>
      <w:proofErr w:type="spellEnd"/>
      <w:r w:rsidRPr="00966BD1">
        <w:rPr>
          <w:sz w:val="24"/>
          <w:szCs w:val="24"/>
        </w:rPr>
        <w:t>” is a prohibition against “any measure attributable to a State which could have the effect of returning an asylum-seeker or refugee to the frontiers of territories where his or her life or freedom would be threatened, or where he or she would risk persecution ... [including] rejection at the frontier . . .”.</w:t>
      </w:r>
      <w:r w:rsidRPr="00966BD1">
        <w:rPr>
          <w:rStyle w:val="EndnoteReference"/>
          <w:sz w:val="24"/>
          <w:szCs w:val="24"/>
        </w:rPr>
        <w:endnoteReference w:id="152"/>
      </w:r>
      <w:r w:rsidRPr="00966BD1">
        <w:rPr>
          <w:sz w:val="24"/>
          <w:szCs w:val="24"/>
        </w:rPr>
        <w:t xml:space="preserve"> </w:t>
      </w:r>
    </w:p>
    <w:p w14:paraId="32A240C0" w14:textId="022F9F68" w:rsidR="000362C9" w:rsidRPr="00ED2E68" w:rsidRDefault="000362C9" w:rsidP="00FB05F0">
      <w:pPr>
        <w:pStyle w:val="ListParagraph"/>
        <w:ind w:hanging="450"/>
        <w:rPr>
          <w:sz w:val="24"/>
          <w:szCs w:val="24"/>
        </w:rPr>
      </w:pPr>
      <w:r w:rsidRPr="00966BD1">
        <w:rPr>
          <w:sz w:val="24"/>
          <w:szCs w:val="24"/>
        </w:rPr>
        <w:t xml:space="preserve">International tribunals such as the European Court of Human Rights have consistently held </w:t>
      </w:r>
      <w:r w:rsidRPr="005E7016">
        <w:rPr>
          <w:sz w:val="24"/>
          <w:szCs w:val="24"/>
        </w:rPr>
        <w:t xml:space="preserve">that </w:t>
      </w:r>
      <w:r w:rsidR="00EB5ED8" w:rsidRPr="00266478">
        <w:rPr>
          <w:sz w:val="24"/>
          <w:szCs w:val="24"/>
        </w:rPr>
        <w:t>non-refoulement</w:t>
      </w:r>
      <w:r w:rsidRPr="005E7016">
        <w:rPr>
          <w:sz w:val="24"/>
          <w:szCs w:val="24"/>
        </w:rPr>
        <w:t xml:space="preserve"> encompasses non-rejection at the border.</w:t>
      </w:r>
      <w:r w:rsidRPr="005E7016">
        <w:rPr>
          <w:rStyle w:val="EndnoteReference"/>
          <w:color w:val="000000" w:themeColor="text1"/>
          <w:sz w:val="24"/>
          <w:szCs w:val="24"/>
        </w:rPr>
        <w:endnoteReference w:id="153"/>
      </w:r>
      <w:r w:rsidRPr="005E7016">
        <w:rPr>
          <w:sz w:val="24"/>
          <w:szCs w:val="24"/>
        </w:rPr>
        <w:t xml:space="preserve"> The Committee against </w:t>
      </w:r>
      <w:r w:rsidRPr="005E7016">
        <w:rPr>
          <w:sz w:val="24"/>
          <w:szCs w:val="24"/>
        </w:rPr>
        <w:lastRenderedPageBreak/>
        <w:t xml:space="preserve">Torture has interpreted the </w:t>
      </w:r>
      <w:r w:rsidR="005E7016">
        <w:rPr>
          <w:sz w:val="24"/>
          <w:szCs w:val="24"/>
        </w:rPr>
        <w:t>CAT</w:t>
      </w:r>
      <w:r w:rsidRPr="005E7016">
        <w:rPr>
          <w:sz w:val="24"/>
          <w:szCs w:val="24"/>
        </w:rPr>
        <w:t xml:space="preserve">’s </w:t>
      </w:r>
      <w:r w:rsidR="00EB5ED8" w:rsidRPr="00266478">
        <w:rPr>
          <w:sz w:val="24"/>
          <w:szCs w:val="24"/>
        </w:rPr>
        <w:t>non-refoulement</w:t>
      </w:r>
      <w:r w:rsidRPr="005E7016">
        <w:rPr>
          <w:sz w:val="24"/>
          <w:szCs w:val="24"/>
        </w:rPr>
        <w:t> mandate to include</w:t>
      </w:r>
      <w:r w:rsidRPr="00966BD1">
        <w:rPr>
          <w:sz w:val="24"/>
          <w:szCs w:val="24"/>
        </w:rPr>
        <w:t xml:space="preserve"> “rejection at the frontier and pushback operations.” A number of other international organizations have joined the chorus,</w:t>
      </w:r>
      <w:r w:rsidRPr="00966BD1">
        <w:rPr>
          <w:rStyle w:val="EndnoteReference"/>
          <w:color w:val="000000" w:themeColor="text1"/>
          <w:sz w:val="24"/>
          <w:szCs w:val="24"/>
        </w:rPr>
        <w:endnoteReference w:id="154"/>
      </w:r>
      <w:r w:rsidRPr="00966BD1">
        <w:rPr>
          <w:sz w:val="24"/>
          <w:szCs w:val="24"/>
        </w:rPr>
        <w:t xml:space="preserve"> and perhaps the strongest denouncement of rejection at the border comes from non-Western countries.</w:t>
      </w:r>
      <w:r w:rsidRPr="00966BD1">
        <w:rPr>
          <w:rStyle w:val="EndnoteReference"/>
          <w:color w:val="000000" w:themeColor="text1"/>
          <w:sz w:val="24"/>
          <w:szCs w:val="24"/>
        </w:rPr>
        <w:endnoteReference w:id="155"/>
      </w:r>
      <w:r w:rsidRPr="00966BD1">
        <w:rPr>
          <w:sz w:val="24"/>
          <w:szCs w:val="24"/>
        </w:rPr>
        <w:t xml:space="preserve"> The scholarship on this issue speaks definitively.</w:t>
      </w:r>
      <w:r w:rsidRPr="00966BD1">
        <w:rPr>
          <w:rStyle w:val="EndnoteReference"/>
          <w:color w:val="000000" w:themeColor="text1"/>
          <w:sz w:val="24"/>
          <w:szCs w:val="24"/>
        </w:rPr>
        <w:endnoteReference w:id="156"/>
      </w:r>
      <w:r w:rsidRPr="00966BD1">
        <w:rPr>
          <w:sz w:val="24"/>
          <w:szCs w:val="24"/>
        </w:rPr>
        <w:t xml:space="preserve"> </w:t>
      </w:r>
      <w:r w:rsidR="005E7016">
        <w:rPr>
          <w:sz w:val="24"/>
          <w:szCs w:val="24"/>
        </w:rPr>
        <w:t>I</w:t>
      </w:r>
      <w:r w:rsidRPr="00ED2E68">
        <w:rPr>
          <w:sz w:val="24"/>
          <w:szCs w:val="24"/>
        </w:rPr>
        <w:t>n a recent report to the Human Rights Council, the Special Rapporteur on the Human Rights of Migrants, Felipe González Morales said that States must unequivocally put an end to pushback practices.</w:t>
      </w:r>
      <w:r w:rsidR="005E7016" w:rsidRPr="005E7016">
        <w:rPr>
          <w:rStyle w:val="EndnoteReference"/>
          <w:color w:val="000000" w:themeColor="text1"/>
          <w:sz w:val="24"/>
          <w:szCs w:val="24"/>
        </w:rPr>
        <w:t xml:space="preserve"> </w:t>
      </w:r>
      <w:r w:rsidR="005E7016" w:rsidRPr="00966BD1">
        <w:rPr>
          <w:rStyle w:val="EndnoteReference"/>
          <w:color w:val="000000" w:themeColor="text1"/>
          <w:sz w:val="24"/>
          <w:szCs w:val="24"/>
        </w:rPr>
        <w:endnoteReference w:id="157"/>
      </w:r>
      <w:r w:rsidRPr="00ED2E68">
        <w:rPr>
          <w:sz w:val="24"/>
          <w:szCs w:val="24"/>
        </w:rPr>
        <w:t xml:space="preserve"> </w:t>
      </w:r>
    </w:p>
    <w:p w14:paraId="159AE30A" w14:textId="0729C600" w:rsidR="000362C9" w:rsidRPr="00966BD1" w:rsidRDefault="000362C9" w:rsidP="002B60AD">
      <w:pPr>
        <w:pStyle w:val="ListParagraph"/>
        <w:ind w:hanging="450"/>
        <w:rPr>
          <w:sz w:val="24"/>
          <w:szCs w:val="24"/>
        </w:rPr>
      </w:pPr>
      <w:r w:rsidRPr="00966BD1">
        <w:rPr>
          <w:sz w:val="24"/>
          <w:szCs w:val="24"/>
        </w:rPr>
        <w:t>However, the U</w:t>
      </w:r>
      <w:r>
        <w:rPr>
          <w:sz w:val="24"/>
          <w:szCs w:val="24"/>
        </w:rPr>
        <w:t xml:space="preserve">.S. </w:t>
      </w:r>
      <w:r w:rsidRPr="00966BD1">
        <w:rPr>
          <w:sz w:val="24"/>
          <w:szCs w:val="24"/>
        </w:rPr>
        <w:t>continues to resist the Committee’s interpretation of the </w:t>
      </w:r>
      <w:r w:rsidR="005E7016">
        <w:rPr>
          <w:sz w:val="24"/>
          <w:szCs w:val="24"/>
        </w:rPr>
        <w:t>Covenant</w:t>
      </w:r>
      <w:r w:rsidR="005E7016" w:rsidRPr="00966BD1">
        <w:rPr>
          <w:sz w:val="24"/>
          <w:szCs w:val="24"/>
        </w:rPr>
        <w:t> </w:t>
      </w:r>
      <w:r w:rsidRPr="00966BD1">
        <w:rPr>
          <w:sz w:val="24"/>
          <w:szCs w:val="24"/>
        </w:rPr>
        <w:t xml:space="preserve">as imposing </w:t>
      </w:r>
      <w:r w:rsidRPr="005E7016">
        <w:rPr>
          <w:sz w:val="24"/>
          <w:szCs w:val="24"/>
        </w:rPr>
        <w:t>a </w:t>
      </w:r>
      <w:r w:rsidR="00EB5ED8" w:rsidRPr="00266478">
        <w:rPr>
          <w:sz w:val="24"/>
          <w:szCs w:val="24"/>
        </w:rPr>
        <w:t>non-refoulement</w:t>
      </w:r>
      <w:r w:rsidRPr="005E7016">
        <w:rPr>
          <w:sz w:val="24"/>
          <w:szCs w:val="24"/>
        </w:rPr>
        <w:t> requirement</w:t>
      </w:r>
      <w:r w:rsidRPr="00966BD1">
        <w:rPr>
          <w:sz w:val="24"/>
          <w:szCs w:val="24"/>
        </w:rPr>
        <w:t xml:space="preserve"> and reject</w:t>
      </w:r>
      <w:r w:rsidR="005E7016">
        <w:rPr>
          <w:sz w:val="24"/>
          <w:szCs w:val="24"/>
        </w:rPr>
        <w:t>s</w:t>
      </w:r>
      <w:r w:rsidRPr="00966BD1">
        <w:rPr>
          <w:sz w:val="24"/>
          <w:szCs w:val="24"/>
        </w:rPr>
        <w:t xml:space="preserve"> an interpretation consistent with modern international law.</w:t>
      </w:r>
      <w:r w:rsidRPr="00966BD1">
        <w:rPr>
          <w:rStyle w:val="EndnoteReference"/>
          <w:rFonts w:eastAsia="Times New Roman"/>
          <w:color w:val="000000" w:themeColor="text1"/>
          <w:sz w:val="24"/>
          <w:szCs w:val="24"/>
        </w:rPr>
        <w:endnoteReference w:id="158"/>
      </w:r>
      <w:r w:rsidRPr="00966BD1">
        <w:rPr>
          <w:sz w:val="24"/>
          <w:szCs w:val="24"/>
        </w:rPr>
        <w:t xml:space="preserve"> </w:t>
      </w:r>
    </w:p>
    <w:p w14:paraId="01280166" w14:textId="5E9058A8" w:rsidR="000362C9" w:rsidRPr="00266478" w:rsidRDefault="000362C9" w:rsidP="005E7016">
      <w:pPr>
        <w:pStyle w:val="ListParagraph"/>
        <w:ind w:hanging="450"/>
        <w:rPr>
          <w:sz w:val="24"/>
          <w:szCs w:val="24"/>
        </w:rPr>
      </w:pPr>
      <w:r w:rsidRPr="00966BD1">
        <w:rPr>
          <w:sz w:val="24"/>
          <w:szCs w:val="24"/>
        </w:rPr>
        <w:t>There</w:t>
      </w:r>
      <w:r w:rsidR="005E7016">
        <w:rPr>
          <w:sz w:val="24"/>
          <w:szCs w:val="24"/>
        </w:rPr>
        <w:t xml:space="preserve"> also</w:t>
      </w:r>
      <w:r w:rsidRPr="00966BD1">
        <w:rPr>
          <w:sz w:val="24"/>
          <w:szCs w:val="24"/>
        </w:rPr>
        <w:t xml:space="preserve"> exists no forum to address adequately the U</w:t>
      </w:r>
      <w:r>
        <w:rPr>
          <w:sz w:val="24"/>
          <w:szCs w:val="24"/>
        </w:rPr>
        <w:t>.S.</w:t>
      </w:r>
      <w:r w:rsidRPr="00966BD1">
        <w:rPr>
          <w:sz w:val="24"/>
          <w:szCs w:val="24"/>
        </w:rPr>
        <w:t>’</w:t>
      </w:r>
      <w:r>
        <w:rPr>
          <w:sz w:val="24"/>
          <w:szCs w:val="24"/>
        </w:rPr>
        <w:t>s</w:t>
      </w:r>
      <w:r w:rsidRPr="00966BD1">
        <w:rPr>
          <w:sz w:val="24"/>
          <w:szCs w:val="24"/>
        </w:rPr>
        <w:t xml:space="preserve"> pushbacks, turnbacks, and other forms of collective expulsion that plague Black migrants. In 2017, advocates and lawyers brought</w:t>
      </w:r>
      <w:r w:rsidRPr="00966BD1">
        <w:rPr>
          <w:i/>
          <w:iCs/>
          <w:sz w:val="24"/>
          <w:szCs w:val="24"/>
        </w:rPr>
        <w:t xml:space="preserve"> Al </w:t>
      </w:r>
      <w:proofErr w:type="spellStart"/>
      <w:r w:rsidRPr="00966BD1">
        <w:rPr>
          <w:i/>
          <w:iCs/>
          <w:sz w:val="24"/>
          <w:szCs w:val="24"/>
        </w:rPr>
        <w:t>Otro</w:t>
      </w:r>
      <w:proofErr w:type="spellEnd"/>
      <w:r w:rsidRPr="00966BD1">
        <w:rPr>
          <w:i/>
          <w:iCs/>
          <w:sz w:val="24"/>
          <w:szCs w:val="24"/>
        </w:rPr>
        <w:t xml:space="preserve"> Lado v. Mayorkas</w:t>
      </w:r>
      <w:r w:rsidRPr="00966BD1">
        <w:rPr>
          <w:sz w:val="24"/>
          <w:szCs w:val="24"/>
        </w:rPr>
        <w:t xml:space="preserve">, </w:t>
      </w:r>
      <w:r w:rsidRPr="005E7016">
        <w:rPr>
          <w:sz w:val="24"/>
          <w:szCs w:val="24"/>
        </w:rPr>
        <w:t xml:space="preserve">a </w:t>
      </w:r>
      <w:r w:rsidRPr="00266478">
        <w:rPr>
          <w:sz w:val="24"/>
          <w:szCs w:val="24"/>
        </w:rPr>
        <w:t>federal class action lawsuit</w:t>
      </w:r>
      <w:r w:rsidRPr="005E7016">
        <w:rPr>
          <w:sz w:val="24"/>
          <w:szCs w:val="24"/>
        </w:rPr>
        <w:t xml:space="preserve"> alleging</w:t>
      </w:r>
      <w:r w:rsidRPr="00966BD1">
        <w:rPr>
          <w:sz w:val="24"/>
          <w:szCs w:val="24"/>
        </w:rPr>
        <w:t xml:space="preserve"> that the metering policy violated federal law, the U.S. Constitution, and the international humanitarian norm </w:t>
      </w:r>
      <w:r w:rsidRPr="005E7016">
        <w:rPr>
          <w:sz w:val="24"/>
          <w:szCs w:val="24"/>
        </w:rPr>
        <w:t xml:space="preserve">of </w:t>
      </w:r>
      <w:r w:rsidR="00EB5ED8" w:rsidRPr="00266478">
        <w:rPr>
          <w:sz w:val="24"/>
          <w:szCs w:val="24"/>
        </w:rPr>
        <w:t>non-refoulement</w:t>
      </w:r>
      <w:r w:rsidRPr="00966BD1">
        <w:rPr>
          <w:sz w:val="24"/>
          <w:szCs w:val="24"/>
        </w:rPr>
        <w:t>.</w:t>
      </w:r>
      <w:r>
        <w:rPr>
          <w:rStyle w:val="EndnoteReference"/>
          <w:sz w:val="24"/>
          <w:szCs w:val="24"/>
        </w:rPr>
        <w:endnoteReference w:id="159"/>
      </w:r>
      <w:r w:rsidRPr="00966BD1">
        <w:rPr>
          <w:sz w:val="24"/>
          <w:szCs w:val="24"/>
        </w:rPr>
        <w:t xml:space="preserve"> </w:t>
      </w:r>
      <w:r w:rsidR="005E7016" w:rsidRPr="00266478">
        <w:rPr>
          <w:sz w:val="24"/>
          <w:szCs w:val="24"/>
        </w:rPr>
        <w:t xml:space="preserve">The </w:t>
      </w:r>
      <w:r w:rsidRPr="00266478">
        <w:rPr>
          <w:sz w:val="24"/>
          <w:szCs w:val="24"/>
        </w:rPr>
        <w:t xml:space="preserve">litigation revealed a systemic </w:t>
      </w:r>
      <w:r w:rsidR="00ED31D3">
        <w:rPr>
          <w:sz w:val="24"/>
          <w:szCs w:val="24"/>
        </w:rPr>
        <w:t>policy of rejecting</w:t>
      </w:r>
      <w:r w:rsidRPr="00266478">
        <w:rPr>
          <w:sz w:val="24"/>
          <w:szCs w:val="24"/>
        </w:rPr>
        <w:t xml:space="preserve"> migrants presenting for asylum at </w:t>
      </w:r>
      <w:r w:rsidR="002D04E6">
        <w:rPr>
          <w:sz w:val="24"/>
          <w:szCs w:val="24"/>
        </w:rPr>
        <w:t xml:space="preserve">POEs along </w:t>
      </w:r>
      <w:r w:rsidRPr="00266478">
        <w:rPr>
          <w:sz w:val="24"/>
          <w:szCs w:val="24"/>
        </w:rPr>
        <w:t xml:space="preserve">the </w:t>
      </w:r>
      <w:r w:rsidR="002D04E6">
        <w:rPr>
          <w:sz w:val="24"/>
          <w:szCs w:val="24"/>
        </w:rPr>
        <w:t xml:space="preserve">southern </w:t>
      </w:r>
      <w:r w:rsidRPr="00266478">
        <w:rPr>
          <w:sz w:val="24"/>
          <w:szCs w:val="24"/>
        </w:rPr>
        <w:t>border. Accordingly, in 2021 a federal judge</w:t>
      </w:r>
      <w:r w:rsidR="005E7016">
        <w:rPr>
          <w:sz w:val="24"/>
          <w:szCs w:val="24"/>
        </w:rPr>
        <w:t xml:space="preserve"> in California</w:t>
      </w:r>
      <w:r w:rsidRPr="00266478">
        <w:rPr>
          <w:sz w:val="24"/>
          <w:szCs w:val="24"/>
        </w:rPr>
        <w:t xml:space="preserve"> declared the metering policy illegal and unconstitutional</w:t>
      </w:r>
      <w:r w:rsidR="005E7016">
        <w:rPr>
          <w:sz w:val="24"/>
          <w:szCs w:val="24"/>
        </w:rPr>
        <w:t>, holding t</w:t>
      </w:r>
      <w:r w:rsidRPr="00266478">
        <w:rPr>
          <w:sz w:val="24"/>
          <w:szCs w:val="24"/>
        </w:rPr>
        <w:t>hat turnback</w:t>
      </w:r>
      <w:r w:rsidR="00B20BC9">
        <w:rPr>
          <w:sz w:val="24"/>
          <w:szCs w:val="24"/>
        </w:rPr>
        <w:t>s</w:t>
      </w:r>
      <w:r w:rsidR="007F7DCD">
        <w:rPr>
          <w:sz w:val="24"/>
          <w:szCs w:val="24"/>
        </w:rPr>
        <w:t xml:space="preserve"> of</w:t>
      </w:r>
      <w:r w:rsidRPr="00266478">
        <w:rPr>
          <w:sz w:val="24"/>
          <w:szCs w:val="24"/>
        </w:rPr>
        <w:t xml:space="preserve"> asylum seekers</w:t>
      </w:r>
      <w:r w:rsidR="007F7DCD">
        <w:rPr>
          <w:sz w:val="24"/>
          <w:szCs w:val="24"/>
        </w:rPr>
        <w:t xml:space="preserve"> attempting to</w:t>
      </w:r>
      <w:r w:rsidRPr="00266478">
        <w:rPr>
          <w:sz w:val="24"/>
          <w:szCs w:val="24"/>
        </w:rPr>
        <w:t xml:space="preserve"> present at a port of entry </w:t>
      </w:r>
      <w:r w:rsidR="007F7DCD">
        <w:rPr>
          <w:sz w:val="24"/>
          <w:szCs w:val="24"/>
        </w:rPr>
        <w:t>are</w:t>
      </w:r>
      <w:r w:rsidRPr="00266478">
        <w:rPr>
          <w:sz w:val="24"/>
          <w:szCs w:val="24"/>
        </w:rPr>
        <w:t xml:space="preserve"> “unlawful regardless of their purported justification.”</w:t>
      </w:r>
      <w:r w:rsidRPr="00966BD1">
        <w:rPr>
          <w:rStyle w:val="EndnoteReference"/>
          <w:rFonts w:eastAsia="Times New Roman"/>
          <w:sz w:val="24"/>
          <w:szCs w:val="24"/>
        </w:rPr>
        <w:endnoteReference w:id="160"/>
      </w:r>
      <w:r w:rsidRPr="00266478">
        <w:rPr>
          <w:sz w:val="24"/>
          <w:szCs w:val="24"/>
        </w:rPr>
        <w:t xml:space="preserve"> </w:t>
      </w:r>
      <w:r w:rsidR="002A0886">
        <w:rPr>
          <w:sz w:val="24"/>
          <w:szCs w:val="24"/>
        </w:rPr>
        <w:t xml:space="preserve">However, </w:t>
      </w:r>
      <w:r w:rsidR="007F7DCD">
        <w:rPr>
          <w:sz w:val="24"/>
          <w:szCs w:val="24"/>
        </w:rPr>
        <w:t xml:space="preserve">the district court subsequently ruled that </w:t>
      </w:r>
      <w:r w:rsidR="002A0886">
        <w:rPr>
          <w:sz w:val="24"/>
          <w:szCs w:val="24"/>
        </w:rPr>
        <w:t>a</w:t>
      </w:r>
      <w:r w:rsidRPr="00266478">
        <w:rPr>
          <w:rFonts w:eastAsia="Times New Roman"/>
          <w:sz w:val="24"/>
          <w:szCs w:val="24"/>
        </w:rPr>
        <w:t xml:space="preserve">n intervening Supreme Court case, </w:t>
      </w:r>
      <w:r w:rsidRPr="00266478">
        <w:rPr>
          <w:rFonts w:eastAsia="Times New Roman"/>
          <w:i/>
          <w:iCs/>
          <w:sz w:val="24"/>
          <w:szCs w:val="24"/>
        </w:rPr>
        <w:t>Garland v. Aleman Gonzalez</w:t>
      </w:r>
      <w:r w:rsidRPr="00266478">
        <w:rPr>
          <w:rFonts w:eastAsia="Times New Roman"/>
          <w:sz w:val="24"/>
          <w:szCs w:val="24"/>
        </w:rPr>
        <w:t>, 142 S. Ct. 2057 (2022)</w:t>
      </w:r>
      <w:r w:rsidRPr="00266478">
        <w:rPr>
          <w:sz w:val="24"/>
          <w:szCs w:val="24"/>
        </w:rPr>
        <w:t xml:space="preserve"> prevented</w:t>
      </w:r>
      <w:r w:rsidR="007F7DCD">
        <w:rPr>
          <w:sz w:val="24"/>
          <w:szCs w:val="24"/>
        </w:rPr>
        <w:t xml:space="preserve"> </w:t>
      </w:r>
      <w:r w:rsidR="00B2364A">
        <w:rPr>
          <w:sz w:val="24"/>
          <w:szCs w:val="24"/>
        </w:rPr>
        <w:t>class wide</w:t>
      </w:r>
      <w:r w:rsidRPr="00266478">
        <w:rPr>
          <w:sz w:val="24"/>
          <w:szCs w:val="24"/>
        </w:rPr>
        <w:t xml:space="preserve"> injunctive relief.</w:t>
      </w:r>
      <w:r>
        <w:rPr>
          <w:rStyle w:val="EndnoteReference"/>
          <w:sz w:val="24"/>
          <w:szCs w:val="24"/>
        </w:rPr>
        <w:endnoteReference w:id="161"/>
      </w:r>
      <w:r w:rsidRPr="00266478">
        <w:rPr>
          <w:sz w:val="24"/>
          <w:szCs w:val="24"/>
        </w:rPr>
        <w:t xml:space="preserve"> </w:t>
      </w:r>
    </w:p>
    <w:p w14:paraId="360CFAF4" w14:textId="00FE0170" w:rsidR="000362C9" w:rsidRPr="00ED2E68" w:rsidRDefault="000362C9" w:rsidP="00AF5469">
      <w:pPr>
        <w:pStyle w:val="ListParagraph"/>
        <w:ind w:hanging="450"/>
        <w:rPr>
          <w:sz w:val="24"/>
          <w:szCs w:val="24"/>
        </w:rPr>
      </w:pPr>
      <w:r w:rsidRPr="00ED2E68">
        <w:rPr>
          <w:rFonts w:eastAsia="Times New Roman"/>
          <w:sz w:val="24"/>
          <w:szCs w:val="24"/>
        </w:rPr>
        <w:t>To the U</w:t>
      </w:r>
      <w:r>
        <w:rPr>
          <w:rFonts w:eastAsia="Times New Roman"/>
          <w:sz w:val="24"/>
          <w:szCs w:val="24"/>
        </w:rPr>
        <w:t>.S.</w:t>
      </w:r>
      <w:r w:rsidRPr="00ED2E68">
        <w:rPr>
          <w:rFonts w:eastAsia="Times New Roman"/>
          <w:sz w:val="24"/>
          <w:szCs w:val="24"/>
        </w:rPr>
        <w:t>—both the Department of Justice</w:t>
      </w:r>
      <w:r w:rsidRPr="00966BD1">
        <w:rPr>
          <w:rStyle w:val="EndnoteReference"/>
          <w:color w:val="000000" w:themeColor="text1"/>
          <w:sz w:val="24"/>
          <w:szCs w:val="24"/>
        </w:rPr>
        <w:endnoteReference w:id="162"/>
      </w:r>
      <w:r w:rsidRPr="00ED2E68">
        <w:rPr>
          <w:rFonts w:eastAsia="Times New Roman"/>
          <w:sz w:val="24"/>
          <w:szCs w:val="24"/>
        </w:rPr>
        <w:t xml:space="preserve"> and the U.S. Courts</w:t>
      </w:r>
      <w:r w:rsidRPr="00966BD1">
        <w:rPr>
          <w:rStyle w:val="EndnoteReference"/>
          <w:color w:val="000000" w:themeColor="text1"/>
          <w:sz w:val="24"/>
          <w:szCs w:val="24"/>
        </w:rPr>
        <w:endnoteReference w:id="163"/>
      </w:r>
      <w:r w:rsidRPr="00ED2E68">
        <w:rPr>
          <w:rFonts w:eastAsia="Times New Roman"/>
          <w:sz w:val="24"/>
          <w:szCs w:val="24"/>
        </w:rPr>
        <w:t xml:space="preserve">—so long as migrants are outside of its physical borders, they will remain outside of the law. While this conclusion is rebutted by contemporary </w:t>
      </w:r>
      <w:r w:rsidR="00020CFA">
        <w:rPr>
          <w:rFonts w:eastAsia="Times New Roman"/>
          <w:sz w:val="24"/>
          <w:szCs w:val="24"/>
        </w:rPr>
        <w:t>international</w:t>
      </w:r>
      <w:r w:rsidRPr="00ED2E68">
        <w:rPr>
          <w:rFonts w:eastAsia="Times New Roman"/>
          <w:sz w:val="24"/>
          <w:szCs w:val="24"/>
        </w:rPr>
        <w:t xml:space="preserve"> law and scholarship, it demonstrates an absence of substantive recognition for rights established in international human</w:t>
      </w:r>
      <w:r w:rsidR="00020CFA">
        <w:rPr>
          <w:rFonts w:eastAsia="Times New Roman"/>
          <w:sz w:val="24"/>
          <w:szCs w:val="24"/>
        </w:rPr>
        <w:t xml:space="preserve"> rights and refugee</w:t>
      </w:r>
      <w:r w:rsidRPr="00ED2E68">
        <w:rPr>
          <w:rFonts w:eastAsia="Times New Roman"/>
          <w:sz w:val="24"/>
          <w:szCs w:val="24"/>
        </w:rPr>
        <w:t xml:space="preserve"> law. </w:t>
      </w:r>
    </w:p>
    <w:p w14:paraId="2B042CD2" w14:textId="64B5EDCC" w:rsidR="000362C9" w:rsidRPr="00966BD1" w:rsidRDefault="000362C9" w:rsidP="002B60AD">
      <w:pPr>
        <w:pStyle w:val="ListParagraph"/>
        <w:ind w:hanging="450"/>
        <w:rPr>
          <w:sz w:val="24"/>
          <w:szCs w:val="24"/>
        </w:rPr>
      </w:pPr>
      <w:r w:rsidRPr="00966BD1">
        <w:rPr>
          <w:sz w:val="24"/>
          <w:szCs w:val="24"/>
        </w:rPr>
        <w:t xml:space="preserve">With federal courts turning a blind eye toward international humanitarian norms, the Executive </w:t>
      </w:r>
      <w:r w:rsidR="008268D3">
        <w:rPr>
          <w:sz w:val="24"/>
          <w:szCs w:val="24"/>
        </w:rPr>
        <w:t>B</w:t>
      </w:r>
      <w:r w:rsidRPr="00966BD1">
        <w:rPr>
          <w:sz w:val="24"/>
          <w:szCs w:val="24"/>
        </w:rPr>
        <w:t xml:space="preserve">ranch encouraging pushbacks, and the Congress disinterested in subjecting the U.S. to the jurisdiction of regional tribunals that could remediate human rights violations, Black migrants are left without recourse entirely. </w:t>
      </w:r>
    </w:p>
    <w:p w14:paraId="5A384762" w14:textId="77777777" w:rsidR="000362C9" w:rsidRPr="00966BD1" w:rsidRDefault="000362C9" w:rsidP="00C669EF">
      <w:pPr>
        <w:pStyle w:val="Heading2"/>
        <w:rPr>
          <w:rFonts w:cs="Times New Roman"/>
          <w:sz w:val="24"/>
          <w:szCs w:val="24"/>
        </w:rPr>
      </w:pPr>
      <w:bookmarkStart w:id="67" w:name="_Toc145307892"/>
      <w:bookmarkEnd w:id="65"/>
      <w:r w:rsidRPr="00966BD1">
        <w:rPr>
          <w:rFonts w:cs="Times New Roman"/>
          <w:sz w:val="24"/>
          <w:szCs w:val="24"/>
        </w:rPr>
        <w:t xml:space="preserve">Access to judicial remedies for </w:t>
      </w:r>
      <w:bookmarkStart w:id="68" w:name="_Hlk145416058"/>
      <w:r w:rsidRPr="00966BD1">
        <w:rPr>
          <w:rFonts w:cs="Times New Roman"/>
          <w:sz w:val="24"/>
          <w:szCs w:val="24"/>
        </w:rPr>
        <w:t>arbitrary detention and harms suffered</w:t>
      </w:r>
      <w:bookmarkEnd w:id="67"/>
      <w:bookmarkEnd w:id="68"/>
    </w:p>
    <w:p w14:paraId="6109BC38" w14:textId="77777777" w:rsidR="000362C9" w:rsidRPr="00966BD1" w:rsidRDefault="000362C9" w:rsidP="00C47F14">
      <w:pPr>
        <w:pStyle w:val="ListParagraph"/>
        <w:ind w:hanging="450"/>
        <w:rPr>
          <w:rFonts w:eastAsia="Calibri"/>
          <w:sz w:val="24"/>
          <w:szCs w:val="24"/>
          <w:vertAlign w:val="superscript"/>
        </w:rPr>
      </w:pPr>
      <w:r w:rsidRPr="00966BD1">
        <w:rPr>
          <w:sz w:val="24"/>
          <w:szCs w:val="24"/>
        </w:rPr>
        <w:t>Mandatory and discretionary detention in violation of the Covenant’s prohibition against arbitrary deprivations of liberty are written into U.S. legislative branch law, and the judicial branch has upheld those provisions, including the use of  indefinite detention.</w:t>
      </w:r>
      <w:r w:rsidRPr="00966BD1">
        <w:rPr>
          <w:rStyle w:val="EndnoteReference"/>
          <w:sz w:val="24"/>
          <w:szCs w:val="24"/>
        </w:rPr>
        <w:endnoteReference w:id="164"/>
      </w:r>
      <w:r w:rsidRPr="00966BD1">
        <w:rPr>
          <w:sz w:val="24"/>
          <w:szCs w:val="24"/>
        </w:rPr>
        <w:t xml:space="preserve"> As noted above, U.S. immigration officials inflict human rights abuses with ongoing impunity, according to scores of credible, detailed reports by U.S. government oversight agencies, civil society organizations, and current and formerly detained individuals. </w:t>
      </w:r>
    </w:p>
    <w:p w14:paraId="3C17654D" w14:textId="1353D314" w:rsidR="000362C9" w:rsidRPr="00966BD1" w:rsidRDefault="000362C9" w:rsidP="00C47F14">
      <w:pPr>
        <w:pStyle w:val="ListParagraph"/>
        <w:ind w:hanging="450"/>
        <w:rPr>
          <w:rStyle w:val="EndnoteReference"/>
          <w:rFonts w:eastAsia="Calibri"/>
          <w:sz w:val="24"/>
          <w:szCs w:val="24"/>
        </w:rPr>
      </w:pPr>
      <w:r w:rsidRPr="00966BD1">
        <w:rPr>
          <w:sz w:val="24"/>
          <w:szCs w:val="24"/>
        </w:rPr>
        <w:t xml:space="preserve">Furthermore, the vast majority of those held in immigration detention – 62% by the government’s latest statistics – are considered by ICE to be held in </w:t>
      </w:r>
      <w:r w:rsidR="0044252E">
        <w:rPr>
          <w:sz w:val="24"/>
          <w:szCs w:val="24"/>
        </w:rPr>
        <w:t>“</w:t>
      </w:r>
      <w:r w:rsidRPr="00966BD1">
        <w:rPr>
          <w:sz w:val="24"/>
          <w:szCs w:val="24"/>
        </w:rPr>
        <w:t xml:space="preserve">mandatory detention,” meaning they are not able to access a bond hearing throughout their time in detention, </w:t>
      </w:r>
      <w:r w:rsidRPr="00966BD1">
        <w:rPr>
          <w:sz w:val="24"/>
          <w:szCs w:val="24"/>
        </w:rPr>
        <w:lastRenderedPageBreak/>
        <w:t>which might last months or years.</w:t>
      </w:r>
      <w:r w:rsidRPr="00966BD1">
        <w:rPr>
          <w:rFonts w:eastAsia="Times New Roman"/>
          <w:color w:val="000000" w:themeColor="text1"/>
          <w:sz w:val="24"/>
          <w:szCs w:val="24"/>
        </w:rPr>
        <w:t xml:space="preserve"> </w:t>
      </w:r>
      <w:r w:rsidRPr="00966BD1">
        <w:rPr>
          <w:sz w:val="24"/>
          <w:szCs w:val="24"/>
        </w:rPr>
        <w:t xml:space="preserve">For these individuals, the only way to access judicial review of their ongoing detention is to file a habeas corpus petition in federal court, a remedy inaccessible for most because of obstructed access to counsel and access to the courts. </w:t>
      </w:r>
      <w:r w:rsidRPr="00966BD1">
        <w:rPr>
          <w:rStyle w:val="EndnoteReference"/>
          <w:sz w:val="24"/>
          <w:szCs w:val="24"/>
        </w:rPr>
        <w:endnoteReference w:id="165"/>
      </w:r>
      <w:r w:rsidRPr="00966BD1">
        <w:rPr>
          <w:sz w:val="24"/>
          <w:szCs w:val="24"/>
        </w:rPr>
        <w:t xml:space="preserve">   </w:t>
      </w:r>
    </w:p>
    <w:p w14:paraId="6896079F" w14:textId="7DF7EB34" w:rsidR="000362C9" w:rsidRPr="00966BD1" w:rsidRDefault="000362C9" w:rsidP="00C669EF">
      <w:pPr>
        <w:pStyle w:val="Heading2"/>
        <w:rPr>
          <w:rFonts w:cs="Times New Roman"/>
          <w:sz w:val="24"/>
          <w:szCs w:val="24"/>
        </w:rPr>
      </w:pPr>
      <w:bookmarkStart w:id="69" w:name="_Toc143210388"/>
      <w:bookmarkStart w:id="70" w:name="_Toc145307893"/>
      <w:bookmarkStart w:id="71" w:name="_Hlk145416049"/>
      <w:r w:rsidRPr="00966BD1">
        <w:rPr>
          <w:rFonts w:cs="Times New Roman"/>
          <w:sz w:val="24"/>
          <w:szCs w:val="24"/>
        </w:rPr>
        <w:t xml:space="preserve">Access to judicial remedies for racial discrimination based on disparate </w:t>
      </w:r>
      <w:bookmarkEnd w:id="69"/>
      <w:bookmarkEnd w:id="70"/>
      <w:r w:rsidR="00BA4A9E" w:rsidRPr="00966BD1">
        <w:rPr>
          <w:rFonts w:cs="Times New Roman"/>
          <w:sz w:val="24"/>
          <w:szCs w:val="24"/>
        </w:rPr>
        <w:t>impact.</w:t>
      </w:r>
    </w:p>
    <w:bookmarkEnd w:id="71"/>
    <w:p w14:paraId="07CFA76F" w14:textId="714A04BA" w:rsidR="000362C9" w:rsidRPr="00966BD1" w:rsidRDefault="000362C9" w:rsidP="00C47F14">
      <w:pPr>
        <w:pStyle w:val="ListParagraph"/>
        <w:ind w:hanging="450"/>
        <w:rPr>
          <w:sz w:val="24"/>
          <w:szCs w:val="24"/>
        </w:rPr>
      </w:pPr>
      <w:r w:rsidRPr="00966BD1">
        <w:rPr>
          <w:sz w:val="24"/>
          <w:szCs w:val="24"/>
        </w:rPr>
        <w:t>Black people in migration who manage to arrive in the U.S. face disparate treatment and a racially discriminatory immigration system. This includes racial profiling in immigration enforcement actions; excessive force, medical neglect, and other discriminatory treatment by U</w:t>
      </w:r>
      <w:r w:rsidR="008268D3">
        <w:rPr>
          <w:sz w:val="24"/>
          <w:szCs w:val="24"/>
        </w:rPr>
        <w:t>.</w:t>
      </w:r>
      <w:r w:rsidRPr="00966BD1">
        <w:rPr>
          <w:sz w:val="24"/>
          <w:szCs w:val="24"/>
        </w:rPr>
        <w:t>S</w:t>
      </w:r>
      <w:r w:rsidR="008268D3">
        <w:rPr>
          <w:sz w:val="24"/>
          <w:szCs w:val="24"/>
        </w:rPr>
        <w:t>.</w:t>
      </w:r>
      <w:r w:rsidRPr="00966BD1">
        <w:rPr>
          <w:sz w:val="24"/>
          <w:szCs w:val="24"/>
        </w:rPr>
        <w:t xml:space="preserve"> personnel in immigration detention; prolonged and arbitrary detention, including the imposition of higher bonds on Black migrants; inadequate access to legal information, legal counsel or proper interpretation in detention; low rates of successful asylum screenings and approval rates for individuals from Black-majority countries from which many refugees are seeking international protection; and racially disparate rates of deportation.</w:t>
      </w:r>
      <w:r w:rsidRPr="00966BD1">
        <w:rPr>
          <w:rStyle w:val="EndnoteReference"/>
          <w:sz w:val="24"/>
          <w:szCs w:val="24"/>
        </w:rPr>
        <w:endnoteReference w:id="166"/>
      </w:r>
    </w:p>
    <w:p w14:paraId="4456FFFA" w14:textId="37E17463" w:rsidR="000362C9" w:rsidRPr="00966BD1" w:rsidRDefault="00B4434D" w:rsidP="00C47F14">
      <w:pPr>
        <w:pStyle w:val="ListParagraph"/>
        <w:ind w:hanging="450"/>
        <w:rPr>
          <w:sz w:val="24"/>
          <w:szCs w:val="24"/>
        </w:rPr>
      </w:pPr>
      <w:r>
        <w:rPr>
          <w:sz w:val="24"/>
          <w:szCs w:val="24"/>
        </w:rPr>
        <w:t>Many Black, Brown and Indigenous people are</w:t>
      </w:r>
      <w:r w:rsidR="000362C9" w:rsidRPr="00966BD1">
        <w:rPr>
          <w:sz w:val="24"/>
          <w:szCs w:val="24"/>
        </w:rPr>
        <w:t xml:space="preserve"> disparately impacted by these policies and practices, such as with lack of language access for speakers of Haitian Kreyol, Mauritanian </w:t>
      </w:r>
      <w:proofErr w:type="spellStart"/>
      <w:r w:rsidR="000362C9" w:rsidRPr="00966BD1">
        <w:rPr>
          <w:sz w:val="24"/>
          <w:szCs w:val="24"/>
        </w:rPr>
        <w:t>Pulaar</w:t>
      </w:r>
      <w:proofErr w:type="spellEnd"/>
      <w:r w:rsidR="000362C9" w:rsidRPr="00966BD1">
        <w:rPr>
          <w:sz w:val="24"/>
          <w:szCs w:val="24"/>
        </w:rPr>
        <w:t xml:space="preserve"> or Soninke, or Indigenous languages.</w:t>
      </w:r>
    </w:p>
    <w:p w14:paraId="58A6EB91" w14:textId="7F1FBD96" w:rsidR="000362C9" w:rsidRPr="00966BD1" w:rsidRDefault="000362C9" w:rsidP="00C47F14">
      <w:pPr>
        <w:pStyle w:val="ListParagraph"/>
        <w:ind w:hanging="450"/>
        <w:rPr>
          <w:sz w:val="24"/>
          <w:szCs w:val="24"/>
        </w:rPr>
      </w:pPr>
      <w:r w:rsidRPr="00966BD1">
        <w:rPr>
          <w:sz w:val="24"/>
          <w:szCs w:val="24"/>
        </w:rPr>
        <w:t xml:space="preserve">CERD’s Concluding Observations on the U.S. in August 2022 noted that “mandatory detention of non-citizens without due process or access to legal representation, in detention </w:t>
      </w:r>
      <w:proofErr w:type="spellStart"/>
      <w:r w:rsidRPr="00966BD1">
        <w:rPr>
          <w:sz w:val="24"/>
          <w:szCs w:val="24"/>
        </w:rPr>
        <w:t>centres</w:t>
      </w:r>
      <w:proofErr w:type="spellEnd"/>
      <w:r w:rsidRPr="00966BD1">
        <w:rPr>
          <w:sz w:val="24"/>
          <w:szCs w:val="24"/>
        </w:rPr>
        <w:t xml:space="preserve"> under inadequate conditions…has a disparate impact on asylums-seekers of African and Caribbean descent;”</w:t>
      </w:r>
      <w:r w:rsidRPr="00966BD1">
        <w:rPr>
          <w:rStyle w:val="EndnoteReference"/>
          <w:sz w:val="24"/>
          <w:szCs w:val="24"/>
        </w:rPr>
        <w:endnoteReference w:id="167"/>
      </w:r>
      <w:r w:rsidRPr="00966BD1">
        <w:rPr>
          <w:sz w:val="24"/>
          <w:szCs w:val="24"/>
        </w:rPr>
        <w:t xml:space="preserve"> </w:t>
      </w:r>
      <w:r w:rsidR="008268D3">
        <w:rPr>
          <w:sz w:val="24"/>
          <w:szCs w:val="24"/>
        </w:rPr>
        <w:t xml:space="preserve">and </w:t>
      </w:r>
      <w:r w:rsidRPr="00966BD1">
        <w:rPr>
          <w:sz w:val="24"/>
          <w:szCs w:val="24"/>
        </w:rPr>
        <w:t>pointed out “[t]he disparate impact of asylum-related policies on migrants of African descent and migrants of Hispanic/Latino origin, such as criminal prosecution for irregular entry and expulsion under Title 42 of the United States Code and under the Migrant Protection Protocols.”</w:t>
      </w:r>
      <w:r w:rsidRPr="00966BD1">
        <w:rPr>
          <w:rStyle w:val="EndnoteReference"/>
          <w:sz w:val="24"/>
          <w:szCs w:val="24"/>
        </w:rPr>
        <w:endnoteReference w:id="168"/>
      </w:r>
      <w:r w:rsidRPr="00966BD1">
        <w:rPr>
          <w:sz w:val="24"/>
          <w:szCs w:val="24"/>
        </w:rPr>
        <w:t xml:space="preserve"> </w:t>
      </w:r>
    </w:p>
    <w:p w14:paraId="16A7FA09" w14:textId="0EB89994" w:rsidR="000362C9" w:rsidRPr="00966BD1" w:rsidRDefault="008268D3" w:rsidP="00C47F14">
      <w:pPr>
        <w:pStyle w:val="ListParagraph"/>
        <w:ind w:hanging="450"/>
        <w:rPr>
          <w:sz w:val="24"/>
          <w:szCs w:val="24"/>
        </w:rPr>
      </w:pPr>
      <w:r>
        <w:rPr>
          <w:sz w:val="24"/>
          <w:szCs w:val="24"/>
        </w:rPr>
        <w:t>CERD also highlighted t</w:t>
      </w:r>
      <w:r w:rsidR="000362C9" w:rsidRPr="00966BD1">
        <w:rPr>
          <w:sz w:val="24"/>
          <w:szCs w:val="24"/>
        </w:rPr>
        <w:t xml:space="preserve">he </w:t>
      </w:r>
      <w:r>
        <w:rPr>
          <w:sz w:val="24"/>
          <w:szCs w:val="24"/>
        </w:rPr>
        <w:t>in</w:t>
      </w:r>
      <w:r w:rsidR="000362C9" w:rsidRPr="00966BD1">
        <w:rPr>
          <w:sz w:val="24"/>
          <w:szCs w:val="24"/>
        </w:rPr>
        <w:t>ability to bring disparate impact claims and seek effective judicial remedies for racial discrimination on these grounds.</w:t>
      </w:r>
      <w:r w:rsidR="000362C9" w:rsidRPr="00966BD1">
        <w:rPr>
          <w:rStyle w:val="EndnoteReference"/>
          <w:sz w:val="24"/>
          <w:szCs w:val="24"/>
        </w:rPr>
        <w:endnoteReference w:id="169"/>
      </w:r>
    </w:p>
    <w:p w14:paraId="45F19600" w14:textId="5AE87724" w:rsidR="000362C9" w:rsidRPr="00966BD1" w:rsidRDefault="000362C9" w:rsidP="00966BD1">
      <w:pPr>
        <w:pStyle w:val="Heading1"/>
        <w:ind w:left="720"/>
        <w:rPr>
          <w:sz w:val="24"/>
          <w:szCs w:val="24"/>
        </w:rPr>
      </w:pPr>
      <w:bookmarkStart w:id="72" w:name="_Toc145307894"/>
      <w:r w:rsidRPr="00966BD1">
        <w:rPr>
          <w:sz w:val="24"/>
          <w:szCs w:val="24"/>
        </w:rPr>
        <w:t>The lack of global reparatory justice for slavery, colonialism, and neo-colonial imperialism and ongoing violations against the right to self-determination are root causes of the transnational migration and forced displacement of Black people.</w:t>
      </w:r>
      <w:bookmarkEnd w:id="63"/>
      <w:bookmarkEnd w:id="72"/>
      <w:r w:rsidRPr="00966BD1">
        <w:rPr>
          <w:sz w:val="24"/>
          <w:szCs w:val="24"/>
        </w:rPr>
        <w:t xml:space="preserve"> </w:t>
      </w:r>
    </w:p>
    <w:p w14:paraId="60146985" w14:textId="36A70FCB" w:rsidR="000362C9" w:rsidRPr="00966BD1" w:rsidRDefault="000362C9" w:rsidP="00C47F14">
      <w:pPr>
        <w:pStyle w:val="ListParagraph"/>
        <w:ind w:hanging="450"/>
        <w:rPr>
          <w:sz w:val="24"/>
          <w:szCs w:val="24"/>
        </w:rPr>
      </w:pPr>
      <w:r w:rsidRPr="00966BD1">
        <w:rPr>
          <w:sz w:val="24"/>
          <w:szCs w:val="24"/>
        </w:rPr>
        <w:t>The Covenant’s right to an effective legal remedy includes the right to reparatory justice for crimes committed through slavery,</w:t>
      </w:r>
      <w:r w:rsidRPr="00966BD1">
        <w:rPr>
          <w:rStyle w:val="EndnoteReference"/>
          <w:sz w:val="24"/>
          <w:szCs w:val="24"/>
        </w:rPr>
        <w:endnoteReference w:id="170"/>
      </w:r>
      <w:r w:rsidRPr="00966BD1">
        <w:rPr>
          <w:sz w:val="24"/>
          <w:szCs w:val="24"/>
        </w:rPr>
        <w:t xml:space="preserve"> including the Covenant’s guarantees to ensure the cessation and non-recurrence of violations</w:t>
      </w:r>
      <w:r w:rsidRPr="00966BD1">
        <w:rPr>
          <w:rStyle w:val="EndnoteReference"/>
          <w:sz w:val="24"/>
          <w:szCs w:val="24"/>
        </w:rPr>
        <w:endnoteReference w:id="171"/>
      </w:r>
      <w:r w:rsidRPr="00966BD1">
        <w:rPr>
          <w:sz w:val="24"/>
          <w:szCs w:val="24"/>
        </w:rPr>
        <w:t xml:space="preserve"> and for combating impunity.</w:t>
      </w:r>
      <w:r w:rsidRPr="00966BD1">
        <w:rPr>
          <w:rStyle w:val="EndnoteReference"/>
          <w:sz w:val="24"/>
          <w:szCs w:val="24"/>
        </w:rPr>
        <w:endnoteReference w:id="172"/>
      </w:r>
      <w:r w:rsidRPr="00966BD1">
        <w:rPr>
          <w:sz w:val="24"/>
          <w:szCs w:val="24"/>
        </w:rPr>
        <w:t xml:space="preserve"> However, </w:t>
      </w:r>
      <w:r w:rsidR="00FA0222">
        <w:rPr>
          <w:sz w:val="24"/>
          <w:szCs w:val="24"/>
        </w:rPr>
        <w:t xml:space="preserve">the U.S. does not afford this remedy to </w:t>
      </w:r>
      <w:r w:rsidRPr="00966BD1">
        <w:rPr>
          <w:sz w:val="24"/>
          <w:szCs w:val="24"/>
        </w:rPr>
        <w:t>Black people in the U.S. and Black foreign nationals suffering from related harms, such as Haitian nationals</w:t>
      </w:r>
      <w:r w:rsidR="00C3710B">
        <w:rPr>
          <w:sz w:val="24"/>
          <w:szCs w:val="24"/>
        </w:rPr>
        <w:t>.</w:t>
      </w:r>
      <w:r w:rsidRPr="00966BD1">
        <w:rPr>
          <w:sz w:val="24"/>
          <w:szCs w:val="24"/>
        </w:rPr>
        <w:t xml:space="preserve"> The UN’s Permanent Forum on People of African Descent </w:t>
      </w:r>
      <w:r w:rsidR="00B6052C">
        <w:rPr>
          <w:sz w:val="24"/>
          <w:szCs w:val="24"/>
        </w:rPr>
        <w:t>(“</w:t>
      </w:r>
      <w:r w:rsidR="00223161">
        <w:rPr>
          <w:sz w:val="24"/>
          <w:szCs w:val="24"/>
        </w:rPr>
        <w:t>PFPAD</w:t>
      </w:r>
      <w:r w:rsidR="00B6052C">
        <w:rPr>
          <w:sz w:val="24"/>
          <w:szCs w:val="24"/>
        </w:rPr>
        <w:t xml:space="preserve">”) </w:t>
      </w:r>
      <w:r w:rsidRPr="00966BD1">
        <w:rPr>
          <w:sz w:val="24"/>
          <w:szCs w:val="24"/>
        </w:rPr>
        <w:t>acknowledged</w:t>
      </w:r>
      <w:r w:rsidR="00FA0222">
        <w:rPr>
          <w:sz w:val="24"/>
          <w:szCs w:val="24"/>
        </w:rPr>
        <w:t xml:space="preserve"> in 2023</w:t>
      </w:r>
      <w:r w:rsidRPr="00966BD1">
        <w:rPr>
          <w:sz w:val="24"/>
          <w:szCs w:val="24"/>
        </w:rPr>
        <w:t xml:space="preserve"> that the lack of global reparatory justice is a root cause of the ongoing forced displacement and transitional migration of Peoples of African Descent, highlighted by the ongoing lack of reparatory justice for Haiti and ongoing forced displacement of Haitians.</w:t>
      </w:r>
      <w:bookmarkStart w:id="73" w:name="_Ref145401279"/>
      <w:r w:rsidRPr="00966BD1">
        <w:rPr>
          <w:rStyle w:val="EndnoteReference"/>
          <w:sz w:val="24"/>
          <w:szCs w:val="24"/>
        </w:rPr>
        <w:endnoteReference w:id="173"/>
      </w:r>
      <w:bookmarkEnd w:id="73"/>
    </w:p>
    <w:p w14:paraId="63FC738A" w14:textId="7DAD8845" w:rsidR="000362C9" w:rsidRDefault="00522262" w:rsidP="00C47F14">
      <w:pPr>
        <w:pStyle w:val="ListParagraph"/>
        <w:ind w:hanging="450"/>
        <w:rPr>
          <w:sz w:val="24"/>
          <w:szCs w:val="24"/>
        </w:rPr>
      </w:pPr>
      <w:r>
        <w:rPr>
          <w:sz w:val="24"/>
          <w:szCs w:val="24"/>
        </w:rPr>
        <w:lastRenderedPageBreak/>
        <w:t>T</w:t>
      </w:r>
      <w:r w:rsidR="000362C9" w:rsidRPr="00966BD1">
        <w:rPr>
          <w:sz w:val="24"/>
          <w:szCs w:val="24"/>
        </w:rPr>
        <w:t xml:space="preserve">he </w:t>
      </w:r>
      <w:r w:rsidR="00223161">
        <w:rPr>
          <w:sz w:val="24"/>
          <w:szCs w:val="24"/>
        </w:rPr>
        <w:t xml:space="preserve">PFPAD </w:t>
      </w:r>
      <w:r>
        <w:rPr>
          <w:sz w:val="24"/>
          <w:szCs w:val="24"/>
        </w:rPr>
        <w:t>recently</w:t>
      </w:r>
      <w:r w:rsidR="000362C9" w:rsidRPr="00966BD1">
        <w:rPr>
          <w:sz w:val="24"/>
          <w:szCs w:val="24"/>
        </w:rPr>
        <w:t xml:space="preserve"> </w:t>
      </w:r>
      <w:r w:rsidR="00B6052C">
        <w:rPr>
          <w:sz w:val="24"/>
          <w:szCs w:val="24"/>
        </w:rPr>
        <w:t>“</w:t>
      </w:r>
      <w:r w:rsidR="000362C9" w:rsidRPr="00966BD1">
        <w:rPr>
          <w:sz w:val="24"/>
          <w:szCs w:val="24"/>
        </w:rPr>
        <w:t>recognized that the neo-colonial burdens imposed on the Republic of Haiti have significantly contributed to the current crisis in the country.”</w:t>
      </w:r>
      <w:r w:rsidR="000362C9" w:rsidRPr="00966BD1">
        <w:rPr>
          <w:rStyle w:val="EndnoteReference"/>
          <w:sz w:val="24"/>
          <w:szCs w:val="24"/>
        </w:rPr>
        <w:endnoteReference w:id="174"/>
      </w:r>
      <w:r w:rsidR="000362C9" w:rsidRPr="00966BD1">
        <w:rPr>
          <w:sz w:val="24"/>
          <w:szCs w:val="24"/>
        </w:rPr>
        <w:t xml:space="preserve"> Haiti won its 1804 Independence by defeating Napoleon Bonaparte’s army on the battlefield. But the Atlantic World at the time was dominated by countries that had obtained their status through slavery, especially France, the </w:t>
      </w:r>
      <w:r w:rsidR="000362C9">
        <w:rPr>
          <w:sz w:val="24"/>
          <w:szCs w:val="24"/>
        </w:rPr>
        <w:t>U.S.</w:t>
      </w:r>
      <w:r w:rsidR="000362C9" w:rsidRPr="00966BD1">
        <w:rPr>
          <w:sz w:val="24"/>
          <w:szCs w:val="24"/>
        </w:rPr>
        <w:t>, Great Britain, and Spain. The white supremacist ideology underlying their success could not survive the example of a free, prosperous Haiti.</w:t>
      </w:r>
      <w:r w:rsidR="000362C9" w:rsidRPr="00966BD1">
        <w:rPr>
          <w:sz w:val="24"/>
          <w:szCs w:val="24"/>
          <w:vertAlign w:val="superscript"/>
        </w:rPr>
        <w:endnoteReference w:id="175"/>
      </w:r>
      <w:r w:rsidR="000362C9" w:rsidRPr="00966BD1">
        <w:rPr>
          <w:sz w:val="24"/>
          <w:szCs w:val="24"/>
        </w:rPr>
        <w:t xml:space="preserve"> So the slave-owning countries worked together for centuries to ensure that Haiti would not succeed. This campaign included refusal of recognition or normal trade relations, the forced Independence Debt in 1825, and persistent economic and military interventions for over two centuries.</w:t>
      </w:r>
      <w:bookmarkStart w:id="74" w:name="_Ref145401363"/>
      <w:r w:rsidR="000362C9" w:rsidRPr="00966BD1">
        <w:rPr>
          <w:sz w:val="24"/>
          <w:szCs w:val="24"/>
          <w:vertAlign w:val="superscript"/>
        </w:rPr>
        <w:endnoteReference w:id="176"/>
      </w:r>
      <w:bookmarkEnd w:id="74"/>
      <w:r w:rsidR="000362C9" w:rsidRPr="00966BD1">
        <w:rPr>
          <w:rFonts w:eastAsia="Times New Roman"/>
          <w:sz w:val="24"/>
          <w:szCs w:val="24"/>
        </w:rPr>
        <w:t xml:space="preserve"> </w:t>
      </w:r>
      <w:r w:rsidR="000362C9" w:rsidRPr="00966BD1">
        <w:rPr>
          <w:sz w:val="24"/>
          <w:szCs w:val="24"/>
        </w:rPr>
        <w:t>This coordinated campaign has been highly successful: it has kept Haiti impoverished,</w:t>
      </w:r>
      <w:r w:rsidR="000362C9" w:rsidRPr="00966BD1">
        <w:rPr>
          <w:sz w:val="24"/>
          <w:szCs w:val="24"/>
          <w:vertAlign w:val="superscript"/>
        </w:rPr>
        <w:endnoteReference w:id="177"/>
      </w:r>
      <w:r w:rsidR="000362C9" w:rsidRPr="00966BD1">
        <w:rPr>
          <w:sz w:val="24"/>
          <w:szCs w:val="24"/>
        </w:rPr>
        <w:t xml:space="preserve"> unstable and unable to exercise is sovereignty up through the present.</w:t>
      </w:r>
      <w:r w:rsidR="000362C9" w:rsidRPr="00966BD1">
        <w:rPr>
          <w:sz w:val="24"/>
          <w:szCs w:val="24"/>
          <w:vertAlign w:val="superscript"/>
        </w:rPr>
        <w:endnoteReference w:id="178"/>
      </w:r>
      <w:r w:rsidR="000362C9" w:rsidRPr="00966BD1" w:rsidDel="00CE73D5">
        <w:rPr>
          <w:sz w:val="24"/>
          <w:szCs w:val="24"/>
        </w:rPr>
        <w:t xml:space="preserve"> </w:t>
      </w:r>
    </w:p>
    <w:p w14:paraId="16CD1537" w14:textId="022DF879" w:rsidR="00B120C8" w:rsidRPr="00266478" w:rsidRDefault="00FA0222" w:rsidP="00B6052C">
      <w:pPr>
        <w:pStyle w:val="ListParagraph"/>
        <w:ind w:hanging="450"/>
        <w:rPr>
          <w:sz w:val="24"/>
          <w:szCs w:val="24"/>
        </w:rPr>
      </w:pPr>
      <w:r>
        <w:rPr>
          <w:sz w:val="24"/>
          <w:szCs w:val="24"/>
        </w:rPr>
        <w:t>The</w:t>
      </w:r>
      <w:r w:rsidR="000362C9" w:rsidRPr="00966BD1">
        <w:rPr>
          <w:sz w:val="24"/>
          <w:szCs w:val="24"/>
        </w:rPr>
        <w:t xml:space="preserve"> Special Rapporteur on </w:t>
      </w:r>
      <w:r>
        <w:rPr>
          <w:sz w:val="24"/>
          <w:szCs w:val="24"/>
        </w:rPr>
        <w:t>C</w:t>
      </w:r>
      <w:r w:rsidR="000362C9" w:rsidRPr="00966BD1">
        <w:rPr>
          <w:sz w:val="24"/>
          <w:szCs w:val="24"/>
        </w:rPr>
        <w:t xml:space="preserve">ontemporary </w:t>
      </w:r>
      <w:r>
        <w:rPr>
          <w:sz w:val="24"/>
          <w:szCs w:val="24"/>
        </w:rPr>
        <w:t>F</w:t>
      </w:r>
      <w:r w:rsidR="000362C9" w:rsidRPr="00966BD1">
        <w:rPr>
          <w:sz w:val="24"/>
          <w:szCs w:val="24"/>
        </w:rPr>
        <w:t xml:space="preserve">orms of </w:t>
      </w:r>
      <w:r>
        <w:rPr>
          <w:sz w:val="24"/>
          <w:szCs w:val="24"/>
        </w:rPr>
        <w:t>R</w:t>
      </w:r>
      <w:r w:rsidR="000362C9" w:rsidRPr="00966BD1">
        <w:rPr>
          <w:sz w:val="24"/>
          <w:szCs w:val="24"/>
        </w:rPr>
        <w:t>acism called on States</w:t>
      </w:r>
      <w:r>
        <w:rPr>
          <w:sz w:val="24"/>
          <w:szCs w:val="24"/>
        </w:rPr>
        <w:t xml:space="preserve"> in 2019</w:t>
      </w:r>
      <w:r w:rsidR="000362C9" w:rsidRPr="00966BD1">
        <w:rPr>
          <w:sz w:val="24"/>
          <w:szCs w:val="24"/>
        </w:rPr>
        <w:t xml:space="preserve"> to take into consideration “the historical racial injustices of slavery and colonialism that remain largely unaccounted for today, but which nevertheless require restitution, compensation, rehabilitation and guarantees of non-repetition.”</w:t>
      </w:r>
      <w:r w:rsidR="000362C9" w:rsidRPr="00966BD1">
        <w:rPr>
          <w:rStyle w:val="EndnoteReference"/>
          <w:sz w:val="24"/>
          <w:szCs w:val="24"/>
        </w:rPr>
        <w:endnoteReference w:id="179"/>
      </w:r>
      <w:r w:rsidR="000362C9" w:rsidRPr="00966BD1">
        <w:rPr>
          <w:sz w:val="24"/>
          <w:szCs w:val="24"/>
        </w:rPr>
        <w:t xml:space="preserve"> </w:t>
      </w:r>
      <w:r w:rsidR="00D11CD1">
        <w:rPr>
          <w:sz w:val="24"/>
          <w:szCs w:val="24"/>
        </w:rPr>
        <w:t>She</w:t>
      </w:r>
      <w:r w:rsidR="000362C9" w:rsidRPr="00966BD1">
        <w:rPr>
          <w:sz w:val="24"/>
          <w:szCs w:val="24"/>
        </w:rPr>
        <w:t xml:space="preserve"> urged States to consider “the contemporary racially discriminatory effects of structures of inequality and subordination resulting from failures to redress the racism of slavery and colonialism.”</w:t>
      </w:r>
      <w:r w:rsidR="000362C9" w:rsidRPr="00966BD1">
        <w:rPr>
          <w:rStyle w:val="EndnoteReference"/>
          <w:sz w:val="24"/>
          <w:szCs w:val="24"/>
        </w:rPr>
        <w:endnoteReference w:id="180"/>
      </w:r>
      <w:r w:rsidR="000362C9" w:rsidRPr="00966BD1">
        <w:rPr>
          <w:sz w:val="24"/>
          <w:szCs w:val="24"/>
        </w:rPr>
        <w:t xml:space="preserve"> </w:t>
      </w:r>
      <w:r w:rsidR="00B6052C">
        <w:rPr>
          <w:sz w:val="24"/>
          <w:szCs w:val="24"/>
        </w:rPr>
        <w:t xml:space="preserve">She </w:t>
      </w:r>
      <w:r w:rsidR="000362C9" w:rsidRPr="00266478">
        <w:rPr>
          <w:sz w:val="24"/>
          <w:szCs w:val="24"/>
        </w:rPr>
        <w:t>declared that “one of the persisting legacies of slavery and colonialism remains the unequal application of the law to descendants of historically enslaved and colonized peoples.”</w:t>
      </w:r>
      <w:r w:rsidR="000362C9" w:rsidRPr="00966BD1">
        <w:rPr>
          <w:rStyle w:val="EndnoteReference"/>
          <w:sz w:val="24"/>
          <w:szCs w:val="24"/>
        </w:rPr>
        <w:endnoteReference w:id="181"/>
      </w:r>
      <w:r w:rsidR="000362C9" w:rsidRPr="00266478">
        <w:rPr>
          <w:sz w:val="24"/>
          <w:szCs w:val="24"/>
        </w:rPr>
        <w:t xml:space="preserve"> </w:t>
      </w:r>
    </w:p>
    <w:p w14:paraId="563E2A1E" w14:textId="7647304F" w:rsidR="000362C9" w:rsidRPr="00966BD1" w:rsidRDefault="000362C9" w:rsidP="00C47F14">
      <w:pPr>
        <w:pStyle w:val="ListParagraph"/>
        <w:ind w:hanging="450"/>
        <w:rPr>
          <w:sz w:val="24"/>
          <w:szCs w:val="24"/>
        </w:rPr>
      </w:pPr>
      <w:r w:rsidRPr="00966BD1">
        <w:rPr>
          <w:sz w:val="24"/>
          <w:szCs w:val="24"/>
        </w:rPr>
        <w:t xml:space="preserve">The U.S.’s Prevention through Deterrence scheme on migration, as applied to Haitians and other people of African descent, is a “persisting structure of racial inequality” and an emblematic example of how persisting legacies continue to lead to the unequal application of the law to descendants of historically enslaved and colonized people. The </w:t>
      </w:r>
      <w:r w:rsidR="00223161">
        <w:rPr>
          <w:sz w:val="24"/>
          <w:szCs w:val="24"/>
        </w:rPr>
        <w:t>PFPAD</w:t>
      </w:r>
      <w:r w:rsidRPr="00966BD1">
        <w:rPr>
          <w:sz w:val="24"/>
          <w:szCs w:val="24"/>
        </w:rPr>
        <w:t xml:space="preserve"> identified the “crimes of enslavement, colonialism, and neo-colonialism as </w:t>
      </w:r>
      <w:r w:rsidR="00390EA6">
        <w:rPr>
          <w:sz w:val="24"/>
          <w:szCs w:val="24"/>
        </w:rPr>
        <w:t>root</w:t>
      </w:r>
      <w:r w:rsidR="00390EA6" w:rsidRPr="00966BD1">
        <w:rPr>
          <w:sz w:val="24"/>
          <w:szCs w:val="24"/>
        </w:rPr>
        <w:t xml:space="preserve"> </w:t>
      </w:r>
      <w:r w:rsidRPr="00966BD1">
        <w:rPr>
          <w:sz w:val="24"/>
          <w:szCs w:val="24"/>
        </w:rPr>
        <w:t>causes of Haitian migration</w:t>
      </w:r>
      <w:r w:rsidR="002977C5">
        <w:rPr>
          <w:sz w:val="24"/>
          <w:szCs w:val="24"/>
        </w:rPr>
        <w:t>”</w:t>
      </w:r>
      <w:r w:rsidRPr="00966BD1">
        <w:rPr>
          <w:sz w:val="24"/>
          <w:szCs w:val="24"/>
        </w:rPr>
        <w:t xml:space="preserve"> </w:t>
      </w:r>
      <w:bookmarkStart w:id="75" w:name="_Toc143210384"/>
      <w:bookmarkStart w:id="76" w:name="_Toc143210382"/>
      <w:r w:rsidR="00B6052C">
        <w:rPr>
          <w:sz w:val="24"/>
          <w:szCs w:val="24"/>
        </w:rPr>
        <w:t xml:space="preserve">and </w:t>
      </w:r>
      <w:r w:rsidRPr="00966BD1">
        <w:rPr>
          <w:sz w:val="24"/>
          <w:szCs w:val="24"/>
        </w:rPr>
        <w:t xml:space="preserve">called on States to provide global reparatory justice </w:t>
      </w:r>
      <w:r w:rsidR="00484BE2">
        <w:rPr>
          <w:sz w:val="24"/>
          <w:szCs w:val="24"/>
        </w:rPr>
        <w:t xml:space="preserve">for histories </w:t>
      </w:r>
      <w:r w:rsidR="00735360">
        <w:rPr>
          <w:sz w:val="24"/>
          <w:szCs w:val="24"/>
        </w:rPr>
        <w:t xml:space="preserve">and legacies of colonialism and enslavement </w:t>
      </w:r>
      <w:r w:rsidRPr="00966BD1">
        <w:rPr>
          <w:sz w:val="24"/>
          <w:szCs w:val="24"/>
        </w:rPr>
        <w:t>and to end the abuse of Haitian nationals and people of African descent during transnational migration.</w:t>
      </w:r>
      <w:r w:rsidR="002977C5" w:rsidRPr="00966BD1">
        <w:rPr>
          <w:rStyle w:val="EndnoteReference"/>
          <w:sz w:val="24"/>
          <w:szCs w:val="24"/>
        </w:rPr>
        <w:endnoteReference w:id="182"/>
      </w:r>
      <w:r w:rsidRPr="00966BD1">
        <w:rPr>
          <w:sz w:val="24"/>
          <w:szCs w:val="24"/>
        </w:rPr>
        <w:t xml:space="preserve"> </w:t>
      </w:r>
      <w:r w:rsidR="00B120C8">
        <w:rPr>
          <w:sz w:val="24"/>
          <w:szCs w:val="24"/>
        </w:rPr>
        <w:t>I</w:t>
      </w:r>
      <w:r w:rsidRPr="00966BD1">
        <w:rPr>
          <w:sz w:val="24"/>
          <w:szCs w:val="24"/>
        </w:rPr>
        <w:t>t called on States “to end practices such as arbitrary detention, deportations, and pushbacks.”</w:t>
      </w:r>
      <w:r w:rsidR="002977C5">
        <w:rPr>
          <w:rStyle w:val="EndnoteReference"/>
          <w:sz w:val="24"/>
          <w:szCs w:val="24"/>
        </w:rPr>
        <w:endnoteReference w:id="183"/>
      </w:r>
      <w:r w:rsidRPr="00966BD1">
        <w:rPr>
          <w:sz w:val="24"/>
          <w:szCs w:val="24"/>
        </w:rPr>
        <w:t xml:space="preserve"> Additionally, the</w:t>
      </w:r>
      <w:r w:rsidR="00B6052C">
        <w:rPr>
          <w:sz w:val="24"/>
          <w:szCs w:val="24"/>
        </w:rPr>
        <w:t xml:space="preserve"> </w:t>
      </w:r>
      <w:r w:rsidR="00223161">
        <w:rPr>
          <w:sz w:val="24"/>
          <w:szCs w:val="24"/>
        </w:rPr>
        <w:t>PFPAD</w:t>
      </w:r>
      <w:r w:rsidRPr="00966BD1">
        <w:rPr>
          <w:sz w:val="24"/>
          <w:szCs w:val="24"/>
        </w:rPr>
        <w:t xml:space="preserve"> urged for “the separation of civil migration systems from criminal legal systems” and emphasized “the importance of ensuring that migration processes adhere strictly to international human rights standards and laws.”</w:t>
      </w:r>
      <w:r w:rsidR="002977C5">
        <w:rPr>
          <w:rStyle w:val="EndnoteReference"/>
          <w:sz w:val="24"/>
          <w:szCs w:val="24"/>
        </w:rPr>
        <w:endnoteReference w:id="184"/>
      </w:r>
      <w:r w:rsidRPr="00966BD1">
        <w:rPr>
          <w:sz w:val="24"/>
          <w:szCs w:val="24"/>
        </w:rPr>
        <w:t xml:space="preserve"> </w:t>
      </w:r>
    </w:p>
    <w:p w14:paraId="66B72709" w14:textId="77777777" w:rsidR="00BB0DF0" w:rsidRPr="00966BD1" w:rsidRDefault="00BB0DF0" w:rsidP="00BB0DF0">
      <w:pPr>
        <w:pStyle w:val="ListParagraph"/>
        <w:ind w:hanging="450"/>
        <w:rPr>
          <w:sz w:val="24"/>
          <w:szCs w:val="24"/>
        </w:rPr>
      </w:pPr>
      <w:r>
        <w:rPr>
          <w:sz w:val="24"/>
          <w:szCs w:val="24"/>
        </w:rPr>
        <w:t>Ongoing U.S. interference undermines Haiti’s stability and right to self-determination and perpetuates the root causes of migration. Per t</w:t>
      </w:r>
      <w:r w:rsidRPr="00966BD1">
        <w:rPr>
          <w:sz w:val="24"/>
          <w:szCs w:val="24"/>
        </w:rPr>
        <w:t>he Committee’s General Comment No. 12</w:t>
      </w:r>
      <w:r>
        <w:rPr>
          <w:sz w:val="24"/>
          <w:szCs w:val="24"/>
        </w:rPr>
        <w:t>,</w:t>
      </w:r>
      <w:r w:rsidRPr="00966BD1">
        <w:rPr>
          <w:sz w:val="24"/>
          <w:szCs w:val="24"/>
        </w:rPr>
        <w:t xml:space="preserve"> Art. 1 requires States</w:t>
      </w:r>
      <w:r>
        <w:rPr>
          <w:sz w:val="24"/>
          <w:szCs w:val="24"/>
        </w:rPr>
        <w:t xml:space="preserve"> to</w:t>
      </w:r>
      <w:r w:rsidRPr="00966BD1">
        <w:rPr>
          <w:sz w:val="24"/>
          <w:szCs w:val="24"/>
        </w:rPr>
        <w:t xml:space="preserve"> </w:t>
      </w:r>
      <w:r>
        <w:rPr>
          <w:sz w:val="24"/>
          <w:szCs w:val="24"/>
        </w:rPr>
        <w:t>“</w:t>
      </w:r>
      <w:r w:rsidRPr="00966BD1">
        <w:rPr>
          <w:sz w:val="24"/>
          <w:szCs w:val="24"/>
        </w:rPr>
        <w:t>refrain from interfering in the internal affairs of other States and thereby adversely affecting the exercise of the right to self-determination.”</w:t>
      </w:r>
      <w:r w:rsidRPr="00966BD1">
        <w:rPr>
          <w:sz w:val="24"/>
          <w:szCs w:val="24"/>
          <w:vertAlign w:val="superscript"/>
        </w:rPr>
        <w:endnoteReference w:id="185"/>
      </w:r>
    </w:p>
    <w:p w14:paraId="7F12E5DE" w14:textId="1DD58915" w:rsidR="000362C9" w:rsidRPr="00966BD1" w:rsidRDefault="00BB0DF0" w:rsidP="00C47F14">
      <w:pPr>
        <w:pStyle w:val="ListParagraph"/>
        <w:ind w:hanging="450"/>
        <w:rPr>
          <w:sz w:val="24"/>
          <w:szCs w:val="24"/>
        </w:rPr>
      </w:pPr>
      <w:r w:rsidRPr="000D0CA6">
        <w:rPr>
          <w:sz w:val="24"/>
          <w:szCs w:val="24"/>
        </w:rPr>
        <w:t xml:space="preserve">Haiti’s reparations claims–like those of other people of African descent–did not stop accumulating with the end of slavery, but include continuing economic and political interference. </w:t>
      </w:r>
      <w:r w:rsidR="000D0CA6">
        <w:rPr>
          <w:sz w:val="24"/>
          <w:szCs w:val="24"/>
        </w:rPr>
        <w:t>I</w:t>
      </w:r>
      <w:r w:rsidR="000362C9" w:rsidRPr="00966BD1">
        <w:rPr>
          <w:sz w:val="24"/>
          <w:szCs w:val="24"/>
        </w:rPr>
        <w:t>n 2003 Haiti’s government under President Jean-Bertrand Aristide initiated proceedings to pursue restitution under the unjust enrichment theory.</w:t>
      </w:r>
      <w:r w:rsidR="000362C9" w:rsidRPr="00966BD1">
        <w:rPr>
          <w:sz w:val="24"/>
          <w:szCs w:val="24"/>
          <w:vertAlign w:val="superscript"/>
        </w:rPr>
        <w:endnoteReference w:id="186"/>
      </w:r>
      <w:r w:rsidR="000362C9" w:rsidRPr="00966BD1">
        <w:rPr>
          <w:sz w:val="24"/>
          <w:szCs w:val="24"/>
        </w:rPr>
        <w:t xml:space="preserve"> France, the </w:t>
      </w:r>
      <w:r w:rsidR="000362C9">
        <w:rPr>
          <w:sz w:val="24"/>
          <w:szCs w:val="24"/>
        </w:rPr>
        <w:t>U.S.</w:t>
      </w:r>
      <w:r w:rsidR="000362C9" w:rsidRPr="00966BD1">
        <w:rPr>
          <w:sz w:val="24"/>
          <w:szCs w:val="24"/>
        </w:rPr>
        <w:t xml:space="preserve"> </w:t>
      </w:r>
      <w:r w:rsidR="000362C9" w:rsidRPr="00966BD1">
        <w:rPr>
          <w:sz w:val="24"/>
          <w:szCs w:val="24"/>
        </w:rPr>
        <w:lastRenderedPageBreak/>
        <w:t>and other nations that still retained the global hegemony they had built on slavery knew that</w:t>
      </w:r>
      <w:r w:rsidR="00B2364A">
        <w:rPr>
          <w:sz w:val="24"/>
          <w:szCs w:val="24"/>
        </w:rPr>
        <w:t xml:space="preserve"> j</w:t>
      </w:r>
      <w:r w:rsidR="000D0CA6">
        <w:rPr>
          <w:sz w:val="24"/>
          <w:szCs w:val="24"/>
        </w:rPr>
        <w:t>ustice in the form of reparations</w:t>
      </w:r>
      <w:r w:rsidR="000362C9" w:rsidRPr="00966BD1">
        <w:rPr>
          <w:sz w:val="24"/>
          <w:szCs w:val="24"/>
        </w:rPr>
        <w:t xml:space="preserve"> could lead to political sovereignty and human and economic development in those countries that would undermine the unequal global world order that still rests on the foundation of colonialism, enslavement, and white supremacy.</w:t>
      </w:r>
      <w:r w:rsidR="000362C9" w:rsidRPr="00966BD1">
        <w:rPr>
          <w:sz w:val="24"/>
          <w:szCs w:val="24"/>
          <w:vertAlign w:val="superscript"/>
        </w:rPr>
        <w:endnoteReference w:id="187"/>
      </w:r>
      <w:r w:rsidR="00B120C8">
        <w:rPr>
          <w:sz w:val="24"/>
          <w:szCs w:val="24"/>
        </w:rPr>
        <w:t xml:space="preserve"> </w:t>
      </w:r>
    </w:p>
    <w:p w14:paraId="786ADEF3" w14:textId="1FA1A6DC" w:rsidR="000362C9" w:rsidRPr="00BE749F" w:rsidRDefault="000362C9" w:rsidP="00BE749F">
      <w:pPr>
        <w:pStyle w:val="ListParagraph"/>
        <w:ind w:hanging="450"/>
        <w:rPr>
          <w:sz w:val="24"/>
          <w:szCs w:val="24"/>
        </w:rPr>
      </w:pPr>
      <w:r w:rsidRPr="00C614D0">
        <w:rPr>
          <w:sz w:val="24"/>
          <w:szCs w:val="24"/>
        </w:rPr>
        <w:t>When the</w:t>
      </w:r>
      <w:r w:rsidR="00B2364A">
        <w:rPr>
          <w:sz w:val="24"/>
          <w:szCs w:val="24"/>
        </w:rPr>
        <w:t xml:space="preserve">ir </w:t>
      </w:r>
      <w:r w:rsidRPr="00C614D0">
        <w:rPr>
          <w:sz w:val="24"/>
          <w:szCs w:val="24"/>
        </w:rPr>
        <w:t xml:space="preserve">political and economic coercion did not stop Haiti from pursuing its restitution claim, France, the U.S., and Canada removed </w:t>
      </w:r>
      <w:r w:rsidR="00B2364A">
        <w:rPr>
          <w:sz w:val="24"/>
          <w:szCs w:val="24"/>
        </w:rPr>
        <w:t>Haiti’s democratically-elected president</w:t>
      </w:r>
      <w:r w:rsidRPr="00C614D0">
        <w:rPr>
          <w:sz w:val="24"/>
          <w:szCs w:val="24"/>
        </w:rPr>
        <w:t>.</w:t>
      </w:r>
      <w:bookmarkStart w:id="77" w:name="_Ref142421111"/>
      <w:r w:rsidRPr="00966BD1">
        <w:rPr>
          <w:sz w:val="24"/>
          <w:szCs w:val="24"/>
          <w:vertAlign w:val="superscript"/>
        </w:rPr>
        <w:endnoteReference w:id="188"/>
      </w:r>
      <w:bookmarkEnd w:id="77"/>
      <w:r w:rsidRPr="00C614D0">
        <w:rPr>
          <w:sz w:val="24"/>
          <w:szCs w:val="24"/>
        </w:rPr>
        <w:t xml:space="preserve"> </w:t>
      </w:r>
      <w:r w:rsidRPr="00BE749F">
        <w:rPr>
          <w:sz w:val="24"/>
          <w:szCs w:val="24"/>
        </w:rPr>
        <w:t>The French ambassador to Haiti at the time later acknowledged that Aristide’s overthrow was at least in part a response to his efforts to seek reparations.</w:t>
      </w:r>
      <w:r w:rsidRPr="00966BD1">
        <w:rPr>
          <w:sz w:val="24"/>
          <w:szCs w:val="24"/>
          <w:vertAlign w:val="superscript"/>
        </w:rPr>
        <w:endnoteReference w:id="189"/>
      </w:r>
    </w:p>
    <w:p w14:paraId="6B8F3759" w14:textId="2CDAA6BF" w:rsidR="000D0CA6" w:rsidRPr="00266478" w:rsidRDefault="000362C9" w:rsidP="000D0CA6">
      <w:pPr>
        <w:pStyle w:val="ListParagraph"/>
        <w:ind w:hanging="450"/>
        <w:rPr>
          <w:sz w:val="24"/>
          <w:szCs w:val="24"/>
        </w:rPr>
      </w:pPr>
      <w:r w:rsidRPr="000D0CA6">
        <w:rPr>
          <w:sz w:val="24"/>
          <w:szCs w:val="24"/>
        </w:rPr>
        <w:t>The coup ushered in a steady erosion of Haiti’s democracy through a series of governments supported by the international community</w:t>
      </w:r>
      <w:r w:rsidRPr="00966BD1">
        <w:rPr>
          <w:sz w:val="24"/>
          <w:szCs w:val="24"/>
          <w:vertAlign w:val="superscript"/>
        </w:rPr>
        <w:endnoteReference w:id="190"/>
      </w:r>
      <w:r w:rsidR="000D0CA6">
        <w:rPr>
          <w:sz w:val="24"/>
          <w:szCs w:val="24"/>
        </w:rPr>
        <w:t xml:space="preserve"> that </w:t>
      </w:r>
      <w:r w:rsidR="001A644F">
        <w:rPr>
          <w:sz w:val="24"/>
          <w:szCs w:val="24"/>
        </w:rPr>
        <w:t>were</w:t>
      </w:r>
      <w:r w:rsidRPr="000D0CA6">
        <w:rPr>
          <w:rFonts w:eastAsia="Times New Roman"/>
          <w:color w:val="000000"/>
          <w:sz w:val="24"/>
          <w:szCs w:val="24"/>
        </w:rPr>
        <w:t xml:space="preserve"> </w:t>
      </w:r>
      <w:r w:rsidR="000D0CA6" w:rsidRPr="00966BD1">
        <w:rPr>
          <w:sz w:val="24"/>
          <w:szCs w:val="24"/>
        </w:rPr>
        <w:t>favorable to foreign interests</w:t>
      </w:r>
      <w:r w:rsidR="00B2364A">
        <w:rPr>
          <w:sz w:val="24"/>
          <w:szCs w:val="24"/>
        </w:rPr>
        <w:t xml:space="preserve"> even as they were corrupt and</w:t>
      </w:r>
      <w:r w:rsidR="000D0CA6" w:rsidRPr="00966BD1">
        <w:rPr>
          <w:sz w:val="24"/>
          <w:szCs w:val="24"/>
        </w:rPr>
        <w:t xml:space="preserve"> unresponsive to the Haitian people.</w:t>
      </w:r>
      <w:r w:rsidR="000D0CA6" w:rsidRPr="00966BD1">
        <w:rPr>
          <w:sz w:val="24"/>
          <w:szCs w:val="24"/>
          <w:vertAlign w:val="superscript"/>
        </w:rPr>
        <w:endnoteReference w:id="191"/>
      </w:r>
      <w:r w:rsidR="000D0CA6" w:rsidRPr="00966BD1">
        <w:rPr>
          <w:sz w:val="24"/>
          <w:szCs w:val="24"/>
        </w:rPr>
        <w:t xml:space="preserve"> The</w:t>
      </w:r>
      <w:r w:rsidR="00B2364A">
        <w:rPr>
          <w:sz w:val="24"/>
          <w:szCs w:val="24"/>
        </w:rPr>
        <w:t>y weakened democratic and judicial</w:t>
      </w:r>
      <w:r w:rsidR="000D0CA6" w:rsidRPr="00966BD1">
        <w:rPr>
          <w:sz w:val="24"/>
          <w:szCs w:val="24"/>
        </w:rPr>
        <w:t xml:space="preserve"> institutions, extract</w:t>
      </w:r>
      <w:r w:rsidR="00B2364A">
        <w:rPr>
          <w:sz w:val="24"/>
          <w:szCs w:val="24"/>
        </w:rPr>
        <w:t>ed Haiti’s wealth with no checks,</w:t>
      </w:r>
      <w:r w:rsidR="000D0CA6" w:rsidRPr="00966BD1">
        <w:rPr>
          <w:sz w:val="24"/>
          <w:szCs w:val="24"/>
        </w:rPr>
        <w:t xml:space="preserve"> </w:t>
      </w:r>
      <w:r w:rsidR="00B2364A">
        <w:rPr>
          <w:sz w:val="24"/>
          <w:szCs w:val="24"/>
        </w:rPr>
        <w:t xml:space="preserve">used gangs for political violence, and stole $2 billion dollars from public funds, which </w:t>
      </w:r>
      <w:r w:rsidR="006F5D51">
        <w:rPr>
          <w:sz w:val="24"/>
          <w:szCs w:val="24"/>
        </w:rPr>
        <w:t>left</w:t>
      </w:r>
      <w:r w:rsidR="00B2364A">
        <w:rPr>
          <w:sz w:val="24"/>
          <w:szCs w:val="24"/>
        </w:rPr>
        <w:t xml:space="preserve"> </w:t>
      </w:r>
      <w:r w:rsidR="000D0CA6" w:rsidRPr="00966BD1">
        <w:rPr>
          <w:sz w:val="24"/>
          <w:szCs w:val="24"/>
        </w:rPr>
        <w:t>Haiti in a cycle of crises.</w:t>
      </w:r>
      <w:r w:rsidR="000D0CA6" w:rsidRPr="00966BD1">
        <w:rPr>
          <w:sz w:val="24"/>
          <w:szCs w:val="24"/>
          <w:vertAlign w:val="superscript"/>
        </w:rPr>
        <w:endnoteReference w:id="192"/>
      </w:r>
      <w:r w:rsidR="006F5D51">
        <w:rPr>
          <w:sz w:val="24"/>
          <w:szCs w:val="24"/>
        </w:rPr>
        <w:t xml:space="preserve"> </w:t>
      </w:r>
      <w:r w:rsidRPr="00266478">
        <w:rPr>
          <w:sz w:val="24"/>
          <w:szCs w:val="24"/>
        </w:rPr>
        <w:t xml:space="preserve">As of </w:t>
      </w:r>
      <w:r w:rsidR="006F5D51">
        <w:rPr>
          <w:sz w:val="24"/>
          <w:szCs w:val="24"/>
        </w:rPr>
        <w:t xml:space="preserve">September </w:t>
      </w:r>
      <w:r w:rsidRPr="00266478">
        <w:rPr>
          <w:sz w:val="24"/>
          <w:szCs w:val="24"/>
        </w:rPr>
        <w:t>2023, gangs control over half the country</w:t>
      </w:r>
      <w:r w:rsidR="00B2364A">
        <w:rPr>
          <w:sz w:val="24"/>
          <w:szCs w:val="24"/>
        </w:rPr>
        <w:t xml:space="preserve"> and have unleashed catastrophic levels of violence</w:t>
      </w:r>
      <w:r w:rsidRPr="00266478">
        <w:rPr>
          <w:sz w:val="24"/>
          <w:szCs w:val="24"/>
        </w:rPr>
        <w:t>, half of all Haitians suffer from hunger, and the country lacks a single elected official.</w:t>
      </w:r>
      <w:r w:rsidRPr="00966BD1">
        <w:rPr>
          <w:vertAlign w:val="superscript"/>
        </w:rPr>
        <w:endnoteReference w:id="193"/>
      </w:r>
      <w:r w:rsidRPr="00266478">
        <w:rPr>
          <w:sz w:val="24"/>
          <w:szCs w:val="24"/>
        </w:rPr>
        <w:t xml:space="preserve"> </w:t>
      </w:r>
      <w:r w:rsidR="000D0CA6" w:rsidRPr="00266478">
        <w:rPr>
          <w:sz w:val="24"/>
          <w:szCs w:val="24"/>
        </w:rPr>
        <w:t xml:space="preserve"> </w:t>
      </w:r>
    </w:p>
    <w:p w14:paraId="5A776067" w14:textId="62A60443" w:rsidR="000362C9" w:rsidRPr="00966BD1" w:rsidRDefault="000362C9" w:rsidP="00C47F14">
      <w:pPr>
        <w:pStyle w:val="ListParagraph"/>
        <w:ind w:hanging="450"/>
        <w:rPr>
          <w:sz w:val="24"/>
          <w:szCs w:val="24"/>
        </w:rPr>
      </w:pPr>
      <w:r w:rsidRPr="00966BD1">
        <w:rPr>
          <w:sz w:val="24"/>
          <w:szCs w:val="24"/>
        </w:rPr>
        <w:t>Such undermining and the ongoing lack of global reparatory justice for slavery</w:t>
      </w:r>
      <w:r>
        <w:rPr>
          <w:sz w:val="24"/>
          <w:szCs w:val="24"/>
        </w:rPr>
        <w:t xml:space="preserve"> and</w:t>
      </w:r>
      <w:r w:rsidRPr="00966BD1">
        <w:rPr>
          <w:sz w:val="24"/>
          <w:szCs w:val="24"/>
        </w:rPr>
        <w:t xml:space="preserve"> colonialism create the root cause conditions for forced displacement and transnational migration seeking refuge and asylum in the U.S.</w:t>
      </w:r>
    </w:p>
    <w:p w14:paraId="16E1779B" w14:textId="00776BE8" w:rsidR="000362C9" w:rsidRPr="00966BD1" w:rsidRDefault="000362C9" w:rsidP="00966BD1">
      <w:pPr>
        <w:pStyle w:val="Heading1"/>
        <w:ind w:left="720"/>
        <w:rPr>
          <w:sz w:val="24"/>
          <w:szCs w:val="24"/>
        </w:rPr>
      </w:pPr>
      <w:bookmarkStart w:id="78" w:name="_Toc143210391"/>
      <w:bookmarkStart w:id="79" w:name="_Toc145307895"/>
      <w:bookmarkEnd w:id="75"/>
      <w:bookmarkEnd w:id="76"/>
      <w:r w:rsidRPr="00966BD1">
        <w:rPr>
          <w:sz w:val="24"/>
          <w:szCs w:val="24"/>
        </w:rPr>
        <w:t>Conclusion and Recommendations</w:t>
      </w:r>
      <w:bookmarkEnd w:id="78"/>
      <w:bookmarkEnd w:id="79"/>
    </w:p>
    <w:p w14:paraId="04A04C2B" w14:textId="55879237" w:rsidR="000362C9" w:rsidRPr="00966BD1" w:rsidRDefault="000362C9" w:rsidP="00C47F14">
      <w:pPr>
        <w:pStyle w:val="ListParagraph"/>
        <w:ind w:hanging="450"/>
        <w:rPr>
          <w:sz w:val="24"/>
          <w:szCs w:val="24"/>
        </w:rPr>
      </w:pPr>
      <w:r w:rsidRPr="00966BD1">
        <w:rPr>
          <w:sz w:val="24"/>
          <w:szCs w:val="24"/>
        </w:rPr>
        <w:t xml:space="preserve">The Committee should reaffirm Concluding Observations from 2014 made during its last </w:t>
      </w:r>
      <w:r w:rsidR="00223161">
        <w:rPr>
          <w:sz w:val="24"/>
          <w:szCs w:val="24"/>
        </w:rPr>
        <w:t xml:space="preserve">U.S. </w:t>
      </w:r>
      <w:r w:rsidRPr="00966BD1">
        <w:rPr>
          <w:sz w:val="24"/>
          <w:szCs w:val="24"/>
        </w:rPr>
        <w:t xml:space="preserve">review </w:t>
      </w:r>
      <w:r w:rsidR="00E76BA8">
        <w:rPr>
          <w:sz w:val="24"/>
          <w:szCs w:val="24"/>
        </w:rPr>
        <w:t>on m</w:t>
      </w:r>
      <w:r w:rsidRPr="00966BD1">
        <w:rPr>
          <w:sz w:val="24"/>
          <w:szCs w:val="24"/>
        </w:rPr>
        <w:t xml:space="preserve">aritime </w:t>
      </w:r>
      <w:r w:rsidR="00E76BA8">
        <w:rPr>
          <w:sz w:val="24"/>
          <w:szCs w:val="24"/>
        </w:rPr>
        <w:t>i</w:t>
      </w:r>
      <w:r w:rsidRPr="00966BD1">
        <w:rPr>
          <w:sz w:val="24"/>
          <w:szCs w:val="24"/>
        </w:rPr>
        <w:t>nterdiction</w:t>
      </w:r>
      <w:r w:rsidR="000F78CE">
        <w:rPr>
          <w:sz w:val="24"/>
          <w:szCs w:val="24"/>
        </w:rPr>
        <w:t>s</w:t>
      </w:r>
      <w:r w:rsidRPr="00966BD1">
        <w:rPr>
          <w:sz w:val="24"/>
          <w:szCs w:val="24"/>
        </w:rPr>
        <w:t xml:space="preserve"> and the extraterritorial application of the ICCPR;</w:t>
      </w:r>
      <w:r w:rsidRPr="00966BD1">
        <w:rPr>
          <w:rStyle w:val="EndnoteReference"/>
          <w:sz w:val="24"/>
          <w:szCs w:val="24"/>
        </w:rPr>
        <w:endnoteReference w:id="194"/>
      </w:r>
      <w:r w:rsidRPr="00966BD1">
        <w:rPr>
          <w:sz w:val="24"/>
          <w:szCs w:val="24"/>
        </w:rPr>
        <w:t xml:space="preserve"> the absolute prohibition against refoulement;</w:t>
      </w:r>
      <w:r w:rsidRPr="00966BD1">
        <w:rPr>
          <w:rStyle w:val="EndnoteReference"/>
          <w:sz w:val="24"/>
          <w:szCs w:val="24"/>
        </w:rPr>
        <w:endnoteReference w:id="195"/>
      </w:r>
      <w:r w:rsidRPr="00966BD1">
        <w:rPr>
          <w:sz w:val="24"/>
          <w:szCs w:val="24"/>
        </w:rPr>
        <w:t xml:space="preserve"> </w:t>
      </w:r>
      <w:r w:rsidR="000F78CE">
        <w:rPr>
          <w:sz w:val="24"/>
          <w:szCs w:val="24"/>
        </w:rPr>
        <w:t>m</w:t>
      </w:r>
      <w:r w:rsidRPr="00966BD1">
        <w:rPr>
          <w:sz w:val="24"/>
          <w:szCs w:val="24"/>
        </w:rPr>
        <w:t>andatory detention and deportation;</w:t>
      </w:r>
      <w:r w:rsidRPr="00966BD1">
        <w:rPr>
          <w:rStyle w:val="EndnoteReference"/>
          <w:sz w:val="24"/>
          <w:szCs w:val="24"/>
        </w:rPr>
        <w:endnoteReference w:id="196"/>
      </w:r>
      <w:r w:rsidRPr="00966BD1">
        <w:rPr>
          <w:sz w:val="24"/>
          <w:szCs w:val="24"/>
        </w:rPr>
        <w:t xml:space="preserve"> </w:t>
      </w:r>
      <w:r w:rsidR="006F732D">
        <w:rPr>
          <w:sz w:val="24"/>
          <w:szCs w:val="24"/>
        </w:rPr>
        <w:t>c</w:t>
      </w:r>
      <w:r w:rsidRPr="00966BD1">
        <w:rPr>
          <w:sz w:val="24"/>
          <w:szCs w:val="24"/>
        </w:rPr>
        <w:t>onditions of detention and solitary confinement;</w:t>
      </w:r>
      <w:r w:rsidRPr="00966BD1">
        <w:rPr>
          <w:rStyle w:val="EndnoteReference"/>
          <w:sz w:val="24"/>
          <w:szCs w:val="24"/>
        </w:rPr>
        <w:endnoteReference w:id="197"/>
      </w:r>
      <w:r w:rsidRPr="00966BD1">
        <w:rPr>
          <w:sz w:val="24"/>
          <w:szCs w:val="24"/>
        </w:rPr>
        <w:t xml:space="preserve"> </w:t>
      </w:r>
      <w:r w:rsidR="006F732D">
        <w:rPr>
          <w:sz w:val="24"/>
          <w:szCs w:val="24"/>
        </w:rPr>
        <w:t>e</w:t>
      </w:r>
      <w:r w:rsidRPr="00966BD1">
        <w:rPr>
          <w:sz w:val="24"/>
          <w:szCs w:val="24"/>
        </w:rPr>
        <w:t>xcessive use of force by law enforcement officials;</w:t>
      </w:r>
      <w:r w:rsidRPr="00966BD1">
        <w:rPr>
          <w:rStyle w:val="EndnoteReference"/>
          <w:sz w:val="24"/>
          <w:szCs w:val="24"/>
        </w:rPr>
        <w:endnoteReference w:id="198"/>
      </w:r>
      <w:r w:rsidRPr="00966BD1">
        <w:rPr>
          <w:sz w:val="24"/>
          <w:szCs w:val="24"/>
        </w:rPr>
        <w:t xml:space="preserve"> and legislation prohibiting torture.</w:t>
      </w:r>
      <w:r w:rsidRPr="00966BD1">
        <w:rPr>
          <w:rStyle w:val="EndnoteReference"/>
          <w:sz w:val="24"/>
          <w:szCs w:val="24"/>
        </w:rPr>
        <w:endnoteReference w:id="199"/>
      </w:r>
      <w:r w:rsidRPr="00966BD1">
        <w:rPr>
          <w:sz w:val="24"/>
          <w:szCs w:val="24"/>
        </w:rPr>
        <w:t xml:space="preserve"> </w:t>
      </w:r>
    </w:p>
    <w:p w14:paraId="7BBF55FD" w14:textId="418BF6BE" w:rsidR="000362C9" w:rsidRPr="00966BD1" w:rsidRDefault="006F732D" w:rsidP="00C47F14">
      <w:pPr>
        <w:pStyle w:val="ListParagraph"/>
        <w:ind w:hanging="450"/>
        <w:rPr>
          <w:sz w:val="24"/>
          <w:szCs w:val="24"/>
        </w:rPr>
      </w:pPr>
      <w:r>
        <w:rPr>
          <w:sz w:val="24"/>
          <w:szCs w:val="24"/>
        </w:rPr>
        <w:t>The</w:t>
      </w:r>
      <w:r w:rsidR="000362C9" w:rsidRPr="00966BD1">
        <w:rPr>
          <w:sz w:val="24"/>
          <w:szCs w:val="24"/>
        </w:rPr>
        <w:t xml:space="preserve"> Committee should direct the U</w:t>
      </w:r>
      <w:r w:rsidR="000362C9">
        <w:rPr>
          <w:sz w:val="24"/>
          <w:szCs w:val="24"/>
        </w:rPr>
        <w:t>.S.</w:t>
      </w:r>
      <w:r w:rsidR="000362C9" w:rsidRPr="00966BD1">
        <w:rPr>
          <w:sz w:val="24"/>
          <w:szCs w:val="24"/>
        </w:rPr>
        <w:t xml:space="preserve"> to follow CERD’s 2023 Statement under its Early Action and Urgent Warning Procedure,</w:t>
      </w:r>
      <w:r w:rsidR="00223161">
        <w:rPr>
          <w:rStyle w:val="EndnoteReference"/>
          <w:sz w:val="24"/>
          <w:szCs w:val="24"/>
        </w:rPr>
        <w:endnoteReference w:id="200"/>
      </w:r>
      <w:r w:rsidR="000362C9" w:rsidRPr="00966BD1">
        <w:rPr>
          <w:sz w:val="24"/>
          <w:szCs w:val="24"/>
        </w:rPr>
        <w:t xml:space="preserve"> including by suspending all deportations and returns of people to Haiti, and to observe CERD’s 2022 Concluding Observations, including by ending mandatory detention for immigration matters.</w:t>
      </w:r>
    </w:p>
    <w:p w14:paraId="41928203" w14:textId="6AFD8252" w:rsidR="000362C9" w:rsidRPr="00966BD1" w:rsidRDefault="000362C9" w:rsidP="00C47F14">
      <w:pPr>
        <w:pStyle w:val="ListParagraph"/>
        <w:ind w:hanging="450"/>
        <w:rPr>
          <w:sz w:val="24"/>
          <w:szCs w:val="24"/>
        </w:rPr>
      </w:pPr>
      <w:r w:rsidRPr="00966BD1">
        <w:rPr>
          <w:sz w:val="24"/>
          <w:szCs w:val="24"/>
        </w:rPr>
        <w:t xml:space="preserve">The Committee should cite to the </w:t>
      </w:r>
      <w:r w:rsidR="00E43023">
        <w:rPr>
          <w:sz w:val="24"/>
          <w:szCs w:val="24"/>
        </w:rPr>
        <w:t>PFPAD</w:t>
      </w:r>
      <w:r w:rsidRPr="00966BD1">
        <w:rPr>
          <w:sz w:val="24"/>
          <w:szCs w:val="24"/>
        </w:rPr>
        <w:t xml:space="preserve">’s 2023 Preliminary Conclusions and Recommendations calling on access to justice for slavery, colonialism, and </w:t>
      </w:r>
      <w:r w:rsidR="00E43023">
        <w:rPr>
          <w:sz w:val="24"/>
          <w:szCs w:val="24"/>
        </w:rPr>
        <w:t>neo-colonialism</w:t>
      </w:r>
      <w:r w:rsidRPr="00966BD1">
        <w:rPr>
          <w:sz w:val="24"/>
          <w:szCs w:val="24"/>
        </w:rPr>
        <w:t xml:space="preserve"> through global reparatory justice processes</w:t>
      </w:r>
      <w:r w:rsidR="005D730E">
        <w:rPr>
          <w:sz w:val="24"/>
          <w:szCs w:val="24"/>
        </w:rPr>
        <w:t>, emphasizing</w:t>
      </w:r>
      <w:r w:rsidRPr="00966BD1">
        <w:rPr>
          <w:sz w:val="24"/>
          <w:szCs w:val="24"/>
        </w:rPr>
        <w:t xml:space="preserve"> how the lack of such justice is a root cause of ongoing forced displacement and transnational migration.</w:t>
      </w:r>
    </w:p>
    <w:p w14:paraId="3D4A24F2" w14:textId="35ADBAA6" w:rsidR="000362C9" w:rsidRPr="00966BD1" w:rsidRDefault="000362C9" w:rsidP="00C47F14">
      <w:pPr>
        <w:pStyle w:val="ListParagraph"/>
        <w:ind w:hanging="450"/>
        <w:rPr>
          <w:sz w:val="24"/>
          <w:szCs w:val="24"/>
        </w:rPr>
      </w:pPr>
      <w:r w:rsidRPr="00966BD1">
        <w:rPr>
          <w:sz w:val="24"/>
          <w:szCs w:val="24"/>
        </w:rPr>
        <w:t>The Committee can further recommend that the U.S. take the following action to fulfill its obligations under the Covenant:</w:t>
      </w:r>
    </w:p>
    <w:p w14:paraId="3D8BD93D" w14:textId="4418209A" w:rsidR="000362C9" w:rsidRPr="00966BD1" w:rsidRDefault="000362C9" w:rsidP="006F4FDD">
      <w:pPr>
        <w:pStyle w:val="ListParagraph"/>
        <w:numPr>
          <w:ilvl w:val="1"/>
          <w:numId w:val="6"/>
        </w:numPr>
        <w:rPr>
          <w:sz w:val="24"/>
          <w:szCs w:val="24"/>
        </w:rPr>
      </w:pPr>
      <w:r w:rsidRPr="00966BD1">
        <w:rPr>
          <w:sz w:val="24"/>
          <w:szCs w:val="24"/>
        </w:rPr>
        <w:t>Rescind</w:t>
      </w:r>
      <w:r w:rsidR="00F66F0A">
        <w:rPr>
          <w:sz w:val="24"/>
          <w:szCs w:val="24"/>
        </w:rPr>
        <w:t xml:space="preserve"> and replace</w:t>
      </w:r>
      <w:r w:rsidRPr="00966BD1">
        <w:rPr>
          <w:sz w:val="24"/>
          <w:szCs w:val="24"/>
        </w:rPr>
        <w:t xml:space="preserve"> </w:t>
      </w:r>
      <w:r w:rsidR="00F66F0A">
        <w:rPr>
          <w:sz w:val="24"/>
          <w:szCs w:val="24"/>
        </w:rPr>
        <w:t>Executive Order</w:t>
      </w:r>
      <w:r w:rsidRPr="00966BD1">
        <w:rPr>
          <w:sz w:val="24"/>
          <w:szCs w:val="24"/>
        </w:rPr>
        <w:t xml:space="preserve"> 13286 with </w:t>
      </w:r>
      <w:r w:rsidR="005D730E">
        <w:rPr>
          <w:sz w:val="24"/>
          <w:szCs w:val="24"/>
        </w:rPr>
        <w:t xml:space="preserve">an </w:t>
      </w:r>
      <w:r w:rsidR="00F66F0A">
        <w:rPr>
          <w:sz w:val="24"/>
          <w:szCs w:val="24"/>
        </w:rPr>
        <w:t>order</w:t>
      </w:r>
      <w:r w:rsidRPr="00966BD1">
        <w:rPr>
          <w:sz w:val="24"/>
          <w:szCs w:val="24"/>
        </w:rPr>
        <w:t xml:space="preserve"> that guarantees migrants subject to maritime interdictions are treated in accordance with international law and the recommendations of the UN Special Rapporteur on the Human Rights of Migrants, where States </w:t>
      </w:r>
      <w:r w:rsidR="00F66F0A">
        <w:rPr>
          <w:sz w:val="24"/>
          <w:szCs w:val="24"/>
        </w:rPr>
        <w:t>should</w:t>
      </w:r>
      <w:r w:rsidRPr="00966BD1">
        <w:rPr>
          <w:sz w:val="24"/>
          <w:szCs w:val="24"/>
        </w:rPr>
        <w:t xml:space="preserve"> “cooperate internationally to protect the lives and safety of migrants at land and at sea; ensure that migrants rescued at sea are </w:t>
      </w:r>
      <w:r w:rsidRPr="00966BD1">
        <w:rPr>
          <w:sz w:val="24"/>
          <w:szCs w:val="24"/>
        </w:rPr>
        <w:lastRenderedPageBreak/>
        <w:t>promptly brought to a port recognized by the international community as safe, and are given access to individualized procedures and adequate care…”</w:t>
      </w:r>
      <w:r w:rsidRPr="00966BD1">
        <w:rPr>
          <w:rStyle w:val="EndnoteReference"/>
          <w:sz w:val="24"/>
          <w:szCs w:val="24"/>
        </w:rPr>
        <w:endnoteReference w:id="201"/>
      </w:r>
    </w:p>
    <w:p w14:paraId="47BF17A6" w14:textId="2FA470B8" w:rsidR="00FF5F7E" w:rsidRDefault="30954339" w:rsidP="006F4FDD">
      <w:pPr>
        <w:pStyle w:val="ListParagraph"/>
        <w:numPr>
          <w:ilvl w:val="1"/>
          <w:numId w:val="6"/>
        </w:numPr>
        <w:rPr>
          <w:sz w:val="24"/>
          <w:szCs w:val="24"/>
        </w:rPr>
      </w:pPr>
      <w:r w:rsidRPr="00966BD1">
        <w:rPr>
          <w:sz w:val="24"/>
          <w:szCs w:val="24"/>
        </w:rPr>
        <w:t xml:space="preserve">Codify the principle of </w:t>
      </w:r>
      <w:r w:rsidR="00EB5ED8" w:rsidRPr="00F66F0A">
        <w:rPr>
          <w:sz w:val="24"/>
          <w:szCs w:val="24"/>
        </w:rPr>
        <w:t>non-refoulement</w:t>
      </w:r>
      <w:r w:rsidR="00CD1DA7">
        <w:rPr>
          <w:sz w:val="24"/>
          <w:szCs w:val="24"/>
        </w:rPr>
        <w:t>, including under the Covenant as interpreted by the Human Rights Committee,</w:t>
      </w:r>
      <w:r w:rsidRPr="00966BD1">
        <w:rPr>
          <w:sz w:val="24"/>
          <w:szCs w:val="24"/>
        </w:rPr>
        <w:t xml:space="preserve"> in </w:t>
      </w:r>
      <w:r w:rsidR="00B469EB" w:rsidRPr="00966BD1">
        <w:rPr>
          <w:sz w:val="24"/>
          <w:szCs w:val="24"/>
        </w:rPr>
        <w:t>federal</w:t>
      </w:r>
      <w:r w:rsidRPr="00966BD1">
        <w:rPr>
          <w:sz w:val="24"/>
          <w:szCs w:val="24"/>
        </w:rPr>
        <w:t xml:space="preserve"> legislation, irrespective of territorial status, for people in the effective control of the U.S.</w:t>
      </w:r>
    </w:p>
    <w:p w14:paraId="07CD95CE" w14:textId="77777777" w:rsidR="00B56F5B" w:rsidRDefault="0020608C" w:rsidP="0090513D">
      <w:pPr>
        <w:pStyle w:val="ListParagraph"/>
        <w:numPr>
          <w:ilvl w:val="0"/>
          <w:numId w:val="0"/>
        </w:numPr>
        <w:ind w:left="1440"/>
        <w:rPr>
          <w:sz w:val="24"/>
          <w:szCs w:val="24"/>
        </w:rPr>
      </w:pPr>
      <w:r w:rsidRPr="00B56F5B">
        <w:rPr>
          <w:sz w:val="24"/>
          <w:szCs w:val="24"/>
        </w:rPr>
        <w:t xml:space="preserve">Rescind the </w:t>
      </w:r>
      <w:r w:rsidR="0012522C" w:rsidRPr="00B56F5B">
        <w:rPr>
          <w:sz w:val="24"/>
          <w:szCs w:val="24"/>
        </w:rPr>
        <w:t>Circumvention of Lawful Pathways policy and stop</w:t>
      </w:r>
      <w:r w:rsidRPr="00B56F5B">
        <w:rPr>
          <w:sz w:val="24"/>
          <w:szCs w:val="24"/>
        </w:rPr>
        <w:t xml:space="preserve"> all forms of </w:t>
      </w:r>
      <w:r w:rsidR="0012522C" w:rsidRPr="00B56F5B">
        <w:rPr>
          <w:sz w:val="24"/>
          <w:szCs w:val="24"/>
        </w:rPr>
        <w:t xml:space="preserve">metering and </w:t>
      </w:r>
      <w:r w:rsidRPr="00B56F5B">
        <w:rPr>
          <w:sz w:val="24"/>
          <w:szCs w:val="24"/>
        </w:rPr>
        <w:t xml:space="preserve">pushbacks </w:t>
      </w:r>
      <w:r w:rsidR="0012522C" w:rsidRPr="00B56F5B">
        <w:rPr>
          <w:sz w:val="24"/>
          <w:szCs w:val="24"/>
        </w:rPr>
        <w:t xml:space="preserve">(including bi-lateral agreements with Mexico) that </w:t>
      </w:r>
      <w:r w:rsidRPr="00B56F5B">
        <w:rPr>
          <w:sz w:val="24"/>
          <w:szCs w:val="24"/>
        </w:rPr>
        <w:t xml:space="preserve">expose </w:t>
      </w:r>
      <w:r w:rsidR="00284C44" w:rsidRPr="00B56F5B">
        <w:rPr>
          <w:sz w:val="24"/>
          <w:szCs w:val="24"/>
        </w:rPr>
        <w:t>migrants</w:t>
      </w:r>
      <w:r w:rsidRPr="00B56F5B">
        <w:rPr>
          <w:sz w:val="24"/>
          <w:szCs w:val="24"/>
        </w:rPr>
        <w:t xml:space="preserve"> waiting along the U.S.-Mexico border to ongoing violations of rights under the Covenant</w:t>
      </w:r>
      <w:r w:rsidR="0012522C" w:rsidRPr="00B56F5B">
        <w:rPr>
          <w:sz w:val="24"/>
          <w:szCs w:val="24"/>
        </w:rPr>
        <w:t xml:space="preserve">. </w:t>
      </w:r>
    </w:p>
    <w:p w14:paraId="18467F03" w14:textId="1C9DB742" w:rsidR="00B56F5B" w:rsidRPr="00B56F5B" w:rsidRDefault="00B56F5B" w:rsidP="00B56F5B">
      <w:pPr>
        <w:pStyle w:val="ListParagraph"/>
        <w:numPr>
          <w:ilvl w:val="1"/>
          <w:numId w:val="6"/>
        </w:numPr>
        <w:rPr>
          <w:sz w:val="24"/>
          <w:szCs w:val="24"/>
        </w:rPr>
      </w:pPr>
      <w:r>
        <w:rPr>
          <w:sz w:val="24"/>
          <w:szCs w:val="24"/>
        </w:rPr>
        <w:t>Provide meaningful a</w:t>
      </w:r>
      <w:r w:rsidRPr="00B56F5B">
        <w:rPr>
          <w:sz w:val="24"/>
          <w:szCs w:val="24"/>
        </w:rPr>
        <w:t>ccess to judicial remedies for arbitrary detention and harms suffered</w:t>
      </w:r>
      <w:r>
        <w:rPr>
          <w:sz w:val="24"/>
          <w:szCs w:val="24"/>
        </w:rPr>
        <w:t>,</w:t>
      </w:r>
      <w:r w:rsidRPr="00B56F5B">
        <w:rPr>
          <w:sz w:val="24"/>
          <w:szCs w:val="24"/>
        </w:rPr>
        <w:t xml:space="preserve"> racial discrimination based on disparate impact, </w:t>
      </w:r>
      <w:r>
        <w:rPr>
          <w:sz w:val="24"/>
          <w:szCs w:val="24"/>
        </w:rPr>
        <w:t xml:space="preserve">and </w:t>
      </w:r>
      <w:r w:rsidRPr="00B56F5B">
        <w:rPr>
          <w:sz w:val="24"/>
          <w:szCs w:val="24"/>
        </w:rPr>
        <w:t>violation</w:t>
      </w:r>
      <w:r>
        <w:rPr>
          <w:sz w:val="24"/>
          <w:szCs w:val="24"/>
        </w:rPr>
        <w:t>s</w:t>
      </w:r>
      <w:r w:rsidRPr="00B56F5B">
        <w:rPr>
          <w:sz w:val="24"/>
          <w:szCs w:val="24"/>
        </w:rPr>
        <w:t xml:space="preserve"> of prohibition against refoulement and harms occurring outside of State’s territory.</w:t>
      </w:r>
    </w:p>
    <w:p w14:paraId="4A0E7D42" w14:textId="1628684D" w:rsidR="006911CB" w:rsidRDefault="006911CB" w:rsidP="006F4FDD">
      <w:pPr>
        <w:pStyle w:val="ListParagraph"/>
        <w:numPr>
          <w:ilvl w:val="1"/>
          <w:numId w:val="6"/>
        </w:numPr>
        <w:rPr>
          <w:sz w:val="24"/>
          <w:szCs w:val="24"/>
        </w:rPr>
      </w:pPr>
      <w:r w:rsidRPr="00DA0A5D">
        <w:rPr>
          <w:sz w:val="24"/>
          <w:szCs w:val="24"/>
        </w:rPr>
        <w:t>U.S. policy, to the extent it exercises effective control, should help Panama satisfy the recommendations of the Committee made in its March 2023,</w:t>
      </w:r>
      <w:r w:rsidRPr="00966BD1">
        <w:rPr>
          <w:rStyle w:val="EndnoteReference"/>
          <w:sz w:val="24"/>
          <w:szCs w:val="24"/>
        </w:rPr>
        <w:endnoteReference w:id="202"/>
      </w:r>
      <w:r w:rsidRPr="00DA0A5D">
        <w:rPr>
          <w:sz w:val="24"/>
          <w:szCs w:val="24"/>
        </w:rPr>
        <w:t xml:space="preserve"> and should also observe </w:t>
      </w:r>
      <w:r w:rsidR="00284C44">
        <w:rPr>
          <w:sz w:val="24"/>
          <w:szCs w:val="24"/>
        </w:rPr>
        <w:t>Panama’s</w:t>
      </w:r>
      <w:r w:rsidRPr="00DA0A5D">
        <w:rPr>
          <w:sz w:val="24"/>
          <w:szCs w:val="24"/>
        </w:rPr>
        <w:t xml:space="preserve"> Concluding Observations of </w:t>
      </w:r>
      <w:r w:rsidR="00284C44">
        <w:rPr>
          <w:sz w:val="24"/>
          <w:szCs w:val="24"/>
        </w:rPr>
        <w:t xml:space="preserve">CEDAW </w:t>
      </w:r>
      <w:r w:rsidRPr="00DA0A5D">
        <w:rPr>
          <w:sz w:val="24"/>
          <w:szCs w:val="24"/>
        </w:rPr>
        <w:t>in February 2022,</w:t>
      </w:r>
      <w:r w:rsidRPr="00966BD1">
        <w:rPr>
          <w:rStyle w:val="EndnoteReference"/>
          <w:sz w:val="24"/>
          <w:szCs w:val="24"/>
        </w:rPr>
        <w:endnoteReference w:id="203"/>
      </w:r>
      <w:r w:rsidRPr="00DA0A5D">
        <w:rPr>
          <w:sz w:val="24"/>
          <w:szCs w:val="24"/>
        </w:rPr>
        <w:t xml:space="preserve"> and the </w:t>
      </w:r>
      <w:r w:rsidR="00284C44">
        <w:rPr>
          <w:sz w:val="24"/>
          <w:szCs w:val="24"/>
        </w:rPr>
        <w:t>CESCR</w:t>
      </w:r>
      <w:r w:rsidRPr="00DA0A5D">
        <w:rPr>
          <w:sz w:val="24"/>
          <w:szCs w:val="24"/>
        </w:rPr>
        <w:t xml:space="preserve"> in 2023.</w:t>
      </w:r>
      <w:r w:rsidRPr="00966BD1">
        <w:rPr>
          <w:rStyle w:val="EndnoteReference"/>
          <w:sz w:val="24"/>
          <w:szCs w:val="24"/>
        </w:rPr>
        <w:endnoteReference w:id="204"/>
      </w:r>
    </w:p>
    <w:p w14:paraId="7D4D4209" w14:textId="7B932EF4" w:rsidR="00CD1DA7" w:rsidRPr="00CD1DA7" w:rsidRDefault="00CD1DA7" w:rsidP="00CD1DA7">
      <w:pPr>
        <w:pStyle w:val="ListParagraph"/>
        <w:numPr>
          <w:ilvl w:val="1"/>
          <w:numId w:val="6"/>
        </w:numPr>
        <w:rPr>
          <w:sz w:val="24"/>
          <w:szCs w:val="24"/>
        </w:rPr>
      </w:pPr>
      <w:r w:rsidRPr="00966BD1">
        <w:rPr>
          <w:sz w:val="24"/>
          <w:szCs w:val="24"/>
        </w:rPr>
        <w:t xml:space="preserve">Take all necessary action in its </w:t>
      </w:r>
      <w:r>
        <w:rPr>
          <w:sz w:val="24"/>
          <w:szCs w:val="24"/>
        </w:rPr>
        <w:t>foreign</w:t>
      </w:r>
      <w:r w:rsidRPr="00966BD1">
        <w:rPr>
          <w:sz w:val="24"/>
          <w:szCs w:val="24"/>
        </w:rPr>
        <w:t xml:space="preserve"> </w:t>
      </w:r>
      <w:r>
        <w:rPr>
          <w:sz w:val="24"/>
          <w:szCs w:val="24"/>
        </w:rPr>
        <w:t>policies</w:t>
      </w:r>
      <w:r w:rsidRPr="00966BD1">
        <w:rPr>
          <w:sz w:val="24"/>
          <w:szCs w:val="24"/>
        </w:rPr>
        <w:t xml:space="preserve"> to satisfy its obligations under Article I </w:t>
      </w:r>
      <w:r>
        <w:rPr>
          <w:sz w:val="24"/>
          <w:szCs w:val="24"/>
        </w:rPr>
        <w:t>and the r</w:t>
      </w:r>
      <w:r w:rsidRPr="00966BD1">
        <w:rPr>
          <w:sz w:val="24"/>
          <w:szCs w:val="24"/>
        </w:rPr>
        <w:t xml:space="preserve">ight to </w:t>
      </w:r>
      <w:r>
        <w:rPr>
          <w:sz w:val="24"/>
          <w:szCs w:val="24"/>
        </w:rPr>
        <w:t>s</w:t>
      </w:r>
      <w:r w:rsidRPr="00966BD1">
        <w:rPr>
          <w:sz w:val="24"/>
          <w:szCs w:val="24"/>
        </w:rPr>
        <w:t>elf-</w:t>
      </w:r>
      <w:r>
        <w:rPr>
          <w:sz w:val="24"/>
          <w:szCs w:val="24"/>
        </w:rPr>
        <w:t>d</w:t>
      </w:r>
      <w:r w:rsidRPr="00966BD1">
        <w:rPr>
          <w:sz w:val="24"/>
          <w:szCs w:val="24"/>
        </w:rPr>
        <w:t xml:space="preserve">etermination, especially with respect to Haiti </w:t>
      </w:r>
      <w:r>
        <w:rPr>
          <w:sz w:val="24"/>
          <w:szCs w:val="24"/>
        </w:rPr>
        <w:t xml:space="preserve">and Mexico </w:t>
      </w:r>
      <w:r w:rsidRPr="00966BD1">
        <w:rPr>
          <w:sz w:val="24"/>
          <w:szCs w:val="24"/>
        </w:rPr>
        <w:t>and the</w:t>
      </w:r>
      <w:r>
        <w:rPr>
          <w:sz w:val="24"/>
          <w:szCs w:val="24"/>
        </w:rPr>
        <w:t>ir</w:t>
      </w:r>
      <w:r w:rsidRPr="00966BD1">
        <w:rPr>
          <w:sz w:val="24"/>
          <w:szCs w:val="24"/>
        </w:rPr>
        <w:t xml:space="preserve"> people’s right to self-determine.</w:t>
      </w:r>
    </w:p>
    <w:p w14:paraId="6B68F9AB" w14:textId="16814E01" w:rsidR="000135A0" w:rsidRPr="00966BD1" w:rsidRDefault="000135A0">
      <w:pPr>
        <w:rPr>
          <w:rFonts w:ascii="Times New Roman" w:hAnsi="Times New Roman" w:cs="Times New Roman"/>
          <w:sz w:val="24"/>
          <w:szCs w:val="24"/>
        </w:rPr>
      </w:pPr>
    </w:p>
    <w:sectPr w:rsidR="000135A0" w:rsidRPr="00966BD1" w:rsidSect="00617DC3">
      <w:headerReference w:type="default" r:id="rId18"/>
      <w:footerReference w:type="default" r:id="rId19"/>
      <w:footerReference w:type="first" r:id="rId20"/>
      <w:endnotePr>
        <w:numFmt w:val="decimal"/>
      </w:end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B8306" w14:textId="77777777" w:rsidR="00ED30C2" w:rsidRDefault="00ED30C2" w:rsidP="00992BB5">
      <w:r>
        <w:separator/>
      </w:r>
    </w:p>
  </w:endnote>
  <w:endnote w:type="continuationSeparator" w:id="0">
    <w:p w14:paraId="679130A0" w14:textId="77777777" w:rsidR="00ED30C2" w:rsidRDefault="00ED30C2" w:rsidP="00992BB5">
      <w:r>
        <w:continuationSeparator/>
      </w:r>
    </w:p>
  </w:endnote>
  <w:endnote w:type="continuationNotice" w:id="1">
    <w:p w14:paraId="42C5D036" w14:textId="77777777" w:rsidR="00ED30C2" w:rsidRDefault="00ED30C2"/>
  </w:endnote>
  <w:endnote w:id="2">
    <w:p w14:paraId="409D97FB" w14:textId="0EC6B91F" w:rsidR="00C23B2A" w:rsidRPr="00BA4A9E" w:rsidRDefault="00C23B2A" w:rsidP="009A6E1E">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DA41D9">
        <w:rPr>
          <w:rFonts w:ascii="Times New Roman" w:hAnsi="Times New Roman" w:cs="Times New Roman"/>
        </w:rPr>
        <w:t xml:space="preserve">E. Tendayi Achiume (Special Rapporteur </w:t>
      </w:r>
      <w:r w:rsidR="009A6E1E" w:rsidRPr="009A6E1E">
        <w:rPr>
          <w:rFonts w:ascii="Times New Roman" w:hAnsi="Times New Roman" w:cs="Times New Roman"/>
        </w:rPr>
        <w:t>on contemporary forms of racism, racial discrimination, xenophobia and racial intolerance</w:t>
      </w:r>
      <w:r w:rsidR="009A6E1E">
        <w:rPr>
          <w:rFonts w:ascii="Times New Roman" w:hAnsi="Times New Roman" w:cs="Times New Roman"/>
        </w:rPr>
        <w:t>)</w:t>
      </w:r>
      <w:r w:rsidR="00DA41D9">
        <w:rPr>
          <w:rFonts w:ascii="Times New Roman" w:hAnsi="Times New Roman" w:cs="Times New Roman"/>
        </w:rPr>
        <w:t xml:space="preserve">, </w:t>
      </w:r>
      <w:r w:rsidR="00FA0222" w:rsidRPr="009A6E1E">
        <w:rPr>
          <w:rFonts w:ascii="Times New Roman" w:hAnsi="Times New Roman" w:cs="Times New Roman"/>
          <w:i/>
          <w:iCs/>
        </w:rPr>
        <w:t>Report of the Special Rapporteur on contemporary forms of racism, racial discrimination, xenophobia and related intolerance</w:t>
      </w:r>
      <w:r w:rsidR="00FA0222" w:rsidRPr="00BA4A9E">
        <w:rPr>
          <w:rFonts w:ascii="Times New Roman" w:hAnsi="Times New Roman" w:cs="Times New Roman"/>
        </w:rPr>
        <w:t xml:space="preserve">, </w:t>
      </w:r>
      <w:r w:rsidR="009A6E1E">
        <w:rPr>
          <w:rFonts w:ascii="Times New Roman" w:hAnsi="Times New Roman" w:cs="Times New Roman"/>
        </w:rPr>
        <w:t xml:space="preserve">at </w:t>
      </w:r>
      <w:r w:rsidR="009A6E1E" w:rsidRPr="00BA4A9E">
        <w:rPr>
          <w:rFonts w:ascii="Times New Roman" w:hAnsi="Times New Roman" w:cs="Times New Roman"/>
        </w:rPr>
        <w:t xml:space="preserve">¶ </w:t>
      </w:r>
      <w:proofErr w:type="gramStart"/>
      <w:r w:rsidR="009A6E1E" w:rsidRPr="00BA4A9E">
        <w:rPr>
          <w:rFonts w:ascii="Times New Roman" w:hAnsi="Times New Roman" w:cs="Times New Roman"/>
        </w:rPr>
        <w:t xml:space="preserve">6,  </w:t>
      </w:r>
      <w:r w:rsidR="00FA0222" w:rsidRPr="00BA4A9E">
        <w:rPr>
          <w:rFonts w:ascii="Times New Roman" w:hAnsi="Times New Roman" w:cs="Times New Roman"/>
        </w:rPr>
        <w:t>U.N.</w:t>
      </w:r>
      <w:proofErr w:type="gramEnd"/>
      <w:r w:rsidR="00FA0222" w:rsidRPr="00BA4A9E">
        <w:rPr>
          <w:rFonts w:ascii="Times New Roman" w:hAnsi="Times New Roman" w:cs="Times New Roman"/>
        </w:rPr>
        <w:t xml:space="preserve"> Doc. A/74/321</w:t>
      </w:r>
      <w:r w:rsidR="00B77578">
        <w:rPr>
          <w:rFonts w:ascii="Times New Roman" w:hAnsi="Times New Roman" w:cs="Times New Roman"/>
        </w:rPr>
        <w:t xml:space="preserve">, </w:t>
      </w:r>
      <w:r w:rsidR="00FA0222" w:rsidRPr="00BA4A9E">
        <w:rPr>
          <w:rFonts w:ascii="Times New Roman" w:hAnsi="Times New Roman" w:cs="Times New Roman"/>
        </w:rPr>
        <w:t>(Aug. 21, 2019)</w:t>
      </w:r>
      <w:r w:rsidR="00852754">
        <w:rPr>
          <w:rFonts w:ascii="Times New Roman" w:hAnsi="Times New Roman" w:cs="Times New Roman"/>
        </w:rPr>
        <w:t xml:space="preserve">, </w:t>
      </w:r>
      <w:r w:rsidR="00852754" w:rsidRPr="006615F1">
        <w:rPr>
          <w:rFonts w:ascii="Times New Roman" w:hAnsi="Times New Roman" w:cs="Times New Roman"/>
          <w:i/>
          <w:iCs/>
        </w:rPr>
        <w:t>available at</w:t>
      </w:r>
      <w:r w:rsidR="00852754">
        <w:rPr>
          <w:rFonts w:ascii="Times New Roman" w:hAnsi="Times New Roman" w:cs="Times New Roman"/>
        </w:rPr>
        <w:t xml:space="preserve"> </w:t>
      </w:r>
      <w:hyperlink r:id="rId1" w:history="1">
        <w:r w:rsidR="006615F1" w:rsidRPr="006615F1">
          <w:rPr>
            <w:rStyle w:val="Hyperlink"/>
            <w:rFonts w:ascii="Times New Roman" w:hAnsi="Times New Roman" w:cs="Times New Roman"/>
            <w:color w:val="auto"/>
          </w:rPr>
          <w:t>https://documents-dds-ny.un.org/doc/UNDOC/GEN/N19/259/38/PDF/N1925938.pdf</w:t>
        </w:r>
      </w:hyperlink>
      <w:r w:rsidR="00852754" w:rsidRPr="006615F1">
        <w:rPr>
          <w:rFonts w:ascii="Times New Roman" w:hAnsi="Times New Roman" w:cs="Times New Roman"/>
        </w:rPr>
        <w:t>.</w:t>
      </w:r>
      <w:r w:rsidR="006615F1" w:rsidRPr="006615F1">
        <w:rPr>
          <w:rFonts w:ascii="Times New Roman" w:hAnsi="Times New Roman" w:cs="Times New Roman"/>
        </w:rPr>
        <w:t xml:space="preserve"> </w:t>
      </w:r>
      <w:r w:rsidR="00852754" w:rsidRPr="006615F1">
        <w:rPr>
          <w:rFonts w:ascii="Times New Roman" w:hAnsi="Times New Roman" w:cs="Times New Roman"/>
        </w:rPr>
        <w:t xml:space="preserve"> </w:t>
      </w:r>
    </w:p>
  </w:endnote>
  <w:endnote w:id="3">
    <w:p w14:paraId="2211F1C6" w14:textId="3A428E6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i/>
          <w:iCs/>
        </w:rPr>
        <w:t xml:space="preserve"> </w:t>
      </w:r>
      <w:r w:rsidRPr="00BA4A9E">
        <w:rPr>
          <w:rFonts w:ascii="Times New Roman" w:hAnsi="Times New Roman" w:cs="Times New Roman"/>
          <w:i/>
        </w:rPr>
        <w:t xml:space="preserve">See, e.g., </w:t>
      </w:r>
      <w:r w:rsidRPr="00BA4A9E">
        <w:rPr>
          <w:rFonts w:ascii="Times New Roman" w:hAnsi="Times New Roman" w:cs="Times New Roman"/>
        </w:rPr>
        <w:t>Amnesty International, “</w:t>
      </w:r>
      <w:r w:rsidRPr="00BA4A9E">
        <w:rPr>
          <w:rFonts w:ascii="Times New Roman" w:hAnsi="Times New Roman" w:cs="Times New Roman"/>
          <w:i/>
          <w:iCs/>
        </w:rPr>
        <w:t>They Did Not Treat Us Like People”: Race and Migration-Related Torture and Other Ill Treatment of Haitians Seeking Safety in the US</w:t>
      </w:r>
      <w:r w:rsidRPr="00BA4A9E">
        <w:rPr>
          <w:rFonts w:ascii="Times New Roman" w:hAnsi="Times New Roman" w:cs="Times New Roman"/>
        </w:rPr>
        <w:t xml:space="preserve">, (Sept. 22, 2022), </w:t>
      </w:r>
      <w:hyperlink r:id="rId2" w:history="1">
        <w:r w:rsidR="00B77578" w:rsidRPr="00B77578">
          <w:rPr>
            <w:rStyle w:val="Hyperlink"/>
            <w:rFonts w:ascii="Times New Roman" w:hAnsi="Times New Roman" w:cs="Times New Roman"/>
            <w:color w:val="auto"/>
          </w:rPr>
          <w:t>https://www.amnesty.org/en/documents/amr36/5973/2022/en/</w:t>
        </w:r>
      </w:hyperlink>
      <w:r w:rsidRPr="00B77578">
        <w:rPr>
          <w:rFonts w:ascii="Times New Roman" w:hAnsi="Times New Roman" w:cs="Times New Roman"/>
        </w:rPr>
        <w:t xml:space="preserve"> </w:t>
      </w:r>
      <w:r w:rsidRPr="00BA4A9E">
        <w:rPr>
          <w:rFonts w:ascii="Times New Roman" w:hAnsi="Times New Roman" w:cs="Times New Roman"/>
        </w:rPr>
        <w:t>(describing “practices of ill-treatment, sometimes rising to the level of torture, towards Haitians [that] are widespread and have occurred historically at different times and in different places, pointing to a long-term, and perhaps even institutionalized tendency at the level of DHS and its sub-agencies to punish and in turn deter Haitian asylum seekers from seeking refuge in the USA”).</w:t>
      </w:r>
    </w:p>
  </w:endnote>
  <w:endnote w:id="4">
    <w:p w14:paraId="25750821" w14:textId="298667D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Class Action Complaint for Injunctive and Declarative Relief at ¶ 62, </w:t>
      </w:r>
      <w:r w:rsidRPr="00BA4A9E">
        <w:rPr>
          <w:rFonts w:ascii="Times New Roman" w:hAnsi="Times New Roman" w:cs="Times New Roman"/>
          <w:i/>
          <w:iCs/>
        </w:rPr>
        <w:t>Haitian Bridge All</w:t>
      </w:r>
      <w:r w:rsidR="00C245D8">
        <w:rPr>
          <w:rFonts w:ascii="Times New Roman" w:hAnsi="Times New Roman" w:cs="Times New Roman"/>
          <w:i/>
          <w:iCs/>
        </w:rPr>
        <w:t>iance et. al</w:t>
      </w:r>
      <w:r w:rsidRPr="00BA4A9E">
        <w:rPr>
          <w:rFonts w:ascii="Times New Roman" w:hAnsi="Times New Roman" w:cs="Times New Roman"/>
          <w:i/>
          <w:iCs/>
        </w:rPr>
        <w:t xml:space="preserve"> v. Biden</w:t>
      </w:r>
      <w:r w:rsidRPr="00BA4A9E">
        <w:rPr>
          <w:rFonts w:ascii="Times New Roman" w:hAnsi="Times New Roman" w:cs="Times New Roman"/>
        </w:rPr>
        <w:t xml:space="preserve">, No. 21-3317 (EGS), 2022 U.S. Dist. LEXIS 105503 (D.D.C. June 14, 2022) (No. 1:21-cv-03317), </w:t>
      </w:r>
      <w:r w:rsidRPr="00BA4A9E">
        <w:rPr>
          <w:rFonts w:ascii="Times New Roman" w:hAnsi="Times New Roman" w:cs="Times New Roman"/>
          <w:i/>
          <w:iCs/>
        </w:rPr>
        <w:t xml:space="preserve">available at </w:t>
      </w:r>
      <w:hyperlink r:id="rId3" w:history="1">
        <w:r w:rsidRPr="00BA4A9E">
          <w:rPr>
            <w:rStyle w:val="Hyperlink"/>
            <w:rFonts w:ascii="Times New Roman" w:hAnsi="Times New Roman" w:cs="Times New Roman"/>
            <w:color w:val="auto"/>
          </w:rPr>
          <w:t>https://int.nyt.com/data/documenttools/hba-v-biden/a8106eacd7c45afe/full.pdf</w:t>
        </w:r>
      </w:hyperlink>
      <w:r w:rsidRPr="00BA4A9E">
        <w:rPr>
          <w:rFonts w:ascii="Times New Roman" w:hAnsi="Times New Roman" w:cs="Times New Roman"/>
        </w:rPr>
        <w:t xml:space="preserve">. [hereinafter HBA v. Biden Complaint]. </w:t>
      </w:r>
    </w:p>
  </w:endnote>
  <w:endnote w:id="5">
    <w:p w14:paraId="7FAAC7B9" w14:textId="61C8202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Const. art. I, § 1, § 2, cl. 1; U.S. Const. art. II, § 1, cl. 1-2, § 2, cl. 2; U.S. Const. art. III, § 1.</w:t>
      </w:r>
    </w:p>
  </w:endnote>
  <w:endnote w:id="6">
    <w:p w14:paraId="7FD8619C" w14:textId="03CEF63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executive and legislative branch are elected by a federated network of localities, and the judicial branch is composed of executive branch appointments who must be confirmed by the legislative branch. </w:t>
      </w:r>
    </w:p>
  </w:endnote>
  <w:endnote w:id="7">
    <w:p w14:paraId="4333FE19" w14:textId="42D2B3E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Constitution and domestic law proscribe broad powers to the executive branch in their treaty power and also military power, in terms of entering into less formal, non-ratified executive agreements with other States to regulate and achieve the State’s objectives.</w:t>
      </w:r>
    </w:p>
  </w:endnote>
  <w:endnote w:id="8">
    <w:p w14:paraId="2B259F39"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Const. art. II, § 2, cl. 2.  </w:t>
      </w:r>
    </w:p>
  </w:endnote>
  <w:endnote w:id="9">
    <w:p w14:paraId="5D5A29CB"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Const. art. III, § 2, cl. 1; U.S. Const. art. VI, cl. 2.  </w:t>
      </w:r>
    </w:p>
  </w:endnote>
  <w:endnote w:id="10">
    <w:p w14:paraId="670233A6" w14:textId="1F25540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Const. art. I, § 8, cl. 4; U.S. Const. art. II, § 3; U.S. Const. art. III, § 2, cl. 1.  </w:t>
      </w:r>
    </w:p>
  </w:endnote>
  <w:endnote w:id="11">
    <w:p w14:paraId="29B448C6" w14:textId="513BAB5F" w:rsidR="00581778" w:rsidRDefault="000362C9" w:rsidP="00F13970">
      <w:pPr>
        <w:pStyle w:val="EndnoteText"/>
        <w:rPr>
          <w:rFonts w:ascii="Times New Roman" w:hAnsi="Times New Roman" w:cs="Times New Roman"/>
          <w:sz w:val="24"/>
          <w:szCs w:val="24"/>
        </w:rPr>
      </w:pPr>
      <w:r w:rsidRPr="00BA4A9E">
        <w:rPr>
          <w:rStyle w:val="EndnoteReference"/>
          <w:rFonts w:ascii="Times New Roman" w:hAnsi="Times New Roman" w:cs="Times New Roman"/>
        </w:rPr>
        <w:endnoteRef/>
      </w:r>
      <w:r w:rsidRPr="00BA4A9E">
        <w:rPr>
          <w:rFonts w:ascii="Times New Roman" w:hAnsi="Times New Roman" w:cs="Times New Roman"/>
        </w:rPr>
        <w:t xml:space="preserve"> International Covenant on Civil and Political Rights, adopted Dec. 16, 1966, 999 U.N.T.S. 171 [hereinafter ICCPR] (ratified by U.S. on Jun. 8, 1996). The Covenant guarantees rights and liberties to foreign nationals under the effective control of the State Party, including guarantees for people who may be subject to the State’s operations outside of the State’s territory. </w:t>
      </w:r>
      <w:r w:rsidRPr="00BA4A9E">
        <w:rPr>
          <w:rFonts w:ascii="Times New Roman" w:hAnsi="Times New Roman" w:cs="Times New Roman"/>
          <w:i/>
          <w:iCs/>
        </w:rPr>
        <w:t>See</w:t>
      </w:r>
      <w:r w:rsidRPr="00BA4A9E">
        <w:rPr>
          <w:rFonts w:ascii="Times New Roman" w:hAnsi="Times New Roman" w:cs="Times New Roman"/>
        </w:rPr>
        <w:t xml:space="preserve"> Human Rights. Committee, General Comment No. 31: Nature of the General Legal Obligations on State Parties to the Covenant, ¶ 10, U.N. Doc. CCPR/C/21/Rev.1/Add. 13 (Mar. 29, 2004) [hereinafter HRC General Comment No. 31], (</w:t>
      </w:r>
      <w:r w:rsidR="007F0C71" w:rsidRPr="00BA4A9E">
        <w:rPr>
          <w:rFonts w:ascii="Times New Roman" w:hAnsi="Times New Roman" w:cs="Times New Roman"/>
        </w:rPr>
        <w:t xml:space="preserve">stating that </w:t>
      </w:r>
      <w:r w:rsidRPr="00BA4A9E">
        <w:rPr>
          <w:rFonts w:ascii="Times New Roman" w:hAnsi="Times New Roman" w:cs="Times New Roman"/>
        </w:rPr>
        <w:t>“, the enjoyment of Covenant rights is not limited to citizens of States Parties but must also be available to all individuals, regardless of nationality or statelessness, such as asylum seekers, refugees, migrant workers and other persons, who may find themselves in the territory or subject to the jurisdiction of the State Party</w:t>
      </w:r>
      <w:r w:rsidR="007F0C71" w:rsidRPr="00BA4A9E">
        <w:rPr>
          <w:rFonts w:ascii="Times New Roman" w:hAnsi="Times New Roman" w:cs="Times New Roman"/>
        </w:rPr>
        <w:t>” and that “[t]</w:t>
      </w:r>
      <w:r w:rsidRPr="00BA4A9E">
        <w:rPr>
          <w:rFonts w:ascii="Times New Roman" w:hAnsi="Times New Roman" w:cs="Times New Roman"/>
        </w:rPr>
        <w:t>his principle also applies to those within the power or effective control of the forces of a State Party acting outside its territory, regardless of the circumstances in which such power or effective control was obtained, such as forces constituting a national contingent of a State Party assigned to an international peace-keeping or peace-enforcement operation.”) (</w:t>
      </w:r>
      <w:r w:rsidRPr="00BA4A9E">
        <w:rPr>
          <w:rFonts w:ascii="Times New Roman" w:hAnsi="Times New Roman" w:cs="Times New Roman"/>
          <w:i/>
          <w:iCs/>
        </w:rPr>
        <w:t>internal citations omitted</w:t>
      </w:r>
      <w:r w:rsidRPr="00BA4A9E">
        <w:rPr>
          <w:rFonts w:ascii="Times New Roman" w:hAnsi="Times New Roman" w:cs="Times New Roman"/>
        </w:rPr>
        <w:t xml:space="preserve">); </w:t>
      </w:r>
      <w:r w:rsidR="007F0C71" w:rsidRPr="00BA4A9E">
        <w:rPr>
          <w:rFonts w:ascii="Times New Roman" w:hAnsi="Times New Roman" w:cs="Times New Roman"/>
          <w:i/>
          <w:iCs/>
        </w:rPr>
        <w:t>See also</w:t>
      </w:r>
      <w:r w:rsidR="007F0C71" w:rsidRPr="00BA4A9E">
        <w:rPr>
          <w:rFonts w:ascii="Times New Roman" w:hAnsi="Times New Roman" w:cs="Times New Roman"/>
        </w:rPr>
        <w:t xml:space="preserve"> </w:t>
      </w:r>
      <w:r w:rsidRPr="00BA4A9E">
        <w:rPr>
          <w:rFonts w:ascii="Times New Roman" w:hAnsi="Times New Roman" w:cs="Times New Roman"/>
        </w:rPr>
        <w:t>Human Rights Committee, General Comment No. 36: Right to Life, ¶ 63, U.N. Doc. CCPR/C/GC/35 (Sept. 3, 2019) [hereinafter HRC General Comment No. 36], (</w:t>
      </w:r>
      <w:r w:rsidR="007F0C71" w:rsidRPr="00BA4A9E">
        <w:rPr>
          <w:rFonts w:ascii="Times New Roman" w:hAnsi="Times New Roman" w:cs="Times New Roman"/>
        </w:rPr>
        <w:t>stating that “a</w:t>
      </w:r>
      <w:r w:rsidRPr="00BA4A9E">
        <w:rPr>
          <w:rFonts w:ascii="Times New Roman" w:hAnsi="Times New Roman" w:cs="Times New Roman"/>
        </w:rPr>
        <w:t xml:space="preserve"> State party has an obligation to respect and to ensure the rights under article 6 of all persons who are within its territory and all persons subject to its jurisdiction, that is, all persons over whose enjoyment of the right to life it exercises power or effective control</w:t>
      </w:r>
      <w:r w:rsidR="007F0C71" w:rsidRPr="00BA4A9E">
        <w:rPr>
          <w:rFonts w:ascii="Times New Roman" w:hAnsi="Times New Roman" w:cs="Times New Roman"/>
        </w:rPr>
        <w:t>” and making clear that“[t]</w:t>
      </w:r>
      <w:r w:rsidRPr="00BA4A9E">
        <w:rPr>
          <w:rFonts w:ascii="Times New Roman" w:hAnsi="Times New Roman" w:cs="Times New Roman"/>
        </w:rPr>
        <w:t>his includes persons located outside any territory effectively controlled by the State, whose right to life is nonetheless impacted by its military or other activities in a direct and reasonably foreseeable manner.</w:t>
      </w:r>
      <w:r w:rsidR="007F0C71" w:rsidRPr="00BA4A9E">
        <w:rPr>
          <w:rFonts w:ascii="Times New Roman" w:hAnsi="Times New Roman" w:cs="Times New Roman"/>
        </w:rPr>
        <w:t xml:space="preserve">” General Comment No. 36 further clarifies that </w:t>
      </w:r>
      <w:r w:rsidR="00581778" w:rsidRPr="00BA4A9E">
        <w:rPr>
          <w:rFonts w:ascii="Times New Roman" w:hAnsi="Times New Roman" w:cs="Times New Roman"/>
        </w:rPr>
        <w:t>“</w:t>
      </w:r>
      <w:r w:rsidRPr="00BA4A9E">
        <w:rPr>
          <w:rFonts w:ascii="Times New Roman" w:hAnsi="Times New Roman" w:cs="Times New Roman"/>
        </w:rPr>
        <w:t>States also have obligations under international law not to aid or assist activities undertaken by other States and non-State actors that violate the right to life</w:t>
      </w:r>
      <w:r w:rsidR="00581778" w:rsidRPr="00BA4A9E">
        <w:rPr>
          <w:rFonts w:ascii="Times New Roman" w:hAnsi="Times New Roman" w:cs="Times New Roman"/>
        </w:rPr>
        <w:t>”; that</w:t>
      </w:r>
      <w:r w:rsidR="00EA4579">
        <w:rPr>
          <w:rFonts w:ascii="Times New Roman" w:hAnsi="Times New Roman" w:cs="Times New Roman"/>
        </w:rPr>
        <w:t xml:space="preserve"> </w:t>
      </w:r>
      <w:r w:rsidR="00581778" w:rsidRPr="00BA4A9E">
        <w:rPr>
          <w:rFonts w:ascii="Times New Roman" w:hAnsi="Times New Roman" w:cs="Times New Roman"/>
        </w:rPr>
        <w:t>“</w:t>
      </w:r>
      <w:r w:rsidRPr="00BA4A9E">
        <w:rPr>
          <w:rFonts w:ascii="Times New Roman" w:hAnsi="Times New Roman" w:cs="Times New Roman"/>
        </w:rPr>
        <w:t>State parties must respect and protect the lives of individuals located in places, which are under their effective control, such as occupied territories, and in territories over which they have assumed an international obligation to apply the Covenant</w:t>
      </w:r>
      <w:r w:rsidR="00581778" w:rsidRPr="00BA4A9E">
        <w:rPr>
          <w:rFonts w:ascii="Times New Roman" w:hAnsi="Times New Roman" w:cs="Times New Roman"/>
        </w:rPr>
        <w:t>”; that “</w:t>
      </w:r>
      <w:r w:rsidRPr="00BA4A9E">
        <w:rPr>
          <w:rFonts w:ascii="Times New Roman" w:hAnsi="Times New Roman" w:cs="Times New Roman"/>
        </w:rPr>
        <w:t>State parties are also required to respect and protect the lives of all individuals located on marine vessels or aircrafts registered by them or flying their flag, and of those individuals who find themselves in a situation of distress at sea, in accordance with their international obligations on rescue at sea</w:t>
      </w:r>
      <w:r w:rsidR="00581778" w:rsidRPr="00BA4A9E">
        <w:rPr>
          <w:rFonts w:ascii="Times New Roman" w:hAnsi="Times New Roman" w:cs="Times New Roman"/>
        </w:rPr>
        <w:t>”; and that“[g]</w:t>
      </w:r>
      <w:r w:rsidRPr="00BA4A9E">
        <w:rPr>
          <w:rFonts w:ascii="Times New Roman" w:hAnsi="Times New Roman" w:cs="Times New Roman"/>
        </w:rPr>
        <w:t>iven that the deprivation of liberty brings a person within a State’s effective control, States parties must respect and protect the right to life of all individuals arrested or detained by them, even if held outside their territory.”).</w:t>
      </w:r>
      <w:r w:rsidRPr="00BA4A9E">
        <w:rPr>
          <w:rFonts w:ascii="Times New Roman" w:hAnsi="Times New Roman" w:cs="Times New Roman"/>
          <w:sz w:val="24"/>
          <w:szCs w:val="24"/>
        </w:rPr>
        <w:t xml:space="preserve"> </w:t>
      </w:r>
    </w:p>
    <w:p w14:paraId="478E5124" w14:textId="77777777" w:rsidR="00433528" w:rsidRPr="00BA4A9E" w:rsidRDefault="00433528" w:rsidP="00F13970">
      <w:pPr>
        <w:pStyle w:val="EndnoteText"/>
        <w:rPr>
          <w:rFonts w:ascii="Times New Roman" w:hAnsi="Times New Roman" w:cs="Times New Roman"/>
          <w:sz w:val="24"/>
          <w:szCs w:val="24"/>
        </w:rPr>
      </w:pPr>
    </w:p>
    <w:p w14:paraId="0B6E1E0E" w14:textId="2D13621C" w:rsidR="0086770B" w:rsidRDefault="000362C9" w:rsidP="00F13970">
      <w:pPr>
        <w:pStyle w:val="EndnoteText"/>
        <w:rPr>
          <w:rFonts w:ascii="Times New Roman" w:hAnsi="Times New Roman" w:cs="Times New Roman"/>
        </w:rPr>
      </w:pPr>
      <w:r w:rsidRPr="00BA4A9E">
        <w:rPr>
          <w:rFonts w:ascii="Times New Roman" w:hAnsi="Times New Roman" w:cs="Times New Roman"/>
        </w:rPr>
        <w:t xml:space="preserve">These rights include a prohibition against refoulement. </w:t>
      </w:r>
      <w:r w:rsidRPr="00BA4A9E">
        <w:rPr>
          <w:rFonts w:ascii="Times New Roman" w:hAnsi="Times New Roman" w:cs="Times New Roman"/>
          <w:i/>
          <w:iCs/>
        </w:rPr>
        <w:t>See</w:t>
      </w:r>
      <w:r w:rsidRPr="00BA4A9E">
        <w:rPr>
          <w:rFonts w:ascii="Times New Roman" w:hAnsi="Times New Roman" w:cs="Times New Roman"/>
        </w:rPr>
        <w:t xml:space="preserve"> HRC General Comment No. 31, at ¶ 12, (</w:t>
      </w:r>
      <w:r w:rsidR="00581778" w:rsidRPr="00BA4A9E">
        <w:rPr>
          <w:rFonts w:ascii="Times New Roman" w:hAnsi="Times New Roman" w:cs="Times New Roman"/>
        </w:rPr>
        <w:t xml:space="preserve">describing how </w:t>
      </w:r>
      <w:r w:rsidRPr="00BA4A9E">
        <w:rPr>
          <w:rFonts w:ascii="Times New Roman" w:hAnsi="Times New Roman" w:cs="Times New Roman"/>
        </w:rPr>
        <w:t>“the article 2 obligation requiring that States Parties respect and ensure the Covenant rights for all persons in their territory and all persons under their control entails an obligation not to extradite, deport, expel or otherwise remove a person from their territory, where there are substantial grounds for believing that there is a real risk of irreparable harm, such as that contemplated by articles 6 and 7 of the Covenant, either in the country to which removal is to be effected or in any country to which the person may subsequently be removed.</w:t>
      </w:r>
      <w:r w:rsidR="00581778" w:rsidRPr="00BA4A9E">
        <w:rPr>
          <w:rFonts w:ascii="Times New Roman" w:hAnsi="Times New Roman" w:cs="Times New Roman"/>
        </w:rPr>
        <w:t>”)</w:t>
      </w:r>
      <w:r w:rsidRPr="00BA4A9E">
        <w:rPr>
          <w:rFonts w:ascii="Times New Roman" w:hAnsi="Times New Roman" w:cs="Times New Roman"/>
        </w:rPr>
        <w:t xml:space="preserve">. </w:t>
      </w:r>
      <w:r w:rsidR="00581778" w:rsidRPr="00BA4A9E">
        <w:rPr>
          <w:rFonts w:ascii="Times New Roman" w:hAnsi="Times New Roman" w:cs="Times New Roman"/>
        </w:rPr>
        <w:t xml:space="preserve">These rights </w:t>
      </w:r>
      <w:r w:rsidRPr="00BA4A9E">
        <w:rPr>
          <w:rFonts w:ascii="Times New Roman" w:hAnsi="Times New Roman" w:cs="Times New Roman"/>
        </w:rPr>
        <w:t xml:space="preserve">further include a prohibition against torture; the right to liberty and security of persons, prohibiting detention that is unreasonable, unnecessary, disproportionate, or otherwise arbitrary. </w:t>
      </w:r>
      <w:r w:rsidRPr="00BA4A9E">
        <w:rPr>
          <w:rFonts w:ascii="Times New Roman" w:hAnsi="Times New Roman" w:cs="Times New Roman"/>
          <w:i/>
          <w:iCs/>
        </w:rPr>
        <w:t>See</w:t>
      </w:r>
      <w:r w:rsidRPr="00BA4A9E">
        <w:rPr>
          <w:rFonts w:ascii="Times New Roman" w:hAnsi="Times New Roman" w:cs="Times New Roman"/>
        </w:rPr>
        <w:t xml:space="preserve"> Human Rights Committee, General Comment No. 35: Article 9 (Liberty and security of person), ¶¶15, 18, U.N. Doc. CCPR/C/GC/35, (Dec. 16, 2014) [hereinafter HRC General Comment No. 35], (</w:t>
      </w:r>
      <w:r w:rsidR="00581778" w:rsidRPr="00BA4A9E">
        <w:rPr>
          <w:rFonts w:ascii="Times New Roman" w:hAnsi="Times New Roman" w:cs="Times New Roman"/>
        </w:rPr>
        <w:t>stating that</w:t>
      </w:r>
      <w:r w:rsidRPr="00BA4A9E">
        <w:rPr>
          <w:rFonts w:ascii="Times New Roman" w:hAnsi="Times New Roman" w:cs="Times New Roman"/>
        </w:rPr>
        <w:t xml:space="preserve"> “</w:t>
      </w:r>
      <w:r w:rsidR="00581778" w:rsidRPr="00BA4A9E">
        <w:rPr>
          <w:rFonts w:ascii="Times New Roman" w:hAnsi="Times New Roman" w:cs="Times New Roman"/>
        </w:rPr>
        <w:t>[t]</w:t>
      </w:r>
      <w:r w:rsidRPr="00BA4A9E">
        <w:rPr>
          <w:rFonts w:ascii="Times New Roman" w:hAnsi="Times New Roman" w:cs="Times New Roman"/>
        </w:rPr>
        <w:t>o the extent that States parties impose security detention (sometimes known as administrative detention or internment), not in contemplation of prosecution on a criminal charge, the Committee considers that such detention presents severe risks of arbitrary deprivation of liberty</w:t>
      </w:r>
      <w:r w:rsidR="00581778" w:rsidRPr="00BA4A9E">
        <w:rPr>
          <w:rFonts w:ascii="Times New Roman" w:hAnsi="Times New Roman" w:cs="Times New Roman"/>
        </w:rPr>
        <w:t>” and that“</w:t>
      </w:r>
      <w:r w:rsidRPr="00BA4A9E">
        <w:rPr>
          <w:rFonts w:ascii="Times New Roman" w:hAnsi="Times New Roman" w:cs="Times New Roman"/>
        </w:rPr>
        <w:t>States parties also need to show that detention does not last longer than absolutely necessary, that the overall length of possible detention is limited, and that they fully respect the guarantees provided for by Article 9 in all cases.</w:t>
      </w:r>
      <w:r w:rsidR="00581778" w:rsidRPr="00BA4A9E">
        <w:rPr>
          <w:rFonts w:ascii="Times New Roman" w:hAnsi="Times New Roman" w:cs="Times New Roman"/>
        </w:rPr>
        <w:t>” General Comment No. 35 further requires that</w:t>
      </w:r>
      <w:r w:rsidRPr="00BA4A9E">
        <w:rPr>
          <w:rFonts w:ascii="Times New Roman" w:hAnsi="Times New Roman" w:cs="Times New Roman"/>
        </w:rPr>
        <w:t xml:space="preserve"> </w:t>
      </w:r>
      <w:r w:rsidR="00581778" w:rsidRPr="00BA4A9E">
        <w:rPr>
          <w:rFonts w:ascii="Times New Roman" w:hAnsi="Times New Roman" w:cs="Times New Roman"/>
        </w:rPr>
        <w:t>“[p]</w:t>
      </w:r>
      <w:r w:rsidRPr="00BA4A9E">
        <w:rPr>
          <w:rFonts w:ascii="Times New Roman" w:hAnsi="Times New Roman" w:cs="Times New Roman"/>
        </w:rPr>
        <w:t>rompt and regular review by a court or other tribunal possessing the same attributes of independence and impartiality as the judiciary is a necessary guarantee for these conditions, as is access to independent legal advice, preferably selected by the detainee, and disclosure to the detainee of, at least, the essence of the evidence on which the decision is taken</w:t>
      </w:r>
      <w:r w:rsidR="00581778" w:rsidRPr="00BA4A9E">
        <w:rPr>
          <w:rFonts w:ascii="Times New Roman" w:hAnsi="Times New Roman" w:cs="Times New Roman"/>
        </w:rPr>
        <w:t>,</w:t>
      </w:r>
      <w:r w:rsidRPr="00BA4A9E">
        <w:rPr>
          <w:rFonts w:ascii="Times New Roman" w:hAnsi="Times New Roman" w:cs="Times New Roman"/>
        </w:rPr>
        <w:t xml:space="preserve">”; </w:t>
      </w:r>
      <w:r w:rsidR="00581778" w:rsidRPr="00BA4A9E">
        <w:rPr>
          <w:rFonts w:ascii="Times New Roman" w:hAnsi="Times New Roman" w:cs="Times New Roman"/>
        </w:rPr>
        <w:t>and clarifies that</w:t>
      </w:r>
      <w:r w:rsidRPr="00BA4A9E">
        <w:rPr>
          <w:rFonts w:ascii="Times New Roman" w:hAnsi="Times New Roman" w:cs="Times New Roman"/>
        </w:rPr>
        <w:t>“</w:t>
      </w:r>
      <w:r w:rsidR="00581778" w:rsidRPr="00BA4A9E">
        <w:rPr>
          <w:rFonts w:ascii="Times New Roman" w:hAnsi="Times New Roman" w:cs="Times New Roman"/>
        </w:rPr>
        <w:t>[d]</w:t>
      </w:r>
      <w:r w:rsidRPr="00BA4A9E">
        <w:rPr>
          <w:rFonts w:ascii="Times New Roman" w:hAnsi="Times New Roman" w:cs="Times New Roman"/>
        </w:rPr>
        <w:t>etention in the course of proceedings for the control of immigration is not per se arbitrary, but the detention must be justified as reasonable, necessary and proportionate in light of the circumstances, and reassessed as it extends in time.</w:t>
      </w:r>
      <w:r w:rsidR="00581778" w:rsidRPr="00BA4A9E">
        <w:rPr>
          <w:rFonts w:ascii="Times New Roman" w:hAnsi="Times New Roman" w:cs="Times New Roman"/>
        </w:rPr>
        <w:t>” Importantly, it makes clear that</w:t>
      </w:r>
      <w:r w:rsidRPr="00BA4A9E">
        <w:rPr>
          <w:rFonts w:ascii="Times New Roman" w:hAnsi="Times New Roman" w:cs="Times New Roman"/>
        </w:rPr>
        <w:t xml:space="preserve"> </w:t>
      </w:r>
      <w:r w:rsidR="00581778" w:rsidRPr="00BA4A9E">
        <w:rPr>
          <w:rFonts w:ascii="Times New Roman" w:hAnsi="Times New Roman" w:cs="Times New Roman"/>
        </w:rPr>
        <w:t>“[a]</w:t>
      </w:r>
      <w:r w:rsidRPr="00BA4A9E">
        <w:rPr>
          <w:rFonts w:ascii="Times New Roman" w:hAnsi="Times New Roman" w:cs="Times New Roman"/>
        </w:rPr>
        <w:t>sylum-seekers who unlawfully enter a State party’s territory may be detained for a brief initial period in order to document their entry, record their claims, and determine their identity if it is in doubt</w:t>
      </w:r>
      <w:r w:rsidR="00581778" w:rsidRPr="00BA4A9E">
        <w:rPr>
          <w:rFonts w:ascii="Times New Roman" w:hAnsi="Times New Roman" w:cs="Times New Roman"/>
        </w:rPr>
        <w:t>,” but that“[t]</w:t>
      </w:r>
      <w:r w:rsidRPr="00BA4A9E">
        <w:rPr>
          <w:rFonts w:ascii="Times New Roman" w:hAnsi="Times New Roman" w:cs="Times New Roman"/>
        </w:rPr>
        <w:t>o detain them further while their claims are being resolved would be arbitrary absent particular reasons specific to the individual, such as an individualized likelihood of absconding, danger of crimes against others, or risk of acts against national security.</w:t>
      </w:r>
      <w:r w:rsidR="00581778" w:rsidRPr="00BA4A9E">
        <w:rPr>
          <w:rFonts w:ascii="Times New Roman" w:hAnsi="Times New Roman" w:cs="Times New Roman"/>
        </w:rPr>
        <w:t>” The Comment clarifies that any detention in this circumstance must</w:t>
      </w:r>
      <w:r w:rsidRPr="00BA4A9E">
        <w:rPr>
          <w:rFonts w:ascii="Times New Roman" w:hAnsi="Times New Roman" w:cs="Times New Roman"/>
        </w:rPr>
        <w:t xml:space="preserve"> </w:t>
      </w:r>
      <w:r w:rsidR="00581778" w:rsidRPr="00BA4A9E">
        <w:rPr>
          <w:rFonts w:ascii="Times New Roman" w:hAnsi="Times New Roman" w:cs="Times New Roman"/>
        </w:rPr>
        <w:t>”</w:t>
      </w:r>
      <w:r w:rsidRPr="00BA4A9E">
        <w:rPr>
          <w:rFonts w:ascii="Times New Roman" w:hAnsi="Times New Roman" w:cs="Times New Roman"/>
        </w:rPr>
        <w:t>must consider relevant factors case-by-case, and not be based on a mandatory rule for a broad category; must take into account less invasive means of achieving the same ends, such as reporting obligations, sureties, or other conditions to prevent absconding; and must be subject to periodic reevaluation and judicial review</w:t>
      </w:r>
      <w:r w:rsidR="00581778" w:rsidRPr="00BA4A9E">
        <w:rPr>
          <w:rFonts w:ascii="Times New Roman" w:hAnsi="Times New Roman" w:cs="Times New Roman"/>
        </w:rPr>
        <w:t>,” must</w:t>
      </w:r>
      <w:r w:rsidRPr="00BA4A9E">
        <w:rPr>
          <w:rFonts w:ascii="Times New Roman" w:hAnsi="Times New Roman" w:cs="Times New Roman"/>
        </w:rPr>
        <w:t xml:space="preserve"> </w:t>
      </w:r>
      <w:r w:rsidR="00581778" w:rsidRPr="00BA4A9E">
        <w:rPr>
          <w:rFonts w:ascii="Times New Roman" w:hAnsi="Times New Roman" w:cs="Times New Roman"/>
        </w:rPr>
        <w:t>“</w:t>
      </w:r>
      <w:r w:rsidRPr="00BA4A9E">
        <w:rPr>
          <w:rFonts w:ascii="Times New Roman" w:hAnsi="Times New Roman" w:cs="Times New Roman"/>
        </w:rPr>
        <w:t>also take into account the effect of the detention on their physical or mental health</w:t>
      </w:r>
      <w:r w:rsidR="00581778" w:rsidRPr="00BA4A9E">
        <w:rPr>
          <w:rFonts w:ascii="Times New Roman" w:hAnsi="Times New Roman" w:cs="Times New Roman"/>
        </w:rPr>
        <w:t>”; shouldonly</w:t>
      </w:r>
      <w:r w:rsidRPr="00BA4A9E">
        <w:rPr>
          <w:rFonts w:ascii="Times New Roman" w:hAnsi="Times New Roman" w:cs="Times New Roman"/>
        </w:rPr>
        <w:t xml:space="preserve"> </w:t>
      </w:r>
      <w:r w:rsidR="00581778" w:rsidRPr="00BA4A9E">
        <w:rPr>
          <w:rFonts w:ascii="Times New Roman" w:hAnsi="Times New Roman" w:cs="Times New Roman"/>
        </w:rPr>
        <w:t>”</w:t>
      </w:r>
      <w:r w:rsidRPr="00BA4A9E">
        <w:rPr>
          <w:rFonts w:ascii="Times New Roman" w:hAnsi="Times New Roman" w:cs="Times New Roman"/>
        </w:rPr>
        <w:t>take place in appropriate, sanitary, non-punitive facilities, and should not take place in prisons</w:t>
      </w:r>
      <w:r w:rsidR="0086770B" w:rsidRPr="00BA4A9E">
        <w:rPr>
          <w:rFonts w:ascii="Times New Roman" w:hAnsi="Times New Roman" w:cs="Times New Roman"/>
        </w:rPr>
        <w:t>” and that “[t]</w:t>
      </w:r>
      <w:r w:rsidRPr="00BA4A9E">
        <w:rPr>
          <w:rFonts w:ascii="Times New Roman" w:hAnsi="Times New Roman" w:cs="Times New Roman"/>
        </w:rPr>
        <w:t xml:space="preserve">he inability of a State party to carry out the expulsion of an individual because of statelessness or other obstacles does not justify indefinite detention. Children should not be deprived of liberty, except as a measure of last resort and for the shortest appropriate period of time, taking into account their best interests as a primary consideration with regard to the duration and conditions of detention, and also taking into account the extreme vulnerability and need for care of unaccompanied minors.”). </w:t>
      </w:r>
    </w:p>
    <w:p w14:paraId="1040AFEF" w14:textId="77777777" w:rsidR="00433528" w:rsidRPr="00BA4A9E" w:rsidRDefault="00433528" w:rsidP="00F13970">
      <w:pPr>
        <w:pStyle w:val="EndnoteText"/>
        <w:rPr>
          <w:rFonts w:ascii="Times New Roman" w:hAnsi="Times New Roman" w:cs="Times New Roman"/>
        </w:rPr>
      </w:pPr>
    </w:p>
    <w:p w14:paraId="24058B4F" w14:textId="78FE9671" w:rsidR="0086770B" w:rsidRDefault="0086770B" w:rsidP="00F13970">
      <w:pPr>
        <w:pStyle w:val="EndnoteText"/>
        <w:rPr>
          <w:rFonts w:ascii="Times New Roman" w:hAnsi="Times New Roman" w:cs="Times New Roman"/>
        </w:rPr>
      </w:pPr>
      <w:r w:rsidRPr="00BA4A9E">
        <w:rPr>
          <w:rFonts w:ascii="Times New Roman" w:hAnsi="Times New Roman" w:cs="Times New Roman"/>
        </w:rPr>
        <w:t xml:space="preserve">These rights </w:t>
      </w:r>
      <w:r w:rsidR="000362C9" w:rsidRPr="00BA4A9E">
        <w:rPr>
          <w:rFonts w:ascii="Times New Roman" w:hAnsi="Times New Roman" w:cs="Times New Roman"/>
        </w:rPr>
        <w:t xml:space="preserve">include the right to an effective remedy. </w:t>
      </w:r>
      <w:r w:rsidR="000362C9" w:rsidRPr="00BA4A9E">
        <w:rPr>
          <w:rFonts w:ascii="Times New Roman" w:hAnsi="Times New Roman" w:cs="Times New Roman"/>
          <w:i/>
          <w:iCs/>
        </w:rPr>
        <w:t>See</w:t>
      </w:r>
      <w:r w:rsidR="000362C9" w:rsidRPr="00BA4A9E">
        <w:rPr>
          <w:rFonts w:ascii="Times New Roman" w:hAnsi="Times New Roman" w:cs="Times New Roman"/>
        </w:rPr>
        <w:t xml:space="preserve"> Human Rights Committee, General Comment No. 32: Article 14: Right to Equality before Courts and Tribunals and to Fair Trial, ¶¶ 9, 10,  U.N. Doc. CCPR/C/GC/32 (Aug. 23, 2007) [hereinafter HRC General Comment No. 32], (</w:t>
      </w:r>
      <w:r w:rsidRPr="00BA4A9E">
        <w:rPr>
          <w:rFonts w:ascii="Times New Roman" w:hAnsi="Times New Roman" w:cs="Times New Roman"/>
        </w:rPr>
        <w:t>stating that</w:t>
      </w:r>
      <w:r w:rsidR="000362C9" w:rsidRPr="00BA4A9E">
        <w:rPr>
          <w:rFonts w:ascii="Times New Roman" w:hAnsi="Times New Roman" w:cs="Times New Roman"/>
        </w:rPr>
        <w:t xml:space="preserve"> “</w:t>
      </w:r>
      <w:r w:rsidRPr="00BA4A9E">
        <w:rPr>
          <w:rFonts w:ascii="Times New Roman" w:hAnsi="Times New Roman" w:cs="Times New Roman"/>
        </w:rPr>
        <w:t>[t]</w:t>
      </w:r>
      <w:r w:rsidR="000362C9" w:rsidRPr="00BA4A9E">
        <w:rPr>
          <w:rFonts w:ascii="Times New Roman" w:hAnsi="Times New Roman" w:cs="Times New Roman"/>
        </w:rPr>
        <w:t>he right of access to courts and tribunals and equality before them is not limited to citizens of States parties, but must also be available to all individuals, regardless of nationality or statelessness, or whatever their status, whether asylum seekers, refugees, migrant workers, unaccompanied children or other persons, who may find themselves in the territory or subject to the jurisdiction of the State party</w:t>
      </w:r>
      <w:r w:rsidRPr="00BA4A9E">
        <w:rPr>
          <w:rFonts w:ascii="Times New Roman" w:hAnsi="Times New Roman" w:cs="Times New Roman"/>
        </w:rPr>
        <w:t>” ; that “[a]</w:t>
      </w:r>
      <w:r w:rsidR="000362C9" w:rsidRPr="00BA4A9E">
        <w:rPr>
          <w:rFonts w:ascii="Times New Roman" w:hAnsi="Times New Roman" w:cs="Times New Roman"/>
        </w:rPr>
        <w:t xml:space="preserve"> situation in which an individual’s attempts to access the competent courts or tribunals are systematically frustrated de jure or de facto runs counter to the guarantee of article 14, paragraph 1, first sentence</w:t>
      </w:r>
      <w:r w:rsidRPr="00BA4A9E">
        <w:rPr>
          <w:rFonts w:ascii="Times New Roman" w:hAnsi="Times New Roman" w:cs="Times New Roman"/>
        </w:rPr>
        <w:t>”; and that</w:t>
      </w:r>
      <w:r w:rsidR="000362C9" w:rsidRPr="00BA4A9E">
        <w:rPr>
          <w:rFonts w:ascii="Times New Roman" w:hAnsi="Times New Roman" w:cs="Times New Roman"/>
        </w:rPr>
        <w:t xml:space="preserve"> “</w:t>
      </w:r>
      <w:r w:rsidRPr="00BA4A9E">
        <w:rPr>
          <w:rFonts w:ascii="Times New Roman" w:hAnsi="Times New Roman" w:cs="Times New Roman"/>
        </w:rPr>
        <w:t>[t]</w:t>
      </w:r>
      <w:r w:rsidR="000362C9" w:rsidRPr="00BA4A9E">
        <w:rPr>
          <w:rFonts w:ascii="Times New Roman" w:hAnsi="Times New Roman" w:cs="Times New Roman"/>
        </w:rPr>
        <w:t xml:space="preserve">he availability or absence of legal assistance often determines whether or not a person can access the relevant proceedings or participate in them in a meaningful way.”). </w:t>
      </w:r>
    </w:p>
    <w:p w14:paraId="45A2688E" w14:textId="77777777" w:rsidR="00EE56FB" w:rsidRPr="00BA4A9E" w:rsidRDefault="00EE56FB" w:rsidP="00F13970">
      <w:pPr>
        <w:pStyle w:val="EndnoteText"/>
        <w:rPr>
          <w:rFonts w:ascii="Times New Roman" w:hAnsi="Times New Roman" w:cs="Times New Roman"/>
        </w:rPr>
      </w:pPr>
    </w:p>
    <w:p w14:paraId="12599149" w14:textId="6A78FE1B"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And the</w:t>
      </w:r>
      <w:r w:rsidR="0086770B" w:rsidRPr="00BA4A9E">
        <w:rPr>
          <w:rFonts w:ascii="Times New Roman" w:hAnsi="Times New Roman" w:cs="Times New Roman"/>
        </w:rPr>
        <w:t>se rights</w:t>
      </w:r>
      <w:r w:rsidRPr="00BA4A9E">
        <w:rPr>
          <w:rFonts w:ascii="Times New Roman" w:hAnsi="Times New Roman" w:cs="Times New Roman"/>
        </w:rPr>
        <w:t xml:space="preserve"> include the right to self-determination. </w:t>
      </w:r>
      <w:r w:rsidRPr="00BA4A9E">
        <w:rPr>
          <w:rFonts w:ascii="Times New Roman" w:hAnsi="Times New Roman" w:cs="Times New Roman"/>
          <w:i/>
          <w:iCs/>
        </w:rPr>
        <w:t>See</w:t>
      </w:r>
      <w:r w:rsidRPr="00BA4A9E">
        <w:rPr>
          <w:rFonts w:ascii="Times New Roman" w:hAnsi="Times New Roman" w:cs="Times New Roman"/>
        </w:rPr>
        <w:t xml:space="preserve"> Human Rights Committee, General Comment No. 12: Article 1 (The right to self-determination of peoples), ¶ 6, U.N. Doc. (1984) [hereinafter HRC General Comment No. 12], (</w:t>
      </w:r>
      <w:r w:rsidR="0086770B" w:rsidRPr="00BA4A9E">
        <w:rPr>
          <w:rFonts w:ascii="Times New Roman" w:hAnsi="Times New Roman" w:cs="Times New Roman"/>
        </w:rPr>
        <w:t xml:space="preserve">requiring </w:t>
      </w:r>
      <w:r w:rsidRPr="00BA4A9E">
        <w:rPr>
          <w:rFonts w:ascii="Times New Roman" w:hAnsi="Times New Roman" w:cs="Times New Roman"/>
        </w:rPr>
        <w:t>“that all States parties to the Covenant should take positive action to facilitate realization of and respect for the right of peoples to self-determination</w:t>
      </w:r>
      <w:r w:rsidR="0086770B" w:rsidRPr="00BA4A9E">
        <w:rPr>
          <w:rFonts w:ascii="Times New Roman" w:hAnsi="Times New Roman" w:cs="Times New Roman"/>
        </w:rPr>
        <w:t>” and that“[s]</w:t>
      </w:r>
      <w:r w:rsidRPr="00BA4A9E">
        <w:rPr>
          <w:rFonts w:ascii="Times New Roman" w:hAnsi="Times New Roman" w:cs="Times New Roman"/>
        </w:rPr>
        <w:t>uch positive action must be consistent with the States’ obligations under the Charter of the United Nations and under international law: in particular, States must refrain from interfering in the internal affairs of other States and thereby adversely affecting the exercise of the right to self-determination.”).</w:t>
      </w:r>
    </w:p>
  </w:endnote>
  <w:endnote w:id="12">
    <w:p w14:paraId="6083154E" w14:textId="13016D2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w:t>
      </w:r>
      <w:r w:rsidR="00AB67FA" w:rsidRPr="00AB67FA">
        <w:rPr>
          <w:rFonts w:ascii="Times New Roman" w:hAnsi="Times New Roman" w:cs="Times New Roman"/>
        </w:rPr>
        <w:t>Fifth periodic report submitted by the United States of America under article 40 of the Covenant pursuant to the optional reporting procedure, due in 2020</w:t>
      </w:r>
      <w:r w:rsidRPr="00BA4A9E">
        <w:rPr>
          <w:rFonts w:ascii="Times New Roman" w:hAnsi="Times New Roman" w:cs="Times New Roman"/>
        </w:rPr>
        <w:t>, ¶14, U.N. Doc. CCPR/C/USA/5 (Jan. 15, 2021) [hereinafter U.S. State Party Report], (</w:t>
      </w:r>
      <w:r w:rsidR="0086770B" w:rsidRPr="00BA4A9E">
        <w:rPr>
          <w:rFonts w:ascii="Times New Roman" w:hAnsi="Times New Roman" w:cs="Times New Roman"/>
        </w:rPr>
        <w:t>stating that</w:t>
      </w:r>
      <w:r w:rsidR="00071474">
        <w:rPr>
          <w:rFonts w:ascii="Times New Roman" w:hAnsi="Times New Roman" w:cs="Times New Roman"/>
        </w:rPr>
        <w:t xml:space="preserve"> </w:t>
      </w:r>
      <w:r w:rsidR="0086770B" w:rsidRPr="00BA4A9E">
        <w:rPr>
          <w:rFonts w:ascii="Times New Roman" w:hAnsi="Times New Roman" w:cs="Times New Roman"/>
        </w:rPr>
        <w:t>“[t]</w:t>
      </w:r>
      <w:r w:rsidRPr="00BA4A9E">
        <w:rPr>
          <w:rFonts w:ascii="Times New Roman" w:hAnsi="Times New Roman" w:cs="Times New Roman"/>
        </w:rPr>
        <w:t>he United States has not changed its position that Article 2(1) creates obligations for a State Party only with respect to individuals who are both within the territory of the State Party and within that State Party’s jurisdiction</w:t>
      </w:r>
      <w:r w:rsidR="0086770B" w:rsidRPr="00BA4A9E">
        <w:rPr>
          <w:rFonts w:ascii="Times New Roman" w:hAnsi="Times New Roman" w:cs="Times New Roman"/>
        </w:rPr>
        <w:t>”; that</w:t>
      </w:r>
      <w:r w:rsidRPr="00BA4A9E">
        <w:rPr>
          <w:rFonts w:ascii="Times New Roman" w:hAnsi="Times New Roman" w:cs="Times New Roman"/>
        </w:rPr>
        <w:t xml:space="preserve"> </w:t>
      </w:r>
      <w:r w:rsidR="0086770B" w:rsidRPr="00BA4A9E">
        <w:rPr>
          <w:rFonts w:ascii="Times New Roman" w:hAnsi="Times New Roman" w:cs="Times New Roman"/>
        </w:rPr>
        <w:t>the</w:t>
      </w:r>
      <w:r w:rsidR="00071474">
        <w:rPr>
          <w:rFonts w:ascii="Times New Roman" w:hAnsi="Times New Roman" w:cs="Times New Roman"/>
        </w:rPr>
        <w:t xml:space="preserve"> U.S.</w:t>
      </w:r>
      <w:r w:rsidRPr="00BA4A9E">
        <w:rPr>
          <w:rFonts w:ascii="Times New Roman" w:hAnsi="Times New Roman" w:cs="Times New Roman"/>
        </w:rPr>
        <w:t xml:space="preserve"> </w:t>
      </w:r>
      <w:r w:rsidR="0086770B" w:rsidRPr="00BA4A9E">
        <w:rPr>
          <w:rFonts w:ascii="Times New Roman" w:hAnsi="Times New Roman" w:cs="Times New Roman"/>
        </w:rPr>
        <w:t>“</w:t>
      </w:r>
      <w:r w:rsidRPr="00BA4A9E">
        <w:rPr>
          <w:rFonts w:ascii="Times New Roman" w:hAnsi="Times New Roman" w:cs="Times New Roman"/>
        </w:rPr>
        <w:t>do</w:t>
      </w:r>
      <w:r w:rsidR="00071474">
        <w:rPr>
          <w:rFonts w:ascii="Times New Roman" w:hAnsi="Times New Roman" w:cs="Times New Roman"/>
        </w:rPr>
        <w:t>[es]</w:t>
      </w:r>
      <w:r w:rsidRPr="00BA4A9E">
        <w:rPr>
          <w:rFonts w:ascii="Times New Roman" w:hAnsi="Times New Roman" w:cs="Times New Roman"/>
        </w:rPr>
        <w:t xml:space="preserve"> not agree that Article 2(1) creates obligations for a State Party with respect to individuals on State Party-registered ships located beyond that State Party’s territorial sea, or on State Party-registered aircraft flying in international airspace or in another State’s airspace</w:t>
      </w:r>
      <w:r w:rsidR="0086770B" w:rsidRPr="00BA4A9E">
        <w:rPr>
          <w:rFonts w:ascii="Times New Roman" w:hAnsi="Times New Roman" w:cs="Times New Roman"/>
        </w:rPr>
        <w:t>; and expressing the position that</w:t>
      </w:r>
      <w:r w:rsidRPr="00BA4A9E">
        <w:rPr>
          <w:rFonts w:ascii="Times New Roman" w:hAnsi="Times New Roman" w:cs="Times New Roman"/>
        </w:rPr>
        <w:t xml:space="preserve"> </w:t>
      </w:r>
      <w:r w:rsidR="0086770B" w:rsidRPr="00BA4A9E">
        <w:rPr>
          <w:rFonts w:ascii="Times New Roman" w:hAnsi="Times New Roman" w:cs="Times New Roman"/>
        </w:rPr>
        <w:t>“[m]</w:t>
      </w:r>
      <w:r w:rsidRPr="00BA4A9E">
        <w:rPr>
          <w:rFonts w:ascii="Times New Roman" w:hAnsi="Times New Roman" w:cs="Times New Roman"/>
        </w:rPr>
        <w:t>erely being on a ship or aircraft registered in a State (and thereby being generally subject to its exclusive jurisdiction on the high seas, for example) does not constitute being in a State’s territory for the purposes of Article 2(1) of the Covenant.”</w:t>
      </w:r>
      <w:r w:rsidR="0086770B" w:rsidRPr="00BA4A9E">
        <w:rPr>
          <w:rFonts w:ascii="Times New Roman" w:hAnsi="Times New Roman" w:cs="Times New Roman"/>
        </w:rPr>
        <w:t>)</w:t>
      </w:r>
      <w:r w:rsidRPr="00BA4A9E">
        <w:rPr>
          <w:rFonts w:ascii="Times New Roman" w:hAnsi="Times New Roman" w:cs="Times New Roman"/>
        </w:rPr>
        <w:t xml:space="preserve">; </w:t>
      </w:r>
      <w:r w:rsidR="0086770B" w:rsidRPr="00BA4A9E">
        <w:rPr>
          <w:rFonts w:ascii="Times New Roman" w:hAnsi="Times New Roman" w:cs="Times New Roman"/>
          <w:i/>
          <w:iCs/>
        </w:rPr>
        <w:t>See also</w:t>
      </w:r>
      <w:r w:rsidR="0086770B" w:rsidRPr="00BA4A9E">
        <w:rPr>
          <w:rFonts w:ascii="Times New Roman" w:hAnsi="Times New Roman" w:cs="Times New Roman"/>
        </w:rPr>
        <w:t xml:space="preserve"> </w:t>
      </w:r>
      <w:r w:rsidRPr="00BA4A9E">
        <w:rPr>
          <w:rFonts w:ascii="Times New Roman" w:hAnsi="Times New Roman" w:cs="Times New Roman"/>
        </w:rPr>
        <w:t>U.S. State Party Report, Annex B, ¶ 4 (</w:t>
      </w:r>
      <w:r w:rsidR="00071474" w:rsidRPr="00BA4A9E">
        <w:rPr>
          <w:rFonts w:ascii="Times New Roman" w:hAnsi="Times New Roman" w:cs="Times New Roman"/>
        </w:rPr>
        <w:t>clarifying</w:t>
      </w:r>
      <w:r w:rsidR="0086770B" w:rsidRPr="00BA4A9E">
        <w:rPr>
          <w:rFonts w:ascii="Times New Roman" w:hAnsi="Times New Roman" w:cs="Times New Roman"/>
        </w:rPr>
        <w:t xml:space="preserve"> the U.S. position that </w:t>
      </w:r>
      <w:r w:rsidRPr="00BA4A9E">
        <w:rPr>
          <w:rFonts w:ascii="Times New Roman" w:hAnsi="Times New Roman" w:cs="Times New Roman"/>
        </w:rPr>
        <w:t>“</w:t>
      </w:r>
      <w:r w:rsidR="0086770B" w:rsidRPr="00BA4A9E">
        <w:rPr>
          <w:rFonts w:ascii="Times New Roman" w:hAnsi="Times New Roman" w:cs="Times New Roman"/>
        </w:rPr>
        <w:t>[a]</w:t>
      </w:r>
      <w:r w:rsidRPr="00BA4A9E">
        <w:rPr>
          <w:rFonts w:ascii="Times New Roman" w:hAnsi="Times New Roman" w:cs="Times New Roman"/>
        </w:rPr>
        <w:t>s noted in the July 2006 written responses of the United States to Committee questions and in the 2007 observations by the United States on General Comment 31, the Covenant does not impose a non-refoulement obligation upon States Parties”).</w:t>
      </w:r>
    </w:p>
  </w:endnote>
  <w:endnote w:id="13">
    <w:p w14:paraId="0A3AB9FA" w14:textId="3F07F81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Refugee Convention by virtue of the Protocol Relating to the Status of Refugees, Jan. 31, 1967, 19 U.S.T. 6223, </w:t>
      </w:r>
      <w:r w:rsidRPr="00BA4A9E">
        <w:rPr>
          <w:rFonts w:ascii="Times New Roman" w:hAnsi="Times New Roman" w:cs="Times New Roman"/>
          <w:i/>
          <w:iCs/>
        </w:rPr>
        <w:t xml:space="preserve">entered into force </w:t>
      </w:r>
      <w:r w:rsidRPr="00BA4A9E">
        <w:rPr>
          <w:rFonts w:ascii="Times New Roman" w:hAnsi="Times New Roman" w:cs="Times New Roman"/>
        </w:rPr>
        <w:t xml:space="preserve">4 October 1967.  </w:t>
      </w:r>
    </w:p>
  </w:endnote>
  <w:endnote w:id="14">
    <w:p w14:paraId="44DCE97F" w14:textId="3C96441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Convention Relating to the Status of Refugees, July 28, 1951, 189 U.N.T.S. 137 [hereinafter 1951 Convention or Refugee Convention].</w:t>
      </w:r>
    </w:p>
  </w:endnote>
  <w:endnote w:id="15">
    <w:p w14:paraId="7E00EC46" w14:textId="64A7C4F7" w:rsidR="000362C9" w:rsidRPr="00BA4A9E" w:rsidRDefault="000362C9" w:rsidP="00F13970">
      <w:pPr>
        <w:pStyle w:val="Default"/>
        <w:rPr>
          <w:color w:val="auto"/>
          <w:sz w:val="20"/>
          <w:szCs w:val="20"/>
        </w:rPr>
      </w:pPr>
      <w:r w:rsidRPr="00BA4A9E">
        <w:rPr>
          <w:rStyle w:val="EndnoteReference"/>
          <w:color w:val="auto"/>
          <w:sz w:val="20"/>
          <w:szCs w:val="20"/>
        </w:rPr>
        <w:endnoteRef/>
      </w:r>
      <w:r w:rsidRPr="00BA4A9E">
        <w:rPr>
          <w:color w:val="auto"/>
          <w:sz w:val="20"/>
          <w:szCs w:val="20"/>
        </w:rPr>
        <w:t xml:space="preserve"> Convention Against Torture and Other Cruel, Inhuman or Degrading Treatment or Punishment, adopted Dec. 10, 1984, 1465 U.N.T.S. 85, 113 [hereinafter CAT or Torture Convention]. </w:t>
      </w:r>
    </w:p>
  </w:endnote>
  <w:endnote w:id="16">
    <w:p w14:paraId="4405B40C" w14:textId="71596C9A"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Implementation of the Convention Against Torture, 8 CFR § 208.18.  </w:t>
      </w:r>
    </w:p>
  </w:endnote>
  <w:endnote w:id="17">
    <w:p w14:paraId="14418E3E" w14:textId="732CB1D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w:t>
      </w:r>
      <w:r w:rsidR="0086770B" w:rsidRPr="00BA4A9E">
        <w:rPr>
          <w:rFonts w:ascii="Times New Roman" w:hAnsi="Times New Roman" w:cs="Times New Roman"/>
        </w:rPr>
        <w:t xml:space="preserve">U.S.’s </w:t>
      </w:r>
      <w:r w:rsidRPr="00BA4A9E">
        <w:rPr>
          <w:rFonts w:ascii="Times New Roman" w:hAnsi="Times New Roman" w:cs="Times New Roman"/>
        </w:rPr>
        <w:t xml:space="preserve">reservations contradict the Convention’s definition of racism by claiming that disparate impact is not enough to establish a claim of racial discrimination. The reservations deny the State duty to regulate hate speech and racist propaganda and deny the duty of the State to regulate private racist conduct. The reservations make the Convention non-self-executing—claiming that the provisions in U.S. law already guarantee adequate protections against racism—and so no person, citizen, or non-citizen, can assert a claim or access judicial remedies based on the Convention. </w:t>
      </w:r>
      <w:r w:rsidRPr="00BA4A9E">
        <w:rPr>
          <w:rFonts w:ascii="Times New Roman" w:hAnsi="Times New Roman" w:cs="Times New Roman"/>
          <w:i/>
          <w:iCs/>
        </w:rPr>
        <w:t xml:space="preserve">See </w:t>
      </w:r>
      <w:r w:rsidRPr="00BA4A9E">
        <w:rPr>
          <w:rFonts w:ascii="Times New Roman" w:hAnsi="Times New Roman" w:cs="Times New Roman"/>
        </w:rPr>
        <w:t xml:space="preserve">Maya K. Watson, </w:t>
      </w:r>
      <w:r w:rsidRPr="00BA4A9E">
        <w:rPr>
          <w:rFonts w:ascii="Times New Roman" w:hAnsi="Times New Roman" w:cs="Times New Roman"/>
          <w:i/>
          <w:iCs/>
        </w:rPr>
        <w:t>The United States’ Hollow Commitment to Eradicating Global Racial Discrimination</w:t>
      </w:r>
      <w:r w:rsidRPr="00BA4A9E">
        <w:rPr>
          <w:rFonts w:ascii="Times New Roman" w:hAnsi="Times New Roman" w:cs="Times New Roman"/>
        </w:rPr>
        <w:t xml:space="preserve">, American Bar Association’s Human Rights Magazine (Jan. 6, 2020), </w:t>
      </w:r>
      <w:hyperlink r:id="rId4" w:history="1">
        <w:r w:rsidRPr="00BA4A9E">
          <w:rPr>
            <w:rStyle w:val="Hyperlink"/>
            <w:rFonts w:ascii="Times New Roman" w:hAnsi="Times New Roman" w:cs="Times New Roman"/>
            <w:color w:val="auto"/>
          </w:rPr>
          <w:t>https://www.americanbar.org/groups/crsj/publications/human_rights_magazine_home/black-to-the-future-part-ii/the-united-states--hollow-commitment-to-eradicating-global-racia/</w:t>
        </w:r>
      </w:hyperlink>
      <w:r w:rsidRPr="00BA4A9E">
        <w:rPr>
          <w:rFonts w:ascii="Times New Roman" w:hAnsi="Times New Roman" w:cs="Times New Roman"/>
        </w:rPr>
        <w:t xml:space="preserve">, for further discussion on U.S. failure to adhere to its obligations under ICERD.   </w:t>
      </w:r>
    </w:p>
  </w:endnote>
  <w:endnote w:id="18">
    <w:p w14:paraId="60C3E4AB" w14:textId="62CABE1F"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Committee on the Elimination of Racial Discrimination, </w:t>
      </w:r>
      <w:r w:rsidRPr="00BA4A9E">
        <w:rPr>
          <w:rFonts w:ascii="Times New Roman" w:hAnsi="Times New Roman" w:cs="Times New Roman"/>
          <w:i/>
          <w:iCs/>
        </w:rPr>
        <w:t>Concluding observations on the combined tenth to twelfth reports of the United States of America</w:t>
      </w:r>
      <w:r w:rsidRPr="00BA4A9E">
        <w:rPr>
          <w:rFonts w:ascii="Times New Roman" w:hAnsi="Times New Roman" w:cs="Times New Roman"/>
        </w:rPr>
        <w:t xml:space="preserve">, </w:t>
      </w:r>
      <w:r w:rsidR="001C29F4">
        <w:rPr>
          <w:rFonts w:ascii="Times New Roman" w:hAnsi="Times New Roman" w:cs="Times New Roman"/>
        </w:rPr>
        <w:t xml:space="preserve">UN Doc. </w:t>
      </w:r>
      <w:r w:rsidRPr="00BA4A9E">
        <w:rPr>
          <w:rFonts w:ascii="Times New Roman" w:hAnsi="Times New Roman" w:cs="Times New Roman"/>
        </w:rPr>
        <w:t>CERD/C/USA/CO/10-12 (Sept. 21, 2022)</w:t>
      </w:r>
      <w:r w:rsidR="00EC061B">
        <w:rPr>
          <w:rFonts w:ascii="Times New Roman" w:hAnsi="Times New Roman" w:cs="Times New Roman"/>
        </w:rPr>
        <w:t xml:space="preserve">, </w:t>
      </w:r>
      <w:r w:rsidR="00EC061B" w:rsidRPr="00753069">
        <w:rPr>
          <w:rFonts w:ascii="Times New Roman" w:hAnsi="Times New Roman" w:cs="Times New Roman"/>
          <w:i/>
          <w:iCs/>
        </w:rPr>
        <w:t>available at</w:t>
      </w:r>
      <w:r w:rsidR="00EC061B">
        <w:rPr>
          <w:rFonts w:ascii="Times New Roman" w:hAnsi="Times New Roman" w:cs="Times New Roman"/>
        </w:rPr>
        <w:t xml:space="preserve"> </w:t>
      </w:r>
      <w:hyperlink r:id="rId5" w:history="1">
        <w:r w:rsidR="00753069" w:rsidRPr="00753069">
          <w:rPr>
            <w:rStyle w:val="Hyperlink"/>
            <w:rFonts w:ascii="Times New Roman" w:hAnsi="Times New Roman" w:cs="Times New Roman"/>
            <w:color w:val="000000" w:themeColor="text1"/>
          </w:rPr>
          <w:t>https://documents-dds-ny.un.org/doc/UNDOC/GEN/G22/495/96/PDF/G2249596.pdf</w:t>
        </w:r>
      </w:hyperlink>
      <w:r w:rsidR="00753069" w:rsidRPr="00753069">
        <w:rPr>
          <w:rFonts w:ascii="Times New Roman" w:hAnsi="Times New Roman" w:cs="Times New Roman"/>
          <w:color w:val="000000" w:themeColor="text1"/>
        </w:rPr>
        <w:t xml:space="preserve"> </w:t>
      </w:r>
      <w:r w:rsidRPr="00753069">
        <w:rPr>
          <w:rFonts w:ascii="Times New Roman" w:hAnsi="Times New Roman" w:cs="Times New Roman"/>
          <w:color w:val="000000" w:themeColor="text1"/>
        </w:rPr>
        <w:t xml:space="preserve"> </w:t>
      </w:r>
      <w:r w:rsidRPr="00BA4A9E">
        <w:rPr>
          <w:rFonts w:ascii="Times New Roman" w:hAnsi="Times New Roman" w:cs="Times New Roman"/>
        </w:rPr>
        <w:t xml:space="preserve">[hereinafter CERD Concluding Observations]. </w:t>
      </w:r>
      <w:r w:rsidR="0086770B" w:rsidRPr="00BA4A9E">
        <w:rPr>
          <w:rFonts w:ascii="Times New Roman" w:hAnsi="Times New Roman" w:cs="Times New Roman"/>
        </w:rPr>
        <w:t>(making clear</w:t>
      </w:r>
      <w:r w:rsidRPr="00BA4A9E">
        <w:rPr>
          <w:rFonts w:ascii="Times New Roman" w:hAnsi="Times New Roman" w:cs="Times New Roman"/>
        </w:rPr>
        <w:t xml:space="preserve"> that, under the Convention, States have a duty to guarantee the human rights of all persons, either citizen or non; preserve their right to due process; and “[e]nsure that immigration policies do not have the effect of discriminating against persons on the basis of race, colour, descent, or national or ethnic origin.”</w:t>
      </w:r>
      <w:r w:rsidR="00A600A1" w:rsidRPr="00BA4A9E">
        <w:rPr>
          <w:rFonts w:ascii="Times New Roman" w:hAnsi="Times New Roman" w:cs="Times New Roman"/>
        </w:rPr>
        <w:t xml:space="preserve">) </w:t>
      </w:r>
      <w:r w:rsidR="00A600A1" w:rsidRPr="00BA4A9E">
        <w:rPr>
          <w:rFonts w:ascii="Times New Roman" w:hAnsi="Times New Roman" w:cs="Times New Roman"/>
          <w:i/>
          <w:iCs/>
        </w:rPr>
        <w:t>See also</w:t>
      </w:r>
      <w:r w:rsidRPr="00BA4A9E">
        <w:rPr>
          <w:rFonts w:ascii="Times New Roman" w:hAnsi="Times New Roman" w:cs="Times New Roman"/>
        </w:rPr>
        <w:t xml:space="preserve"> Committee on the Elimination of Racial Discrimination, General Recommendation No. 30 on discrimination against non-citizens, ¶¶ 1-5, 9,</w:t>
      </w:r>
      <w:r w:rsidRPr="00BA4A9E">
        <w:rPr>
          <w:rFonts w:ascii="Times New Roman" w:hAnsi="Times New Roman" w:cs="Times New Roman"/>
          <w:i/>
          <w:iCs/>
        </w:rPr>
        <w:t xml:space="preserve"> </w:t>
      </w:r>
      <w:r w:rsidRPr="00BA4A9E">
        <w:rPr>
          <w:rFonts w:ascii="Times New Roman" w:hAnsi="Times New Roman" w:cs="Times New Roman"/>
        </w:rPr>
        <w:t>UN Doc. CERD/C/64/Misc.11/rev.3 (2004).</w:t>
      </w:r>
    </w:p>
  </w:endnote>
  <w:endnote w:id="19">
    <w:p w14:paraId="75412269" w14:textId="51815837"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CERD, </w:t>
      </w:r>
      <w:r w:rsidRPr="00BA4A9E">
        <w:rPr>
          <w:rFonts w:ascii="Times New Roman" w:hAnsi="Times New Roman" w:cs="Times New Roman"/>
          <w:i/>
          <w:iCs/>
        </w:rPr>
        <w:t>Situation of migrants, asylum seekers and refugees of Haitian origin in the Americas region</w:t>
      </w:r>
      <w:r w:rsidRPr="00BA4A9E">
        <w:rPr>
          <w:rFonts w:ascii="Times New Roman" w:hAnsi="Times New Roman" w:cs="Times New Roman"/>
        </w:rPr>
        <w:t xml:space="preserve"> (Apr. 28, 2023), </w:t>
      </w:r>
      <w:r w:rsidRPr="00BA4A9E">
        <w:rPr>
          <w:rFonts w:ascii="Times New Roman" w:hAnsi="Times New Roman" w:cs="Times New Roman"/>
          <w:i/>
          <w:iCs/>
        </w:rPr>
        <w:t>available at</w:t>
      </w:r>
      <w:r w:rsidRPr="00BA4A9E">
        <w:rPr>
          <w:rFonts w:ascii="Times New Roman" w:hAnsi="Times New Roman" w:cs="Times New Roman"/>
        </w:rPr>
        <w:t xml:space="preserve"> </w:t>
      </w:r>
      <w:hyperlink r:id="rId6" w:history="1">
        <w:r w:rsidRPr="00BA4A9E">
          <w:rPr>
            <w:rStyle w:val="Hyperlink"/>
            <w:rFonts w:ascii="Times New Roman" w:hAnsi="Times New Roman" w:cs="Times New Roman"/>
            <w:color w:val="auto"/>
          </w:rPr>
          <w:t>https://tbinternet.ohchr.org/_layouts/15/treatybodyexternal/Download.aspx?symbolno=INT%2FCERD%2FSWA%2F9755&amp;Lang=en</w:t>
        </w:r>
      </w:hyperlink>
      <w:r w:rsidRPr="00BA4A9E">
        <w:rPr>
          <w:rFonts w:ascii="Times New Roman" w:hAnsi="Times New Roman" w:cs="Times New Roman"/>
        </w:rPr>
        <w:t>.</w:t>
      </w:r>
    </w:p>
  </w:endnote>
  <w:endnote w:id="20">
    <w:p w14:paraId="41901628" w14:textId="3FE1385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Naturalization Act of 1790, 1 Stat. 103, (repealed 1795).  </w:t>
      </w:r>
    </w:p>
  </w:endnote>
  <w:endnote w:id="21">
    <w:p w14:paraId="0F6C1347" w14:textId="70A4F5AE"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w:t>
      </w:r>
      <w:r w:rsidRPr="00BA4A9E">
        <w:rPr>
          <w:rFonts w:ascii="Times New Roman" w:hAnsi="Times New Roman" w:cs="Times New Roman"/>
          <w:i/>
          <w:iCs/>
        </w:rPr>
        <w:t>e.g.</w:t>
      </w:r>
      <w:r w:rsidRPr="00BA4A9E">
        <w:rPr>
          <w:rFonts w:ascii="Times New Roman" w:hAnsi="Times New Roman" w:cs="Times New Roman"/>
        </w:rPr>
        <w:t xml:space="preserve">, Ariela Gross &amp; Alejandro de la Fuente, </w:t>
      </w:r>
      <w:r w:rsidRPr="00BA4A9E">
        <w:rPr>
          <w:rFonts w:ascii="Times New Roman" w:hAnsi="Times New Roman" w:cs="Times New Roman"/>
          <w:i/>
          <w:iCs/>
        </w:rPr>
        <w:t>Citizenship once meant whiteness. Here’s how that changed.</w:t>
      </w:r>
      <w:r w:rsidRPr="00BA4A9E">
        <w:rPr>
          <w:rFonts w:ascii="Times New Roman" w:hAnsi="Times New Roman" w:cs="Times New Roman"/>
        </w:rPr>
        <w:t xml:space="preserve">, </w:t>
      </w:r>
      <w:r w:rsidRPr="00BA4A9E">
        <w:rPr>
          <w:rFonts w:ascii="Times New Roman" w:hAnsi="Times New Roman" w:cs="Times New Roman"/>
          <w:smallCaps/>
        </w:rPr>
        <w:t>Wash. Post</w:t>
      </w:r>
      <w:r w:rsidRPr="00BA4A9E">
        <w:rPr>
          <w:rFonts w:ascii="Times New Roman" w:hAnsi="Times New Roman" w:cs="Times New Roman"/>
        </w:rPr>
        <w:t xml:space="preserve"> (July 18, 2019), </w:t>
      </w:r>
      <w:hyperlink r:id="rId7" w:history="1">
        <w:r w:rsidRPr="00BA4A9E">
          <w:rPr>
            <w:rStyle w:val="Hyperlink"/>
            <w:rFonts w:ascii="Times New Roman" w:hAnsi="Times New Roman" w:cs="Times New Roman"/>
            <w:color w:val="auto"/>
          </w:rPr>
          <w:t>https://www.washingtonpost.com/outlook/2019/07/18/citizenship-once-meant-whiteness-heres-how-that-changed/</w:t>
        </w:r>
      </w:hyperlink>
      <w:r w:rsidRPr="00BA4A9E">
        <w:rPr>
          <w:rStyle w:val="Hyperlink"/>
          <w:rFonts w:ascii="Times New Roman" w:hAnsi="Times New Roman" w:cs="Times New Roman"/>
          <w:color w:val="auto"/>
          <w:u w:val="none"/>
        </w:rPr>
        <w:t>.</w:t>
      </w:r>
    </w:p>
  </w:endnote>
  <w:endnote w:id="22">
    <w:p w14:paraId="7BFD27DE" w14:textId="500D63B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Martha Jones</w:t>
      </w:r>
      <w:r w:rsidRPr="00BA4A9E">
        <w:rPr>
          <w:rFonts w:ascii="Times New Roman" w:hAnsi="Times New Roman" w:cs="Times New Roman"/>
          <w:i/>
          <w:iCs/>
        </w:rPr>
        <w:t>, How the 14th Amendment’s Promise of Birthright Citizenship Redefined America</w:t>
      </w:r>
      <w:r w:rsidRPr="00BA4A9E">
        <w:rPr>
          <w:rFonts w:ascii="Times New Roman" w:hAnsi="Times New Roman" w:cs="Times New Roman"/>
        </w:rPr>
        <w:t xml:space="preserve">, TIME (July 9, 2018), </w:t>
      </w:r>
      <w:hyperlink r:id="rId8" w:history="1">
        <w:r w:rsidRPr="00BA4A9E">
          <w:rPr>
            <w:rStyle w:val="Hyperlink"/>
            <w:rFonts w:ascii="Times New Roman" w:hAnsi="Times New Roman" w:cs="Times New Roman"/>
            <w:color w:val="auto"/>
          </w:rPr>
          <w:t>https://time.com/5324440/14th-amendment-meaning-150-anniversary/</w:t>
        </w:r>
      </w:hyperlink>
      <w:r w:rsidRPr="00BA4A9E">
        <w:rPr>
          <w:rFonts w:ascii="Times New Roman" w:hAnsi="Times New Roman" w:cs="Times New Roman"/>
        </w:rPr>
        <w:t>.</w:t>
      </w:r>
    </w:p>
  </w:endnote>
  <w:endnote w:id="23">
    <w:p w14:paraId="173D8C27" w14:textId="044F2C2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Naturalization Act of 1870, 16 Stat. 254, 256; Immigration and Nationality Act of 1952, Pub. L. 82-414, 66 Stat. 163; </w:t>
      </w:r>
      <w:r w:rsidRPr="00BA4A9E">
        <w:rPr>
          <w:rFonts w:ascii="Times New Roman" w:hAnsi="Times New Roman" w:cs="Times New Roman"/>
          <w:i/>
          <w:iCs/>
        </w:rPr>
        <w:t>see also</w:t>
      </w:r>
      <w:r w:rsidRPr="00BA4A9E">
        <w:rPr>
          <w:rFonts w:ascii="Times New Roman" w:hAnsi="Times New Roman" w:cs="Times New Roman"/>
        </w:rPr>
        <w:t xml:space="preserve">, </w:t>
      </w:r>
      <w:r w:rsidRPr="00BA4A9E">
        <w:rPr>
          <w:rFonts w:ascii="Times New Roman" w:hAnsi="Times New Roman" w:cs="Times New Roman"/>
          <w:i/>
          <w:iCs/>
        </w:rPr>
        <w:t>Takao Ozawa v. United States</w:t>
      </w:r>
      <w:r w:rsidRPr="00BA4A9E">
        <w:rPr>
          <w:rFonts w:ascii="Times New Roman" w:hAnsi="Times New Roman" w:cs="Times New Roman"/>
        </w:rPr>
        <w:t xml:space="preserve">, 260 U.S. 178 (1922), available at </w:t>
      </w:r>
      <w:hyperlink r:id="rId9" w:history="1">
        <w:r w:rsidRPr="00BA4A9E">
          <w:rPr>
            <w:rStyle w:val="Hyperlink"/>
            <w:rFonts w:ascii="Times New Roman" w:hAnsi="Times New Roman" w:cs="Times New Roman"/>
            <w:color w:val="auto"/>
          </w:rPr>
          <w:t>https://www.law.cornell.edu/supremecourt/text/260/178</w:t>
        </w:r>
      </w:hyperlink>
      <w:r w:rsidRPr="00BA4A9E">
        <w:rPr>
          <w:rFonts w:ascii="Times New Roman" w:hAnsi="Times New Roman" w:cs="Times New Roman"/>
        </w:rPr>
        <w:t xml:space="preserve">; </w:t>
      </w:r>
      <w:r w:rsidRPr="00BA4A9E">
        <w:rPr>
          <w:rFonts w:ascii="Times New Roman" w:hAnsi="Times New Roman" w:cs="Times New Roman"/>
          <w:i/>
          <w:iCs/>
        </w:rPr>
        <w:t>United States v. Bhagat Singh Thind,</w:t>
      </w:r>
      <w:r w:rsidRPr="00BA4A9E">
        <w:rPr>
          <w:rFonts w:ascii="Times New Roman" w:hAnsi="Times New Roman" w:cs="Times New Roman"/>
        </w:rPr>
        <w:t xml:space="preserve"> 261 U.S. 204 (1923), available at </w:t>
      </w:r>
      <w:hyperlink r:id="rId10" w:history="1">
        <w:r w:rsidRPr="00BA4A9E">
          <w:rPr>
            <w:rStyle w:val="Hyperlink"/>
            <w:rFonts w:ascii="Times New Roman" w:hAnsi="Times New Roman" w:cs="Times New Roman"/>
            <w:color w:val="auto"/>
          </w:rPr>
          <w:t>https://www.loc.gov/item/usrep261204/</w:t>
        </w:r>
      </w:hyperlink>
      <w:r w:rsidRPr="00BA4A9E">
        <w:rPr>
          <w:rFonts w:ascii="Times New Roman" w:hAnsi="Times New Roman" w:cs="Times New Roman"/>
        </w:rPr>
        <w:t>.</w:t>
      </w:r>
    </w:p>
  </w:endnote>
  <w:endnote w:id="24">
    <w:p w14:paraId="546A35F3" w14:textId="322B0804"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1A644F" w:rsidRPr="00BA4A9E">
        <w:rPr>
          <w:rFonts w:ascii="Times New Roman" w:hAnsi="Times New Roman" w:cs="Times New Roman"/>
          <w:i/>
          <w:iCs/>
        </w:rPr>
        <w:t>See</w:t>
      </w:r>
      <w:r w:rsidR="001A644F" w:rsidRPr="00BA4A9E">
        <w:rPr>
          <w:rFonts w:ascii="Times New Roman" w:hAnsi="Times New Roman" w:cs="Times New Roman"/>
        </w:rPr>
        <w:t xml:space="preserve"> INA § 236(a), INA § 236(c), INA § 235(b), and INA § 241(a)</w:t>
      </w:r>
      <w:r w:rsidR="00A600A1" w:rsidRPr="00BA4A9E">
        <w:rPr>
          <w:rFonts w:ascii="Times New Roman" w:hAnsi="Times New Roman" w:cs="Times New Roman"/>
          <w:sz w:val="24"/>
          <w:szCs w:val="24"/>
        </w:rPr>
        <w:t xml:space="preserve">; </w:t>
      </w:r>
      <w:r w:rsidR="00A600A1" w:rsidRPr="00EA4DAD">
        <w:rPr>
          <w:rFonts w:ascii="Times New Roman" w:hAnsi="Times New Roman" w:cs="Times New Roman"/>
          <w:i/>
          <w:iCs/>
        </w:rPr>
        <w:t>See also</w:t>
      </w:r>
      <w:r w:rsidR="00EA4DAD">
        <w:rPr>
          <w:rFonts w:ascii="Times New Roman" w:hAnsi="Times New Roman" w:cs="Times New Roman"/>
        </w:rPr>
        <w:t xml:space="preserve"> </w:t>
      </w:r>
      <w:r w:rsidRPr="00EA4DAD">
        <w:rPr>
          <w:rFonts w:ascii="Times New Roman" w:hAnsi="Times New Roman" w:cs="Times New Roman"/>
          <w:i/>
          <w:iCs/>
        </w:rPr>
        <w:t>The Law of Immigration Detention: A Brief Introduction</w:t>
      </w:r>
      <w:r w:rsidRPr="00EA4DAD">
        <w:rPr>
          <w:rFonts w:ascii="Times New Roman" w:hAnsi="Times New Roman" w:cs="Times New Roman"/>
        </w:rPr>
        <w:t xml:space="preserve">, Congressional Research Service (Sept. 1, 2022), </w:t>
      </w:r>
      <w:hyperlink r:id="rId11" w:history="1">
        <w:r w:rsidRPr="00BA4A9E">
          <w:rPr>
            <w:rStyle w:val="Hyperlink"/>
            <w:rFonts w:ascii="Times New Roman" w:hAnsi="Times New Roman" w:cs="Times New Roman"/>
            <w:color w:val="auto"/>
          </w:rPr>
          <w:t>https://crsreports.congress.gov/product/pdf/IF/IF11343</w:t>
        </w:r>
      </w:hyperlink>
      <w:r w:rsidRPr="00BA4A9E">
        <w:rPr>
          <w:rFonts w:ascii="Times New Roman" w:hAnsi="Times New Roman" w:cs="Times New Roman"/>
        </w:rPr>
        <w:t>.</w:t>
      </w:r>
    </w:p>
  </w:endnote>
  <w:endnote w:id="25">
    <w:p w14:paraId="17030317" w14:textId="17AC165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Immigration and Nationality Act of 1965, § 101(a)(42), 79 Stat. 911; 8 U.S.C. § 1101(a)(42)(A), (defining “Refugee,” “Immigration,” and “Nationality”).  </w:t>
      </w:r>
    </w:p>
  </w:endnote>
  <w:endnote w:id="26">
    <w:p w14:paraId="3251705B" w14:textId="0451EB29" w:rsidR="003B570C" w:rsidRPr="00BA4A9E" w:rsidRDefault="003B570C" w:rsidP="003B570C">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A600A1" w:rsidRPr="00BA4A9E">
        <w:rPr>
          <w:rFonts w:ascii="Times New Roman" w:hAnsi="Times New Roman" w:cs="Times New Roman"/>
        </w:rPr>
        <w:t>8 U.S.C. § 1182(f).(proscribing</w:t>
      </w:r>
      <w:r w:rsidRPr="00BA4A9E">
        <w:rPr>
          <w:rFonts w:ascii="Times New Roman" w:hAnsi="Times New Roman" w:cs="Times New Roman"/>
        </w:rPr>
        <w:t xml:space="preserve"> that “[w]henever the President finds that the entry of any aliens or any class of aliens into the United States would be detrimental to the interests of the United States, he may by proclamation, and for such period as he shall deem necessary, suspend the entry of all aliens or any class of aliens as immigrants or nonimmigrants, or impose on the entry of aliens any restrictions he may deem be appropriate.”</w:t>
      </w:r>
      <w:r w:rsidR="00A600A1" w:rsidRPr="00BA4A9E">
        <w:rPr>
          <w:rFonts w:ascii="Times New Roman" w:hAnsi="Times New Roman" w:cs="Times New Roman"/>
        </w:rPr>
        <w:t>).</w:t>
      </w:r>
      <w:r w:rsidR="00DF3BF6" w:rsidRPr="00BA4A9E">
        <w:rPr>
          <w:rFonts w:ascii="Times New Roman" w:hAnsi="Times New Roman" w:cs="Times New Roman"/>
        </w:rPr>
        <w:t xml:space="preserve"> </w:t>
      </w:r>
    </w:p>
  </w:endnote>
  <w:endnote w:id="27">
    <w:p w14:paraId="0F49E157" w14:textId="71AC3C24"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E.g</w:t>
      </w:r>
      <w:r w:rsidRPr="00BA4A9E">
        <w:rPr>
          <w:rFonts w:ascii="Times New Roman" w:hAnsi="Times New Roman" w:cs="Times New Roman"/>
        </w:rPr>
        <w:t>., 42 U.S.C. § 265, (known as “Title 42”).</w:t>
      </w:r>
    </w:p>
  </w:endnote>
  <w:endnote w:id="28">
    <w:p w14:paraId="05DD76A2" w14:textId="71EA531C" w:rsidR="000362C9" w:rsidRPr="00BA4A9E" w:rsidRDefault="000362C9" w:rsidP="00E43FBD">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INA § 241(b)(3); 8 U.S.C. § 1231(b)(3)</w:t>
      </w:r>
      <w:r w:rsidR="00A600A1" w:rsidRPr="00BA4A9E">
        <w:rPr>
          <w:rFonts w:ascii="Times New Roman" w:hAnsi="Times New Roman" w:cs="Times New Roman"/>
        </w:rPr>
        <w:t xml:space="preserve"> (</w:t>
      </w:r>
      <w:r w:rsidRPr="00BA4A9E">
        <w:rPr>
          <w:rFonts w:ascii="Times New Roman" w:hAnsi="Times New Roman" w:cs="Times New Roman"/>
        </w:rPr>
        <w:t>barring the removal of individuals who meet the refugee definition under U.S. law, with certain exceptions based on allegations of past conduct including a conviction for an offense deemed a “particularly serious crime.”</w:t>
      </w:r>
      <w:r w:rsidR="00A600A1" w:rsidRPr="00BA4A9E">
        <w:rPr>
          <w:rFonts w:ascii="Times New Roman" w:hAnsi="Times New Roman" w:cs="Times New Roman"/>
        </w:rPr>
        <w:t>)</w:t>
      </w:r>
    </w:p>
  </w:endnote>
  <w:endnote w:id="29">
    <w:p w14:paraId="5FD0C5FF" w14:textId="3BBB63E7" w:rsidR="000362C9" w:rsidRPr="00BA4A9E" w:rsidRDefault="000362C9" w:rsidP="00764425">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Immigration Reform and Control Act of 1986, Pub. L. No. 99-1000, § 111(a)(1), 100 Stat. 3381, available at .</w:t>
      </w:r>
      <w:hyperlink r:id="rId12" w:history="1">
        <w:r w:rsidRPr="00BA4A9E">
          <w:rPr>
            <w:rStyle w:val="Hyperlink"/>
            <w:rFonts w:ascii="Times New Roman" w:hAnsi="Times New Roman" w:cs="Times New Roman"/>
            <w:color w:val="auto"/>
          </w:rPr>
          <w:t>https://www.congress.gov/bill/99th-congress/senate-bill/1200</w:t>
        </w:r>
      </w:hyperlink>
      <w:r w:rsidR="00A600A1" w:rsidRPr="00BA4A9E">
        <w:rPr>
          <w:rFonts w:ascii="Times New Roman" w:hAnsi="Times New Roman" w:cs="Times New Roman"/>
        </w:rPr>
        <w:t xml:space="preserve"> (</w:t>
      </w:r>
      <w:r w:rsidRPr="00BA4A9E">
        <w:rPr>
          <w:rFonts w:ascii="Times New Roman" w:hAnsi="Times New Roman" w:cs="Times New Roman"/>
        </w:rPr>
        <w:t xml:space="preserve"> </w:t>
      </w:r>
      <w:r w:rsidR="00A600A1" w:rsidRPr="00BA4A9E">
        <w:rPr>
          <w:rFonts w:ascii="Times New Roman" w:hAnsi="Times New Roman" w:cs="Times New Roman"/>
        </w:rPr>
        <w:t>providing for</w:t>
      </w:r>
      <w:r w:rsidRPr="00BA4A9E">
        <w:rPr>
          <w:rFonts w:ascii="Times New Roman" w:hAnsi="Times New Roman" w:cs="Times New Roman"/>
        </w:rPr>
        <w:t xml:space="preserve"> “increased enforcement and administrative activities of the Border Patrol, the Immigration and Naturalization Service and other appropriate Federal agencies” </w:t>
      </w:r>
      <w:r w:rsidR="00A600A1" w:rsidRPr="00BA4A9E">
        <w:rPr>
          <w:rFonts w:ascii="Times New Roman" w:hAnsi="Times New Roman" w:cs="Times New Roman"/>
        </w:rPr>
        <w:t>and</w:t>
      </w:r>
      <w:r w:rsidRPr="00BA4A9E">
        <w:rPr>
          <w:rFonts w:ascii="Times New Roman" w:hAnsi="Times New Roman" w:cs="Times New Roman"/>
        </w:rPr>
        <w:t xml:space="preserve"> for “the identification of Department of Defense facilities that could be made available to incarcerate deportable or excludable aliens.”</w:t>
      </w:r>
      <w:r w:rsidR="00A600A1" w:rsidRPr="00BA4A9E">
        <w:rPr>
          <w:rFonts w:ascii="Times New Roman" w:hAnsi="Times New Roman" w:cs="Times New Roman"/>
        </w:rPr>
        <w:t>).</w:t>
      </w:r>
    </w:p>
  </w:endnote>
  <w:endnote w:id="30">
    <w:p w14:paraId="221E4917" w14:textId="77777777" w:rsidR="00A600A1" w:rsidRDefault="000362C9" w:rsidP="001F327D">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Two 1996 immigration laws passed by Congress—the Illegal Immigration Reform and Immigrant Responsibility Act (“IIRIRA”) and the Antiterrorism and Effective Death Penalty Act (“AEDPA”)—led to the expansion of the use of detention in the U.S. civil immigration system, a decrease in fundamental due process for people in immigration proceedings, and the entrenchment of the modern-day “criminal”-to-deportation pipeline. </w:t>
      </w:r>
      <w:r w:rsidRPr="00BA4A9E">
        <w:rPr>
          <w:rFonts w:ascii="Times New Roman" w:hAnsi="Times New Roman" w:cs="Times New Roman"/>
          <w:i/>
          <w:iCs/>
        </w:rPr>
        <w:t>See</w:t>
      </w:r>
      <w:r w:rsidRPr="00BA4A9E">
        <w:rPr>
          <w:rFonts w:ascii="Times New Roman" w:hAnsi="Times New Roman" w:cs="Times New Roman"/>
        </w:rPr>
        <w:t xml:space="preserve"> Shamira Ibrahim, </w:t>
      </w:r>
      <w:r w:rsidRPr="00BA4A9E">
        <w:rPr>
          <w:rFonts w:ascii="Times New Roman" w:hAnsi="Times New Roman" w:cs="Times New Roman"/>
          <w:i/>
          <w:iCs/>
        </w:rPr>
        <w:t>Ousman Darboe could be deported any day. His story is a common one for black immigrants</w:t>
      </w:r>
      <w:r w:rsidRPr="00BA4A9E">
        <w:rPr>
          <w:rFonts w:ascii="Times New Roman" w:hAnsi="Times New Roman" w:cs="Times New Roman"/>
        </w:rPr>
        <w:t xml:space="preserve">, </w:t>
      </w:r>
      <w:r w:rsidRPr="00BA4A9E">
        <w:rPr>
          <w:rFonts w:ascii="Times New Roman" w:hAnsi="Times New Roman" w:cs="Times New Roman"/>
          <w:smallCaps/>
        </w:rPr>
        <w:t>Vox</w:t>
      </w:r>
      <w:r w:rsidRPr="00BA4A9E">
        <w:rPr>
          <w:rFonts w:ascii="Times New Roman" w:hAnsi="Times New Roman" w:cs="Times New Roman"/>
        </w:rPr>
        <w:t xml:space="preserve"> (Feb. 5, 2020, 11:58 AM EST), </w:t>
      </w:r>
      <w:hyperlink r:id="rId13" w:history="1">
        <w:r w:rsidRPr="00BA4A9E">
          <w:rPr>
            <w:rStyle w:val="Hyperlink"/>
            <w:rFonts w:ascii="Times New Roman" w:hAnsi="Times New Roman" w:cs="Times New Roman"/>
            <w:color w:val="auto"/>
          </w:rPr>
          <w:t>https://www.vox.com/identities/2019/9/30/20875821/black-immigrants-school-prison-deportation-pipeline</w:t>
        </w:r>
      </w:hyperlink>
      <w:r w:rsidRPr="00BA4A9E">
        <w:rPr>
          <w:rFonts w:ascii="Times New Roman" w:hAnsi="Times New Roman" w:cs="Times New Roman"/>
        </w:rPr>
        <w:t xml:space="preserve">. </w:t>
      </w:r>
    </w:p>
    <w:p w14:paraId="5F23F566" w14:textId="77777777" w:rsidR="00BE1B5D" w:rsidRPr="00BA4A9E" w:rsidRDefault="00BE1B5D" w:rsidP="001F327D">
      <w:pPr>
        <w:pStyle w:val="EndnoteText"/>
        <w:rPr>
          <w:rFonts w:ascii="Times New Roman" w:hAnsi="Times New Roman" w:cs="Times New Roman"/>
        </w:rPr>
      </w:pPr>
    </w:p>
    <w:p w14:paraId="001943A2" w14:textId="77777777" w:rsidR="00A600A1" w:rsidRDefault="000362C9" w:rsidP="001F327D">
      <w:pPr>
        <w:pStyle w:val="EndnoteText"/>
        <w:rPr>
          <w:rFonts w:ascii="Times New Roman" w:hAnsi="Times New Roman" w:cs="Times New Roman"/>
        </w:rPr>
      </w:pPr>
      <w:r w:rsidRPr="00BA4A9E">
        <w:rPr>
          <w:rFonts w:ascii="Times New Roman" w:hAnsi="Times New Roman" w:cs="Times New Roman"/>
        </w:rPr>
        <w:t xml:space="preserve">First, the 1996 bills added processes for expedited deportations without judicial review to speed up the removal process thereby depriving many immigrants of basic due process. </w:t>
      </w:r>
    </w:p>
    <w:p w14:paraId="2BFF732B" w14:textId="77777777" w:rsidR="006C1F96" w:rsidRPr="00BA4A9E" w:rsidRDefault="006C1F96" w:rsidP="001F327D">
      <w:pPr>
        <w:pStyle w:val="EndnoteText"/>
        <w:rPr>
          <w:rFonts w:ascii="Times New Roman" w:hAnsi="Times New Roman" w:cs="Times New Roman"/>
        </w:rPr>
      </w:pPr>
    </w:p>
    <w:p w14:paraId="2F69EAA4" w14:textId="77777777" w:rsidR="00A600A1" w:rsidRDefault="000362C9" w:rsidP="001F327D">
      <w:pPr>
        <w:pStyle w:val="EndnoteText"/>
        <w:rPr>
          <w:rFonts w:ascii="Times New Roman" w:hAnsi="Times New Roman" w:cs="Times New Roman"/>
        </w:rPr>
      </w:pPr>
      <w:r w:rsidRPr="00BA4A9E">
        <w:rPr>
          <w:rFonts w:ascii="Times New Roman" w:hAnsi="Times New Roman" w:cs="Times New Roman"/>
        </w:rPr>
        <w:t xml:space="preserve">Second, the bills also added new provisions to existing immigration law that permit the federal government to enter agreements with local law enforcement agencies that authorize local police officers to enforce federal immigration law, including directly arresting immigrants for detention and removal proceedings. These “287(g) agreements” have a track record of resulting in increased racial profiling of Black and Brown people by local police and undermine public safety by creating mistrust between immigrant communities and local law enforcement agencies. For further discussion, </w:t>
      </w:r>
      <w:r w:rsidRPr="00BA4A9E">
        <w:rPr>
          <w:rFonts w:ascii="Times New Roman" w:hAnsi="Times New Roman" w:cs="Times New Roman"/>
          <w:i/>
          <w:iCs/>
        </w:rPr>
        <w:t>see</w:t>
      </w:r>
      <w:r w:rsidRPr="00BA4A9E">
        <w:rPr>
          <w:rFonts w:ascii="Times New Roman" w:hAnsi="Times New Roman" w:cs="Times New Roman"/>
        </w:rPr>
        <w:t xml:space="preserve"> ACLU, </w:t>
      </w:r>
      <w:r w:rsidRPr="00BA4A9E">
        <w:rPr>
          <w:rFonts w:ascii="Times New Roman" w:hAnsi="Times New Roman" w:cs="Times New Roman"/>
          <w:i/>
          <w:iCs/>
        </w:rPr>
        <w:t>License to Abuse: How ICE’s 287(g) Program Empowers Racist Sheriffs</w:t>
      </w:r>
      <w:r w:rsidRPr="00BA4A9E">
        <w:rPr>
          <w:rFonts w:ascii="Times New Roman" w:hAnsi="Times New Roman" w:cs="Times New Roman"/>
        </w:rPr>
        <w:t xml:space="preserve"> (2022), </w:t>
      </w:r>
      <w:hyperlink r:id="rId14" w:history="1">
        <w:r w:rsidRPr="00BA4A9E">
          <w:rPr>
            <w:rStyle w:val="Hyperlink"/>
            <w:rFonts w:ascii="Times New Roman" w:hAnsi="Times New Roman" w:cs="Times New Roman"/>
            <w:color w:val="auto"/>
          </w:rPr>
          <w:t>https://www.aclu.org/wp-content/uploads/legal-documents/2022-06-02-sheriffresearch_1.pdf</w:t>
        </w:r>
      </w:hyperlink>
      <w:r w:rsidRPr="00BA4A9E">
        <w:rPr>
          <w:rFonts w:ascii="Times New Roman" w:hAnsi="Times New Roman" w:cs="Times New Roman"/>
        </w:rPr>
        <w:t xml:space="preserve">. </w:t>
      </w:r>
    </w:p>
    <w:p w14:paraId="39C483B4" w14:textId="77777777" w:rsidR="006C1F96" w:rsidRPr="00BA4A9E" w:rsidRDefault="006C1F96" w:rsidP="001F327D">
      <w:pPr>
        <w:pStyle w:val="EndnoteText"/>
        <w:rPr>
          <w:rFonts w:ascii="Times New Roman" w:hAnsi="Times New Roman" w:cs="Times New Roman"/>
        </w:rPr>
      </w:pPr>
    </w:p>
    <w:p w14:paraId="7A0C9DAB" w14:textId="7ED79487" w:rsidR="000362C9" w:rsidRPr="00BA4A9E" w:rsidRDefault="000362C9" w:rsidP="001F327D">
      <w:pPr>
        <w:pStyle w:val="EndnoteText"/>
        <w:rPr>
          <w:rFonts w:ascii="Times New Roman" w:hAnsi="Times New Roman" w:cs="Times New Roman"/>
        </w:rPr>
      </w:pPr>
      <w:r w:rsidRPr="00BA4A9E">
        <w:rPr>
          <w:rFonts w:ascii="Times New Roman" w:hAnsi="Times New Roman" w:cs="Times New Roman"/>
        </w:rPr>
        <w:t xml:space="preserve">Finally, the 1996 bills significantly expanded the list of criminal convictions that trigger detention and deportation without regard for a person’s rehabilitation, the recency of a person’s conviction or its severity. As a result, the U.S. immigration system frequently deprives a disproportionate number of Black and Brown immigrants of their liberty and livelihood through detention and deportation on the basis of criminal convictions that are decades-old or minor in nature, and despite years of rehabilitated life and deep ties to the United States. Ginger Thompson &amp; Sarah Cohen, </w:t>
      </w:r>
      <w:r w:rsidRPr="00BA4A9E">
        <w:rPr>
          <w:rFonts w:ascii="Times New Roman" w:hAnsi="Times New Roman" w:cs="Times New Roman"/>
          <w:i/>
          <w:iCs/>
        </w:rPr>
        <w:t>More Deportations Follow Minor Crimes, Records Show</w:t>
      </w:r>
      <w:r w:rsidRPr="00BA4A9E">
        <w:rPr>
          <w:rFonts w:ascii="Times New Roman" w:hAnsi="Times New Roman" w:cs="Times New Roman"/>
        </w:rPr>
        <w:t xml:space="preserve">, </w:t>
      </w:r>
      <w:r w:rsidRPr="00BA4A9E">
        <w:rPr>
          <w:rFonts w:ascii="Times New Roman" w:hAnsi="Times New Roman" w:cs="Times New Roman"/>
          <w:smallCaps/>
        </w:rPr>
        <w:t>N.Y. Times</w:t>
      </w:r>
      <w:r w:rsidRPr="00BA4A9E">
        <w:rPr>
          <w:rFonts w:ascii="Times New Roman" w:hAnsi="Times New Roman" w:cs="Times New Roman"/>
        </w:rPr>
        <w:t xml:space="preserve"> (Apr. 6, 2014), </w:t>
      </w:r>
      <w:hyperlink r:id="rId15" w:history="1">
        <w:r w:rsidRPr="00BA4A9E">
          <w:rPr>
            <w:rStyle w:val="Hyperlink"/>
            <w:rFonts w:ascii="Times New Roman" w:hAnsi="Times New Roman" w:cs="Times New Roman"/>
            <w:color w:val="auto"/>
          </w:rPr>
          <w:t>https://www.nytimes.com/2014/04/07/us/more-deportations-follow-minor-crimes-data-shows.html</w:t>
        </w:r>
      </w:hyperlink>
      <w:r w:rsidRPr="00BA4A9E">
        <w:rPr>
          <w:rFonts w:ascii="Times New Roman" w:hAnsi="Times New Roman" w:cs="Times New Roman"/>
        </w:rPr>
        <w:t>.</w:t>
      </w:r>
    </w:p>
  </w:endnote>
  <w:endnote w:id="31">
    <w:p w14:paraId="09C1B78D" w14:textId="77777777" w:rsidR="000362C9" w:rsidRPr="00BA4A9E" w:rsidRDefault="000362C9" w:rsidP="004D291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 e.g.</w:t>
      </w:r>
      <w:r w:rsidRPr="00BA4A9E">
        <w:rPr>
          <w:rFonts w:ascii="Times New Roman" w:hAnsi="Times New Roman" w:cs="Times New Roman"/>
        </w:rPr>
        <w:t xml:space="preserve">, Alina Das, </w:t>
      </w:r>
      <w:r w:rsidRPr="00BA4A9E">
        <w:rPr>
          <w:rFonts w:ascii="Times New Roman" w:hAnsi="Times New Roman" w:cs="Times New Roman"/>
          <w:i/>
          <w:iCs/>
        </w:rPr>
        <w:t>Inclusive Immigrant Justice: Racial Animus and the Origins of Crime-Based Deportation</w:t>
      </w:r>
      <w:r w:rsidRPr="00BA4A9E">
        <w:rPr>
          <w:rFonts w:ascii="Times New Roman" w:hAnsi="Times New Roman" w:cs="Times New Roman"/>
        </w:rPr>
        <w:t xml:space="preserve">, 52 U.C. Davis L. Rev. (2018), </w:t>
      </w:r>
      <w:hyperlink r:id="rId16" w:history="1">
        <w:r w:rsidRPr="00BA4A9E">
          <w:rPr>
            <w:rStyle w:val="Hyperlink"/>
            <w:rFonts w:ascii="Times New Roman" w:hAnsi="Times New Roman" w:cs="Times New Roman"/>
            <w:color w:val="auto"/>
          </w:rPr>
          <w:t>https://lawreview.law.ucdavis.edu/issues/52/1/Symposium/52-1_Das.pdf</w:t>
        </w:r>
      </w:hyperlink>
      <w:r w:rsidRPr="00BA4A9E">
        <w:rPr>
          <w:rFonts w:ascii="Times New Roman" w:hAnsi="Times New Roman" w:cs="Times New Roman"/>
        </w:rPr>
        <w:t xml:space="preserve">.   </w:t>
      </w:r>
    </w:p>
  </w:endnote>
  <w:endnote w:id="32">
    <w:p w14:paraId="3F39A553" w14:textId="6FC7542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In 2017, almost 74% of people arrested by Immigration Customs Enforcement (ICE) had a criminal conviction. Jeremy Raff, </w:t>
      </w:r>
      <w:r w:rsidRPr="00BA4A9E">
        <w:rPr>
          <w:rFonts w:ascii="Times New Roman" w:hAnsi="Times New Roman" w:cs="Times New Roman"/>
          <w:i/>
          <w:iCs/>
        </w:rPr>
        <w:t>The ‘Double Punishment’ for Black Undocumented Immigrants</w:t>
      </w:r>
      <w:r w:rsidRPr="00BA4A9E">
        <w:rPr>
          <w:rFonts w:ascii="Times New Roman" w:hAnsi="Times New Roman" w:cs="Times New Roman"/>
        </w:rPr>
        <w:t xml:space="preserve">, </w:t>
      </w:r>
      <w:r w:rsidRPr="00BA4A9E">
        <w:rPr>
          <w:rFonts w:ascii="Times New Roman" w:hAnsi="Times New Roman" w:cs="Times New Roman"/>
          <w:smallCaps/>
        </w:rPr>
        <w:t>The Atlantic</w:t>
      </w:r>
      <w:r w:rsidRPr="00BA4A9E">
        <w:rPr>
          <w:rFonts w:ascii="Times New Roman" w:hAnsi="Times New Roman" w:cs="Times New Roman"/>
        </w:rPr>
        <w:t xml:space="preserve"> (Dec. 30, 2017), </w:t>
      </w:r>
      <w:hyperlink r:id="rId17" w:history="1">
        <w:r w:rsidRPr="00BA4A9E">
          <w:rPr>
            <w:rStyle w:val="Hyperlink"/>
            <w:rFonts w:ascii="Times New Roman" w:hAnsi="Times New Roman" w:cs="Times New Roman"/>
            <w:color w:val="auto"/>
          </w:rPr>
          <w:t>https://www.theatlantic.com/politics/archive/2017/12/the-double-punishment-for-black-immigrants/549425/</w:t>
        </w:r>
      </w:hyperlink>
      <w:r w:rsidRPr="00BA4A9E">
        <w:rPr>
          <w:rFonts w:ascii="Times New Roman" w:hAnsi="Times New Roman" w:cs="Times New Roman"/>
        </w:rPr>
        <w:t xml:space="preserve">; Tanya Golash-Boza &amp; Pierrette Hondagneu-Sotelo, </w:t>
      </w:r>
      <w:r w:rsidRPr="00BA4A9E">
        <w:rPr>
          <w:rFonts w:ascii="Times New Roman" w:hAnsi="Times New Roman" w:cs="Times New Roman"/>
          <w:i/>
          <w:iCs/>
        </w:rPr>
        <w:t>Latino Immigrant Men and the Deportation Crisis: A Gendered Racial Removal Program</w:t>
      </w:r>
      <w:r w:rsidRPr="00BA4A9E">
        <w:rPr>
          <w:rFonts w:ascii="Times New Roman" w:hAnsi="Times New Roman" w:cs="Times New Roman"/>
        </w:rPr>
        <w:t xml:space="preserve">, 11 Latino Stud. 271 (2013), </w:t>
      </w:r>
      <w:hyperlink r:id="rId18" w:history="1">
        <w:r w:rsidRPr="00BA4A9E">
          <w:rPr>
            <w:rStyle w:val="Hyperlink"/>
            <w:rFonts w:ascii="Times New Roman" w:hAnsi="Times New Roman" w:cs="Times New Roman"/>
            <w:color w:val="auto"/>
          </w:rPr>
          <w:t>https://escholarship.org/uc/item/8gw8r8xj</w:t>
        </w:r>
      </w:hyperlink>
      <w:r w:rsidRPr="00BA4A9E">
        <w:rPr>
          <w:rFonts w:ascii="Times New Roman" w:hAnsi="Times New Roman" w:cs="Times New Roman"/>
        </w:rPr>
        <w:t>.</w:t>
      </w:r>
    </w:p>
  </w:endnote>
  <w:endnote w:id="33">
    <w:p w14:paraId="7AA0886D" w14:textId="4D6F0AB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8 U.S.C. § 1103(a)(5) (</w:t>
      </w:r>
      <w:r w:rsidR="00A600A1" w:rsidRPr="00BA4A9E">
        <w:rPr>
          <w:rFonts w:ascii="Times New Roman" w:hAnsi="Times New Roman" w:cs="Times New Roman"/>
        </w:rPr>
        <w:t xml:space="preserve">providing that </w:t>
      </w:r>
      <w:r w:rsidRPr="00BA4A9E">
        <w:rPr>
          <w:rFonts w:ascii="Times New Roman" w:hAnsi="Times New Roman" w:cs="Times New Roman"/>
        </w:rPr>
        <w:t>DHS "shall have the power and duty to control and guard the boundaries and borders of the United States against the illegal entry of aliens").</w:t>
      </w:r>
    </w:p>
  </w:endnote>
  <w:endnote w:id="34">
    <w:p w14:paraId="6A905854" w14:textId="46ACCD1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HBA v. Biden Complaint, </w:t>
      </w:r>
      <w:r w:rsidRPr="00BA4A9E">
        <w:rPr>
          <w:rFonts w:ascii="Times New Roman" w:hAnsi="Times New Roman" w:cs="Times New Roman"/>
          <w:i/>
          <w:iCs/>
        </w:rPr>
        <w:t>supra</w:t>
      </w:r>
      <w:r w:rsidRPr="00BA4A9E">
        <w:rPr>
          <w:rFonts w:ascii="Times New Roman" w:hAnsi="Times New Roman" w:cs="Times New Roman"/>
        </w:rPr>
        <w:t xml:space="preserve"> n. </w:t>
      </w:r>
      <w:r w:rsidR="00A4405E">
        <w:rPr>
          <w:rFonts w:ascii="Times New Roman" w:hAnsi="Times New Roman" w:cs="Times New Roman"/>
        </w:rPr>
        <w:fldChar w:fldCharType="begin"/>
      </w:r>
      <w:r w:rsidR="00A4405E">
        <w:rPr>
          <w:rFonts w:ascii="Times New Roman" w:hAnsi="Times New Roman" w:cs="Times New Roman"/>
        </w:rPr>
        <w:instrText xml:space="preserve"> NOTEREF _Ref145400072 \h </w:instrText>
      </w:r>
      <w:r w:rsidR="00A4405E">
        <w:rPr>
          <w:rFonts w:ascii="Times New Roman" w:hAnsi="Times New Roman" w:cs="Times New Roman"/>
        </w:rPr>
      </w:r>
      <w:r w:rsidR="00A4405E">
        <w:rPr>
          <w:rFonts w:ascii="Times New Roman" w:hAnsi="Times New Roman" w:cs="Times New Roman"/>
        </w:rPr>
        <w:fldChar w:fldCharType="separate"/>
      </w:r>
      <w:r w:rsidR="00A4405E">
        <w:rPr>
          <w:rFonts w:ascii="Times New Roman" w:hAnsi="Times New Roman" w:cs="Times New Roman"/>
        </w:rPr>
        <w:t>3</w:t>
      </w:r>
      <w:r w:rsidR="00A4405E">
        <w:rPr>
          <w:rFonts w:ascii="Times New Roman" w:hAnsi="Times New Roman" w:cs="Times New Roman"/>
        </w:rPr>
        <w:fldChar w:fldCharType="end"/>
      </w:r>
      <w:r w:rsidRPr="00BA4A9E">
        <w:rPr>
          <w:rFonts w:ascii="Times New Roman" w:hAnsi="Times New Roman" w:cs="Times New Roman"/>
        </w:rPr>
        <w:t xml:space="preserve"> at ¶ 44, </w:t>
      </w:r>
      <w:r w:rsidRPr="00BA4A9E">
        <w:rPr>
          <w:rFonts w:ascii="Times New Roman" w:hAnsi="Times New Roman" w:cs="Times New Roman"/>
          <w:i/>
          <w:iCs/>
        </w:rPr>
        <w:t>citing</w:t>
      </w:r>
      <w:r w:rsidRPr="00BA4A9E">
        <w:rPr>
          <w:rFonts w:ascii="Times New Roman" w:hAnsi="Times New Roman" w:cs="Times New Roman"/>
        </w:rPr>
        <w:t xml:space="preserve"> </w:t>
      </w:r>
      <w:r w:rsidRPr="00BA4A9E">
        <w:rPr>
          <w:rFonts w:ascii="Times New Roman" w:hAnsi="Times New Roman" w:cs="Times New Roman"/>
          <w:smallCaps/>
        </w:rPr>
        <w:t>Roger Daniels, Guarding the Golden Door: American Immigration Policy and Immigrants Since 1882</w:t>
      </w:r>
      <w:r w:rsidRPr="00BA4A9E">
        <w:rPr>
          <w:rFonts w:ascii="Times New Roman" w:hAnsi="Times New Roman" w:cs="Times New Roman"/>
        </w:rPr>
        <w:t>, 213-14 (2004), (</w:t>
      </w:r>
      <w:r w:rsidR="00A600A1" w:rsidRPr="00BA4A9E">
        <w:rPr>
          <w:rFonts w:ascii="Times New Roman" w:hAnsi="Times New Roman" w:cs="Times New Roman"/>
        </w:rPr>
        <w:t xml:space="preserve">describing how </w:t>
      </w:r>
      <w:r w:rsidRPr="00BA4A9E">
        <w:rPr>
          <w:rFonts w:ascii="Times New Roman" w:hAnsi="Times New Roman" w:cs="Times New Roman"/>
        </w:rPr>
        <w:t>“</w:t>
      </w:r>
      <w:r w:rsidR="00A600A1" w:rsidRPr="00BA4A9E">
        <w:rPr>
          <w:rFonts w:ascii="Times New Roman" w:hAnsi="Times New Roman" w:cs="Times New Roman"/>
        </w:rPr>
        <w:t>[i]</w:t>
      </w:r>
      <w:r w:rsidRPr="00BA4A9E">
        <w:rPr>
          <w:rFonts w:ascii="Times New Roman" w:hAnsi="Times New Roman" w:cs="Times New Roman"/>
        </w:rPr>
        <w:t>t is instructive to note that, despite the ideological differences between the Carter, Reagan, Bush I, Clinton, and Bush II administrations, each has persistently discriminated against Haitian entrants . . .”).</w:t>
      </w:r>
    </w:p>
  </w:endnote>
  <w:endnote w:id="35">
    <w:p w14:paraId="75D3A4DF" w14:textId="64A47F5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xml:space="preserve"> at ¶ 45, </w:t>
      </w:r>
      <w:r w:rsidRPr="00BA4A9E">
        <w:rPr>
          <w:rFonts w:ascii="Times New Roman" w:hAnsi="Times New Roman" w:cs="Times New Roman"/>
          <w:i/>
          <w:iCs/>
        </w:rPr>
        <w:t>citing</w:t>
      </w:r>
      <w:r w:rsidRPr="00BA4A9E">
        <w:rPr>
          <w:rFonts w:ascii="Times New Roman" w:hAnsi="Times New Roman" w:cs="Times New Roman"/>
        </w:rPr>
        <w:t xml:space="preserve"> Carl Lindskoog, </w:t>
      </w:r>
      <w:r w:rsidRPr="00BA4A9E">
        <w:rPr>
          <w:rFonts w:ascii="Times New Roman" w:hAnsi="Times New Roman" w:cs="Times New Roman"/>
          <w:i/>
          <w:iCs/>
        </w:rPr>
        <w:t>Violence and Racism Against Haitian Migrants Was Never Limited to Agents on Horseback</w:t>
      </w:r>
      <w:r w:rsidRPr="00BA4A9E">
        <w:rPr>
          <w:rFonts w:ascii="Times New Roman" w:hAnsi="Times New Roman" w:cs="Times New Roman"/>
        </w:rPr>
        <w:t xml:space="preserve">, </w:t>
      </w:r>
      <w:r w:rsidRPr="00BA4A9E">
        <w:rPr>
          <w:rFonts w:ascii="Times New Roman" w:hAnsi="Times New Roman" w:cs="Times New Roman"/>
          <w:smallCaps/>
        </w:rPr>
        <w:t>Wash. Post</w:t>
      </w:r>
      <w:r w:rsidRPr="00BA4A9E">
        <w:rPr>
          <w:rFonts w:ascii="Times New Roman" w:hAnsi="Times New Roman" w:cs="Times New Roman"/>
        </w:rPr>
        <w:t xml:space="preserve"> (Sept. 30, 2021, 6:00 AM), </w:t>
      </w:r>
      <w:hyperlink r:id="rId19" w:history="1">
        <w:r w:rsidRPr="00BA4A9E">
          <w:rPr>
            <w:rStyle w:val="Hyperlink"/>
            <w:rFonts w:ascii="Times New Roman" w:hAnsi="Times New Roman" w:cs="Times New Roman"/>
            <w:color w:val="auto"/>
          </w:rPr>
          <w:t>https://www.washingtonpost.com/outlook/2021/10/02/violence-racism-against-haitian-migrants-was-never-limited-horseback-riders/</w:t>
        </w:r>
      </w:hyperlink>
      <w:r w:rsidRPr="00BA4A9E">
        <w:rPr>
          <w:rFonts w:ascii="Times New Roman" w:hAnsi="Times New Roman" w:cs="Times New Roman"/>
        </w:rPr>
        <w:t>.</w:t>
      </w:r>
    </w:p>
  </w:endnote>
  <w:endnote w:id="36">
    <w:p w14:paraId="3BBB5A78" w14:textId="551C758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Jeffrey S. Kahn, “</w:t>
      </w:r>
      <w:r w:rsidRPr="00BA4A9E">
        <w:rPr>
          <w:rFonts w:ascii="Times New Roman" w:hAnsi="Times New Roman" w:cs="Times New Roman"/>
          <w:i/>
          <w:iCs/>
        </w:rPr>
        <w:t>Guantánamo’s Other History</w:t>
      </w:r>
      <w:r w:rsidRPr="00BA4A9E">
        <w:rPr>
          <w:rFonts w:ascii="Times New Roman" w:hAnsi="Times New Roman" w:cs="Times New Roman"/>
        </w:rPr>
        <w:t xml:space="preserve">,” </w:t>
      </w:r>
      <w:r w:rsidRPr="00BA4A9E">
        <w:rPr>
          <w:rFonts w:ascii="Times New Roman" w:hAnsi="Times New Roman" w:cs="Times New Roman"/>
          <w:smallCaps/>
        </w:rPr>
        <w:t>Boston Review</w:t>
      </w:r>
      <w:r w:rsidRPr="00BA4A9E">
        <w:rPr>
          <w:rFonts w:ascii="Times New Roman" w:hAnsi="Times New Roman" w:cs="Times New Roman"/>
        </w:rPr>
        <w:t xml:space="preserve"> (Oct. 15, 2021), </w:t>
      </w:r>
      <w:r w:rsidRPr="00BA4A9E">
        <w:rPr>
          <w:rFonts w:ascii="Times New Roman" w:hAnsi="Times New Roman" w:cs="Times New Roman"/>
          <w:i/>
          <w:iCs/>
        </w:rPr>
        <w:t>available at</w:t>
      </w:r>
      <w:r w:rsidRPr="00BA4A9E">
        <w:rPr>
          <w:rFonts w:ascii="Times New Roman" w:hAnsi="Times New Roman" w:cs="Times New Roman"/>
        </w:rPr>
        <w:t xml:space="preserve"> </w:t>
      </w:r>
      <w:hyperlink r:id="rId20" w:history="1">
        <w:r w:rsidRPr="00BA4A9E">
          <w:rPr>
            <w:rStyle w:val="Hyperlink"/>
            <w:rFonts w:ascii="Times New Roman" w:hAnsi="Times New Roman" w:cs="Times New Roman"/>
            <w:color w:val="auto"/>
          </w:rPr>
          <w:t>https://www.bostonreview.net/articles/guantanamos-other-history/</w:t>
        </w:r>
      </w:hyperlink>
      <w:r w:rsidRPr="00BA4A9E">
        <w:rPr>
          <w:rFonts w:ascii="Times New Roman" w:hAnsi="Times New Roman" w:cs="Times New Roman"/>
        </w:rPr>
        <w:t xml:space="preserve">. </w:t>
      </w:r>
    </w:p>
  </w:endnote>
  <w:endnote w:id="37">
    <w:p w14:paraId="1D8A6F4F" w14:textId="50D28F9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Ronald Reagan, </w:t>
      </w:r>
      <w:r w:rsidRPr="00BA4A9E">
        <w:rPr>
          <w:rFonts w:ascii="Times New Roman" w:hAnsi="Times New Roman" w:cs="Times New Roman"/>
          <w:i/>
          <w:iCs/>
        </w:rPr>
        <w:t>Executive Order 12324, Interdiction of Illegal Aliens</w:t>
      </w:r>
      <w:r w:rsidRPr="00BA4A9E">
        <w:rPr>
          <w:rFonts w:ascii="Times New Roman" w:hAnsi="Times New Roman" w:cs="Times New Roman"/>
        </w:rPr>
        <w:t xml:space="preserve"> (September 29, 1981), available at </w:t>
      </w:r>
      <w:hyperlink r:id="rId21" w:history="1">
        <w:r w:rsidRPr="00BA4A9E">
          <w:rPr>
            <w:rStyle w:val="Hyperlink"/>
            <w:rFonts w:ascii="Times New Roman" w:hAnsi="Times New Roman" w:cs="Times New Roman"/>
            <w:color w:val="auto"/>
          </w:rPr>
          <w:t>https://www.presidency.ucsb.edu/documents/executive-order-12324-interdiction-illegal-aliens</w:t>
        </w:r>
      </w:hyperlink>
      <w:r w:rsidRPr="00BA4A9E">
        <w:rPr>
          <w:rFonts w:ascii="Times New Roman" w:hAnsi="Times New Roman" w:cs="Times New Roman"/>
        </w:rPr>
        <w:t xml:space="preserve">; George Bush, </w:t>
      </w:r>
      <w:r w:rsidRPr="00BA4A9E">
        <w:rPr>
          <w:rFonts w:ascii="Times New Roman" w:hAnsi="Times New Roman" w:cs="Times New Roman"/>
          <w:i/>
          <w:iCs/>
        </w:rPr>
        <w:t>Executive Order 12807, Interdiction of Illegal Aliens</w:t>
      </w:r>
      <w:r w:rsidRPr="00BA4A9E">
        <w:rPr>
          <w:rFonts w:ascii="Times New Roman" w:hAnsi="Times New Roman" w:cs="Times New Roman"/>
        </w:rPr>
        <w:t xml:space="preserve"> (May 24, 1992), available at </w:t>
      </w:r>
      <w:hyperlink r:id="rId22" w:history="1">
        <w:r w:rsidRPr="00BA4A9E">
          <w:rPr>
            <w:rStyle w:val="Hyperlink"/>
            <w:rFonts w:ascii="Times New Roman" w:hAnsi="Times New Roman" w:cs="Times New Roman"/>
            <w:color w:val="auto"/>
          </w:rPr>
          <w:t>https://www.presidency.ucsb.edu/documents/executive-order-12807-interdiction-illegal-aliens</w:t>
        </w:r>
      </w:hyperlink>
      <w:r w:rsidRPr="00BA4A9E">
        <w:rPr>
          <w:rFonts w:ascii="Times New Roman" w:hAnsi="Times New Roman" w:cs="Times New Roman"/>
        </w:rPr>
        <w:t xml:space="preserve">; George W. Bush, </w:t>
      </w:r>
      <w:r w:rsidRPr="00BA4A9E">
        <w:rPr>
          <w:rFonts w:ascii="Times New Roman" w:hAnsi="Times New Roman" w:cs="Times New Roman"/>
          <w:i/>
          <w:iCs/>
        </w:rPr>
        <w:t>Executive Order 13276, Delegation of Responsibilities Concerning Undocumented Aliens Interdicted or Intercepted in the Caribbean Region</w:t>
      </w:r>
      <w:r w:rsidRPr="00BA4A9E">
        <w:rPr>
          <w:rFonts w:ascii="Times New Roman" w:hAnsi="Times New Roman" w:cs="Times New Roman"/>
        </w:rPr>
        <w:t xml:space="preserve"> (November 15, 2002), available at </w:t>
      </w:r>
      <w:hyperlink r:id="rId23" w:history="1">
        <w:r w:rsidRPr="00BA4A9E">
          <w:rPr>
            <w:rStyle w:val="Hyperlink"/>
            <w:rFonts w:ascii="Times New Roman" w:hAnsi="Times New Roman" w:cs="Times New Roman"/>
            <w:color w:val="auto"/>
          </w:rPr>
          <w:t>https://www.presidency.ucsb.edu/documents/executive-order-13276-delegation-responsibilities-concerning-undocumented-aliens</w:t>
        </w:r>
      </w:hyperlink>
      <w:r w:rsidRPr="00BA4A9E">
        <w:rPr>
          <w:rFonts w:ascii="Times New Roman" w:hAnsi="Times New Roman" w:cs="Times New Roman"/>
        </w:rPr>
        <w:t xml:space="preserve">; George W. Bush, </w:t>
      </w:r>
      <w:r w:rsidRPr="00BA4A9E">
        <w:rPr>
          <w:rFonts w:ascii="Times New Roman" w:hAnsi="Times New Roman" w:cs="Times New Roman"/>
          <w:i/>
          <w:iCs/>
        </w:rPr>
        <w:t>Executive Order 13286, Amendment of Executive Orders, and Other Actions, in Connection with the Transfer of Certain Functions to the Secretary of Homeland Security</w:t>
      </w:r>
      <w:r w:rsidRPr="00BA4A9E">
        <w:rPr>
          <w:rFonts w:ascii="Times New Roman" w:hAnsi="Times New Roman" w:cs="Times New Roman"/>
        </w:rPr>
        <w:t xml:space="preserve"> (February 28, 2003), available at </w:t>
      </w:r>
      <w:hyperlink r:id="rId24" w:history="1">
        <w:r w:rsidRPr="00BA4A9E">
          <w:rPr>
            <w:rStyle w:val="Hyperlink"/>
            <w:rFonts w:ascii="Times New Roman" w:hAnsi="Times New Roman" w:cs="Times New Roman"/>
            <w:color w:val="auto"/>
          </w:rPr>
          <w:t>https://www.presidency.ucsb.edu/documents/executive-order-13286-amendment-executive-orders-and-other-actions-connection-with-the</w:t>
        </w:r>
      </w:hyperlink>
      <w:r w:rsidRPr="00BA4A9E">
        <w:rPr>
          <w:rFonts w:ascii="Times New Roman" w:hAnsi="Times New Roman" w:cs="Times New Roman"/>
        </w:rPr>
        <w:t>.</w:t>
      </w:r>
    </w:p>
  </w:endnote>
  <w:endnote w:id="38">
    <w:p w14:paraId="115426A9"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Press Release, </w:t>
      </w:r>
      <w:r w:rsidRPr="00BA4A9E">
        <w:rPr>
          <w:rFonts w:ascii="Times New Roman" w:hAnsi="Times New Roman" w:cs="Times New Roman"/>
          <w:i/>
          <w:iCs/>
        </w:rPr>
        <w:t>Secretary Mayorkas Overviews U.S. Maritime Migrant Interdiction Operations</w:t>
      </w:r>
      <w:r w:rsidRPr="00BA4A9E">
        <w:rPr>
          <w:rFonts w:ascii="Times New Roman" w:hAnsi="Times New Roman" w:cs="Times New Roman"/>
        </w:rPr>
        <w:t xml:space="preserve"> (July 13, 2021), </w:t>
      </w:r>
      <w:hyperlink r:id="rId25" w:history="1">
        <w:r w:rsidRPr="00BA4A9E">
          <w:rPr>
            <w:rStyle w:val="Hyperlink"/>
            <w:rFonts w:ascii="Times New Roman" w:hAnsi="Times New Roman" w:cs="Times New Roman"/>
            <w:color w:val="auto"/>
          </w:rPr>
          <w:t>https://www.dhs.gov/news/2021/07/13/secretary-mayorkas-overviews-us-maritime-migrant-interdiction-operations</w:t>
        </w:r>
      </w:hyperlink>
      <w:r w:rsidRPr="00BA4A9E">
        <w:rPr>
          <w:rFonts w:ascii="Times New Roman" w:hAnsi="Times New Roman" w:cs="Times New Roman"/>
        </w:rPr>
        <w:t xml:space="preserve">; Press Release, </w:t>
      </w:r>
      <w:r w:rsidRPr="00BA4A9E">
        <w:rPr>
          <w:rFonts w:ascii="Times New Roman" w:hAnsi="Times New Roman" w:cs="Times New Roman"/>
          <w:i/>
          <w:iCs/>
        </w:rPr>
        <w:t>Operation Vigilant Sentry: Stopping illegal migration at sea</w:t>
      </w:r>
      <w:r w:rsidRPr="00BA4A9E">
        <w:rPr>
          <w:rFonts w:ascii="Times New Roman" w:hAnsi="Times New Roman" w:cs="Times New Roman"/>
        </w:rPr>
        <w:t xml:space="preserve"> (Jan. 27, 2023), </w:t>
      </w:r>
      <w:hyperlink r:id="rId26" w:history="1">
        <w:r w:rsidRPr="00BA4A9E">
          <w:rPr>
            <w:rStyle w:val="Hyperlink"/>
            <w:rFonts w:ascii="Times New Roman" w:hAnsi="Times New Roman" w:cs="Times New Roman"/>
            <w:color w:val="auto"/>
          </w:rPr>
          <w:t>https://www.news.uscg.mil/Press-Releases/Article/3280774/operation-vigilant-sentry-stopping-illegal-migration-at-sea/</w:t>
        </w:r>
      </w:hyperlink>
      <w:r w:rsidRPr="00BA4A9E">
        <w:rPr>
          <w:rFonts w:ascii="Times New Roman" w:hAnsi="Times New Roman" w:cs="Times New Roman"/>
        </w:rPr>
        <w:t xml:space="preserve">. </w:t>
      </w:r>
    </w:p>
  </w:endnote>
  <w:endnote w:id="39">
    <w:p w14:paraId="1253DE26" w14:textId="7DFF329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United States Coast Guard, </w:t>
      </w:r>
      <w:r w:rsidRPr="00BA4A9E">
        <w:rPr>
          <w:rFonts w:ascii="Times New Roman" w:hAnsi="Times New Roman" w:cs="Times New Roman"/>
          <w:i/>
          <w:iCs/>
        </w:rPr>
        <w:t>Maritime Law Enforcement Assessment: Fiscal Year 2020 Report to Congress</w:t>
      </w:r>
      <w:r w:rsidRPr="00BA4A9E">
        <w:rPr>
          <w:rFonts w:ascii="Times New Roman" w:hAnsi="Times New Roman" w:cs="Times New Roman"/>
        </w:rPr>
        <w:t xml:space="preserve"> (Dec. 9, 2020), </w:t>
      </w:r>
      <w:hyperlink r:id="rId27" w:history="1">
        <w:r w:rsidRPr="00BA4A9E">
          <w:rPr>
            <w:rStyle w:val="Hyperlink"/>
            <w:rFonts w:ascii="Times New Roman" w:hAnsi="Times New Roman" w:cs="Times New Roman"/>
            <w:color w:val="auto"/>
          </w:rPr>
          <w:t>https://www.dhs.gov/sites/default/files/publications/uscg_-_maritime_law_enforcement_assessment.pdf</w:t>
        </w:r>
      </w:hyperlink>
      <w:r w:rsidRPr="00BA4A9E">
        <w:rPr>
          <w:rFonts w:ascii="Times New Roman" w:hAnsi="Times New Roman" w:cs="Times New Roman"/>
        </w:rPr>
        <w:t>.</w:t>
      </w:r>
    </w:p>
  </w:endnote>
  <w:endnote w:id="40">
    <w:p w14:paraId="645BE966"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p>
  </w:endnote>
  <w:endnote w:id="41">
    <w:p w14:paraId="557A1D01" w14:textId="0638EF2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U.S. State Party Report, </w:t>
      </w:r>
      <w:r w:rsidRPr="00BA4A9E">
        <w:rPr>
          <w:rFonts w:ascii="Times New Roman" w:hAnsi="Times New Roman" w:cs="Times New Roman"/>
          <w:i/>
          <w:iCs/>
        </w:rPr>
        <w:t>supra</w:t>
      </w:r>
      <w:r w:rsidRPr="00BA4A9E">
        <w:rPr>
          <w:rFonts w:ascii="Times New Roman" w:hAnsi="Times New Roman" w:cs="Times New Roman"/>
        </w:rPr>
        <w:t xml:space="preserve"> n. </w:t>
      </w:r>
      <w:r w:rsidR="00EA4579">
        <w:rPr>
          <w:rFonts w:ascii="Times New Roman" w:hAnsi="Times New Roman" w:cs="Times New Roman"/>
        </w:rPr>
        <w:fldChar w:fldCharType="begin"/>
      </w:r>
      <w:r w:rsidR="00EA4579">
        <w:rPr>
          <w:rFonts w:ascii="Times New Roman" w:hAnsi="Times New Roman" w:cs="Times New Roman"/>
        </w:rPr>
        <w:instrText xml:space="preserve"> NOTEREF _Ref145400186 \h </w:instrText>
      </w:r>
      <w:r w:rsidR="00EA4579">
        <w:rPr>
          <w:rFonts w:ascii="Times New Roman" w:hAnsi="Times New Roman" w:cs="Times New Roman"/>
        </w:rPr>
      </w:r>
      <w:r w:rsidR="00EA4579">
        <w:rPr>
          <w:rFonts w:ascii="Times New Roman" w:hAnsi="Times New Roman" w:cs="Times New Roman"/>
        </w:rPr>
        <w:fldChar w:fldCharType="separate"/>
      </w:r>
      <w:r w:rsidR="00EA4579">
        <w:rPr>
          <w:rFonts w:ascii="Times New Roman" w:hAnsi="Times New Roman" w:cs="Times New Roman"/>
        </w:rPr>
        <w:t>11</w:t>
      </w:r>
      <w:r w:rsidR="00EA4579">
        <w:rPr>
          <w:rFonts w:ascii="Times New Roman" w:hAnsi="Times New Roman" w:cs="Times New Roman"/>
        </w:rPr>
        <w:fldChar w:fldCharType="end"/>
      </w:r>
      <w:r w:rsidRPr="00BA4A9E">
        <w:rPr>
          <w:rFonts w:ascii="Times New Roman" w:hAnsi="Times New Roman" w:cs="Times New Roman"/>
        </w:rPr>
        <w:t>.</w:t>
      </w:r>
    </w:p>
  </w:endnote>
  <w:endnote w:id="42">
    <w:p w14:paraId="48B79ACF" w14:textId="19F419BD"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HRC General Comment No. 36, </w:t>
      </w:r>
      <w:r w:rsidRPr="00BA4A9E">
        <w:rPr>
          <w:rFonts w:ascii="Times New Roman" w:hAnsi="Times New Roman" w:cs="Times New Roman"/>
          <w:i/>
          <w:iCs/>
        </w:rPr>
        <w:t>supra</w:t>
      </w:r>
      <w:r w:rsidRPr="00BA4A9E">
        <w:rPr>
          <w:rFonts w:ascii="Times New Roman" w:hAnsi="Times New Roman" w:cs="Times New Roman"/>
        </w:rPr>
        <w:t xml:space="preserve"> n. </w:t>
      </w:r>
      <w:r w:rsidR="00C146B2">
        <w:rPr>
          <w:rFonts w:ascii="Times New Roman" w:hAnsi="Times New Roman" w:cs="Times New Roman"/>
        </w:rPr>
        <w:fldChar w:fldCharType="begin"/>
      </w:r>
      <w:r w:rsidR="00C146B2">
        <w:rPr>
          <w:rFonts w:ascii="Times New Roman" w:hAnsi="Times New Roman" w:cs="Times New Roman"/>
        </w:rPr>
        <w:instrText xml:space="preserve"> NOTEREF _Ref145400248 \h </w:instrText>
      </w:r>
      <w:r w:rsidR="00C146B2">
        <w:rPr>
          <w:rFonts w:ascii="Times New Roman" w:hAnsi="Times New Roman" w:cs="Times New Roman"/>
        </w:rPr>
      </w:r>
      <w:r w:rsidR="00C146B2">
        <w:rPr>
          <w:rFonts w:ascii="Times New Roman" w:hAnsi="Times New Roman" w:cs="Times New Roman"/>
        </w:rPr>
        <w:fldChar w:fldCharType="separate"/>
      </w:r>
      <w:r w:rsidR="00C146B2">
        <w:rPr>
          <w:rFonts w:ascii="Times New Roman" w:hAnsi="Times New Roman" w:cs="Times New Roman"/>
        </w:rPr>
        <w:t>10</w:t>
      </w:r>
      <w:r w:rsidR="00C146B2">
        <w:rPr>
          <w:rFonts w:ascii="Times New Roman" w:hAnsi="Times New Roman" w:cs="Times New Roman"/>
        </w:rPr>
        <w:fldChar w:fldCharType="end"/>
      </w:r>
      <w:r w:rsidRPr="00BA4A9E">
        <w:rPr>
          <w:rFonts w:ascii="Times New Roman" w:hAnsi="Times New Roman" w:cs="Times New Roman"/>
        </w:rPr>
        <w:t>.</w:t>
      </w:r>
    </w:p>
  </w:endnote>
  <w:endnote w:id="43">
    <w:p w14:paraId="749A26EA" w14:textId="5B90F0D5" w:rsidR="000362C9" w:rsidRPr="00CD4189"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Smith Ghosh and Mary Hoopes, </w:t>
      </w:r>
      <w:r w:rsidRPr="00BA4A9E">
        <w:rPr>
          <w:rFonts w:ascii="Times New Roman" w:hAnsi="Times New Roman" w:cs="Times New Roman"/>
          <w:i/>
          <w:iCs/>
        </w:rPr>
        <w:t>Learning to Detain Asylum Seekers and the Growth of Mass Immigration Detention in the United States</w:t>
      </w:r>
      <w:r w:rsidRPr="00BA4A9E">
        <w:rPr>
          <w:rFonts w:ascii="Times New Roman" w:hAnsi="Times New Roman" w:cs="Times New Roman"/>
        </w:rPr>
        <w:t xml:space="preserve">, 46 Law &amp; Social Inquiry 993 (2021), available at </w:t>
      </w:r>
      <w:hyperlink r:id="rId28" w:history="1">
        <w:r w:rsidRPr="00BA4A9E">
          <w:rPr>
            <w:rStyle w:val="Hyperlink"/>
            <w:rFonts w:ascii="Times New Roman" w:hAnsi="Times New Roman" w:cs="Times New Roman"/>
            <w:color w:val="auto"/>
          </w:rPr>
          <w:t>https://doi.org/10.1017/lsi.2021.11</w:t>
        </w:r>
      </w:hyperlink>
      <w:r w:rsidRPr="00BA4A9E">
        <w:rPr>
          <w:rFonts w:ascii="Times New Roman" w:hAnsi="Times New Roman" w:cs="Times New Roman"/>
        </w:rPr>
        <w:t xml:space="preserve">; </w:t>
      </w:r>
      <w:r w:rsidRPr="00BA4A9E">
        <w:rPr>
          <w:rFonts w:ascii="Times New Roman" w:hAnsi="Times New Roman" w:cs="Times New Roman"/>
          <w:i/>
          <w:iCs/>
        </w:rPr>
        <w:t>see also</w:t>
      </w:r>
      <w:r w:rsidRPr="00BA4A9E">
        <w:rPr>
          <w:rFonts w:ascii="Times New Roman" w:hAnsi="Times New Roman" w:cs="Times New Roman"/>
        </w:rPr>
        <w:t xml:space="preserve"> Emily Ryo, </w:t>
      </w:r>
      <w:r w:rsidRPr="00BA4A9E">
        <w:rPr>
          <w:rFonts w:ascii="Times New Roman" w:hAnsi="Times New Roman" w:cs="Times New Roman"/>
          <w:i/>
          <w:iCs/>
        </w:rPr>
        <w:t>Detention as Deterrence,</w:t>
      </w:r>
      <w:r w:rsidRPr="00BA4A9E">
        <w:rPr>
          <w:rFonts w:ascii="Times New Roman" w:hAnsi="Times New Roman" w:cs="Times New Roman"/>
        </w:rPr>
        <w:t xml:space="preserve"> 79 Stan. L. Rev. 237, 238 (2019), available at </w:t>
      </w:r>
      <w:hyperlink r:id="rId29" w:history="1">
        <w:r w:rsidRPr="00BA4A9E">
          <w:rPr>
            <w:rStyle w:val="Hyperlink"/>
            <w:rFonts w:ascii="Times New Roman" w:hAnsi="Times New Roman" w:cs="Times New Roman"/>
            <w:color w:val="auto"/>
          </w:rPr>
          <w:t>https://review.law.stanford.edu/wp-content/uploads/sites/3/2019/03/71-Stan.-L.-Rev.-Ryo.pdf</w:t>
        </w:r>
      </w:hyperlink>
      <w:r w:rsidRPr="00BA4A9E">
        <w:rPr>
          <w:rFonts w:ascii="Times New Roman" w:hAnsi="Times New Roman" w:cs="Times New Roman"/>
        </w:rPr>
        <w:t xml:space="preserve">; Maureen A. Sweeney, Sirine Shebaya, &amp; Dree K. Collopy, </w:t>
      </w:r>
      <w:r w:rsidRPr="00BA4A9E">
        <w:rPr>
          <w:rFonts w:ascii="Times New Roman" w:hAnsi="Times New Roman" w:cs="Times New Roman"/>
          <w:i/>
          <w:iCs/>
        </w:rPr>
        <w:t>Detention as Deterrent: Denying Justice to Immigrants</w:t>
      </w:r>
      <w:r w:rsidRPr="00BA4A9E">
        <w:rPr>
          <w:rFonts w:ascii="Times New Roman" w:hAnsi="Times New Roman" w:cs="Times New Roman"/>
        </w:rPr>
        <w:t xml:space="preserve"> </w:t>
      </w:r>
      <w:r w:rsidRPr="00BA4A9E">
        <w:rPr>
          <w:rFonts w:ascii="Times New Roman" w:hAnsi="Times New Roman" w:cs="Times New Roman"/>
          <w:i/>
          <w:iCs/>
        </w:rPr>
        <w:t>and Asylum Seekers</w:t>
      </w:r>
      <w:r w:rsidRPr="00BA4A9E">
        <w:rPr>
          <w:rFonts w:ascii="Times New Roman" w:hAnsi="Times New Roman" w:cs="Times New Roman"/>
        </w:rPr>
        <w:t xml:space="preserve">, 36 Geo. </w:t>
      </w:r>
      <w:r w:rsidRPr="00BA4A9E">
        <w:rPr>
          <w:rFonts w:ascii="Times New Roman" w:hAnsi="Times New Roman" w:cs="Times New Roman"/>
          <w:lang w:val="fr-HT"/>
        </w:rPr>
        <w:t xml:space="preserve">Immigr. </w:t>
      </w:r>
      <w:r w:rsidRPr="00CD4189">
        <w:rPr>
          <w:rFonts w:ascii="Times New Roman" w:hAnsi="Times New Roman" w:cs="Times New Roman"/>
        </w:rPr>
        <w:t xml:space="preserve">L.J. 291 (2021), available at </w:t>
      </w:r>
      <w:hyperlink r:id="rId30" w:history="1">
        <w:r w:rsidRPr="00CD4189">
          <w:rPr>
            <w:rStyle w:val="Hyperlink"/>
            <w:rFonts w:ascii="Times New Roman" w:hAnsi="Times New Roman" w:cs="Times New Roman"/>
            <w:color w:val="auto"/>
          </w:rPr>
          <w:t>https://www.law.georgetown.edu/immigration-law-journal/wp-content/uploads/sites/19/2022/01/GT-GILJ210006.pdf</w:t>
        </w:r>
      </w:hyperlink>
      <w:r w:rsidRPr="00CD4189">
        <w:rPr>
          <w:rFonts w:ascii="Times New Roman" w:hAnsi="Times New Roman" w:cs="Times New Roman"/>
        </w:rPr>
        <w:t xml:space="preserve">. </w:t>
      </w:r>
    </w:p>
  </w:endnote>
  <w:endnote w:id="44">
    <w:p w14:paraId="438E1B7D" w14:textId="08F74B9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Human Rights Watch, </w:t>
      </w:r>
      <w:r w:rsidRPr="00BA4A9E">
        <w:rPr>
          <w:rFonts w:ascii="Times New Roman" w:hAnsi="Times New Roman" w:cs="Times New Roman"/>
          <w:i/>
          <w:iCs/>
        </w:rPr>
        <w:t>Statement of Human Rights Watch: The Human Cost of Harsh US Immigration Deterrence Policies</w:t>
      </w:r>
      <w:r w:rsidRPr="00BA4A9E">
        <w:rPr>
          <w:rFonts w:ascii="Times New Roman" w:hAnsi="Times New Roman" w:cs="Times New Roman"/>
        </w:rPr>
        <w:t xml:space="preserve"> (July 26, 2023, 3:00 PM EDT), </w:t>
      </w:r>
      <w:hyperlink r:id="rId31" w:history="1">
        <w:r w:rsidRPr="00BA4A9E">
          <w:rPr>
            <w:rStyle w:val="Hyperlink"/>
            <w:rFonts w:ascii="Times New Roman" w:hAnsi="Times New Roman" w:cs="Times New Roman"/>
            <w:color w:val="auto"/>
          </w:rPr>
          <w:t>https://www.hrw.org/news/2023/07/26/statement-human-rights-watch-human-cost-harsh-us-immigration-deterrence-policies</w:t>
        </w:r>
      </w:hyperlink>
      <w:r w:rsidRPr="00BA4A9E">
        <w:rPr>
          <w:rFonts w:ascii="Times New Roman" w:hAnsi="Times New Roman" w:cs="Times New Roman"/>
        </w:rPr>
        <w:t>, (</w:t>
      </w:r>
      <w:r w:rsidRPr="00BA4A9E">
        <w:rPr>
          <w:rFonts w:ascii="Times New Roman" w:hAnsi="Times New Roman" w:cs="Times New Roman"/>
          <w:i/>
          <w:iCs/>
        </w:rPr>
        <w:t>citing</w:t>
      </w:r>
      <w:r w:rsidRPr="00BA4A9E">
        <w:rPr>
          <w:rFonts w:ascii="Times New Roman" w:hAnsi="Times New Roman" w:cs="Times New Roman"/>
        </w:rPr>
        <w:t xml:space="preserve"> US Border Patrol, </w:t>
      </w:r>
      <w:r w:rsidRPr="00BA4A9E">
        <w:rPr>
          <w:rFonts w:ascii="Times New Roman" w:hAnsi="Times New Roman" w:cs="Times New Roman"/>
          <w:i/>
          <w:iCs/>
        </w:rPr>
        <w:t>Border Patrol Strategic Plan 1994 and Beyond</w:t>
      </w:r>
      <w:r w:rsidRPr="00BA4A9E">
        <w:rPr>
          <w:rFonts w:ascii="Times New Roman" w:hAnsi="Times New Roman" w:cs="Times New Roman"/>
        </w:rPr>
        <w:t xml:space="preserve"> (July 1994), </w:t>
      </w:r>
      <w:hyperlink r:id="rId32" w:history="1">
        <w:r w:rsidRPr="00BA4A9E">
          <w:rPr>
            <w:rStyle w:val="Hyperlink"/>
            <w:rFonts w:ascii="Times New Roman" w:hAnsi="Times New Roman" w:cs="Times New Roman"/>
            <w:color w:val="auto"/>
          </w:rPr>
          <w:t>https://www.documentcloud.org/documents/5987025-Border-Patrol-Strategic-Plan-1994-and-Beyond.html</w:t>
        </w:r>
      </w:hyperlink>
      <w:r w:rsidRPr="00BA4A9E">
        <w:rPr>
          <w:rFonts w:ascii="Times New Roman" w:hAnsi="Times New Roman" w:cs="Times New Roman"/>
        </w:rPr>
        <w:t> (last visited Sept. 11, 2023).</w:t>
      </w:r>
    </w:p>
  </w:endnote>
  <w:endnote w:id="45">
    <w:p w14:paraId="36070223" w14:textId="3A8C613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w:t>
      </w:r>
    </w:p>
  </w:endnote>
  <w:endnote w:id="46">
    <w:p w14:paraId="42D15D08" w14:textId="582DF66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From 1980 to 1995, the border enforcement budget increased sevenfold. It then tripled again from 1995 to 2003, when border enforcement then became a part of the newly created Department of Homeland Security. </w:t>
      </w:r>
      <w:r w:rsidRPr="00BA4A9E">
        <w:rPr>
          <w:rFonts w:ascii="Times New Roman" w:hAnsi="Times New Roman" w:cs="Times New Roman"/>
          <w:i/>
          <w:iCs/>
        </w:rPr>
        <w:t>S</w:t>
      </w:r>
      <w:r w:rsidRPr="00BA4A9E">
        <w:rPr>
          <w:rFonts w:ascii="Times New Roman" w:hAnsi="Times New Roman" w:cs="Times New Roman"/>
        </w:rPr>
        <w:t xml:space="preserve">ee Chad C. Haddal, </w:t>
      </w:r>
      <w:r w:rsidRPr="00BA4A9E">
        <w:rPr>
          <w:rFonts w:ascii="Times New Roman" w:hAnsi="Times New Roman" w:cs="Times New Roman"/>
          <w:i/>
          <w:iCs/>
        </w:rPr>
        <w:t>Border Security: the Role of the U.S. Border Patrol</w:t>
      </w:r>
      <w:r w:rsidRPr="00BA4A9E">
        <w:rPr>
          <w:rFonts w:ascii="Times New Roman" w:hAnsi="Times New Roman" w:cs="Times New Roman"/>
        </w:rPr>
        <w:t xml:space="preserve">, </w:t>
      </w:r>
      <w:r w:rsidRPr="00BA4A9E">
        <w:rPr>
          <w:rFonts w:ascii="Times New Roman" w:hAnsi="Times New Roman" w:cs="Times New Roman"/>
          <w:smallCaps/>
        </w:rPr>
        <w:t>Congressional Research Service</w:t>
      </w:r>
      <w:r w:rsidRPr="00BA4A9E">
        <w:rPr>
          <w:rFonts w:ascii="Times New Roman" w:hAnsi="Times New Roman" w:cs="Times New Roman"/>
        </w:rPr>
        <w:t xml:space="preserve"> (Aug. 11, 2010), </w:t>
      </w:r>
      <w:hyperlink r:id="rId33" w:history="1">
        <w:r w:rsidRPr="00BA4A9E">
          <w:rPr>
            <w:rStyle w:val="Hyperlink"/>
            <w:rFonts w:ascii="Times New Roman" w:hAnsi="Times New Roman" w:cs="Times New Roman"/>
            <w:color w:val="auto"/>
          </w:rPr>
          <w:t>https://crsreports.congress.gov/product/pdf/RL/RL32562/16</w:t>
        </w:r>
      </w:hyperlink>
      <w:r w:rsidRPr="00BA4A9E">
        <w:rPr>
          <w:rFonts w:ascii="Times New Roman" w:hAnsi="Times New Roman" w:cs="Times New Roman"/>
        </w:rPr>
        <w:t xml:space="preserve">. </w:t>
      </w:r>
    </w:p>
  </w:endnote>
  <w:endnote w:id="47">
    <w:p w14:paraId="7D0E6407" w14:textId="1A139FE0"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w:t>
      </w:r>
      <w:r w:rsidRPr="00BA4A9E">
        <w:rPr>
          <w:rFonts w:ascii="Times New Roman" w:hAnsi="Times New Roman" w:cs="Times New Roman"/>
          <w:i/>
          <w:iCs/>
          <w:sz w:val="20"/>
          <w:szCs w:val="20"/>
        </w:rPr>
        <w:t>See</w:t>
      </w:r>
      <w:r w:rsidRPr="00BA4A9E">
        <w:rPr>
          <w:rFonts w:ascii="Times New Roman" w:hAnsi="Times New Roman" w:cs="Times New Roman"/>
          <w:sz w:val="20"/>
          <w:szCs w:val="20"/>
        </w:rPr>
        <w:t xml:space="preserve"> American Immigration Council, </w:t>
      </w:r>
      <w:r w:rsidRPr="00BA4A9E">
        <w:rPr>
          <w:rFonts w:ascii="Times New Roman" w:hAnsi="Times New Roman" w:cs="Times New Roman"/>
          <w:i/>
          <w:iCs/>
          <w:sz w:val="20"/>
          <w:szCs w:val="20"/>
        </w:rPr>
        <w:t>The Cost of Immigration Enforcement and Border Security</w:t>
      </w:r>
      <w:r w:rsidRPr="00BA4A9E">
        <w:rPr>
          <w:rFonts w:ascii="Times New Roman" w:hAnsi="Times New Roman" w:cs="Times New Roman"/>
          <w:sz w:val="20"/>
          <w:szCs w:val="20"/>
        </w:rPr>
        <w:t xml:space="preserve"> (Jan. 20, 2021), </w:t>
      </w:r>
      <w:hyperlink r:id="rId34" w:history="1">
        <w:r w:rsidRPr="00BA4A9E">
          <w:rPr>
            <w:rStyle w:val="Hyperlink"/>
            <w:rFonts w:ascii="Times New Roman" w:hAnsi="Times New Roman" w:cs="Times New Roman"/>
            <w:color w:val="auto"/>
            <w:sz w:val="20"/>
            <w:szCs w:val="20"/>
          </w:rPr>
          <w:t>https://www.americanimmigrationcouncil.org/research/the-cost-of-immigration-enforcement-and-border-security</w:t>
        </w:r>
      </w:hyperlink>
      <w:r w:rsidRPr="00BA4A9E">
        <w:rPr>
          <w:rFonts w:ascii="Times New Roman" w:hAnsi="Times New Roman" w:cs="Times New Roman"/>
          <w:sz w:val="20"/>
          <w:szCs w:val="20"/>
        </w:rPr>
        <w:t xml:space="preserve">. </w:t>
      </w:r>
    </w:p>
  </w:endnote>
  <w:endnote w:id="48">
    <w:p w14:paraId="5126C9F1" w14:textId="7DE90C1E"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Executive Branch’s proposed 2023 budget included nearly $25 billion for border security and immigration enforcement. </w:t>
      </w:r>
      <w:r w:rsidRPr="00BA4A9E">
        <w:rPr>
          <w:rFonts w:ascii="Times New Roman" w:hAnsi="Times New Roman" w:cs="Times New Roman"/>
          <w:i/>
          <w:iCs/>
        </w:rPr>
        <w:t xml:space="preserve">See </w:t>
      </w:r>
      <w:r w:rsidRPr="00BA4A9E">
        <w:rPr>
          <w:rFonts w:ascii="Times New Roman" w:hAnsi="Times New Roman" w:cs="Times New Roman"/>
        </w:rPr>
        <w:t xml:space="preserve">The White House, </w:t>
      </w:r>
      <w:r w:rsidRPr="00BA4A9E">
        <w:rPr>
          <w:rFonts w:ascii="Times New Roman" w:hAnsi="Times New Roman" w:cs="Times New Roman"/>
          <w:i/>
          <w:iCs/>
        </w:rPr>
        <w:t>FACT SHEET: President Biden’s Budget Strengthens Border Security, Enhances Legal Pathways, and Provides Resources to Enforce Our Immigration Laws</w:t>
      </w:r>
      <w:r w:rsidRPr="00BA4A9E">
        <w:rPr>
          <w:rFonts w:ascii="Times New Roman" w:hAnsi="Times New Roman" w:cs="Times New Roman"/>
        </w:rPr>
        <w:t xml:space="preserve"> (Mar. 9, 2023), </w:t>
      </w:r>
      <w:hyperlink r:id="rId35" w:history="1">
        <w:r w:rsidRPr="00BA4A9E">
          <w:rPr>
            <w:rStyle w:val="Hyperlink"/>
            <w:rFonts w:ascii="Times New Roman" w:hAnsi="Times New Roman" w:cs="Times New Roman"/>
            <w:color w:val="auto"/>
          </w:rPr>
          <w:t>https://www.whitehouse.gov/briefing-room/statements-releases/2023/03/09/fact-sheet-president-bidens-budget-strengthens-border-security-enhances-legal-pathways-and-provides-resources-to-enforce-our-immigration-laws/</w:t>
        </w:r>
      </w:hyperlink>
      <w:r w:rsidRPr="00BA4A9E">
        <w:rPr>
          <w:rFonts w:ascii="Times New Roman" w:hAnsi="Times New Roman" w:cs="Times New Roman"/>
        </w:rPr>
        <w:t xml:space="preserve">. </w:t>
      </w:r>
    </w:p>
  </w:endnote>
  <w:endnote w:id="49">
    <w:p w14:paraId="6FB6A1F1" w14:textId="1E2C19B3" w:rsidR="000362C9" w:rsidRPr="00CD4189"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A600A1" w:rsidRPr="00BA4A9E">
        <w:rPr>
          <w:rFonts w:ascii="Times New Roman" w:hAnsi="Times New Roman" w:cs="Times New Roman"/>
        </w:rPr>
        <w:t>Human Rights Committee</w:t>
      </w:r>
      <w:r w:rsidRPr="00BA4A9E">
        <w:rPr>
          <w:rFonts w:ascii="Times New Roman" w:hAnsi="Times New Roman" w:cs="Times New Roman"/>
        </w:rPr>
        <w:t>, Concluding Observations of the Human Rights Committee: United States of America, ¶ 28, U.N. Doc. CCPR/C/USA/CO/3/Rev.1 (Dec. 18, 2006)</w:t>
      </w:r>
      <w:r w:rsidR="008D4E4C">
        <w:rPr>
          <w:rFonts w:ascii="Times New Roman" w:hAnsi="Times New Roman" w:cs="Times New Roman"/>
        </w:rPr>
        <w:t xml:space="preserve">, </w:t>
      </w:r>
      <w:r w:rsidR="008D4E4C" w:rsidRPr="004C71BC">
        <w:rPr>
          <w:rFonts w:ascii="Times New Roman" w:hAnsi="Times New Roman" w:cs="Times New Roman"/>
          <w:i/>
          <w:iCs/>
        </w:rPr>
        <w:t>available at</w:t>
      </w:r>
      <w:r w:rsidR="008D4E4C" w:rsidRPr="004C71BC">
        <w:rPr>
          <w:rFonts w:ascii="Times New Roman" w:hAnsi="Times New Roman" w:cs="Times New Roman"/>
        </w:rPr>
        <w:t xml:space="preserve"> </w:t>
      </w:r>
      <w:hyperlink r:id="rId36" w:history="1">
        <w:r w:rsidR="008D4E4C" w:rsidRPr="004C71BC">
          <w:rPr>
            <w:rStyle w:val="Hyperlink"/>
            <w:rFonts w:ascii="Times New Roman" w:hAnsi="Times New Roman" w:cs="Times New Roman"/>
            <w:color w:val="auto"/>
          </w:rPr>
          <w:t>https://documents-dds-ny.un.org/doc/UNDOC/GEN/G06/459/61/PDF/G0645961.pdf</w:t>
        </w:r>
      </w:hyperlink>
      <w:r w:rsidR="008D4E4C" w:rsidRPr="004C71BC">
        <w:rPr>
          <w:rFonts w:ascii="Times New Roman" w:hAnsi="Times New Roman" w:cs="Times New Roman"/>
        </w:rPr>
        <w:t xml:space="preserve"> </w:t>
      </w:r>
      <w:r w:rsidRPr="00BA4A9E">
        <w:rPr>
          <w:rFonts w:ascii="Times New Roman" w:hAnsi="Times New Roman" w:cs="Times New Roman"/>
        </w:rPr>
        <w:t xml:space="preserve">[hereinafter HRC 2006 Concluding Observations]; </w:t>
      </w:r>
      <w:r w:rsidRPr="00BA4A9E">
        <w:rPr>
          <w:rFonts w:ascii="Times New Roman" w:hAnsi="Times New Roman" w:cs="Times New Roman"/>
          <w:i/>
          <w:iCs/>
        </w:rPr>
        <w:t xml:space="preserve">see also </w:t>
      </w:r>
      <w:r w:rsidRPr="00BA4A9E">
        <w:rPr>
          <w:rFonts w:ascii="Times New Roman" w:hAnsi="Times New Roman" w:cs="Times New Roman"/>
        </w:rPr>
        <w:t xml:space="preserve">Sophia Porotsky, </w:t>
      </w:r>
      <w:r w:rsidRPr="00BA4A9E">
        <w:rPr>
          <w:rFonts w:ascii="Times New Roman" w:hAnsi="Times New Roman" w:cs="Times New Roman"/>
          <w:i/>
          <w:iCs/>
        </w:rPr>
        <w:t>Rotten to the Core: Racism, Xenophobia, and the Border and Immigration Agencies</w:t>
      </w:r>
      <w:r w:rsidRPr="00BA4A9E">
        <w:rPr>
          <w:rFonts w:ascii="Times New Roman" w:hAnsi="Times New Roman" w:cs="Times New Roman"/>
        </w:rPr>
        <w:t xml:space="preserve">, 36 Geo. </w:t>
      </w:r>
      <w:r w:rsidRPr="00BA4A9E">
        <w:rPr>
          <w:rFonts w:ascii="Times New Roman" w:hAnsi="Times New Roman" w:cs="Times New Roman"/>
          <w:lang w:val="fr-HT"/>
        </w:rPr>
        <w:t xml:space="preserve">Immigr. </w:t>
      </w:r>
      <w:r w:rsidRPr="00CD4189">
        <w:rPr>
          <w:rFonts w:ascii="Times New Roman" w:hAnsi="Times New Roman" w:cs="Times New Roman"/>
        </w:rPr>
        <w:t xml:space="preserve">L.J. 349 (2021), </w:t>
      </w:r>
      <w:r w:rsidRPr="00CD4189">
        <w:rPr>
          <w:rFonts w:ascii="Times New Roman" w:hAnsi="Times New Roman" w:cs="Times New Roman"/>
          <w:i/>
          <w:iCs/>
        </w:rPr>
        <w:t>available at</w:t>
      </w:r>
      <w:r w:rsidRPr="00CD4189">
        <w:rPr>
          <w:rFonts w:ascii="Times New Roman" w:hAnsi="Times New Roman" w:cs="Times New Roman"/>
        </w:rPr>
        <w:t xml:space="preserve"> </w:t>
      </w:r>
      <w:r w:rsidR="00CD3EE9">
        <w:fldChar w:fldCharType="begin"/>
      </w:r>
      <w:r w:rsidR="00CD3EE9" w:rsidRPr="00CD4189">
        <w:instrText>HYPERLINK "https://www.law.georgetown.edu/immigration-law-journal/wp-content/uploads/sites/19/2022/01/GT-GILJ210008.pdf"</w:instrText>
      </w:r>
      <w:r w:rsidR="00CD3EE9">
        <w:fldChar w:fldCharType="separate"/>
      </w:r>
      <w:r w:rsidRPr="00CD4189">
        <w:rPr>
          <w:rStyle w:val="Hyperlink"/>
          <w:rFonts w:ascii="Times New Roman" w:hAnsi="Times New Roman" w:cs="Times New Roman"/>
          <w:color w:val="auto"/>
        </w:rPr>
        <w:t>https://www.law.georgetown.edu/immigration-law-journal/wp-content/uploads/sites/19/2022/01/GT-GILJ210008.pdf</w:t>
      </w:r>
      <w:r w:rsidR="00CD3EE9">
        <w:rPr>
          <w:rStyle w:val="Hyperlink"/>
          <w:rFonts w:ascii="Times New Roman" w:hAnsi="Times New Roman" w:cs="Times New Roman"/>
          <w:color w:val="auto"/>
          <w:lang w:val="fr-HT"/>
        </w:rPr>
        <w:fldChar w:fldCharType="end"/>
      </w:r>
      <w:r w:rsidRPr="00CD4189">
        <w:rPr>
          <w:rStyle w:val="Hyperlink"/>
          <w:rFonts w:ascii="Times New Roman" w:hAnsi="Times New Roman" w:cs="Times New Roman"/>
          <w:color w:val="auto"/>
        </w:rPr>
        <w:t>..</w:t>
      </w:r>
    </w:p>
  </w:endnote>
  <w:endnote w:id="50">
    <w:p w14:paraId="1C182548" w14:textId="1F5770C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San Ysidro port of entry is the </w:t>
      </w:r>
      <w:bookmarkStart w:id="32" w:name="_Hlk144284011"/>
      <w:r w:rsidRPr="00BA4A9E">
        <w:rPr>
          <w:rFonts w:ascii="Times New Roman" w:hAnsi="Times New Roman" w:cs="Times New Roman"/>
        </w:rPr>
        <w:t xml:space="preserve">busiest pedestrian </w:t>
      </w:r>
      <w:bookmarkEnd w:id="32"/>
      <w:r w:rsidRPr="00BA4A9E">
        <w:rPr>
          <w:rFonts w:ascii="Times New Roman" w:hAnsi="Times New Roman" w:cs="Times New Roman"/>
        </w:rPr>
        <w:t xml:space="preserve">entry point along the U.S. Mexico border, processing at least 20,000 northbound pedestrians per day. </w:t>
      </w:r>
      <w:r w:rsidRPr="00BA4A9E">
        <w:rPr>
          <w:rFonts w:ascii="Times New Roman" w:hAnsi="Times New Roman" w:cs="Times New Roman"/>
          <w:i/>
          <w:iCs/>
        </w:rPr>
        <w:t xml:space="preserve">See </w:t>
      </w:r>
      <w:r w:rsidRPr="00BA4A9E">
        <w:rPr>
          <w:rFonts w:ascii="Times New Roman" w:hAnsi="Times New Roman" w:cs="Times New Roman"/>
        </w:rPr>
        <w:t xml:space="preserve">U.S. General Service Administration, </w:t>
      </w:r>
      <w:r w:rsidRPr="00BA4A9E">
        <w:rPr>
          <w:rFonts w:ascii="Times New Roman" w:hAnsi="Times New Roman" w:cs="Times New Roman"/>
          <w:i/>
          <w:iCs/>
        </w:rPr>
        <w:t>San Ysidro Land Port of Entry</w:t>
      </w:r>
      <w:r w:rsidRPr="00BA4A9E">
        <w:rPr>
          <w:rFonts w:ascii="Times New Roman" w:hAnsi="Times New Roman" w:cs="Times New Roman"/>
        </w:rPr>
        <w:t xml:space="preserve">, </w:t>
      </w:r>
      <w:hyperlink r:id="rId37" w:history="1">
        <w:r w:rsidRPr="00BA4A9E">
          <w:rPr>
            <w:rStyle w:val="Hyperlink"/>
            <w:rFonts w:ascii="Times New Roman" w:hAnsi="Times New Roman" w:cs="Times New Roman"/>
            <w:color w:val="auto"/>
          </w:rPr>
          <w:t>https://www.gsa.gov/about-us/regions/region-9-pacific-rim/land-ports-of-entry/san-ysidro-land-port-of-entry</w:t>
        </w:r>
      </w:hyperlink>
      <w:r w:rsidRPr="00BA4A9E">
        <w:rPr>
          <w:rFonts w:ascii="Times New Roman" w:hAnsi="Times New Roman" w:cs="Times New Roman"/>
        </w:rPr>
        <w:t>, (last visited Sep. 10, 2023).</w:t>
      </w:r>
    </w:p>
  </w:endnote>
  <w:endnote w:id="51">
    <w:p w14:paraId="62E78C2B" w14:textId="7C56533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Appellees/Cross-Appellants’ Redacted Principal and Response Brief at p. 6, </w:t>
      </w:r>
      <w:r w:rsidRPr="00BA4A9E">
        <w:rPr>
          <w:rFonts w:ascii="Times New Roman" w:hAnsi="Times New Roman" w:cs="Times New Roman"/>
          <w:i/>
        </w:rPr>
        <w:t>Al Otro Lado v. Mayorkas</w:t>
      </w:r>
      <w:r w:rsidRPr="00BA4A9E">
        <w:rPr>
          <w:rFonts w:ascii="Times New Roman" w:hAnsi="Times New Roman" w:cs="Times New Roman"/>
        </w:rPr>
        <w:t xml:space="preserve">, (No. 22-55988), </w:t>
      </w:r>
      <w:r w:rsidRPr="00BA4A9E">
        <w:rPr>
          <w:rFonts w:ascii="Times New Roman" w:hAnsi="Times New Roman" w:cs="Times New Roman"/>
          <w:i/>
          <w:iCs/>
        </w:rPr>
        <w:t>available at</w:t>
      </w:r>
      <w:r w:rsidRPr="00BA4A9E">
        <w:rPr>
          <w:rFonts w:ascii="Times New Roman" w:hAnsi="Times New Roman" w:cs="Times New Roman"/>
        </w:rPr>
        <w:t xml:space="preserve"> </w:t>
      </w:r>
      <w:hyperlink r:id="rId38" w:history="1">
        <w:r w:rsidRPr="00BA4A9E">
          <w:rPr>
            <w:rStyle w:val="Hyperlink"/>
            <w:rFonts w:ascii="Times New Roman" w:hAnsi="Times New Roman" w:cs="Times New Roman"/>
            <w:color w:val="auto"/>
          </w:rPr>
          <w:t>https://ccrjustice.org/sites/default/files/attach/2023/03/23%20Ps%20Cross%20Appeal%20Brief%202023.02.21.pdf</w:t>
        </w:r>
      </w:hyperlink>
      <w:r w:rsidRPr="00BA4A9E">
        <w:rPr>
          <w:rFonts w:ascii="Times New Roman" w:hAnsi="Times New Roman" w:cs="Times New Roman"/>
        </w:rPr>
        <w:t>.</w:t>
      </w:r>
    </w:p>
  </w:endnote>
  <w:endnote w:id="52">
    <w:p w14:paraId="5E786517" w14:textId="77777777" w:rsidR="00DA32E0" w:rsidRPr="00BA4A9E" w:rsidRDefault="00DA32E0" w:rsidP="00DA32E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Plaintiffs’ Memorandum of Points and Authorities in Support of their Motion for Summary Judgement (Redacted Public Version) at p. 2, </w:t>
      </w:r>
      <w:r w:rsidRPr="00BA4A9E">
        <w:rPr>
          <w:rFonts w:ascii="Times New Roman" w:hAnsi="Times New Roman" w:cs="Times New Roman"/>
          <w:i/>
        </w:rPr>
        <w:t>Al Otro Lado v. Mayorkas</w:t>
      </w:r>
      <w:r w:rsidRPr="00BA4A9E">
        <w:rPr>
          <w:rFonts w:ascii="Times New Roman" w:hAnsi="Times New Roman" w:cs="Times New Roman"/>
        </w:rPr>
        <w:t>, (No.</w:t>
      </w:r>
      <w:r w:rsidRPr="00BA4A9E">
        <w:rPr>
          <w:rFonts w:ascii="Times New Roman" w:eastAsia="Times New Roman" w:hAnsi="Times New Roman" w:cs="Times New Roman"/>
        </w:rPr>
        <w:t xml:space="preserve"> </w:t>
      </w:r>
      <w:r w:rsidRPr="00BA4A9E">
        <w:rPr>
          <w:rFonts w:ascii="Times New Roman" w:hAnsi="Times New Roman" w:cs="Times New Roman"/>
        </w:rPr>
        <w:t xml:space="preserve">3:17-cv-02366-BAS-KSC), available at </w:t>
      </w:r>
      <w:hyperlink r:id="rId39" w:history="1">
        <w:r w:rsidRPr="00BA4A9E">
          <w:rPr>
            <w:rStyle w:val="Hyperlink"/>
            <w:rFonts w:ascii="Times New Roman" w:hAnsi="Times New Roman" w:cs="Times New Roman"/>
            <w:color w:val="auto"/>
          </w:rPr>
          <w:t>https://ccrjustice.org/sites/default/files/attach/2020/09/AOL%20MSJ.pdf</w:t>
        </w:r>
      </w:hyperlink>
      <w:r w:rsidRPr="00BA4A9E">
        <w:rPr>
          <w:rFonts w:ascii="Times New Roman" w:hAnsi="Times New Roman" w:cs="Times New Roman"/>
        </w:rPr>
        <w:t>.</w:t>
      </w:r>
    </w:p>
  </w:endnote>
  <w:endnote w:id="53">
    <w:p w14:paraId="47307BD6" w14:textId="433F9DA5" w:rsidR="007E0C5F" w:rsidRPr="00BA4A9E" w:rsidRDefault="007E0C5F">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lang w:val="es-US"/>
        </w:rPr>
        <w:t xml:space="preserve"> </w:t>
      </w:r>
      <w:r w:rsidRPr="00BA4A9E">
        <w:rPr>
          <w:rFonts w:ascii="Times New Roman" w:hAnsi="Times New Roman" w:cs="Times New Roman"/>
          <w:i/>
          <w:iCs/>
          <w:lang w:val="es-US"/>
        </w:rPr>
        <w:t>AOL et. al v. Mayorkas</w:t>
      </w:r>
      <w:r w:rsidRPr="00BA4A9E">
        <w:rPr>
          <w:rFonts w:ascii="Times New Roman" w:hAnsi="Times New Roman" w:cs="Times New Roman"/>
          <w:lang w:val="es-US"/>
        </w:rPr>
        <w:t xml:space="preserve">, (S.D. Cal.) </w:t>
      </w:r>
      <w:r w:rsidRPr="00BA4A9E">
        <w:rPr>
          <w:rFonts w:ascii="Times New Roman" w:hAnsi="Times New Roman" w:cs="Times New Roman"/>
        </w:rPr>
        <w:t>(Case No.</w:t>
      </w:r>
      <w:r w:rsidRPr="00BA4A9E">
        <w:rPr>
          <w:rStyle w:val="Emphasis"/>
          <w:rFonts w:ascii="Times New Roman" w:hAnsi="Times New Roman" w:cs="Times New Roman"/>
          <w:i w:val="0"/>
          <w:iCs w:val="0"/>
          <w:bdr w:val="none" w:sz="0" w:space="0" w:color="auto" w:frame="1"/>
          <w:shd w:val="clear" w:color="auto" w:fill="FFFFFF"/>
        </w:rPr>
        <w:t xml:space="preserve"> 3:17-cv-02366-BAS-KSC, pending).</w:t>
      </w:r>
    </w:p>
  </w:endnote>
  <w:endnote w:id="54">
    <w:p w14:paraId="2D2465AA" w14:textId="68D0AD6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policy came to be known as the “Title 42 policy,” in reference to the relevant section of the U.S. Code. </w:t>
      </w:r>
      <w:r w:rsidRPr="00BA4A9E">
        <w:rPr>
          <w:rFonts w:ascii="Times New Roman" w:hAnsi="Times New Roman" w:cs="Times New Roman"/>
          <w:i/>
          <w:iCs/>
        </w:rPr>
        <w:t>See supra</w:t>
      </w:r>
      <w:r w:rsidRPr="00BA4A9E">
        <w:rPr>
          <w:rFonts w:ascii="Times New Roman" w:hAnsi="Times New Roman" w:cs="Times New Roman"/>
        </w:rPr>
        <w:t xml:space="preserve"> n. </w:t>
      </w:r>
      <w:r w:rsidR="00C433FA">
        <w:rPr>
          <w:rFonts w:ascii="Times New Roman" w:hAnsi="Times New Roman" w:cs="Times New Roman"/>
        </w:rPr>
        <w:fldChar w:fldCharType="begin"/>
      </w:r>
      <w:r w:rsidR="00C433FA">
        <w:rPr>
          <w:rFonts w:ascii="Times New Roman" w:hAnsi="Times New Roman" w:cs="Times New Roman"/>
        </w:rPr>
        <w:instrText xml:space="preserve"> NOTEREF _Ref145400335 \h </w:instrText>
      </w:r>
      <w:r w:rsidR="00C433FA">
        <w:rPr>
          <w:rFonts w:ascii="Times New Roman" w:hAnsi="Times New Roman" w:cs="Times New Roman"/>
        </w:rPr>
      </w:r>
      <w:r w:rsidR="00C433FA">
        <w:rPr>
          <w:rFonts w:ascii="Times New Roman" w:hAnsi="Times New Roman" w:cs="Times New Roman"/>
        </w:rPr>
        <w:fldChar w:fldCharType="separate"/>
      </w:r>
      <w:r w:rsidR="00C433FA">
        <w:rPr>
          <w:rFonts w:ascii="Times New Roman" w:hAnsi="Times New Roman" w:cs="Times New Roman"/>
        </w:rPr>
        <w:t>26</w:t>
      </w:r>
      <w:r w:rsidR="00C433FA">
        <w:rPr>
          <w:rFonts w:ascii="Times New Roman" w:hAnsi="Times New Roman" w:cs="Times New Roman"/>
        </w:rPr>
        <w:fldChar w:fldCharType="end"/>
      </w:r>
      <w:r w:rsidRPr="00BA4A9E">
        <w:rPr>
          <w:rFonts w:ascii="Times New Roman" w:hAnsi="Times New Roman" w:cs="Times New Roman"/>
        </w:rPr>
        <w:t>.</w:t>
      </w:r>
    </w:p>
  </w:endnote>
  <w:endnote w:id="55">
    <w:p w14:paraId="61053E0D" w14:textId="5F6643E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L. Carol Ritchie &amp; Michele Kelemen, </w:t>
      </w:r>
      <w:r w:rsidRPr="00BA4A9E">
        <w:rPr>
          <w:rFonts w:ascii="Times New Roman" w:hAnsi="Times New Roman" w:cs="Times New Roman"/>
          <w:i/>
          <w:iCs/>
        </w:rPr>
        <w:t>U.S. Special Envoy To Haiti Quits Over Deportations of Haitian Migrants</w:t>
      </w:r>
      <w:r w:rsidRPr="00BA4A9E">
        <w:rPr>
          <w:rFonts w:ascii="Times New Roman" w:hAnsi="Times New Roman" w:cs="Times New Roman"/>
        </w:rPr>
        <w:t xml:space="preserve">, NPR (Sept. 23, 2021, 1:35 PM ET), </w:t>
      </w:r>
      <w:hyperlink r:id="rId40" w:history="1">
        <w:r w:rsidRPr="00BA4A9E">
          <w:rPr>
            <w:rStyle w:val="Hyperlink"/>
            <w:rFonts w:ascii="Times New Roman" w:hAnsi="Times New Roman" w:cs="Times New Roman"/>
            <w:color w:val="auto"/>
          </w:rPr>
          <w:t>https://www.npr.org/2021/09/23/1040055089/us-special-envoy-haiti-quits-deportations-refugees</w:t>
        </w:r>
      </w:hyperlink>
      <w:r w:rsidRPr="00BA4A9E">
        <w:rPr>
          <w:rFonts w:ascii="Times New Roman" w:hAnsi="Times New Roman" w:cs="Times New Roman"/>
        </w:rPr>
        <w:t>.</w:t>
      </w:r>
    </w:p>
  </w:endnote>
  <w:endnote w:id="56">
    <w:p w14:paraId="36C8C1BE" w14:textId="6BC4456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CBP closed the Del Rio International Bridge and immediately blockaded the surrounding areas overnight, on September 17th, 2021. In addition to CBP, the overwhelming law enforcement presence included units of Texas State Troopers, the Texas National Guard, the Texas Department of Public Safety (DPS), at the direction of Governor Greg Abbott. The National Guard blockaded two encampment entrances. These military and law enforcement agencies jointly maintained a shift schedule. Dozens of state trooper vans entered and exited the camp at different points in the day. Military-grade, armored Humvees and other vehicles waited poised at approximately every 100 feet along the US-Mexico border for at least two miles surrounding the encampment, reinforcing a razor wire-topped chain-linked fence along its perimeter. On Saturday, September 18th, construction workers added additional barriers on the roads surrounding the encampment. Likewise, droves of law enforcement vehicles patrolled the city of Del Rio down N Main Street and Veterans Boulevard. </w:t>
      </w:r>
      <w:r w:rsidRPr="00BA4A9E">
        <w:rPr>
          <w:rFonts w:ascii="Times New Roman" w:hAnsi="Times New Roman" w:cs="Times New Roman"/>
          <w:i/>
          <w:iCs/>
        </w:rPr>
        <w:t>See</w:t>
      </w:r>
      <w:r w:rsidRPr="00BA4A9E">
        <w:rPr>
          <w:rFonts w:ascii="Times New Roman" w:hAnsi="Times New Roman" w:cs="Times New Roman"/>
        </w:rPr>
        <w:t xml:space="preserve"> Sarah Decker et al., </w:t>
      </w:r>
      <w:r w:rsidRPr="00BA4A9E">
        <w:rPr>
          <w:rFonts w:ascii="Times New Roman" w:hAnsi="Times New Roman" w:cs="Times New Roman"/>
          <w:i/>
          <w:iCs/>
        </w:rPr>
        <w:t>Beyond the Bridge: Documented Human Rights Abuses and Civil Rights Violations against Haitian Migrants in the Del Rio, Texas Encampment</w:t>
      </w:r>
      <w:r w:rsidRPr="00BA4A9E">
        <w:rPr>
          <w:rFonts w:ascii="Times New Roman" w:hAnsi="Times New Roman" w:cs="Times New Roman"/>
        </w:rPr>
        <w:t xml:space="preserve"> (2022), </w:t>
      </w:r>
      <w:hyperlink r:id="rId41" w:history="1">
        <w:r w:rsidRPr="00BA4A9E">
          <w:rPr>
            <w:rStyle w:val="Hyperlink"/>
            <w:rFonts w:ascii="Times New Roman" w:hAnsi="Times New Roman" w:cs="Times New Roman"/>
            <w:color w:val="auto"/>
          </w:rPr>
          <w:t>https://rfkhr.imgix.net/asset/Del-Rio-Report.pdf</w:t>
        </w:r>
      </w:hyperlink>
      <w:r w:rsidRPr="00BA4A9E">
        <w:rPr>
          <w:rFonts w:ascii="Times New Roman" w:hAnsi="Times New Roman" w:cs="Times New Roman"/>
        </w:rPr>
        <w:t>.</w:t>
      </w:r>
    </w:p>
  </w:endnote>
  <w:endnote w:id="57">
    <w:p w14:paraId="4EBD5C02" w14:textId="0115E88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US government has an affirmative duty to provide for an individual’s basic human needs when they “take[] that person into [their] custody and hold[] him there against his will,” thereby creating a “special relationship” with that individual. </w:t>
      </w:r>
      <w:r w:rsidRPr="00BA4A9E">
        <w:rPr>
          <w:rFonts w:ascii="Times New Roman" w:hAnsi="Times New Roman" w:cs="Times New Roman"/>
          <w:i/>
          <w:iCs/>
        </w:rPr>
        <w:t>DeShaney v. Winnebago Cnty. Svcs.</w:t>
      </w:r>
      <w:r w:rsidRPr="00BA4A9E">
        <w:rPr>
          <w:rFonts w:ascii="Times New Roman" w:hAnsi="Times New Roman" w:cs="Times New Roman"/>
        </w:rPr>
        <w:t xml:space="preserve">, 489 US 189, 199-200 (1989). When the government “so restrains an individual’s liberty that it renders him unable to care for himself,” it assumes responsibility for that individual’s safety and well-being. </w:t>
      </w:r>
      <w:r w:rsidRPr="00BA4A9E">
        <w:rPr>
          <w:rFonts w:ascii="Times New Roman" w:hAnsi="Times New Roman" w:cs="Times New Roman"/>
          <w:i/>
          <w:iCs/>
        </w:rPr>
        <w:t xml:space="preserve">Id. </w:t>
      </w:r>
      <w:r w:rsidRPr="00BA4A9E">
        <w:rPr>
          <w:rFonts w:ascii="Times New Roman" w:hAnsi="Times New Roman" w:cs="Times New Roman"/>
        </w:rPr>
        <w:t xml:space="preserve">at 200. As one Haitian woman explained, “After a few days of us being there… [the water] became very dangerous to cross. There were soldiers on horses standing in front of the river telling people they were not allowed to go back and forth. I couldn’t leave the camp, especially not with my son because he was only four years old. To try to get past the water and the soldiers was impossible.” </w:t>
      </w:r>
      <w:r w:rsidRPr="00BA4A9E">
        <w:rPr>
          <w:rFonts w:ascii="Times New Roman" w:hAnsi="Times New Roman" w:cs="Times New Roman"/>
          <w:i/>
          <w:iCs/>
        </w:rPr>
        <w:t xml:space="preserve">Id. </w:t>
      </w:r>
      <w:r w:rsidRPr="00BA4A9E">
        <w:rPr>
          <w:rFonts w:ascii="Times New Roman" w:hAnsi="Times New Roman" w:cs="Times New Roman"/>
        </w:rPr>
        <w:t>(</w:t>
      </w:r>
      <w:r w:rsidRPr="00BA4A9E">
        <w:rPr>
          <w:rFonts w:ascii="Times New Roman" w:hAnsi="Times New Roman" w:cs="Times New Roman"/>
          <w:i/>
          <w:iCs/>
        </w:rPr>
        <w:t>citing</w:t>
      </w:r>
      <w:r w:rsidRPr="00BA4A9E">
        <w:rPr>
          <w:rFonts w:ascii="Times New Roman" w:hAnsi="Times New Roman" w:cs="Times New Roman"/>
        </w:rPr>
        <w:t xml:space="preserve"> Telephone interview by RFK Human Rights lawyer with Haitian individual (March 18, 2022)).  </w:t>
      </w:r>
    </w:p>
  </w:endnote>
  <w:endnote w:id="58">
    <w:p w14:paraId="517F853A" w14:textId="5412F1BB"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CERD Concluding Observations, </w:t>
      </w:r>
      <w:r w:rsidRPr="00BA4A9E">
        <w:rPr>
          <w:rFonts w:ascii="Times New Roman" w:hAnsi="Times New Roman" w:cs="Times New Roman"/>
          <w:i/>
          <w:iCs/>
        </w:rPr>
        <w:t>supra</w:t>
      </w:r>
      <w:r w:rsidRPr="00BA4A9E">
        <w:rPr>
          <w:rFonts w:ascii="Times New Roman" w:hAnsi="Times New Roman" w:cs="Times New Roman"/>
        </w:rPr>
        <w:t xml:space="preserve"> n. </w:t>
      </w:r>
      <w:r w:rsidR="00C433FA">
        <w:rPr>
          <w:rFonts w:ascii="Times New Roman" w:hAnsi="Times New Roman" w:cs="Times New Roman"/>
        </w:rPr>
        <w:fldChar w:fldCharType="begin"/>
      </w:r>
      <w:r w:rsidR="00C433FA">
        <w:rPr>
          <w:rFonts w:ascii="Times New Roman" w:hAnsi="Times New Roman" w:cs="Times New Roman"/>
        </w:rPr>
        <w:instrText xml:space="preserve"> NOTEREF _Ref145400364 \h </w:instrText>
      </w:r>
      <w:r w:rsidR="00C433FA">
        <w:rPr>
          <w:rFonts w:ascii="Times New Roman" w:hAnsi="Times New Roman" w:cs="Times New Roman"/>
        </w:rPr>
      </w:r>
      <w:r w:rsidR="00C433FA">
        <w:rPr>
          <w:rFonts w:ascii="Times New Roman" w:hAnsi="Times New Roman" w:cs="Times New Roman"/>
        </w:rPr>
        <w:fldChar w:fldCharType="separate"/>
      </w:r>
      <w:r w:rsidR="00C433FA">
        <w:rPr>
          <w:rFonts w:ascii="Times New Roman" w:hAnsi="Times New Roman" w:cs="Times New Roman"/>
        </w:rPr>
        <w:t>17</w:t>
      </w:r>
      <w:r w:rsidR="00C433FA">
        <w:rPr>
          <w:rFonts w:ascii="Times New Roman" w:hAnsi="Times New Roman" w:cs="Times New Roman"/>
        </w:rPr>
        <w:fldChar w:fldCharType="end"/>
      </w:r>
      <w:r w:rsidRPr="00BA4A9E">
        <w:rPr>
          <w:rFonts w:ascii="Times New Roman" w:hAnsi="Times New Roman" w:cs="Times New Roman"/>
        </w:rPr>
        <w:t xml:space="preserve"> at pp. 5-6.</w:t>
      </w:r>
    </w:p>
  </w:endnote>
  <w:endnote w:id="59">
    <w:p w14:paraId="2426ED5F" w14:textId="5381489D"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Immigration and Customs Enforcement, Office of Acquisition Management, </w:t>
      </w:r>
      <w:r w:rsidRPr="00BA4A9E">
        <w:rPr>
          <w:rFonts w:ascii="Times New Roman" w:hAnsi="Times New Roman" w:cs="Times New Roman"/>
          <w:i/>
          <w:iCs/>
        </w:rPr>
        <w:t xml:space="preserve">Justification for Other than Full and Fair Competition </w:t>
      </w:r>
      <w:r w:rsidRPr="00BA4A9E">
        <w:rPr>
          <w:rFonts w:ascii="Times New Roman" w:hAnsi="Times New Roman" w:cs="Times New Roman"/>
        </w:rPr>
        <w:t xml:space="preserve">(Sept. 28, 2021), </w:t>
      </w:r>
      <w:hyperlink r:id="rId42" w:history="1">
        <w:r w:rsidRPr="00BA4A9E">
          <w:rPr>
            <w:rStyle w:val="Hyperlink"/>
            <w:rFonts w:ascii="Times New Roman" w:hAnsi="Times New Roman" w:cs="Times New Roman"/>
            <w:color w:val="auto"/>
          </w:rPr>
          <w:t>https://www.quixote.org/wp-content/uploads/2021/10/HaitianEmergencyFlightsJA-21-00378-Final9-27-2021.pdf</w:t>
        </w:r>
      </w:hyperlink>
      <w:r w:rsidRPr="00BA4A9E">
        <w:rPr>
          <w:rFonts w:ascii="Times New Roman" w:hAnsi="Times New Roman" w:cs="Times New Roman"/>
        </w:rPr>
        <w:t xml:space="preserve"> (This "emergency" contract was to provide 88 expulsion flights to Haiti for a total cost of $15,758,960.00. That is approximately $179,079.09 per flight. In 2015, the Department of Homeland Security’s Office of the Inspector General reported that “ICE Air pays, on average, $8,419 per flight hour for charter flights regardless of the number of passengers on the plane.”); University of Washington Center for Human Rights, </w:t>
      </w:r>
      <w:r w:rsidRPr="00BA4A9E">
        <w:rPr>
          <w:rFonts w:ascii="Times New Roman" w:hAnsi="Times New Roman" w:cs="Times New Roman"/>
          <w:i/>
          <w:iCs/>
        </w:rPr>
        <w:t>Hidden in Plain Sight: ICE Air and the Machinery of Mass Deportation</w:t>
      </w:r>
      <w:r w:rsidRPr="00BA4A9E">
        <w:rPr>
          <w:rFonts w:ascii="Times New Roman" w:hAnsi="Times New Roman" w:cs="Times New Roman"/>
        </w:rPr>
        <w:t xml:space="preserve"> (Apr. 23, 2019), </w:t>
      </w:r>
      <w:hyperlink r:id="rId43" w:anchor=":~:text=In%202015%2C%20the%20Department%20of,companies%20to%20run%20the%20flights" w:history="1">
        <w:r w:rsidRPr="00BA4A9E">
          <w:rPr>
            <w:rStyle w:val="Hyperlink"/>
            <w:rFonts w:ascii="Times New Roman" w:hAnsi="Times New Roman" w:cs="Times New Roman"/>
            <w:color w:val="auto"/>
          </w:rPr>
          <w:t>https://jsis.washington.edu/humanrights/2019/04/23/ice-air/#:~:text=In%202015%2C%20the%20Department%20of,companies%20to%20run%20the%20flights</w:t>
        </w:r>
      </w:hyperlink>
      <w:r w:rsidRPr="00BA4A9E">
        <w:rPr>
          <w:rFonts w:ascii="Times New Roman" w:hAnsi="Times New Roman" w:cs="Times New Roman"/>
        </w:rPr>
        <w:t xml:space="preserve"> (Accounting for inflation, an average ICE Air flight would cost $9,625.04 in 2021).  </w:t>
      </w:r>
    </w:p>
  </w:endnote>
  <w:endnote w:id="60">
    <w:p w14:paraId="046D0D30" w14:textId="5059F0D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HBA v. Biden Complaint, </w:t>
      </w:r>
      <w:r w:rsidRPr="00BA4A9E">
        <w:rPr>
          <w:rFonts w:ascii="Times New Roman" w:hAnsi="Times New Roman" w:cs="Times New Roman"/>
          <w:i/>
          <w:iCs/>
        </w:rPr>
        <w:t>supra</w:t>
      </w:r>
      <w:r w:rsidRPr="00BA4A9E">
        <w:rPr>
          <w:rFonts w:ascii="Times New Roman" w:hAnsi="Times New Roman" w:cs="Times New Roman"/>
        </w:rPr>
        <w:t xml:space="preserve"> n. </w:t>
      </w:r>
      <w:r w:rsidR="00C433FA">
        <w:rPr>
          <w:rFonts w:ascii="Times New Roman" w:hAnsi="Times New Roman" w:cs="Times New Roman"/>
        </w:rPr>
        <w:fldChar w:fldCharType="begin"/>
      </w:r>
      <w:r w:rsidR="00C433FA">
        <w:rPr>
          <w:rFonts w:ascii="Times New Roman" w:hAnsi="Times New Roman" w:cs="Times New Roman"/>
        </w:rPr>
        <w:instrText xml:space="preserve"> NOTEREF _Ref145400072 \h </w:instrText>
      </w:r>
      <w:r w:rsidR="00C433FA">
        <w:rPr>
          <w:rFonts w:ascii="Times New Roman" w:hAnsi="Times New Roman" w:cs="Times New Roman"/>
        </w:rPr>
      </w:r>
      <w:r w:rsidR="00C433FA">
        <w:rPr>
          <w:rFonts w:ascii="Times New Roman" w:hAnsi="Times New Roman" w:cs="Times New Roman"/>
        </w:rPr>
        <w:fldChar w:fldCharType="separate"/>
      </w:r>
      <w:r w:rsidR="00C433FA">
        <w:rPr>
          <w:rFonts w:ascii="Times New Roman" w:hAnsi="Times New Roman" w:cs="Times New Roman"/>
        </w:rPr>
        <w:t>3</w:t>
      </w:r>
      <w:r w:rsidR="00C433FA">
        <w:rPr>
          <w:rFonts w:ascii="Times New Roman" w:hAnsi="Times New Roman" w:cs="Times New Roman"/>
        </w:rPr>
        <w:fldChar w:fldCharType="end"/>
      </w:r>
      <w:r w:rsidRPr="00BA4A9E">
        <w:rPr>
          <w:rFonts w:ascii="Times New Roman" w:hAnsi="Times New Roman" w:cs="Times New Roman"/>
        </w:rPr>
        <w:t xml:space="preserve"> at ¶ 62.</w:t>
      </w:r>
    </w:p>
  </w:endnote>
  <w:endnote w:id="61">
    <w:p w14:paraId="669F9C56" w14:textId="2A93C4CA"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at ¶ 61.</w:t>
      </w:r>
    </w:p>
  </w:endnote>
  <w:endnote w:id="62">
    <w:p w14:paraId="188C9BE6" w14:textId="0595F494"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at ¶ 4.</w:t>
      </w:r>
    </w:p>
  </w:endnote>
  <w:endnote w:id="63">
    <w:p w14:paraId="25007692" w14:textId="210661DF"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E. Tendayi Achiume, Foreward in S. Priya Morely et al., </w:t>
      </w:r>
      <w:r w:rsidRPr="00BA4A9E">
        <w:rPr>
          <w:rFonts w:ascii="Times New Roman" w:hAnsi="Times New Roman" w:cs="Times New Roman"/>
          <w:i/>
          <w:iCs/>
        </w:rPr>
        <w:t>A Journey of Hope: Haitian Women’s Migration to Tapachula, Mexico</w:t>
      </w:r>
      <w:r w:rsidRPr="00BA4A9E">
        <w:rPr>
          <w:rFonts w:ascii="Times New Roman" w:hAnsi="Times New Roman" w:cs="Times New Roman"/>
        </w:rPr>
        <w:t xml:space="preserve"> (2021), </w:t>
      </w:r>
      <w:hyperlink r:id="rId44" w:history="1">
        <w:r w:rsidRPr="00BA4A9E">
          <w:rPr>
            <w:rStyle w:val="Hyperlink"/>
            <w:rFonts w:ascii="Times New Roman" w:hAnsi="Times New Roman" w:cs="Times New Roman"/>
            <w:color w:val="auto"/>
          </w:rPr>
          <w:t>https://imumi.org/attachments/2020/A-Journey-of-Hope-Haitian-Womens-Migration-to%20-Tapachula.pdf</w:t>
        </w:r>
      </w:hyperlink>
      <w:r w:rsidRPr="00BA4A9E">
        <w:rPr>
          <w:rFonts w:ascii="Times New Roman" w:hAnsi="Times New Roman" w:cs="Times New Roman"/>
        </w:rPr>
        <w:t>.</w:t>
      </w:r>
    </w:p>
  </w:endnote>
  <w:endnote w:id="64">
    <w:p w14:paraId="1DD18DA4" w14:textId="12134C3D"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Department of State, </w:t>
      </w:r>
      <w:r w:rsidRPr="00BA4A9E">
        <w:rPr>
          <w:rFonts w:ascii="Times New Roman" w:hAnsi="Times New Roman" w:cs="Times New Roman"/>
          <w:i/>
          <w:iCs/>
        </w:rPr>
        <w:t>U.S.-Colombia Joint Commitment to Address the Hemispheric Challenge of Irregular Migration</w:t>
      </w:r>
      <w:r w:rsidRPr="00BA4A9E">
        <w:rPr>
          <w:rFonts w:ascii="Times New Roman" w:hAnsi="Times New Roman" w:cs="Times New Roman"/>
        </w:rPr>
        <w:t xml:space="preserve"> (June 3, 2023), </w:t>
      </w:r>
      <w:hyperlink r:id="rId45" w:history="1">
        <w:r w:rsidRPr="00BA4A9E">
          <w:rPr>
            <w:rStyle w:val="Hyperlink"/>
            <w:rFonts w:ascii="Times New Roman" w:hAnsi="Times New Roman" w:cs="Times New Roman"/>
            <w:color w:val="auto"/>
          </w:rPr>
          <w:t>https://www.state.gov/u-s-colombia-joint-commitment-to-address-the-hemispheric-challenge-of-irregular-migration/</w:t>
        </w:r>
      </w:hyperlink>
      <w:r w:rsidRPr="00BA4A9E">
        <w:rPr>
          <w:rStyle w:val="Hyperlink"/>
          <w:rFonts w:ascii="Times New Roman" w:hAnsi="Times New Roman" w:cs="Times New Roman"/>
          <w:color w:val="auto"/>
          <w:u w:val="none"/>
        </w:rPr>
        <w:t>.</w:t>
      </w:r>
    </w:p>
  </w:endnote>
  <w:endnote w:id="65">
    <w:p w14:paraId="0B3394D0" w14:textId="7BDE9A9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Department of Homeland Security, </w:t>
      </w:r>
      <w:r w:rsidRPr="00BA4A9E">
        <w:rPr>
          <w:rFonts w:ascii="Times New Roman" w:hAnsi="Times New Roman" w:cs="Times New Roman"/>
          <w:i/>
          <w:iCs/>
        </w:rPr>
        <w:t>Readout of Secretary Mayorkas’s Trip to Guatemala</w:t>
      </w:r>
      <w:r w:rsidRPr="00BA4A9E">
        <w:rPr>
          <w:rFonts w:ascii="Times New Roman" w:hAnsi="Times New Roman" w:cs="Times New Roman"/>
        </w:rPr>
        <w:t xml:space="preserve"> (July 8, 2021), </w:t>
      </w:r>
      <w:hyperlink r:id="rId46" w:history="1">
        <w:r w:rsidRPr="00BA4A9E">
          <w:rPr>
            <w:rStyle w:val="Hyperlink"/>
            <w:rFonts w:ascii="Times New Roman" w:hAnsi="Times New Roman" w:cs="Times New Roman"/>
            <w:color w:val="auto"/>
          </w:rPr>
          <w:t>https://www.dhs.gov/news/2021/07/08/readout-secretary-mayorkas-s-trip-guatemala</w:t>
        </w:r>
      </w:hyperlink>
      <w:r w:rsidRPr="00BA4A9E">
        <w:rPr>
          <w:rFonts w:ascii="Times New Roman" w:hAnsi="Times New Roman" w:cs="Times New Roman"/>
        </w:rPr>
        <w:t xml:space="preserve"> (“While in Guatemala City, [DHS] Secretary Mayorkas and President Giammattei discussed their strong bilateral partnership. Secretary</w:t>
      </w:r>
    </w:p>
    <w:p w14:paraId="54E0A6EF" w14:textId="00654EB9"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 xml:space="preserve">Mayorkas thanked President Giammattei for his efforts to provide support for returned migrants, for opening a new refugee center to offer protection to those who qualify...”); Tim McDonnell, </w:t>
      </w:r>
      <w:r w:rsidRPr="00BA4A9E">
        <w:rPr>
          <w:rFonts w:ascii="Times New Roman" w:hAnsi="Times New Roman" w:cs="Times New Roman"/>
          <w:i/>
          <w:iCs/>
        </w:rPr>
        <w:t>Trump Froze Aid to Guatemala. Now Programs Are Shutting Down</w:t>
      </w:r>
      <w:r w:rsidRPr="00BA4A9E">
        <w:rPr>
          <w:rFonts w:ascii="Times New Roman" w:hAnsi="Times New Roman" w:cs="Times New Roman"/>
        </w:rPr>
        <w:t xml:space="preserve">, </w:t>
      </w:r>
      <w:r w:rsidRPr="00BA4A9E">
        <w:rPr>
          <w:rFonts w:ascii="Times New Roman" w:hAnsi="Times New Roman" w:cs="Times New Roman"/>
          <w:smallCaps/>
        </w:rPr>
        <w:t>NPR</w:t>
      </w:r>
      <w:r w:rsidRPr="00BA4A9E">
        <w:rPr>
          <w:rFonts w:ascii="Times New Roman" w:hAnsi="Times New Roman" w:cs="Times New Roman"/>
        </w:rPr>
        <w:t xml:space="preserve"> (Sept. 17, 2019), </w:t>
      </w:r>
      <w:hyperlink r:id="rId47" w:history="1">
        <w:r w:rsidRPr="00BA4A9E">
          <w:rPr>
            <w:rStyle w:val="Hyperlink"/>
            <w:rFonts w:ascii="Times New Roman" w:hAnsi="Times New Roman" w:cs="Times New Roman"/>
            <w:color w:val="auto"/>
          </w:rPr>
          <w:t>https://www.npr.org/sections/goatsandsoda/2019/09/17/761266169/trump-froze-aidto-guatemala-now-programs-are-shutting-down</w:t>
        </w:r>
      </w:hyperlink>
      <w:r w:rsidRPr="00BA4A9E">
        <w:rPr>
          <w:rFonts w:ascii="Times New Roman" w:hAnsi="Times New Roman" w:cs="Times New Roman"/>
        </w:rPr>
        <w:t xml:space="preserve"> (noting pressure from prior U.S. administration on Guatemala leading up to Asylum Cooperative Agreement).</w:t>
      </w:r>
    </w:p>
  </w:endnote>
  <w:endnote w:id="66">
    <w:p w14:paraId="49710194" w14:textId="7BB073D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Nick Miroff, Karen DeYoung, &amp; Kevin Sieff, </w:t>
      </w:r>
      <w:r w:rsidRPr="00BA4A9E">
        <w:rPr>
          <w:rFonts w:ascii="Times New Roman" w:hAnsi="Times New Roman" w:cs="Times New Roman"/>
          <w:i/>
          <w:iCs/>
        </w:rPr>
        <w:t>Biden will send Mexico surplus vaccine, as U.S. seeks help on immigration enforcement</w:t>
      </w:r>
      <w:r w:rsidRPr="00BA4A9E">
        <w:rPr>
          <w:rFonts w:ascii="Times New Roman" w:hAnsi="Times New Roman" w:cs="Times New Roman"/>
        </w:rPr>
        <w:t xml:space="preserve">, </w:t>
      </w:r>
      <w:r w:rsidRPr="00BA4A9E">
        <w:rPr>
          <w:rFonts w:ascii="Times New Roman" w:hAnsi="Times New Roman" w:cs="Times New Roman"/>
          <w:smallCaps/>
        </w:rPr>
        <w:t>Wash. Post</w:t>
      </w:r>
      <w:r w:rsidRPr="00BA4A9E">
        <w:rPr>
          <w:rFonts w:ascii="Times New Roman" w:hAnsi="Times New Roman" w:cs="Times New Roman"/>
        </w:rPr>
        <w:t xml:space="preserve"> (Mar. 18, 2021), </w:t>
      </w:r>
      <w:hyperlink r:id="rId48" w:history="1">
        <w:r w:rsidRPr="00BA4A9E">
          <w:rPr>
            <w:rStyle w:val="Hyperlink"/>
            <w:rFonts w:ascii="Times New Roman" w:hAnsi="Times New Roman" w:cs="Times New Roman"/>
            <w:color w:val="auto"/>
          </w:rPr>
          <w:t>https://www.washingtonpost.com/national-security/biden-mexico-immigration-coronavirus-vaccine/2021/03/18/a63a3426-8791-11eb-8a67-f314e5fcf88d_story.html</w:t>
        </w:r>
      </w:hyperlink>
      <w:r w:rsidRPr="00BA4A9E">
        <w:rPr>
          <w:rFonts w:ascii="Times New Roman" w:hAnsi="Times New Roman" w:cs="Times New Roman"/>
        </w:rPr>
        <w:t xml:space="preserve"> (noting that, although Mexican authorities have denied quid pro quo, the Biden administration has secured pledge from Mexico to receive expelled asylum seekers from Central America after sending its southern neighbor large numbers of vaccine doses during the COVID-19).</w:t>
      </w:r>
    </w:p>
  </w:endnote>
  <w:endnote w:id="67">
    <w:p w14:paraId="0F56740B" w14:textId="080B2E1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Kathia Martínez, </w:t>
      </w:r>
      <w:r w:rsidRPr="00BA4A9E">
        <w:rPr>
          <w:rFonts w:ascii="Times New Roman" w:hAnsi="Times New Roman" w:cs="Times New Roman"/>
          <w:i/>
          <w:iCs/>
        </w:rPr>
        <w:t>US, Panama and Colombia aim to stop Darien Gap migration</w:t>
      </w:r>
      <w:r w:rsidRPr="00BA4A9E">
        <w:rPr>
          <w:rFonts w:ascii="Times New Roman" w:hAnsi="Times New Roman" w:cs="Times New Roman"/>
        </w:rPr>
        <w:t xml:space="preserve">, </w:t>
      </w:r>
      <w:r w:rsidRPr="00BA4A9E">
        <w:rPr>
          <w:rFonts w:ascii="Times New Roman" w:hAnsi="Times New Roman" w:cs="Times New Roman"/>
          <w:smallCaps/>
        </w:rPr>
        <w:t>The Hill</w:t>
      </w:r>
      <w:r w:rsidRPr="00BA4A9E">
        <w:rPr>
          <w:rFonts w:ascii="Times New Roman" w:hAnsi="Times New Roman" w:cs="Times New Roman"/>
        </w:rPr>
        <w:t xml:space="preserve"> (Apr. 11, 2023),</w:t>
      </w:r>
    </w:p>
    <w:p w14:paraId="02AE8558" w14:textId="77777777" w:rsidR="000362C9" w:rsidRPr="00BA4A9E" w:rsidRDefault="00000000" w:rsidP="00F13970">
      <w:pPr>
        <w:pStyle w:val="EndnoteText"/>
        <w:rPr>
          <w:rFonts w:ascii="Times New Roman" w:hAnsi="Times New Roman" w:cs="Times New Roman"/>
        </w:rPr>
      </w:pPr>
      <w:hyperlink r:id="rId49" w:history="1">
        <w:r w:rsidR="000362C9" w:rsidRPr="00BA4A9E">
          <w:rPr>
            <w:rStyle w:val="Hyperlink"/>
            <w:rFonts w:ascii="Times New Roman" w:hAnsi="Times New Roman" w:cs="Times New Roman"/>
            <w:color w:val="auto"/>
          </w:rPr>
          <w:t>https://thehill.com/homenews/ap/ap-top-headlines/us-panama-and-colombia-aim-to-stop-darien-gap-migration/</w:t>
        </w:r>
      </w:hyperlink>
      <w:r w:rsidR="000362C9" w:rsidRPr="00BA4A9E">
        <w:rPr>
          <w:rFonts w:ascii="Times New Roman" w:hAnsi="Times New Roman" w:cs="Times New Roman"/>
        </w:rPr>
        <w:t>.</w:t>
      </w:r>
    </w:p>
  </w:endnote>
  <w:endnote w:id="68">
    <w:p w14:paraId="5D16CF7B" w14:textId="5CFBC7AD"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National Immigrant Justice Center &amp; FWD.US, </w:t>
      </w:r>
      <w:r w:rsidRPr="00BA4A9E">
        <w:rPr>
          <w:rFonts w:ascii="Times New Roman" w:hAnsi="Times New Roman" w:cs="Times New Roman"/>
          <w:i/>
          <w:iCs/>
        </w:rPr>
        <w:t>How Offshoring and Externalization Policies Imperil the Right to Asylum</w:t>
      </w:r>
      <w:r w:rsidRPr="00BA4A9E">
        <w:rPr>
          <w:rFonts w:ascii="Times New Roman" w:hAnsi="Times New Roman" w:cs="Times New Roman"/>
        </w:rPr>
        <w:t xml:space="preserve"> (Aug. 3, 2021), </w:t>
      </w:r>
      <w:hyperlink r:id="rId50" w:history="1">
        <w:r w:rsidRPr="00BA4A9E">
          <w:rPr>
            <w:rStyle w:val="Hyperlink"/>
            <w:rFonts w:ascii="Times New Roman" w:hAnsi="Times New Roman" w:cs="Times New Roman"/>
            <w:color w:val="auto"/>
          </w:rPr>
          <w:t>https://www.fwd.us/news/new-report-how-offshoring-and-externalization-policies-imperil-the-right-to-asylum/</w:t>
        </w:r>
      </w:hyperlink>
      <w:r w:rsidRPr="00BA4A9E">
        <w:rPr>
          <w:rFonts w:ascii="Times New Roman" w:hAnsi="Times New Roman" w:cs="Times New Roman"/>
        </w:rPr>
        <w:t xml:space="preserve"> (referencing 2018 joint U.S. Department of Homeland Security and Panama task force on migration to ensure coordination to address migration in the region); Calah Schlabach &amp; Cronkite Borderlands Project, </w:t>
      </w:r>
      <w:r w:rsidRPr="00BA4A9E">
        <w:rPr>
          <w:rFonts w:ascii="Times New Roman" w:hAnsi="Times New Roman" w:cs="Times New Roman"/>
          <w:i/>
          <w:iCs/>
        </w:rPr>
        <w:t>Torn between humanitarian ideals and U.S. pressure, Panama screens migrants from around the world</w:t>
      </w:r>
      <w:r w:rsidRPr="00BA4A9E">
        <w:rPr>
          <w:rFonts w:ascii="Times New Roman" w:hAnsi="Times New Roman" w:cs="Times New Roman"/>
        </w:rPr>
        <w:t xml:space="preserve">, </w:t>
      </w:r>
      <w:r w:rsidRPr="00BA4A9E">
        <w:rPr>
          <w:rFonts w:ascii="Times New Roman" w:hAnsi="Times New Roman" w:cs="Times New Roman"/>
          <w:smallCaps/>
        </w:rPr>
        <w:t>Cronkite News (CN)</w:t>
      </w:r>
      <w:r w:rsidRPr="00BA4A9E">
        <w:rPr>
          <w:rFonts w:ascii="Times New Roman" w:hAnsi="Times New Roman" w:cs="Times New Roman"/>
        </w:rPr>
        <w:t xml:space="preserve"> (July 2, 2020), </w:t>
      </w:r>
      <w:hyperlink r:id="rId51" w:history="1">
        <w:r w:rsidRPr="00BA4A9E">
          <w:rPr>
            <w:rStyle w:val="Hyperlink"/>
            <w:rFonts w:ascii="Times New Roman" w:hAnsi="Times New Roman" w:cs="Times New Roman"/>
            <w:color w:val="auto"/>
          </w:rPr>
          <w:t>https://cronkitenews.azpbs.org/2020/07/02/humanitarian-flow-panama-migrants/</w:t>
        </w:r>
      </w:hyperlink>
      <w:r w:rsidRPr="00BA4A9E">
        <w:rPr>
          <w:rFonts w:ascii="Times New Roman" w:hAnsi="Times New Roman" w:cs="Times New Roman"/>
        </w:rPr>
        <w:t xml:space="preserve"> (</w:t>
      </w:r>
      <w:r w:rsidR="00DD561A" w:rsidRPr="00BA4A9E">
        <w:rPr>
          <w:rFonts w:ascii="Times New Roman" w:hAnsi="Times New Roman" w:cs="Times New Roman"/>
        </w:rPr>
        <w:t xml:space="preserve">describing how </w:t>
      </w:r>
      <w:r w:rsidRPr="00BA4A9E">
        <w:rPr>
          <w:rFonts w:ascii="Times New Roman" w:hAnsi="Times New Roman" w:cs="Times New Roman"/>
        </w:rPr>
        <w:t>“</w:t>
      </w:r>
      <w:r w:rsidR="00DD561A" w:rsidRPr="00BA4A9E">
        <w:rPr>
          <w:rFonts w:ascii="Times New Roman" w:hAnsi="Times New Roman" w:cs="Times New Roman"/>
        </w:rPr>
        <w:t>[f]</w:t>
      </w:r>
      <w:r w:rsidRPr="00BA4A9E">
        <w:rPr>
          <w:rFonts w:ascii="Times New Roman" w:hAnsi="Times New Roman" w:cs="Times New Roman"/>
        </w:rPr>
        <w:t>or many migrants, Panama is their first encounter with the U.S. immigration system, which is working with Panama’s border patrol to track entrants.”).</w:t>
      </w:r>
    </w:p>
  </w:endnote>
  <w:endnote w:id="69">
    <w:p w14:paraId="4F22924D" w14:textId="6CA7492B"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Arelis R. Hernández, </w:t>
      </w:r>
      <w:r w:rsidRPr="00BA4A9E">
        <w:rPr>
          <w:rFonts w:ascii="Times New Roman" w:hAnsi="Times New Roman" w:cs="Times New Roman"/>
          <w:i/>
          <w:iCs/>
        </w:rPr>
        <w:t>Immigration officials partner with Panama to boost screening of migrants passing through to U.S.</w:t>
      </w:r>
      <w:r w:rsidRPr="00BA4A9E">
        <w:rPr>
          <w:rFonts w:ascii="Times New Roman" w:hAnsi="Times New Roman" w:cs="Times New Roman"/>
        </w:rPr>
        <w:t xml:space="preserve">, </w:t>
      </w:r>
      <w:r w:rsidRPr="00BA4A9E">
        <w:rPr>
          <w:rFonts w:ascii="Times New Roman" w:hAnsi="Times New Roman" w:cs="Times New Roman"/>
          <w:smallCaps/>
        </w:rPr>
        <w:t>Wash. Post</w:t>
      </w:r>
      <w:r w:rsidRPr="00BA4A9E">
        <w:rPr>
          <w:rFonts w:ascii="Times New Roman" w:hAnsi="Times New Roman" w:cs="Times New Roman"/>
        </w:rPr>
        <w:t xml:space="preserve"> (Aug. 27. 2019),  </w:t>
      </w:r>
      <w:hyperlink r:id="rId52" w:history="1">
        <w:r w:rsidRPr="00BA4A9E">
          <w:rPr>
            <w:rStyle w:val="Hyperlink"/>
            <w:rFonts w:ascii="Times New Roman" w:hAnsi="Times New Roman" w:cs="Times New Roman"/>
            <w:color w:val="auto"/>
          </w:rPr>
          <w:t>https://www.washingtonpost.com/immigration/immigration-officials-partner-with-panama-to-boost-screening-of-migrants-passing-through-to-us/2019/08/26/532f6150-c81d-11e9-a4f3-c081a126de70_story.html</w:t>
        </w:r>
      </w:hyperlink>
      <w:r w:rsidRPr="00BA4A9E">
        <w:rPr>
          <w:rFonts w:ascii="Times New Roman" w:hAnsi="Times New Roman" w:cs="Times New Roman"/>
        </w:rPr>
        <w:t xml:space="preserve"> (</w:t>
      </w:r>
      <w:r w:rsidR="00DD561A" w:rsidRPr="00BA4A9E">
        <w:rPr>
          <w:rFonts w:ascii="Times New Roman" w:hAnsi="Times New Roman" w:cs="Times New Roman"/>
        </w:rPr>
        <w:t xml:space="preserve">describing that </w:t>
      </w:r>
      <w:r w:rsidRPr="00BA4A9E">
        <w:rPr>
          <w:rFonts w:ascii="Times New Roman" w:hAnsi="Times New Roman" w:cs="Times New Roman"/>
        </w:rPr>
        <w:t>“at the Panamanian border in the Darien, U.S. officials supplied Panama’s border security force, SENAFRONT, with the devices that capture fingerprints, photographs and iris scans to process the influx of migrants showing up at the Peñitas camp”).</w:t>
      </w:r>
    </w:p>
  </w:endnote>
  <w:endnote w:id="70">
    <w:p w14:paraId="7C536E08" w14:textId="42281D1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Courtney Kube, Carol E. Lee, &amp; Julia Ainsley, </w:t>
      </w:r>
      <w:r w:rsidRPr="00BA4A9E">
        <w:rPr>
          <w:rFonts w:ascii="Times New Roman" w:hAnsi="Times New Roman" w:cs="Times New Roman"/>
          <w:i/>
          <w:iCs/>
        </w:rPr>
        <w:t>Senior Biden officials are pushing to send U.S. troops to South American jungle to help curb human smuggling</w:t>
      </w:r>
      <w:r w:rsidRPr="00BA4A9E">
        <w:rPr>
          <w:rFonts w:ascii="Times New Roman" w:hAnsi="Times New Roman" w:cs="Times New Roman"/>
        </w:rPr>
        <w:t xml:space="preserve">, </w:t>
      </w:r>
      <w:r w:rsidRPr="00BA4A9E">
        <w:rPr>
          <w:rFonts w:ascii="Times New Roman" w:hAnsi="Times New Roman" w:cs="Times New Roman"/>
          <w:smallCaps/>
        </w:rPr>
        <w:t>NBC News</w:t>
      </w:r>
      <w:r w:rsidRPr="00BA4A9E">
        <w:rPr>
          <w:rFonts w:ascii="Times New Roman" w:hAnsi="Times New Roman" w:cs="Times New Roman"/>
        </w:rPr>
        <w:t xml:space="preserve">, (May 23, 2023), </w:t>
      </w:r>
      <w:hyperlink r:id="rId53" w:history="1">
        <w:r w:rsidRPr="00BA4A9E">
          <w:rPr>
            <w:rStyle w:val="Hyperlink"/>
            <w:rFonts w:ascii="Times New Roman" w:hAnsi="Times New Roman" w:cs="Times New Roman"/>
            <w:color w:val="auto"/>
          </w:rPr>
          <w:t>https://www.nbcnews.com/politics/immigration/senior-biden-officials-are-pushing-send-us-troops-south-american-jungl-rcna85574</w:t>
        </w:r>
      </w:hyperlink>
      <w:r w:rsidRPr="00BA4A9E">
        <w:rPr>
          <w:rFonts w:ascii="Times New Roman" w:hAnsi="Times New Roman" w:cs="Times New Roman"/>
        </w:rPr>
        <w:t xml:space="preserve">; U.S. Southern Command Public Affairs, </w:t>
      </w:r>
      <w:r w:rsidRPr="00BA4A9E">
        <w:rPr>
          <w:rFonts w:ascii="Times New Roman" w:hAnsi="Times New Roman" w:cs="Times New Roman"/>
          <w:i/>
          <w:iCs/>
        </w:rPr>
        <w:t>SOUTHCOM Commander Visits Panama</w:t>
      </w:r>
      <w:r w:rsidRPr="00BA4A9E">
        <w:rPr>
          <w:rFonts w:ascii="Times New Roman" w:hAnsi="Times New Roman" w:cs="Times New Roman"/>
        </w:rPr>
        <w:t xml:space="preserve"> (June 15, 2022), </w:t>
      </w:r>
      <w:hyperlink r:id="rId54" w:history="1">
        <w:r w:rsidRPr="00BA4A9E">
          <w:rPr>
            <w:rStyle w:val="Hyperlink"/>
            <w:rFonts w:ascii="Times New Roman" w:hAnsi="Times New Roman" w:cs="Times New Roman"/>
            <w:color w:val="auto"/>
          </w:rPr>
          <w:t>https://www.southcom.mil/MEDIA/NEWS-ARTICLES/Article/3062872/southcom-commander-visits-panama/</w:t>
        </w:r>
      </w:hyperlink>
      <w:r w:rsidRPr="00BA4A9E">
        <w:rPr>
          <w:rFonts w:ascii="Times New Roman" w:hAnsi="Times New Roman" w:cs="Times New Roman"/>
        </w:rPr>
        <w:t xml:space="preserve"> (</w:t>
      </w:r>
      <w:r w:rsidR="00DD561A" w:rsidRPr="00BA4A9E">
        <w:rPr>
          <w:rFonts w:ascii="Times New Roman" w:hAnsi="Times New Roman" w:cs="Times New Roman"/>
        </w:rPr>
        <w:t xml:space="preserve">stating that </w:t>
      </w:r>
      <w:r w:rsidRPr="00BA4A9E">
        <w:rPr>
          <w:rFonts w:ascii="Times New Roman" w:hAnsi="Times New Roman" w:cs="Times New Roman"/>
        </w:rPr>
        <w:t>“</w:t>
      </w:r>
      <w:r w:rsidR="00DD561A" w:rsidRPr="00BA4A9E">
        <w:rPr>
          <w:rFonts w:ascii="Times New Roman" w:hAnsi="Times New Roman" w:cs="Times New Roman"/>
        </w:rPr>
        <w:t>[t]</w:t>
      </w:r>
      <w:r w:rsidRPr="00BA4A9E">
        <w:rPr>
          <w:rFonts w:ascii="Times New Roman" w:hAnsi="Times New Roman" w:cs="Times New Roman"/>
        </w:rPr>
        <w:t>he United States and Panama share a longstanding security partnership that dates back more than a century”).</w:t>
      </w:r>
    </w:p>
  </w:endnote>
  <w:endnote w:id="71">
    <w:p w14:paraId="27B135D9" w14:textId="1594F8C7" w:rsidR="000362C9" w:rsidRPr="00BA4A9E" w:rsidRDefault="000362C9" w:rsidP="00F13970">
      <w:pPr>
        <w:pStyle w:val="EndnoteText"/>
        <w:tabs>
          <w:tab w:val="left" w:pos="720"/>
        </w:tabs>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Anthony J. Blinken, U.S. Secretary of State, </w:t>
      </w:r>
      <w:r w:rsidRPr="00BA4A9E">
        <w:rPr>
          <w:rFonts w:ascii="Times New Roman" w:hAnsi="Times New Roman" w:cs="Times New Roman"/>
          <w:i/>
          <w:iCs/>
        </w:rPr>
        <w:t>The United States and Panama Advance Migration Cooperation</w:t>
      </w:r>
      <w:r w:rsidRPr="00BA4A9E">
        <w:rPr>
          <w:rFonts w:ascii="Times New Roman" w:hAnsi="Times New Roman" w:cs="Times New Roman"/>
        </w:rPr>
        <w:t xml:space="preserve"> (Press Statement)</w:t>
      </w:r>
      <w:r w:rsidRPr="00BA4A9E">
        <w:rPr>
          <w:rFonts w:ascii="Times New Roman" w:hAnsi="Times New Roman" w:cs="Times New Roman"/>
          <w:i/>
          <w:iCs/>
        </w:rPr>
        <w:t xml:space="preserve"> </w:t>
      </w:r>
      <w:r w:rsidRPr="00BA4A9E">
        <w:rPr>
          <w:rFonts w:ascii="Times New Roman" w:hAnsi="Times New Roman" w:cs="Times New Roman"/>
        </w:rPr>
        <w:t xml:space="preserve">(April 19, 2022), </w:t>
      </w:r>
      <w:hyperlink r:id="rId55" w:anchor=":~:text=The%20United%20States%20and%20Panama%20have%20signed%20a%20Bilateral%20Arrangement,for%20those%20in%20the%20region" w:history="1">
        <w:r w:rsidRPr="00BA4A9E">
          <w:rPr>
            <w:rStyle w:val="Hyperlink"/>
            <w:rFonts w:ascii="Times New Roman" w:hAnsi="Times New Roman" w:cs="Times New Roman"/>
            <w:color w:val="auto"/>
          </w:rPr>
          <w:t>https://www.state.gov/the-united-states-and-panama-advance-migration-cooperation/#:~:text=The%20United%20States%20and%20Panama%20have%20signed%20a%20Bilateral%20Arrangement,for%20those%20in%20the%20region</w:t>
        </w:r>
      </w:hyperlink>
      <w:r w:rsidRPr="00BA4A9E">
        <w:rPr>
          <w:rFonts w:ascii="Times New Roman" w:hAnsi="Times New Roman" w:cs="Times New Roman"/>
        </w:rPr>
        <w:t xml:space="preserve">; </w:t>
      </w:r>
      <w:r w:rsidRPr="00BA4A9E">
        <w:rPr>
          <w:rFonts w:ascii="Times New Roman" w:hAnsi="Times New Roman" w:cs="Times New Roman"/>
          <w:i/>
          <w:iCs/>
        </w:rPr>
        <w:t>see also</w:t>
      </w:r>
      <w:r w:rsidRPr="00BA4A9E">
        <w:rPr>
          <w:rFonts w:ascii="Times New Roman" w:hAnsi="Times New Roman" w:cs="Times New Roman"/>
        </w:rPr>
        <w:t xml:space="preserve"> U.S. Department of State, </w:t>
      </w:r>
      <w:r w:rsidRPr="00BA4A9E">
        <w:rPr>
          <w:rFonts w:ascii="Times New Roman" w:hAnsi="Times New Roman" w:cs="Times New Roman"/>
          <w:i/>
          <w:iCs/>
        </w:rPr>
        <w:t>Integrated Country Strategy: Panama</w:t>
      </w:r>
      <w:r w:rsidRPr="00BA4A9E">
        <w:rPr>
          <w:rFonts w:ascii="Times New Roman" w:hAnsi="Times New Roman" w:cs="Times New Roman"/>
        </w:rPr>
        <w:t xml:space="preserve"> (Mar. 21, 2022), </w:t>
      </w:r>
      <w:hyperlink r:id="rId56" w:history="1">
        <w:r w:rsidRPr="00BA4A9E">
          <w:rPr>
            <w:rStyle w:val="Hyperlink"/>
            <w:rFonts w:ascii="Times New Roman" w:hAnsi="Times New Roman" w:cs="Times New Roman"/>
            <w:color w:val="auto"/>
          </w:rPr>
          <w:t>https://www.state.gov/wp-content/uploads/2022/04/ICS_WHA_Panama_Public.pdf</w:t>
        </w:r>
      </w:hyperlink>
      <w:r w:rsidRPr="00BA4A9E">
        <w:rPr>
          <w:rFonts w:ascii="Times New Roman" w:hAnsi="Times New Roman" w:cs="Times New Roman"/>
        </w:rPr>
        <w:t>.</w:t>
      </w:r>
    </w:p>
  </w:endnote>
  <w:endnote w:id="72">
    <w:p w14:paraId="546B92EF"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Luke Taylor, </w:t>
      </w:r>
      <w:r w:rsidRPr="00BA4A9E">
        <w:rPr>
          <w:rFonts w:ascii="Times New Roman" w:hAnsi="Times New Roman" w:cs="Times New Roman"/>
          <w:i/>
          <w:iCs/>
        </w:rPr>
        <w:t xml:space="preserve">UN bodies call for urgent action over Panama’s Darién Gap migration route </w:t>
      </w:r>
      <w:r w:rsidRPr="00BA4A9E">
        <w:rPr>
          <w:rFonts w:ascii="Times New Roman" w:hAnsi="Times New Roman" w:cs="Times New Roman"/>
        </w:rPr>
        <w:t xml:space="preserve">(The Guardian (Aug. 3, 2023), </w:t>
      </w:r>
      <w:hyperlink r:id="rId57" w:history="1">
        <w:r w:rsidRPr="00BA4A9E">
          <w:rPr>
            <w:rStyle w:val="Hyperlink"/>
            <w:rFonts w:ascii="Times New Roman" w:hAnsi="Times New Roman" w:cs="Times New Roman"/>
            <w:color w:val="auto"/>
          </w:rPr>
          <w:t>https://www.theguardian.com/world/2023/aug/03/darien-gap-migration-panama-un-crisis</w:t>
        </w:r>
      </w:hyperlink>
      <w:r w:rsidRPr="00BA4A9E">
        <w:rPr>
          <w:rFonts w:ascii="Times New Roman" w:hAnsi="Times New Roman" w:cs="Times New Roman"/>
        </w:rPr>
        <w:t xml:space="preserve"> (</w:t>
      </w:r>
      <w:r w:rsidRPr="00BA4A9E">
        <w:rPr>
          <w:rFonts w:ascii="Times New Roman" w:hAnsi="Times New Roman" w:cs="Times New Roman"/>
          <w:i/>
          <w:iCs/>
        </w:rPr>
        <w:t>citing</w:t>
      </w:r>
      <w:r w:rsidRPr="00BA4A9E">
        <w:rPr>
          <w:rFonts w:ascii="Times New Roman" w:hAnsi="Times New Roman" w:cs="Times New Roman"/>
        </w:rPr>
        <w:t xml:space="preserve"> United Nations efforts in Panama “mainly by providing critical support in areas such as food, shelter and medical care”); UNICEF, </w:t>
      </w:r>
      <w:r w:rsidRPr="00BA4A9E">
        <w:rPr>
          <w:rFonts w:ascii="Times New Roman" w:hAnsi="Times New Roman" w:cs="Times New Roman"/>
          <w:i/>
          <w:iCs/>
        </w:rPr>
        <w:t xml:space="preserve">Darien jungle: child crossings in 2023 now exceed the whole of 2022 </w:t>
      </w:r>
      <w:r w:rsidRPr="00BA4A9E">
        <w:rPr>
          <w:rFonts w:ascii="Times New Roman" w:hAnsi="Times New Roman" w:cs="Times New Roman"/>
        </w:rPr>
        <w:t>(Aug. 3, 2023),</w:t>
      </w:r>
    </w:p>
    <w:p w14:paraId="3DF0B124" w14:textId="77777777" w:rsidR="000362C9" w:rsidRPr="00BA4A9E" w:rsidRDefault="00000000" w:rsidP="00F13970">
      <w:pPr>
        <w:pStyle w:val="EndnoteText"/>
        <w:rPr>
          <w:rFonts w:ascii="Times New Roman" w:hAnsi="Times New Roman" w:cs="Times New Roman"/>
        </w:rPr>
      </w:pPr>
      <w:hyperlink r:id="rId58" w:history="1">
        <w:r w:rsidR="000362C9" w:rsidRPr="00BA4A9E">
          <w:rPr>
            <w:rStyle w:val="Hyperlink"/>
            <w:rFonts w:ascii="Times New Roman" w:hAnsi="Times New Roman" w:cs="Times New Roman"/>
            <w:color w:val="auto"/>
          </w:rPr>
          <w:t>https://www.unicef.org/lac/en/press-release/darien-jungle-child-crossing-2023-exceed-whole-2022-statement-garry-conille-unicef-regional-director</w:t>
        </w:r>
      </w:hyperlink>
      <w:r w:rsidR="000362C9" w:rsidRPr="00BA4A9E">
        <w:rPr>
          <w:rFonts w:ascii="Times New Roman" w:hAnsi="Times New Roman" w:cs="Times New Roman"/>
        </w:rPr>
        <w:t>.</w:t>
      </w:r>
    </w:p>
  </w:endnote>
  <w:endnote w:id="73">
    <w:p w14:paraId="55C89582" w14:textId="4C255B3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Luke Taylor, </w:t>
      </w:r>
      <w:r w:rsidRPr="00BA4A9E">
        <w:rPr>
          <w:rFonts w:ascii="Times New Roman" w:hAnsi="Times New Roman" w:cs="Times New Roman"/>
          <w:i/>
          <w:iCs/>
        </w:rPr>
        <w:t>‘Terrifying’: Critics decry US plan to stop migrants at Darién Gap</w:t>
      </w:r>
      <w:r w:rsidRPr="00BA4A9E">
        <w:rPr>
          <w:rFonts w:ascii="Times New Roman" w:hAnsi="Times New Roman" w:cs="Times New Roman"/>
        </w:rPr>
        <w:t xml:space="preserve">, </w:t>
      </w:r>
      <w:r w:rsidRPr="00BA4A9E">
        <w:rPr>
          <w:rFonts w:ascii="Times New Roman" w:hAnsi="Times New Roman" w:cs="Times New Roman"/>
          <w:smallCaps/>
        </w:rPr>
        <w:t>The Guardian</w:t>
      </w:r>
      <w:r w:rsidRPr="00BA4A9E">
        <w:rPr>
          <w:rFonts w:ascii="Times New Roman" w:hAnsi="Times New Roman" w:cs="Times New Roman"/>
        </w:rPr>
        <w:t xml:space="preserve"> (Apr. 14, 2023), </w:t>
      </w:r>
      <w:hyperlink r:id="rId59" w:history="1">
        <w:r w:rsidRPr="00BA4A9E">
          <w:rPr>
            <w:rStyle w:val="Hyperlink"/>
            <w:rFonts w:ascii="Times New Roman" w:hAnsi="Times New Roman" w:cs="Times New Roman"/>
            <w:color w:val="auto"/>
          </w:rPr>
          <w:t>https://www.theguardian.com/global-development/2023/apr/14/darien-gap-panama-colombia-us-agreement-migrants</w:t>
        </w:r>
      </w:hyperlink>
      <w:r w:rsidRPr="00BA4A9E">
        <w:rPr>
          <w:rFonts w:ascii="Times New Roman" w:hAnsi="Times New Roman" w:cs="Times New Roman"/>
        </w:rPr>
        <w:t xml:space="preserve">; Juan Zamorano, </w:t>
      </w:r>
      <w:r w:rsidRPr="00BA4A9E">
        <w:rPr>
          <w:rFonts w:ascii="Times New Roman" w:hAnsi="Times New Roman" w:cs="Times New Roman"/>
          <w:i/>
          <w:iCs/>
        </w:rPr>
        <w:t>Panama launches U.S.-backed operation to stop flow of migrants</w:t>
      </w:r>
      <w:r w:rsidRPr="00BA4A9E">
        <w:rPr>
          <w:rFonts w:ascii="Times New Roman" w:hAnsi="Times New Roman" w:cs="Times New Roman"/>
        </w:rPr>
        <w:t xml:space="preserve">, </w:t>
      </w:r>
      <w:r w:rsidRPr="00BA4A9E">
        <w:rPr>
          <w:rFonts w:ascii="Times New Roman" w:hAnsi="Times New Roman" w:cs="Times New Roman"/>
          <w:smallCaps/>
        </w:rPr>
        <w:t>L.A. Times</w:t>
      </w:r>
      <w:r w:rsidRPr="00BA4A9E">
        <w:rPr>
          <w:rFonts w:ascii="Times New Roman" w:hAnsi="Times New Roman" w:cs="Times New Roman"/>
        </w:rPr>
        <w:t xml:space="preserve"> (June 2, 2023), </w:t>
      </w:r>
      <w:hyperlink r:id="rId60" w:history="1">
        <w:r w:rsidRPr="00BA4A9E">
          <w:rPr>
            <w:rStyle w:val="Hyperlink"/>
            <w:rFonts w:ascii="Times New Roman" w:hAnsi="Times New Roman" w:cs="Times New Roman"/>
            <w:color w:val="auto"/>
          </w:rPr>
          <w:t>https://www.latimes.com/world-nation/story/2023-06-02/panama-launches-darien-gap-operation-against-migrant-smugglers</w:t>
        </w:r>
      </w:hyperlink>
      <w:r w:rsidRPr="00BA4A9E">
        <w:rPr>
          <w:rStyle w:val="Hyperlink"/>
          <w:rFonts w:ascii="Times New Roman" w:hAnsi="Times New Roman" w:cs="Times New Roman"/>
          <w:color w:val="auto"/>
        </w:rPr>
        <w:t>.</w:t>
      </w:r>
    </w:p>
  </w:endnote>
  <w:endnote w:id="74">
    <w:p w14:paraId="7EBD9B3B" w14:textId="7B5274B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Rachel Schmidtke, Yael Schacher, &amp; Ariana Sawyer, </w:t>
      </w:r>
      <w:r w:rsidRPr="00BA4A9E">
        <w:rPr>
          <w:rFonts w:ascii="Times New Roman" w:hAnsi="Times New Roman" w:cs="Times New Roman"/>
          <w:i/>
          <w:iCs/>
        </w:rPr>
        <w:t>Report: Deportation with a Layover: Failure of Protection under the U.S.-Guatemala Asylum Cooperative Agreement,</w:t>
      </w:r>
      <w:r w:rsidRPr="00BA4A9E">
        <w:rPr>
          <w:rFonts w:ascii="Times New Roman" w:hAnsi="Times New Roman" w:cs="Times New Roman"/>
        </w:rPr>
        <w:t xml:space="preserve"> </w:t>
      </w:r>
      <w:r w:rsidRPr="00BA4A9E">
        <w:rPr>
          <w:rFonts w:ascii="Times New Roman" w:hAnsi="Times New Roman" w:cs="Times New Roman"/>
          <w:smallCaps/>
        </w:rPr>
        <w:t>Refugees International</w:t>
      </w:r>
      <w:r w:rsidRPr="00BA4A9E">
        <w:rPr>
          <w:rFonts w:ascii="Times New Roman" w:hAnsi="Times New Roman" w:cs="Times New Roman"/>
        </w:rPr>
        <w:t xml:space="preserve"> (May 19, 2020), </w:t>
      </w:r>
      <w:hyperlink r:id="rId61" w:history="1">
        <w:r w:rsidRPr="00BA4A9E">
          <w:rPr>
            <w:rStyle w:val="Hyperlink"/>
            <w:rFonts w:ascii="Times New Roman" w:hAnsi="Times New Roman" w:cs="Times New Roman"/>
            <w:color w:val="auto"/>
          </w:rPr>
          <w:t>https://www.refugeesinternational.org/reports/2020/5/8/deportation-with-a-layover-failure-of-protectionunder-the-us-guatemala-asylum-cooperative-agreement</w:t>
        </w:r>
      </w:hyperlink>
      <w:r w:rsidRPr="00BA4A9E">
        <w:rPr>
          <w:rFonts w:ascii="Times New Roman" w:hAnsi="Times New Roman" w:cs="Times New Roman"/>
        </w:rPr>
        <w:t>.</w:t>
      </w:r>
    </w:p>
  </w:endnote>
  <w:endnote w:id="75">
    <w:p w14:paraId="2278025A" w14:textId="001504FD"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Felipe González Morales (Special Rapporteur on the human rights of migrants), </w:t>
      </w:r>
      <w:r w:rsidRPr="00BA4A9E">
        <w:rPr>
          <w:rFonts w:ascii="Times New Roman" w:hAnsi="Times New Roman" w:cs="Times New Roman"/>
          <w:i/>
          <w:iCs/>
        </w:rPr>
        <w:t>Report on means to address the human rights impact of pushbacks of migrants on land and at sea</w:t>
      </w:r>
      <w:r w:rsidRPr="00BA4A9E">
        <w:rPr>
          <w:rFonts w:ascii="Times New Roman" w:hAnsi="Times New Roman" w:cs="Times New Roman"/>
        </w:rPr>
        <w:t xml:space="preserve">, ¶ 34, U.N. Doc A/HRC/47/30 (May 12, 2021), </w:t>
      </w:r>
      <w:hyperlink r:id="rId62" w:history="1">
        <w:r w:rsidRPr="00BA4A9E">
          <w:rPr>
            <w:rStyle w:val="Hyperlink"/>
            <w:rFonts w:ascii="Times New Roman" w:hAnsi="Times New Roman" w:cs="Times New Roman"/>
            <w:color w:val="auto"/>
          </w:rPr>
          <w:t>https://undocs.org/Home/Mobile?FinalSymbol=A/HRC/47/30&amp;Language=E&amp;DeviceType=Desktop</w:t>
        </w:r>
      </w:hyperlink>
      <w:r w:rsidRPr="00BA4A9E">
        <w:rPr>
          <w:rFonts w:ascii="Times New Roman" w:hAnsi="Times New Roman" w:cs="Times New Roman"/>
        </w:rPr>
        <w:t xml:space="preserve"> (defining pushbacks as “various measures taken by States, sometimes involving third countries or non-State actors, which result in migrants, including asylum seekers, being summarily forced back, without an individual assessment of their human rights protection needs, to the country or territory, or to sea, whether it be territorial waters or international waters, from where they attempted to cross or crossed an international border”)</w:t>
      </w:r>
    </w:p>
  </w:endnote>
  <w:endnote w:id="76">
    <w:p w14:paraId="74DA25CD"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Commander Michael Feltovic &amp; Lieutenant Commander Robert O’Donnell, </w:t>
      </w:r>
      <w:r w:rsidRPr="00BA4A9E">
        <w:rPr>
          <w:rFonts w:ascii="Times New Roman" w:hAnsi="Times New Roman" w:cs="Times New Roman"/>
          <w:i/>
          <w:iCs/>
        </w:rPr>
        <w:t>Coast Guard Migrant Interdiction Operations are in a State of Emergency</w:t>
      </w:r>
      <w:r w:rsidRPr="00BA4A9E">
        <w:rPr>
          <w:rFonts w:ascii="Times New Roman" w:hAnsi="Times New Roman" w:cs="Times New Roman"/>
        </w:rPr>
        <w:t xml:space="preserve">, Proceedings-U.S. Naval Institute (Feb. 2023), </w:t>
      </w:r>
      <w:hyperlink r:id="rId63" w:history="1">
        <w:r w:rsidRPr="00BA4A9E">
          <w:rPr>
            <w:rStyle w:val="Hyperlink"/>
            <w:rFonts w:ascii="Times New Roman" w:hAnsi="Times New Roman" w:cs="Times New Roman"/>
            <w:color w:val="auto"/>
          </w:rPr>
          <w:t>https://www.usni.org/magazines/proceedings/2023/february/coast-guard-migrant-interdiction-operations-are-state-emergency</w:t>
        </w:r>
      </w:hyperlink>
      <w:r w:rsidRPr="00BA4A9E">
        <w:rPr>
          <w:rFonts w:ascii="Times New Roman" w:hAnsi="Times New Roman" w:cs="Times New Roman"/>
        </w:rPr>
        <w:t>.</w:t>
      </w:r>
    </w:p>
  </w:endnote>
  <w:endnote w:id="77">
    <w:p w14:paraId="6EF69326" w14:textId="1CF008FB"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Eleanor Acer, </w:t>
      </w:r>
      <w:r w:rsidRPr="00BA4A9E">
        <w:rPr>
          <w:rFonts w:ascii="Times New Roman" w:hAnsi="Times New Roman" w:cs="Times New Roman"/>
          <w:i/>
          <w:iCs/>
        </w:rPr>
        <w:t>A System Designed to Fail Haitians</w:t>
      </w:r>
      <w:r w:rsidRPr="00BA4A9E">
        <w:rPr>
          <w:rFonts w:ascii="Times New Roman" w:hAnsi="Times New Roman" w:cs="Times New Roman"/>
        </w:rPr>
        <w:t xml:space="preserve">, Human Rights First (Feb. 10, 2010), </w:t>
      </w:r>
      <w:hyperlink r:id="rId64" w:history="1">
        <w:r w:rsidRPr="00BA4A9E">
          <w:rPr>
            <w:rStyle w:val="Hyperlink"/>
            <w:rFonts w:ascii="Times New Roman" w:hAnsi="Times New Roman" w:cs="Times New Roman"/>
            <w:color w:val="auto"/>
          </w:rPr>
          <w:t>https://humanrightsfirst.org/library/a-system-designed-to-fail-haitians/</w:t>
        </w:r>
      </w:hyperlink>
      <w:r w:rsidRPr="00BA4A9E">
        <w:rPr>
          <w:rFonts w:ascii="Times New Roman" w:hAnsi="Times New Roman" w:cs="Times New Roman"/>
        </w:rPr>
        <w:t xml:space="preserve">. </w:t>
      </w:r>
    </w:p>
  </w:endnote>
  <w:endnote w:id="78">
    <w:p w14:paraId="6FE917B1" w14:textId="7D886AC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Commander Michael Feltovic &amp; Lieutenant Commander Robert O’Donnell, </w:t>
      </w:r>
      <w:r w:rsidRPr="00BA4A9E">
        <w:rPr>
          <w:rFonts w:ascii="Times New Roman" w:hAnsi="Times New Roman" w:cs="Times New Roman"/>
          <w:i/>
          <w:iCs/>
        </w:rPr>
        <w:t>Coast Guard Migrant Interdiction Operations are in a State of Emergency</w:t>
      </w:r>
      <w:r w:rsidRPr="00BA4A9E">
        <w:rPr>
          <w:rFonts w:ascii="Times New Roman" w:hAnsi="Times New Roman" w:cs="Times New Roman"/>
        </w:rPr>
        <w:t xml:space="preserve">, Proceedings-U.S. Naval Institute (Feb. 2023), </w:t>
      </w:r>
      <w:hyperlink r:id="rId65" w:history="1">
        <w:r w:rsidRPr="00BA4A9E">
          <w:rPr>
            <w:rStyle w:val="Hyperlink"/>
            <w:rFonts w:ascii="Times New Roman" w:hAnsi="Times New Roman" w:cs="Times New Roman"/>
            <w:color w:val="auto"/>
          </w:rPr>
          <w:t>https://www.usni.org/magazines/proceedings/2023/february/coast-guard-migrant-interdiction-operations-are-state-emergency</w:t>
        </w:r>
      </w:hyperlink>
      <w:r w:rsidRPr="00BA4A9E">
        <w:rPr>
          <w:rFonts w:ascii="Times New Roman" w:hAnsi="Times New Roman" w:cs="Times New Roman"/>
        </w:rPr>
        <w:t xml:space="preserve">; </w:t>
      </w:r>
      <w:r w:rsidRPr="00BA4A9E">
        <w:rPr>
          <w:rFonts w:ascii="Times New Roman" w:hAnsi="Times New Roman" w:cs="Times New Roman"/>
          <w:i/>
          <w:iCs/>
        </w:rPr>
        <w:t>see also</w:t>
      </w:r>
      <w:r w:rsidRPr="00BA4A9E">
        <w:rPr>
          <w:rFonts w:ascii="Times New Roman" w:hAnsi="Times New Roman" w:cs="Times New Roman"/>
        </w:rPr>
        <w:t xml:space="preserve">, Press Release, </w:t>
      </w:r>
      <w:r w:rsidRPr="00BA4A9E">
        <w:rPr>
          <w:rFonts w:ascii="Times New Roman" w:hAnsi="Times New Roman" w:cs="Times New Roman"/>
          <w:i/>
          <w:iCs/>
        </w:rPr>
        <w:t>Coast Guard Repatriates 83 Haitians to Haiti</w:t>
      </w:r>
      <w:r w:rsidRPr="00BA4A9E">
        <w:rPr>
          <w:rFonts w:ascii="Times New Roman" w:hAnsi="Times New Roman" w:cs="Times New Roman"/>
        </w:rPr>
        <w:t xml:space="preserve"> (Sep. 1, 2022), </w:t>
      </w:r>
      <w:hyperlink r:id="rId66" w:history="1">
        <w:r w:rsidRPr="00BA4A9E">
          <w:rPr>
            <w:rStyle w:val="Hyperlink"/>
            <w:rFonts w:ascii="Times New Roman" w:hAnsi="Times New Roman" w:cs="Times New Roman"/>
            <w:color w:val="auto"/>
          </w:rPr>
          <w:t>https://content.govdelivery.com/accounts/USDHSCG/bulletins/32abc91?reqfrom=share</w:t>
        </w:r>
      </w:hyperlink>
      <w:r w:rsidRPr="00BA4A9E">
        <w:rPr>
          <w:rFonts w:ascii="Times New Roman" w:hAnsi="Times New Roman" w:cs="Times New Roman"/>
        </w:rPr>
        <w:t xml:space="preserve">. </w:t>
      </w:r>
    </w:p>
  </w:endnote>
  <w:endnote w:id="79">
    <w:p w14:paraId="132197F7" w14:textId="763341CA"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United States Coast Guard,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8B185D">
        <w:rPr>
          <w:rFonts w:ascii="Times New Roman" w:hAnsi="Times New Roman" w:cs="Times New Roman"/>
        </w:rPr>
        <w:fldChar w:fldCharType="begin"/>
      </w:r>
      <w:r w:rsidR="008B185D">
        <w:rPr>
          <w:rFonts w:ascii="Times New Roman" w:hAnsi="Times New Roman" w:cs="Times New Roman"/>
        </w:rPr>
        <w:instrText xml:space="preserve"> NOTEREF _Ref145400476 \h </w:instrText>
      </w:r>
      <w:r w:rsidR="008B185D">
        <w:rPr>
          <w:rFonts w:ascii="Times New Roman" w:hAnsi="Times New Roman" w:cs="Times New Roman"/>
        </w:rPr>
      </w:r>
      <w:r w:rsidR="008B185D">
        <w:rPr>
          <w:rFonts w:ascii="Times New Roman" w:hAnsi="Times New Roman" w:cs="Times New Roman"/>
        </w:rPr>
        <w:fldChar w:fldCharType="separate"/>
      </w:r>
      <w:r w:rsidR="008B185D">
        <w:rPr>
          <w:rFonts w:ascii="Times New Roman" w:hAnsi="Times New Roman" w:cs="Times New Roman"/>
        </w:rPr>
        <w:t>38</w:t>
      </w:r>
      <w:r w:rsidR="008B185D">
        <w:rPr>
          <w:rFonts w:ascii="Times New Roman" w:hAnsi="Times New Roman" w:cs="Times New Roman"/>
        </w:rPr>
        <w:fldChar w:fldCharType="end"/>
      </w:r>
      <w:r w:rsidRPr="00BA4A9E">
        <w:rPr>
          <w:rFonts w:ascii="Times New Roman" w:hAnsi="Times New Roman" w:cs="Times New Roman"/>
        </w:rPr>
        <w:t xml:space="preserve"> at p. 6, (</w:t>
      </w:r>
      <w:r w:rsidR="00DD561A" w:rsidRPr="00BA4A9E">
        <w:rPr>
          <w:rFonts w:ascii="Times New Roman" w:hAnsi="Times New Roman" w:cs="Times New Roman"/>
        </w:rPr>
        <w:t xml:space="preserve">stating that </w:t>
      </w:r>
      <w:r w:rsidRPr="00BA4A9E">
        <w:rPr>
          <w:rFonts w:ascii="Times New Roman" w:hAnsi="Times New Roman" w:cs="Times New Roman"/>
        </w:rPr>
        <w:t>“</w:t>
      </w:r>
      <w:r w:rsidR="00DD561A" w:rsidRPr="00BA4A9E">
        <w:rPr>
          <w:rFonts w:ascii="Times New Roman" w:hAnsi="Times New Roman" w:cs="Times New Roman"/>
        </w:rPr>
        <w:t>[t]</w:t>
      </w:r>
      <w:r w:rsidRPr="00BA4A9E">
        <w:rPr>
          <w:rFonts w:ascii="Times New Roman" w:hAnsi="Times New Roman" w:cs="Times New Roman"/>
        </w:rPr>
        <w:t>he Coast Guard employs repatriation agreements with the Dominican Republic, Haiti, and Cuba; the three most frequent nationalities interdicted in the Caribbean region. The Coast Guard continues to seek partnerships and agreements with other nations to expand immigration enforcement capabilities. New and expanded bilateral agreements will allow the Coast Guard to increase its ability to conduct AMIO and to remain the lead federal agency for immigration enforcement in the maritime environment.”).</w:t>
      </w:r>
    </w:p>
  </w:endnote>
  <w:endnote w:id="80">
    <w:p w14:paraId="5C3EC2A2" w14:textId="63A6DF86" w:rsidR="000362C9" w:rsidRPr="00BA4A9E" w:rsidRDefault="000362C9" w:rsidP="00F13970">
      <w:pPr>
        <w:pStyle w:val="EndnoteText"/>
        <w:rPr>
          <w:rFonts w:ascii="Times New Roman" w:hAnsi="Times New Roman" w:cs="Times New Roman"/>
          <w:iCs/>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Americans for Immigrant Justice et al., </w:t>
      </w:r>
      <w:r w:rsidRPr="00BA4A9E">
        <w:rPr>
          <w:rFonts w:ascii="Times New Roman" w:hAnsi="Times New Roman" w:cs="Times New Roman"/>
          <w:i/>
          <w:iCs/>
        </w:rPr>
        <w:t>Re: Comment in Opposition to the Proposed Expanded Applicability of the Circumvention of Lawful Pathways Rule in the Maritime Context, CIS No. 2744-23; Docket Number USCIS 2022- 0016; A.G. Order No. 5660-2023</w:t>
      </w:r>
      <w:r w:rsidRPr="00BA4A9E">
        <w:rPr>
          <w:rFonts w:ascii="Times New Roman" w:hAnsi="Times New Roman" w:cs="Times New Roman"/>
        </w:rPr>
        <w:t xml:space="preserve"> (June 15, 2023),</w:t>
      </w:r>
      <w:r w:rsidRPr="00BA4A9E">
        <w:rPr>
          <w:rFonts w:ascii="Times New Roman" w:hAnsi="Times New Roman" w:cs="Times New Roman"/>
          <w:b/>
          <w:bCs/>
        </w:rPr>
        <w:t xml:space="preserve"> </w:t>
      </w:r>
      <w:hyperlink r:id="rId67" w:history="1">
        <w:r w:rsidRPr="00BA4A9E">
          <w:rPr>
            <w:rStyle w:val="Hyperlink"/>
            <w:rFonts w:ascii="Times New Roman" w:hAnsi="Times New Roman" w:cs="Times New Roman"/>
            <w:color w:val="auto"/>
          </w:rPr>
          <w:t>https://aijustice.org/wp-content/uploads/2023/06/Final-Joint-Comment-in-Opposition-to-the-Expansion-of-the-CLP-Final-Rule-in-the-Maritime-Context-.pdf</w:t>
        </w:r>
      </w:hyperlink>
      <w:r w:rsidRPr="00BA4A9E">
        <w:rPr>
          <w:rFonts w:ascii="Times New Roman" w:hAnsi="Times New Roman" w:cs="Times New Roman"/>
        </w:rPr>
        <w:t>; see also, “</w:t>
      </w:r>
      <w:r w:rsidRPr="00BA4A9E">
        <w:rPr>
          <w:rFonts w:ascii="Times New Roman" w:hAnsi="Times New Roman" w:cs="Times New Roman"/>
          <w:iCs/>
        </w:rPr>
        <w:t xml:space="preserve">Circumvention of Lawful Pathways,” 88 Fed. Reg. 31314 (May 16, 2023), </w:t>
      </w:r>
      <w:r w:rsidRPr="00BA4A9E">
        <w:rPr>
          <w:rFonts w:ascii="Times New Roman" w:hAnsi="Times New Roman" w:cs="Times New Roman"/>
          <w:i/>
        </w:rPr>
        <w:t>available at</w:t>
      </w:r>
      <w:r w:rsidRPr="00BA4A9E">
        <w:rPr>
          <w:rFonts w:ascii="Times New Roman" w:hAnsi="Times New Roman" w:cs="Times New Roman"/>
          <w:iCs/>
        </w:rPr>
        <w:t xml:space="preserve"> </w:t>
      </w:r>
      <w:hyperlink r:id="rId68" w:history="1">
        <w:r w:rsidRPr="00BA4A9E">
          <w:rPr>
            <w:rStyle w:val="Hyperlink"/>
            <w:rFonts w:ascii="Times New Roman" w:hAnsi="Times New Roman" w:cs="Times New Roman"/>
            <w:iCs/>
            <w:color w:val="auto"/>
          </w:rPr>
          <w:t>https://www.govinfo.gov/content/pkg/FR-2023-05-16/pdf/2023-10146.pdf</w:t>
        </w:r>
      </w:hyperlink>
      <w:r w:rsidRPr="00BA4A9E">
        <w:rPr>
          <w:rFonts w:ascii="Times New Roman" w:hAnsi="Times New Roman" w:cs="Times New Roman"/>
          <w:iCs/>
        </w:rPr>
        <w:t>.</w:t>
      </w:r>
    </w:p>
  </w:endnote>
  <w:endnote w:id="81">
    <w:p w14:paraId="6EBD98E4"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Memorandum, Peter E. Mina, </w:t>
      </w:r>
      <w:r w:rsidRPr="00BA4A9E">
        <w:rPr>
          <w:rFonts w:ascii="Times New Roman" w:hAnsi="Times New Roman" w:cs="Times New Roman"/>
          <w:i/>
          <w:iCs/>
        </w:rPr>
        <w:t>Maritime Interdiction, Protection Screening, and Custody of Migrants in the Caribbean</w:t>
      </w:r>
      <w:r w:rsidRPr="00BA4A9E">
        <w:rPr>
          <w:rFonts w:ascii="Times New Roman" w:hAnsi="Times New Roman" w:cs="Times New Roman"/>
        </w:rPr>
        <w:t xml:space="preserve"> (Jan. 20, 2023), </w:t>
      </w:r>
      <w:hyperlink r:id="rId69" w:history="1">
        <w:r w:rsidRPr="00BA4A9E">
          <w:rPr>
            <w:rStyle w:val="Hyperlink"/>
            <w:rFonts w:ascii="Times New Roman" w:hAnsi="Times New Roman" w:cs="Times New Roman"/>
            <w:color w:val="auto"/>
          </w:rPr>
          <w:t>https://www.dhs.gov/sites/default/files/2023-05/retention-memo-maritime-interdiction-01-20-23.pdf</w:t>
        </w:r>
      </w:hyperlink>
      <w:r w:rsidRPr="00BA4A9E">
        <w:rPr>
          <w:rFonts w:ascii="Times New Roman" w:hAnsi="Times New Roman" w:cs="Times New Roman"/>
        </w:rPr>
        <w:t xml:space="preserve"> </w:t>
      </w:r>
    </w:p>
  </w:endnote>
  <w:endnote w:id="82">
    <w:p w14:paraId="0738A178" w14:textId="1483429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Kino Border Initiative, </w:t>
      </w:r>
      <w:r w:rsidRPr="00BA4A9E">
        <w:rPr>
          <w:rFonts w:ascii="Times New Roman" w:hAnsi="Times New Roman" w:cs="Times New Roman"/>
          <w:i/>
          <w:iCs/>
        </w:rPr>
        <w:t>Pushback Practices at US/Mexico Border</w:t>
      </w:r>
      <w:r w:rsidRPr="00BA4A9E">
        <w:rPr>
          <w:rFonts w:ascii="Times New Roman" w:hAnsi="Times New Roman" w:cs="Times New Roman"/>
        </w:rPr>
        <w:t xml:space="preserve">, OHCHR, </w:t>
      </w:r>
      <w:hyperlink r:id="rId70" w:anchor=":~:text=U.S.%20government%20data%20reflect%20over%20400%2C000%20migrant%20pushbacks,power%2C%20including%20physical%20cruelty%2C%20verbal%20harassment%2C%20and%20misrepresentation" w:history="1">
        <w:r w:rsidRPr="00BA4A9E">
          <w:rPr>
            <w:rStyle w:val="Hyperlink"/>
            <w:rFonts w:ascii="Times New Roman" w:hAnsi="Times New Roman" w:cs="Times New Roman"/>
            <w:color w:val="auto"/>
          </w:rPr>
          <w:t>https://www.ohchr.org/sites/default/files/Documents/Issues/Migration/pushback/Franciscans_International_SubmissionI.pdf#:~:text=U.S.%20government%20data%20reflect%20over%20400%2C000%20migrant%20pushbacks,power%2C%20including%20physical%20cruelty%2C%20verbal%20harassment%2C%20and%20misrepresentation</w:t>
        </w:r>
      </w:hyperlink>
      <w:r w:rsidRPr="00BA4A9E">
        <w:rPr>
          <w:rFonts w:ascii="Times New Roman" w:hAnsi="Times New Roman" w:cs="Times New Roman"/>
        </w:rPr>
        <w:t xml:space="preserve">. </w:t>
      </w:r>
    </w:p>
  </w:endnote>
  <w:endnote w:id="83">
    <w:p w14:paraId="3AAA4684" w14:textId="519E657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88 Fed. Reg. 31314 (May 16, 2023), </w:t>
      </w:r>
      <w:r w:rsidRPr="00BA4A9E">
        <w:rPr>
          <w:rFonts w:ascii="Times New Roman" w:hAnsi="Times New Roman" w:cs="Times New Roman"/>
          <w:i/>
        </w:rPr>
        <w:t>available at</w:t>
      </w:r>
      <w:r w:rsidRPr="00BA4A9E">
        <w:rPr>
          <w:rFonts w:ascii="Times New Roman" w:hAnsi="Times New Roman" w:cs="Times New Roman"/>
          <w:iCs/>
        </w:rPr>
        <w:t xml:space="preserve"> </w:t>
      </w:r>
      <w:hyperlink r:id="rId71" w:history="1">
        <w:r w:rsidRPr="00BA4A9E">
          <w:rPr>
            <w:rStyle w:val="Hyperlink"/>
            <w:rFonts w:ascii="Times New Roman" w:hAnsi="Times New Roman" w:cs="Times New Roman"/>
            <w:iCs/>
            <w:color w:val="auto"/>
          </w:rPr>
          <w:t>https://www.govinfo.gov/content/pkg/FR-2023-05-16/pdf/2023-10146.pdf</w:t>
        </w:r>
      </w:hyperlink>
      <w:r w:rsidRPr="00BA4A9E">
        <w:rPr>
          <w:rFonts w:ascii="Times New Roman" w:hAnsi="Times New Roman" w:cs="Times New Roman"/>
          <w:iCs/>
        </w:rPr>
        <w:t>.</w:t>
      </w:r>
    </w:p>
  </w:endnote>
  <w:endnote w:id="84">
    <w:p w14:paraId="31601111" w14:textId="13D9FB9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Black Immigrant Bail Fund et al., </w:t>
      </w:r>
      <w:r w:rsidRPr="00BA4A9E">
        <w:rPr>
          <w:rFonts w:ascii="Times New Roman" w:hAnsi="Times New Roman" w:cs="Times New Roman"/>
          <w:i/>
          <w:iCs/>
        </w:rPr>
        <w:t>Comment on Proposed Rule, “Circumvention of Lawful Pathways,” 88 FR 11074</w:t>
      </w:r>
      <w:r w:rsidRPr="00BA4A9E">
        <w:rPr>
          <w:rFonts w:ascii="Times New Roman" w:hAnsi="Times New Roman" w:cs="Times New Roman"/>
        </w:rPr>
        <w:t xml:space="preserve"> (Mar. 27, 2023), </w:t>
      </w:r>
      <w:hyperlink r:id="rId72" w:history="1">
        <w:r w:rsidRPr="00BA4A9E">
          <w:rPr>
            <w:rStyle w:val="Hyperlink"/>
            <w:rFonts w:ascii="Times New Roman" w:hAnsi="Times New Roman" w:cs="Times New Roman"/>
            <w:color w:val="auto"/>
          </w:rPr>
          <w:t>https://www.regulations.gov/comment/USCIS-2022-0016-12543</w:t>
        </w:r>
      </w:hyperlink>
      <w:r w:rsidRPr="00BA4A9E">
        <w:rPr>
          <w:rFonts w:ascii="Times New Roman" w:hAnsi="Times New Roman" w:cs="Times New Roman"/>
        </w:rPr>
        <w:t xml:space="preserve">. </w:t>
      </w:r>
    </w:p>
  </w:endnote>
  <w:endnote w:id="85">
    <w:p w14:paraId="3977D699" w14:textId="25AF1C1A"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Melissa del Bosque</w:t>
      </w:r>
      <w:r w:rsidRPr="00BA4A9E">
        <w:rPr>
          <w:rFonts w:ascii="Times New Roman" w:hAnsi="Times New Roman" w:cs="Times New Roman"/>
          <w:i/>
          <w:iCs/>
        </w:rPr>
        <w:t>, Facial recognitions bias frustrates Black asylum applicants to US, advocates say</w:t>
      </w:r>
      <w:r w:rsidRPr="00BA4A9E">
        <w:rPr>
          <w:rFonts w:ascii="Times New Roman" w:hAnsi="Times New Roman" w:cs="Times New Roman"/>
        </w:rPr>
        <w:t xml:space="preserve">, </w:t>
      </w:r>
      <w:r w:rsidRPr="00BA4A9E">
        <w:rPr>
          <w:rFonts w:ascii="Times New Roman" w:hAnsi="Times New Roman" w:cs="Times New Roman"/>
          <w:smallCaps/>
        </w:rPr>
        <w:t>The Guardian</w:t>
      </w:r>
      <w:r w:rsidRPr="00BA4A9E">
        <w:rPr>
          <w:rFonts w:ascii="Times New Roman" w:hAnsi="Times New Roman" w:cs="Times New Roman"/>
        </w:rPr>
        <w:t xml:space="preserve"> (Feb. 8, 2023), </w:t>
      </w:r>
      <w:hyperlink r:id="rId73" w:anchor=":~:text=Non%2Dprofits%20that%20assist%20Black,request%20entry%20into%20the%20US" w:history="1">
        <w:r w:rsidRPr="00BA4A9E">
          <w:rPr>
            <w:rStyle w:val="Hyperlink"/>
            <w:rFonts w:ascii="Times New Roman" w:hAnsi="Times New Roman" w:cs="Times New Roman"/>
            <w:color w:val="auto"/>
          </w:rPr>
          <w:t>https://www.theguardian.com/us-news/2023/feb/08/us-immigration-cbp-one-app-facial-recognition-bias#:~:text=Non%2Dprofits%20that%20assist%20Black,request%20entry%20into%20the%20US</w:t>
        </w:r>
      </w:hyperlink>
      <w:r w:rsidRPr="00BA4A9E">
        <w:rPr>
          <w:rFonts w:ascii="Times New Roman" w:hAnsi="Times New Roman" w:cs="Times New Roman"/>
        </w:rPr>
        <w:t xml:space="preserve">. </w:t>
      </w:r>
    </w:p>
  </w:endnote>
  <w:endnote w:id="86">
    <w:p w14:paraId="53CC38E2" w14:textId="30052B6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Class Action Complaint for Vacatur, Declaratory Judgement, and Injunctive Relief, </w:t>
      </w:r>
      <w:r w:rsidRPr="00BA4A9E">
        <w:rPr>
          <w:rFonts w:ascii="Times New Roman" w:hAnsi="Times New Roman" w:cs="Times New Roman"/>
          <w:i/>
          <w:iCs/>
        </w:rPr>
        <w:t>AOL et. al v. Mayorkas</w:t>
      </w:r>
      <w:r w:rsidRPr="00BA4A9E">
        <w:rPr>
          <w:rFonts w:ascii="Times New Roman" w:hAnsi="Times New Roman" w:cs="Times New Roman"/>
        </w:rPr>
        <w:t xml:space="preserve">, (S.D. Cal.) (Case No. 3:23-cv-01367-AGS-BLM, </w:t>
      </w:r>
      <w:r w:rsidRPr="00BA4A9E">
        <w:rPr>
          <w:rFonts w:ascii="Times New Roman" w:hAnsi="Times New Roman" w:cs="Times New Roman"/>
          <w:i/>
          <w:iCs/>
        </w:rPr>
        <w:t>pending</w:t>
      </w:r>
      <w:r w:rsidRPr="00BA4A9E">
        <w:rPr>
          <w:rFonts w:ascii="Times New Roman" w:hAnsi="Times New Roman" w:cs="Times New Roman"/>
        </w:rPr>
        <w:t xml:space="preserve">) available at </w:t>
      </w:r>
      <w:hyperlink r:id="rId74" w:history="1">
        <w:r w:rsidRPr="00BA4A9E">
          <w:rPr>
            <w:rStyle w:val="Hyperlink"/>
            <w:rFonts w:ascii="Times New Roman" w:hAnsi="Times New Roman" w:cs="Times New Roman"/>
            <w:color w:val="auto"/>
          </w:rPr>
          <w:t>https://www.americanimmigrationcouncil.org/sites/default/files/litigation_documents/challenging_cbp_one_turnback_policy_complaint_0.pdf</w:t>
        </w:r>
      </w:hyperlink>
      <w:r w:rsidRPr="00BA4A9E">
        <w:rPr>
          <w:rFonts w:ascii="Times New Roman" w:hAnsi="Times New Roman" w:cs="Times New Roman"/>
        </w:rPr>
        <w:t>.</w:t>
      </w:r>
    </w:p>
  </w:endnote>
  <w:endnote w:id="87">
    <w:p w14:paraId="11737802" w14:textId="2B92514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Human Rights First</w:t>
      </w:r>
      <w:r w:rsidR="00DD561A" w:rsidRPr="00BA4A9E">
        <w:rPr>
          <w:rFonts w:ascii="Times New Roman" w:hAnsi="Times New Roman" w:cs="Times New Roman"/>
        </w:rPr>
        <w:t xml:space="preserve"> </w:t>
      </w:r>
      <w:r w:rsidR="00DD561A" w:rsidRPr="00BA4A9E">
        <w:rPr>
          <w:rFonts w:ascii="Times New Roman" w:hAnsi="Times New Roman" w:cs="Times New Roman"/>
          <w:i/>
          <w:iCs/>
        </w:rPr>
        <w:t>et al.</w:t>
      </w:r>
      <w:r w:rsidRPr="00BA4A9E">
        <w:rPr>
          <w:rFonts w:ascii="Times New Roman" w:hAnsi="Times New Roman" w:cs="Times New Roman"/>
        </w:rPr>
        <w:t xml:space="preserve">, </w:t>
      </w:r>
      <w:r w:rsidRPr="00BA4A9E">
        <w:rPr>
          <w:rFonts w:ascii="Times New Roman" w:hAnsi="Times New Roman" w:cs="Times New Roman"/>
          <w:i/>
          <w:iCs/>
        </w:rPr>
        <w:t xml:space="preserve">Lives at Risk: Barriers and Harms As Biden Asylum Ban Takes Effect </w:t>
      </w:r>
      <w:r w:rsidRPr="00BA4A9E">
        <w:rPr>
          <w:rFonts w:ascii="Times New Roman" w:hAnsi="Times New Roman" w:cs="Times New Roman"/>
        </w:rPr>
        <w:t xml:space="preserve">(2023), </w:t>
      </w:r>
      <w:hyperlink r:id="rId75" w:history="1">
        <w:r w:rsidRPr="00BA4A9E">
          <w:rPr>
            <w:rStyle w:val="Hyperlink"/>
            <w:rFonts w:ascii="Times New Roman" w:hAnsi="Times New Roman" w:cs="Times New Roman"/>
            <w:color w:val="auto"/>
          </w:rPr>
          <w:t>https://humanrightsfirst.org/wp-content/uploads/2023/05/Barriers-and-Harms-As-Biden-Asylum-Ban-Takes-Effect31.pdf</w:t>
        </w:r>
      </w:hyperlink>
      <w:r w:rsidRPr="00BA4A9E">
        <w:rPr>
          <w:rFonts w:ascii="Times New Roman" w:hAnsi="Times New Roman" w:cs="Times New Roman"/>
        </w:rPr>
        <w:t>.</w:t>
      </w:r>
    </w:p>
  </w:endnote>
  <w:endnote w:id="88">
    <w:p w14:paraId="0D4403F9" w14:textId="4977663E"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 e.g.</w:t>
      </w:r>
      <w:r w:rsidRPr="00BA4A9E">
        <w:rPr>
          <w:rFonts w:ascii="Times New Roman" w:hAnsi="Times New Roman" w:cs="Times New Roman"/>
        </w:rPr>
        <w:t xml:space="preserve">, University of Miami School of Law Human Rights Clinic et al., Letter to The White House and U.S. Department of Homeland Security (Jan. 12, 2023), </w:t>
      </w:r>
      <w:hyperlink r:id="rId76" w:history="1">
        <w:r w:rsidRPr="00BA4A9E">
          <w:rPr>
            <w:rStyle w:val="Hyperlink"/>
            <w:rFonts w:ascii="Times New Roman" w:hAnsi="Times New Roman" w:cs="Times New Roman"/>
            <w:color w:val="auto"/>
          </w:rPr>
          <w:t>https://miami.app.box.com/s/y9rayyctjsudmeaffnxekijfs760zc55</w:t>
        </w:r>
      </w:hyperlink>
      <w:r w:rsidRPr="00BA4A9E">
        <w:rPr>
          <w:rFonts w:ascii="Times New Roman" w:hAnsi="Times New Roman" w:cs="Times New Roman"/>
        </w:rPr>
        <w:t xml:space="preserve">; Press Release, </w:t>
      </w:r>
      <w:r w:rsidRPr="00BA4A9E">
        <w:rPr>
          <w:rFonts w:ascii="Times New Roman" w:hAnsi="Times New Roman" w:cs="Times New Roman"/>
          <w:i/>
          <w:iCs/>
        </w:rPr>
        <w:t>UNHCR calls on States to refrain from forced returns of Haitians</w:t>
      </w:r>
      <w:r w:rsidRPr="00BA4A9E">
        <w:rPr>
          <w:rFonts w:ascii="Times New Roman" w:hAnsi="Times New Roman" w:cs="Times New Roman"/>
        </w:rPr>
        <w:t xml:space="preserve">, UNHCR (Nov. 3, 2022), </w:t>
      </w:r>
      <w:hyperlink r:id="rId77" w:history="1">
        <w:r w:rsidRPr="00BA4A9E">
          <w:rPr>
            <w:rStyle w:val="Hyperlink"/>
            <w:rFonts w:ascii="Times New Roman" w:hAnsi="Times New Roman" w:cs="Times New Roman"/>
            <w:color w:val="auto"/>
          </w:rPr>
          <w:t>https://www.unhcr.org/news/news-releases/unhcr-calls-states-refrain-forced-returns-haitians</w:t>
        </w:r>
      </w:hyperlink>
      <w:r w:rsidRPr="00BA4A9E">
        <w:rPr>
          <w:rFonts w:ascii="Times New Roman" w:hAnsi="Times New Roman" w:cs="Times New Roman"/>
        </w:rPr>
        <w:t xml:space="preserve">; Amnesty International et al., </w:t>
      </w:r>
      <w:r w:rsidRPr="00BA4A9E">
        <w:rPr>
          <w:rFonts w:ascii="Times New Roman" w:hAnsi="Times New Roman" w:cs="Times New Roman"/>
          <w:i/>
          <w:iCs/>
        </w:rPr>
        <w:t>Stop US deportations and abuse against Haitians on the move: An urgent step towards creating just policies for Haitians</w:t>
      </w:r>
      <w:r w:rsidRPr="00BA4A9E">
        <w:rPr>
          <w:rFonts w:ascii="Times New Roman" w:hAnsi="Times New Roman" w:cs="Times New Roman"/>
        </w:rPr>
        <w:t xml:space="preserve"> (Dec. 15, 2021), </w:t>
      </w:r>
      <w:hyperlink r:id="rId78" w:history="1">
        <w:r w:rsidR="00DD561A" w:rsidRPr="00BA4A9E">
          <w:rPr>
            <w:rStyle w:val="Hyperlink"/>
            <w:rFonts w:ascii="Times New Roman" w:hAnsi="Times New Roman" w:cs="Times New Roman"/>
            <w:color w:val="auto"/>
          </w:rPr>
          <w:t>https://www.amnesty.org/en/wp-content/uploads/2021/12/AMR3651012021ENGLISH.pdf</w:t>
        </w:r>
      </w:hyperlink>
      <w:r w:rsidRPr="00BA4A9E">
        <w:rPr>
          <w:rFonts w:ascii="Times New Roman" w:hAnsi="Times New Roman" w:cs="Times New Roman"/>
        </w:rPr>
        <w:t xml:space="preserve">. </w:t>
      </w:r>
    </w:p>
  </w:endnote>
  <w:endnote w:id="89">
    <w:p w14:paraId="0559207B" w14:textId="4FB8874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Amnesty International,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8B185D">
        <w:rPr>
          <w:rFonts w:ascii="Times New Roman" w:hAnsi="Times New Roman" w:cs="Times New Roman"/>
        </w:rPr>
        <w:fldChar w:fldCharType="begin"/>
      </w:r>
      <w:r w:rsidR="008B185D">
        <w:rPr>
          <w:rFonts w:ascii="Times New Roman" w:hAnsi="Times New Roman" w:cs="Times New Roman"/>
        </w:rPr>
        <w:instrText xml:space="preserve"> NOTEREF _Ref145400497 \h </w:instrText>
      </w:r>
      <w:r w:rsidR="008B185D">
        <w:rPr>
          <w:rFonts w:ascii="Times New Roman" w:hAnsi="Times New Roman" w:cs="Times New Roman"/>
        </w:rPr>
      </w:r>
      <w:r w:rsidR="008B185D">
        <w:rPr>
          <w:rFonts w:ascii="Times New Roman" w:hAnsi="Times New Roman" w:cs="Times New Roman"/>
        </w:rPr>
        <w:fldChar w:fldCharType="separate"/>
      </w:r>
      <w:r w:rsidR="008B185D">
        <w:rPr>
          <w:rFonts w:ascii="Times New Roman" w:hAnsi="Times New Roman" w:cs="Times New Roman"/>
        </w:rPr>
        <w:t>2</w:t>
      </w:r>
      <w:r w:rsidR="008B185D">
        <w:rPr>
          <w:rFonts w:ascii="Times New Roman" w:hAnsi="Times New Roman" w:cs="Times New Roman"/>
        </w:rPr>
        <w:fldChar w:fldCharType="end"/>
      </w:r>
      <w:r w:rsidRPr="00BA4A9E">
        <w:rPr>
          <w:rFonts w:ascii="Times New Roman" w:hAnsi="Times New Roman" w:cs="Times New Roman"/>
        </w:rPr>
        <w:t>.</w:t>
      </w:r>
    </w:p>
  </w:endnote>
  <w:endnote w:id="90">
    <w:p w14:paraId="4F1E5FF1" w14:textId="5D502D54"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Immigration and Customs Enforcement, </w:t>
      </w:r>
      <w:r w:rsidRPr="00BA4A9E">
        <w:rPr>
          <w:rFonts w:ascii="Times New Roman" w:hAnsi="Times New Roman" w:cs="Times New Roman"/>
          <w:i/>
          <w:iCs/>
        </w:rPr>
        <w:t>ICE Annual Report |</w:t>
      </w:r>
      <w:r w:rsidRPr="00BA4A9E">
        <w:rPr>
          <w:rFonts w:ascii="Times New Roman" w:hAnsi="Times New Roman" w:cs="Times New Roman"/>
        </w:rPr>
        <w:t xml:space="preserve"> </w:t>
      </w:r>
      <w:r w:rsidRPr="00BA4A9E">
        <w:rPr>
          <w:rFonts w:ascii="Times New Roman" w:hAnsi="Times New Roman" w:cs="Times New Roman"/>
          <w:i/>
          <w:iCs/>
        </w:rPr>
        <w:t xml:space="preserve">Fiscal Year </w:t>
      </w:r>
      <w:r w:rsidRPr="00BA4A9E">
        <w:rPr>
          <w:rFonts w:ascii="Times New Roman" w:hAnsi="Times New Roman" w:cs="Times New Roman"/>
        </w:rPr>
        <w:t xml:space="preserve">2022, at p. 71 (Dec. 30, 2022), </w:t>
      </w:r>
      <w:hyperlink r:id="rId79" w:history="1">
        <w:r w:rsidRPr="00BA4A9E">
          <w:rPr>
            <w:rStyle w:val="Hyperlink"/>
            <w:rFonts w:ascii="Times New Roman" w:hAnsi="Times New Roman" w:cs="Times New Roman"/>
            <w:color w:val="auto"/>
          </w:rPr>
          <w:t>https://www.ice.gov/doclib/eoy/iceAnnualReportFY2022.pdf</w:t>
        </w:r>
      </w:hyperlink>
      <w:r w:rsidRPr="00BA4A9E">
        <w:rPr>
          <w:rFonts w:ascii="Times New Roman" w:hAnsi="Times New Roman" w:cs="Times New Roman"/>
        </w:rPr>
        <w:t xml:space="preserve">. </w:t>
      </w:r>
    </w:p>
  </w:endnote>
  <w:endnote w:id="91">
    <w:p w14:paraId="473FCAED"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U.S. Government only compiles deportation data in the aggregate and does not provide disaggregated data by country of origin. </w:t>
      </w:r>
    </w:p>
  </w:endnote>
  <w:endnote w:id="92">
    <w:p w14:paraId="7558C16F" w14:textId="380A8DC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University of Miami School of Law Human Rights Clinic, et. al., </w:t>
      </w:r>
      <w:r w:rsidRPr="00BA4A9E">
        <w:rPr>
          <w:rFonts w:ascii="Times New Roman" w:hAnsi="Times New Roman" w:cs="Times New Roman"/>
          <w:i/>
          <w:iCs/>
        </w:rPr>
        <w:t>An Urgent Call to Stop All U.S. Deportations to Haiti</w:t>
      </w:r>
      <w:r w:rsidRPr="00BA4A9E">
        <w:rPr>
          <w:rFonts w:ascii="Times New Roman" w:hAnsi="Times New Roman" w:cs="Times New Roman"/>
        </w:rPr>
        <w:t xml:space="preserve"> (2023), </w:t>
      </w:r>
      <w:hyperlink r:id="rId80" w:history="1">
        <w:r w:rsidRPr="00BA4A9E">
          <w:rPr>
            <w:rStyle w:val="Hyperlink"/>
            <w:rFonts w:ascii="Times New Roman" w:hAnsi="Times New Roman" w:cs="Times New Roman"/>
            <w:color w:val="auto"/>
          </w:rPr>
          <w:t>https://www.law.miami.edu/_assets/files-exp/files-clinic-human-rights/urgent-call-to-stop-all-u.s-deportations-to-haiti_february-202312.pdf</w:t>
        </w:r>
      </w:hyperlink>
      <w:r w:rsidRPr="00BA4A9E">
        <w:rPr>
          <w:rFonts w:ascii="Times New Roman" w:hAnsi="Times New Roman" w:cs="Times New Roman"/>
        </w:rPr>
        <w:t xml:space="preserve">. </w:t>
      </w:r>
    </w:p>
  </w:endnote>
  <w:endnote w:id="93">
    <w:p w14:paraId="029B2C22" w14:textId="4E8A3FA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w:t>
      </w:r>
    </w:p>
  </w:endnote>
  <w:endnote w:id="94">
    <w:p w14:paraId="6FBF4C0D" w14:textId="2C428C3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w:t>
      </w:r>
    </w:p>
  </w:endnote>
  <w:endnote w:id="95">
    <w:p w14:paraId="01953431" w14:textId="6F92952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w:t>
      </w:r>
    </w:p>
  </w:endnote>
  <w:endnote w:id="96">
    <w:p w14:paraId="2139A1D9" w14:textId="15E4C424"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IACHR, </w:t>
      </w:r>
      <w:r w:rsidRPr="00BA4A9E">
        <w:rPr>
          <w:rFonts w:ascii="Times New Roman" w:hAnsi="Times New Roman" w:cs="Times New Roman"/>
          <w:i/>
          <w:iCs/>
        </w:rPr>
        <w:t>186 Period of Sessions: Rights of Haitians in mobility in the United States</w:t>
      </w:r>
      <w:r w:rsidRPr="00BA4A9E">
        <w:rPr>
          <w:rFonts w:ascii="Times New Roman" w:hAnsi="Times New Roman" w:cs="Times New Roman"/>
        </w:rPr>
        <w:t xml:space="preserve"> (March 9, 2023), </w:t>
      </w:r>
      <w:hyperlink r:id="rId81" w:history="1">
        <w:r w:rsidRPr="00BA4A9E">
          <w:rPr>
            <w:rStyle w:val="Hyperlink"/>
            <w:rFonts w:ascii="Times New Roman" w:hAnsi="Times New Roman" w:cs="Times New Roman"/>
            <w:color w:val="auto"/>
          </w:rPr>
          <w:t>https://www.oas.org/en/iachr/sessions/?S=186</w:t>
        </w:r>
      </w:hyperlink>
      <w:r w:rsidRPr="00BA4A9E">
        <w:rPr>
          <w:rFonts w:ascii="Times New Roman" w:hAnsi="Times New Roman" w:cs="Times New Roman"/>
        </w:rPr>
        <w:t xml:space="preserve">, recording of hearing available at </w:t>
      </w:r>
      <w:hyperlink r:id="rId82" w:history="1">
        <w:r w:rsidRPr="00BA4A9E">
          <w:rPr>
            <w:rStyle w:val="Hyperlink"/>
            <w:rFonts w:ascii="Times New Roman" w:hAnsi="Times New Roman" w:cs="Times New Roman"/>
            <w:color w:val="auto"/>
          </w:rPr>
          <w:t>https://youtu.be/5AgrksRMpdY</w:t>
        </w:r>
      </w:hyperlink>
      <w:r w:rsidRPr="00BA4A9E">
        <w:rPr>
          <w:rFonts w:ascii="Times New Roman" w:hAnsi="Times New Roman" w:cs="Times New Roman"/>
        </w:rPr>
        <w:t>.</w:t>
      </w:r>
    </w:p>
  </w:endnote>
  <w:endnote w:id="97">
    <w:p w14:paraId="30625222" w14:textId="7713334D"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w:t>
      </w:r>
    </w:p>
  </w:endnote>
  <w:endnote w:id="98">
    <w:p w14:paraId="6901A945" w14:textId="4B8DC0C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Human Rights Committee, </w:t>
      </w:r>
      <w:r w:rsidRPr="00BA4A9E">
        <w:rPr>
          <w:rFonts w:ascii="Times New Roman" w:hAnsi="Times New Roman" w:cs="Times New Roman"/>
          <w:i/>
          <w:iCs/>
        </w:rPr>
        <w:t>Concluding Observations on the fourth periodic report of the United States of America</w:t>
      </w:r>
      <w:r w:rsidRPr="00BA4A9E">
        <w:rPr>
          <w:rFonts w:ascii="Times New Roman" w:hAnsi="Times New Roman" w:cs="Times New Roman"/>
        </w:rPr>
        <w:t>, ¶ 15, CCPR/C/USA/CO/4 (Apr. 23, 2014),</w:t>
      </w:r>
      <w:r w:rsidR="00023745">
        <w:rPr>
          <w:rFonts w:ascii="Times New Roman" w:hAnsi="Times New Roman" w:cs="Times New Roman"/>
        </w:rPr>
        <w:t xml:space="preserve"> </w:t>
      </w:r>
      <w:r w:rsidR="00023745" w:rsidRPr="00E33987">
        <w:rPr>
          <w:rFonts w:ascii="Times New Roman" w:hAnsi="Times New Roman" w:cs="Times New Roman"/>
          <w:i/>
          <w:iCs/>
        </w:rPr>
        <w:t>available at</w:t>
      </w:r>
      <w:r w:rsidR="00023745" w:rsidRPr="00E33987">
        <w:rPr>
          <w:rFonts w:ascii="Times New Roman" w:hAnsi="Times New Roman" w:cs="Times New Roman"/>
        </w:rPr>
        <w:t xml:space="preserve"> </w:t>
      </w:r>
      <w:hyperlink r:id="rId83" w:history="1">
        <w:r w:rsidR="00E33987" w:rsidRPr="00E33987">
          <w:rPr>
            <w:rStyle w:val="Hyperlink"/>
            <w:rFonts w:ascii="Times New Roman" w:hAnsi="Times New Roman" w:cs="Times New Roman"/>
            <w:color w:val="auto"/>
          </w:rPr>
          <w:t>https://documents-dds-ny.un.org/doc/UNDOC/GEN/G14/426/73/PDF/G1442673.pdf</w:t>
        </w:r>
      </w:hyperlink>
      <w:r w:rsidR="00E33987">
        <w:rPr>
          <w:rFonts w:ascii="Times New Roman" w:hAnsi="Times New Roman" w:cs="Times New Roman"/>
        </w:rPr>
        <w:t xml:space="preserve"> </w:t>
      </w:r>
      <w:r w:rsidRPr="00BA4A9E">
        <w:rPr>
          <w:rFonts w:ascii="Times New Roman" w:hAnsi="Times New Roman" w:cs="Times New Roman"/>
        </w:rPr>
        <w:t>[hereinafter HRC 2014 Concluding Observations].</w:t>
      </w:r>
    </w:p>
  </w:endnote>
  <w:endnote w:id="99">
    <w:p w14:paraId="7FC7B645" w14:textId="3E97D93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xml:space="preserve">. at ¶ 13. </w:t>
      </w:r>
    </w:p>
  </w:endnote>
  <w:endnote w:id="100">
    <w:p w14:paraId="784BF316" w14:textId="5E0D5E0B" w:rsidR="00FF2609" w:rsidRPr="00BA4A9E" w:rsidRDefault="00FF2609" w:rsidP="00FF260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Article 2(1) of the ICCPR requires States to guarantee rights to all individuals within its territory and subject to its jurisdiction</w:t>
      </w:r>
      <w:r w:rsidRPr="00BA4A9E">
        <w:rPr>
          <w:rFonts w:ascii="Times New Roman" w:hAnsi="Times New Roman" w:cs="Times New Roman"/>
          <w:vertAlign w:val="superscript"/>
        </w:rPr>
        <w:endnoteRef/>
      </w:r>
      <w:r w:rsidRPr="00BA4A9E">
        <w:rPr>
          <w:rFonts w:ascii="Times New Roman" w:hAnsi="Times New Roman" w:cs="Times New Roman"/>
        </w:rPr>
        <w:t xml:space="preserve"> and General Comment No. 15 establishes that “</w:t>
      </w:r>
      <w:r w:rsidRPr="00BA4A9E">
        <w:rPr>
          <w:rFonts w:ascii="Times New Roman" w:hAnsi="Times New Roman" w:cs="Times New Roman"/>
          <w:lang w:val="en-GB"/>
        </w:rPr>
        <w:t xml:space="preserve">each one of the rights of the Covenant must be guaranteed without discrimination between citizens and aliens.” </w:t>
      </w:r>
      <w:r w:rsidR="00DD561A" w:rsidRPr="00BA4A9E">
        <w:rPr>
          <w:rFonts w:ascii="Times New Roman" w:hAnsi="Times New Roman" w:cs="Times New Roman"/>
          <w:i/>
          <w:iCs/>
          <w:lang w:val="en-GB"/>
        </w:rPr>
        <w:t>See</w:t>
      </w:r>
      <w:r w:rsidR="00DD561A" w:rsidRPr="00BA4A9E">
        <w:rPr>
          <w:rFonts w:ascii="Times New Roman" w:hAnsi="Times New Roman" w:cs="Times New Roman"/>
          <w:lang w:val="en-GB"/>
        </w:rPr>
        <w:t xml:space="preserve"> </w:t>
      </w:r>
      <w:r w:rsidRPr="00BA4A9E">
        <w:rPr>
          <w:rFonts w:ascii="Times New Roman" w:hAnsi="Times New Roman" w:cs="Times New Roman"/>
        </w:rPr>
        <w:t xml:space="preserve">Human Rights Committee, General Comment No. 15: The position of aliens under the Covenant, ¶ 2 (Apr. 11, 1986), [hereinafter HRC General Comment No. 15]. </w:t>
      </w:r>
    </w:p>
  </w:endnote>
  <w:endnote w:id="101">
    <w:p w14:paraId="4922EC50" w14:textId="039D46C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hAnsi="Times New Roman" w:cs="Times New Roman"/>
        </w:rPr>
        <w:t xml:space="preserve"> Eli Cahan, </w:t>
      </w:r>
      <w:r w:rsidRPr="00BA4A9E">
        <w:rPr>
          <w:rFonts w:ascii="Times New Roman" w:hAnsi="Times New Roman" w:cs="Times New Roman"/>
          <w:i/>
          <w:iCs/>
        </w:rPr>
        <w:t>The United States has failed Cameroonian asylum-seekers</w:t>
      </w:r>
      <w:r w:rsidRPr="00BA4A9E">
        <w:rPr>
          <w:rFonts w:ascii="Times New Roman" w:hAnsi="Times New Roman" w:cs="Times New Roman"/>
        </w:rPr>
        <w:t xml:space="preserve">, </w:t>
      </w:r>
      <w:r w:rsidRPr="00BA4A9E">
        <w:rPr>
          <w:rFonts w:ascii="Times New Roman" w:hAnsi="Times New Roman" w:cs="Times New Roman"/>
          <w:smallCaps/>
        </w:rPr>
        <w:t>Foreign Policy</w:t>
      </w:r>
      <w:r w:rsidRPr="00BA4A9E">
        <w:rPr>
          <w:rFonts w:ascii="Times New Roman" w:hAnsi="Times New Roman" w:cs="Times New Roman"/>
        </w:rPr>
        <w:t xml:space="preserve"> (Dec. 13, 2020), </w:t>
      </w:r>
      <w:hyperlink r:id="rId84" w:history="1">
        <w:r w:rsidRPr="00BA4A9E">
          <w:rPr>
            <w:rStyle w:val="Hyperlink"/>
            <w:rFonts w:ascii="Times New Roman" w:hAnsi="Times New Roman" w:cs="Times New Roman"/>
            <w:color w:val="auto"/>
          </w:rPr>
          <w:t>https://foreignpolicy.com/2020/12/13/united-states-cameroon-asylum-seekers-ice-deportation/</w:t>
        </w:r>
      </w:hyperlink>
      <w:r w:rsidRPr="00BA4A9E">
        <w:rPr>
          <w:rFonts w:ascii="Times New Roman" w:hAnsi="Times New Roman" w:cs="Times New Roman"/>
        </w:rPr>
        <w:t xml:space="preserve">. </w:t>
      </w:r>
    </w:p>
  </w:endnote>
  <w:endnote w:id="102">
    <w:p w14:paraId="0EBB65D2" w14:textId="7AF4A46B"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Immigration and Customs Enforcement,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8B185D">
        <w:rPr>
          <w:rFonts w:ascii="Times New Roman" w:hAnsi="Times New Roman" w:cs="Times New Roman"/>
        </w:rPr>
        <w:fldChar w:fldCharType="begin"/>
      </w:r>
      <w:r w:rsidR="008B185D">
        <w:rPr>
          <w:rFonts w:ascii="Times New Roman" w:hAnsi="Times New Roman" w:cs="Times New Roman"/>
        </w:rPr>
        <w:instrText xml:space="preserve"> NOTEREF _Ref145400538 \h </w:instrText>
      </w:r>
      <w:r w:rsidR="008B185D">
        <w:rPr>
          <w:rFonts w:ascii="Times New Roman" w:hAnsi="Times New Roman" w:cs="Times New Roman"/>
        </w:rPr>
      </w:r>
      <w:r w:rsidR="008B185D">
        <w:rPr>
          <w:rFonts w:ascii="Times New Roman" w:hAnsi="Times New Roman" w:cs="Times New Roman"/>
        </w:rPr>
        <w:fldChar w:fldCharType="separate"/>
      </w:r>
      <w:r w:rsidR="008B185D">
        <w:rPr>
          <w:rFonts w:ascii="Times New Roman" w:hAnsi="Times New Roman" w:cs="Times New Roman"/>
        </w:rPr>
        <w:t>89</w:t>
      </w:r>
      <w:r w:rsidR="008B185D">
        <w:rPr>
          <w:rFonts w:ascii="Times New Roman" w:hAnsi="Times New Roman" w:cs="Times New Roman"/>
        </w:rPr>
        <w:fldChar w:fldCharType="end"/>
      </w:r>
      <w:r w:rsidRPr="00BA4A9E">
        <w:rPr>
          <w:rFonts w:ascii="Times New Roman" w:hAnsi="Times New Roman" w:cs="Times New Roman"/>
        </w:rPr>
        <w:t xml:space="preserve">. </w:t>
      </w:r>
    </w:p>
  </w:endnote>
  <w:endnote w:id="103">
    <w:p w14:paraId="0946B68B" w14:textId="11D5E08A"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ICE Detainee</w:t>
      </w:r>
      <w:r w:rsidRPr="00BA4A9E">
        <w:rPr>
          <w:rFonts w:ascii="Times New Roman" w:eastAsia="Times New Roman" w:hAnsi="Times New Roman" w:cs="Times New Roman"/>
          <w:sz w:val="20"/>
          <w:szCs w:val="20"/>
        </w:rPr>
        <w:t xml:space="preserve">s, Transactional Records Access Clearinghouse, </w:t>
      </w:r>
      <w:r w:rsidRPr="00BA4A9E">
        <w:rPr>
          <w:rFonts w:ascii="Times New Roman" w:hAnsi="Times New Roman" w:cs="Times New Roman"/>
          <w:sz w:val="20"/>
          <w:szCs w:val="20"/>
        </w:rPr>
        <w:t xml:space="preserve">(recording average monthly populations of U.S. immigration detention from May 2019 to August 2023); Eunice Cho, </w:t>
      </w:r>
      <w:r w:rsidRPr="00BA4A9E">
        <w:rPr>
          <w:rFonts w:ascii="Times New Roman" w:hAnsi="Times New Roman" w:cs="Times New Roman"/>
          <w:i/>
          <w:iCs/>
          <w:sz w:val="20"/>
          <w:szCs w:val="20"/>
        </w:rPr>
        <w:t>Unchecked Growth: Private Prison Corporations and Immigration Detention, Three Years Into the Biden Administration</w:t>
      </w:r>
      <w:r w:rsidRPr="00BA4A9E">
        <w:rPr>
          <w:rFonts w:ascii="Times New Roman" w:hAnsi="Times New Roman" w:cs="Times New Roman"/>
          <w:sz w:val="20"/>
          <w:szCs w:val="20"/>
        </w:rPr>
        <w:t xml:space="preserve">, ACLU (Aug. 7, 2023),  </w:t>
      </w:r>
      <w:hyperlink r:id="rId85" w:anchor=":~:text=In%20the%20last%20two%20years,operated%20by%20private%20prison%20corporations">
        <w:r w:rsidRPr="00BA4A9E">
          <w:rPr>
            <w:rFonts w:ascii="Times New Roman" w:hAnsi="Times New Roman" w:cs="Times New Roman"/>
            <w:sz w:val="20"/>
            <w:szCs w:val="20"/>
            <w:u w:val="single"/>
          </w:rPr>
          <w:t>https://www.aclu.org/news/immigrants-rights/unchecked-growth-private-prison-corporations-and-immigration-detention-three-years-into-the-biden-administration#:~:text=In%20the%20last%20two%20years,operated%20by%20private%20prison%20corporations</w:t>
        </w:r>
      </w:hyperlink>
      <w:r w:rsidRPr="00BA4A9E">
        <w:rPr>
          <w:rFonts w:ascii="Times New Roman" w:hAnsi="Times New Roman" w:cs="Times New Roman"/>
          <w:sz w:val="20"/>
          <w:szCs w:val="20"/>
        </w:rPr>
        <w:t xml:space="preserve"> (noting that 90% of individuals in immigration detention are imprisoned in privately owned or managed facilities);  TRAC Immigration, </w:t>
      </w:r>
      <w:r w:rsidRPr="00BA4A9E">
        <w:rPr>
          <w:rFonts w:ascii="Times New Roman" w:hAnsi="Times New Roman" w:cs="Times New Roman"/>
          <w:i/>
          <w:iCs/>
          <w:sz w:val="20"/>
          <w:szCs w:val="20"/>
        </w:rPr>
        <w:t>ICE Detainees</w:t>
      </w:r>
      <w:r w:rsidRPr="00BA4A9E">
        <w:rPr>
          <w:rFonts w:ascii="Times New Roman" w:eastAsia="Times New Roman" w:hAnsi="Times New Roman" w:cs="Times New Roman"/>
          <w:sz w:val="20"/>
          <w:szCs w:val="20"/>
        </w:rPr>
        <w:t xml:space="preserve">, </w:t>
      </w:r>
      <w:hyperlink r:id="rId86" w:history="1">
        <w:r w:rsidRPr="00BA4A9E">
          <w:rPr>
            <w:rStyle w:val="Hyperlink"/>
            <w:rFonts w:ascii="Times New Roman" w:eastAsia="Times New Roman" w:hAnsi="Times New Roman" w:cs="Times New Roman"/>
            <w:color w:val="auto"/>
            <w:sz w:val="20"/>
            <w:szCs w:val="20"/>
          </w:rPr>
          <w:t>https://trac.syr.edu/immigration/detentionstats/pop_agen_table.html</w:t>
        </w:r>
      </w:hyperlink>
      <w:r w:rsidRPr="00BA4A9E">
        <w:rPr>
          <w:rFonts w:ascii="Times New Roman" w:eastAsia="Times New Roman" w:hAnsi="Times New Roman" w:cs="Times New Roman"/>
          <w:sz w:val="20"/>
          <w:szCs w:val="20"/>
          <w:u w:val="single"/>
        </w:rPr>
        <w:t xml:space="preserve"> </w:t>
      </w:r>
      <w:r w:rsidRPr="00BA4A9E">
        <w:rPr>
          <w:rFonts w:ascii="Times New Roman" w:eastAsia="Times New Roman" w:hAnsi="Times New Roman" w:cs="Times New Roman"/>
          <w:sz w:val="20"/>
          <w:szCs w:val="20"/>
        </w:rPr>
        <w:t>(last visited Sept. 6, 2023) (recording average monthly populations of U.S. immigration detention from May 2019 to August 2023).</w:t>
      </w:r>
    </w:p>
  </w:endnote>
  <w:endnote w:id="104">
    <w:p w14:paraId="78D59E2D" w14:textId="3A30333F"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Tom Dreisbach, </w:t>
      </w:r>
      <w:r w:rsidRPr="00BA4A9E">
        <w:rPr>
          <w:rFonts w:ascii="Times New Roman" w:eastAsia="Times New Roman" w:hAnsi="Times New Roman" w:cs="Times New Roman"/>
          <w:i/>
          <w:iCs/>
          <w:sz w:val="20"/>
          <w:szCs w:val="20"/>
        </w:rPr>
        <w:t>Government’s Own Experts Found ”Barbaric” and ”Negligent” Conditions in ICE Detention</w:t>
      </w:r>
      <w:r w:rsidRPr="00BA4A9E">
        <w:rPr>
          <w:rFonts w:ascii="Times New Roman" w:eastAsia="Times New Roman" w:hAnsi="Times New Roman" w:cs="Times New Roman"/>
          <w:sz w:val="20"/>
          <w:szCs w:val="20"/>
        </w:rPr>
        <w:t xml:space="preserve">, NPR, </w:t>
      </w:r>
      <w:hyperlink r:id="rId87">
        <w:r w:rsidRPr="00BA4A9E">
          <w:rPr>
            <w:rFonts w:ascii="Times New Roman" w:eastAsia="Times New Roman" w:hAnsi="Times New Roman" w:cs="Times New Roman"/>
            <w:sz w:val="20"/>
            <w:szCs w:val="20"/>
            <w:u w:val="single"/>
          </w:rPr>
          <w:t>https://www.npr.org/2023/08/16/1190767610/ice-detention-immigration-government-inspectors-barbaric-negligent-conditions</w:t>
        </w:r>
      </w:hyperlink>
      <w:r w:rsidRPr="00BA4A9E">
        <w:rPr>
          <w:rFonts w:ascii="Times New Roman" w:eastAsia="Times New Roman" w:hAnsi="Times New Roman" w:cs="Times New Roman"/>
          <w:sz w:val="20"/>
          <w:szCs w:val="20"/>
        </w:rPr>
        <w:t xml:space="preserve"> (last visited Sept. 7, 2023) (quoting investigative reports of immigration detention facilities made by the U.S. Department of Homeland Security).</w:t>
      </w:r>
    </w:p>
  </w:endnote>
  <w:endnote w:id="105">
    <w:p w14:paraId="36222094" w14:textId="77777777"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 xml:space="preserve">Id. </w:t>
      </w:r>
      <w:r w:rsidRPr="00BA4A9E">
        <w:rPr>
          <w:rFonts w:ascii="Times New Roman" w:eastAsia="Times New Roman" w:hAnsi="Times New Roman" w:cs="Times New Roman"/>
          <w:sz w:val="20"/>
          <w:szCs w:val="20"/>
        </w:rPr>
        <w:t>(describing instances of deaths resulting from medical negligence).</w:t>
      </w:r>
    </w:p>
  </w:endnote>
  <w:endnote w:id="106">
    <w:p w14:paraId="5648ADE6" w14:textId="78783F70" w:rsidR="000362C9" w:rsidRPr="00BA4A9E" w:rsidRDefault="000362C9" w:rsidP="00F13970">
      <w:pPr>
        <w:rPr>
          <w:rFonts w:ascii="Times New Roman" w:eastAsia="Times New Roman" w:hAnsi="Times New Roman" w:cs="Times New Roman"/>
          <w:sz w:val="20"/>
          <w:szCs w:val="20"/>
          <w:vertAlign w:val="superscript"/>
          <w:lang w:val="es-419"/>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00A600A1" w:rsidRPr="00BA4A9E">
        <w:rPr>
          <w:rFonts w:ascii="Times New Roman" w:eastAsia="Times New Roman" w:hAnsi="Times New Roman" w:cs="Times New Roman"/>
          <w:sz w:val="20"/>
          <w:szCs w:val="20"/>
        </w:rPr>
        <w:t>Human Rights Committee</w:t>
      </w:r>
      <w:r w:rsidRPr="00BA4A9E">
        <w:rPr>
          <w:rFonts w:ascii="Times New Roman" w:eastAsia="Times New Roman" w:hAnsi="Times New Roman" w:cs="Times New Roman"/>
          <w:sz w:val="20"/>
          <w:szCs w:val="20"/>
        </w:rPr>
        <w:t xml:space="preserve">, ¶ 21, U.N. Doc. </w:t>
      </w:r>
      <w:r w:rsidRPr="00BA4A9E">
        <w:rPr>
          <w:rFonts w:ascii="Times New Roman" w:eastAsia="Times New Roman" w:hAnsi="Times New Roman" w:cs="Times New Roman"/>
          <w:sz w:val="20"/>
          <w:szCs w:val="20"/>
          <w:lang w:val="es-US"/>
        </w:rPr>
        <w:t xml:space="preserve">CCPR/C/USA/QPR/5 (Apr. 18, 2019). </w:t>
      </w:r>
    </w:p>
  </w:endnote>
  <w:endnote w:id="107">
    <w:p w14:paraId="3D442C1E" w14:textId="53394093"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 xml:space="preserve">See, e.g., </w:t>
      </w:r>
      <w:r w:rsidRPr="00BA4A9E">
        <w:rPr>
          <w:rFonts w:ascii="Times New Roman" w:eastAsia="Times New Roman" w:hAnsi="Times New Roman" w:cs="Times New Roman"/>
          <w:sz w:val="20"/>
          <w:szCs w:val="20"/>
        </w:rPr>
        <w:t xml:space="preserve">Rebekah Wolf, </w:t>
      </w:r>
      <w:r w:rsidRPr="00BA4A9E">
        <w:rPr>
          <w:rFonts w:ascii="Times New Roman" w:eastAsia="Times New Roman" w:hAnsi="Times New Roman" w:cs="Times New Roman"/>
          <w:i/>
          <w:iCs/>
          <w:sz w:val="20"/>
          <w:szCs w:val="20"/>
        </w:rPr>
        <w:t>A Closer Look at Deaths in ICE Detention Facilities</w:t>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smallCaps/>
          <w:sz w:val="20"/>
          <w:szCs w:val="20"/>
        </w:rPr>
        <w:t>Immigration Impact</w:t>
      </w:r>
      <w:r w:rsidRPr="00BA4A9E">
        <w:rPr>
          <w:rFonts w:ascii="Times New Roman" w:eastAsia="Times New Roman" w:hAnsi="Times New Roman" w:cs="Times New Roman"/>
          <w:sz w:val="20"/>
          <w:szCs w:val="20"/>
        </w:rPr>
        <w:t xml:space="preserve"> (Apr.13, 2023), </w:t>
      </w:r>
      <w:hyperlink r:id="rId88" w:history="1">
        <w:r w:rsidRPr="00BA4A9E">
          <w:rPr>
            <w:rStyle w:val="Hyperlink"/>
            <w:rFonts w:ascii="Times New Roman" w:eastAsia="Times New Roman" w:hAnsi="Times New Roman" w:cs="Times New Roman"/>
            <w:color w:val="auto"/>
            <w:sz w:val="20"/>
            <w:szCs w:val="20"/>
          </w:rPr>
          <w:t>https://immigrationimpact.com/2023/04/13/a-closer-look-at-deaths-in-ice-detention-facilities/</w:t>
        </w:r>
      </w:hyperlink>
      <w:r w:rsidRPr="00BA4A9E">
        <w:rPr>
          <w:rFonts w:ascii="Times New Roman" w:eastAsia="Times New Roman" w:hAnsi="Times New Roman" w:cs="Times New Roman"/>
          <w:sz w:val="20"/>
          <w:szCs w:val="20"/>
        </w:rPr>
        <w:t xml:space="preserve"> (noting that deaths in immigration detention hit a 15-year high in during U.S. fiscal year 2020); Human Rights Watch, </w:t>
      </w:r>
      <w:r w:rsidRPr="00BA4A9E">
        <w:rPr>
          <w:rFonts w:ascii="Times New Roman" w:eastAsia="Times New Roman" w:hAnsi="Times New Roman" w:cs="Times New Roman"/>
          <w:i/>
          <w:iCs/>
          <w:sz w:val="20"/>
          <w:szCs w:val="20"/>
        </w:rPr>
        <w:t>US: Poor Medical Care, Deaths in Immigrant Detention</w:t>
      </w:r>
      <w:r w:rsidRPr="00BA4A9E">
        <w:rPr>
          <w:rFonts w:ascii="Times New Roman" w:eastAsia="Times New Roman" w:hAnsi="Times New Roman" w:cs="Times New Roman"/>
          <w:sz w:val="20"/>
          <w:szCs w:val="20"/>
        </w:rPr>
        <w:t xml:space="preserve"> (June 20, 2018), </w:t>
      </w:r>
      <w:hyperlink r:id="rId89" w:history="1">
        <w:r w:rsidRPr="00BA4A9E">
          <w:rPr>
            <w:rStyle w:val="Hyperlink"/>
            <w:rFonts w:ascii="Times New Roman" w:eastAsia="Times New Roman" w:hAnsi="Times New Roman" w:cs="Times New Roman"/>
            <w:color w:val="auto"/>
            <w:sz w:val="20"/>
            <w:szCs w:val="20"/>
          </w:rPr>
          <w:t>https://www.hrw.org/news/2018/06/20/us-poor-medical-care-deaths-immigrant-detention</w:t>
        </w:r>
      </w:hyperlink>
      <w:r w:rsidRPr="00BA4A9E">
        <w:rPr>
          <w:rFonts w:ascii="Times New Roman" w:eastAsia="Times New Roman" w:hAnsi="Times New Roman" w:cs="Times New Roman"/>
          <w:sz w:val="20"/>
          <w:szCs w:val="20"/>
        </w:rPr>
        <w:t xml:space="preserve"> (examining public records  that showed evidence of inadequate medical care contributing to 15 deaths); ACLU, Detention Watch Network, &amp; National Immigrant Justice Center, </w:t>
      </w:r>
      <w:r w:rsidRPr="00BA4A9E">
        <w:rPr>
          <w:rFonts w:ascii="Times New Roman" w:eastAsia="Times New Roman" w:hAnsi="Times New Roman" w:cs="Times New Roman"/>
          <w:i/>
          <w:iCs/>
          <w:sz w:val="20"/>
          <w:szCs w:val="20"/>
        </w:rPr>
        <w:t>Fatal Neglect: How ICE Ignores Deaths in Detention</w:t>
      </w:r>
      <w:r w:rsidRPr="00BA4A9E">
        <w:rPr>
          <w:rFonts w:ascii="Times New Roman" w:eastAsia="Times New Roman" w:hAnsi="Times New Roman" w:cs="Times New Roman"/>
          <w:sz w:val="20"/>
          <w:szCs w:val="20"/>
        </w:rPr>
        <w:t xml:space="preserve"> (Feb. 2016), </w:t>
      </w:r>
      <w:hyperlink r:id="rId90" w:history="1">
        <w:r w:rsidRPr="00BA4A9E">
          <w:rPr>
            <w:rStyle w:val="Hyperlink"/>
            <w:rFonts w:ascii="Times New Roman" w:eastAsia="Times New Roman" w:hAnsi="Times New Roman" w:cs="Times New Roman"/>
            <w:color w:val="auto"/>
            <w:sz w:val="20"/>
            <w:szCs w:val="20"/>
          </w:rPr>
          <w:t>https://www.aclu.org/wp-content/uploads/legal-documents/fatal_neglect_acludwnnijc.pdf</w:t>
        </w:r>
      </w:hyperlink>
      <w:r w:rsidRPr="00BA4A9E">
        <w:rPr>
          <w:rFonts w:ascii="Times New Roman" w:eastAsia="Times New Roman" w:hAnsi="Times New Roman" w:cs="Times New Roman"/>
          <w:sz w:val="20"/>
          <w:szCs w:val="20"/>
        </w:rPr>
        <w:t xml:space="preserve"> (documenting how failure to provide adequate medical care has led to unnecessary deaths).</w:t>
      </w:r>
    </w:p>
  </w:endnote>
  <w:endnote w:id="108">
    <w:p w14:paraId="145D712D" w14:textId="6904E53C" w:rsidR="000362C9" w:rsidRPr="00BA4A9E" w:rsidRDefault="000362C9" w:rsidP="00F13970">
      <w:pPr>
        <w:rPr>
          <w:rFonts w:ascii="Times New Roman" w:eastAsia="Times New Roman" w:hAnsi="Times New Roman" w:cs="Times New Roman"/>
          <w:bCs/>
          <w:sz w:val="20"/>
          <w:szCs w:val="20"/>
          <w:vertAlign w:val="superscript"/>
        </w:rPr>
      </w:pPr>
      <w:r w:rsidRPr="00BA4A9E">
        <w:rPr>
          <w:rFonts w:ascii="Times New Roman" w:eastAsia="Times New Roman" w:hAnsi="Times New Roman" w:cs="Times New Roman"/>
          <w:bCs/>
          <w:sz w:val="20"/>
          <w:szCs w:val="20"/>
          <w:vertAlign w:val="superscript"/>
        </w:rPr>
        <w:endnoteRef/>
      </w:r>
      <w:r w:rsidRPr="00BA4A9E">
        <w:rPr>
          <w:rFonts w:ascii="Times New Roman" w:eastAsia="Times New Roman" w:hAnsi="Times New Roman" w:cs="Times New Roman"/>
          <w:bCs/>
          <w:sz w:val="20"/>
          <w:szCs w:val="20"/>
          <w:vertAlign w:val="superscript"/>
        </w:rPr>
        <w:t xml:space="preserve"> </w:t>
      </w:r>
      <w:r w:rsidRPr="00BA4A9E">
        <w:rPr>
          <w:rFonts w:ascii="Times New Roman" w:eastAsia="Times New Roman" w:hAnsi="Times New Roman" w:cs="Times New Roman"/>
          <w:bCs/>
          <w:sz w:val="20"/>
          <w:szCs w:val="20"/>
        </w:rPr>
        <w:t xml:space="preserve"> </w:t>
      </w:r>
      <w:r w:rsidRPr="00BA4A9E">
        <w:rPr>
          <w:rFonts w:ascii="Times New Roman" w:eastAsia="Times New Roman" w:hAnsi="Times New Roman" w:cs="Times New Roman"/>
          <w:i/>
          <w:iCs/>
          <w:sz w:val="20"/>
          <w:szCs w:val="20"/>
        </w:rPr>
        <w:t xml:space="preserve">See, e.g., </w:t>
      </w:r>
      <w:r w:rsidRPr="00BA4A9E">
        <w:rPr>
          <w:rFonts w:ascii="Times New Roman" w:eastAsia="Times New Roman" w:hAnsi="Times New Roman" w:cs="Times New Roman"/>
          <w:bCs/>
          <w:sz w:val="20"/>
          <w:szCs w:val="20"/>
        </w:rPr>
        <w:t xml:space="preserve">Zeba Warsi, </w:t>
      </w:r>
      <w:r w:rsidRPr="00BA4A9E">
        <w:rPr>
          <w:rFonts w:ascii="Times New Roman" w:eastAsia="Times New Roman" w:hAnsi="Times New Roman" w:cs="Times New Roman"/>
          <w:bCs/>
          <w:i/>
          <w:iCs/>
          <w:sz w:val="20"/>
          <w:szCs w:val="20"/>
        </w:rPr>
        <w:t>Hundreds of immigrants have reported sexual abuse at ICE facilities. Most cases aren’t investigated</w:t>
      </w:r>
      <w:r w:rsidRPr="00BA4A9E">
        <w:rPr>
          <w:rFonts w:ascii="Times New Roman" w:eastAsia="Times New Roman" w:hAnsi="Times New Roman" w:cs="Times New Roman"/>
          <w:bCs/>
          <w:sz w:val="20"/>
          <w:szCs w:val="20"/>
        </w:rPr>
        <w:t xml:space="preserve">, </w:t>
      </w:r>
      <w:r w:rsidRPr="00BA4A9E">
        <w:rPr>
          <w:rFonts w:ascii="Times New Roman" w:eastAsia="Times New Roman" w:hAnsi="Times New Roman" w:cs="Times New Roman"/>
          <w:bCs/>
          <w:smallCaps/>
          <w:sz w:val="20"/>
          <w:szCs w:val="20"/>
        </w:rPr>
        <w:t>PBS News Hour</w:t>
      </w:r>
      <w:r w:rsidRPr="00BA4A9E">
        <w:rPr>
          <w:rFonts w:ascii="Times New Roman" w:eastAsia="Times New Roman" w:hAnsi="Times New Roman" w:cs="Times New Roman"/>
          <w:bCs/>
          <w:sz w:val="20"/>
          <w:szCs w:val="20"/>
        </w:rPr>
        <w:t xml:space="preserve"> (June 21, 2023), </w:t>
      </w:r>
      <w:hyperlink r:id="rId91" w:history="1">
        <w:r w:rsidRPr="00BA4A9E">
          <w:rPr>
            <w:rStyle w:val="Hyperlink"/>
            <w:rFonts w:ascii="Times New Roman" w:hAnsi="Times New Roman" w:cs="Times New Roman"/>
            <w:color w:val="auto"/>
            <w:sz w:val="20"/>
            <w:szCs w:val="20"/>
          </w:rPr>
          <w:t>https://www.pbs.org/newshour/nation/hundreds-of-immigrants-have-reported-sexual-abuse-at-ice-facilities-most-cases-arent-investigated</w:t>
        </w:r>
      </w:hyperlink>
      <w:r w:rsidRPr="00BA4A9E">
        <w:rPr>
          <w:rFonts w:ascii="Times New Roman" w:eastAsia="Times New Roman" w:hAnsi="Times New Roman" w:cs="Times New Roman"/>
          <w:bCs/>
          <w:sz w:val="20"/>
          <w:szCs w:val="20"/>
        </w:rPr>
        <w:t xml:space="preserve"> (</w:t>
      </w:r>
      <w:r w:rsidRPr="00BA4A9E">
        <w:rPr>
          <w:rFonts w:ascii="Times New Roman" w:eastAsia="Times New Roman" w:hAnsi="Times New Roman" w:cs="Times New Roman"/>
          <w:sz w:val="20"/>
          <w:szCs w:val="20"/>
        </w:rPr>
        <w:t xml:space="preserve">reporting 308 sexual assault and sexual abuse complaints filed by immigrants detained in ICE facilities nationwide between 2015 and 2021); Rafael Bernal, </w:t>
      </w:r>
      <w:r w:rsidRPr="00BA4A9E">
        <w:rPr>
          <w:rFonts w:ascii="Times New Roman" w:eastAsia="Times New Roman" w:hAnsi="Times New Roman" w:cs="Times New Roman"/>
          <w:i/>
          <w:iCs/>
          <w:sz w:val="20"/>
          <w:szCs w:val="20"/>
        </w:rPr>
        <w:t>ICE Unable to Stamp Out Abuse Allegations at Detention Centers</w:t>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smallCaps/>
          <w:sz w:val="20"/>
          <w:szCs w:val="20"/>
        </w:rPr>
        <w:t>The Hill</w:t>
      </w:r>
      <w:r w:rsidRPr="00BA4A9E">
        <w:rPr>
          <w:rFonts w:ascii="Times New Roman" w:eastAsia="Times New Roman" w:hAnsi="Times New Roman" w:cs="Times New Roman"/>
          <w:i/>
          <w:iCs/>
          <w:sz w:val="20"/>
          <w:szCs w:val="20"/>
        </w:rPr>
        <w:t xml:space="preserve"> </w:t>
      </w:r>
      <w:r w:rsidRPr="00BA4A9E">
        <w:rPr>
          <w:rFonts w:ascii="Times New Roman" w:eastAsia="Times New Roman" w:hAnsi="Times New Roman" w:cs="Times New Roman"/>
          <w:sz w:val="20"/>
          <w:szCs w:val="20"/>
        </w:rPr>
        <w:t>(Feb. 16, 2023),</w:t>
      </w:r>
      <w:r w:rsidRPr="00BA4A9E">
        <w:rPr>
          <w:rFonts w:ascii="Times New Roman" w:eastAsia="Times New Roman" w:hAnsi="Times New Roman" w:cs="Times New Roman"/>
          <w:i/>
          <w:iCs/>
          <w:sz w:val="20"/>
          <w:szCs w:val="20"/>
        </w:rPr>
        <w:t xml:space="preserve"> </w:t>
      </w:r>
      <w:hyperlink r:id="rId92" w:history="1">
        <w:r w:rsidRPr="00BA4A9E">
          <w:rPr>
            <w:rStyle w:val="Hyperlink"/>
            <w:rFonts w:ascii="Times New Roman" w:eastAsia="Georgia" w:hAnsi="Times New Roman" w:cs="Times New Roman"/>
            <w:bCs/>
            <w:color w:val="auto"/>
            <w:sz w:val="20"/>
            <w:szCs w:val="20"/>
          </w:rPr>
          <w:t>https://thehill.com/latino/3860354-ice-unable-to-stamp-out-abuse-allegations-at-detention-centers/</w:t>
        </w:r>
      </w:hyperlink>
      <w:r w:rsidRPr="00BA4A9E">
        <w:rPr>
          <w:rFonts w:ascii="Times New Roman" w:eastAsia="Times New Roman" w:hAnsi="Times New Roman" w:cs="Times New Roman"/>
          <w:sz w:val="20"/>
          <w:szCs w:val="20"/>
        </w:rPr>
        <w:t xml:space="preserve"> (reporting complaints about living conditions, cruel treatment, food, and alleged overuse of solitary confinement and diminished or lack of access to the asylum process); Robert F. Kennedy Human Rights et al., Complaint to Dep’t. of Homeland Sec.’s Office of Civil Rights and Civil Liberties (June 21, 2021),</w:t>
      </w:r>
      <w:r w:rsidRPr="00BA4A9E">
        <w:rPr>
          <w:rFonts w:ascii="Times New Roman" w:eastAsia="Times New Roman" w:hAnsi="Times New Roman" w:cs="Times New Roman"/>
          <w:bCs/>
          <w:sz w:val="20"/>
          <w:szCs w:val="20"/>
        </w:rPr>
        <w:t xml:space="preserve"> </w:t>
      </w:r>
      <w:hyperlink r:id="rId93" w:history="1">
        <w:r w:rsidRPr="00BA4A9E">
          <w:rPr>
            <w:rStyle w:val="Hyperlink"/>
            <w:rFonts w:ascii="Times New Roman" w:hAnsi="Times New Roman" w:cs="Times New Roman"/>
            <w:color w:val="auto"/>
            <w:sz w:val="20"/>
            <w:szCs w:val="20"/>
          </w:rPr>
          <w:t>https://rfkhumanrights.org/assets/documents/RFK-Human-Rights-Pine-Prairie-DHS-Complaint.pdf</w:t>
        </w:r>
      </w:hyperlink>
      <w:r w:rsidRPr="00BA4A9E">
        <w:rPr>
          <w:rFonts w:ascii="Times New Roman" w:hAnsi="Times New Roman" w:cs="Times New Roman"/>
          <w:sz w:val="20"/>
          <w:szCs w:val="20"/>
        </w:rPr>
        <w:t xml:space="preserve"> </w:t>
      </w:r>
      <w:r w:rsidRPr="00BA4A9E">
        <w:rPr>
          <w:rFonts w:ascii="Times New Roman" w:eastAsia="Times New Roman" w:hAnsi="Times New Roman" w:cs="Times New Roman"/>
          <w:bCs/>
          <w:sz w:val="20"/>
          <w:szCs w:val="20"/>
        </w:rPr>
        <w:t>(</w:t>
      </w:r>
      <w:r w:rsidRPr="00BA4A9E">
        <w:rPr>
          <w:rFonts w:ascii="Times New Roman" w:eastAsia="Times New Roman" w:hAnsi="Times New Roman" w:cs="Times New Roman"/>
          <w:sz w:val="20"/>
          <w:szCs w:val="20"/>
        </w:rPr>
        <w:t>documenting inhumane conditions, overtly hostile staff, and excessive, at times racially driven solitary confinement practices which were tantamount to torture).</w:t>
      </w:r>
    </w:p>
  </w:endnote>
  <w:endnote w:id="109">
    <w:p w14:paraId="07F21A7C" w14:textId="4E67B63A"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vertAlign w:val="superscript"/>
        </w:rPr>
        <w:t xml:space="preserve">  </w:t>
      </w:r>
      <w:r w:rsidRPr="00BA4A9E">
        <w:rPr>
          <w:rFonts w:ascii="Times New Roman" w:eastAsia="Times New Roman" w:hAnsi="Times New Roman" w:cs="Times New Roman"/>
          <w:i/>
          <w:iCs/>
          <w:sz w:val="20"/>
          <w:szCs w:val="20"/>
        </w:rPr>
        <w:t xml:space="preserve">See, e.g., </w:t>
      </w:r>
      <w:r w:rsidRPr="00BA4A9E">
        <w:rPr>
          <w:rFonts w:ascii="Times New Roman" w:eastAsia="Times New Roman" w:hAnsi="Times New Roman" w:cs="Times New Roman"/>
          <w:sz w:val="20"/>
          <w:szCs w:val="20"/>
        </w:rPr>
        <w:t xml:space="preserve">Lautaro Greenspan, </w:t>
      </w:r>
      <w:r w:rsidRPr="00BA4A9E">
        <w:rPr>
          <w:rFonts w:ascii="Times New Roman" w:eastAsia="Times New Roman" w:hAnsi="Times New Roman" w:cs="Times New Roman"/>
          <w:i/>
          <w:iCs/>
          <w:sz w:val="20"/>
          <w:szCs w:val="20"/>
        </w:rPr>
        <w:t>ICE Detainees Say They Were Forced Into Labor in Ga., File Lawsuit</w:t>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smallCaps/>
          <w:sz w:val="20"/>
          <w:szCs w:val="20"/>
        </w:rPr>
        <w:t xml:space="preserve">The Atlanta Journal-Constitution </w:t>
      </w:r>
      <w:r w:rsidRPr="00BA4A9E">
        <w:rPr>
          <w:rFonts w:ascii="Times New Roman" w:eastAsia="Times New Roman" w:hAnsi="Times New Roman" w:cs="Times New Roman"/>
          <w:sz w:val="20"/>
          <w:szCs w:val="20"/>
        </w:rPr>
        <w:t xml:space="preserve">(Aug. 26, 2022), </w:t>
      </w:r>
      <w:hyperlink r:id="rId94" w:history="1">
        <w:r w:rsidRPr="00BA4A9E">
          <w:rPr>
            <w:rStyle w:val="Hyperlink"/>
            <w:rFonts w:ascii="Times New Roman" w:eastAsia="Times New Roman" w:hAnsi="Times New Roman" w:cs="Times New Roman"/>
            <w:color w:val="auto"/>
            <w:sz w:val="20"/>
            <w:szCs w:val="20"/>
          </w:rPr>
          <w:t>https://www.ajc.com/news/georgia-news/ice-detainees-say-they-were-forced-into-labor-in-ga-file-lawsuit/ECLTIVQNMVE6LKOFKXQBWCCVUA/</w:t>
        </w:r>
      </w:hyperlink>
      <w:r w:rsidRPr="00BA4A9E">
        <w:rPr>
          <w:rFonts w:ascii="Times New Roman" w:eastAsia="Times New Roman" w:hAnsi="Times New Roman" w:cs="Times New Roman"/>
          <w:sz w:val="20"/>
          <w:szCs w:val="20"/>
        </w:rPr>
        <w:t xml:space="preserve"> (reporting that detained individuals were coerced into accepting work assignments by threats of punishment); Jonathan Booth, </w:t>
      </w:r>
      <w:r w:rsidRPr="00BA4A9E">
        <w:rPr>
          <w:rFonts w:ascii="Times New Roman" w:eastAsia="Times New Roman" w:hAnsi="Times New Roman" w:cs="Times New Roman"/>
          <w:i/>
          <w:iCs/>
          <w:sz w:val="20"/>
          <w:szCs w:val="20"/>
        </w:rPr>
        <w:t>Ending Forced Labor in ICE Detention Centers: A New Approach</w:t>
      </w:r>
      <w:r w:rsidRPr="00BA4A9E">
        <w:rPr>
          <w:rFonts w:ascii="Times New Roman" w:eastAsia="Times New Roman" w:hAnsi="Times New Roman" w:cs="Times New Roman"/>
          <w:sz w:val="20"/>
          <w:szCs w:val="20"/>
        </w:rPr>
        <w:t xml:space="preserve">, 34 Geo. Immigr. L.J. 573, 591, </w:t>
      </w:r>
      <w:hyperlink r:id="rId95" w:history="1">
        <w:r w:rsidRPr="00BA4A9E">
          <w:rPr>
            <w:rStyle w:val="Hyperlink"/>
            <w:rFonts w:ascii="Times New Roman" w:eastAsia="Times New Roman" w:hAnsi="Times New Roman" w:cs="Times New Roman"/>
            <w:color w:val="auto"/>
            <w:sz w:val="20"/>
            <w:szCs w:val="20"/>
          </w:rPr>
          <w:t>https://www.law.georgetown.edu/immigration-law-journal/wp-content/uploads/sites/19/2020/08/ENDING-FORCED-LABOR-IN-ICE-DETENTION-CENTERS-A-NEW-APPROACH.pdf</w:t>
        </w:r>
      </w:hyperlink>
      <w:r w:rsidRPr="00BA4A9E">
        <w:rPr>
          <w:rFonts w:ascii="Times New Roman" w:eastAsia="Times New Roman" w:hAnsi="Times New Roman" w:cs="Times New Roman"/>
          <w:sz w:val="20"/>
          <w:szCs w:val="20"/>
        </w:rPr>
        <w:t xml:space="preserve"> (describing allegations of coerced labor including conditioning provision of basic sanitary products on work and the use of solitary confinement as retaliation for refusal to work); Azadeh Shahshahani, </w:t>
      </w:r>
      <w:r w:rsidRPr="00BA4A9E">
        <w:rPr>
          <w:rFonts w:ascii="Times New Roman" w:eastAsia="Times New Roman" w:hAnsi="Times New Roman" w:cs="Times New Roman"/>
          <w:i/>
          <w:sz w:val="20"/>
          <w:szCs w:val="20"/>
        </w:rPr>
        <w:t>Why Are For-Profit US Prisons Subjecting Detainees to Forced Labor?</w:t>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smallCaps/>
          <w:sz w:val="20"/>
          <w:szCs w:val="20"/>
        </w:rPr>
        <w:t>The Guardian</w:t>
      </w:r>
      <w:r w:rsidRPr="00BA4A9E">
        <w:rPr>
          <w:rFonts w:ascii="Times New Roman" w:eastAsia="Times New Roman" w:hAnsi="Times New Roman" w:cs="Times New Roman"/>
          <w:sz w:val="20"/>
          <w:szCs w:val="20"/>
        </w:rPr>
        <w:t xml:space="preserve"> (May 17, 2018), </w:t>
      </w:r>
      <w:hyperlink r:id="rId96" w:history="1">
        <w:r w:rsidRPr="00BA4A9E">
          <w:rPr>
            <w:rStyle w:val="Hyperlink"/>
            <w:rFonts w:ascii="Times New Roman" w:eastAsia="Times New Roman" w:hAnsi="Times New Roman" w:cs="Times New Roman"/>
            <w:color w:val="auto"/>
            <w:sz w:val="20"/>
            <w:szCs w:val="20"/>
          </w:rPr>
          <w:t>https://www.theguardian.com/commentisfree/2018/may/17/us-private-prisons-forced-labour-detainees-modern-slavery</w:t>
        </w:r>
      </w:hyperlink>
      <w:r w:rsidRPr="00BA4A9E">
        <w:rPr>
          <w:rFonts w:ascii="Times New Roman" w:eastAsia="Times New Roman" w:hAnsi="Times New Roman" w:cs="Times New Roman"/>
          <w:sz w:val="20"/>
          <w:szCs w:val="20"/>
        </w:rPr>
        <w:t xml:space="preserve"> (reporting how a private prison corporation violates human trafficking laws and employs a deprivation scheme to force detained immigrants to work for sub-minimum wages).</w:t>
      </w:r>
    </w:p>
  </w:endnote>
  <w:endnote w:id="110">
    <w:p w14:paraId="42BB2C3D" w14:textId="26A7FE61"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eastAsia="Times New Roman" w:hAnsi="Times New Roman" w:cs="Times New Roman"/>
          <w:i/>
          <w:iCs/>
          <w:sz w:val="20"/>
          <w:szCs w:val="20"/>
        </w:rPr>
        <w:t xml:space="preserve">See, e.g., </w:t>
      </w:r>
      <w:r w:rsidRPr="00BA4A9E">
        <w:rPr>
          <w:rFonts w:ascii="Times New Roman" w:hAnsi="Times New Roman" w:cs="Times New Roman"/>
          <w:sz w:val="20"/>
          <w:szCs w:val="20"/>
        </w:rPr>
        <w:t xml:space="preserve">The Center for Victims of Torture, </w:t>
      </w:r>
      <w:r w:rsidRPr="00BA4A9E">
        <w:rPr>
          <w:rFonts w:ascii="Times New Roman" w:hAnsi="Times New Roman" w:cs="Times New Roman"/>
          <w:i/>
          <w:sz w:val="20"/>
          <w:szCs w:val="20"/>
        </w:rPr>
        <w:t>Immigration Detention is Arbitrary</w:t>
      </w:r>
      <w:r w:rsidRPr="00BA4A9E">
        <w:rPr>
          <w:rFonts w:ascii="Times New Roman" w:hAnsi="Times New Roman" w:cs="Times New Roman"/>
          <w:sz w:val="20"/>
          <w:szCs w:val="20"/>
        </w:rPr>
        <w:t xml:space="preserve"> (July 21, 2023), </w:t>
      </w:r>
      <w:hyperlink r:id="rId97" w:history="1">
        <w:r w:rsidRPr="00BA4A9E">
          <w:rPr>
            <w:rStyle w:val="Hyperlink"/>
            <w:rFonts w:ascii="Times New Roman" w:hAnsi="Times New Roman" w:cs="Times New Roman"/>
            <w:color w:val="auto"/>
            <w:sz w:val="20"/>
            <w:szCs w:val="20"/>
          </w:rPr>
          <w:t>https://www.cvt.org/what-we-do/project-archive/immigration-detention-must-end/immigration-detention-is-arbitrary/</w:t>
        </w:r>
      </w:hyperlink>
      <w:r w:rsidRPr="00BA4A9E">
        <w:rPr>
          <w:rFonts w:ascii="Times New Roman" w:hAnsi="Times New Roman" w:cs="Times New Roman"/>
          <w:sz w:val="20"/>
          <w:szCs w:val="20"/>
        </w:rPr>
        <w:t xml:space="preserve"> (describing how U.S. immigration detention is not proportionate, reasonable, or necessary); Human Rights Watch, </w:t>
      </w:r>
      <w:r w:rsidRPr="00BA4A9E">
        <w:rPr>
          <w:rFonts w:ascii="Times New Roman" w:hAnsi="Times New Roman" w:cs="Times New Roman"/>
          <w:i/>
          <w:sz w:val="20"/>
          <w:szCs w:val="20"/>
        </w:rPr>
        <w:t>Dismantling Detention: International Alternatives to Detaining Immigrants</w:t>
      </w:r>
      <w:r w:rsidRPr="00BA4A9E">
        <w:rPr>
          <w:rFonts w:ascii="Times New Roman" w:hAnsi="Times New Roman" w:cs="Times New Roman"/>
          <w:sz w:val="20"/>
          <w:szCs w:val="20"/>
        </w:rPr>
        <w:t xml:space="preserve"> (Nov. 2021),</w:t>
      </w:r>
      <w:r w:rsidRPr="00BA4A9E">
        <w:rPr>
          <w:rFonts w:ascii="Times New Roman" w:hAnsi="Times New Roman" w:cs="Times New Roman"/>
          <w:i/>
          <w:sz w:val="20"/>
          <w:szCs w:val="20"/>
        </w:rPr>
        <w:t xml:space="preserve"> </w:t>
      </w:r>
      <w:hyperlink r:id="rId98" w:history="1">
        <w:r w:rsidRPr="00BA4A9E">
          <w:rPr>
            <w:rStyle w:val="Hyperlink"/>
            <w:rFonts w:ascii="Times New Roman" w:hAnsi="Times New Roman" w:cs="Times New Roman"/>
            <w:color w:val="auto"/>
            <w:sz w:val="20"/>
            <w:szCs w:val="20"/>
          </w:rPr>
          <w:t>https://www.hrw.org/report/2021/11/03/dismantling-detention/international-alternatives-detaining-immigrants</w:t>
        </w:r>
      </w:hyperlink>
      <w:r w:rsidRPr="00BA4A9E">
        <w:rPr>
          <w:rFonts w:ascii="Times New Roman" w:hAnsi="Times New Roman" w:cs="Times New Roman"/>
          <w:sz w:val="20"/>
          <w:szCs w:val="20"/>
        </w:rPr>
        <w:t xml:space="preserve"> (describing how lack of alternatives to detention leads to frequent unnecessary and disproportionate confinement of individuals).</w:t>
      </w:r>
    </w:p>
  </w:endnote>
  <w:endnote w:id="111">
    <w:p w14:paraId="219CE7A5" w14:textId="786FF3C8"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eastAsia="Times New Roman" w:hAnsi="Times New Roman" w:cs="Times New Roman"/>
          <w:i/>
          <w:iCs/>
          <w:sz w:val="20"/>
          <w:szCs w:val="20"/>
        </w:rPr>
        <w:t>See, e.g.,</w:t>
      </w:r>
      <w:r w:rsidR="008B185D">
        <w:rPr>
          <w:rFonts w:ascii="Times New Roman" w:eastAsia="Times New Roman" w:hAnsi="Times New Roman" w:cs="Times New Roman"/>
          <w:i/>
          <w:iCs/>
          <w:sz w:val="20"/>
          <w:szCs w:val="20"/>
        </w:rPr>
        <w:t xml:space="preserve"> supra</w:t>
      </w:r>
      <w:r w:rsidRPr="00BA4A9E">
        <w:rPr>
          <w:rFonts w:ascii="Times New Roman" w:eastAsia="Times New Roman" w:hAnsi="Times New Roman" w:cs="Times New Roman"/>
          <w:i/>
          <w:iCs/>
          <w:sz w:val="20"/>
          <w:szCs w:val="20"/>
        </w:rPr>
        <w:t xml:space="preserve"> </w:t>
      </w:r>
      <w:r w:rsidRPr="00BA4A9E">
        <w:rPr>
          <w:rFonts w:ascii="Times New Roman" w:hAnsi="Times New Roman" w:cs="Times New Roman"/>
          <w:sz w:val="20"/>
          <w:szCs w:val="20"/>
        </w:rPr>
        <w:t xml:space="preserve">n. </w:t>
      </w:r>
      <w:r w:rsidR="009060F5">
        <w:rPr>
          <w:rFonts w:ascii="Times New Roman" w:hAnsi="Times New Roman" w:cs="Times New Roman"/>
          <w:sz w:val="20"/>
          <w:szCs w:val="20"/>
        </w:rPr>
        <w:fldChar w:fldCharType="begin"/>
      </w:r>
      <w:r w:rsidR="009060F5">
        <w:rPr>
          <w:rFonts w:ascii="Times New Roman" w:hAnsi="Times New Roman" w:cs="Times New Roman"/>
          <w:sz w:val="20"/>
          <w:szCs w:val="20"/>
        </w:rPr>
        <w:instrText xml:space="preserve"> NOTEREF _Ref145400720 \h </w:instrText>
      </w:r>
      <w:r w:rsidR="009060F5">
        <w:rPr>
          <w:rFonts w:ascii="Times New Roman" w:hAnsi="Times New Roman" w:cs="Times New Roman"/>
          <w:sz w:val="20"/>
          <w:szCs w:val="20"/>
        </w:rPr>
      </w:r>
      <w:r w:rsidR="009060F5">
        <w:rPr>
          <w:rFonts w:ascii="Times New Roman" w:hAnsi="Times New Roman" w:cs="Times New Roman"/>
          <w:sz w:val="20"/>
          <w:szCs w:val="20"/>
        </w:rPr>
        <w:fldChar w:fldCharType="separate"/>
      </w:r>
      <w:r w:rsidR="009060F5">
        <w:rPr>
          <w:rFonts w:ascii="Times New Roman" w:hAnsi="Times New Roman" w:cs="Times New Roman"/>
          <w:sz w:val="20"/>
          <w:szCs w:val="20"/>
        </w:rPr>
        <w:t>103</w:t>
      </w:r>
      <w:r w:rsidR="009060F5">
        <w:rPr>
          <w:rFonts w:ascii="Times New Roman" w:hAnsi="Times New Roman" w:cs="Times New Roman"/>
          <w:sz w:val="20"/>
          <w:szCs w:val="20"/>
        </w:rPr>
        <w:fldChar w:fldCharType="end"/>
      </w:r>
      <w:r w:rsidRPr="00BA4A9E">
        <w:rPr>
          <w:rFonts w:ascii="Times New Roman" w:hAnsi="Times New Roman" w:cs="Times New Roman"/>
          <w:sz w:val="20"/>
          <w:szCs w:val="20"/>
        </w:rPr>
        <w:t>-</w:t>
      </w:r>
      <w:r w:rsidR="009060F5">
        <w:rPr>
          <w:rFonts w:ascii="Times New Roman" w:hAnsi="Times New Roman" w:cs="Times New Roman"/>
          <w:sz w:val="20"/>
          <w:szCs w:val="20"/>
        </w:rPr>
        <w:fldChar w:fldCharType="begin"/>
      </w:r>
      <w:r w:rsidR="009060F5">
        <w:rPr>
          <w:rFonts w:ascii="Times New Roman" w:hAnsi="Times New Roman" w:cs="Times New Roman"/>
          <w:sz w:val="20"/>
          <w:szCs w:val="20"/>
        </w:rPr>
        <w:instrText xml:space="preserve"> NOTEREF _Ref145400733 \h </w:instrText>
      </w:r>
      <w:r w:rsidR="009060F5">
        <w:rPr>
          <w:rFonts w:ascii="Times New Roman" w:hAnsi="Times New Roman" w:cs="Times New Roman"/>
          <w:sz w:val="20"/>
          <w:szCs w:val="20"/>
        </w:rPr>
      </w:r>
      <w:r w:rsidR="009060F5">
        <w:rPr>
          <w:rFonts w:ascii="Times New Roman" w:hAnsi="Times New Roman" w:cs="Times New Roman"/>
          <w:sz w:val="20"/>
          <w:szCs w:val="20"/>
        </w:rPr>
        <w:fldChar w:fldCharType="separate"/>
      </w:r>
      <w:r w:rsidR="009060F5">
        <w:rPr>
          <w:rFonts w:ascii="Times New Roman" w:hAnsi="Times New Roman" w:cs="Times New Roman"/>
          <w:sz w:val="20"/>
          <w:szCs w:val="20"/>
        </w:rPr>
        <w:t>109</w:t>
      </w:r>
      <w:r w:rsidR="009060F5">
        <w:rPr>
          <w:rFonts w:ascii="Times New Roman" w:hAnsi="Times New Roman" w:cs="Times New Roman"/>
          <w:sz w:val="20"/>
          <w:szCs w:val="20"/>
        </w:rPr>
        <w:fldChar w:fldCharType="end"/>
      </w:r>
      <w:r w:rsidR="009060F5">
        <w:rPr>
          <w:rFonts w:ascii="Times New Roman" w:hAnsi="Times New Roman" w:cs="Times New Roman"/>
          <w:sz w:val="20"/>
          <w:szCs w:val="20"/>
        </w:rPr>
        <w:t xml:space="preserve"> and associated text</w:t>
      </w:r>
      <w:r w:rsidRPr="00BA4A9E">
        <w:rPr>
          <w:rFonts w:ascii="Times New Roman" w:hAnsi="Times New Roman" w:cs="Times New Roman"/>
          <w:sz w:val="20"/>
          <w:szCs w:val="20"/>
        </w:rPr>
        <w:t xml:space="preserve"> (describing reports of sexual abuse, religious intolerance, and racial discrimination).</w:t>
      </w:r>
    </w:p>
  </w:endnote>
  <w:endnote w:id="112">
    <w:p w14:paraId="1B6F635C" w14:textId="0ED1A098"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e.g., </w:t>
      </w:r>
      <w:r w:rsidRPr="00BA4A9E">
        <w:rPr>
          <w:rFonts w:ascii="Times New Roman" w:hAnsi="Times New Roman" w:cs="Times New Roman"/>
          <w:sz w:val="20"/>
          <w:szCs w:val="20"/>
        </w:rPr>
        <w:t xml:space="preserve">Press Release, Americans for Immigrant Justice, </w:t>
      </w:r>
      <w:r w:rsidRPr="00BA4A9E">
        <w:rPr>
          <w:rFonts w:ascii="Times New Roman" w:hAnsi="Times New Roman" w:cs="Times New Roman"/>
          <w:i/>
          <w:iCs/>
          <w:sz w:val="20"/>
          <w:szCs w:val="20"/>
        </w:rPr>
        <w:t>Formerly Detained Muslims Receive Damages for the Denial of Their Right to Observe Their Religion by Glades County Detention Center</w:t>
      </w:r>
      <w:r w:rsidRPr="00BA4A9E">
        <w:rPr>
          <w:rFonts w:ascii="Times New Roman" w:hAnsi="Times New Roman" w:cs="Times New Roman"/>
          <w:sz w:val="20"/>
          <w:szCs w:val="20"/>
        </w:rPr>
        <w:t xml:space="preserve"> (Aug. 12, 2021), </w:t>
      </w:r>
      <w:hyperlink r:id="rId99" w:history="1">
        <w:r w:rsidRPr="00BA4A9E">
          <w:rPr>
            <w:rStyle w:val="Hyperlink"/>
            <w:rFonts w:ascii="Times New Roman" w:hAnsi="Times New Roman" w:cs="Times New Roman"/>
            <w:color w:val="auto"/>
            <w:sz w:val="20"/>
            <w:szCs w:val="20"/>
          </w:rPr>
          <w:t>https://aijustice.org/2021/08/12/formerly-detained-muslims-receive-damages/</w:t>
        </w:r>
      </w:hyperlink>
      <w:r w:rsidRPr="00BA4A9E">
        <w:rPr>
          <w:rFonts w:ascii="Times New Roman" w:hAnsi="Times New Roman" w:cs="Times New Roman"/>
          <w:sz w:val="20"/>
          <w:szCs w:val="20"/>
        </w:rPr>
        <w:t xml:space="preserve"> (announcing a settlement with the Glades County Detention Center for discriminatory and abusive practices that systematically prevented Muslim detainees from practicing their faith); Yusuf Saei, </w:t>
      </w:r>
      <w:r w:rsidRPr="00BA4A9E">
        <w:rPr>
          <w:rFonts w:ascii="Times New Roman" w:hAnsi="Times New Roman" w:cs="Times New Roman"/>
          <w:i/>
          <w:iCs/>
          <w:sz w:val="20"/>
          <w:szCs w:val="20"/>
        </w:rPr>
        <w:t>ICE Contract Facilities, Including Counties, Continue to Violate the Religious Exercise Rights of Muslim Detainees</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American Constitution Society</w:t>
      </w:r>
      <w:r w:rsidRPr="00BA4A9E">
        <w:rPr>
          <w:rFonts w:ascii="Times New Roman" w:hAnsi="Times New Roman" w:cs="Times New Roman"/>
          <w:sz w:val="20"/>
          <w:szCs w:val="20"/>
        </w:rPr>
        <w:t xml:space="preserve"> (Apr. 24, 2019), </w:t>
      </w:r>
      <w:hyperlink r:id="rId100" w:history="1">
        <w:r w:rsidRPr="00BA4A9E">
          <w:rPr>
            <w:rStyle w:val="Hyperlink"/>
            <w:rFonts w:ascii="Times New Roman" w:hAnsi="Times New Roman" w:cs="Times New Roman"/>
            <w:color w:val="auto"/>
            <w:sz w:val="20"/>
            <w:szCs w:val="20"/>
          </w:rPr>
          <w:t>https://www.acslaw.org/expertforum/ice-contract-facilities-including-counties-continue-to-violate-the-religious-exercise-rights-of-muslim-detainees/</w:t>
        </w:r>
      </w:hyperlink>
      <w:r w:rsidRPr="00BA4A9E">
        <w:rPr>
          <w:rFonts w:ascii="Times New Roman" w:hAnsi="Times New Roman" w:cs="Times New Roman"/>
          <w:sz w:val="20"/>
          <w:szCs w:val="20"/>
        </w:rPr>
        <w:t xml:space="preserve"> (describing instances of anti-Muslim discrimination in detention centers in California, Texas, and Florida); Aleksandr Sverdlik, </w:t>
      </w:r>
      <w:r w:rsidRPr="00BA4A9E">
        <w:rPr>
          <w:rFonts w:ascii="Times New Roman" w:hAnsi="Times New Roman" w:cs="Times New Roman"/>
          <w:i/>
          <w:sz w:val="20"/>
          <w:szCs w:val="20"/>
        </w:rPr>
        <w:t>Border Patrol and ICE Routinely Violate Immigrants’ Religious Rights</w:t>
      </w:r>
      <w:r w:rsidRPr="00BA4A9E">
        <w:rPr>
          <w:rFonts w:ascii="Times New Roman" w:hAnsi="Times New Roman" w:cs="Times New Roman"/>
          <w:sz w:val="20"/>
          <w:szCs w:val="20"/>
        </w:rPr>
        <w:t xml:space="preserve">, ACLU (Mar. 20, 2019), </w:t>
      </w:r>
      <w:hyperlink r:id="rId101" w:history="1">
        <w:r w:rsidRPr="00BA4A9E">
          <w:rPr>
            <w:rStyle w:val="Hyperlink"/>
            <w:rFonts w:ascii="Times New Roman" w:hAnsi="Times New Roman" w:cs="Times New Roman"/>
            <w:color w:val="auto"/>
            <w:sz w:val="20"/>
            <w:szCs w:val="20"/>
          </w:rPr>
          <w:t>https://www.aclu.org/news/immigrants-rights/border-patrol-and-ice-routinely-violate</w:t>
        </w:r>
      </w:hyperlink>
      <w:r w:rsidRPr="00BA4A9E">
        <w:rPr>
          <w:rFonts w:ascii="Times New Roman" w:hAnsi="Times New Roman" w:cs="Times New Roman"/>
          <w:sz w:val="20"/>
          <w:szCs w:val="20"/>
        </w:rPr>
        <w:t xml:space="preserve"> (describing lawsuits against immigration detention authorities alleging denial of access to clergy, worship services, religious texts, religious diets, and an appropriate place to pray).</w:t>
      </w:r>
    </w:p>
  </w:endnote>
  <w:endnote w:id="113">
    <w:p w14:paraId="1B437FAA" w14:textId="47523D46"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e.g., </w:t>
      </w:r>
      <w:r w:rsidRPr="00BA4A9E">
        <w:rPr>
          <w:rFonts w:ascii="Times New Roman" w:hAnsi="Times New Roman" w:cs="Times New Roman"/>
          <w:sz w:val="20"/>
          <w:szCs w:val="20"/>
        </w:rPr>
        <w:t>American Immigration Council et. al, Complaint to Dep’t. of Homeland Sec. Re: Racial Discrimination, Excessive Use of Force at the Denver Contract Detention Facility</w:t>
      </w:r>
      <w:r w:rsidRPr="00BA4A9E">
        <w:rPr>
          <w:rFonts w:ascii="Times New Roman" w:hAnsi="Times New Roman" w:cs="Times New Roman"/>
          <w:i/>
          <w:sz w:val="20"/>
          <w:szCs w:val="20"/>
        </w:rPr>
        <w:t xml:space="preserve"> </w:t>
      </w:r>
      <w:r w:rsidRPr="00BA4A9E">
        <w:rPr>
          <w:rFonts w:ascii="Times New Roman" w:hAnsi="Times New Roman" w:cs="Times New Roman"/>
          <w:sz w:val="20"/>
          <w:szCs w:val="20"/>
        </w:rPr>
        <w:t xml:space="preserve">(Mar. 24, 2022), </w:t>
      </w:r>
      <w:hyperlink r:id="rId102" w:history="1">
        <w:r w:rsidRPr="00BA4A9E">
          <w:rPr>
            <w:rStyle w:val="Hyperlink"/>
            <w:rFonts w:ascii="Times New Roman" w:hAnsi="Times New Roman" w:cs="Times New Roman"/>
            <w:color w:val="auto"/>
            <w:sz w:val="20"/>
            <w:szCs w:val="20"/>
          </w:rPr>
          <w:t>https://www.americanimmigrationcouncil.org/research/council-files-complaint-against-ice-racial-discrimination-and-excessive-use-force-colorado</w:t>
        </w:r>
      </w:hyperlink>
      <w:r w:rsidRPr="00BA4A9E">
        <w:rPr>
          <w:rFonts w:ascii="Times New Roman" w:hAnsi="Times New Roman" w:cs="Times New Roman"/>
          <w:sz w:val="20"/>
          <w:szCs w:val="20"/>
        </w:rPr>
        <w:t xml:space="preserve"> (reporting verbal abuse, racial animus, and disparate treatment because of race). </w:t>
      </w:r>
    </w:p>
  </w:endnote>
  <w:endnote w:id="114">
    <w:p w14:paraId="07855BED" w14:textId="38E21CB1"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U.S. State Party Report, </w:t>
      </w:r>
      <w:r w:rsidRPr="00BA4A9E">
        <w:rPr>
          <w:rFonts w:ascii="Times New Roman" w:eastAsia="Times New Roman" w:hAnsi="Times New Roman" w:cs="Times New Roman"/>
          <w:i/>
          <w:iCs/>
          <w:sz w:val="20"/>
          <w:szCs w:val="20"/>
        </w:rPr>
        <w:t xml:space="preserve">supra </w:t>
      </w:r>
      <w:r w:rsidRPr="00BA4A9E">
        <w:rPr>
          <w:rFonts w:ascii="Times New Roman" w:eastAsia="Times New Roman" w:hAnsi="Times New Roman" w:cs="Times New Roman"/>
          <w:sz w:val="20"/>
          <w:szCs w:val="20"/>
        </w:rPr>
        <w:t xml:space="preserve">n. </w:t>
      </w:r>
      <w:r w:rsidR="008B185D">
        <w:rPr>
          <w:rFonts w:ascii="Times New Roman" w:eastAsia="Times New Roman" w:hAnsi="Times New Roman" w:cs="Times New Roman"/>
          <w:sz w:val="20"/>
          <w:szCs w:val="20"/>
        </w:rPr>
        <w:fldChar w:fldCharType="begin"/>
      </w:r>
      <w:r w:rsidR="008B185D">
        <w:rPr>
          <w:rFonts w:ascii="Times New Roman" w:eastAsia="Times New Roman" w:hAnsi="Times New Roman" w:cs="Times New Roman"/>
          <w:sz w:val="20"/>
          <w:szCs w:val="20"/>
        </w:rPr>
        <w:instrText xml:space="preserve"> NOTEREF _Ref145400186 \h </w:instrText>
      </w:r>
      <w:r w:rsidR="008B185D">
        <w:rPr>
          <w:rFonts w:ascii="Times New Roman" w:eastAsia="Times New Roman" w:hAnsi="Times New Roman" w:cs="Times New Roman"/>
          <w:sz w:val="20"/>
          <w:szCs w:val="20"/>
        </w:rPr>
      </w:r>
      <w:r w:rsidR="008B185D">
        <w:rPr>
          <w:rFonts w:ascii="Times New Roman" w:eastAsia="Times New Roman" w:hAnsi="Times New Roman" w:cs="Times New Roman"/>
          <w:sz w:val="20"/>
          <w:szCs w:val="20"/>
        </w:rPr>
        <w:fldChar w:fldCharType="separate"/>
      </w:r>
      <w:r w:rsidR="008B185D">
        <w:rPr>
          <w:rFonts w:ascii="Times New Roman" w:eastAsia="Times New Roman" w:hAnsi="Times New Roman" w:cs="Times New Roman"/>
          <w:sz w:val="20"/>
          <w:szCs w:val="20"/>
        </w:rPr>
        <w:t>11</w:t>
      </w:r>
      <w:r w:rsidR="008B185D">
        <w:rPr>
          <w:rFonts w:ascii="Times New Roman" w:eastAsia="Times New Roman" w:hAnsi="Times New Roman" w:cs="Times New Roman"/>
          <w:sz w:val="20"/>
          <w:szCs w:val="20"/>
        </w:rPr>
        <w:fldChar w:fldCharType="end"/>
      </w:r>
      <w:r w:rsidRPr="00BA4A9E">
        <w:rPr>
          <w:rFonts w:ascii="Times New Roman" w:eastAsia="Times New Roman" w:hAnsi="Times New Roman" w:cs="Times New Roman"/>
          <w:sz w:val="20"/>
          <w:szCs w:val="20"/>
        </w:rPr>
        <w:t xml:space="preserve"> at ¶ 84.</w:t>
      </w:r>
    </w:p>
  </w:endnote>
  <w:endnote w:id="115">
    <w:p w14:paraId="22244B4C" w14:textId="77777777"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Id.</w:t>
      </w:r>
    </w:p>
  </w:endnote>
  <w:endnote w:id="116">
    <w:p w14:paraId="166B8C68" w14:textId="6D3440F8"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Dep’t. of Homeland Sec. Office of Inspector Gen., </w:t>
      </w:r>
      <w:r w:rsidRPr="00BA4A9E">
        <w:rPr>
          <w:rFonts w:ascii="Times New Roman" w:hAnsi="Times New Roman" w:cs="Times New Roman"/>
          <w:i/>
          <w:sz w:val="20"/>
          <w:szCs w:val="20"/>
        </w:rPr>
        <w:t>Management Alert – Immediate Removal of All Detainees from the Torrance County Detention Facility</w:t>
      </w:r>
      <w:r w:rsidRPr="00BA4A9E">
        <w:rPr>
          <w:rFonts w:ascii="Times New Roman" w:hAnsi="Times New Roman" w:cs="Times New Roman"/>
          <w:sz w:val="20"/>
          <w:szCs w:val="20"/>
        </w:rPr>
        <w:t xml:space="preserve"> (Mar. 16, 2022), </w:t>
      </w:r>
      <w:hyperlink r:id="rId103" w:history="1">
        <w:r w:rsidRPr="00BA4A9E">
          <w:rPr>
            <w:rStyle w:val="Hyperlink"/>
            <w:rFonts w:ascii="Times New Roman" w:hAnsi="Times New Roman" w:cs="Times New Roman"/>
            <w:color w:val="auto"/>
            <w:sz w:val="20"/>
            <w:szCs w:val="20"/>
          </w:rPr>
          <w:t>https://www.oig.dhs.gov/sites/default/files/assets/2022-05/OIG-22-31-Mar22-mgmtalert.pdf</w:t>
        </w:r>
      </w:hyperlink>
      <w:r w:rsidRPr="00BA4A9E">
        <w:rPr>
          <w:rFonts w:ascii="Times New Roman" w:hAnsi="Times New Roman" w:cs="Times New Roman"/>
          <w:sz w:val="20"/>
          <w:szCs w:val="20"/>
        </w:rPr>
        <w:t xml:space="preserve"> (recommending immediate closure of a detention center on March 16, 2022); Dep’t. of Homeland Sec. Office of Inspector Gen., </w:t>
      </w:r>
      <w:r w:rsidRPr="00BA4A9E">
        <w:rPr>
          <w:rFonts w:ascii="Times New Roman" w:hAnsi="Times New Roman" w:cs="Times New Roman"/>
          <w:i/>
          <w:sz w:val="20"/>
          <w:szCs w:val="20"/>
        </w:rPr>
        <w:t xml:space="preserve">Violations of ICE Detention Standards at Torrance County Detention Facility </w:t>
      </w:r>
      <w:r w:rsidRPr="00BA4A9E">
        <w:rPr>
          <w:rFonts w:ascii="Times New Roman" w:hAnsi="Times New Roman" w:cs="Times New Roman"/>
          <w:sz w:val="20"/>
          <w:szCs w:val="20"/>
        </w:rPr>
        <w:t>(September 28, 2022),</w:t>
      </w:r>
      <w:r w:rsidRPr="00BA4A9E">
        <w:rPr>
          <w:rFonts w:ascii="Times New Roman" w:hAnsi="Times New Roman" w:cs="Times New Roman"/>
          <w:i/>
          <w:sz w:val="20"/>
          <w:szCs w:val="20"/>
        </w:rPr>
        <w:t xml:space="preserve"> </w:t>
      </w:r>
      <w:hyperlink r:id="rId104" w:history="1">
        <w:r w:rsidRPr="00BA4A9E">
          <w:rPr>
            <w:rStyle w:val="Hyperlink"/>
            <w:rFonts w:ascii="Times New Roman" w:hAnsi="Times New Roman" w:cs="Times New Roman"/>
            <w:color w:val="auto"/>
            <w:sz w:val="20"/>
            <w:szCs w:val="20"/>
          </w:rPr>
          <w:t>https://www.oig.dhs.gov/sites/default/files/assets/2022-09/OIG-22-75-Sep22.pdf</w:t>
        </w:r>
      </w:hyperlink>
      <w:r w:rsidRPr="00BA4A9E">
        <w:rPr>
          <w:rFonts w:ascii="Times New Roman" w:hAnsi="Times New Roman" w:cs="Times New Roman"/>
          <w:sz w:val="20"/>
          <w:szCs w:val="20"/>
        </w:rPr>
        <w:t xml:space="preserve"> (recommending immediate closure on September 28, 2022); Maria Sacchetti, </w:t>
      </w:r>
      <w:r w:rsidRPr="00BA4A9E">
        <w:rPr>
          <w:rFonts w:ascii="Times New Roman" w:hAnsi="Times New Roman" w:cs="Times New Roman"/>
          <w:i/>
          <w:sz w:val="20"/>
          <w:szCs w:val="20"/>
        </w:rPr>
        <w:t>Inspector general, ICE clash over conditions at immigration detention facility in New Mexico</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Wash. Post</w:t>
      </w:r>
      <w:r w:rsidRPr="00BA4A9E">
        <w:rPr>
          <w:rFonts w:ascii="Times New Roman" w:hAnsi="Times New Roman" w:cs="Times New Roman"/>
          <w:sz w:val="20"/>
          <w:szCs w:val="20"/>
        </w:rPr>
        <w:t xml:space="preserve"> (Mar. 18, 2022), </w:t>
      </w:r>
      <w:hyperlink r:id="rId105">
        <w:r w:rsidRPr="00BA4A9E">
          <w:rPr>
            <w:rFonts w:ascii="Times New Roman" w:hAnsi="Times New Roman" w:cs="Times New Roman"/>
            <w:sz w:val="20"/>
            <w:szCs w:val="20"/>
            <w:u w:val="single"/>
          </w:rPr>
          <w:t>https://www.washingtonpost.com/national-security/2022/03/18/ice-detention-unsanitary-new-mexico/</w:t>
        </w:r>
      </w:hyperlink>
      <w:r w:rsidRPr="00BA4A9E">
        <w:rPr>
          <w:rFonts w:ascii="Times New Roman" w:hAnsi="Times New Roman" w:cs="Times New Roman"/>
          <w:sz w:val="20"/>
          <w:szCs w:val="20"/>
        </w:rPr>
        <w:t xml:space="preserve"> (describing how an Inspector General’s report and recommendation for closure drew “rebuke from U.S. Immigration and Customs Enforcement (ICE) and CoreCivic, the private company that runs the facility”).</w:t>
      </w:r>
    </w:p>
  </w:endnote>
  <w:endnote w:id="117">
    <w:p w14:paraId="36F6313F" w14:textId="47EE7F98"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Tom Dreisbach, </w:t>
      </w:r>
      <w:r w:rsidRPr="00BA4A9E">
        <w:rPr>
          <w:rFonts w:ascii="Times New Roman" w:eastAsia="Times New Roman" w:hAnsi="Times New Roman" w:cs="Times New Roman"/>
          <w:i/>
          <w:iCs/>
          <w:sz w:val="20"/>
          <w:szCs w:val="20"/>
        </w:rPr>
        <w:t xml:space="preserve">Government’s Own Experts Found ”Barbaric” and ”Negligent” Conditions in ICE </w:t>
      </w:r>
      <w:r w:rsidRPr="00BA4A9E">
        <w:rPr>
          <w:rFonts w:ascii="Times New Roman" w:eastAsia="Times New Roman" w:hAnsi="Times New Roman" w:cs="Times New Roman"/>
          <w:sz w:val="20"/>
          <w:szCs w:val="20"/>
        </w:rPr>
        <w:t xml:space="preserve">Detention, NPR (Aug. 16, 2023) </w:t>
      </w:r>
      <w:hyperlink r:id="rId106">
        <w:r w:rsidRPr="00BA4A9E">
          <w:rPr>
            <w:rFonts w:ascii="Times New Roman" w:eastAsia="Times New Roman" w:hAnsi="Times New Roman" w:cs="Times New Roman"/>
            <w:sz w:val="20"/>
            <w:szCs w:val="20"/>
            <w:u w:val="single"/>
          </w:rPr>
          <w:t>https://www.npr.org/2023/08/16/1190767610/ice-detention-immigration-government-inspectors-barbaric-negligent-conditions</w:t>
        </w:r>
      </w:hyperlink>
      <w:r w:rsidRPr="00BA4A9E">
        <w:rPr>
          <w:rFonts w:ascii="Times New Roman" w:eastAsia="Times New Roman" w:hAnsi="Times New Roman" w:cs="Times New Roman"/>
          <w:sz w:val="20"/>
          <w:szCs w:val="20"/>
        </w:rPr>
        <w:t xml:space="preserve"> (describing litigation undertaken to secure release of government reports).</w:t>
      </w:r>
    </w:p>
  </w:endnote>
  <w:endnote w:id="118">
    <w:p w14:paraId="1DCC11F5" w14:textId="52932FDB"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Id.</w:t>
      </w:r>
    </w:p>
  </w:endnote>
  <w:endnote w:id="119">
    <w:p w14:paraId="38D9B633" w14:textId="45EC1FE4"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Id.</w:t>
      </w:r>
    </w:p>
  </w:endnote>
  <w:endnote w:id="120">
    <w:p w14:paraId="132FA656" w14:textId="2951AA5D"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DA60A3">
        <w:rPr>
          <w:rFonts w:ascii="Times New Roman" w:eastAsia="Times New Roman" w:hAnsi="Times New Roman" w:cs="Times New Roman"/>
          <w:sz w:val="20"/>
          <w:szCs w:val="20"/>
        </w:rPr>
        <w:t xml:space="preserve"> </w:t>
      </w:r>
      <w:r w:rsidRPr="00DA60A3">
        <w:rPr>
          <w:rFonts w:ascii="Times New Roman" w:eastAsia="Times New Roman" w:hAnsi="Times New Roman" w:cs="Times New Roman"/>
          <w:i/>
          <w:iCs/>
          <w:sz w:val="20"/>
          <w:szCs w:val="20"/>
        </w:rPr>
        <w:t xml:space="preserve">See </w:t>
      </w:r>
      <w:r w:rsidR="009060F5" w:rsidRPr="00DA60A3">
        <w:rPr>
          <w:rFonts w:ascii="Times New Roman" w:eastAsia="Times New Roman" w:hAnsi="Times New Roman" w:cs="Times New Roman"/>
          <w:i/>
          <w:iCs/>
          <w:sz w:val="20"/>
          <w:szCs w:val="20"/>
        </w:rPr>
        <w:t xml:space="preserve">supra </w:t>
      </w:r>
      <w:r w:rsidR="009060F5" w:rsidRPr="00DA60A3">
        <w:rPr>
          <w:rFonts w:ascii="Times New Roman" w:eastAsia="Times New Roman" w:hAnsi="Times New Roman" w:cs="Times New Roman"/>
          <w:sz w:val="20"/>
          <w:szCs w:val="20"/>
        </w:rPr>
        <w:t xml:space="preserve">n. </w:t>
      </w:r>
      <w:r w:rsidR="009060F5" w:rsidRPr="009060F5">
        <w:rPr>
          <w:rFonts w:ascii="Times New Roman" w:eastAsia="Times New Roman" w:hAnsi="Times New Roman" w:cs="Times New Roman"/>
          <w:sz w:val="20"/>
          <w:szCs w:val="20"/>
        </w:rPr>
        <w:fldChar w:fldCharType="begin"/>
      </w:r>
      <w:r w:rsidR="009060F5" w:rsidRPr="00DA60A3">
        <w:rPr>
          <w:rFonts w:ascii="Times New Roman" w:eastAsia="Times New Roman" w:hAnsi="Times New Roman" w:cs="Times New Roman"/>
          <w:sz w:val="20"/>
          <w:szCs w:val="20"/>
        </w:rPr>
        <w:instrText xml:space="preserve"> NOTEREF _Ref145400720 \h </w:instrText>
      </w:r>
      <w:r w:rsidR="009060F5" w:rsidRPr="009060F5">
        <w:rPr>
          <w:rFonts w:ascii="Times New Roman" w:eastAsia="Times New Roman" w:hAnsi="Times New Roman" w:cs="Times New Roman"/>
          <w:sz w:val="20"/>
          <w:szCs w:val="20"/>
        </w:rPr>
      </w:r>
      <w:r w:rsidR="009060F5" w:rsidRPr="009060F5">
        <w:rPr>
          <w:rFonts w:ascii="Times New Roman" w:eastAsia="Times New Roman" w:hAnsi="Times New Roman" w:cs="Times New Roman"/>
          <w:sz w:val="20"/>
          <w:szCs w:val="20"/>
        </w:rPr>
        <w:fldChar w:fldCharType="separate"/>
      </w:r>
      <w:r w:rsidR="009060F5" w:rsidRPr="009060F5">
        <w:rPr>
          <w:rFonts w:ascii="Times New Roman" w:eastAsia="Times New Roman" w:hAnsi="Times New Roman" w:cs="Times New Roman"/>
          <w:sz w:val="20"/>
          <w:szCs w:val="20"/>
        </w:rPr>
        <w:t>103</w:t>
      </w:r>
      <w:r w:rsidR="009060F5" w:rsidRPr="009060F5">
        <w:rPr>
          <w:rFonts w:ascii="Times New Roman" w:eastAsia="Times New Roman" w:hAnsi="Times New Roman" w:cs="Times New Roman"/>
          <w:sz w:val="20"/>
          <w:szCs w:val="20"/>
        </w:rPr>
        <w:fldChar w:fldCharType="end"/>
      </w:r>
      <w:r w:rsidR="009060F5" w:rsidRPr="009060F5">
        <w:rPr>
          <w:rFonts w:ascii="Times New Roman" w:eastAsia="Times New Roman" w:hAnsi="Times New Roman" w:cs="Times New Roman"/>
          <w:sz w:val="20"/>
          <w:szCs w:val="20"/>
        </w:rPr>
        <w:t>-</w:t>
      </w:r>
      <w:r w:rsidR="009060F5" w:rsidRPr="009060F5">
        <w:rPr>
          <w:rFonts w:ascii="Times New Roman" w:eastAsia="Times New Roman" w:hAnsi="Times New Roman" w:cs="Times New Roman"/>
          <w:sz w:val="20"/>
          <w:szCs w:val="20"/>
        </w:rPr>
        <w:fldChar w:fldCharType="begin"/>
      </w:r>
      <w:r w:rsidR="009060F5" w:rsidRPr="009060F5">
        <w:rPr>
          <w:rFonts w:ascii="Times New Roman" w:eastAsia="Times New Roman" w:hAnsi="Times New Roman" w:cs="Times New Roman"/>
          <w:sz w:val="20"/>
          <w:szCs w:val="20"/>
        </w:rPr>
        <w:instrText xml:space="preserve"> NOTEREF _Ref145400733 \h </w:instrText>
      </w:r>
      <w:r w:rsidR="009060F5" w:rsidRPr="009060F5">
        <w:rPr>
          <w:rFonts w:ascii="Times New Roman" w:eastAsia="Times New Roman" w:hAnsi="Times New Roman" w:cs="Times New Roman"/>
          <w:sz w:val="20"/>
          <w:szCs w:val="20"/>
        </w:rPr>
      </w:r>
      <w:r w:rsidR="009060F5" w:rsidRPr="009060F5">
        <w:rPr>
          <w:rFonts w:ascii="Times New Roman" w:eastAsia="Times New Roman" w:hAnsi="Times New Roman" w:cs="Times New Roman"/>
          <w:sz w:val="20"/>
          <w:szCs w:val="20"/>
        </w:rPr>
        <w:fldChar w:fldCharType="separate"/>
      </w:r>
      <w:r w:rsidR="009060F5" w:rsidRPr="009060F5">
        <w:rPr>
          <w:rFonts w:ascii="Times New Roman" w:eastAsia="Times New Roman" w:hAnsi="Times New Roman" w:cs="Times New Roman"/>
          <w:sz w:val="20"/>
          <w:szCs w:val="20"/>
        </w:rPr>
        <w:t>109</w:t>
      </w:r>
      <w:r w:rsidR="009060F5" w:rsidRPr="009060F5">
        <w:rPr>
          <w:rFonts w:ascii="Times New Roman" w:eastAsia="Times New Roman" w:hAnsi="Times New Roman" w:cs="Times New Roman"/>
          <w:sz w:val="20"/>
          <w:szCs w:val="20"/>
        </w:rPr>
        <w:fldChar w:fldCharType="end"/>
      </w:r>
      <w:r w:rsidRPr="00BA4A9E">
        <w:rPr>
          <w:rFonts w:ascii="Times New Roman" w:eastAsia="Times New Roman" w:hAnsi="Times New Roman" w:cs="Times New Roman"/>
          <w:sz w:val="20"/>
          <w:szCs w:val="20"/>
        </w:rPr>
        <w:t>. (referencing reports describing violations of human rights guarantees contained in the International Covenant on Civil and Political Rights).</w:t>
      </w:r>
    </w:p>
  </w:endnote>
  <w:endnote w:id="121">
    <w:p w14:paraId="260CE29F" w14:textId="6FF30AB6"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CERD Concluding Observations, </w:t>
      </w:r>
      <w:r w:rsidRPr="00BA4A9E">
        <w:rPr>
          <w:rFonts w:ascii="Times New Roman" w:hAnsi="Times New Roman" w:cs="Times New Roman"/>
          <w:i/>
          <w:iCs/>
          <w:sz w:val="20"/>
          <w:szCs w:val="20"/>
        </w:rPr>
        <w:t xml:space="preserve">supra </w:t>
      </w:r>
      <w:r w:rsidRPr="00BA4A9E">
        <w:rPr>
          <w:rFonts w:ascii="Times New Roman" w:hAnsi="Times New Roman" w:cs="Times New Roman"/>
          <w:sz w:val="20"/>
          <w:szCs w:val="20"/>
        </w:rPr>
        <w:t xml:space="preserve">n. </w:t>
      </w:r>
      <w:r w:rsidR="009060F5">
        <w:rPr>
          <w:rFonts w:ascii="Times New Roman" w:hAnsi="Times New Roman" w:cs="Times New Roman"/>
          <w:sz w:val="20"/>
          <w:szCs w:val="20"/>
        </w:rPr>
        <w:fldChar w:fldCharType="begin"/>
      </w:r>
      <w:r w:rsidR="009060F5">
        <w:rPr>
          <w:rFonts w:ascii="Times New Roman" w:hAnsi="Times New Roman" w:cs="Times New Roman"/>
          <w:sz w:val="20"/>
          <w:szCs w:val="20"/>
        </w:rPr>
        <w:instrText xml:space="preserve"> NOTEREF _Ref145400364 \h </w:instrText>
      </w:r>
      <w:r w:rsidR="009060F5">
        <w:rPr>
          <w:rFonts w:ascii="Times New Roman" w:hAnsi="Times New Roman" w:cs="Times New Roman"/>
          <w:sz w:val="20"/>
          <w:szCs w:val="20"/>
        </w:rPr>
      </w:r>
      <w:r w:rsidR="009060F5">
        <w:rPr>
          <w:rFonts w:ascii="Times New Roman" w:hAnsi="Times New Roman" w:cs="Times New Roman"/>
          <w:sz w:val="20"/>
          <w:szCs w:val="20"/>
        </w:rPr>
        <w:fldChar w:fldCharType="separate"/>
      </w:r>
      <w:r w:rsidR="009060F5">
        <w:rPr>
          <w:rFonts w:ascii="Times New Roman" w:hAnsi="Times New Roman" w:cs="Times New Roman"/>
          <w:sz w:val="20"/>
          <w:szCs w:val="20"/>
        </w:rPr>
        <w:t>17</w:t>
      </w:r>
      <w:r w:rsidR="009060F5">
        <w:rPr>
          <w:rFonts w:ascii="Times New Roman" w:hAnsi="Times New Roman" w:cs="Times New Roman"/>
          <w:sz w:val="20"/>
          <w:szCs w:val="20"/>
        </w:rPr>
        <w:fldChar w:fldCharType="end"/>
      </w:r>
      <w:r w:rsidRPr="00BA4A9E">
        <w:rPr>
          <w:rFonts w:ascii="Times New Roman" w:hAnsi="Times New Roman" w:cs="Times New Roman"/>
          <w:sz w:val="20"/>
          <w:szCs w:val="20"/>
        </w:rPr>
        <w:t xml:space="preserve"> at </w:t>
      </w:r>
      <w:r w:rsidRPr="00BA4A9E">
        <w:rPr>
          <w:rFonts w:ascii="Times New Roman" w:eastAsia="Times New Roman" w:hAnsi="Times New Roman" w:cs="Times New Roman"/>
          <w:sz w:val="20"/>
          <w:szCs w:val="20"/>
        </w:rPr>
        <w:t>¶</w:t>
      </w:r>
      <w:r w:rsidRPr="00BA4A9E">
        <w:rPr>
          <w:rFonts w:ascii="Times New Roman" w:hAnsi="Times New Roman" w:cs="Times New Roman"/>
          <w:sz w:val="20"/>
          <w:szCs w:val="20"/>
        </w:rPr>
        <w:t xml:space="preserve"> 51(a)-(b).</w:t>
      </w:r>
    </w:p>
  </w:endnote>
  <w:endnote w:id="122">
    <w:p w14:paraId="575EBC23" w14:textId="400577DF"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Konrad Franco, Caitlin Patler, &amp; Keramet Reiter, </w:t>
      </w:r>
      <w:r w:rsidRPr="00BA4A9E">
        <w:rPr>
          <w:rFonts w:ascii="Times New Roman" w:hAnsi="Times New Roman" w:cs="Times New Roman"/>
          <w:i/>
          <w:sz w:val="20"/>
          <w:szCs w:val="20"/>
        </w:rPr>
        <w:t>Punishing Status and the Punishment Status Quo: Solitary Confinement in US Immigration Prisons</w:t>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2013-2017</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SocArXiv</w:t>
      </w:r>
      <w:r w:rsidRPr="00BA4A9E">
        <w:rPr>
          <w:rFonts w:ascii="Times New Roman" w:hAnsi="Times New Roman" w:cs="Times New Roman"/>
          <w:sz w:val="20"/>
          <w:szCs w:val="20"/>
        </w:rPr>
        <w:t xml:space="preserve"> (Apr. 2020), </w:t>
      </w:r>
      <w:hyperlink r:id="rId107" w:history="1">
        <w:r w:rsidRPr="00BA4A9E">
          <w:rPr>
            <w:rStyle w:val="Hyperlink"/>
            <w:rFonts w:ascii="Times New Roman" w:hAnsi="Times New Roman" w:cs="Times New Roman"/>
            <w:color w:val="auto"/>
            <w:sz w:val="20"/>
            <w:szCs w:val="20"/>
          </w:rPr>
          <w:t>https://osf.io/preprints/socarxiv/zdy7f/</w:t>
        </w:r>
      </w:hyperlink>
      <w:r w:rsidRPr="00BA4A9E">
        <w:rPr>
          <w:rFonts w:ascii="Times New Roman" w:hAnsi="Times New Roman" w:cs="Times New Roman"/>
          <w:sz w:val="20"/>
          <w:szCs w:val="20"/>
        </w:rPr>
        <w:t>.</w:t>
      </w:r>
    </w:p>
  </w:endnote>
  <w:endnote w:id="123">
    <w:p w14:paraId="68646467" w14:textId="4F291609"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bookmarkStart w:id="56" w:name="_Hlk145395629"/>
      <w:r w:rsidRPr="00BA4A9E">
        <w:rPr>
          <w:rFonts w:ascii="Times New Roman" w:hAnsi="Times New Roman" w:cs="Times New Roman"/>
          <w:i/>
          <w:sz w:val="20"/>
          <w:szCs w:val="20"/>
        </w:rPr>
        <w:t xml:space="preserve">See </w:t>
      </w:r>
      <w:r w:rsidRPr="00BA4A9E">
        <w:rPr>
          <w:rFonts w:ascii="Times New Roman" w:hAnsi="Times New Roman" w:cs="Times New Roman"/>
          <w:sz w:val="20"/>
          <w:szCs w:val="20"/>
        </w:rPr>
        <w:t>Black Alliance for Just Immigration</w:t>
      </w:r>
      <w:r w:rsidR="008A5B72">
        <w:rPr>
          <w:rFonts w:ascii="Times New Roman" w:hAnsi="Times New Roman" w:cs="Times New Roman"/>
          <w:sz w:val="20"/>
          <w:szCs w:val="20"/>
        </w:rPr>
        <w:t>, Haitian Bridge Alliance, RFK Human Rights</w:t>
      </w:r>
      <w:r w:rsidRPr="00BA4A9E">
        <w:rPr>
          <w:rFonts w:ascii="Times New Roman" w:hAnsi="Times New Roman" w:cs="Times New Roman"/>
          <w:sz w:val="20"/>
          <w:szCs w:val="20"/>
        </w:rPr>
        <w:t xml:space="preserve"> et al., </w:t>
      </w:r>
      <w:r w:rsidRPr="00BA4A9E">
        <w:rPr>
          <w:rFonts w:ascii="Times New Roman" w:hAnsi="Times New Roman" w:cs="Times New Roman"/>
          <w:i/>
          <w:iCs/>
          <w:sz w:val="20"/>
          <w:szCs w:val="20"/>
        </w:rPr>
        <w:t>Shadow Report to the Committee on the Elimination of Racial Discrimination (CERD) 107th Session</w:t>
      </w:r>
      <w:r w:rsidRPr="00BA4A9E">
        <w:rPr>
          <w:rFonts w:ascii="Times New Roman" w:hAnsi="Times New Roman" w:cs="Times New Roman"/>
          <w:sz w:val="20"/>
          <w:szCs w:val="20"/>
        </w:rPr>
        <w:t xml:space="preserve">, ¶¶ 66-76, 82 (Aug. 2022), </w:t>
      </w:r>
      <w:hyperlink r:id="rId108" w:history="1">
        <w:r w:rsidRPr="00BA4A9E">
          <w:rPr>
            <w:rStyle w:val="Hyperlink"/>
            <w:rFonts w:ascii="Times New Roman" w:hAnsi="Times New Roman" w:cs="Times New Roman"/>
            <w:color w:val="auto"/>
            <w:sz w:val="20"/>
            <w:szCs w:val="20"/>
          </w:rPr>
          <w:t>https://rfkhr.imgix.net/asset/US-Coalition_anti-Black-Discrimination-in-Immigration__CERD-Report_072222.pdf</w:t>
        </w:r>
      </w:hyperlink>
      <w:r w:rsidRPr="00BA4A9E">
        <w:rPr>
          <w:rFonts w:ascii="Times New Roman" w:eastAsia="Roboto" w:hAnsi="Times New Roman" w:cs="Times New Roman"/>
          <w:sz w:val="20"/>
          <w:szCs w:val="20"/>
          <w:shd w:val="clear" w:color="auto" w:fill="FDFAF5"/>
        </w:rPr>
        <w:t xml:space="preserve"> </w:t>
      </w:r>
      <w:r w:rsidRPr="00BA4A9E">
        <w:rPr>
          <w:rFonts w:ascii="Times New Roman" w:hAnsi="Times New Roman" w:cs="Times New Roman"/>
          <w:sz w:val="20"/>
          <w:szCs w:val="20"/>
        </w:rPr>
        <w:t>(documenting racial disparities in custody length and conditions of release from immigration detention).</w:t>
      </w:r>
      <w:bookmarkEnd w:id="56"/>
    </w:p>
  </w:endnote>
  <w:endnote w:id="124">
    <w:p w14:paraId="6E6CAD84" w14:textId="4E8C630C"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id. </w:t>
      </w:r>
      <w:r w:rsidRPr="00BA4A9E">
        <w:rPr>
          <w:rFonts w:ascii="Times New Roman" w:hAnsi="Times New Roman" w:cs="Times New Roman"/>
          <w:sz w:val="20"/>
          <w:szCs w:val="20"/>
        </w:rPr>
        <w:t>at ¶¶ 77-90 (detailing racial abuse and anti-Black animus against people held in detention).</w:t>
      </w:r>
    </w:p>
  </w:endnote>
  <w:endnote w:id="125">
    <w:p w14:paraId="036705B6" w14:textId="7E369156"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e.g., </w:t>
      </w:r>
      <w:r w:rsidRPr="00BA4A9E">
        <w:rPr>
          <w:rFonts w:ascii="Times New Roman" w:hAnsi="Times New Roman" w:cs="Times New Roman"/>
          <w:sz w:val="20"/>
          <w:szCs w:val="20"/>
        </w:rPr>
        <w:t xml:space="preserve">Daniella Silva, </w:t>
      </w:r>
      <w:r w:rsidRPr="00BA4A9E">
        <w:rPr>
          <w:rFonts w:ascii="Times New Roman" w:hAnsi="Times New Roman" w:cs="Times New Roman"/>
          <w:i/>
          <w:sz w:val="20"/>
          <w:szCs w:val="20"/>
        </w:rPr>
        <w:t>Detainees and advocates decry 'horrific' conditions at Louisiana ICE detention center</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NBC News</w:t>
      </w:r>
      <w:r w:rsidRPr="00BA4A9E">
        <w:rPr>
          <w:rFonts w:ascii="Times New Roman" w:hAnsi="Times New Roman" w:cs="Times New Roman"/>
          <w:sz w:val="20"/>
          <w:szCs w:val="20"/>
        </w:rPr>
        <w:t xml:space="preserve"> (July 17, 2023), </w:t>
      </w:r>
      <w:hyperlink r:id="rId109" w:history="1">
        <w:r w:rsidRPr="00BA4A9E">
          <w:rPr>
            <w:rStyle w:val="Hyperlink"/>
            <w:rFonts w:ascii="Times New Roman" w:hAnsi="Times New Roman" w:cs="Times New Roman"/>
            <w:color w:val="auto"/>
            <w:sz w:val="20"/>
            <w:szCs w:val="20"/>
          </w:rPr>
          <w:t>https://www.nbcnews.com/news/detainees-advocates-decry-horrific-conditions-louisiana-ice-detention-rcna92339</w:t>
        </w:r>
      </w:hyperlink>
      <w:r w:rsidRPr="00BA4A9E">
        <w:rPr>
          <w:rFonts w:ascii="Times New Roman" w:hAnsi="Times New Roman" w:cs="Times New Roman"/>
          <w:sz w:val="20"/>
          <w:szCs w:val="20"/>
        </w:rPr>
        <w:t xml:space="preserve"> (describing years of unresolved complaints about inadequate </w:t>
      </w:r>
      <w:hyperlink r:id="rId110" w:history="1">
        <w:r w:rsidRPr="00BA4A9E">
          <w:rPr>
            <w:rFonts w:ascii="Times New Roman" w:hAnsi="Times New Roman" w:cs="Times New Roman"/>
            <w:sz w:val="20"/>
            <w:szCs w:val="20"/>
          </w:rPr>
          <w:t>medical care</w:t>
        </w:r>
      </w:hyperlink>
      <w:r w:rsidRPr="00BA4A9E">
        <w:rPr>
          <w:rFonts w:ascii="Times New Roman" w:hAnsi="Times New Roman" w:cs="Times New Roman"/>
          <w:sz w:val="20"/>
          <w:szCs w:val="20"/>
        </w:rPr>
        <w:t>, </w:t>
      </w:r>
      <w:hyperlink r:id="rId111" w:history="1">
        <w:r w:rsidRPr="00BA4A9E">
          <w:rPr>
            <w:rFonts w:ascii="Times New Roman" w:hAnsi="Times New Roman" w:cs="Times New Roman"/>
            <w:sz w:val="20"/>
            <w:szCs w:val="20"/>
          </w:rPr>
          <w:t>filthy accommodations and mistreatment</w:t>
        </w:r>
      </w:hyperlink>
      <w:r w:rsidRPr="00BA4A9E">
        <w:rPr>
          <w:rFonts w:ascii="Times New Roman" w:hAnsi="Times New Roman" w:cs="Times New Roman"/>
          <w:sz w:val="20"/>
          <w:szCs w:val="20"/>
        </w:rPr>
        <w:t xml:space="preserve"> of detainees); Philip Marcelo &amp; Gerald Herbert, </w:t>
      </w:r>
      <w:r w:rsidRPr="00BA4A9E">
        <w:rPr>
          <w:rFonts w:ascii="Times New Roman" w:hAnsi="Times New Roman" w:cs="Times New Roman"/>
          <w:i/>
          <w:sz w:val="20"/>
          <w:szCs w:val="20"/>
        </w:rPr>
        <w:t>Immigrant detentions soar despite Biden’s campaign promises</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AP News</w:t>
      </w:r>
      <w:r w:rsidRPr="00BA4A9E">
        <w:rPr>
          <w:rFonts w:ascii="Times New Roman" w:hAnsi="Times New Roman" w:cs="Times New Roman"/>
          <w:sz w:val="20"/>
          <w:szCs w:val="20"/>
        </w:rPr>
        <w:t xml:space="preserve"> (Aug. 5, 2021), </w:t>
      </w:r>
      <w:hyperlink r:id="rId112" w:history="1">
        <w:r w:rsidRPr="00BA4A9E">
          <w:rPr>
            <w:rStyle w:val="Hyperlink"/>
            <w:rFonts w:ascii="Times New Roman" w:hAnsi="Times New Roman" w:cs="Times New Roman"/>
            <w:color w:val="auto"/>
            <w:sz w:val="20"/>
            <w:szCs w:val="20"/>
          </w:rPr>
          <w:t>https://apnews.com/article/joe-biden-health-immigration-coronavirus-pandemic-4d7427ff67d586a77487b7efec58e74d</w:t>
        </w:r>
      </w:hyperlink>
      <w:r w:rsidRPr="00BA4A9E">
        <w:rPr>
          <w:rFonts w:ascii="Times New Roman" w:hAnsi="Times New Roman" w:cs="Times New Roman"/>
          <w:sz w:val="20"/>
          <w:szCs w:val="20"/>
        </w:rPr>
        <w:t xml:space="preserve"> (recounting the story of an asylum seeker at Winn Correctional Center that contracted COVID-19, faced racist taunts and abuse from guards, and was harassed by fellow detainees for being gay).</w:t>
      </w:r>
    </w:p>
  </w:endnote>
  <w:endnote w:id="126">
    <w:p w14:paraId="5123820B" w14:textId="43EFEA61" w:rsidR="000362C9" w:rsidRPr="00BA4A9E" w:rsidRDefault="000362C9" w:rsidP="00F13970">
      <w:pPr>
        <w:rPr>
          <w:rFonts w:ascii="Times New Roman" w:hAnsi="Times New Roman" w:cs="Times New Roman"/>
          <w:sz w:val="20"/>
          <w:szCs w:val="20"/>
          <w:u w:val="single"/>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U.S. Department of Homeland Security, Office for Civil Rights and Civil Liberties, Letter regarding ICE’s Oversight of the New Orleans Field Office at p. 8 (Dec. 7, 2021), </w:t>
      </w:r>
      <w:hyperlink r:id="rId113">
        <w:r w:rsidRPr="00BA4A9E">
          <w:rPr>
            <w:rFonts w:ascii="Times New Roman" w:hAnsi="Times New Roman" w:cs="Times New Roman"/>
            <w:sz w:val="20"/>
            <w:szCs w:val="20"/>
            <w:u w:val="single"/>
          </w:rPr>
          <w:t>https://www.dhs.gov/sites/default/files/2022-08/2021.12.07%20CRCL%20Retention%20Memo%20to%20ICE%20-%20Oversight%20of%20New%20Orleans%20AOR%20-%20Redacted_508.pdf</w:t>
        </w:r>
      </w:hyperlink>
      <w:r w:rsidRPr="00BA4A9E">
        <w:rPr>
          <w:rFonts w:ascii="Times New Roman" w:hAnsi="Times New Roman" w:cs="Times New Roman"/>
          <w:sz w:val="20"/>
          <w:szCs w:val="20"/>
          <w:u w:val="single"/>
        </w:rPr>
        <w:t xml:space="preserve">; </w:t>
      </w:r>
      <w:r w:rsidRPr="00BA4A9E">
        <w:rPr>
          <w:rFonts w:ascii="Times New Roman" w:hAnsi="Times New Roman" w:cs="Times New Roman"/>
          <w:sz w:val="20"/>
          <w:szCs w:val="20"/>
        </w:rPr>
        <w:t xml:space="preserve">Hamded Aziz, </w:t>
      </w:r>
      <w:r w:rsidRPr="00BA4A9E">
        <w:rPr>
          <w:rFonts w:ascii="Times New Roman" w:hAnsi="Times New Roman" w:cs="Times New Roman"/>
          <w:i/>
          <w:sz w:val="20"/>
          <w:szCs w:val="20"/>
        </w:rPr>
        <w:t>Internal Investigators Told ICE To Stop Sending Immigrants To A Prison In Louisiana Because Of A Culture That Can Lead To Abuse</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BuzzFeed News</w:t>
      </w:r>
      <w:r w:rsidRPr="00BA4A9E">
        <w:rPr>
          <w:rFonts w:ascii="Times New Roman" w:hAnsi="Times New Roman" w:cs="Times New Roman"/>
          <w:sz w:val="20"/>
          <w:szCs w:val="20"/>
        </w:rPr>
        <w:t xml:space="preserve"> (Dec. 15, 2021), </w:t>
      </w:r>
      <w:hyperlink r:id="rId114">
        <w:r w:rsidRPr="00BA4A9E">
          <w:rPr>
            <w:rFonts w:ascii="Times New Roman" w:hAnsi="Times New Roman" w:cs="Times New Roman"/>
            <w:sz w:val="20"/>
            <w:szCs w:val="20"/>
            <w:u w:val="single"/>
          </w:rPr>
          <w:t>https://www.buzzfeednews.com/article/hamedaleaziz/ice-private-prison-louisiana-conditions</w:t>
        </w:r>
      </w:hyperlink>
      <w:r w:rsidRPr="00BA4A9E">
        <w:rPr>
          <w:rFonts w:ascii="Times New Roman" w:hAnsi="Times New Roman" w:cs="Times New Roman"/>
          <w:sz w:val="20"/>
          <w:szCs w:val="20"/>
        </w:rPr>
        <w:t xml:space="preserve"> (reporting on Winn’s “culture of abuse”).</w:t>
      </w:r>
    </w:p>
  </w:endnote>
  <w:endnote w:id="127">
    <w:p w14:paraId="5A40B9C2" w14:textId="497FC0B6"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Id.</w:t>
      </w:r>
    </w:p>
  </w:endnote>
  <w:endnote w:id="128">
    <w:p w14:paraId="0023388C" w14:textId="6ACAC895"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Philip Marcelo &amp; Gerald Herbert, </w:t>
      </w:r>
      <w:r w:rsidRPr="00BA4A9E">
        <w:rPr>
          <w:rFonts w:ascii="Times New Roman" w:hAnsi="Times New Roman" w:cs="Times New Roman"/>
          <w:i/>
          <w:sz w:val="20"/>
          <w:szCs w:val="20"/>
        </w:rPr>
        <w:t>Immigrant detentions soar despite Biden’s campaign promises</w:t>
      </w:r>
      <w:r w:rsidRPr="00BA4A9E">
        <w:rPr>
          <w:rFonts w:ascii="Times New Roman" w:hAnsi="Times New Roman" w:cs="Times New Roman"/>
          <w:sz w:val="20"/>
          <w:szCs w:val="20"/>
        </w:rPr>
        <w:t xml:space="preserve">, AP News (Aug. 5, 2021), </w:t>
      </w:r>
      <w:hyperlink r:id="rId115" w:history="1">
        <w:r w:rsidRPr="00BA4A9E">
          <w:rPr>
            <w:rStyle w:val="Hyperlink"/>
            <w:rFonts w:ascii="Times New Roman" w:hAnsi="Times New Roman" w:cs="Times New Roman"/>
            <w:color w:val="auto"/>
            <w:sz w:val="20"/>
            <w:szCs w:val="20"/>
          </w:rPr>
          <w:t>https://apnews.com/article/joe-biden-health-immigration-coronavirus-pandemic-4d7427ff67d586a77487b7efec58e74d</w:t>
        </w:r>
      </w:hyperlink>
      <w:r w:rsidRPr="00BA4A9E">
        <w:rPr>
          <w:rStyle w:val="Hyperlink"/>
          <w:rFonts w:ascii="Times New Roman" w:hAnsi="Times New Roman" w:cs="Times New Roman"/>
          <w:color w:val="auto"/>
          <w:sz w:val="20"/>
          <w:szCs w:val="20"/>
          <w:u w:val="none"/>
        </w:rPr>
        <w:t>.</w:t>
      </w:r>
    </w:p>
  </w:endnote>
  <w:endnote w:id="129">
    <w:p w14:paraId="623D0A01" w14:textId="26E28711" w:rsidR="000362C9" w:rsidRPr="00BA4A9E" w:rsidRDefault="000362C9" w:rsidP="00F13970">
      <w:pPr>
        <w:rPr>
          <w:rFonts w:ascii="Times New Roman" w:hAnsi="Times New Roman" w:cs="Times New Roman"/>
          <w:sz w:val="20"/>
          <w:szCs w:val="20"/>
        </w:rPr>
      </w:pPr>
      <w:r w:rsidRPr="00BA4A9E">
        <w:rPr>
          <w:rFonts w:ascii="Times New Roman" w:hAnsi="Times New Roman" w:cs="Times New Roman"/>
          <w:sz w:val="20"/>
          <w:szCs w:val="20"/>
          <w:vertAlign w:val="superscript"/>
        </w:rPr>
        <w:endnoteRef/>
      </w:r>
      <w:r w:rsidRPr="00BA4A9E">
        <w:rPr>
          <w:rFonts w:ascii="Times New Roman" w:hAnsi="Times New Roman" w:cs="Times New Roman"/>
          <w:sz w:val="20"/>
          <w:szCs w:val="20"/>
        </w:rPr>
        <w:t xml:space="preserve"> University of Miami &amp; ACLU of Florida, Florida Immigrant Detention Database, </w:t>
      </w:r>
      <w:hyperlink r:id="rId116" w:history="1">
        <w:r w:rsidRPr="00BA4A9E">
          <w:rPr>
            <w:rStyle w:val="Hyperlink"/>
            <w:rFonts w:ascii="Times New Roman" w:hAnsi="Times New Roman" w:cs="Times New Roman"/>
            <w:color w:val="auto"/>
            <w:sz w:val="20"/>
            <w:szCs w:val="20"/>
          </w:rPr>
          <w:t>https://public.tableau.com/app/profile/aclu.fl/viz/FLDetentionDatabase/u</w:t>
        </w:r>
      </w:hyperlink>
      <w:r w:rsidRPr="00BA4A9E">
        <w:rPr>
          <w:rFonts w:ascii="Times New Roman" w:hAnsi="Times New Roman" w:cs="Times New Roman"/>
          <w:sz w:val="20"/>
          <w:szCs w:val="20"/>
        </w:rPr>
        <w:t xml:space="preserve"> (last visited Sept. 7, 2023).</w:t>
      </w:r>
    </w:p>
  </w:endnote>
  <w:endnote w:id="130">
    <w:p w14:paraId="5AB5BC94" w14:textId="2622A995" w:rsidR="000362C9" w:rsidRPr="00BA4A9E" w:rsidRDefault="000362C9" w:rsidP="00F13970">
      <w:pPr>
        <w:rPr>
          <w:rFonts w:ascii="Times New Roman" w:eastAsia="Times New Roman" w:hAnsi="Times New Roman" w:cs="Times New Roman"/>
          <w:sz w:val="20"/>
          <w:szCs w:val="20"/>
        </w:rPr>
      </w:pPr>
      <w:r w:rsidRPr="00BA4A9E">
        <w:rPr>
          <w:rFonts w:ascii="Times New Roman" w:eastAsia="Times New Roman" w:hAnsi="Times New Roman" w:cs="Times New Roman"/>
          <w:sz w:val="20"/>
          <w:szCs w:val="20"/>
          <w:vertAlign w:val="superscript"/>
        </w:rPr>
        <w:endnoteRef/>
      </w:r>
      <w:r w:rsidRPr="00BA4A9E">
        <w:rPr>
          <w:rFonts w:ascii="Times New Roman" w:eastAsia="Times New Roman" w:hAnsi="Times New Roman" w:cs="Times New Roman"/>
          <w:sz w:val="20"/>
          <w:szCs w:val="20"/>
        </w:rPr>
        <w:t xml:space="preserve"> </w:t>
      </w:r>
      <w:r w:rsidRPr="00BA4A9E">
        <w:rPr>
          <w:rFonts w:ascii="Times New Roman" w:eastAsia="Times New Roman" w:hAnsi="Times New Roman" w:cs="Times New Roman"/>
          <w:i/>
          <w:iCs/>
          <w:sz w:val="20"/>
          <w:szCs w:val="20"/>
        </w:rPr>
        <w:t>Jane Doe v. Baker County</w:t>
      </w:r>
      <w:r w:rsidRPr="00BA4A9E">
        <w:rPr>
          <w:rFonts w:ascii="Times New Roman" w:eastAsia="Times New Roman" w:hAnsi="Times New Roman" w:cs="Times New Roman"/>
          <w:sz w:val="20"/>
          <w:szCs w:val="20"/>
        </w:rPr>
        <w:t xml:space="preserve">, Case No. 3:23-cv-00609, M.D. Fla (May 19, 2023), complaint available at </w:t>
      </w:r>
      <w:hyperlink r:id="rId117" w:history="1">
        <w:r w:rsidRPr="00BA4A9E">
          <w:rPr>
            <w:rStyle w:val="Hyperlink"/>
            <w:rFonts w:ascii="Times New Roman" w:eastAsia="Times New Roman" w:hAnsi="Times New Roman" w:cs="Times New Roman"/>
            <w:color w:val="auto"/>
            <w:sz w:val="20"/>
            <w:szCs w:val="20"/>
          </w:rPr>
          <w:t>https://s3.documentcloud.org/documents/23855473/doe-v-baker-county-md-fla-may-19-2023-sex-trafficking.pdf</w:t>
        </w:r>
      </w:hyperlink>
      <w:r w:rsidRPr="00BA4A9E">
        <w:rPr>
          <w:rFonts w:ascii="Times New Roman" w:eastAsia="Times New Roman" w:hAnsi="Times New Roman" w:cs="Times New Roman"/>
          <w:sz w:val="20"/>
          <w:szCs w:val="20"/>
        </w:rPr>
        <w:t>.</w:t>
      </w:r>
    </w:p>
  </w:endnote>
  <w:endnote w:id="131">
    <w:p w14:paraId="3035ADD2" w14:textId="0507C03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Associated Press, </w:t>
      </w:r>
      <w:r w:rsidRPr="00BA4A9E">
        <w:rPr>
          <w:rFonts w:ascii="Times New Roman" w:hAnsi="Times New Roman" w:cs="Times New Roman"/>
          <w:i/>
          <w:iCs/>
        </w:rPr>
        <w:t>The Latest: Mexican leader warns against ‘coercive measures’</w:t>
      </w:r>
      <w:r w:rsidRPr="00BA4A9E">
        <w:rPr>
          <w:rFonts w:ascii="Times New Roman" w:hAnsi="Times New Roman" w:cs="Times New Roman"/>
        </w:rPr>
        <w:t xml:space="preserve"> (May 30, 2019), </w:t>
      </w:r>
      <w:hyperlink r:id="rId118" w:history="1">
        <w:r w:rsidRPr="00BA4A9E">
          <w:rPr>
            <w:rStyle w:val="Hyperlink"/>
            <w:rFonts w:ascii="Times New Roman" w:hAnsi="Times New Roman" w:cs="Times New Roman"/>
            <w:color w:val="auto"/>
          </w:rPr>
          <w:t>https://apnews.com/article/0e406b5b8a8c405491461188022a824c</w:t>
        </w:r>
      </w:hyperlink>
      <w:r w:rsidRPr="00BA4A9E">
        <w:rPr>
          <w:rFonts w:ascii="Times New Roman" w:hAnsi="Times New Roman" w:cs="Times New Roman"/>
        </w:rPr>
        <w:t xml:space="preserve"> (letter from Mexican President López Obrador to U.S. President Trump stating that “[t]he Statue of Liberty is not an empty symbol.”).</w:t>
      </w:r>
    </w:p>
  </w:endnote>
  <w:endnote w:id="132">
    <w:p w14:paraId="1C1DCEA3" w14:textId="2308548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Joint Declaration and Supplementary Agreement Between the UNITED STATES OF AMERICA and MEXICO</w:t>
      </w:r>
      <w:r w:rsidRPr="00BA4A9E">
        <w:rPr>
          <w:rFonts w:ascii="Times New Roman" w:hAnsi="Times New Roman" w:cs="Times New Roman"/>
        </w:rPr>
        <w:t xml:space="preserve">, (June 7, 2019), </w:t>
      </w:r>
      <w:hyperlink r:id="rId119" w:history="1">
        <w:r w:rsidRPr="00BA4A9E">
          <w:rPr>
            <w:rStyle w:val="Hyperlink"/>
            <w:rFonts w:ascii="Times New Roman" w:hAnsi="Times New Roman" w:cs="Times New Roman"/>
            <w:color w:val="auto"/>
          </w:rPr>
          <w:t>https://www.state.gov/wp-content/uploads/2019/09/19-607-Mexico-Migration-and-Refugees.pdf</w:t>
        </w:r>
      </w:hyperlink>
      <w:r w:rsidRPr="00BA4A9E">
        <w:rPr>
          <w:rFonts w:ascii="Times New Roman" w:hAnsi="Times New Roman" w:cs="Times New Roman"/>
        </w:rPr>
        <w:t xml:space="preserve">; </w:t>
      </w:r>
      <w:r w:rsidRPr="00BA4A9E">
        <w:rPr>
          <w:rFonts w:ascii="Times New Roman" w:hAnsi="Times New Roman" w:cs="Times New Roman"/>
          <w:i/>
          <w:iCs/>
        </w:rPr>
        <w:t>see International Organizations Denounce that Proposed National Guard Model in Mexico Violates International Law</w:t>
      </w:r>
      <w:r w:rsidRPr="00BA4A9E">
        <w:rPr>
          <w:rFonts w:ascii="Times New Roman" w:hAnsi="Times New Roman" w:cs="Times New Roman"/>
        </w:rPr>
        <w:t xml:space="preserve">, WOLA (February 21, 2019), </w:t>
      </w:r>
      <w:hyperlink r:id="rId120" w:history="1">
        <w:r w:rsidRPr="00BA4A9E">
          <w:rPr>
            <w:rStyle w:val="Hyperlink"/>
            <w:rFonts w:ascii="Times New Roman" w:hAnsi="Times New Roman" w:cs="Times New Roman"/>
            <w:color w:val="auto"/>
          </w:rPr>
          <w:t>https://www.wola.org/2019/02/mexico-national-guard-violates-international-law/</w:t>
        </w:r>
      </w:hyperlink>
      <w:r w:rsidRPr="00BA4A9E">
        <w:rPr>
          <w:rFonts w:ascii="Times New Roman" w:hAnsi="Times New Roman" w:cs="Times New Roman"/>
        </w:rPr>
        <w:t xml:space="preserve">; Maureen Meyer &amp; Adan Isacson, </w:t>
      </w:r>
      <w:r w:rsidRPr="00BA4A9E">
        <w:rPr>
          <w:rFonts w:ascii="Times New Roman" w:hAnsi="Times New Roman" w:cs="Times New Roman"/>
          <w:i/>
          <w:iCs/>
        </w:rPr>
        <w:t>The “Wall” Before the Wall: Mexico’s Crackdown on Migration at its Southern Border</w:t>
      </w:r>
      <w:r w:rsidRPr="00BA4A9E">
        <w:rPr>
          <w:rFonts w:ascii="Times New Roman" w:hAnsi="Times New Roman" w:cs="Times New Roman"/>
        </w:rPr>
        <w:t xml:space="preserve">, WOLA (Dec. 17, 2019), </w:t>
      </w:r>
      <w:hyperlink r:id="rId121" w:history="1">
        <w:r w:rsidRPr="00BA4A9E">
          <w:rPr>
            <w:rStyle w:val="Hyperlink"/>
            <w:rFonts w:ascii="Times New Roman" w:hAnsi="Times New Roman" w:cs="Times New Roman"/>
            <w:color w:val="auto"/>
          </w:rPr>
          <w:t>https://www.wola.org/analysis/mexico-southern-border-report/</w:t>
        </w:r>
      </w:hyperlink>
      <w:r w:rsidRPr="00BA4A9E">
        <w:rPr>
          <w:rFonts w:ascii="Times New Roman" w:hAnsi="Times New Roman" w:cs="Times New Roman"/>
        </w:rPr>
        <w:t xml:space="preserve">; Ribando Seelke, Clare, </w:t>
      </w:r>
      <w:r w:rsidRPr="00BA4A9E">
        <w:rPr>
          <w:rFonts w:ascii="Times New Roman" w:hAnsi="Times New Roman" w:cs="Times New Roman"/>
          <w:i/>
          <w:iCs/>
        </w:rPr>
        <w:t>Mexico’s Immigration Control Efforts</w:t>
      </w:r>
      <w:r w:rsidRPr="00BA4A9E">
        <w:rPr>
          <w:rFonts w:ascii="Times New Roman" w:hAnsi="Times New Roman" w:cs="Times New Roman"/>
        </w:rPr>
        <w:t xml:space="preserve">, </w:t>
      </w:r>
      <w:r w:rsidRPr="00BA4A9E">
        <w:rPr>
          <w:rFonts w:ascii="Times New Roman" w:hAnsi="Times New Roman" w:cs="Times New Roman"/>
          <w:i/>
          <w:iCs/>
        </w:rPr>
        <w:t>Congressional Research Service</w:t>
      </w:r>
      <w:r w:rsidRPr="00BA4A9E">
        <w:rPr>
          <w:rFonts w:ascii="Times New Roman" w:hAnsi="Times New Roman" w:cs="Times New Roman"/>
        </w:rPr>
        <w:t xml:space="preserve">, (Jan. 3, 2022), </w:t>
      </w:r>
      <w:hyperlink r:id="rId122" w:history="1">
        <w:r w:rsidRPr="00BA4A9E">
          <w:rPr>
            <w:rStyle w:val="Hyperlink"/>
            <w:rFonts w:ascii="Times New Roman" w:hAnsi="Times New Roman" w:cs="Times New Roman"/>
            <w:color w:val="auto"/>
          </w:rPr>
          <w:t>https://sgp.fas.org/crs/row/IF10215.pdf</w:t>
        </w:r>
      </w:hyperlink>
      <w:r w:rsidRPr="00BA4A9E">
        <w:rPr>
          <w:rFonts w:ascii="Times New Roman" w:hAnsi="Times New Roman" w:cs="Times New Roman"/>
        </w:rPr>
        <w:t xml:space="preserve">.  </w:t>
      </w:r>
    </w:p>
  </w:endnote>
  <w:endnote w:id="133">
    <w:p w14:paraId="6F4D5617" w14:textId="1B5DDA6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Human Rights First, </w:t>
      </w:r>
      <w:r w:rsidRPr="00BA4A9E">
        <w:rPr>
          <w:rFonts w:ascii="Times New Roman" w:hAnsi="Times New Roman" w:cs="Times New Roman"/>
          <w:i/>
          <w:iCs/>
        </w:rPr>
        <w:t>At Two Months, Biden’s Asylum Ban Threatens Lives</w:t>
      </w:r>
      <w:r w:rsidRPr="00BA4A9E">
        <w:rPr>
          <w:rFonts w:ascii="Times New Roman" w:hAnsi="Times New Roman" w:cs="Times New Roman"/>
        </w:rPr>
        <w:t xml:space="preserve"> (July 12, 2023), </w:t>
      </w:r>
      <w:hyperlink r:id="rId123" w:history="1">
        <w:r w:rsidRPr="00BA4A9E">
          <w:rPr>
            <w:rStyle w:val="Hyperlink"/>
            <w:rFonts w:ascii="Times New Roman" w:hAnsi="Times New Roman" w:cs="Times New Roman"/>
            <w:color w:val="auto"/>
          </w:rPr>
          <w:t>https://humanrightsfirst.org/library/at-two-months-bidens-asylum-ban-threatens-lives/</w:t>
        </w:r>
      </w:hyperlink>
      <w:r w:rsidRPr="00BA4A9E">
        <w:rPr>
          <w:rFonts w:ascii="Times New Roman" w:hAnsi="Times New Roman" w:cs="Times New Roman"/>
        </w:rPr>
        <w:t xml:space="preserve">. </w:t>
      </w:r>
    </w:p>
  </w:endnote>
  <w:endnote w:id="134">
    <w:p w14:paraId="165A14E1" w14:textId="3C1D0F1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CB1F12" w:rsidRPr="00BA4A9E">
        <w:rPr>
          <w:rFonts w:ascii="Times New Roman" w:hAnsi="Times New Roman" w:cs="Times New Roman"/>
        </w:rPr>
        <w:t xml:space="preserve">National Immigrant Justice Center &amp; FWD.US, </w:t>
      </w:r>
      <w:r w:rsidR="00CB1F12" w:rsidRPr="00BA4A9E">
        <w:rPr>
          <w:rFonts w:ascii="Times New Roman" w:hAnsi="Times New Roman" w:cs="Times New Roman"/>
          <w:i/>
          <w:iCs/>
        </w:rPr>
        <w:t>How Offshoring and Externalization Policies Imperil the Right to Asylum</w:t>
      </w:r>
      <w:r w:rsidR="00CB1F12" w:rsidRPr="00BA4A9E">
        <w:rPr>
          <w:rFonts w:ascii="Times New Roman" w:hAnsi="Times New Roman" w:cs="Times New Roman"/>
        </w:rPr>
        <w:t xml:space="preserve">, supra n. </w:t>
      </w:r>
      <w:r w:rsidR="009060F5">
        <w:rPr>
          <w:rFonts w:ascii="Times New Roman" w:hAnsi="Times New Roman" w:cs="Times New Roman"/>
        </w:rPr>
        <w:fldChar w:fldCharType="begin"/>
      </w:r>
      <w:r w:rsidR="009060F5">
        <w:rPr>
          <w:rFonts w:ascii="Times New Roman" w:hAnsi="Times New Roman" w:cs="Times New Roman"/>
        </w:rPr>
        <w:instrText xml:space="preserve"> NOTEREF _Ref145400867 \h </w:instrText>
      </w:r>
      <w:r w:rsidR="009060F5">
        <w:rPr>
          <w:rFonts w:ascii="Times New Roman" w:hAnsi="Times New Roman" w:cs="Times New Roman"/>
        </w:rPr>
      </w:r>
      <w:r w:rsidR="009060F5">
        <w:rPr>
          <w:rFonts w:ascii="Times New Roman" w:hAnsi="Times New Roman" w:cs="Times New Roman"/>
        </w:rPr>
        <w:fldChar w:fldCharType="separate"/>
      </w:r>
      <w:r w:rsidR="009060F5">
        <w:rPr>
          <w:rFonts w:ascii="Times New Roman" w:hAnsi="Times New Roman" w:cs="Times New Roman"/>
        </w:rPr>
        <w:t>67</w:t>
      </w:r>
      <w:r w:rsidR="009060F5">
        <w:rPr>
          <w:rFonts w:ascii="Times New Roman" w:hAnsi="Times New Roman" w:cs="Times New Roman"/>
        </w:rPr>
        <w:fldChar w:fldCharType="end"/>
      </w:r>
      <w:r w:rsidR="00CB1F12" w:rsidRPr="00BA4A9E">
        <w:rPr>
          <w:rFonts w:ascii="Times New Roman" w:hAnsi="Times New Roman" w:cs="Times New Roman"/>
        </w:rPr>
        <w:t>, at</w:t>
      </w:r>
      <w:r w:rsidRPr="00BA4A9E">
        <w:rPr>
          <w:rFonts w:ascii="Times New Roman" w:hAnsi="Times New Roman" w:cs="Times New Roman"/>
        </w:rPr>
        <w:t>, pp.46-48.</w:t>
      </w:r>
    </w:p>
  </w:endnote>
  <w:endnote w:id="135">
    <w:p w14:paraId="676A1F3C" w14:textId="1746AEA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Tyler Mattiace, </w:t>
      </w:r>
      <w:r w:rsidRPr="00BA4A9E">
        <w:rPr>
          <w:rFonts w:ascii="Times New Roman" w:hAnsi="Times New Roman" w:cs="Times New Roman"/>
          <w:i/>
          <w:iCs/>
        </w:rPr>
        <w:t>Mexico Cannot Solve the US Border Crisis</w:t>
      </w:r>
      <w:r w:rsidRPr="00BA4A9E">
        <w:rPr>
          <w:rFonts w:ascii="Times New Roman" w:hAnsi="Times New Roman" w:cs="Times New Roman"/>
        </w:rPr>
        <w:t xml:space="preserve">, </w:t>
      </w:r>
      <w:r w:rsidRPr="00BA4A9E">
        <w:rPr>
          <w:rFonts w:ascii="Times New Roman" w:hAnsi="Times New Roman" w:cs="Times New Roman"/>
          <w:i/>
          <w:iCs/>
        </w:rPr>
        <w:t xml:space="preserve">Dallas Morning News </w:t>
      </w:r>
      <w:r w:rsidRPr="00BA4A9E">
        <w:rPr>
          <w:rFonts w:ascii="Times New Roman" w:hAnsi="Times New Roman" w:cs="Times New Roman"/>
        </w:rPr>
        <w:t xml:space="preserve">(May 24, 2022), </w:t>
      </w:r>
      <w:hyperlink r:id="rId124" w:history="1">
        <w:r w:rsidRPr="00BA4A9E">
          <w:rPr>
            <w:rStyle w:val="Hyperlink"/>
            <w:rFonts w:ascii="Times New Roman" w:hAnsi="Times New Roman" w:cs="Times New Roman"/>
            <w:color w:val="auto"/>
          </w:rPr>
          <w:t>https://www.dallasnews.com/opinion/commentary/2021/05/23/mexico-cannot-solve-the-us-border-crisis/</w:t>
        </w:r>
      </w:hyperlink>
      <w:r w:rsidRPr="00BA4A9E">
        <w:rPr>
          <w:rFonts w:ascii="Times New Roman" w:hAnsi="Times New Roman" w:cs="Times New Roman"/>
        </w:rPr>
        <w:t xml:space="preserve">; </w:t>
      </w:r>
      <w:r w:rsidRPr="00BA4A9E">
        <w:rPr>
          <w:rFonts w:ascii="Times New Roman" w:hAnsi="Times New Roman" w:cs="Times New Roman"/>
          <w:i/>
          <w:iCs/>
        </w:rPr>
        <w:t>US Vice President Calls for Immigration Effort With Mexico</w:t>
      </w:r>
      <w:r w:rsidRPr="00BA4A9E">
        <w:rPr>
          <w:rFonts w:ascii="Times New Roman" w:hAnsi="Times New Roman" w:cs="Times New Roman"/>
        </w:rPr>
        <w:t xml:space="preserve">, </w:t>
      </w:r>
      <w:r w:rsidRPr="00BA4A9E">
        <w:rPr>
          <w:rFonts w:ascii="Times New Roman" w:hAnsi="Times New Roman" w:cs="Times New Roman"/>
          <w:smallCaps/>
        </w:rPr>
        <w:t>VOA News</w:t>
      </w:r>
      <w:r w:rsidRPr="00BA4A9E">
        <w:rPr>
          <w:rFonts w:ascii="Times New Roman" w:hAnsi="Times New Roman" w:cs="Times New Roman"/>
        </w:rPr>
        <w:t xml:space="preserve"> (May 7, 2021), </w:t>
      </w:r>
      <w:hyperlink r:id="rId125" w:history="1">
        <w:r w:rsidRPr="00BA4A9E">
          <w:rPr>
            <w:rStyle w:val="Hyperlink"/>
            <w:rFonts w:ascii="Times New Roman" w:hAnsi="Times New Roman" w:cs="Times New Roman"/>
            <w:color w:val="auto"/>
          </w:rPr>
          <w:t>https://www.voanews.com/a/usa_us-vice-president-calls-immigration-effort-mexico/6205565.html</w:t>
        </w:r>
      </w:hyperlink>
      <w:r w:rsidRPr="00BA4A9E">
        <w:rPr>
          <w:rFonts w:ascii="Times New Roman" w:hAnsi="Times New Roman" w:cs="Times New Roman"/>
        </w:rPr>
        <w:t xml:space="preserve">.  </w:t>
      </w:r>
    </w:p>
  </w:endnote>
  <w:endnote w:id="136">
    <w:p w14:paraId="6D3D2799" w14:textId="3E3FE39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Human Rights Watch, </w:t>
      </w:r>
      <w:r w:rsidRPr="00BA4A9E">
        <w:rPr>
          <w:rFonts w:ascii="Times New Roman" w:hAnsi="Times New Roman" w:cs="Times New Roman"/>
          <w:i/>
          <w:iCs/>
        </w:rPr>
        <w:t>Mexico: Asylum Seekers Face Abuses at Southern Border</w:t>
      </w:r>
      <w:r w:rsidRPr="00BA4A9E">
        <w:rPr>
          <w:rFonts w:ascii="Times New Roman" w:hAnsi="Times New Roman" w:cs="Times New Roman"/>
        </w:rPr>
        <w:t xml:space="preserve"> (June 6, 2022), </w:t>
      </w:r>
      <w:hyperlink r:id="rId126" w:history="1">
        <w:r w:rsidRPr="00BA4A9E">
          <w:rPr>
            <w:rStyle w:val="Hyperlink"/>
            <w:rFonts w:ascii="Times New Roman" w:hAnsi="Times New Roman" w:cs="Times New Roman"/>
            <w:color w:val="auto"/>
          </w:rPr>
          <w:t>https://www.hrw.org/news/2022/06/06/mexico-asylum-seekers-face-abuses-southern-border</w:t>
        </w:r>
      </w:hyperlink>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S. Priya Morley et al.,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8E25EC">
        <w:rPr>
          <w:rFonts w:ascii="Times New Roman" w:hAnsi="Times New Roman" w:cs="Times New Roman"/>
        </w:rPr>
        <w:fldChar w:fldCharType="begin"/>
      </w:r>
      <w:r w:rsidR="008E25EC">
        <w:rPr>
          <w:rFonts w:ascii="Times New Roman" w:hAnsi="Times New Roman" w:cs="Times New Roman"/>
        </w:rPr>
        <w:instrText xml:space="preserve"> NOTEREF _Ref145400958 \h </w:instrText>
      </w:r>
      <w:r w:rsidR="008E25EC">
        <w:rPr>
          <w:rFonts w:ascii="Times New Roman" w:hAnsi="Times New Roman" w:cs="Times New Roman"/>
        </w:rPr>
      </w:r>
      <w:r w:rsidR="008E25EC">
        <w:rPr>
          <w:rFonts w:ascii="Times New Roman" w:hAnsi="Times New Roman" w:cs="Times New Roman"/>
        </w:rPr>
        <w:fldChar w:fldCharType="separate"/>
      </w:r>
      <w:r w:rsidR="008E25EC">
        <w:rPr>
          <w:rFonts w:ascii="Times New Roman" w:hAnsi="Times New Roman" w:cs="Times New Roman"/>
        </w:rPr>
        <w:t>62</w:t>
      </w:r>
      <w:r w:rsidR="008E25EC">
        <w:rPr>
          <w:rFonts w:ascii="Times New Roman" w:hAnsi="Times New Roman" w:cs="Times New Roman"/>
        </w:rPr>
        <w:fldChar w:fldCharType="end"/>
      </w:r>
      <w:r w:rsidRPr="00BA4A9E">
        <w:rPr>
          <w:rFonts w:ascii="Times New Roman" w:hAnsi="Times New Roman" w:cs="Times New Roman"/>
        </w:rPr>
        <w:t xml:space="preserve">; S. Priya Morley et al., </w:t>
      </w:r>
      <w:r w:rsidRPr="00BA4A9E">
        <w:rPr>
          <w:rFonts w:ascii="Times New Roman" w:hAnsi="Times New Roman" w:cs="Times New Roman"/>
          <w:i/>
          <w:iCs/>
        </w:rPr>
        <w:t xml:space="preserve">“There is a Target on Us” – The Impact of Anti-Black Racism on African Migrants at Mexico’s Southern Border </w:t>
      </w:r>
      <w:r w:rsidRPr="00BA4A9E">
        <w:rPr>
          <w:rFonts w:ascii="Times New Roman" w:hAnsi="Times New Roman" w:cs="Times New Roman"/>
        </w:rPr>
        <w:t xml:space="preserve">(2021), </w:t>
      </w:r>
      <w:hyperlink r:id="rId127" w:history="1">
        <w:r w:rsidRPr="00BA4A9E">
          <w:rPr>
            <w:rStyle w:val="Hyperlink"/>
            <w:rFonts w:ascii="Times New Roman" w:hAnsi="Times New Roman" w:cs="Times New Roman"/>
            <w:color w:val="auto"/>
          </w:rPr>
          <w:t>https://imumi.org/attachments/2020/The-Impact-of-Anti-Black-Racism-on-African-Migrants-at-Mexico.pdf</w:t>
        </w:r>
      </w:hyperlink>
      <w:r w:rsidRPr="00BA4A9E">
        <w:rPr>
          <w:rFonts w:ascii="Times New Roman" w:hAnsi="Times New Roman" w:cs="Times New Roman"/>
        </w:rPr>
        <w:t xml:space="preserve">; </w:t>
      </w:r>
      <w:r w:rsidRPr="00BA4A9E">
        <w:rPr>
          <w:rFonts w:ascii="Times New Roman" w:hAnsi="Times New Roman" w:cs="Times New Roman"/>
          <w:i/>
          <w:iCs/>
        </w:rPr>
        <w:t xml:space="preserve">see also </w:t>
      </w:r>
      <w:r w:rsidRPr="00BA4A9E">
        <w:rPr>
          <w:rFonts w:ascii="Times New Roman" w:hAnsi="Times New Roman" w:cs="Times New Roman"/>
        </w:rPr>
        <w:t xml:space="preserve">Caitlyn Yates, </w:t>
      </w:r>
      <w:r w:rsidRPr="00BA4A9E">
        <w:rPr>
          <w:rFonts w:ascii="Times New Roman" w:hAnsi="Times New Roman" w:cs="Times New Roman"/>
          <w:i/>
          <w:iCs/>
        </w:rPr>
        <w:t>A Case Study in the Outsourcing of US Border Control</w:t>
      </w:r>
      <w:r w:rsidRPr="00BA4A9E">
        <w:rPr>
          <w:rFonts w:ascii="Times New Roman" w:hAnsi="Times New Roman" w:cs="Times New Roman"/>
        </w:rPr>
        <w:t xml:space="preserve">, Lawfare (Apr. 11, 2019), </w:t>
      </w:r>
      <w:hyperlink r:id="rId128" w:history="1">
        <w:r w:rsidRPr="00BA4A9E">
          <w:rPr>
            <w:rStyle w:val="Hyperlink"/>
            <w:rFonts w:ascii="Times New Roman" w:hAnsi="Times New Roman" w:cs="Times New Roman"/>
            <w:color w:val="auto"/>
          </w:rPr>
          <w:t>https://www.lawfareblog.com/case-study-outsourcing-us-border-control</w:t>
        </w:r>
      </w:hyperlink>
      <w:r w:rsidRPr="00BA4A9E">
        <w:rPr>
          <w:rFonts w:ascii="Times New Roman" w:hAnsi="Times New Roman" w:cs="Times New Roman"/>
        </w:rPr>
        <w:t xml:space="preserve">.  </w:t>
      </w:r>
    </w:p>
  </w:endnote>
  <w:endnote w:id="137">
    <w:p w14:paraId="5E24FA83" w14:textId="438BD9BE"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Detuvieron a cuatro policías por la muerte de una migrante haitiana en Chiapas</w:t>
      </w:r>
      <w:r w:rsidRPr="00BA4A9E">
        <w:rPr>
          <w:rFonts w:ascii="Times New Roman" w:hAnsi="Times New Roman" w:cs="Times New Roman"/>
        </w:rPr>
        <w:t xml:space="preserve">, InfoBae (Nov. 26, 2021), </w:t>
      </w:r>
      <w:hyperlink r:id="rId129" w:history="1">
        <w:r w:rsidRPr="00BA4A9E">
          <w:rPr>
            <w:rStyle w:val="Hyperlink"/>
            <w:rFonts w:ascii="Times New Roman" w:hAnsi="Times New Roman" w:cs="Times New Roman"/>
            <w:color w:val="auto"/>
          </w:rPr>
          <w:t>https://www.infobae.com/america/mexico/2021/11/26/detuvieron-a-cuatro-policias-por-la-muerte-de-una-migrante-haitiana-en-chiapas/</w:t>
        </w:r>
      </w:hyperlink>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Refugees International, </w:t>
      </w:r>
      <w:r w:rsidRPr="00BA4A9E">
        <w:rPr>
          <w:rFonts w:ascii="Times New Roman" w:hAnsi="Times New Roman" w:cs="Times New Roman"/>
          <w:i/>
          <w:iCs/>
        </w:rPr>
        <w:t>Pushed into the Shadows: Mexico’s Reception of Haitian Migrants</w:t>
      </w:r>
      <w:r w:rsidRPr="00BA4A9E">
        <w:rPr>
          <w:rFonts w:ascii="Times New Roman" w:hAnsi="Times New Roman" w:cs="Times New Roman"/>
        </w:rPr>
        <w:t xml:space="preserve">, (Apr. 28, 2022), </w:t>
      </w:r>
      <w:hyperlink r:id="rId130" w:history="1">
        <w:r w:rsidRPr="00BA4A9E">
          <w:rPr>
            <w:rStyle w:val="Hyperlink"/>
            <w:rFonts w:ascii="Times New Roman" w:hAnsi="Times New Roman" w:cs="Times New Roman"/>
            <w:color w:val="auto"/>
          </w:rPr>
          <w:t>https://www.refugeesinternational.org/reports/2022/4/25/pushed-into-the-shadows-mexicos-reception-of-haitian-migrants</w:t>
        </w:r>
      </w:hyperlink>
      <w:r w:rsidRPr="00BA4A9E">
        <w:rPr>
          <w:rFonts w:ascii="Times New Roman" w:hAnsi="Times New Roman" w:cs="Times New Roman"/>
        </w:rPr>
        <w:t xml:space="preserve">; Tanya Duarte et al., </w:t>
      </w:r>
      <w:r w:rsidRPr="00BA4A9E">
        <w:rPr>
          <w:rFonts w:ascii="Times New Roman" w:hAnsi="Times New Roman" w:cs="Times New Roman"/>
          <w:i/>
          <w:iCs/>
        </w:rPr>
        <w:t>‘Because of the Color of My Skin and the Way I Speak Spanish’: The INM’s Detention and Deportation of Indigenous and Afro-Descendant Mexicans</w:t>
      </w:r>
      <w:r w:rsidRPr="00BA4A9E">
        <w:rPr>
          <w:rFonts w:ascii="Times New Roman" w:hAnsi="Times New Roman" w:cs="Times New Roman"/>
        </w:rPr>
        <w:t xml:space="preserve"> (July 2020), </w:t>
      </w:r>
      <w:hyperlink r:id="rId131" w:history="1">
        <w:r w:rsidRPr="00BA4A9E">
          <w:rPr>
            <w:rStyle w:val="Hyperlink"/>
            <w:rFonts w:ascii="Times New Roman" w:hAnsi="Times New Roman" w:cs="Times New Roman"/>
            <w:color w:val="auto"/>
          </w:rPr>
          <w:t>https://www.ohchr.org/sites/default/files/Documents/Issues/Racism/RES_43_1/NGOsAndOthers/coalicion-indigena-migrantes-chiapas-proyecto-afro-mexico-imumi.pdf</w:t>
        </w:r>
      </w:hyperlink>
      <w:r w:rsidRPr="00BA4A9E">
        <w:rPr>
          <w:rFonts w:ascii="Times New Roman" w:hAnsi="Times New Roman" w:cs="Times New Roman"/>
        </w:rPr>
        <w:t>.</w:t>
      </w:r>
    </w:p>
  </w:endnote>
  <w:endnote w:id="138">
    <w:p w14:paraId="4B58AF25" w14:textId="634A15C1"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Human Rights First</w:t>
      </w:r>
      <w:r w:rsidR="00031C91">
        <w:rPr>
          <w:rFonts w:ascii="Times New Roman" w:hAnsi="Times New Roman" w:cs="Times New Roman"/>
        </w:rPr>
        <w:t xml:space="preserve"> et al.</w:t>
      </w:r>
      <w:r w:rsidRPr="00BA4A9E">
        <w:rPr>
          <w:rFonts w:ascii="Times New Roman" w:hAnsi="Times New Roman" w:cs="Times New Roman"/>
        </w:rPr>
        <w:t xml:space="preserve">,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031C91">
        <w:rPr>
          <w:rFonts w:ascii="Times New Roman" w:hAnsi="Times New Roman" w:cs="Times New Roman"/>
        </w:rPr>
        <w:fldChar w:fldCharType="begin"/>
      </w:r>
      <w:r w:rsidR="00031C91">
        <w:rPr>
          <w:rFonts w:ascii="Times New Roman" w:hAnsi="Times New Roman" w:cs="Times New Roman"/>
        </w:rPr>
        <w:instrText xml:space="preserve"> NOTEREF _Ref145400992 \h </w:instrText>
      </w:r>
      <w:r w:rsidR="00031C91">
        <w:rPr>
          <w:rFonts w:ascii="Times New Roman" w:hAnsi="Times New Roman" w:cs="Times New Roman"/>
        </w:rPr>
      </w:r>
      <w:r w:rsidR="00031C91">
        <w:rPr>
          <w:rFonts w:ascii="Times New Roman" w:hAnsi="Times New Roman" w:cs="Times New Roman"/>
        </w:rPr>
        <w:fldChar w:fldCharType="separate"/>
      </w:r>
      <w:r w:rsidR="00031C91">
        <w:rPr>
          <w:rFonts w:ascii="Times New Roman" w:hAnsi="Times New Roman" w:cs="Times New Roman"/>
        </w:rPr>
        <w:t>86</w:t>
      </w:r>
      <w:r w:rsidR="00031C91">
        <w:rPr>
          <w:rFonts w:ascii="Times New Roman" w:hAnsi="Times New Roman" w:cs="Times New Roman"/>
        </w:rPr>
        <w:fldChar w:fldCharType="end"/>
      </w:r>
      <w:r w:rsidRPr="00BA4A9E">
        <w:rPr>
          <w:rFonts w:ascii="Times New Roman" w:hAnsi="Times New Roman" w:cs="Times New Roman"/>
        </w:rPr>
        <w:t>.</w:t>
      </w:r>
    </w:p>
  </w:endnote>
  <w:endnote w:id="139">
    <w:p w14:paraId="4319457F" w14:textId="347559D4"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Haitian Bridge Alliance, </w:t>
      </w:r>
      <w:r w:rsidRPr="00BA4A9E">
        <w:rPr>
          <w:rFonts w:ascii="Times New Roman" w:hAnsi="Times New Roman" w:cs="Times New Roman"/>
          <w:i/>
          <w:iCs/>
        </w:rPr>
        <w:t xml:space="preserve">Violence against Black Migrant Women in the Darién Gap (CEDAW Articles 1, 2, 3, 5, 6, 12, 15) </w:t>
      </w:r>
      <w:r w:rsidRPr="00BA4A9E">
        <w:rPr>
          <w:rFonts w:ascii="Times New Roman" w:hAnsi="Times New Roman" w:cs="Times New Roman"/>
        </w:rPr>
        <w:t xml:space="preserve">(January 12, 2022), </w:t>
      </w:r>
      <w:r w:rsidRPr="00BA4A9E">
        <w:rPr>
          <w:rFonts w:ascii="Times New Roman" w:hAnsi="Times New Roman" w:cs="Times New Roman"/>
          <w:i/>
          <w:iCs/>
        </w:rPr>
        <w:t xml:space="preserve">available at </w:t>
      </w:r>
      <w:hyperlink r:id="rId132" w:history="1">
        <w:r w:rsidR="00E32965" w:rsidRPr="00E32965">
          <w:rPr>
            <w:rStyle w:val="Hyperlink"/>
            <w:rFonts w:ascii="Times New Roman" w:hAnsi="Times New Roman" w:cs="Times New Roman"/>
            <w:color w:val="auto"/>
          </w:rPr>
          <w:t>https://tbinternet.ohchr.org/_layouts/15/treatybodyexternal/Download.aspx?symbolno=INT%2fCEDAW%2fCSS%2fPAN%2f47481&amp;Lang=en</w:t>
        </w:r>
      </w:hyperlink>
      <w:r w:rsidRPr="00E32965">
        <w:rPr>
          <w:rFonts w:ascii="Times New Roman" w:hAnsi="Times New Roman" w:cs="Times New Roman"/>
        </w:rPr>
        <w:t>;</w:t>
      </w:r>
      <w:r w:rsidR="00E32965" w:rsidRPr="00E32965">
        <w:rPr>
          <w:rFonts w:ascii="Times New Roman" w:hAnsi="Times New Roman" w:cs="Times New Roman"/>
        </w:rPr>
        <w:t xml:space="preserve"> </w:t>
      </w:r>
      <w:r w:rsidRPr="00E32965">
        <w:rPr>
          <w:rFonts w:ascii="Times New Roman" w:hAnsi="Times New Roman" w:cs="Times New Roman"/>
          <w:i/>
          <w:iCs/>
        </w:rPr>
        <w:t xml:space="preserve">see also </w:t>
      </w:r>
      <w:r w:rsidRPr="00E32965">
        <w:rPr>
          <w:rFonts w:ascii="Times New Roman" w:hAnsi="Times New Roman" w:cs="Times New Roman"/>
        </w:rPr>
        <w:t xml:space="preserve">Haitian Bridge Alliance, </w:t>
      </w:r>
      <w:r w:rsidRPr="00E32965">
        <w:rPr>
          <w:rFonts w:ascii="Times New Roman" w:hAnsi="Times New Roman" w:cs="Times New Roman"/>
          <w:i/>
          <w:iCs/>
        </w:rPr>
        <w:t xml:space="preserve">Access to Justice for Victims of Violence in the Darién Gap (ICCPR Article 14) </w:t>
      </w:r>
      <w:r w:rsidRPr="00E32965">
        <w:rPr>
          <w:rFonts w:ascii="Times New Roman" w:hAnsi="Times New Roman" w:cs="Times New Roman"/>
        </w:rPr>
        <w:t xml:space="preserve">(January 30, 2023), </w:t>
      </w:r>
      <w:r w:rsidRPr="00E32965">
        <w:rPr>
          <w:rFonts w:ascii="Times New Roman" w:hAnsi="Times New Roman" w:cs="Times New Roman"/>
          <w:i/>
          <w:iCs/>
        </w:rPr>
        <w:t xml:space="preserve">available at </w:t>
      </w:r>
      <w:hyperlink r:id="rId133" w:history="1">
        <w:r w:rsidR="00E32965" w:rsidRPr="00E32965">
          <w:rPr>
            <w:rStyle w:val="Hyperlink"/>
            <w:rFonts w:ascii="Times New Roman" w:hAnsi="Times New Roman" w:cs="Times New Roman"/>
            <w:color w:val="auto"/>
          </w:rPr>
          <w:t>https://tbinternet.ohchr.org/_layouts/15/treatybodyexternal/Download.aspx?symbolno=INT%2FCCPR%2FCSS%2FPAN%2F51506&amp;Lang=en</w:t>
        </w:r>
      </w:hyperlink>
      <w:r w:rsidRPr="00E32965">
        <w:rPr>
          <w:rFonts w:ascii="Times New Roman" w:hAnsi="Times New Roman" w:cs="Times New Roman"/>
        </w:rPr>
        <w:t>.</w:t>
      </w:r>
      <w:r w:rsidR="00E32965" w:rsidRPr="00E32965">
        <w:rPr>
          <w:rFonts w:ascii="Times New Roman" w:hAnsi="Times New Roman" w:cs="Times New Roman"/>
        </w:rPr>
        <w:t xml:space="preserve"> </w:t>
      </w:r>
      <w:r w:rsidRPr="00E32965">
        <w:rPr>
          <w:rFonts w:ascii="Times New Roman" w:hAnsi="Times New Roman" w:cs="Times New Roman"/>
        </w:rPr>
        <w:t xml:space="preserve">  </w:t>
      </w:r>
    </w:p>
  </w:endnote>
  <w:endnote w:id="140">
    <w:p w14:paraId="5FA75015" w14:textId="4B1472D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S. Priya Morley et al.,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C03F94">
        <w:rPr>
          <w:rFonts w:ascii="Times New Roman" w:hAnsi="Times New Roman" w:cs="Times New Roman"/>
        </w:rPr>
        <w:fldChar w:fldCharType="begin"/>
      </w:r>
      <w:r w:rsidR="00C03F94">
        <w:rPr>
          <w:rFonts w:ascii="Times New Roman" w:hAnsi="Times New Roman" w:cs="Times New Roman"/>
        </w:rPr>
        <w:instrText xml:space="preserve"> NOTEREF _Ref145400958 \h </w:instrText>
      </w:r>
      <w:r w:rsidR="00C03F94">
        <w:rPr>
          <w:rFonts w:ascii="Times New Roman" w:hAnsi="Times New Roman" w:cs="Times New Roman"/>
        </w:rPr>
      </w:r>
      <w:r w:rsidR="00C03F94">
        <w:rPr>
          <w:rFonts w:ascii="Times New Roman" w:hAnsi="Times New Roman" w:cs="Times New Roman"/>
        </w:rPr>
        <w:fldChar w:fldCharType="separate"/>
      </w:r>
      <w:r w:rsidR="00C03F94">
        <w:rPr>
          <w:rFonts w:ascii="Times New Roman" w:hAnsi="Times New Roman" w:cs="Times New Roman"/>
        </w:rPr>
        <w:t>62</w:t>
      </w:r>
      <w:r w:rsidR="00C03F94">
        <w:rPr>
          <w:rFonts w:ascii="Times New Roman" w:hAnsi="Times New Roman" w:cs="Times New Roman"/>
        </w:rPr>
        <w:fldChar w:fldCharType="end"/>
      </w:r>
      <w:r w:rsidRPr="00BA4A9E">
        <w:rPr>
          <w:rFonts w:ascii="Times New Roman" w:hAnsi="Times New Roman" w:cs="Times New Roman"/>
        </w:rPr>
        <w:t>.</w:t>
      </w:r>
    </w:p>
  </w:endnote>
  <w:endnote w:id="141">
    <w:p w14:paraId="655F0B89" w14:textId="75DB0B35"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Committee states in General Comment 36 that the Covenant applies to “persons located outside any territory effectively controlled by the State, whose right to life is nonetheless impacted by its military or other activities in a direct and reasonably foreseeable manner” and that “States also have obligations under international law not to aid or assist activities undertaken by other States and non-State actors that violate the right to life.” </w:t>
      </w:r>
      <w:r w:rsidRPr="00BA4A9E">
        <w:rPr>
          <w:rFonts w:ascii="Times New Roman" w:hAnsi="Times New Roman" w:cs="Times New Roman"/>
          <w:i/>
          <w:iCs/>
        </w:rPr>
        <w:t>See</w:t>
      </w:r>
      <w:r w:rsidRPr="00BA4A9E">
        <w:rPr>
          <w:rFonts w:ascii="Times New Roman" w:hAnsi="Times New Roman" w:cs="Times New Roman"/>
        </w:rPr>
        <w:t xml:space="preserve"> HRC General Comment No. 36, </w:t>
      </w:r>
      <w:r w:rsidRPr="00BA4A9E">
        <w:rPr>
          <w:rFonts w:ascii="Times New Roman" w:hAnsi="Times New Roman" w:cs="Times New Roman"/>
          <w:i/>
          <w:iCs/>
        </w:rPr>
        <w:t>supra</w:t>
      </w:r>
      <w:r w:rsidRPr="00BA4A9E">
        <w:rPr>
          <w:rFonts w:ascii="Times New Roman" w:hAnsi="Times New Roman" w:cs="Times New Roman"/>
        </w:rPr>
        <w:t xml:space="preserve"> n. </w:t>
      </w:r>
      <w:r w:rsidR="00C03F94">
        <w:rPr>
          <w:rFonts w:ascii="Times New Roman" w:hAnsi="Times New Roman" w:cs="Times New Roman"/>
        </w:rPr>
        <w:fldChar w:fldCharType="begin"/>
      </w:r>
      <w:r w:rsidR="00C03F94">
        <w:rPr>
          <w:rFonts w:ascii="Times New Roman" w:hAnsi="Times New Roman" w:cs="Times New Roman"/>
        </w:rPr>
        <w:instrText xml:space="preserve"> NOTEREF _Ref145400248 \h </w:instrText>
      </w:r>
      <w:r w:rsidR="00C03F94">
        <w:rPr>
          <w:rFonts w:ascii="Times New Roman" w:hAnsi="Times New Roman" w:cs="Times New Roman"/>
        </w:rPr>
      </w:r>
      <w:r w:rsidR="00C03F94">
        <w:rPr>
          <w:rFonts w:ascii="Times New Roman" w:hAnsi="Times New Roman" w:cs="Times New Roman"/>
        </w:rPr>
        <w:fldChar w:fldCharType="separate"/>
      </w:r>
      <w:r w:rsidR="00C03F94">
        <w:rPr>
          <w:rFonts w:ascii="Times New Roman" w:hAnsi="Times New Roman" w:cs="Times New Roman"/>
        </w:rPr>
        <w:t>10</w:t>
      </w:r>
      <w:r w:rsidR="00C03F94">
        <w:rPr>
          <w:rFonts w:ascii="Times New Roman" w:hAnsi="Times New Roman" w:cs="Times New Roman"/>
        </w:rPr>
        <w:fldChar w:fldCharType="end"/>
      </w:r>
      <w:r w:rsidRPr="00BA4A9E">
        <w:rPr>
          <w:rFonts w:ascii="Times New Roman" w:hAnsi="Times New Roman" w:cs="Times New Roman"/>
        </w:rPr>
        <w:t xml:space="preserve"> at ¶ 63.</w:t>
      </w:r>
    </w:p>
  </w:endnote>
  <w:endnote w:id="142">
    <w:p w14:paraId="7260E5F3" w14:textId="73181668"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U.S. Department of Homeland Security (DHS), </w:t>
      </w:r>
      <w:r w:rsidRPr="00BA4A9E">
        <w:rPr>
          <w:rFonts w:ascii="Times New Roman" w:hAnsi="Times New Roman" w:cs="Times New Roman"/>
          <w:i/>
          <w:iCs/>
        </w:rPr>
        <w:t>Implementation of a Parole Process for Cubans</w:t>
      </w:r>
      <w:r w:rsidRPr="00BA4A9E">
        <w:rPr>
          <w:rFonts w:ascii="Times New Roman" w:hAnsi="Times New Roman" w:cs="Times New Roman"/>
        </w:rPr>
        <w:t xml:space="preserve">, 88 Fed. Reg. 1266 </w:t>
      </w:r>
      <w:hyperlink r:id="rId134" w:history="1">
        <w:r w:rsidRPr="00BA4A9E">
          <w:rPr>
            <w:rStyle w:val="Hyperlink"/>
            <w:rFonts w:ascii="Times New Roman" w:hAnsi="Times New Roman" w:cs="Times New Roman"/>
            <w:color w:val="auto"/>
          </w:rPr>
          <w:t>https://www.federalregister.gov/documents/2023/01/09/2023-00252/implementation-of-a-parole-process-for-cubans</w:t>
        </w:r>
      </w:hyperlink>
      <w:r w:rsidRPr="00BA4A9E">
        <w:rPr>
          <w:rFonts w:ascii="Times New Roman" w:hAnsi="Times New Roman" w:cs="Times New Roman"/>
        </w:rPr>
        <w:t xml:space="preserve"> (“Individuals are ineligible for [new parole] process if they have been ordered removed from the United States within the prior five years; have entered unauthorized into the United States between [ports of entry], Mexico, or Panama after the date of this notice's publication”); DHS, </w:t>
      </w:r>
      <w:r w:rsidRPr="00BA4A9E">
        <w:rPr>
          <w:rFonts w:ascii="Times New Roman" w:hAnsi="Times New Roman" w:cs="Times New Roman"/>
          <w:i/>
          <w:iCs/>
        </w:rPr>
        <w:t>Implementation of a Parole Process for Haitians</w:t>
      </w:r>
      <w:r w:rsidRPr="00BA4A9E">
        <w:rPr>
          <w:rFonts w:ascii="Times New Roman" w:hAnsi="Times New Roman" w:cs="Times New Roman"/>
        </w:rPr>
        <w:t xml:space="preserve">, 88 Fed. Reg.  1243 </w:t>
      </w:r>
      <w:hyperlink r:id="rId135" w:history="1">
        <w:r w:rsidRPr="00BA4A9E">
          <w:rPr>
            <w:rStyle w:val="Hyperlink"/>
            <w:rFonts w:ascii="Times New Roman" w:hAnsi="Times New Roman" w:cs="Times New Roman"/>
            <w:color w:val="auto"/>
          </w:rPr>
          <w:t>https://www.federalregister.gov/documents/2023/01/09/2023-00255/implementation-of-a-parole-process-for-haitians</w:t>
        </w:r>
      </w:hyperlink>
      <w:r w:rsidRPr="00BA4A9E">
        <w:rPr>
          <w:rFonts w:ascii="Times New Roman" w:hAnsi="Times New Roman" w:cs="Times New Roman"/>
        </w:rPr>
        <w:t xml:space="preserve"> (same);  DHS, </w:t>
      </w:r>
      <w:r w:rsidRPr="00BA4A9E">
        <w:rPr>
          <w:rFonts w:ascii="Times New Roman" w:hAnsi="Times New Roman" w:cs="Times New Roman"/>
          <w:i/>
          <w:iCs/>
        </w:rPr>
        <w:t>Implementation of a Parole Process for Nicaraguans</w:t>
      </w:r>
      <w:r w:rsidRPr="00BA4A9E">
        <w:rPr>
          <w:rFonts w:ascii="Times New Roman" w:hAnsi="Times New Roman" w:cs="Times New Roman"/>
        </w:rPr>
        <w:t xml:space="preserve">, 88 Fed. Reg. 1255 </w:t>
      </w:r>
      <w:hyperlink r:id="rId136" w:history="1">
        <w:r w:rsidRPr="00BA4A9E">
          <w:rPr>
            <w:rStyle w:val="Hyperlink"/>
            <w:rFonts w:ascii="Times New Roman" w:hAnsi="Times New Roman" w:cs="Times New Roman"/>
            <w:color w:val="auto"/>
          </w:rPr>
          <w:t>https://www.federalregister.gov/documents/2023/01/09/2023-00254/implementation-of-a-parole-process-for-nicaraguans</w:t>
        </w:r>
      </w:hyperlink>
      <w:r w:rsidRPr="00BA4A9E">
        <w:rPr>
          <w:rFonts w:ascii="Times New Roman" w:hAnsi="Times New Roman" w:cs="Times New Roman"/>
        </w:rPr>
        <w:t xml:space="preserve"> (same); DHS, </w:t>
      </w:r>
      <w:r w:rsidRPr="00BA4A9E">
        <w:rPr>
          <w:rFonts w:ascii="Times New Roman" w:hAnsi="Times New Roman" w:cs="Times New Roman"/>
          <w:i/>
          <w:iCs/>
        </w:rPr>
        <w:t>Implementation of Changes to the Parole Process for Venezuelans</w:t>
      </w:r>
      <w:r w:rsidRPr="00BA4A9E">
        <w:rPr>
          <w:rFonts w:ascii="Times New Roman" w:hAnsi="Times New Roman" w:cs="Times New Roman"/>
        </w:rPr>
        <w:t xml:space="preserve">, 88 Fed. Reg.  1279, </w:t>
      </w:r>
      <w:hyperlink r:id="rId137" w:history="1">
        <w:r w:rsidRPr="00BA4A9E">
          <w:rPr>
            <w:rStyle w:val="Hyperlink"/>
            <w:rFonts w:ascii="Times New Roman" w:hAnsi="Times New Roman" w:cs="Times New Roman"/>
            <w:color w:val="auto"/>
          </w:rPr>
          <w:t>https://www.federalregister.gov/documents/2023/01/09/2023-00253/implementation-of-changes-to-the-parole-process-for-venezuelans</w:t>
        </w:r>
      </w:hyperlink>
      <w:r w:rsidRPr="00BA4A9E">
        <w:rPr>
          <w:rFonts w:ascii="Times New Roman" w:hAnsi="Times New Roman" w:cs="Times New Roman"/>
        </w:rPr>
        <w:t xml:space="preserve"> (same).</w:t>
      </w:r>
    </w:p>
  </w:endnote>
  <w:endnote w:id="143">
    <w:p w14:paraId="026F5ED3" w14:textId="014EBE6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B11FCF" w:rsidRPr="00BA4A9E">
        <w:rPr>
          <w:rFonts w:ascii="Times New Roman" w:hAnsi="Times New Roman" w:cs="Times New Roman"/>
        </w:rPr>
        <w:t xml:space="preserve">General Comment 32 specifies that “[t]he right of access to courts and tribunals and equality before them is not limited to citizens of States parties, but must also be available to all individuals, regardless of nationality or statelessness, or whatever their status, whether asylum seekers, refugees, migrant workers, unaccompanied children or other persons, who may find themselves in the territory or subject to the jurisdiction of the State party.” </w:t>
      </w:r>
      <w:r w:rsidRPr="00BA4A9E">
        <w:rPr>
          <w:rFonts w:ascii="Times New Roman" w:hAnsi="Times New Roman" w:cs="Times New Roman"/>
        </w:rPr>
        <w:t xml:space="preserve">HRC General Comment No. 32, </w:t>
      </w:r>
      <w:r w:rsidRPr="00BA4A9E">
        <w:rPr>
          <w:rFonts w:ascii="Times New Roman" w:hAnsi="Times New Roman" w:cs="Times New Roman"/>
          <w:i/>
          <w:iCs/>
        </w:rPr>
        <w:t>supra</w:t>
      </w:r>
      <w:r w:rsidRPr="00BA4A9E">
        <w:rPr>
          <w:rFonts w:ascii="Times New Roman" w:hAnsi="Times New Roman" w:cs="Times New Roman"/>
        </w:rPr>
        <w:t xml:space="preserve"> n. </w:t>
      </w:r>
      <w:r w:rsidR="00AD3A98">
        <w:rPr>
          <w:rFonts w:ascii="Times New Roman" w:hAnsi="Times New Roman" w:cs="Times New Roman"/>
        </w:rPr>
        <w:fldChar w:fldCharType="begin"/>
      </w:r>
      <w:r w:rsidR="00AD3A98">
        <w:rPr>
          <w:rFonts w:ascii="Times New Roman" w:hAnsi="Times New Roman" w:cs="Times New Roman"/>
        </w:rPr>
        <w:instrText xml:space="preserve"> NOTEREF _Ref145400248 \h </w:instrText>
      </w:r>
      <w:r w:rsidR="00AD3A98">
        <w:rPr>
          <w:rFonts w:ascii="Times New Roman" w:hAnsi="Times New Roman" w:cs="Times New Roman"/>
        </w:rPr>
      </w:r>
      <w:r w:rsidR="00AD3A98">
        <w:rPr>
          <w:rFonts w:ascii="Times New Roman" w:hAnsi="Times New Roman" w:cs="Times New Roman"/>
        </w:rPr>
        <w:fldChar w:fldCharType="separate"/>
      </w:r>
      <w:r w:rsidR="00AD3A98">
        <w:rPr>
          <w:rFonts w:ascii="Times New Roman" w:hAnsi="Times New Roman" w:cs="Times New Roman"/>
        </w:rPr>
        <w:t>10</w:t>
      </w:r>
      <w:r w:rsidR="00AD3A98">
        <w:rPr>
          <w:rFonts w:ascii="Times New Roman" w:hAnsi="Times New Roman" w:cs="Times New Roman"/>
        </w:rPr>
        <w:fldChar w:fldCharType="end"/>
      </w:r>
      <w:r w:rsidRPr="00BA4A9E">
        <w:rPr>
          <w:rFonts w:ascii="Times New Roman" w:hAnsi="Times New Roman" w:cs="Times New Roman"/>
        </w:rPr>
        <w:t xml:space="preserve"> at ¶ 9. </w:t>
      </w:r>
      <w:r w:rsidR="00B11FCF" w:rsidRPr="00BA4A9E">
        <w:rPr>
          <w:rFonts w:ascii="Times New Roman" w:hAnsi="Times New Roman" w:cs="Times New Roman"/>
        </w:rPr>
        <w:t>It further specifies that “[a] situation in which an individual’s attempts to access the competent courts or tribunals are systematically frustrated de jure or de facto runs counter to the guarantee of article 14, paragraph 1, first sentence.”</w:t>
      </w:r>
    </w:p>
  </w:endnote>
  <w:endnote w:id="144">
    <w:p w14:paraId="24E84598" w14:textId="6AE2AF96" w:rsidR="000362C9" w:rsidRPr="00BA4A9E" w:rsidRDefault="000362C9" w:rsidP="00936D0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eastAsia="Times New Roman" w:hAnsi="Times New Roman" w:cs="Times New Roman"/>
        </w:rPr>
        <w:t xml:space="preserve">Human Rights Committee, Communication No. 692/1996 “A.R.J. v. Australia”, ¶ 6.9, U.N. Doc. CCPR/C/60/D/692/1996 (Aug. 11, 1997); ICCPR, </w:t>
      </w:r>
      <w:r w:rsidRPr="00BA4A9E">
        <w:rPr>
          <w:rFonts w:ascii="Times New Roman" w:eastAsia="Times New Roman" w:hAnsi="Times New Roman" w:cs="Times New Roman"/>
          <w:i/>
          <w:iCs/>
        </w:rPr>
        <w:t xml:space="preserve">supra </w:t>
      </w:r>
      <w:r w:rsidRPr="00BA4A9E">
        <w:rPr>
          <w:rFonts w:ascii="Times New Roman" w:eastAsia="Times New Roman" w:hAnsi="Times New Roman" w:cs="Times New Roman"/>
        </w:rPr>
        <w:t xml:space="preserve">n. </w:t>
      </w:r>
      <w:r w:rsidR="00AD3A98">
        <w:rPr>
          <w:rFonts w:ascii="Times New Roman" w:eastAsia="Times New Roman" w:hAnsi="Times New Roman" w:cs="Times New Roman"/>
        </w:rPr>
        <w:fldChar w:fldCharType="begin"/>
      </w:r>
      <w:r w:rsidR="00AD3A98">
        <w:rPr>
          <w:rFonts w:ascii="Times New Roman" w:eastAsia="Times New Roman" w:hAnsi="Times New Roman" w:cs="Times New Roman"/>
        </w:rPr>
        <w:instrText xml:space="preserve"> NOTEREF _Ref145400248 \h </w:instrText>
      </w:r>
      <w:r w:rsidR="00AD3A98">
        <w:rPr>
          <w:rFonts w:ascii="Times New Roman" w:eastAsia="Times New Roman" w:hAnsi="Times New Roman" w:cs="Times New Roman"/>
        </w:rPr>
      </w:r>
      <w:r w:rsidR="00AD3A98">
        <w:rPr>
          <w:rFonts w:ascii="Times New Roman" w:eastAsia="Times New Roman" w:hAnsi="Times New Roman" w:cs="Times New Roman"/>
        </w:rPr>
        <w:fldChar w:fldCharType="separate"/>
      </w:r>
      <w:r w:rsidR="00AD3A98">
        <w:rPr>
          <w:rFonts w:ascii="Times New Roman" w:eastAsia="Times New Roman" w:hAnsi="Times New Roman" w:cs="Times New Roman"/>
        </w:rPr>
        <w:t>10</w:t>
      </w:r>
      <w:r w:rsidR="00AD3A98">
        <w:rPr>
          <w:rFonts w:ascii="Times New Roman" w:eastAsia="Times New Roman" w:hAnsi="Times New Roman" w:cs="Times New Roman"/>
        </w:rPr>
        <w:fldChar w:fldCharType="end"/>
      </w:r>
      <w:r w:rsidRPr="00BA4A9E">
        <w:rPr>
          <w:rFonts w:ascii="Times New Roman" w:eastAsia="Times New Roman" w:hAnsi="Times New Roman" w:cs="Times New Roman"/>
        </w:rPr>
        <w:t xml:space="preserve"> at §§ 6, 7; HRC General Comment No. 31, </w:t>
      </w:r>
      <w:r w:rsidRPr="00BA4A9E">
        <w:rPr>
          <w:rFonts w:ascii="Times New Roman" w:eastAsia="Times New Roman" w:hAnsi="Times New Roman" w:cs="Times New Roman"/>
          <w:i/>
          <w:iCs/>
        </w:rPr>
        <w:t xml:space="preserve">supra </w:t>
      </w:r>
      <w:r w:rsidRPr="00BA4A9E">
        <w:rPr>
          <w:rFonts w:ascii="Times New Roman" w:eastAsia="Times New Roman" w:hAnsi="Times New Roman" w:cs="Times New Roman"/>
        </w:rPr>
        <w:t>n. 10 at ¶ 12.</w:t>
      </w:r>
    </w:p>
  </w:endnote>
  <w:endnote w:id="145">
    <w:p w14:paraId="7DC2901D" w14:textId="13EA55FD" w:rsidR="000362C9" w:rsidRPr="00BA4A9E" w:rsidRDefault="000362C9" w:rsidP="00936D0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Pr="00BA4A9E">
        <w:rPr>
          <w:rFonts w:ascii="Times New Roman" w:eastAsia="Times New Roman" w:hAnsi="Times New Roman" w:cs="Times New Roman"/>
        </w:rPr>
        <w:t xml:space="preserve"> HRC General Comment No. </w:t>
      </w:r>
      <w:r w:rsidRPr="00BA4A9E">
        <w:rPr>
          <w:rFonts w:ascii="Times New Roman" w:hAnsi="Times New Roman" w:cs="Times New Roman"/>
        </w:rPr>
        <w:t xml:space="preserve">31,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AD3A98">
        <w:rPr>
          <w:rFonts w:ascii="Times New Roman" w:hAnsi="Times New Roman" w:cs="Times New Roman"/>
        </w:rPr>
        <w:fldChar w:fldCharType="begin"/>
      </w:r>
      <w:r w:rsidR="00AD3A98">
        <w:rPr>
          <w:rFonts w:ascii="Times New Roman" w:hAnsi="Times New Roman" w:cs="Times New Roman"/>
        </w:rPr>
        <w:instrText xml:space="preserve"> NOTEREF _Ref145400248 \h </w:instrText>
      </w:r>
      <w:r w:rsidR="00AD3A98">
        <w:rPr>
          <w:rFonts w:ascii="Times New Roman" w:hAnsi="Times New Roman" w:cs="Times New Roman"/>
        </w:rPr>
      </w:r>
      <w:r w:rsidR="00AD3A98">
        <w:rPr>
          <w:rFonts w:ascii="Times New Roman" w:hAnsi="Times New Roman" w:cs="Times New Roman"/>
        </w:rPr>
        <w:fldChar w:fldCharType="separate"/>
      </w:r>
      <w:r w:rsidR="00AD3A98">
        <w:rPr>
          <w:rFonts w:ascii="Times New Roman" w:hAnsi="Times New Roman" w:cs="Times New Roman"/>
        </w:rPr>
        <w:t>10</w:t>
      </w:r>
      <w:r w:rsidR="00AD3A98">
        <w:rPr>
          <w:rFonts w:ascii="Times New Roman" w:hAnsi="Times New Roman" w:cs="Times New Roman"/>
        </w:rPr>
        <w:fldChar w:fldCharType="end"/>
      </w:r>
      <w:r w:rsidRPr="00BA4A9E">
        <w:rPr>
          <w:rFonts w:ascii="Times New Roman" w:hAnsi="Times New Roman" w:cs="Times New Roman"/>
        </w:rPr>
        <w:t xml:space="preserve"> at ¶ 10</w:t>
      </w:r>
      <w:r w:rsidRPr="00BA4A9E">
        <w:rPr>
          <w:rFonts w:ascii="Times New Roman" w:eastAsia="Times New Roman" w:hAnsi="Times New Roman" w:cs="Times New Roman"/>
        </w:rPr>
        <w:t xml:space="preserve"> (“a State party must respect and ensure the rights laid down in the Covenant to anyone within the power or </w:t>
      </w:r>
      <w:r w:rsidRPr="00BA4A9E">
        <w:rPr>
          <w:rFonts w:ascii="Times New Roman" w:eastAsia="Times New Roman" w:hAnsi="Times New Roman" w:cs="Times New Roman"/>
          <w:bCs/>
        </w:rPr>
        <w:t>effective</w:t>
      </w:r>
      <w:r w:rsidRPr="00BA4A9E">
        <w:rPr>
          <w:rFonts w:ascii="Times New Roman" w:eastAsia="Times New Roman" w:hAnsi="Times New Roman" w:cs="Times New Roman"/>
        </w:rPr>
        <w:t> </w:t>
      </w:r>
      <w:r w:rsidRPr="00BA4A9E">
        <w:rPr>
          <w:rFonts w:ascii="Times New Roman" w:eastAsia="Times New Roman" w:hAnsi="Times New Roman" w:cs="Times New Roman"/>
          <w:bCs/>
        </w:rPr>
        <w:t>control</w:t>
      </w:r>
      <w:r w:rsidRPr="00BA4A9E">
        <w:rPr>
          <w:rFonts w:ascii="Times New Roman" w:eastAsia="Times New Roman" w:hAnsi="Times New Roman" w:cs="Times New Roman"/>
        </w:rPr>
        <w:t> of that State party, even if not situated within the territory of the State party</w:t>
      </w:r>
      <w:r w:rsidRPr="00BA4A9E">
        <w:rPr>
          <w:rFonts w:ascii="Times New Roman" w:hAnsi="Times New Roman" w:cs="Times New Roman"/>
        </w:rPr>
        <w:t>”</w:t>
      </w:r>
      <w:r w:rsidRPr="00BA4A9E">
        <w:rPr>
          <w:rFonts w:ascii="Times New Roman" w:eastAsia="Times New Roman" w:hAnsi="Times New Roman" w:cs="Times New Roman"/>
        </w:rPr>
        <w:t>)</w:t>
      </w:r>
      <w:r w:rsidRPr="00BA4A9E">
        <w:rPr>
          <w:rFonts w:ascii="Times New Roman" w:hAnsi="Times New Roman" w:cs="Times New Roman"/>
        </w:rPr>
        <w:t xml:space="preserve">; </w:t>
      </w:r>
      <w:r w:rsidRPr="00BA4A9E">
        <w:rPr>
          <w:rFonts w:ascii="Times New Roman" w:hAnsi="Times New Roman" w:cs="Times New Roman"/>
          <w:i/>
        </w:rPr>
        <w:t>Legal Consequences of the Construction of a Wall in the Occupied Palestinian Territory</w:t>
      </w:r>
      <w:r w:rsidRPr="00BA4A9E">
        <w:rPr>
          <w:rFonts w:ascii="Times New Roman" w:hAnsi="Times New Roman" w:cs="Times New Roman"/>
        </w:rPr>
        <w:t xml:space="preserve">, 2004 I.C.J. 136, 178-79 (July 9) (holding that the ICCPR “is applicable in respect of acts done by a State in the exercise of its jurisdiction outside its own territory”); </w:t>
      </w:r>
      <w:r w:rsidRPr="00BA4A9E">
        <w:rPr>
          <w:rFonts w:ascii="Times New Roman" w:hAnsi="Times New Roman" w:cs="Times New Roman"/>
          <w:i/>
        </w:rPr>
        <w:t>Coard v. United States</w:t>
      </w:r>
      <w:r w:rsidRPr="00BA4A9E">
        <w:rPr>
          <w:rFonts w:ascii="Times New Roman" w:hAnsi="Times New Roman" w:cs="Times New Roman"/>
        </w:rPr>
        <w:t xml:space="preserve">, Case 10.951, Inter-Am. Comm'n H.R., Report No. 109/99, PP51-61 (1999), </w:t>
      </w:r>
      <w:r w:rsidRPr="000331C3">
        <w:rPr>
          <w:rFonts w:ascii="Times New Roman" w:hAnsi="Times New Roman" w:cs="Times New Roman"/>
          <w:i/>
          <w:iCs/>
        </w:rPr>
        <w:t>available at</w:t>
      </w:r>
      <w:r w:rsidRPr="00BA4A9E">
        <w:rPr>
          <w:rFonts w:ascii="Times New Roman" w:hAnsi="Times New Roman" w:cs="Times New Roman"/>
        </w:rPr>
        <w:t xml:space="preserve"> </w:t>
      </w:r>
      <w:hyperlink r:id="rId138" w:history="1">
        <w:r w:rsidRPr="00BA4A9E">
          <w:rPr>
            <w:rStyle w:val="Hyperlink"/>
            <w:rFonts w:ascii="Times New Roman" w:hAnsi="Times New Roman" w:cs="Times New Roman"/>
            <w:color w:val="auto"/>
          </w:rPr>
          <w:t>http://www.cidh.oas.org/annualrep/99eng/Merits/UnitedStates10.951.htm</w:t>
        </w:r>
      </w:hyperlink>
      <w:r w:rsidRPr="00BA4A9E">
        <w:rPr>
          <w:rFonts w:ascii="Times New Roman" w:hAnsi="Times New Roman" w:cs="Times New Roman"/>
        </w:rPr>
        <w:t xml:space="preserve">; U.N. Economic and Social Council, Situation of Detainees at Guantánamo Bay, ¶¶ 10-11, U.N. Doc. E/CN.4/2006/120 (Feb. 15, 2006) (prepared by Leila Zerrougui et al.); HRC 2006 Concluding Observations,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AD3A98">
        <w:rPr>
          <w:rFonts w:ascii="Times New Roman" w:hAnsi="Times New Roman" w:cs="Times New Roman"/>
        </w:rPr>
        <w:fldChar w:fldCharType="begin"/>
      </w:r>
      <w:r w:rsidR="00AD3A98">
        <w:rPr>
          <w:rFonts w:ascii="Times New Roman" w:hAnsi="Times New Roman" w:cs="Times New Roman"/>
        </w:rPr>
        <w:instrText xml:space="preserve"> NOTEREF _Ref145401187 \h </w:instrText>
      </w:r>
      <w:r w:rsidR="00AD3A98">
        <w:rPr>
          <w:rFonts w:ascii="Times New Roman" w:hAnsi="Times New Roman" w:cs="Times New Roman"/>
        </w:rPr>
      </w:r>
      <w:r w:rsidR="00AD3A98">
        <w:rPr>
          <w:rFonts w:ascii="Times New Roman" w:hAnsi="Times New Roman" w:cs="Times New Roman"/>
        </w:rPr>
        <w:fldChar w:fldCharType="separate"/>
      </w:r>
      <w:r w:rsidR="00AD3A98">
        <w:rPr>
          <w:rFonts w:ascii="Times New Roman" w:hAnsi="Times New Roman" w:cs="Times New Roman"/>
        </w:rPr>
        <w:t>48</w:t>
      </w:r>
      <w:r w:rsidR="00AD3A98">
        <w:rPr>
          <w:rFonts w:ascii="Times New Roman" w:hAnsi="Times New Roman" w:cs="Times New Roman"/>
        </w:rPr>
        <w:fldChar w:fldCharType="end"/>
      </w:r>
      <w:r w:rsidRPr="00BA4A9E">
        <w:rPr>
          <w:rFonts w:ascii="Times New Roman" w:hAnsi="Times New Roman" w:cs="Times New Roman"/>
        </w:rPr>
        <w:t xml:space="preserve"> at ¶¶ 10, 16;</w:t>
      </w:r>
      <w:r w:rsidRPr="00BA4A9E">
        <w:rPr>
          <w:rFonts w:ascii="Times New Roman" w:eastAsia="Times New Roman" w:hAnsi="Times New Roman" w:cs="Times New Roman"/>
        </w:rPr>
        <w:t xml:space="preserve"> HRC General Comment No. </w:t>
      </w:r>
      <w:r w:rsidRPr="00BA4A9E">
        <w:rPr>
          <w:rFonts w:ascii="Times New Roman" w:hAnsi="Times New Roman" w:cs="Times New Roman"/>
        </w:rPr>
        <w:t xml:space="preserve">31,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AD3A98">
        <w:rPr>
          <w:rFonts w:ascii="Times New Roman" w:hAnsi="Times New Roman" w:cs="Times New Roman"/>
        </w:rPr>
        <w:fldChar w:fldCharType="begin"/>
      </w:r>
      <w:r w:rsidR="00AD3A98">
        <w:rPr>
          <w:rFonts w:ascii="Times New Roman" w:hAnsi="Times New Roman" w:cs="Times New Roman"/>
        </w:rPr>
        <w:instrText xml:space="preserve"> NOTEREF _Ref145400248 \h </w:instrText>
      </w:r>
      <w:r w:rsidR="00AD3A98">
        <w:rPr>
          <w:rFonts w:ascii="Times New Roman" w:hAnsi="Times New Roman" w:cs="Times New Roman"/>
        </w:rPr>
      </w:r>
      <w:r w:rsidR="00AD3A98">
        <w:rPr>
          <w:rFonts w:ascii="Times New Roman" w:hAnsi="Times New Roman" w:cs="Times New Roman"/>
        </w:rPr>
        <w:fldChar w:fldCharType="separate"/>
      </w:r>
      <w:r w:rsidR="00AD3A98">
        <w:rPr>
          <w:rFonts w:ascii="Times New Roman" w:hAnsi="Times New Roman" w:cs="Times New Roman"/>
        </w:rPr>
        <w:t>10</w:t>
      </w:r>
      <w:r w:rsidR="00AD3A98">
        <w:rPr>
          <w:rFonts w:ascii="Times New Roman" w:hAnsi="Times New Roman" w:cs="Times New Roman"/>
        </w:rPr>
        <w:fldChar w:fldCharType="end"/>
      </w:r>
      <w:r w:rsidRPr="00BA4A9E">
        <w:rPr>
          <w:rFonts w:ascii="Times New Roman" w:hAnsi="Times New Roman" w:cs="Times New Roman"/>
        </w:rPr>
        <w:t xml:space="preserve"> at ¶ 10</w:t>
      </w:r>
      <w:r w:rsidRPr="00BA4A9E">
        <w:rPr>
          <w:rFonts w:ascii="Times New Roman" w:eastAsia="Times New Roman" w:hAnsi="Times New Roman" w:cs="Times New Roman"/>
        </w:rPr>
        <w:t xml:space="preserve"> </w:t>
      </w:r>
      <w:r w:rsidRPr="00BA4A9E">
        <w:rPr>
          <w:rFonts w:ascii="Times New Roman" w:hAnsi="Times New Roman" w:cs="Times New Roman"/>
        </w:rPr>
        <w:t>(concluding that the ICCPR requires states to apply the Covenant “to all persons who may be within their territory and to all persons subject to their jurisdiction. This means that a State party must respect and ensure the rights laid down in the Covenant to anyone within the power or effective control of that State Party, even if not situated within the territory of the State Party . . .. [The ICCPR applies] to all individuals . . . who may find themselves in the territory or subject to the jurisdiction of a State Party . . .. [It] also applies to those within the power or effective control of the forces of a State Party acting outside its territory, regardless of the circumstances in which such power or effective control was obtained.”).</w:t>
      </w:r>
    </w:p>
  </w:endnote>
  <w:endnote w:id="146">
    <w:p w14:paraId="2C1F95B5" w14:textId="77777777" w:rsidR="000362C9" w:rsidRPr="00BA4A9E" w:rsidRDefault="000362C9" w:rsidP="00936D0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J.H.A. v. Spain </w:t>
      </w:r>
      <w:r w:rsidRPr="00BA4A9E">
        <w:rPr>
          <w:rFonts w:ascii="Times New Roman" w:hAnsi="Times New Roman" w:cs="Times New Roman"/>
        </w:rPr>
        <w:t>(“Marine 1”),</w:t>
      </w:r>
      <w:r w:rsidRPr="00BA4A9E">
        <w:rPr>
          <w:rFonts w:ascii="Times New Roman" w:hAnsi="Times New Roman" w:cs="Times New Roman"/>
          <w:i/>
          <w:iCs/>
        </w:rPr>
        <w:t> </w:t>
      </w:r>
      <w:r w:rsidRPr="00BA4A9E">
        <w:rPr>
          <w:rFonts w:ascii="Times New Roman" w:hAnsi="Times New Roman" w:cs="Times New Roman"/>
        </w:rPr>
        <w:t>CAT/C/41/D/323/2007, UN Committee Against Torture (CAT) (Nov. 21 2008) (Committee against Torture affirmed that Spain exercised de facto control over the migrants on board and therefore they were subject to Spain's jurisdiction).</w:t>
      </w:r>
    </w:p>
  </w:endnote>
  <w:endnote w:id="147">
    <w:p w14:paraId="52BF0D41" w14:textId="77777777" w:rsidR="000362C9" w:rsidRPr="00BA4A9E" w:rsidRDefault="000362C9" w:rsidP="00936D09">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e.g., </w:t>
      </w:r>
      <w:r w:rsidRPr="00BA4A9E">
        <w:rPr>
          <w:rFonts w:ascii="Times New Roman" w:hAnsi="Times New Roman" w:cs="Times New Roman"/>
          <w:i/>
          <w:iCs/>
          <w:sz w:val="20"/>
          <w:szCs w:val="20"/>
        </w:rPr>
        <w:t>Hirsi Jamaa and Others v. Italy</w:t>
      </w:r>
      <w:r w:rsidRPr="00BA4A9E">
        <w:rPr>
          <w:rFonts w:ascii="Times New Roman" w:hAnsi="Times New Roman" w:cs="Times New Roman"/>
          <w:iCs/>
          <w:sz w:val="20"/>
          <w:szCs w:val="20"/>
        </w:rPr>
        <w:t xml:space="preserve">, Application no. 27765/09, Council of Europe: European Court of Human Rights (Feb. 23, 2012) </w:t>
      </w:r>
      <w:r w:rsidRPr="00BA4A9E">
        <w:rPr>
          <w:rFonts w:ascii="Times New Roman" w:hAnsi="Times New Roman" w:cs="Times New Roman"/>
          <w:sz w:val="20"/>
          <w:szCs w:val="20"/>
        </w:rPr>
        <w:t xml:space="preserve">(obliging government authorities to abide by international human rights laws when intercepting individuals in international waters); </w:t>
      </w:r>
      <w:r w:rsidRPr="00BA4A9E">
        <w:rPr>
          <w:rFonts w:ascii="Times New Roman" w:hAnsi="Times New Roman" w:cs="Times New Roman"/>
          <w:i/>
          <w:iCs/>
          <w:sz w:val="20"/>
          <w:szCs w:val="20"/>
        </w:rPr>
        <w:t>D.D. v. Spain</w:t>
      </w:r>
      <w:r w:rsidRPr="00BA4A9E">
        <w:rPr>
          <w:rFonts w:ascii="Times New Roman" w:hAnsi="Times New Roman" w:cs="Times New Roman"/>
          <w:iCs/>
          <w:sz w:val="20"/>
          <w:szCs w:val="20"/>
        </w:rPr>
        <w:t>, CRC/C/80/D/4/2016, UN Committee on the Rights of the Child (CRC) (Feb. 1, 2019)</w:t>
      </w:r>
      <w:r w:rsidRPr="00BA4A9E">
        <w:rPr>
          <w:rFonts w:ascii="Times New Roman" w:hAnsi="Times New Roman" w:cs="Times New Roman"/>
          <w:i/>
          <w:sz w:val="20"/>
          <w:szCs w:val="20"/>
        </w:rPr>
        <w:t xml:space="preserve"> </w:t>
      </w:r>
      <w:r w:rsidRPr="00BA4A9E">
        <w:rPr>
          <w:rFonts w:ascii="Times New Roman" w:hAnsi="Times New Roman" w:cs="Times New Roman"/>
          <w:sz w:val="20"/>
          <w:szCs w:val="20"/>
        </w:rPr>
        <w:t>(</w:t>
      </w:r>
      <w:r w:rsidRPr="00BA4A9E">
        <w:rPr>
          <w:rFonts w:ascii="Times New Roman" w:hAnsi="Times New Roman" w:cs="Times New Roman"/>
          <w:sz w:val="20"/>
          <w:szCs w:val="20"/>
          <w:shd w:val="clear" w:color="auto" w:fill="FFFFFF"/>
        </w:rPr>
        <w:t>apprehension by authorities at the “border fence” renders individual within effective control of the state).</w:t>
      </w:r>
    </w:p>
  </w:endnote>
  <w:endnote w:id="148">
    <w:p w14:paraId="4D14D395" w14:textId="30FD0E14"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Sale v. Haitian Centers Council, Inc</w:t>
      </w:r>
      <w:r w:rsidRPr="00BA4A9E">
        <w:rPr>
          <w:rFonts w:ascii="Times New Roman" w:hAnsi="Times New Roman" w:cs="Times New Roman"/>
        </w:rPr>
        <w:t>., 509 U.S. 155 (1993).</w:t>
      </w:r>
    </w:p>
  </w:endnote>
  <w:endnote w:id="149">
    <w:p w14:paraId="2FD6DDE1" w14:textId="0FD05535"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lang w:val="es-US"/>
        </w:rPr>
        <w:t xml:space="preserve"> </w:t>
      </w:r>
      <w:r w:rsidRPr="00BA4A9E">
        <w:rPr>
          <w:rFonts w:ascii="Times New Roman" w:hAnsi="Times New Roman" w:cs="Times New Roman"/>
          <w:i/>
          <w:iCs/>
          <w:lang w:val="es-US"/>
        </w:rPr>
        <w:t xml:space="preserve">See Al Otro Lado, Inc. v. Mayorkas, </w:t>
      </w:r>
      <w:r w:rsidRPr="00BA4A9E">
        <w:rPr>
          <w:rFonts w:ascii="Times New Roman" w:hAnsi="Times New Roman" w:cs="Times New Roman"/>
          <w:lang w:val="es-US"/>
        </w:rPr>
        <w:t xml:space="preserve">No. 17-CV-02366-BAS-KSC, 2021 WL 3931890, *23 (S.D. Cal. </w:t>
      </w:r>
      <w:r w:rsidRPr="00BA4A9E">
        <w:rPr>
          <w:rFonts w:ascii="Times New Roman" w:hAnsi="Times New Roman" w:cs="Times New Roman"/>
        </w:rPr>
        <w:t>Sept. 2, 2021)</w:t>
      </w:r>
      <w:r w:rsidRPr="00BA4A9E">
        <w:rPr>
          <w:rFonts w:ascii="Times New Roman" w:hAnsi="Times New Roman" w:cs="Times New Roman"/>
          <w:i/>
          <w:iCs/>
        </w:rPr>
        <w:t>, judgment entered</w:t>
      </w:r>
      <w:r w:rsidRPr="00BA4A9E">
        <w:rPr>
          <w:rFonts w:ascii="Times New Roman" w:hAnsi="Times New Roman" w:cs="Times New Roman"/>
        </w:rPr>
        <w:t>, No. 17-CV-02366-BAS-KSC, 2022 WL 3970755 (S.D. Cal. Aug. 23, 2022), (“given [] the controlling case law . . . the Court regrettably cannot find that [non-refoulment] is universally applied beyond borders”).</w:t>
      </w:r>
      <w:r w:rsidRPr="00BA4A9E">
        <w:rPr>
          <w:rFonts w:ascii="Times New Roman" w:hAnsi="Times New Roman" w:cs="Times New Roman"/>
          <w:i/>
          <w:iCs/>
        </w:rPr>
        <w:t xml:space="preserve"> See also</w:t>
      </w:r>
      <w:r w:rsidRPr="00BA4A9E">
        <w:rPr>
          <w:rFonts w:ascii="Times New Roman" w:hAnsi="Times New Roman" w:cs="Times New Roman"/>
        </w:rPr>
        <w:t xml:space="preserve">, Martin Rogoff, </w:t>
      </w:r>
      <w:r w:rsidRPr="00BA4A9E">
        <w:rPr>
          <w:rFonts w:ascii="Times New Roman" w:hAnsi="Times New Roman" w:cs="Times New Roman"/>
          <w:i/>
          <w:iCs/>
        </w:rPr>
        <w:t>Interpretation of International Agreements by Domestic Courts and the Politics of International Treaty Relations: Reflections on Some Recent Decisions of the United States Supreme Court</w:t>
      </w:r>
      <w:r w:rsidRPr="00BA4A9E">
        <w:rPr>
          <w:rFonts w:ascii="Times New Roman" w:hAnsi="Times New Roman" w:cs="Times New Roman"/>
        </w:rPr>
        <w:t xml:space="preserve">, Am. U. Int’l L. Rev. (1996), </w:t>
      </w:r>
      <w:hyperlink r:id="rId139" w:history="1">
        <w:r w:rsidRPr="00BA4A9E">
          <w:rPr>
            <w:rStyle w:val="Hyperlink"/>
            <w:rFonts w:ascii="Times New Roman" w:hAnsi="Times New Roman" w:cs="Times New Roman"/>
            <w:color w:val="auto"/>
          </w:rPr>
          <w:t>https://digitalcommons.wcl.american.edu/auilr/vol11/iss4/1</w:t>
        </w:r>
      </w:hyperlink>
      <w:r w:rsidRPr="00BA4A9E">
        <w:rPr>
          <w:rFonts w:ascii="Times New Roman" w:hAnsi="Times New Roman" w:cs="Times New Roman"/>
        </w:rPr>
        <w:t>.</w:t>
      </w:r>
    </w:p>
  </w:endnote>
  <w:endnote w:id="150">
    <w:p w14:paraId="3FE6C6B5" w14:textId="3FA86F79"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Clarification on the scope of the norm began as early as 1967, during which the UN General Assembly pronounced in its Declaration on Territorial Asylum that: “No person [seeking in other countries asylum from persecution] shall be subjected to measures such as </w:t>
      </w:r>
      <w:r w:rsidRPr="00BA4A9E">
        <w:rPr>
          <w:rFonts w:ascii="Times New Roman" w:hAnsi="Times New Roman" w:cs="Times New Roman"/>
          <w:i/>
          <w:sz w:val="20"/>
          <w:szCs w:val="20"/>
        </w:rPr>
        <w:t>rejection at the frontier</w:t>
      </w:r>
      <w:r w:rsidRPr="00BA4A9E">
        <w:rPr>
          <w:rFonts w:ascii="Times New Roman" w:hAnsi="Times New Roman" w:cs="Times New Roman"/>
          <w:sz w:val="20"/>
          <w:szCs w:val="20"/>
        </w:rPr>
        <w:t xml:space="preserve"> ....” G.A. Res. 2312, 22 U.N. GAOR Supp. (No. 16) at 31, U.N. Doc. A/6716 (1967). Ten years later, the Executive Committee of the UNHCR adopted a Conclusion that reaffirmed that “the principle of non-refoulement … [applied] both </w:t>
      </w:r>
      <w:r w:rsidRPr="00BA4A9E">
        <w:rPr>
          <w:rFonts w:ascii="Times New Roman" w:hAnsi="Times New Roman" w:cs="Times New Roman"/>
          <w:i/>
          <w:sz w:val="20"/>
          <w:szCs w:val="20"/>
        </w:rPr>
        <w:t>at the border</w:t>
      </w:r>
      <w:r w:rsidRPr="00BA4A9E">
        <w:rPr>
          <w:rFonts w:ascii="Times New Roman" w:hAnsi="Times New Roman" w:cs="Times New Roman"/>
          <w:sz w:val="20"/>
          <w:szCs w:val="20"/>
        </w:rPr>
        <w:t xml:space="preserve"> and within the territory of a State,” a principle that, at that time, “was generally accepted by states.”  UNHCR, </w:t>
      </w:r>
      <w:r w:rsidR="00EB5ED8" w:rsidRPr="00BA4A9E">
        <w:rPr>
          <w:rStyle w:val="Emphasis"/>
          <w:rFonts w:ascii="Times New Roman" w:hAnsi="Times New Roman" w:cs="Times New Roman"/>
          <w:sz w:val="20"/>
          <w:szCs w:val="20"/>
        </w:rPr>
        <w:t>Non-refoulement</w:t>
      </w:r>
      <w:r w:rsidRPr="00BA4A9E">
        <w:rPr>
          <w:rStyle w:val="Emphasis"/>
          <w:rFonts w:ascii="Times New Roman" w:hAnsi="Times New Roman" w:cs="Times New Roman"/>
          <w:sz w:val="20"/>
          <w:szCs w:val="20"/>
        </w:rPr>
        <w:t xml:space="preserve"> No. 6</w:t>
      </w:r>
      <w:r w:rsidRPr="00BA4A9E">
        <w:rPr>
          <w:rFonts w:ascii="Times New Roman" w:hAnsi="Times New Roman" w:cs="Times New Roman"/>
          <w:sz w:val="20"/>
          <w:szCs w:val="20"/>
        </w:rPr>
        <w:t> (XXVIII) - 1977, ¶ (c), </w:t>
      </w:r>
      <w:r w:rsidRPr="00BA4A9E">
        <w:rPr>
          <w:rStyle w:val="cosmallcaps"/>
          <w:rFonts w:ascii="Times New Roman" w:hAnsi="Times New Roman" w:cs="Times New Roman"/>
          <w:caps/>
          <w:sz w:val="20"/>
          <w:szCs w:val="20"/>
        </w:rPr>
        <w:t>U.N. DOC.</w:t>
      </w:r>
      <w:r w:rsidRPr="00BA4A9E">
        <w:rPr>
          <w:rFonts w:ascii="Times New Roman" w:hAnsi="Times New Roman" w:cs="Times New Roman"/>
          <w:sz w:val="20"/>
          <w:szCs w:val="20"/>
        </w:rPr>
        <w:t xml:space="preserve"> A/32/12/Add.1 (Oct. 12, 1977). In 1981, the Executive Committee of the UNHCR reaffirmed that “in all cases the fundamental principle of non-refoulement </w:t>
      </w:r>
      <w:r w:rsidRPr="00BA4A9E">
        <w:rPr>
          <w:rFonts w:ascii="Times New Roman" w:hAnsi="Times New Roman" w:cs="Times New Roman"/>
          <w:i/>
          <w:sz w:val="20"/>
          <w:szCs w:val="20"/>
        </w:rPr>
        <w:t>including non-rejection at the frontier</w:t>
      </w:r>
      <w:r w:rsidRPr="00BA4A9E">
        <w:rPr>
          <w:rFonts w:ascii="Times New Roman" w:hAnsi="Times New Roman" w:cs="Times New Roman"/>
          <w:sz w:val="20"/>
          <w:szCs w:val="20"/>
        </w:rPr>
        <w:t xml:space="preserve"> must be scrupulously observed.” UNHCR Executive Committee, </w:t>
      </w:r>
      <w:r w:rsidRPr="00BA4A9E">
        <w:rPr>
          <w:rFonts w:ascii="Times New Roman" w:hAnsi="Times New Roman" w:cs="Times New Roman"/>
          <w:i/>
          <w:sz w:val="20"/>
          <w:szCs w:val="20"/>
        </w:rPr>
        <w:t>Conclusion No. 22</w:t>
      </w:r>
      <w:r w:rsidRPr="00BA4A9E">
        <w:rPr>
          <w:rFonts w:ascii="Times New Roman" w:hAnsi="Times New Roman" w:cs="Times New Roman"/>
          <w:sz w:val="20"/>
          <w:szCs w:val="20"/>
        </w:rPr>
        <w:t xml:space="preserve"> (XXXII)-1981-Protection of Asylum-Seekers in Situations of Large-Scale Influx, para. II.A.</w:t>
      </w:r>
    </w:p>
  </w:endnote>
  <w:endnote w:id="151">
    <w:p w14:paraId="1361DF81"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rPr>
        <w:t>See</w:t>
      </w:r>
      <w:r w:rsidRPr="00BA4A9E">
        <w:rPr>
          <w:rFonts w:ascii="Times New Roman" w:hAnsi="Times New Roman" w:cs="Times New Roman"/>
        </w:rPr>
        <w:t xml:space="preserve"> Case 10.675, Inter-Am. Comm’n H.R., Report No. 51/96, OEA/Ser.L/V/II.95, doc. 7 rev. (1997), at para 156-157. (“The Commission does not agree with [</w:t>
      </w:r>
      <w:r w:rsidRPr="00BA4A9E">
        <w:rPr>
          <w:rFonts w:ascii="Times New Roman" w:hAnsi="Times New Roman" w:cs="Times New Roman"/>
          <w:i/>
        </w:rPr>
        <w:t>Sale</w:t>
      </w:r>
      <w:r w:rsidRPr="00BA4A9E">
        <w:rPr>
          <w:rFonts w:ascii="Times New Roman" w:hAnsi="Times New Roman" w:cs="Times New Roman"/>
        </w:rPr>
        <w:t xml:space="preserve">] . . .  [instead sharing the] view advanced by the United Nations High Commissioner for Refugees in its Amicus Curiae brief in its argument before the Supreme Court, that Article 33 had no geographical limitations.”); </w:t>
      </w:r>
      <w:r w:rsidRPr="00BA4A9E">
        <w:rPr>
          <w:rFonts w:ascii="Times New Roman" w:hAnsi="Times New Roman" w:cs="Times New Roman"/>
          <w:i/>
        </w:rPr>
        <w:t xml:space="preserve">see also UNHCR Advisory Opinion </w:t>
      </w:r>
      <w:r w:rsidRPr="00BA4A9E">
        <w:rPr>
          <w:rFonts w:ascii="Times New Roman" w:hAnsi="Times New Roman" w:cs="Times New Roman"/>
        </w:rPr>
        <w:t xml:space="preserve">(“Article 33 encompasses “non-admission[s] at the border”); </w:t>
      </w:r>
      <w:r w:rsidRPr="00BA4A9E">
        <w:rPr>
          <w:rFonts w:ascii="Times New Roman" w:hAnsi="Times New Roman" w:cs="Times New Roman"/>
          <w:i/>
        </w:rPr>
        <w:t>id.</w:t>
      </w:r>
      <w:r w:rsidRPr="00BA4A9E">
        <w:rPr>
          <w:rFonts w:ascii="Times New Roman" w:hAnsi="Times New Roman" w:cs="Times New Roman"/>
        </w:rPr>
        <w:t xml:space="preserve"> (“as a general rule, ... [contracting] States [must] grant individuals seeking international protection </w:t>
      </w:r>
      <w:r w:rsidRPr="00BA4A9E">
        <w:rPr>
          <w:rFonts w:ascii="Times New Roman" w:hAnsi="Times New Roman" w:cs="Times New Roman"/>
          <w:i/>
        </w:rPr>
        <w:t>access to the territory</w:t>
      </w:r>
      <w:r w:rsidRPr="00BA4A9E">
        <w:rPr>
          <w:rFonts w:ascii="Times New Roman" w:hAnsi="Times New Roman" w:cs="Times New Roman"/>
        </w:rPr>
        <w:t>.”); Walter Kälin, S</w:t>
      </w:r>
      <w:r w:rsidRPr="00BA4A9E">
        <w:rPr>
          <w:rFonts w:ascii="Times New Roman" w:hAnsi="Times New Roman" w:cs="Times New Roman"/>
          <w:i/>
        </w:rPr>
        <w:t>upervising the 1951 Convention Relating to the Status of Refugees: Article 35 and Beyond, in Refugee Protection in International Law: UNHCR’s Global Consultations on International Protection</w:t>
      </w:r>
      <w:r w:rsidRPr="00BA4A9E">
        <w:rPr>
          <w:rFonts w:ascii="Times New Roman" w:hAnsi="Times New Roman" w:cs="Times New Roman"/>
        </w:rPr>
        <w:t>, 627 ((“[Case law] acknowledges that, as part of States Parties' duty to cooperate with UNHCR and to accept its supervisory role under Article 35 of the 1951 Convention and article II of the 1967 Protocol, they have to take into account Executive Committee Conclusions, the UNHCR Handbook, UNHCR guidelines, and other UNHCR positions on matters of law (for example amicus curiae and similar submissions to courts . . .  when applying the 1951 Convention and its Protocol”).</w:t>
      </w:r>
    </w:p>
  </w:endnote>
  <w:endnote w:id="152">
    <w:p w14:paraId="4BCFCF96" w14:textId="5B6129D0"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UNHCR Executive Committee., </w:t>
      </w:r>
      <w:r w:rsidRPr="00BA4A9E">
        <w:rPr>
          <w:rFonts w:ascii="Times New Roman" w:hAnsi="Times New Roman" w:cs="Times New Roman"/>
          <w:i/>
          <w:iCs/>
        </w:rPr>
        <w:t>Note on International Protection</w:t>
      </w:r>
      <w:r w:rsidRPr="00BA4A9E">
        <w:rPr>
          <w:rFonts w:ascii="Times New Roman" w:hAnsi="Times New Roman" w:cs="Times New Roman"/>
        </w:rPr>
        <w:t>, ¶ 16, U.N. Doc. A/AC.96/951 (Sept. 13, 2001).</w:t>
      </w:r>
    </w:p>
  </w:endnote>
  <w:endnote w:id="153">
    <w:p w14:paraId="2CC811DC"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rPr>
        <w:t xml:space="preserve">See, e.g., </w:t>
      </w:r>
      <w:r w:rsidRPr="00BA4A9E">
        <w:rPr>
          <w:rFonts w:ascii="Times New Roman" w:hAnsi="Times New Roman" w:cs="Times New Roman"/>
          <w:bCs/>
          <w:i/>
        </w:rPr>
        <w:t xml:space="preserve">Dee M.A. and Others v. Lithuania </w:t>
      </w:r>
      <w:r w:rsidRPr="00BA4A9E">
        <w:rPr>
          <w:rFonts w:ascii="Times New Roman" w:hAnsi="Times New Roman" w:cs="Times New Roman"/>
          <w:bCs/>
        </w:rPr>
        <w:t>(no. 59793/17), Eur. Ct. H.R. (Dec. 11, 2018) (“</w:t>
      </w:r>
      <w:r w:rsidRPr="00BA4A9E">
        <w:rPr>
          <w:rFonts w:ascii="Times New Roman" w:hAnsi="Times New Roman" w:cs="Times New Roman"/>
          <w:shd w:val="clear" w:color="auto" w:fill="FFFFFF"/>
        </w:rPr>
        <w:t>States have a fundamental obligation to ‘ensure that no one shall be subjected to refusal of admission at the frontier”)</w:t>
      </w:r>
      <w:r w:rsidRPr="00BA4A9E">
        <w:rPr>
          <w:rFonts w:ascii="Times New Roman" w:hAnsi="Times New Roman" w:cs="Times New Roman"/>
        </w:rPr>
        <w:t xml:space="preserve">; </w:t>
      </w:r>
      <w:r w:rsidRPr="00BA4A9E">
        <w:rPr>
          <w:rFonts w:ascii="Times New Roman" w:hAnsi="Times New Roman" w:cs="Times New Roman"/>
          <w:bCs/>
          <w:i/>
        </w:rPr>
        <w:t>Hirsi Jamaa v. Italy</w:t>
      </w:r>
      <w:r w:rsidRPr="00BA4A9E">
        <w:rPr>
          <w:rFonts w:ascii="Times New Roman" w:hAnsi="Times New Roman" w:cs="Times New Roman"/>
          <w:bCs/>
        </w:rPr>
        <w:t xml:space="preserve">, App. No. 27765/09 Eur. Ct. H.R. (Feb. 23, 2012); Austria - Administrative Court of the Province of Styria, LVwG 20.3-912/2016 (Sep. 9, 2016) (asylum seekers cannot be rejected at the border crossing without having the possibility to state reasons for obtaining international protection); </w:t>
      </w:r>
      <w:r w:rsidRPr="00BA4A9E">
        <w:rPr>
          <w:rFonts w:ascii="Times New Roman" w:hAnsi="Times New Roman" w:cs="Times New Roman"/>
          <w:i/>
          <w:iCs/>
        </w:rPr>
        <w:t>D.D. v. Spain</w:t>
      </w:r>
      <w:r w:rsidRPr="00BA4A9E">
        <w:rPr>
          <w:rFonts w:ascii="Times New Roman" w:hAnsi="Times New Roman" w:cs="Times New Roman"/>
        </w:rPr>
        <w:t xml:space="preserve">, U.N. Doc. CRC/C/80/D/4/2016 (same); </w:t>
      </w:r>
      <w:r w:rsidRPr="00BA4A9E">
        <w:rPr>
          <w:rFonts w:ascii="Times New Roman" w:hAnsi="Times New Roman" w:cs="Times New Roman"/>
          <w:i/>
        </w:rPr>
        <w:t>see also</w:t>
      </w:r>
      <w:r w:rsidRPr="00BA4A9E">
        <w:rPr>
          <w:rFonts w:ascii="Times New Roman" w:hAnsi="Times New Roman" w:cs="Times New Roman"/>
        </w:rPr>
        <w:t> </w:t>
      </w:r>
      <w:r w:rsidRPr="00BA4A9E">
        <w:rPr>
          <w:rStyle w:val="Emphasis"/>
          <w:rFonts w:ascii="Times New Roman" w:hAnsi="Times New Roman" w:cs="Times New Roman"/>
        </w:rPr>
        <w:t>R.R. and Others v Hungary</w:t>
      </w:r>
      <w:r w:rsidRPr="00BA4A9E">
        <w:rPr>
          <w:rFonts w:ascii="Times New Roman" w:hAnsi="Times New Roman" w:cs="Times New Roman"/>
        </w:rPr>
        <w:t xml:space="preserve"> (App. No. 36037/17), Eur. Ct. H.R. (Mar. 2, 2021) (non-refoulement applies within the “transit zone” of a country); </w:t>
      </w:r>
      <w:r w:rsidRPr="00BA4A9E">
        <w:rPr>
          <w:rStyle w:val="Emphasis"/>
          <w:rFonts w:ascii="Times New Roman" w:hAnsi="Times New Roman" w:cs="Times New Roman"/>
        </w:rPr>
        <w:t>Ilias and Ahmed v. Hungary</w:t>
      </w:r>
      <w:r w:rsidRPr="00BA4A9E">
        <w:rPr>
          <w:rFonts w:ascii="Times New Roman" w:hAnsi="Times New Roman" w:cs="Times New Roman"/>
        </w:rPr>
        <w:t> (App. No. 47287/15), Eur. Ct. H.R. (Mar. 14, 2017) (same).</w:t>
      </w:r>
    </w:p>
  </w:endnote>
  <w:endnote w:id="154">
    <w:p w14:paraId="1261EF07" w14:textId="3BC94EB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bCs/>
          <w:i/>
        </w:rPr>
        <w:t xml:space="preserve">See, e.g., </w:t>
      </w:r>
      <w:r w:rsidRPr="00BA4A9E">
        <w:rPr>
          <w:rFonts w:ascii="Times New Roman" w:hAnsi="Times New Roman" w:cs="Times New Roman"/>
          <w:bCs/>
        </w:rPr>
        <w:t xml:space="preserve">INT’L L. ASS’N, </w:t>
      </w:r>
      <w:r w:rsidRPr="00BA4A9E">
        <w:rPr>
          <w:rFonts w:ascii="Times New Roman" w:hAnsi="Times New Roman" w:cs="Times New Roman"/>
          <w:bCs/>
          <w:i/>
        </w:rPr>
        <w:t>Resolution 6/2002 on Refugee Procedures (Declaration on International Minimum Standards for Refugee Procedures)</w:t>
      </w:r>
      <w:r w:rsidRPr="00BA4A9E">
        <w:rPr>
          <w:rFonts w:ascii="Times New Roman" w:hAnsi="Times New Roman" w:cs="Times New Roman"/>
          <w:bCs/>
        </w:rPr>
        <w:t xml:space="preserve"> (The International Law Association has stated that non-rejection at the border constitutes one of the “minimum standards of international [refugee] law for incorporation in all States.”) at preamble, ¶¶ 5, 8; European Union Agency for Fundamental Rights, </w:t>
      </w:r>
      <w:r w:rsidRPr="00BA4A9E">
        <w:rPr>
          <w:rFonts w:ascii="Times New Roman" w:hAnsi="Times New Roman" w:cs="Times New Roman"/>
          <w:bCs/>
          <w:i/>
        </w:rPr>
        <w:t xml:space="preserve">Scope of the principle of </w:t>
      </w:r>
      <w:r w:rsidR="00EB5ED8" w:rsidRPr="00BA4A9E">
        <w:rPr>
          <w:rFonts w:ascii="Times New Roman" w:hAnsi="Times New Roman" w:cs="Times New Roman"/>
          <w:bCs/>
          <w:i/>
        </w:rPr>
        <w:t>non-refoulement</w:t>
      </w:r>
      <w:r w:rsidRPr="00BA4A9E">
        <w:rPr>
          <w:rFonts w:ascii="Times New Roman" w:hAnsi="Times New Roman" w:cs="Times New Roman"/>
          <w:bCs/>
          <w:i/>
        </w:rPr>
        <w:t xml:space="preserve"> in contemporary border management </w:t>
      </w:r>
      <w:r w:rsidRPr="00BA4A9E">
        <w:rPr>
          <w:rFonts w:ascii="Times New Roman" w:hAnsi="Times New Roman" w:cs="Times New Roman"/>
          <w:bCs/>
        </w:rPr>
        <w:t xml:space="preserve">(2016) (explaining that non-refoulement obligations adhere at designated border crossing points). </w:t>
      </w:r>
      <w:r w:rsidRPr="00BA4A9E">
        <w:rPr>
          <w:rFonts w:ascii="Times New Roman" w:eastAsia="Times New Roman" w:hAnsi="Times New Roman" w:cs="Times New Roman"/>
        </w:rPr>
        <w:t>It is doubtful that</w:t>
      </w:r>
      <w:r w:rsidRPr="00BA4A9E">
        <w:rPr>
          <w:rFonts w:ascii="Times New Roman" w:eastAsia="Times New Roman" w:hAnsi="Times New Roman" w:cs="Times New Roman"/>
          <w:i/>
          <w:iCs/>
        </w:rPr>
        <w:t xml:space="preserve"> Sale</w:t>
      </w:r>
      <w:r w:rsidRPr="00BA4A9E">
        <w:rPr>
          <w:rFonts w:ascii="Times New Roman" w:eastAsia="Times New Roman" w:hAnsi="Times New Roman" w:cs="Times New Roman"/>
        </w:rPr>
        <w:t xml:space="preserve"> is good law in any court even when cabined to cases involving interdiction, particularly where European actors push back Black migrants into the Mediterranean Sea. The European Court of Human Rights recently denounced pushback operations off the coast of Greece and Turkey. </w:t>
      </w:r>
      <w:r w:rsidRPr="00BA4A9E">
        <w:rPr>
          <w:rFonts w:ascii="Times New Roman" w:eastAsia="Times New Roman" w:hAnsi="Times New Roman" w:cs="Times New Roman"/>
          <w:i/>
          <w:iCs/>
        </w:rPr>
        <w:t>See Safi and Others v. Greece</w:t>
      </w:r>
      <w:r w:rsidRPr="00BA4A9E">
        <w:rPr>
          <w:rFonts w:ascii="Times New Roman" w:eastAsia="Times New Roman" w:hAnsi="Times New Roman" w:cs="Times New Roman"/>
        </w:rPr>
        <w:t xml:space="preserve">, Application No. 5418/15 Eur. Ct. H.R. (Jul. 7, 2022). The jurisprudence on this issue from international tribunals is authoritative. </w:t>
      </w:r>
      <w:r w:rsidRPr="00BA4A9E">
        <w:rPr>
          <w:rFonts w:ascii="Times New Roman" w:eastAsia="Times New Roman" w:hAnsi="Times New Roman" w:cs="Times New Roman"/>
          <w:i/>
          <w:iCs/>
        </w:rPr>
        <w:t>See Hirsijamaa and Others v. Italy</w:t>
      </w:r>
      <w:r w:rsidRPr="00BA4A9E">
        <w:rPr>
          <w:rFonts w:ascii="Times New Roman" w:eastAsia="Times New Roman" w:hAnsi="Times New Roman" w:cs="Times New Roman"/>
        </w:rPr>
        <w:t xml:space="preserve">, Application No. 27765/09, Eur. Ct. H.R. (Feb. 23, 2012) (“The Italian border control operation of ‘push-back’ on the high seas, coupled with the absence of an individual, fair and effective procedure to screen asylum seekers, constitutes a serious breach of the prohibition of collective expulsion of aliens and consequently of the principle of non-refoulement.”); </w:t>
      </w:r>
      <w:r w:rsidRPr="00BA4A9E">
        <w:rPr>
          <w:rFonts w:ascii="Times New Roman" w:eastAsia="Times New Roman" w:hAnsi="Times New Roman" w:cs="Times New Roman"/>
          <w:i/>
          <w:iCs/>
        </w:rPr>
        <w:t>M.S.S. v. Belgium &amp; Greece</w:t>
      </w:r>
      <w:r w:rsidRPr="00BA4A9E">
        <w:rPr>
          <w:rFonts w:ascii="Times New Roman" w:eastAsia="Times New Roman" w:hAnsi="Times New Roman" w:cs="Times New Roman"/>
        </w:rPr>
        <w:t xml:space="preserve">, App. No. 30696/09, Eur. Ct. H.R. (Jan. 21, 2011); </w:t>
      </w:r>
      <w:r w:rsidRPr="00BA4A9E">
        <w:rPr>
          <w:rFonts w:ascii="Times New Roman" w:eastAsia="Times New Roman" w:hAnsi="Times New Roman" w:cs="Times New Roman"/>
          <w:i/>
          <w:iCs/>
        </w:rPr>
        <w:t>M70/2011 v Minister for Immigration and Citizenship</w:t>
      </w:r>
      <w:r w:rsidRPr="00BA4A9E">
        <w:rPr>
          <w:rFonts w:ascii="Times New Roman" w:eastAsia="Times New Roman" w:hAnsi="Times New Roman" w:cs="Times New Roman"/>
        </w:rPr>
        <w:t xml:space="preserve"> 280 A.L.R. 18 (2011) (High Court of Australia ruled that asylum seekers interdicted off of Australia could not be sent to Malaysia for off-shore processing); </w:t>
      </w:r>
      <w:r w:rsidRPr="00BA4A9E">
        <w:rPr>
          <w:rFonts w:ascii="Times New Roman" w:eastAsia="Times New Roman" w:hAnsi="Times New Roman" w:cs="Times New Roman"/>
          <w:i/>
          <w:iCs/>
        </w:rPr>
        <w:t>J.H.A. v. Spain (“Marine I”)</w:t>
      </w:r>
      <w:r w:rsidRPr="00BA4A9E">
        <w:rPr>
          <w:rFonts w:ascii="Times New Roman" w:eastAsia="Times New Roman" w:hAnsi="Times New Roman" w:cs="Times New Roman"/>
        </w:rPr>
        <w:t xml:space="preserve">, U.N. Doc. CAT/C/41/D/323/2007, para. 8.2 (Nov. 21, 2008) (same); </w:t>
      </w:r>
      <w:r w:rsidRPr="00BA4A9E">
        <w:rPr>
          <w:rFonts w:ascii="Times New Roman" w:eastAsia="Times New Roman" w:hAnsi="Times New Roman" w:cs="Times New Roman"/>
          <w:i/>
          <w:iCs/>
        </w:rPr>
        <w:t>Medvedyev v. France</w:t>
      </w:r>
      <w:r w:rsidRPr="00BA4A9E">
        <w:rPr>
          <w:rFonts w:ascii="Times New Roman" w:eastAsia="Times New Roman" w:hAnsi="Times New Roman" w:cs="Times New Roman"/>
        </w:rPr>
        <w:t>, App. No. 3394/03, Eur. Ct. H.R. (GC) (Mar. 29, 2010) (“the special nature of the maritime environment relied upon by the Government in the instant case cannot justify an area outside the law where ships’ crews are covered by no legal system).</w:t>
      </w:r>
    </w:p>
  </w:endnote>
  <w:endnote w:id="155">
    <w:p w14:paraId="521BABAB"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bCs/>
          <w:i/>
        </w:rPr>
        <w:t>See, e.g.</w:t>
      </w:r>
      <w:r w:rsidRPr="00BA4A9E">
        <w:rPr>
          <w:rFonts w:ascii="Times New Roman" w:hAnsi="Times New Roman" w:cs="Times New Roman"/>
          <w:bCs/>
        </w:rPr>
        <w:t>,</w:t>
      </w:r>
      <w:r w:rsidRPr="00BA4A9E">
        <w:rPr>
          <w:rFonts w:ascii="Times New Roman" w:hAnsi="Times New Roman" w:cs="Times New Roman"/>
          <w:i/>
        </w:rPr>
        <w:t xml:space="preserve"> African Refugee Convention, </w:t>
      </w:r>
      <w:r w:rsidRPr="00BA4A9E">
        <w:rPr>
          <w:rFonts w:ascii="Times New Roman" w:hAnsi="Times New Roman" w:cs="Times New Roman"/>
        </w:rPr>
        <w:t xml:space="preserve">OAU Convention Governing the Specific Aspects of Refugee Problems in Africa, Sept. 10, 1969, 1001 U.N.T.S. 45; </w:t>
      </w:r>
      <w:r w:rsidRPr="00BA4A9E">
        <w:rPr>
          <w:rFonts w:ascii="Times New Roman" w:hAnsi="Times New Roman" w:cs="Times New Roman"/>
          <w:i/>
        </w:rPr>
        <w:t xml:space="preserve">Cartagena Declaration, </w:t>
      </w:r>
      <w:r w:rsidRPr="00BA4A9E">
        <w:rPr>
          <w:rFonts w:ascii="Times New Roman" w:hAnsi="Times New Roman" w:cs="Times New Roman"/>
        </w:rPr>
        <w:t>Organization of American States, Cartagena Declaration on Refugees, </w:t>
      </w:r>
      <w:r w:rsidRPr="00BA4A9E">
        <w:rPr>
          <w:rFonts w:ascii="Times New Roman" w:hAnsi="Times New Roman" w:cs="Times New Roman"/>
          <w:i/>
          <w:iCs/>
        </w:rPr>
        <w:t>Colloquium on the International Protection of Refugees in Central America, Mexico and Panama</w:t>
      </w:r>
      <w:r w:rsidRPr="00BA4A9E">
        <w:rPr>
          <w:rFonts w:ascii="Times New Roman" w:hAnsi="Times New Roman" w:cs="Times New Roman"/>
        </w:rPr>
        <w:t xml:space="preserve">, Nov. 22, 1984, OAS/Ser. L/V/II.66, doc. 10, rev. 1, at 190-93, https://perma.cc/U7AA-GG39; </w:t>
      </w:r>
      <w:r w:rsidRPr="00BA4A9E">
        <w:rPr>
          <w:rFonts w:ascii="Times New Roman" w:hAnsi="Times New Roman" w:cs="Times New Roman"/>
          <w:i/>
        </w:rPr>
        <w:t xml:space="preserve">San Jose Declaration, </w:t>
      </w:r>
      <w:r w:rsidRPr="00BA4A9E">
        <w:rPr>
          <w:rFonts w:ascii="Times New Roman" w:hAnsi="Times New Roman" w:cs="Times New Roman"/>
        </w:rPr>
        <w:t xml:space="preserve">San José Declaration on Refugees and Displaced Persons, Dec. 7, 1994, https://perma.cc/W65K-SUFW; </w:t>
      </w:r>
      <w:r w:rsidRPr="00BA4A9E">
        <w:rPr>
          <w:rFonts w:ascii="Times New Roman" w:hAnsi="Times New Roman" w:cs="Times New Roman"/>
          <w:i/>
        </w:rPr>
        <w:t xml:space="preserve">Mexico Declaration, </w:t>
      </w:r>
      <w:r w:rsidRPr="00BA4A9E">
        <w:rPr>
          <w:rFonts w:ascii="Times New Roman" w:hAnsi="Times New Roman" w:cs="Times New Roman"/>
        </w:rPr>
        <w:t xml:space="preserve">Mexico Declaration and Plan of Action to Strengthen the International Protection of Refugees in Latin American, Nov. 16, 2004, https://perma.cc/Q33B-7A9F; </w:t>
      </w:r>
      <w:r w:rsidRPr="00BA4A9E">
        <w:rPr>
          <w:rFonts w:ascii="Times New Roman" w:hAnsi="Times New Roman" w:cs="Times New Roman"/>
          <w:i/>
        </w:rPr>
        <w:t>Brasilia Declaration</w:t>
      </w:r>
      <w:r w:rsidRPr="00BA4A9E">
        <w:rPr>
          <w:rFonts w:ascii="Times New Roman" w:hAnsi="Times New Roman" w:cs="Times New Roman"/>
        </w:rPr>
        <w:t>,</w:t>
      </w:r>
      <w:r w:rsidRPr="00BA4A9E">
        <w:rPr>
          <w:rFonts w:ascii="Times New Roman" w:hAnsi="Times New Roman" w:cs="Times New Roman"/>
          <w:i/>
        </w:rPr>
        <w:t xml:space="preserve"> </w:t>
      </w:r>
      <w:r w:rsidRPr="00BA4A9E">
        <w:rPr>
          <w:rFonts w:ascii="Times New Roman" w:hAnsi="Times New Roman" w:cs="Times New Roman"/>
        </w:rPr>
        <w:t xml:space="preserve">Brasilia Declaration on the Protection of Refugee and Stateless Persons in America, Nov. 11, 2010, https://perma.cc/8U67-3RPX; </w:t>
      </w:r>
      <w:r w:rsidRPr="00BA4A9E">
        <w:rPr>
          <w:rFonts w:ascii="Times New Roman" w:hAnsi="Times New Roman" w:cs="Times New Roman"/>
          <w:i/>
        </w:rPr>
        <w:t>Bangkok Principles</w:t>
      </w:r>
      <w:r w:rsidRPr="00BA4A9E">
        <w:rPr>
          <w:rFonts w:ascii="Times New Roman" w:hAnsi="Times New Roman" w:cs="Times New Roman"/>
        </w:rPr>
        <w:t>, Asian-African Legal Consultative Organization [AALCO] Bangkok Principles on the Status and Treatment of Refugees (Dec. 31, 1966), https://perma.cc/LL2A-3VRT.</w:t>
      </w:r>
    </w:p>
  </w:endnote>
  <w:endnote w:id="156">
    <w:p w14:paraId="2B3EC2D4" w14:textId="3BEF3C24"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e.g., </w:t>
      </w:r>
      <w:r w:rsidRPr="00BA4A9E">
        <w:rPr>
          <w:rFonts w:ascii="Times New Roman" w:hAnsi="Times New Roman" w:cs="Times New Roman"/>
          <w:sz w:val="20"/>
          <w:szCs w:val="20"/>
        </w:rPr>
        <w:t xml:space="preserve">Guy S. Goodwin-Gill, </w:t>
      </w:r>
      <w:r w:rsidRPr="00BA4A9E">
        <w:rPr>
          <w:rFonts w:ascii="Times New Roman" w:hAnsi="Times New Roman" w:cs="Times New Roman"/>
          <w:i/>
          <w:sz w:val="20"/>
          <w:szCs w:val="20"/>
        </w:rPr>
        <w:t>The Refugee in International Law</w:t>
      </w:r>
      <w:r w:rsidRPr="00BA4A9E">
        <w:rPr>
          <w:rFonts w:ascii="Times New Roman" w:hAnsi="Times New Roman" w:cs="Times New Roman"/>
          <w:sz w:val="20"/>
          <w:szCs w:val="20"/>
        </w:rPr>
        <w:t xml:space="preserve"> 117, 123-24 (Clarendon Press, 2d ed. 1996) (</w:t>
      </w:r>
      <w:r w:rsidR="006C417B">
        <w:rPr>
          <w:rFonts w:ascii="Times New Roman" w:hAnsi="Times New Roman" w:cs="Times New Roman"/>
          <w:sz w:val="20"/>
          <w:szCs w:val="20"/>
        </w:rPr>
        <w:t xml:space="preserve">stating that </w:t>
      </w:r>
      <w:r w:rsidRPr="00BA4A9E">
        <w:rPr>
          <w:rFonts w:ascii="Times New Roman" w:hAnsi="Times New Roman" w:cs="Times New Roman"/>
          <w:sz w:val="20"/>
          <w:szCs w:val="20"/>
        </w:rPr>
        <w:t>“</w:t>
      </w:r>
      <w:r w:rsidR="006C417B">
        <w:rPr>
          <w:rFonts w:ascii="Times New Roman" w:hAnsi="Times New Roman" w:cs="Times New Roman"/>
          <w:sz w:val="20"/>
          <w:szCs w:val="20"/>
        </w:rPr>
        <w:t>[c]</w:t>
      </w:r>
      <w:r w:rsidRPr="00BA4A9E">
        <w:rPr>
          <w:rFonts w:ascii="Times New Roman" w:hAnsi="Times New Roman" w:cs="Times New Roman"/>
          <w:sz w:val="20"/>
          <w:szCs w:val="20"/>
        </w:rPr>
        <w:t>ertain factual elements may be necessary ... before the principle [of </w:t>
      </w:r>
      <w:r w:rsidRPr="00BA4A9E">
        <w:rPr>
          <w:rFonts w:ascii="Times New Roman" w:hAnsi="Times New Roman" w:cs="Times New Roman"/>
          <w:bCs/>
          <w:sz w:val="20"/>
          <w:szCs w:val="20"/>
        </w:rPr>
        <w:t>non</w:t>
      </w:r>
      <w:r w:rsidRPr="00BA4A9E">
        <w:rPr>
          <w:rFonts w:ascii="Times New Roman" w:hAnsi="Times New Roman" w:cs="Times New Roman"/>
          <w:sz w:val="20"/>
          <w:szCs w:val="20"/>
        </w:rPr>
        <w:t>-</w:t>
      </w:r>
      <w:r w:rsidRPr="00BA4A9E">
        <w:rPr>
          <w:rFonts w:ascii="Times New Roman" w:hAnsi="Times New Roman" w:cs="Times New Roman"/>
          <w:bCs/>
          <w:sz w:val="20"/>
          <w:szCs w:val="20"/>
        </w:rPr>
        <w:t>refoulement</w:t>
      </w:r>
      <w:r w:rsidRPr="00BA4A9E">
        <w:rPr>
          <w:rFonts w:ascii="Times New Roman" w:hAnsi="Times New Roman" w:cs="Times New Roman"/>
          <w:sz w:val="20"/>
          <w:szCs w:val="20"/>
        </w:rPr>
        <w:t>] is triggered, but the concept now encompasses both non-return and non-rejection [of the asylum-seeker at the </w:t>
      </w:r>
      <w:r w:rsidRPr="00BA4A9E">
        <w:rPr>
          <w:rFonts w:ascii="Times New Roman" w:hAnsi="Times New Roman" w:cs="Times New Roman"/>
          <w:bCs/>
          <w:sz w:val="20"/>
          <w:szCs w:val="20"/>
        </w:rPr>
        <w:t>border</w:t>
      </w:r>
      <w:r w:rsidRPr="00BA4A9E">
        <w:rPr>
          <w:rFonts w:ascii="Times New Roman" w:hAnsi="Times New Roman" w:cs="Times New Roman"/>
          <w:sz w:val="20"/>
          <w:szCs w:val="20"/>
        </w:rPr>
        <w:t xml:space="preserve">]”); Guy S. Goodwin-Gill &amp; Jane McAdam, </w:t>
      </w:r>
      <w:r w:rsidRPr="00BA4A9E">
        <w:rPr>
          <w:rFonts w:ascii="Times New Roman" w:hAnsi="Times New Roman" w:cs="Times New Roman"/>
          <w:i/>
          <w:sz w:val="20"/>
          <w:szCs w:val="20"/>
        </w:rPr>
        <w:t>The Refugee in International Law</w:t>
      </w:r>
      <w:r w:rsidRPr="00BA4A9E">
        <w:rPr>
          <w:rFonts w:ascii="Times New Roman" w:hAnsi="Times New Roman" w:cs="Times New Roman"/>
          <w:sz w:val="20"/>
          <w:szCs w:val="20"/>
        </w:rPr>
        <w:t xml:space="preserve"> 208 (3d ed. 2007) (arguing even if </w:t>
      </w:r>
      <w:r w:rsidRPr="00BA4A9E">
        <w:rPr>
          <w:rFonts w:ascii="Times New Roman" w:hAnsi="Times New Roman" w:cs="Times New Roman"/>
          <w:bCs/>
          <w:iCs/>
          <w:sz w:val="20"/>
          <w:szCs w:val="20"/>
        </w:rPr>
        <w:t>non</w:t>
      </w:r>
      <w:r w:rsidRPr="00BA4A9E">
        <w:rPr>
          <w:rFonts w:ascii="Times New Roman" w:hAnsi="Times New Roman" w:cs="Times New Roman"/>
          <w:iCs/>
          <w:sz w:val="20"/>
          <w:szCs w:val="20"/>
        </w:rPr>
        <w:t>-</w:t>
      </w:r>
      <w:r w:rsidRPr="00BA4A9E">
        <w:rPr>
          <w:rFonts w:ascii="Times New Roman" w:hAnsi="Times New Roman" w:cs="Times New Roman"/>
          <w:bCs/>
          <w:iCs/>
          <w:sz w:val="20"/>
          <w:szCs w:val="20"/>
        </w:rPr>
        <w:t>refoulement</w:t>
      </w:r>
      <w:r w:rsidRPr="00BA4A9E">
        <w:rPr>
          <w:rFonts w:ascii="Times New Roman" w:hAnsi="Times New Roman" w:cs="Times New Roman"/>
          <w:sz w:val="20"/>
          <w:szCs w:val="20"/>
        </w:rPr>
        <w:t> was not originally conceived as prohibiting rejection at the </w:t>
      </w:r>
      <w:r w:rsidRPr="00BA4A9E">
        <w:rPr>
          <w:rFonts w:ascii="Times New Roman" w:hAnsi="Times New Roman" w:cs="Times New Roman"/>
          <w:bCs/>
          <w:sz w:val="20"/>
          <w:szCs w:val="20"/>
        </w:rPr>
        <w:t>frontier</w:t>
      </w:r>
      <w:r w:rsidRPr="00BA4A9E">
        <w:rPr>
          <w:rFonts w:ascii="Times New Roman" w:hAnsi="Times New Roman" w:cs="Times New Roman"/>
          <w:sz w:val="20"/>
          <w:szCs w:val="20"/>
        </w:rPr>
        <w:t>, “States in their practice and in their recorded views [] have recognized that </w:t>
      </w:r>
      <w:r w:rsidRPr="00BA4A9E">
        <w:rPr>
          <w:rFonts w:ascii="Times New Roman" w:hAnsi="Times New Roman" w:cs="Times New Roman"/>
          <w:bCs/>
          <w:iCs/>
          <w:sz w:val="20"/>
          <w:szCs w:val="20"/>
        </w:rPr>
        <w:t>non</w:t>
      </w:r>
      <w:r w:rsidRPr="00BA4A9E">
        <w:rPr>
          <w:rFonts w:ascii="Times New Roman" w:hAnsi="Times New Roman" w:cs="Times New Roman"/>
          <w:iCs/>
          <w:sz w:val="20"/>
          <w:szCs w:val="20"/>
        </w:rPr>
        <w:t>-</w:t>
      </w:r>
      <w:r w:rsidRPr="00BA4A9E">
        <w:rPr>
          <w:rFonts w:ascii="Times New Roman" w:hAnsi="Times New Roman" w:cs="Times New Roman"/>
          <w:bCs/>
          <w:iCs/>
          <w:sz w:val="20"/>
          <w:szCs w:val="20"/>
        </w:rPr>
        <w:t>refoulement</w:t>
      </w:r>
      <w:r w:rsidRPr="00BA4A9E">
        <w:rPr>
          <w:rFonts w:ascii="Times New Roman" w:hAnsi="Times New Roman" w:cs="Times New Roman"/>
          <w:sz w:val="20"/>
          <w:szCs w:val="20"/>
        </w:rPr>
        <w:t> applies to the moment at which asylum seekers present themselves for entry, either within a State or at its </w:t>
      </w:r>
      <w:r w:rsidRPr="00BA4A9E">
        <w:rPr>
          <w:rFonts w:ascii="Times New Roman" w:hAnsi="Times New Roman" w:cs="Times New Roman"/>
          <w:bCs/>
          <w:sz w:val="20"/>
          <w:szCs w:val="20"/>
        </w:rPr>
        <w:t>border</w:t>
      </w:r>
      <w:r w:rsidRPr="00BA4A9E">
        <w:rPr>
          <w:rFonts w:ascii="Times New Roman" w:hAnsi="Times New Roman" w:cs="Times New Roman"/>
          <w:sz w:val="20"/>
          <w:szCs w:val="20"/>
        </w:rPr>
        <w:t>”).</w:t>
      </w:r>
    </w:p>
  </w:endnote>
  <w:endnote w:id="157">
    <w:p w14:paraId="3EFA1612" w14:textId="77777777" w:rsidR="005E7016" w:rsidRPr="00BA4A9E" w:rsidRDefault="005E7016" w:rsidP="005E7016">
      <w:pPr>
        <w:pStyle w:val="EndnoteText"/>
        <w:rPr>
          <w:rFonts w:ascii="Times New Roman" w:hAnsi="Times New Roman" w:cs="Times New Roman"/>
        </w:rPr>
      </w:pPr>
    </w:p>
  </w:endnote>
  <w:endnote w:id="158">
    <w:p w14:paraId="20D3212F" w14:textId="18DB4E70"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w:t>
      </w:r>
      <w:r w:rsidRPr="00BA4A9E">
        <w:rPr>
          <w:rFonts w:ascii="Times New Roman" w:eastAsia="Times New Roman" w:hAnsi="Times New Roman" w:cs="Times New Roman"/>
          <w:i/>
          <w:iCs/>
          <w:sz w:val="20"/>
          <w:szCs w:val="20"/>
        </w:rPr>
        <w:t>See</w:t>
      </w:r>
      <w:r w:rsidRPr="00BA4A9E">
        <w:rPr>
          <w:rFonts w:ascii="Times New Roman" w:hAnsi="Times New Roman" w:cs="Times New Roman"/>
          <w:sz w:val="20"/>
          <w:szCs w:val="20"/>
        </w:rPr>
        <w:t xml:space="preserve"> Human Rights Committee, </w:t>
      </w:r>
      <w:r w:rsidRPr="00BA4A9E">
        <w:rPr>
          <w:rStyle w:val="Emphasis"/>
          <w:rFonts w:ascii="Times New Roman" w:hAnsi="Times New Roman" w:cs="Times New Roman"/>
          <w:sz w:val="20"/>
          <w:szCs w:val="20"/>
        </w:rPr>
        <w:t>Comments by the Government of the United States of America on the Concluding Observations of the Human Rights Committee</w:t>
      </w:r>
      <w:r w:rsidRPr="00BA4A9E">
        <w:rPr>
          <w:rFonts w:ascii="Times New Roman" w:hAnsi="Times New Roman" w:cs="Times New Roman"/>
          <w:sz w:val="20"/>
          <w:szCs w:val="20"/>
        </w:rPr>
        <w:t xml:space="preserve">, at p. 9, U.N. Doc. CCPR/C/USA/CO/3/REV.1/ADD.1 (Feb. 12, 2008), </w:t>
      </w:r>
      <w:r w:rsidRPr="00BA4A9E">
        <w:rPr>
          <w:rFonts w:ascii="Times New Roman" w:eastAsia="Times New Roman" w:hAnsi="Times New Roman" w:cs="Times New Roman"/>
          <w:sz w:val="20"/>
          <w:szCs w:val="20"/>
        </w:rPr>
        <w:t>(</w:t>
      </w:r>
      <w:r w:rsidR="00B55625">
        <w:rPr>
          <w:rFonts w:ascii="Times New Roman" w:eastAsia="Times New Roman" w:hAnsi="Times New Roman" w:cs="Times New Roman"/>
          <w:sz w:val="20"/>
          <w:szCs w:val="20"/>
        </w:rPr>
        <w:t xml:space="preserve">asserting that </w:t>
      </w:r>
      <w:r w:rsidRPr="00BA4A9E">
        <w:rPr>
          <w:rFonts w:ascii="Times New Roman" w:eastAsia="Times New Roman" w:hAnsi="Times New Roman" w:cs="Times New Roman"/>
          <w:sz w:val="20"/>
          <w:szCs w:val="20"/>
        </w:rPr>
        <w:t>“</w:t>
      </w:r>
      <w:r w:rsidR="006C417B">
        <w:rPr>
          <w:rFonts w:ascii="Times New Roman" w:eastAsia="Times New Roman" w:hAnsi="Times New Roman" w:cs="Times New Roman"/>
          <w:sz w:val="20"/>
          <w:szCs w:val="20"/>
        </w:rPr>
        <w:t>t</w:t>
      </w:r>
      <w:r w:rsidRPr="00BA4A9E">
        <w:rPr>
          <w:rFonts w:ascii="Times New Roman" w:eastAsia="Times New Roman" w:hAnsi="Times New Roman" w:cs="Times New Roman"/>
          <w:sz w:val="20"/>
          <w:szCs w:val="20"/>
        </w:rPr>
        <w:t>he Covenant does not impose a non-refoulement obligation upon States Parties. The United States Government is familiar with the Committee</w:t>
      </w:r>
      <w:r w:rsidRPr="00BA4A9E">
        <w:rPr>
          <w:rFonts w:ascii="Times New Roman" w:hAnsi="Times New Roman" w:cs="Times New Roman"/>
          <w:sz w:val="20"/>
          <w:szCs w:val="20"/>
        </w:rPr>
        <w:t>’</w:t>
      </w:r>
      <w:r w:rsidRPr="00BA4A9E">
        <w:rPr>
          <w:rFonts w:ascii="Times New Roman" w:eastAsia="Times New Roman" w:hAnsi="Times New Roman" w:cs="Times New Roman"/>
          <w:sz w:val="20"/>
          <w:szCs w:val="20"/>
        </w:rPr>
        <w:t>s statements in General Comments 20 and 31 regarding Article 7 …</w:t>
      </w:r>
      <w:r w:rsidRPr="00BA4A9E">
        <w:rPr>
          <w:rFonts w:ascii="Times New Roman" w:hAnsi="Times New Roman" w:cs="Times New Roman"/>
          <w:sz w:val="20"/>
          <w:szCs w:val="20"/>
        </w:rPr>
        <w:t xml:space="preserve">. </w:t>
      </w:r>
      <w:r w:rsidRPr="00BA4A9E">
        <w:rPr>
          <w:rFonts w:ascii="Times New Roman" w:eastAsia="Times New Roman" w:hAnsi="Times New Roman" w:cs="Times New Roman"/>
          <w:sz w:val="20"/>
          <w:szCs w:val="20"/>
        </w:rPr>
        <w:t xml:space="preserve">The nonbinding opinions offered by the Committee in General Comments 20 and 31 have no firm legal basis in the text of the treaty or the intention of its States Parties at the time they negotiated or became party to the instrument. Moreover, as the United States explained during its July 2006 appearance, the States Parties under article 40 of the Covenant did not give the Human Rights Committee authority to issue legally binding or authoritative interpretations of the Covenant. Accordingly, the United States does not consider General Comments 20 and 31 to reflect the ‘legal obligation’ under the Covenant that is claimed by the Committee.”). </w:t>
      </w:r>
    </w:p>
  </w:endnote>
  <w:endnote w:id="159">
    <w:p w14:paraId="5DF6830B" w14:textId="06A0ED1A"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Second Amended Complaint</w:t>
      </w:r>
      <w:r w:rsidR="00C85634">
        <w:rPr>
          <w:rFonts w:ascii="Times New Roman" w:hAnsi="Times New Roman" w:cs="Times New Roman"/>
        </w:rPr>
        <w:t xml:space="preserve">, </w:t>
      </w:r>
      <w:r w:rsidR="00C85634" w:rsidRPr="00C85634">
        <w:rPr>
          <w:rFonts w:ascii="Times New Roman" w:hAnsi="Times New Roman" w:cs="Times New Roman"/>
          <w:i/>
        </w:rPr>
        <w:t>Al Otro Lado v. Mayorkas</w:t>
      </w:r>
      <w:r w:rsidR="00C85634" w:rsidRPr="00C85634">
        <w:rPr>
          <w:rFonts w:ascii="Times New Roman" w:hAnsi="Times New Roman" w:cs="Times New Roman"/>
        </w:rPr>
        <w:t xml:space="preserve"> </w:t>
      </w:r>
      <w:r w:rsidR="00C85634" w:rsidRPr="00C85634">
        <w:rPr>
          <w:rFonts w:ascii="Times New Roman" w:hAnsi="Times New Roman" w:cs="Times New Roman"/>
          <w:i/>
          <w:iCs/>
        </w:rPr>
        <w:t>available at</w:t>
      </w:r>
      <w:r w:rsidR="00C85634">
        <w:rPr>
          <w:rFonts w:ascii="Times New Roman" w:hAnsi="Times New Roman" w:cs="Times New Roman"/>
        </w:rPr>
        <w:t xml:space="preserve"> </w:t>
      </w:r>
      <w:hyperlink r:id="rId140" w:history="1">
        <w:r w:rsidR="00C85634" w:rsidRPr="00C85634">
          <w:rPr>
            <w:rStyle w:val="Hyperlink"/>
            <w:rFonts w:ascii="Times New Roman" w:hAnsi="Times New Roman" w:cs="Times New Roman"/>
            <w:color w:val="auto"/>
          </w:rPr>
          <w:t>https://ccrjustice.org/sites/default/files/attach/2019/05/189</w:t>
        </w:r>
      </w:hyperlink>
      <w:r w:rsidR="00C85634" w:rsidRPr="00C85634">
        <w:rPr>
          <w:rFonts w:ascii="Times New Roman" w:hAnsi="Times New Roman" w:cs="Times New Roman"/>
        </w:rPr>
        <w:t xml:space="preserve">. </w:t>
      </w:r>
    </w:p>
  </w:endnote>
  <w:endnote w:id="160">
    <w:p w14:paraId="5EACB8DA" w14:textId="2395E0E1" w:rsidR="000362C9" w:rsidRPr="00BA4A9E" w:rsidRDefault="000362C9" w:rsidP="00F13970">
      <w:pPr>
        <w:pStyle w:val="EndnoteText"/>
        <w:rPr>
          <w:rFonts w:ascii="Times New Roman" w:hAnsi="Times New Roman" w:cs="Times New Roman"/>
          <w:highlight w:val="yellow"/>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DD561A" w:rsidRPr="00BA4A9E">
        <w:rPr>
          <w:rFonts w:ascii="Times New Roman" w:eastAsia="Times New Roman" w:hAnsi="Times New Roman" w:cs="Times New Roman"/>
        </w:rPr>
        <w:t>Summary Judgment Opinion</w:t>
      </w:r>
      <w:r w:rsidRPr="00BA4A9E">
        <w:rPr>
          <w:rFonts w:ascii="Times New Roman" w:eastAsia="Times New Roman" w:hAnsi="Times New Roman" w:cs="Times New Roman"/>
        </w:rPr>
        <w:t xml:space="preserve">, </w:t>
      </w:r>
      <w:r w:rsidRPr="00BA4A9E">
        <w:rPr>
          <w:rFonts w:ascii="Times New Roman" w:hAnsi="Times New Roman" w:cs="Times New Roman"/>
          <w:i/>
        </w:rPr>
        <w:t>Al Otro Lado v. Mayorkas</w:t>
      </w:r>
      <w:r w:rsidRPr="00BA4A9E">
        <w:rPr>
          <w:rFonts w:ascii="Times New Roman" w:hAnsi="Times New Roman" w:cs="Times New Roman"/>
        </w:rPr>
        <w:t xml:space="preserve"> </w:t>
      </w:r>
      <w:r w:rsidRPr="00BA4A9E">
        <w:rPr>
          <w:rFonts w:ascii="Times New Roman" w:eastAsia="Times New Roman" w:hAnsi="Times New Roman" w:cs="Times New Roman"/>
        </w:rPr>
        <w:t>at 34</w:t>
      </w:r>
      <w:r w:rsidR="00DD561A" w:rsidRPr="00BA4A9E">
        <w:rPr>
          <w:rFonts w:ascii="Times New Roman" w:eastAsia="Times New Roman" w:hAnsi="Times New Roman" w:cs="Times New Roman"/>
        </w:rPr>
        <w:t xml:space="preserve">, </w:t>
      </w:r>
      <w:r w:rsidR="00DD561A" w:rsidRPr="00BA4A9E">
        <w:rPr>
          <w:rFonts w:ascii="Times New Roman" w:eastAsia="Times New Roman" w:hAnsi="Times New Roman" w:cs="Times New Roman"/>
          <w:i/>
          <w:iCs/>
        </w:rPr>
        <w:t>available at</w:t>
      </w:r>
      <w:r w:rsidR="00DD561A" w:rsidRPr="00BA4A9E">
        <w:rPr>
          <w:rFonts w:ascii="Times New Roman" w:eastAsia="Times New Roman" w:hAnsi="Times New Roman" w:cs="Times New Roman"/>
        </w:rPr>
        <w:t xml:space="preserve"> </w:t>
      </w:r>
      <w:r w:rsidR="00DD561A" w:rsidRPr="00BA4A9E">
        <w:rPr>
          <w:rFonts w:ascii="Times New Roman" w:hAnsi="Times New Roman" w:cs="Times New Roman"/>
        </w:rPr>
        <w:t xml:space="preserve"> </w:t>
      </w:r>
      <w:hyperlink r:id="rId141" w:history="1">
        <w:r w:rsidR="00C85634" w:rsidRPr="00C85634">
          <w:rPr>
            <w:rStyle w:val="Hyperlink"/>
            <w:rFonts w:ascii="Times New Roman" w:eastAsia="Times New Roman" w:hAnsi="Times New Roman" w:cs="Times New Roman"/>
            <w:color w:val="auto"/>
          </w:rPr>
          <w:t>https://ccrjustice.org/sites/default/files/attach/2021/09/742</w:t>
        </w:r>
      </w:hyperlink>
      <w:r w:rsidR="00C85634">
        <w:rPr>
          <w:rFonts w:ascii="Times New Roman" w:eastAsia="Times New Roman" w:hAnsi="Times New Roman" w:cs="Times New Roman"/>
        </w:rPr>
        <w:t xml:space="preserve">. </w:t>
      </w:r>
      <w:r w:rsidR="00DD561A" w:rsidRPr="00BA4A9E">
        <w:rPr>
          <w:rFonts w:ascii="Times New Roman" w:eastAsia="Times New Roman" w:hAnsi="Times New Roman" w:cs="Times New Roman"/>
        </w:rPr>
        <w:t xml:space="preserve"> </w:t>
      </w:r>
    </w:p>
  </w:endnote>
  <w:endnote w:id="161">
    <w:p w14:paraId="0F33AD5D" w14:textId="2EE0D63A" w:rsidR="000362C9" w:rsidRPr="00BA4A9E" w:rsidRDefault="000362C9">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The </w:t>
      </w:r>
      <w:r w:rsidRPr="00BA4A9E">
        <w:rPr>
          <w:rFonts w:ascii="Times New Roman" w:hAnsi="Times New Roman" w:cs="Times New Roman"/>
          <w:i/>
          <w:iCs/>
        </w:rPr>
        <w:t>Al Otro Lado</w:t>
      </w:r>
      <w:r w:rsidRPr="00BA4A9E">
        <w:rPr>
          <w:rFonts w:ascii="Times New Roman" w:hAnsi="Times New Roman" w:cs="Times New Roman"/>
        </w:rPr>
        <w:t xml:space="preserve"> court could still have remediated the injuries to the tens of thousands of individuals stranded on the U.S.-Mexico border had it not refused to declare that rejecting asylum seekers at the frontier violated the norm of non-refoulement (an issue currently on appeal to the Ninth Circuit).</w:t>
      </w:r>
    </w:p>
  </w:endnote>
  <w:endnote w:id="162">
    <w:p w14:paraId="5F370384" w14:textId="64214EB8"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Government’s Third Brief, </w:t>
      </w:r>
      <w:r w:rsidRPr="00BA4A9E">
        <w:rPr>
          <w:rFonts w:ascii="Times New Roman" w:hAnsi="Times New Roman" w:cs="Times New Roman"/>
          <w:i/>
          <w:sz w:val="20"/>
          <w:szCs w:val="20"/>
        </w:rPr>
        <w:t>Al Otro Lado v. Mayorkas</w:t>
      </w:r>
      <w:r w:rsidRPr="00BA4A9E">
        <w:rPr>
          <w:rFonts w:ascii="Times New Roman" w:hAnsi="Times New Roman" w:cs="Times New Roman"/>
          <w:sz w:val="20"/>
          <w:szCs w:val="20"/>
        </w:rPr>
        <w:t>, 22-55988 (CA9) (“non-refoulement is not universally understood to extend obligations to migrants who are not within United States territory.”).</w:t>
      </w:r>
    </w:p>
  </w:endnote>
  <w:endnote w:id="163">
    <w:p w14:paraId="5C8EC60E" w14:textId="51E1FC6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rPr>
        <w:t xml:space="preserve">See </w:t>
      </w:r>
      <w:r w:rsidR="00390EA6" w:rsidRPr="00BA4A9E">
        <w:rPr>
          <w:rFonts w:ascii="Times New Roman" w:hAnsi="Times New Roman" w:cs="Times New Roman"/>
        </w:rPr>
        <w:t>Summary Judgment Opinion</w:t>
      </w:r>
      <w:r w:rsidRPr="00BA4A9E">
        <w:rPr>
          <w:rFonts w:ascii="Times New Roman" w:hAnsi="Times New Roman" w:cs="Times New Roman"/>
          <w:i/>
        </w:rPr>
        <w:t>, Al Otro Lado v. Mayorkas</w:t>
      </w:r>
      <w:r w:rsidRPr="00BA4A9E">
        <w:rPr>
          <w:rFonts w:ascii="Times New Roman" w:hAnsi="Times New Roman" w:cs="Times New Roman"/>
        </w:rPr>
        <w:t xml:space="preserve"> p. 40-42, </w:t>
      </w:r>
      <w:r w:rsidR="00390EA6" w:rsidRPr="00C85634">
        <w:rPr>
          <w:rFonts w:ascii="Times New Roman" w:hAnsi="Times New Roman" w:cs="Times New Roman"/>
          <w:i/>
          <w:iCs/>
        </w:rPr>
        <w:t>available at</w:t>
      </w:r>
      <w:r w:rsidR="00390EA6" w:rsidRPr="00BA4A9E">
        <w:rPr>
          <w:rFonts w:ascii="Times New Roman" w:hAnsi="Times New Roman" w:cs="Times New Roman"/>
        </w:rPr>
        <w:t xml:space="preserve"> </w:t>
      </w:r>
      <w:hyperlink r:id="rId142" w:history="1">
        <w:r w:rsidR="00C85634" w:rsidRPr="00C85634">
          <w:rPr>
            <w:rStyle w:val="Hyperlink"/>
            <w:rFonts w:ascii="Times New Roman" w:hAnsi="Times New Roman" w:cs="Times New Roman"/>
            <w:color w:val="auto"/>
          </w:rPr>
          <w:t>https://ccrjustice.org/sites/default/files/attach/2021/09/742</w:t>
        </w:r>
      </w:hyperlink>
      <w:r w:rsidR="00390EA6" w:rsidRPr="00C85634">
        <w:rPr>
          <w:rFonts w:ascii="Times New Roman" w:hAnsi="Times New Roman" w:cs="Times New Roman"/>
        </w:rPr>
        <w:t>.</w:t>
      </w:r>
      <w:r w:rsidR="00C85634" w:rsidRPr="00C85634">
        <w:rPr>
          <w:rFonts w:ascii="Times New Roman" w:hAnsi="Times New Roman" w:cs="Times New Roman"/>
        </w:rPr>
        <w:t xml:space="preserve"> </w:t>
      </w:r>
    </w:p>
  </w:endnote>
  <w:endnote w:id="164">
    <w:p w14:paraId="452FF560" w14:textId="2EFBFFF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Shalini Bhargava Ray, </w:t>
      </w:r>
      <w:r w:rsidRPr="00BA4A9E">
        <w:rPr>
          <w:rFonts w:ascii="Times New Roman" w:hAnsi="Times New Roman" w:cs="Times New Roman"/>
          <w:i/>
          <w:iCs/>
        </w:rPr>
        <w:t>Justices reverse lower court rulings that ordered bond hearings for noncitizens in lengthy immigration detention</w:t>
      </w:r>
      <w:r w:rsidRPr="00BA4A9E">
        <w:rPr>
          <w:rFonts w:ascii="Times New Roman" w:hAnsi="Times New Roman" w:cs="Times New Roman"/>
        </w:rPr>
        <w:t xml:space="preserve">, </w:t>
      </w:r>
      <w:r w:rsidRPr="00BA4A9E">
        <w:rPr>
          <w:rFonts w:ascii="Times New Roman" w:hAnsi="Times New Roman" w:cs="Times New Roman"/>
          <w:smallCaps/>
        </w:rPr>
        <w:t>SCOTUSblog</w:t>
      </w:r>
      <w:r w:rsidRPr="00BA4A9E">
        <w:rPr>
          <w:rFonts w:ascii="Times New Roman" w:hAnsi="Times New Roman" w:cs="Times New Roman"/>
        </w:rPr>
        <w:t xml:space="preserve"> (June 13, 2022), </w:t>
      </w:r>
      <w:hyperlink r:id="rId143" w:history="1">
        <w:r w:rsidRPr="00BA4A9E">
          <w:rPr>
            <w:rStyle w:val="Hyperlink"/>
            <w:rFonts w:ascii="Times New Roman" w:hAnsi="Times New Roman" w:cs="Times New Roman"/>
            <w:color w:val="auto"/>
          </w:rPr>
          <w:t>https://www.scotusblog.com/2022/06/justices-reverse-lower-court-rulings-that-ordered-bond-hearings-for-noncitizens-in-lengthy-immigration-detention/</w:t>
        </w:r>
      </w:hyperlink>
      <w:r w:rsidRPr="00BA4A9E">
        <w:rPr>
          <w:rFonts w:ascii="Times New Roman" w:hAnsi="Times New Roman" w:cs="Times New Roman"/>
        </w:rPr>
        <w:t xml:space="preserve">. </w:t>
      </w:r>
    </w:p>
  </w:endnote>
  <w:endnote w:id="165">
    <w:p w14:paraId="259BB59A" w14:textId="7432874A" w:rsidR="000362C9" w:rsidRPr="00BA4A9E" w:rsidRDefault="000362C9" w:rsidP="0009413A">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National Immigrant Justice Center, </w:t>
      </w:r>
      <w:r w:rsidRPr="00BA4A9E">
        <w:rPr>
          <w:rFonts w:ascii="Times New Roman" w:hAnsi="Times New Roman" w:cs="Times New Roman"/>
          <w:i/>
          <w:iCs/>
        </w:rPr>
        <w:t>Locked Away: The Urgent Need for Immigration Detention Bond Reform</w:t>
      </w:r>
      <w:r w:rsidRPr="00BA4A9E">
        <w:rPr>
          <w:rFonts w:ascii="Times New Roman" w:hAnsi="Times New Roman" w:cs="Times New Roman"/>
        </w:rPr>
        <w:t xml:space="preserve"> (July 2023), </w:t>
      </w:r>
      <w:hyperlink r:id="rId144" w:history="1">
        <w:r w:rsidRPr="00BA4A9E">
          <w:rPr>
            <w:rStyle w:val="Hyperlink"/>
            <w:rFonts w:ascii="Times New Roman" w:hAnsi="Times New Roman" w:cs="Times New Roman"/>
            <w:color w:val="auto"/>
          </w:rPr>
          <w:t>https://immigrantjustice.org/sites/default/files/content-type/research-item/documents/2023-06/NIJC-Policy-Brief_ICE-Bond-Reform_May-2023.pdf</w:t>
        </w:r>
      </w:hyperlink>
      <w:r w:rsidRPr="00BA4A9E">
        <w:rPr>
          <w:rStyle w:val="Hyperlink"/>
          <w:rFonts w:ascii="Times New Roman" w:hAnsi="Times New Roman" w:cs="Times New Roman"/>
          <w:color w:val="auto"/>
        </w:rPr>
        <w:t>.</w:t>
      </w:r>
      <w:r w:rsidRPr="00BA4A9E">
        <w:rPr>
          <w:rFonts w:ascii="Times New Roman" w:hAnsi="Times New Roman" w:cs="Times New Roman"/>
        </w:rPr>
        <w:t xml:space="preserve"> </w:t>
      </w:r>
    </w:p>
  </w:endnote>
  <w:endnote w:id="166">
    <w:p w14:paraId="5BE53000" w14:textId="4C9E0BC9"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See</w:t>
      </w:r>
      <w:r w:rsidR="00DD561A" w:rsidRPr="00BA4A9E">
        <w:rPr>
          <w:rFonts w:ascii="Times New Roman" w:hAnsi="Times New Roman" w:cs="Times New Roman"/>
        </w:rPr>
        <w:t xml:space="preserve"> Black Alliance for Just Immigration et al., Shadow Report to the Committee on the Elimination of Racial Discrimination (CERD) 107th Session, ¶¶ 66-76, 82 (Aug. 2022), </w:t>
      </w:r>
      <w:hyperlink r:id="rId145" w:history="1">
        <w:r w:rsidR="00C63DD6" w:rsidRPr="00C85634">
          <w:rPr>
            <w:rStyle w:val="Hyperlink"/>
            <w:rFonts w:ascii="Times New Roman" w:hAnsi="Times New Roman" w:cs="Times New Roman"/>
            <w:color w:val="auto"/>
          </w:rPr>
          <w:t>https://rfkhr.imgix.net/asset/US-Coalition_anti-Black-Discrimination-in-Immigration__CERD-Report_072222.pdf</w:t>
        </w:r>
      </w:hyperlink>
      <w:r w:rsidR="00C63DD6" w:rsidRPr="00C85634">
        <w:rPr>
          <w:rFonts w:ascii="Times New Roman" w:hAnsi="Times New Roman" w:cs="Times New Roman"/>
        </w:rPr>
        <w:t xml:space="preserve"> </w:t>
      </w:r>
      <w:r w:rsidR="00DD561A" w:rsidRPr="00BA4A9E">
        <w:rPr>
          <w:rFonts w:ascii="Times New Roman" w:hAnsi="Times New Roman" w:cs="Times New Roman"/>
        </w:rPr>
        <w:t>(documenting racial disparities in custody length and conditions of release from immigration detention).</w:t>
      </w:r>
    </w:p>
  </w:endnote>
  <w:endnote w:id="167">
    <w:p w14:paraId="6C50DE86" w14:textId="537145BA"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CERD Concluding Observations, </w:t>
      </w:r>
      <w:r w:rsidRPr="00BA4A9E">
        <w:rPr>
          <w:rFonts w:ascii="Times New Roman" w:hAnsi="Times New Roman" w:cs="Times New Roman"/>
          <w:i/>
          <w:iCs/>
        </w:rPr>
        <w:t>supra</w:t>
      </w:r>
      <w:r w:rsidRPr="00BA4A9E">
        <w:rPr>
          <w:rFonts w:ascii="Times New Roman" w:hAnsi="Times New Roman" w:cs="Times New Roman"/>
        </w:rPr>
        <w:t xml:space="preserve"> n. </w:t>
      </w:r>
      <w:r w:rsidR="00652F8F">
        <w:rPr>
          <w:rFonts w:ascii="Times New Roman" w:hAnsi="Times New Roman" w:cs="Times New Roman"/>
        </w:rPr>
        <w:fldChar w:fldCharType="begin"/>
      </w:r>
      <w:r w:rsidR="00652F8F">
        <w:rPr>
          <w:rFonts w:ascii="Times New Roman" w:hAnsi="Times New Roman" w:cs="Times New Roman"/>
        </w:rPr>
        <w:instrText xml:space="preserve"> NOTEREF _Ref145400364 \h </w:instrText>
      </w:r>
      <w:r w:rsidR="00652F8F">
        <w:rPr>
          <w:rFonts w:ascii="Times New Roman" w:hAnsi="Times New Roman" w:cs="Times New Roman"/>
        </w:rPr>
      </w:r>
      <w:r w:rsidR="00652F8F">
        <w:rPr>
          <w:rFonts w:ascii="Times New Roman" w:hAnsi="Times New Roman" w:cs="Times New Roman"/>
        </w:rPr>
        <w:fldChar w:fldCharType="separate"/>
      </w:r>
      <w:r w:rsidR="00652F8F">
        <w:rPr>
          <w:rFonts w:ascii="Times New Roman" w:hAnsi="Times New Roman" w:cs="Times New Roman"/>
        </w:rPr>
        <w:t>17</w:t>
      </w:r>
      <w:r w:rsidR="00652F8F">
        <w:rPr>
          <w:rFonts w:ascii="Times New Roman" w:hAnsi="Times New Roman" w:cs="Times New Roman"/>
        </w:rPr>
        <w:fldChar w:fldCharType="end"/>
      </w:r>
      <w:r w:rsidRPr="00BA4A9E">
        <w:rPr>
          <w:rFonts w:ascii="Times New Roman" w:hAnsi="Times New Roman" w:cs="Times New Roman"/>
        </w:rPr>
        <w:t xml:space="preserve"> at ¶ 51(a).</w:t>
      </w:r>
    </w:p>
  </w:endnote>
  <w:endnote w:id="168">
    <w:p w14:paraId="7575B9E8" w14:textId="7E14EF7F"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xml:space="preserve">. at ¶ 51(c). </w:t>
      </w:r>
    </w:p>
  </w:endnote>
  <w:endnote w:id="169">
    <w:p w14:paraId="4069E39B" w14:textId="2966E700"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at ¶¶ 4-5.</w:t>
      </w:r>
    </w:p>
  </w:endnote>
  <w:endnote w:id="170">
    <w:p w14:paraId="0105584C" w14:textId="060768AA"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HRC General Comment No. 31,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652F8F">
        <w:rPr>
          <w:rFonts w:ascii="Times New Roman" w:hAnsi="Times New Roman" w:cs="Times New Roman"/>
        </w:rPr>
        <w:fldChar w:fldCharType="begin"/>
      </w:r>
      <w:r w:rsidR="00652F8F">
        <w:rPr>
          <w:rFonts w:ascii="Times New Roman" w:hAnsi="Times New Roman" w:cs="Times New Roman"/>
        </w:rPr>
        <w:instrText xml:space="preserve"> NOTEREF _Ref145400248 \h </w:instrText>
      </w:r>
      <w:r w:rsidR="00652F8F">
        <w:rPr>
          <w:rFonts w:ascii="Times New Roman" w:hAnsi="Times New Roman" w:cs="Times New Roman"/>
        </w:rPr>
      </w:r>
      <w:r w:rsidR="00652F8F">
        <w:rPr>
          <w:rFonts w:ascii="Times New Roman" w:hAnsi="Times New Roman" w:cs="Times New Roman"/>
        </w:rPr>
        <w:fldChar w:fldCharType="separate"/>
      </w:r>
      <w:r w:rsidR="00652F8F">
        <w:rPr>
          <w:rFonts w:ascii="Times New Roman" w:hAnsi="Times New Roman" w:cs="Times New Roman"/>
        </w:rPr>
        <w:t>10</w:t>
      </w:r>
      <w:r w:rsidR="00652F8F">
        <w:rPr>
          <w:rFonts w:ascii="Times New Roman" w:hAnsi="Times New Roman" w:cs="Times New Roman"/>
        </w:rPr>
        <w:fldChar w:fldCharType="end"/>
      </w:r>
      <w:r w:rsidRPr="00BA4A9E">
        <w:rPr>
          <w:rFonts w:ascii="Times New Roman" w:hAnsi="Times New Roman" w:cs="Times New Roman"/>
        </w:rPr>
        <w:t xml:space="preserve"> at ¶ 15.</w:t>
      </w:r>
    </w:p>
  </w:endnote>
  <w:endnote w:id="171">
    <w:p w14:paraId="451905B8" w14:textId="69CC1EF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xml:space="preserve"> at ¶¶15–19</w:t>
      </w:r>
    </w:p>
  </w:endnote>
  <w:endnote w:id="172">
    <w:p w14:paraId="6DACFA47" w14:textId="7D56412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at ¶ 18.</w:t>
      </w:r>
    </w:p>
  </w:endnote>
  <w:endnote w:id="173">
    <w:p w14:paraId="6FB210FF" w14:textId="01488D56"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UN Permanent Forum on People of African Descent (PFPAD), </w:t>
      </w:r>
      <w:r w:rsidRPr="00BA4A9E">
        <w:rPr>
          <w:rFonts w:ascii="Times New Roman" w:hAnsi="Times New Roman" w:cs="Times New Roman"/>
          <w:i/>
          <w:iCs/>
        </w:rPr>
        <w:t>Preliminary Conclusions and Recommendations</w:t>
      </w:r>
      <w:r w:rsidRPr="00BA4A9E">
        <w:rPr>
          <w:rFonts w:ascii="Times New Roman" w:hAnsi="Times New Roman" w:cs="Times New Roman"/>
        </w:rPr>
        <w:t xml:space="preserve">, </w:t>
      </w:r>
      <w:r w:rsidRPr="00C63DD6">
        <w:rPr>
          <w:rFonts w:ascii="Times New Roman" w:hAnsi="Times New Roman" w:cs="Times New Roman"/>
        </w:rPr>
        <w:t xml:space="preserve">Second Session, 30 May – 2 June 2023, New York City, USA, </w:t>
      </w:r>
      <w:r w:rsidRPr="00C63DD6">
        <w:rPr>
          <w:rFonts w:ascii="Times New Roman" w:hAnsi="Times New Roman" w:cs="Times New Roman"/>
          <w:i/>
          <w:iCs/>
        </w:rPr>
        <w:t>available at</w:t>
      </w:r>
      <w:r w:rsidRPr="00C63DD6">
        <w:rPr>
          <w:rFonts w:ascii="Times New Roman" w:hAnsi="Times New Roman" w:cs="Times New Roman"/>
        </w:rPr>
        <w:t xml:space="preserve"> </w:t>
      </w:r>
      <w:hyperlink r:id="rId146" w:history="1">
        <w:r w:rsidR="00C63DD6" w:rsidRPr="00C63DD6">
          <w:rPr>
            <w:rStyle w:val="Hyperlink"/>
            <w:rFonts w:ascii="Times New Roman" w:hAnsi="Times New Roman" w:cs="Times New Roman"/>
            <w:color w:val="auto"/>
          </w:rPr>
          <w:t>https://www.ohchr.org/sites/default/files/documents/hrbodies/hrcouncil/forums/forum-african-descent/sessions/session2/Preliminary-Conclusions-and-Recommendations-of-2nd-Session-en.pdf</w:t>
        </w:r>
      </w:hyperlink>
      <w:r w:rsidRPr="00C63DD6">
        <w:rPr>
          <w:rFonts w:ascii="Times New Roman" w:hAnsi="Times New Roman" w:cs="Times New Roman"/>
        </w:rPr>
        <w:t>.</w:t>
      </w:r>
      <w:r w:rsidR="00C63DD6" w:rsidRPr="00C63DD6">
        <w:rPr>
          <w:rFonts w:ascii="Times New Roman" w:hAnsi="Times New Roman" w:cs="Times New Roman"/>
        </w:rPr>
        <w:t xml:space="preserve"> </w:t>
      </w:r>
      <w:r w:rsidR="00390EA6" w:rsidRPr="00C63DD6">
        <w:rPr>
          <w:rFonts w:ascii="Times New Roman" w:hAnsi="Times New Roman" w:cs="Times New Roman"/>
        </w:rPr>
        <w:t xml:space="preserve"> </w:t>
      </w:r>
    </w:p>
  </w:endnote>
  <w:endnote w:id="174">
    <w:p w14:paraId="1D847CB4" w14:textId="12FFC98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hyperlink r:id="rId147" w:history="1">
        <w:r w:rsidRPr="00D843B9">
          <w:rPr>
            <w:rStyle w:val="Hyperlink"/>
            <w:rFonts w:ascii="Times New Roman" w:hAnsi="Times New Roman" w:cs="Times New Roman"/>
            <w:i/>
            <w:iCs/>
            <w:color w:val="auto"/>
            <w:u w:val="none"/>
          </w:rPr>
          <w:t>Id.</w:t>
        </w:r>
      </w:hyperlink>
      <w:r w:rsidRPr="00BA4A9E">
        <w:rPr>
          <w:rFonts w:ascii="Times New Roman" w:hAnsi="Times New Roman" w:cs="Times New Roman"/>
        </w:rPr>
        <w:t xml:space="preserve"> </w:t>
      </w:r>
    </w:p>
  </w:endnote>
  <w:endnote w:id="175">
    <w:p w14:paraId="203C8FFC" w14:textId="48CBFC1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A.C. Roberts, </w:t>
      </w:r>
      <w:r w:rsidRPr="00BA4A9E">
        <w:rPr>
          <w:rFonts w:ascii="Times New Roman" w:hAnsi="Times New Roman" w:cs="Times New Roman"/>
          <w:i/>
        </w:rPr>
        <w:t>A History of United States Policy to Haiti</w:t>
      </w:r>
      <w:r w:rsidRPr="00BA4A9E">
        <w:rPr>
          <w:rFonts w:ascii="Times New Roman" w:hAnsi="Times New Roman" w:cs="Times New Roman"/>
        </w:rPr>
        <w:t xml:space="preserve"> in </w:t>
      </w:r>
      <w:r w:rsidRPr="00BA4A9E">
        <w:rPr>
          <w:rFonts w:ascii="Times New Roman" w:hAnsi="Times New Roman" w:cs="Times New Roman"/>
          <w:i/>
        </w:rPr>
        <w:t xml:space="preserve">Modern Latin America </w:t>
      </w:r>
      <w:r w:rsidRPr="00BA4A9E">
        <w:rPr>
          <w:rFonts w:ascii="Times New Roman" w:hAnsi="Times New Roman" w:cs="Times New Roman"/>
        </w:rPr>
        <w:t xml:space="preserve">(Providence, Rhode Island, Brown University), </w:t>
      </w:r>
      <w:hyperlink r:id="rId148" w:history="1">
        <w:r w:rsidRPr="00BA4A9E">
          <w:rPr>
            <w:rStyle w:val="Hyperlink"/>
            <w:rFonts w:ascii="Times New Roman" w:hAnsi="Times New Roman" w:cs="Times New Roman"/>
            <w:color w:val="auto"/>
          </w:rPr>
          <w:t>https://library.brown.edu/create/modernlatinamerica/chapters/chapter-14-the-united-states-and-latin-america/moments-in-u-s-latin-american-relations/a-history-of-united-states-policy-towards-haiti/</w:t>
        </w:r>
      </w:hyperlink>
      <w:r w:rsidRPr="00BA4A9E">
        <w:rPr>
          <w:rFonts w:ascii="Times New Roman" w:hAnsi="Times New Roman" w:cs="Times New Roman"/>
        </w:rPr>
        <w:t xml:space="preserve">; </w:t>
      </w:r>
      <w:r w:rsidRPr="00BA4A9E">
        <w:rPr>
          <w:rFonts w:ascii="Times New Roman" w:hAnsi="Times New Roman" w:cs="Times New Roman"/>
          <w:smallCaps/>
        </w:rPr>
        <w:t>Randall Robinson, An Unbroken Agony: Haiti, From Revolution to the Kidnapping of a President 8-9 </w:t>
      </w:r>
      <w:r w:rsidRPr="00BA4A9E">
        <w:rPr>
          <w:rFonts w:ascii="Times New Roman" w:hAnsi="Times New Roman" w:cs="Times New Roman"/>
        </w:rPr>
        <w:t>(2007) (</w:t>
      </w:r>
      <w:r w:rsidR="00390EA6" w:rsidRPr="00BA4A9E">
        <w:rPr>
          <w:rFonts w:ascii="Times New Roman" w:hAnsi="Times New Roman" w:cs="Times New Roman"/>
        </w:rPr>
        <w:t xml:space="preserve">describing how </w:t>
      </w:r>
      <w:r w:rsidRPr="00BA4A9E">
        <w:rPr>
          <w:rFonts w:ascii="Times New Roman" w:hAnsi="Times New Roman" w:cs="Times New Roman"/>
        </w:rPr>
        <w:t xml:space="preserve">“[Thomas] Jefferson had expressed his continued concern over black rebellion to Rufus King, lamenting that the ‘course of things in the neighboring islands of the West Indies appeared to have given a considerable impulse to the minds of the slaves’ in the United States and ‘a great disposition to the insurgency has manifested itself among them.’”); </w:t>
      </w:r>
      <w:r w:rsidRPr="00BA4A9E">
        <w:rPr>
          <w:rFonts w:ascii="Times New Roman" w:hAnsi="Times New Roman" w:cs="Times New Roman"/>
          <w:i/>
        </w:rPr>
        <w:t xml:space="preserve">id. </w:t>
      </w:r>
      <w:r w:rsidRPr="00BA4A9E">
        <w:rPr>
          <w:rFonts w:ascii="Times New Roman" w:hAnsi="Times New Roman" w:cs="Times New Roman"/>
        </w:rPr>
        <w:t xml:space="preserve">at 18 (quoting an unnamed senator: “Our policy regarding Haiti is plain. We can never acknowledge her independence . . . The peace and safety of a large portion of the union forbids us to ever discuss it.”); </w:t>
      </w:r>
      <w:r w:rsidRPr="00BA4A9E">
        <w:rPr>
          <w:rFonts w:ascii="Times New Roman" w:hAnsi="Times New Roman" w:cs="Times New Roman"/>
          <w:i/>
        </w:rPr>
        <w:t xml:space="preserve">id. </w:t>
      </w:r>
      <w:r w:rsidRPr="00BA4A9E">
        <w:rPr>
          <w:rFonts w:ascii="Times New Roman" w:hAnsi="Times New Roman" w:cs="Times New Roman"/>
        </w:rPr>
        <w:t>at 58.</w:t>
      </w:r>
    </w:p>
  </w:endnote>
  <w:endnote w:id="176">
    <w:p w14:paraId="4E6C727D" w14:textId="05E31A36"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London Review of Books, </w:t>
      </w:r>
      <w:r w:rsidRPr="00BA4A9E">
        <w:rPr>
          <w:rFonts w:ascii="Times New Roman" w:hAnsi="Times New Roman" w:cs="Times New Roman"/>
          <w:i/>
          <w:iCs/>
          <w:sz w:val="20"/>
          <w:szCs w:val="20"/>
        </w:rPr>
        <w:t>Who removed Aristide? Paul Farmer reports from Haiti</w:t>
      </w:r>
      <w:r w:rsidRPr="00BA4A9E">
        <w:rPr>
          <w:rFonts w:ascii="Times New Roman" w:hAnsi="Times New Roman" w:cs="Times New Roman"/>
          <w:sz w:val="20"/>
          <w:szCs w:val="20"/>
        </w:rPr>
        <w:t xml:space="preserve"> (Apr. 15, 2004), </w:t>
      </w:r>
      <w:hyperlink r:id="rId149" w:history="1">
        <w:r w:rsidRPr="00BA4A9E">
          <w:rPr>
            <w:rStyle w:val="Hyperlink"/>
            <w:rFonts w:ascii="Times New Roman" w:hAnsi="Times New Roman" w:cs="Times New Roman"/>
            <w:color w:val="auto"/>
            <w:sz w:val="20"/>
            <w:szCs w:val="20"/>
          </w:rPr>
          <w:t>https://www.lrb.co.uk/the-paper/v26/n08/paul-farmer/who-removed-aristide</w:t>
        </w:r>
      </w:hyperlink>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highlight w:val="white"/>
        </w:rPr>
        <w:t>Peter Hallward, </w:t>
      </w:r>
      <w:r w:rsidRPr="00BA4A9E">
        <w:rPr>
          <w:rFonts w:ascii="Times New Roman" w:hAnsi="Times New Roman" w:cs="Times New Roman"/>
          <w:i/>
          <w:smallCaps/>
          <w:sz w:val="20"/>
          <w:szCs w:val="20"/>
          <w:highlight w:val="white"/>
        </w:rPr>
        <w:t>Damming the Flood: Haiti and the Politics of Containment</w:t>
      </w:r>
      <w:r w:rsidRPr="00BA4A9E">
        <w:rPr>
          <w:rFonts w:ascii="Times New Roman" w:hAnsi="Times New Roman" w:cs="Times New Roman"/>
          <w:sz w:val="20"/>
          <w:szCs w:val="20"/>
          <w:highlight w:val="white"/>
        </w:rPr>
        <w:t> 1-38 (2007</w:t>
      </w:r>
      <w:r w:rsidRPr="00BA4A9E">
        <w:rPr>
          <w:rFonts w:ascii="Times New Roman" w:hAnsi="Times New Roman" w:cs="Times New Roman"/>
          <w:sz w:val="20"/>
          <w:szCs w:val="20"/>
        </w:rPr>
        <w:t xml:space="preserve">); </w:t>
      </w:r>
      <w:r w:rsidRPr="00BA4A9E">
        <w:rPr>
          <w:rFonts w:ascii="Times New Roman" w:hAnsi="Times New Roman" w:cs="Times New Roman"/>
          <w:i/>
          <w:iCs/>
          <w:sz w:val="20"/>
          <w:szCs w:val="20"/>
        </w:rPr>
        <w:t>Statement of Mario Joseph of the Bureau des Avocats Internationaux (BAI) for the 2nd Session of the Permanent Forum on People of African Descent - Thematic Discussion: Global Reparatory Justice</w:t>
      </w:r>
      <w:r w:rsidRPr="00BA4A9E">
        <w:rPr>
          <w:rFonts w:ascii="Times New Roman" w:hAnsi="Times New Roman" w:cs="Times New Roman"/>
          <w:sz w:val="20"/>
          <w:szCs w:val="20"/>
        </w:rPr>
        <w:t xml:space="preserve">, OHCHR, </w:t>
      </w:r>
      <w:hyperlink r:id="rId150" w:history="1">
        <w:r w:rsidRPr="00BA4A9E">
          <w:rPr>
            <w:rStyle w:val="Hyperlink"/>
            <w:rFonts w:ascii="Times New Roman" w:hAnsi="Times New Roman" w:cs="Times New Roman"/>
            <w:color w:val="auto"/>
            <w:sz w:val="20"/>
            <w:szCs w:val="20"/>
          </w:rPr>
          <w:t>https://www.ohchr.org/sites/default/files/documents/hrbodies/hrcouncil/forums/forum-african-descent/sessions/session2/statements/PFPAD-session2-grj-ngo-Bureau-des-Avocats-Internationaux.pdf</w:t>
        </w:r>
      </w:hyperlink>
      <w:r w:rsidRPr="00BA4A9E">
        <w:rPr>
          <w:rFonts w:ascii="Times New Roman" w:hAnsi="Times New Roman" w:cs="Times New Roman"/>
          <w:sz w:val="20"/>
          <w:szCs w:val="20"/>
        </w:rPr>
        <w:t xml:space="preserve"> (last visited Sept. 11, 2023); </w:t>
      </w:r>
      <w:r w:rsidRPr="00BA4A9E">
        <w:rPr>
          <w:rFonts w:ascii="Times New Roman" w:hAnsi="Times New Roman" w:cs="Times New Roman"/>
          <w:smallCaps/>
          <w:sz w:val="20"/>
          <w:szCs w:val="20"/>
        </w:rPr>
        <w:t>Robinson, An Unbroken Agony</w:t>
      </w:r>
      <w:r w:rsidRPr="00BA4A9E">
        <w:rPr>
          <w:rFonts w:ascii="Times New Roman" w:hAnsi="Times New Roman" w:cs="Times New Roman"/>
          <w:sz w:val="20"/>
          <w:szCs w:val="20"/>
        </w:rPr>
        <w:t>, p. 16 (</w:t>
      </w:r>
      <w:r w:rsidR="00390EA6" w:rsidRPr="00BA4A9E">
        <w:rPr>
          <w:rFonts w:ascii="Times New Roman" w:hAnsi="Times New Roman" w:cs="Times New Roman"/>
          <w:sz w:val="20"/>
          <w:szCs w:val="20"/>
        </w:rPr>
        <w:t xml:space="preserve">noting that </w:t>
      </w:r>
      <w:r w:rsidRPr="00BA4A9E">
        <w:rPr>
          <w:rFonts w:ascii="Times New Roman" w:hAnsi="Times New Roman" w:cs="Times New Roman"/>
          <w:sz w:val="20"/>
          <w:szCs w:val="20"/>
        </w:rPr>
        <w:t>“</w:t>
      </w:r>
      <w:r w:rsidR="00390EA6" w:rsidRPr="00BA4A9E">
        <w:rPr>
          <w:rFonts w:ascii="Times New Roman" w:hAnsi="Times New Roman" w:cs="Times New Roman"/>
          <w:sz w:val="20"/>
          <w:szCs w:val="20"/>
        </w:rPr>
        <w:t>[e]</w:t>
      </w:r>
      <w:r w:rsidRPr="00BA4A9E">
        <w:rPr>
          <w:rFonts w:ascii="Times New Roman" w:hAnsi="Times New Roman" w:cs="Times New Roman"/>
          <w:sz w:val="20"/>
          <w:szCs w:val="20"/>
        </w:rPr>
        <w:t xml:space="preserve">ven before France leveraged the weak new state with crushing financial reparations in 1825, the United States and western Europe . . . moved . . . to cripple the fledgling nation socially, politically, and economically, just as France was fashioning new policies to favor Haiti’s minority community of French white ex-colonists and mulattoes . . . .”); </w:t>
      </w:r>
      <w:r w:rsidRPr="00BA4A9E">
        <w:rPr>
          <w:rFonts w:ascii="Times New Roman" w:hAnsi="Times New Roman" w:cs="Times New Roman"/>
          <w:i/>
          <w:sz w:val="20"/>
          <w:szCs w:val="20"/>
        </w:rPr>
        <w:t>id.</w:t>
      </w:r>
      <w:r w:rsidRPr="00BA4A9E">
        <w:rPr>
          <w:rFonts w:ascii="Times New Roman" w:hAnsi="Times New Roman" w:cs="Times New Roman"/>
          <w:sz w:val="20"/>
          <w:szCs w:val="20"/>
        </w:rPr>
        <w:t xml:space="preserve"> at 18-20 (</w:t>
      </w:r>
      <w:r w:rsidR="00390EA6" w:rsidRPr="00BA4A9E">
        <w:rPr>
          <w:rFonts w:ascii="Times New Roman" w:hAnsi="Times New Roman" w:cs="Times New Roman"/>
          <w:sz w:val="20"/>
          <w:szCs w:val="20"/>
        </w:rPr>
        <w:t xml:space="preserve">describing how </w:t>
      </w:r>
      <w:r w:rsidRPr="00BA4A9E">
        <w:rPr>
          <w:rFonts w:ascii="Times New Roman" w:hAnsi="Times New Roman" w:cs="Times New Roman"/>
          <w:sz w:val="20"/>
          <w:szCs w:val="20"/>
        </w:rPr>
        <w:t>“</w:t>
      </w:r>
      <w:r w:rsidR="00390EA6" w:rsidRPr="00BA4A9E">
        <w:rPr>
          <w:rFonts w:ascii="Times New Roman" w:hAnsi="Times New Roman" w:cs="Times New Roman"/>
          <w:sz w:val="20"/>
          <w:szCs w:val="20"/>
        </w:rPr>
        <w:t>t</w:t>
      </w:r>
      <w:r w:rsidRPr="00BA4A9E">
        <w:rPr>
          <w:rFonts w:ascii="Times New Roman" w:hAnsi="Times New Roman" w:cs="Times New Roman"/>
          <w:sz w:val="20"/>
          <w:szCs w:val="20"/>
        </w:rPr>
        <w:t>he new Republic of Haiti was met with a global economic embargo imposed by the United States and Europe . . . strengthened by a further demand from France for financial reparations of roughly $21 billion . . . as compensation from the newly freed slaves for denying France the further benefit of owning them.”).</w:t>
      </w:r>
    </w:p>
  </w:endnote>
  <w:endnote w:id="177">
    <w:p w14:paraId="31710B3D" w14:textId="5ACED6F7" w:rsidR="000362C9" w:rsidRPr="00BA4A9E" w:rsidRDefault="000362C9" w:rsidP="00C47F14">
      <w:pPr>
        <w:pStyle w:val="Heading1"/>
        <w:numPr>
          <w:ilvl w:val="0"/>
          <w:numId w:val="0"/>
        </w:numPr>
        <w:spacing w:before="0" w:after="0" w:line="240" w:lineRule="auto"/>
        <w:jc w:val="left"/>
        <w:rPr>
          <w:rFonts w:eastAsia="Calibri"/>
          <w:sz w:val="20"/>
          <w:szCs w:val="20"/>
        </w:rPr>
      </w:pPr>
      <w:r w:rsidRPr="00BA4A9E">
        <w:rPr>
          <w:rStyle w:val="EndnoteReference"/>
          <w:rFonts w:eastAsia="Calibri"/>
          <w:b w:val="0"/>
          <w:bCs w:val="0"/>
          <w:sz w:val="20"/>
          <w:szCs w:val="20"/>
        </w:rPr>
        <w:endnoteRef/>
      </w:r>
      <w:r w:rsidRPr="00BA4A9E">
        <w:rPr>
          <w:rFonts w:eastAsia="Calibri"/>
          <w:sz w:val="20"/>
          <w:szCs w:val="20"/>
        </w:rPr>
        <w:t xml:space="preserve"> </w:t>
      </w:r>
      <w:r w:rsidRPr="00BA4A9E">
        <w:rPr>
          <w:rFonts w:eastAsia="Calibri"/>
          <w:b w:val="0"/>
          <w:bCs w:val="0"/>
          <w:sz w:val="20"/>
          <w:szCs w:val="20"/>
        </w:rPr>
        <w:t xml:space="preserve">Michael Harriott, </w:t>
      </w:r>
      <w:r w:rsidRPr="00BA4A9E">
        <w:rPr>
          <w:rFonts w:eastAsia="Calibri"/>
          <w:b w:val="0"/>
          <w:bCs w:val="0"/>
          <w:i/>
          <w:iCs/>
          <w:sz w:val="20"/>
          <w:szCs w:val="20"/>
        </w:rPr>
        <w:t>As Haiti Burns, Never Forget: White People Did That</w:t>
      </w:r>
      <w:r w:rsidRPr="00BA4A9E">
        <w:rPr>
          <w:rFonts w:eastAsia="Calibri"/>
          <w:b w:val="0"/>
          <w:bCs w:val="0"/>
          <w:sz w:val="20"/>
          <w:szCs w:val="20"/>
        </w:rPr>
        <w:t>,</w:t>
      </w:r>
      <w:r w:rsidRPr="00BA4A9E">
        <w:rPr>
          <w:rFonts w:eastAsia="Calibri"/>
          <w:sz w:val="20"/>
          <w:szCs w:val="20"/>
        </w:rPr>
        <w:t xml:space="preserve"> </w:t>
      </w:r>
      <w:r w:rsidRPr="00BA4A9E">
        <w:rPr>
          <w:rFonts w:eastAsia="Calibri"/>
          <w:b w:val="0"/>
          <w:bCs w:val="0"/>
          <w:smallCaps/>
          <w:sz w:val="20"/>
          <w:szCs w:val="20"/>
        </w:rPr>
        <w:t>The Root</w:t>
      </w:r>
      <w:r w:rsidRPr="00BA4A9E">
        <w:rPr>
          <w:rFonts w:eastAsia="Calibri"/>
          <w:b w:val="0"/>
          <w:bCs w:val="0"/>
          <w:sz w:val="20"/>
          <w:szCs w:val="20"/>
        </w:rPr>
        <w:t xml:space="preserve"> (July 9, 2018), </w:t>
      </w:r>
      <w:hyperlink r:id="rId151" w:history="1">
        <w:r w:rsidRPr="00BA4A9E">
          <w:rPr>
            <w:rStyle w:val="Hyperlink"/>
            <w:rFonts w:eastAsia="Calibri"/>
            <w:b w:val="0"/>
            <w:bCs w:val="0"/>
            <w:color w:val="auto"/>
            <w:sz w:val="20"/>
            <w:szCs w:val="20"/>
          </w:rPr>
          <w:t>https://www.theroot.com/as-haiti-burns-never-forget-white-people-did-that-1827454590</w:t>
        </w:r>
      </w:hyperlink>
      <w:r w:rsidRPr="00BA4A9E">
        <w:rPr>
          <w:rFonts w:eastAsia="Calibri"/>
          <w:b w:val="0"/>
          <w:bCs w:val="0"/>
          <w:sz w:val="20"/>
          <w:szCs w:val="20"/>
        </w:rPr>
        <w:t xml:space="preserve">; </w:t>
      </w:r>
      <w:r w:rsidRPr="00BA4A9E">
        <w:rPr>
          <w:rFonts w:eastAsia="Calibri"/>
          <w:b w:val="0"/>
          <w:bCs w:val="0"/>
          <w:smallCaps/>
          <w:sz w:val="20"/>
          <w:szCs w:val="20"/>
        </w:rPr>
        <w:t>Robinson, An Unbroken Agony</w:t>
      </w:r>
      <w:r w:rsidRPr="00BA4A9E">
        <w:rPr>
          <w:rFonts w:eastAsia="Calibri"/>
          <w:b w:val="0"/>
          <w:bCs w:val="0"/>
          <w:sz w:val="20"/>
          <w:szCs w:val="20"/>
        </w:rPr>
        <w:t>, pp. 22, 54.</w:t>
      </w:r>
    </w:p>
  </w:endnote>
  <w:endnote w:id="178">
    <w:p w14:paraId="58C8F73A" w14:textId="74714F26" w:rsidR="000362C9" w:rsidRPr="00BA4A9E" w:rsidRDefault="000362C9" w:rsidP="00F13970">
      <w:pPr>
        <w:pStyle w:val="EndnoteText"/>
        <w:rPr>
          <w:rFonts w:ascii="Times New Roman" w:eastAsia="Calibri"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smallCaps/>
        </w:rPr>
        <w:t>Robinson, An Unbroken Agony</w:t>
      </w:r>
      <w:r w:rsidRPr="00BA4A9E">
        <w:rPr>
          <w:rFonts w:ascii="Times New Roman" w:hAnsi="Times New Roman" w:cs="Times New Roman"/>
        </w:rPr>
        <w:t>, pp. 18-19 (</w:t>
      </w:r>
      <w:r w:rsidR="00390EA6" w:rsidRPr="00BA4A9E">
        <w:rPr>
          <w:rFonts w:ascii="Times New Roman" w:hAnsi="Times New Roman" w:cs="Times New Roman"/>
        </w:rPr>
        <w:t xml:space="preserve">describing how </w:t>
      </w:r>
      <w:r w:rsidRPr="00BA4A9E">
        <w:rPr>
          <w:rFonts w:ascii="Times New Roman" w:hAnsi="Times New Roman" w:cs="Times New Roman"/>
        </w:rPr>
        <w:t>“[</w:t>
      </w:r>
      <w:r w:rsidR="00390EA6" w:rsidRPr="00BA4A9E">
        <w:rPr>
          <w:rFonts w:ascii="Times New Roman" w:hAnsi="Times New Roman" w:cs="Times New Roman"/>
        </w:rPr>
        <w:t>t</w:t>
      </w:r>
      <w:r w:rsidRPr="00BA4A9E">
        <w:rPr>
          <w:rFonts w:ascii="Times New Roman" w:hAnsi="Times New Roman" w:cs="Times New Roman"/>
        </w:rPr>
        <w:t xml:space="preserve">he] United States, France, and western [sic] Europe would quickly join together in a program of measures designed to defeat the new black republic’s prospects for success. For the next two hundred years, Haiti would be faced with active hostility from the world’s most powerful community of nations . . . . including military invasions, economic embargoes, gunboat blockades, reparations demands, trade barriers, diplomatic quarantines, subsidized armed subversions, media volleys of public traducement, and a string . . . of U.S.-armed black dictators . . . .”); </w:t>
      </w:r>
      <w:r w:rsidRPr="00BA4A9E">
        <w:rPr>
          <w:rFonts w:ascii="Times New Roman" w:hAnsi="Times New Roman" w:cs="Times New Roman"/>
          <w:i/>
          <w:iCs/>
        </w:rPr>
        <w:t>id</w:t>
      </w:r>
      <w:r w:rsidRPr="00BA4A9E">
        <w:rPr>
          <w:rFonts w:ascii="Times New Roman" w:hAnsi="Times New Roman" w:cs="Times New Roman"/>
        </w:rPr>
        <w:t>. at 50-52 (quoting Frederick Douglass contemporaneously remarking that, “[i]t so happens that we have men in this country (the United States) who, to accomplish their personal and selfish ends, will fan the flames of passion between the factions in Haiti and will otherwise assist in setting revolutions afoot.”).</w:t>
      </w:r>
    </w:p>
  </w:endnote>
  <w:endnote w:id="179">
    <w:p w14:paraId="6AEE114E" w14:textId="75D03CE3" w:rsidR="000362C9" w:rsidRPr="00BA4A9E" w:rsidRDefault="000362C9" w:rsidP="00101FBE">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Report of the Special Rapporteur on contemporary forms of racism, racial discrimination, xenophobia and related intolerance: Note by the Secretary General, ¶ 6, U.N. Doc. A/74/321 (Aug. 21, 2019).</w:t>
      </w:r>
    </w:p>
  </w:endnote>
  <w:endnote w:id="180">
    <w:p w14:paraId="4A1AD8F8" w14:textId="18B3183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w:t>
      </w:r>
    </w:p>
  </w:endnote>
  <w:endnote w:id="181">
    <w:p w14:paraId="0FAFE4A4" w14:textId="7E8E049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Report of the Special Rapporteur on contemporary forms of racism, racial discrimination, xenophobia and related intolerance: Note by the Secretary General, ¶ 7, U.N. Doc. A/74/321 (Aug. 21, 2019).</w:t>
      </w:r>
    </w:p>
  </w:endnote>
  <w:endnote w:id="182">
    <w:p w14:paraId="5CFCE5B8" w14:textId="325F0624" w:rsidR="002977C5" w:rsidRPr="00BA4A9E" w:rsidRDefault="002977C5" w:rsidP="002977C5">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PFPAD, </w:t>
      </w:r>
      <w:r w:rsidRPr="00BA4A9E">
        <w:rPr>
          <w:rFonts w:ascii="Times New Roman" w:hAnsi="Times New Roman" w:cs="Times New Roman"/>
          <w:i/>
          <w:iCs/>
        </w:rPr>
        <w:t>Preliminary Conlcusions and Recommendations</w:t>
      </w:r>
      <w:r w:rsidRPr="00BA4A9E">
        <w:rPr>
          <w:rFonts w:ascii="Times New Roman" w:hAnsi="Times New Roman" w:cs="Times New Roman"/>
        </w:rPr>
        <w:t xml:space="preserve">, </w:t>
      </w:r>
      <w:r w:rsidRPr="00BA4A9E">
        <w:rPr>
          <w:rFonts w:ascii="Times New Roman" w:hAnsi="Times New Roman" w:cs="Times New Roman"/>
          <w:i/>
          <w:iCs/>
        </w:rPr>
        <w:t>supra</w:t>
      </w:r>
      <w:r w:rsidRPr="00BA4A9E">
        <w:rPr>
          <w:rFonts w:ascii="Times New Roman" w:hAnsi="Times New Roman" w:cs="Times New Roman"/>
        </w:rPr>
        <w:t xml:space="preserve"> n.</w:t>
      </w:r>
      <w:r w:rsidR="00652F8F">
        <w:rPr>
          <w:rFonts w:ascii="Times New Roman" w:hAnsi="Times New Roman" w:cs="Times New Roman"/>
        </w:rPr>
        <w:t xml:space="preserve"> </w:t>
      </w:r>
      <w:r w:rsidR="00652F8F">
        <w:rPr>
          <w:rFonts w:ascii="Times New Roman" w:hAnsi="Times New Roman" w:cs="Times New Roman"/>
        </w:rPr>
        <w:fldChar w:fldCharType="begin"/>
      </w:r>
      <w:r w:rsidR="00652F8F">
        <w:rPr>
          <w:rFonts w:ascii="Times New Roman" w:hAnsi="Times New Roman" w:cs="Times New Roman"/>
        </w:rPr>
        <w:instrText xml:space="preserve"> NOTEREF _Ref145401279 \h </w:instrText>
      </w:r>
      <w:r w:rsidR="00652F8F">
        <w:rPr>
          <w:rFonts w:ascii="Times New Roman" w:hAnsi="Times New Roman" w:cs="Times New Roman"/>
        </w:rPr>
      </w:r>
      <w:r w:rsidR="00652F8F">
        <w:rPr>
          <w:rFonts w:ascii="Times New Roman" w:hAnsi="Times New Roman" w:cs="Times New Roman"/>
        </w:rPr>
        <w:fldChar w:fldCharType="separate"/>
      </w:r>
      <w:r w:rsidR="00652F8F">
        <w:rPr>
          <w:rFonts w:ascii="Times New Roman" w:hAnsi="Times New Roman" w:cs="Times New Roman"/>
        </w:rPr>
        <w:t>17</w:t>
      </w:r>
      <w:r w:rsidR="00FE6E02">
        <w:rPr>
          <w:rFonts w:ascii="Times New Roman" w:hAnsi="Times New Roman" w:cs="Times New Roman"/>
        </w:rPr>
        <w:t>2</w:t>
      </w:r>
      <w:r w:rsidR="00652F8F">
        <w:rPr>
          <w:rFonts w:ascii="Times New Roman" w:hAnsi="Times New Roman" w:cs="Times New Roman"/>
        </w:rPr>
        <w:fldChar w:fldCharType="end"/>
      </w:r>
      <w:r w:rsidRPr="00BA4A9E">
        <w:rPr>
          <w:rFonts w:ascii="Times New Roman" w:hAnsi="Times New Roman" w:cs="Times New Roman"/>
        </w:rPr>
        <w:t>, at ¶ 20</w:t>
      </w:r>
      <w:r w:rsidR="003653E0" w:rsidRPr="00BA4A9E">
        <w:rPr>
          <w:rFonts w:ascii="Times New Roman" w:hAnsi="Times New Roman" w:cs="Times New Roman"/>
        </w:rPr>
        <w:t xml:space="preserve">, 22, </w:t>
      </w:r>
      <w:r w:rsidR="007A6FD0" w:rsidRPr="00BA4A9E">
        <w:rPr>
          <w:rFonts w:ascii="Times New Roman" w:hAnsi="Times New Roman" w:cs="Times New Roman"/>
        </w:rPr>
        <w:t>11-15</w:t>
      </w:r>
      <w:r w:rsidRPr="00BA4A9E">
        <w:rPr>
          <w:rFonts w:ascii="Times New Roman" w:hAnsi="Times New Roman" w:cs="Times New Roman"/>
        </w:rPr>
        <w:t xml:space="preserve">.   </w:t>
      </w:r>
    </w:p>
  </w:endnote>
  <w:endnote w:id="183">
    <w:p w14:paraId="063E4C13" w14:textId="467A63B0" w:rsidR="002977C5" w:rsidRPr="00BA4A9E" w:rsidRDefault="002977C5">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xml:space="preserve"> at ¶</w:t>
      </w:r>
      <w:r w:rsidR="003653E0" w:rsidRPr="00BA4A9E">
        <w:rPr>
          <w:rFonts w:ascii="Times New Roman" w:hAnsi="Times New Roman" w:cs="Times New Roman"/>
        </w:rPr>
        <w:t xml:space="preserve"> 22</w:t>
      </w:r>
      <w:r w:rsidRPr="00BA4A9E">
        <w:rPr>
          <w:rFonts w:ascii="Times New Roman" w:hAnsi="Times New Roman" w:cs="Times New Roman"/>
        </w:rPr>
        <w:t>.</w:t>
      </w:r>
    </w:p>
  </w:endnote>
  <w:endnote w:id="184">
    <w:p w14:paraId="119270F3" w14:textId="0D373291" w:rsidR="002977C5" w:rsidRPr="00BA4A9E" w:rsidRDefault="002977C5">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xml:space="preserve"> at ¶</w:t>
      </w:r>
      <w:r w:rsidR="003653E0" w:rsidRPr="00BA4A9E">
        <w:rPr>
          <w:rFonts w:ascii="Times New Roman" w:hAnsi="Times New Roman" w:cs="Times New Roman"/>
        </w:rPr>
        <w:t xml:space="preserve"> 22</w:t>
      </w:r>
      <w:r w:rsidRPr="00BA4A9E">
        <w:rPr>
          <w:rFonts w:ascii="Times New Roman" w:hAnsi="Times New Roman" w:cs="Times New Roman"/>
        </w:rPr>
        <w:t>.</w:t>
      </w:r>
    </w:p>
  </w:endnote>
  <w:endnote w:id="185">
    <w:p w14:paraId="1B6166BA" w14:textId="5621994A" w:rsidR="00BB0DF0" w:rsidRPr="00BA4A9E" w:rsidRDefault="00BB0DF0" w:rsidP="00BB0DF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HRC General Comment No. 12, </w:t>
      </w:r>
      <w:r w:rsidRPr="00BA4A9E">
        <w:rPr>
          <w:rFonts w:ascii="Times New Roman" w:hAnsi="Times New Roman" w:cs="Times New Roman"/>
          <w:i/>
          <w:iCs/>
        </w:rPr>
        <w:t xml:space="preserve">supra </w:t>
      </w:r>
      <w:r w:rsidRPr="00BA4A9E">
        <w:rPr>
          <w:rFonts w:ascii="Times New Roman" w:hAnsi="Times New Roman" w:cs="Times New Roman"/>
        </w:rPr>
        <w:t xml:space="preserve">n. </w:t>
      </w:r>
      <w:r w:rsidR="00652F8F">
        <w:rPr>
          <w:rFonts w:ascii="Times New Roman" w:hAnsi="Times New Roman" w:cs="Times New Roman"/>
        </w:rPr>
        <w:fldChar w:fldCharType="begin"/>
      </w:r>
      <w:r w:rsidR="00652F8F">
        <w:rPr>
          <w:rFonts w:ascii="Times New Roman" w:hAnsi="Times New Roman" w:cs="Times New Roman"/>
        </w:rPr>
        <w:instrText xml:space="preserve"> NOTEREF _Ref145400248 \h </w:instrText>
      </w:r>
      <w:r w:rsidR="00652F8F">
        <w:rPr>
          <w:rFonts w:ascii="Times New Roman" w:hAnsi="Times New Roman" w:cs="Times New Roman"/>
        </w:rPr>
      </w:r>
      <w:r w:rsidR="00652F8F">
        <w:rPr>
          <w:rFonts w:ascii="Times New Roman" w:hAnsi="Times New Roman" w:cs="Times New Roman"/>
        </w:rPr>
        <w:fldChar w:fldCharType="separate"/>
      </w:r>
      <w:r w:rsidR="00652F8F">
        <w:rPr>
          <w:rFonts w:ascii="Times New Roman" w:hAnsi="Times New Roman" w:cs="Times New Roman"/>
        </w:rPr>
        <w:t>10</w:t>
      </w:r>
      <w:r w:rsidR="00652F8F">
        <w:rPr>
          <w:rFonts w:ascii="Times New Roman" w:hAnsi="Times New Roman" w:cs="Times New Roman"/>
        </w:rPr>
        <w:fldChar w:fldCharType="end"/>
      </w:r>
      <w:r w:rsidRPr="00BA4A9E">
        <w:rPr>
          <w:rFonts w:ascii="Times New Roman" w:hAnsi="Times New Roman" w:cs="Times New Roman"/>
        </w:rPr>
        <w:t xml:space="preserve"> at ¶ 6.</w:t>
      </w:r>
    </w:p>
  </w:endnote>
  <w:endnote w:id="186">
    <w:p w14:paraId="13096119" w14:textId="4C7205F1"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American lawyers Ira J. Kurzban and Günther Handl assisted President Aristide with the restitution claim. </w:t>
      </w:r>
    </w:p>
  </w:endnote>
  <w:endnote w:id="187">
    <w:p w14:paraId="21BF3311" w14:textId="77777777"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In his book, </w:t>
      </w:r>
      <w:r w:rsidRPr="00BA4A9E">
        <w:rPr>
          <w:rFonts w:ascii="Times New Roman" w:hAnsi="Times New Roman" w:cs="Times New Roman"/>
          <w:i/>
          <w:iCs/>
        </w:rPr>
        <w:t>An Unbroken Agony</w:t>
      </w:r>
      <w:r w:rsidRPr="00BA4A9E">
        <w:rPr>
          <w:rFonts w:ascii="Times New Roman" w:hAnsi="Times New Roman" w:cs="Times New Roman"/>
        </w:rPr>
        <w:t xml:space="preserve">, Randall Robinson extensively explores the perceived threat Haiti’s democracy and self-determination posed to wealthy white nations through their associated financial interests in Haiti, as evidenced by the repeated economic and military interference against Haiti historically and in the modern day. </w:t>
      </w:r>
      <w:r w:rsidRPr="00BA4A9E">
        <w:rPr>
          <w:rFonts w:ascii="Times New Roman" w:hAnsi="Times New Roman" w:cs="Times New Roman"/>
          <w:i/>
          <w:iCs/>
        </w:rPr>
        <w:t xml:space="preserve">See generally </w:t>
      </w:r>
      <w:r w:rsidRPr="00BA4A9E">
        <w:rPr>
          <w:rFonts w:ascii="Times New Roman" w:hAnsi="Times New Roman" w:cs="Times New Roman"/>
          <w:smallCaps/>
        </w:rPr>
        <w:t>Robinson, An Unbroken Agony</w:t>
      </w:r>
      <w:r w:rsidRPr="00BA4A9E">
        <w:rPr>
          <w:rFonts w:ascii="Times New Roman" w:hAnsi="Times New Roman" w:cs="Times New Roman"/>
        </w:rPr>
        <w:t>.</w:t>
      </w:r>
    </w:p>
  </w:endnote>
  <w:endnote w:id="188">
    <w:p w14:paraId="23F3F32F" w14:textId="64598408" w:rsidR="000362C9" w:rsidRPr="00C63DD6"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London Review of Books, </w:t>
      </w:r>
      <w:r w:rsidRPr="00BA4A9E">
        <w:rPr>
          <w:rFonts w:ascii="Times New Roman" w:hAnsi="Times New Roman" w:cs="Times New Roman"/>
          <w:i/>
          <w:iCs/>
          <w:sz w:val="20"/>
          <w:szCs w:val="20"/>
        </w:rPr>
        <w:t>supra</w:t>
      </w:r>
      <w:r w:rsidRPr="00BA4A9E">
        <w:rPr>
          <w:rFonts w:ascii="Times New Roman" w:hAnsi="Times New Roman" w:cs="Times New Roman"/>
          <w:sz w:val="20"/>
          <w:szCs w:val="20"/>
        </w:rPr>
        <w:t xml:space="preserve"> n. </w:t>
      </w:r>
      <w:r w:rsidR="00652F8F">
        <w:rPr>
          <w:rFonts w:ascii="Times New Roman" w:hAnsi="Times New Roman" w:cs="Times New Roman"/>
          <w:sz w:val="20"/>
          <w:szCs w:val="20"/>
        </w:rPr>
        <w:fldChar w:fldCharType="begin"/>
      </w:r>
      <w:r w:rsidR="00652F8F">
        <w:rPr>
          <w:rFonts w:ascii="Times New Roman" w:hAnsi="Times New Roman" w:cs="Times New Roman"/>
          <w:sz w:val="20"/>
          <w:szCs w:val="20"/>
        </w:rPr>
        <w:instrText xml:space="preserve"> NOTEREF _Ref145401363 \h </w:instrText>
      </w:r>
      <w:r w:rsidR="00652F8F">
        <w:rPr>
          <w:rFonts w:ascii="Times New Roman" w:hAnsi="Times New Roman" w:cs="Times New Roman"/>
          <w:sz w:val="20"/>
          <w:szCs w:val="20"/>
        </w:rPr>
      </w:r>
      <w:r w:rsidR="00652F8F">
        <w:rPr>
          <w:rFonts w:ascii="Times New Roman" w:hAnsi="Times New Roman" w:cs="Times New Roman"/>
          <w:sz w:val="20"/>
          <w:szCs w:val="20"/>
        </w:rPr>
        <w:fldChar w:fldCharType="separate"/>
      </w:r>
      <w:r w:rsidR="00652F8F">
        <w:rPr>
          <w:rFonts w:ascii="Times New Roman" w:hAnsi="Times New Roman" w:cs="Times New Roman"/>
          <w:sz w:val="20"/>
          <w:szCs w:val="20"/>
        </w:rPr>
        <w:t>1</w:t>
      </w:r>
      <w:r w:rsidR="000331C3">
        <w:rPr>
          <w:rFonts w:ascii="Times New Roman" w:hAnsi="Times New Roman" w:cs="Times New Roman"/>
          <w:sz w:val="20"/>
          <w:szCs w:val="20"/>
        </w:rPr>
        <w:t>75</w:t>
      </w:r>
      <w:r w:rsidR="00652F8F">
        <w:rPr>
          <w:rFonts w:ascii="Times New Roman" w:hAnsi="Times New Roman" w:cs="Times New Roman"/>
          <w:sz w:val="20"/>
          <w:szCs w:val="20"/>
        </w:rPr>
        <w:fldChar w:fldCharType="end"/>
      </w:r>
      <w:r w:rsidRPr="00BA4A9E">
        <w:rPr>
          <w:rFonts w:ascii="Times New Roman" w:hAnsi="Times New Roman" w:cs="Times New Roman"/>
          <w:sz w:val="20"/>
          <w:szCs w:val="20"/>
        </w:rPr>
        <w:t xml:space="preserve">; </w:t>
      </w:r>
      <w:r w:rsidRPr="00BA4A9E">
        <w:rPr>
          <w:rStyle w:val="Hyperlink"/>
          <w:rFonts w:ascii="Times New Roman" w:hAnsi="Times New Roman" w:cs="Times New Roman"/>
          <w:i/>
          <w:color w:val="auto"/>
          <w:sz w:val="20"/>
          <w:szCs w:val="20"/>
          <w:u w:val="none"/>
        </w:rPr>
        <w:t>see also</w:t>
      </w:r>
      <w:r w:rsidRPr="00BA4A9E">
        <w:rPr>
          <w:rStyle w:val="Hyperlink"/>
          <w:rFonts w:ascii="Times New Roman" w:hAnsi="Times New Roman" w:cs="Times New Roman"/>
          <w:i/>
          <w:color w:val="auto"/>
          <w:sz w:val="20"/>
          <w:szCs w:val="20"/>
        </w:rPr>
        <w:t xml:space="preserve"> </w:t>
      </w:r>
      <w:r w:rsidRPr="00BA4A9E">
        <w:rPr>
          <w:rFonts w:ascii="Times New Roman" w:hAnsi="Times New Roman" w:cs="Times New Roman"/>
          <w:smallCaps/>
          <w:sz w:val="20"/>
          <w:szCs w:val="20"/>
        </w:rPr>
        <w:t>Robinson, An Unbroken Agony</w:t>
      </w:r>
      <w:r w:rsidRPr="00BA4A9E">
        <w:rPr>
          <w:rFonts w:ascii="Times New Roman" w:hAnsi="Times New Roman" w:cs="Times New Roman"/>
          <w:sz w:val="20"/>
          <w:szCs w:val="20"/>
        </w:rPr>
        <w:t xml:space="preserve">, pp. 18-20, 48-49; </w:t>
      </w:r>
      <w:r w:rsidRPr="00BA4A9E">
        <w:rPr>
          <w:rFonts w:ascii="Times New Roman" w:hAnsi="Times New Roman" w:cs="Times New Roman"/>
          <w:i/>
          <w:iCs/>
          <w:sz w:val="20"/>
          <w:szCs w:val="20"/>
        </w:rPr>
        <w:t xml:space="preserve">id. </w:t>
      </w:r>
      <w:r w:rsidRPr="00BA4A9E">
        <w:rPr>
          <w:rFonts w:ascii="Times New Roman" w:hAnsi="Times New Roman" w:cs="Times New Roman"/>
          <w:sz w:val="20"/>
          <w:szCs w:val="20"/>
        </w:rPr>
        <w:t>at 53-54 (“Over the course of 2003 . . . in addition to arming Duvalierist insurgents and organizing Haiti’s tiny, splintered political opposition, the [Bush] administration moved apace to strangle Haiti, the poorest country in the Western Hemisphere, into a state of economic, social, and political collapse.”)</w:t>
      </w:r>
      <w:r w:rsidR="00395769" w:rsidRPr="00FE6E02">
        <w:rPr>
          <w:rStyle w:val="Hyperlink"/>
          <w:rFonts w:ascii="Times New Roman" w:hAnsi="Times New Roman" w:cs="Times New Roman"/>
          <w:color w:val="auto"/>
          <w:sz w:val="20"/>
          <w:szCs w:val="20"/>
          <w:u w:val="none"/>
        </w:rPr>
        <w:t xml:space="preserve">; </w:t>
      </w:r>
      <w:r w:rsidR="00395769" w:rsidRPr="00BA4A9E">
        <w:rPr>
          <w:rFonts w:ascii="Times New Roman" w:hAnsi="Times New Roman" w:cs="Times New Roman"/>
          <w:sz w:val="20"/>
          <w:szCs w:val="20"/>
        </w:rPr>
        <w:t xml:space="preserve">Constant Méheut et al., </w:t>
      </w:r>
      <w:r w:rsidR="00395769" w:rsidRPr="00BA4A9E">
        <w:rPr>
          <w:rFonts w:ascii="Times New Roman" w:hAnsi="Times New Roman" w:cs="Times New Roman"/>
          <w:i/>
          <w:iCs/>
          <w:sz w:val="20"/>
          <w:szCs w:val="20"/>
        </w:rPr>
        <w:t>Demanding Reparations and Ending Up in Exile</w:t>
      </w:r>
      <w:r w:rsidR="00395769" w:rsidRPr="00BA4A9E">
        <w:rPr>
          <w:rFonts w:ascii="Times New Roman" w:hAnsi="Times New Roman" w:cs="Times New Roman"/>
          <w:sz w:val="20"/>
          <w:szCs w:val="20"/>
        </w:rPr>
        <w:t xml:space="preserve">, </w:t>
      </w:r>
      <w:r w:rsidR="00395769" w:rsidRPr="00BA4A9E">
        <w:rPr>
          <w:rFonts w:ascii="Times New Roman" w:hAnsi="Times New Roman" w:cs="Times New Roman"/>
          <w:smallCaps/>
          <w:sz w:val="20"/>
          <w:szCs w:val="20"/>
        </w:rPr>
        <w:t>N.Y. Times</w:t>
      </w:r>
      <w:r w:rsidR="00395769" w:rsidRPr="00BA4A9E">
        <w:rPr>
          <w:rFonts w:ascii="Times New Roman" w:hAnsi="Times New Roman" w:cs="Times New Roman"/>
          <w:sz w:val="20"/>
          <w:szCs w:val="20"/>
        </w:rPr>
        <w:t xml:space="preserve"> (May 26, 2022), </w:t>
      </w:r>
      <w:hyperlink r:id="rId152" w:history="1">
        <w:r w:rsidR="00395769" w:rsidRPr="00BA4A9E">
          <w:rPr>
            <w:rStyle w:val="Hyperlink"/>
            <w:rFonts w:ascii="Times New Roman" w:hAnsi="Times New Roman" w:cs="Times New Roman"/>
            <w:color w:val="auto"/>
            <w:sz w:val="20"/>
            <w:szCs w:val="20"/>
          </w:rPr>
          <w:t>https://www.nytimes.com/2022/05/20/world/americas/haiti-aristide-reparations-france.html</w:t>
        </w:r>
      </w:hyperlink>
      <w:r w:rsidR="00395769" w:rsidRPr="00BA4A9E">
        <w:rPr>
          <w:rFonts w:ascii="Times New Roman" w:hAnsi="Times New Roman" w:cs="Times New Roman"/>
          <w:sz w:val="20"/>
          <w:szCs w:val="20"/>
        </w:rPr>
        <w:t xml:space="preserve">; Mario Joseph, Brian Concannon, &amp; Irwin Stotzky, </w:t>
      </w:r>
      <w:r w:rsidR="00395769" w:rsidRPr="00BA4A9E">
        <w:rPr>
          <w:rFonts w:ascii="Times New Roman" w:hAnsi="Times New Roman" w:cs="Times New Roman"/>
          <w:i/>
          <w:iCs/>
          <w:sz w:val="20"/>
          <w:szCs w:val="20"/>
        </w:rPr>
        <w:t>France demanded crippling payments. Now Haiti has a legitimate claim for slavery reparations | Opinion</w:t>
      </w:r>
      <w:r w:rsidR="00395769" w:rsidRPr="00BA4A9E">
        <w:rPr>
          <w:rFonts w:ascii="Times New Roman" w:hAnsi="Times New Roman" w:cs="Times New Roman"/>
          <w:sz w:val="20"/>
          <w:szCs w:val="20"/>
        </w:rPr>
        <w:t xml:space="preserve">, </w:t>
      </w:r>
      <w:r w:rsidR="00395769" w:rsidRPr="00BA4A9E">
        <w:rPr>
          <w:rFonts w:ascii="Times New Roman" w:hAnsi="Times New Roman" w:cs="Times New Roman"/>
          <w:smallCaps/>
          <w:sz w:val="20"/>
          <w:szCs w:val="20"/>
        </w:rPr>
        <w:t>Miami Herald</w:t>
      </w:r>
      <w:r w:rsidR="00395769" w:rsidRPr="00BA4A9E">
        <w:rPr>
          <w:rFonts w:ascii="Times New Roman" w:hAnsi="Times New Roman" w:cs="Times New Roman"/>
          <w:sz w:val="20"/>
          <w:szCs w:val="20"/>
        </w:rPr>
        <w:t xml:space="preserve"> (Mar. 27, 2023), </w:t>
      </w:r>
      <w:hyperlink r:id="rId153" w:history="1">
        <w:r w:rsidR="00395769" w:rsidRPr="00BA4A9E">
          <w:rPr>
            <w:rStyle w:val="Hyperlink"/>
            <w:rFonts w:ascii="Times New Roman" w:hAnsi="Times New Roman" w:cs="Times New Roman"/>
            <w:color w:val="auto"/>
            <w:sz w:val="20"/>
            <w:szCs w:val="20"/>
          </w:rPr>
          <w:t>https://www.miamiherald.com/opinion/op-ed/article273642735.html</w:t>
        </w:r>
      </w:hyperlink>
      <w:r w:rsidR="00395769" w:rsidRPr="00BA4A9E">
        <w:rPr>
          <w:rStyle w:val="Hyperlink"/>
          <w:rFonts w:ascii="Times New Roman" w:hAnsi="Times New Roman" w:cs="Times New Roman"/>
          <w:color w:val="auto"/>
          <w:sz w:val="20"/>
          <w:szCs w:val="20"/>
        </w:rPr>
        <w:t>;</w:t>
      </w:r>
      <w:r w:rsidR="00395769" w:rsidRPr="00BA4A9E">
        <w:rPr>
          <w:rFonts w:ascii="Times New Roman" w:hAnsi="Times New Roman" w:cs="Times New Roman"/>
          <w:sz w:val="20"/>
          <w:szCs w:val="20"/>
        </w:rPr>
        <w:t xml:space="preserve"> University of Miami School of Law, </w:t>
      </w:r>
      <w:r w:rsidR="00395769" w:rsidRPr="00BA4A9E">
        <w:rPr>
          <w:rFonts w:ascii="Times New Roman" w:hAnsi="Times New Roman" w:cs="Times New Roman"/>
          <w:i/>
          <w:iCs/>
          <w:sz w:val="20"/>
          <w:szCs w:val="20"/>
        </w:rPr>
        <w:t>Inter-American Law Review Symposium Hait: Reparations &amp; Restitution</w:t>
      </w:r>
      <w:r w:rsidR="00395769" w:rsidRPr="00BA4A9E">
        <w:rPr>
          <w:rFonts w:ascii="Times New Roman" w:hAnsi="Times New Roman" w:cs="Times New Roman"/>
          <w:sz w:val="20"/>
          <w:szCs w:val="20"/>
        </w:rPr>
        <w:t xml:space="preserve"> (video) (Mar. 24, 2023</w:t>
      </w:r>
      <w:r w:rsidR="00395769" w:rsidRPr="00D4233C">
        <w:rPr>
          <w:rFonts w:ascii="Times New Roman" w:hAnsi="Times New Roman" w:cs="Times New Roman"/>
          <w:sz w:val="20"/>
          <w:szCs w:val="20"/>
        </w:rPr>
        <w:t xml:space="preserve">), </w:t>
      </w:r>
      <w:hyperlink r:id="rId154" w:history="1">
        <w:r w:rsidR="00D4233C" w:rsidRPr="00D4233C">
          <w:rPr>
            <w:rStyle w:val="Hyperlink"/>
            <w:rFonts w:ascii="Times New Roman" w:hAnsi="Times New Roman" w:cs="Times New Roman"/>
            <w:color w:val="auto"/>
            <w:sz w:val="20"/>
            <w:szCs w:val="20"/>
          </w:rPr>
          <w:t>https://echo360.org/media/df600a1f-2144-4ba5-a9b1-17f2b4694c5b/public</w:t>
        </w:r>
      </w:hyperlink>
      <w:r w:rsidR="00395769" w:rsidRPr="00D4233C">
        <w:rPr>
          <w:rFonts w:ascii="Times New Roman" w:hAnsi="Times New Roman" w:cs="Times New Roman"/>
          <w:sz w:val="20"/>
          <w:szCs w:val="20"/>
        </w:rPr>
        <w:t>;</w:t>
      </w:r>
      <w:r w:rsidR="00D4233C" w:rsidRPr="00D4233C">
        <w:rPr>
          <w:rFonts w:ascii="Times New Roman" w:hAnsi="Times New Roman" w:cs="Times New Roman"/>
          <w:sz w:val="20"/>
          <w:szCs w:val="20"/>
        </w:rPr>
        <w:t xml:space="preserve"> </w:t>
      </w:r>
      <w:r w:rsidR="00395769" w:rsidRPr="00BA4A9E">
        <w:rPr>
          <w:rFonts w:ascii="Times New Roman" w:hAnsi="Times New Roman" w:cs="Times New Roman"/>
          <w:i/>
          <w:sz w:val="20"/>
          <w:szCs w:val="20"/>
        </w:rPr>
        <w:t>see also</w:t>
      </w:r>
      <w:r w:rsidR="00395769" w:rsidRPr="00BA4A9E">
        <w:rPr>
          <w:rFonts w:ascii="Times New Roman" w:hAnsi="Times New Roman" w:cs="Times New Roman"/>
          <w:sz w:val="20"/>
          <w:szCs w:val="20"/>
        </w:rPr>
        <w:t xml:space="preserve"> </w:t>
      </w:r>
      <w:r w:rsidR="00395769" w:rsidRPr="00BA4A9E">
        <w:rPr>
          <w:rFonts w:ascii="Times New Roman" w:hAnsi="Times New Roman" w:cs="Times New Roman"/>
          <w:smallCaps/>
          <w:sz w:val="20"/>
          <w:szCs w:val="20"/>
        </w:rPr>
        <w:t>Robinson, An Unbroken Agony</w:t>
      </w:r>
      <w:r w:rsidR="00395769" w:rsidRPr="00BA4A9E">
        <w:rPr>
          <w:rFonts w:ascii="Times New Roman" w:hAnsi="Times New Roman" w:cs="Times New Roman"/>
          <w:sz w:val="20"/>
          <w:szCs w:val="20"/>
        </w:rPr>
        <w:t xml:space="preserve">, pp. 57-59 (describing the French foreign minister at the time sending a message to “democratically elected president [Aristide], that it was time for him to step down” one month after he had convened a conference of experts to “discuss Haiti’s restitution claim against France for repayment of the debt”); </w:t>
      </w:r>
      <w:r w:rsidR="00395769" w:rsidRPr="00BA4A9E">
        <w:rPr>
          <w:rFonts w:ascii="Times New Roman" w:hAnsi="Times New Roman" w:cs="Times New Roman"/>
          <w:i/>
          <w:sz w:val="20"/>
          <w:szCs w:val="20"/>
        </w:rPr>
        <w:t xml:space="preserve">id. </w:t>
      </w:r>
      <w:r w:rsidR="00395769" w:rsidRPr="00BA4A9E">
        <w:rPr>
          <w:rFonts w:ascii="Times New Roman" w:hAnsi="Times New Roman" w:cs="Times New Roman"/>
          <w:sz w:val="20"/>
          <w:szCs w:val="20"/>
        </w:rPr>
        <w:t xml:space="preserve">at 63 (“When the thugs who’d been collaborating with Haiti’s wealthy class finally entered Port-au-Prince in the days following the president’s mysterious disappearance, they destroyed first off the Museum of Restitution.”); </w:t>
      </w:r>
      <w:r w:rsidR="00395769" w:rsidRPr="00BA4A9E">
        <w:rPr>
          <w:rFonts w:ascii="Times New Roman" w:hAnsi="Times New Roman" w:cs="Times New Roman"/>
          <w:i/>
          <w:iCs/>
          <w:sz w:val="20"/>
          <w:szCs w:val="20"/>
        </w:rPr>
        <w:t xml:space="preserve">id. </w:t>
      </w:r>
      <w:r w:rsidR="00395769" w:rsidRPr="00BA4A9E">
        <w:rPr>
          <w:rFonts w:ascii="Times New Roman" w:hAnsi="Times New Roman" w:cs="Times New Roman"/>
          <w:sz w:val="20"/>
          <w:szCs w:val="20"/>
        </w:rPr>
        <w:t>at 254 (“In an early act of office, Latortue rescinded the application made the year before by the deposed democratic Haitian government for restitution from France.”).</w:t>
      </w:r>
    </w:p>
  </w:endnote>
  <w:endnote w:id="189">
    <w:p w14:paraId="239A7D6B" w14:textId="2A0C2CC1"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u w:val="single"/>
        </w:rPr>
        <w:t xml:space="preserve"> </w:t>
      </w:r>
      <w:r w:rsidRPr="00BA4A9E">
        <w:rPr>
          <w:rFonts w:ascii="Times New Roman" w:hAnsi="Times New Roman" w:cs="Times New Roman"/>
          <w:sz w:val="20"/>
          <w:szCs w:val="20"/>
        </w:rPr>
        <w:t xml:space="preserve">Democracy Now, </w:t>
      </w:r>
      <w:r w:rsidRPr="00BA4A9E">
        <w:rPr>
          <w:rFonts w:ascii="Times New Roman" w:hAnsi="Times New Roman" w:cs="Times New Roman"/>
          <w:i/>
          <w:iCs/>
          <w:sz w:val="20"/>
          <w:szCs w:val="20"/>
        </w:rPr>
        <w:t>Ex-Ambassador Admits France &amp; U.S. Orchestrated 2004 Coup in Haiti to Oust Aristide</w:t>
      </w:r>
      <w:r w:rsidRPr="00BA4A9E">
        <w:rPr>
          <w:rFonts w:ascii="Times New Roman" w:hAnsi="Times New Roman" w:cs="Times New Roman"/>
          <w:sz w:val="20"/>
          <w:szCs w:val="20"/>
        </w:rPr>
        <w:t xml:space="preserve"> (May 23, 2022), </w:t>
      </w:r>
      <w:hyperlink r:id="rId155" w:history="1">
        <w:r w:rsidRPr="00BA4A9E">
          <w:rPr>
            <w:rStyle w:val="Hyperlink"/>
            <w:rFonts w:ascii="Times New Roman" w:hAnsi="Times New Roman" w:cs="Times New Roman"/>
            <w:color w:val="auto"/>
            <w:sz w:val="20"/>
            <w:szCs w:val="20"/>
          </w:rPr>
          <w:t>https://www.democracynow.org/2022/5/23/headlines/ex_ambassador_admits_france_us_orchestrated_2004_coup_in_haiti_to_oust_aristide</w:t>
        </w:r>
      </w:hyperlink>
      <w:r w:rsidRPr="00BA4A9E">
        <w:rPr>
          <w:rFonts w:ascii="Times New Roman" w:hAnsi="Times New Roman" w:cs="Times New Roman"/>
          <w:sz w:val="20"/>
          <w:szCs w:val="20"/>
        </w:rPr>
        <w:t xml:space="preserve">; Yves Engler, </w:t>
      </w:r>
      <w:r w:rsidRPr="00BA4A9E">
        <w:rPr>
          <w:rFonts w:ascii="Times New Roman" w:hAnsi="Times New Roman" w:cs="Times New Roman"/>
          <w:i/>
          <w:iCs/>
          <w:sz w:val="20"/>
          <w:szCs w:val="20"/>
        </w:rPr>
        <w:t>New York Times Admits Truth of Haitian Coup</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Counter Punch</w:t>
      </w:r>
      <w:r w:rsidRPr="00BA4A9E">
        <w:rPr>
          <w:rFonts w:ascii="Times New Roman" w:hAnsi="Times New Roman" w:cs="Times New Roman"/>
          <w:sz w:val="20"/>
          <w:szCs w:val="20"/>
        </w:rPr>
        <w:t xml:space="preserve"> (June 2, 2022), </w:t>
      </w:r>
      <w:hyperlink r:id="rId156" w:history="1">
        <w:r w:rsidRPr="00BA4A9E">
          <w:rPr>
            <w:rStyle w:val="Hyperlink"/>
            <w:rFonts w:ascii="Times New Roman" w:hAnsi="Times New Roman" w:cs="Times New Roman"/>
            <w:color w:val="auto"/>
            <w:sz w:val="20"/>
            <w:szCs w:val="20"/>
          </w:rPr>
          <w:t>https://www.counterpunch.org/2022/06/02/new-york-times-admits-truth-of-haitian-coup/</w:t>
        </w:r>
      </w:hyperlink>
      <w:r w:rsidRPr="00BA4A9E">
        <w:rPr>
          <w:rFonts w:ascii="Times New Roman" w:hAnsi="Times New Roman" w:cs="Times New Roman"/>
          <w:sz w:val="20"/>
          <w:szCs w:val="20"/>
        </w:rPr>
        <w:t xml:space="preserve">; Constant Méheut et al., </w:t>
      </w:r>
      <w:r w:rsidRPr="00BA4A9E">
        <w:rPr>
          <w:rFonts w:ascii="Times New Roman" w:hAnsi="Times New Roman" w:cs="Times New Roman"/>
          <w:i/>
          <w:iCs/>
          <w:sz w:val="20"/>
          <w:szCs w:val="20"/>
        </w:rPr>
        <w:t>supra</w:t>
      </w:r>
      <w:r w:rsidRPr="00BA4A9E">
        <w:rPr>
          <w:rFonts w:ascii="Times New Roman" w:hAnsi="Times New Roman" w:cs="Times New Roman"/>
          <w:sz w:val="20"/>
          <w:szCs w:val="20"/>
        </w:rPr>
        <w:t xml:space="preserve"> n. </w:t>
      </w:r>
      <w:r w:rsidR="00150E00">
        <w:rPr>
          <w:rFonts w:ascii="Times New Roman" w:hAnsi="Times New Roman" w:cs="Times New Roman"/>
          <w:sz w:val="20"/>
          <w:szCs w:val="20"/>
        </w:rPr>
        <w:fldChar w:fldCharType="begin"/>
      </w:r>
      <w:r w:rsidR="00150E00">
        <w:rPr>
          <w:rFonts w:ascii="Times New Roman" w:hAnsi="Times New Roman" w:cs="Times New Roman"/>
          <w:sz w:val="20"/>
          <w:szCs w:val="20"/>
        </w:rPr>
        <w:instrText xml:space="preserve"> NOTEREF _Ref142421111 \h </w:instrText>
      </w:r>
      <w:r w:rsidR="00150E00">
        <w:rPr>
          <w:rFonts w:ascii="Times New Roman" w:hAnsi="Times New Roman" w:cs="Times New Roman"/>
          <w:sz w:val="20"/>
          <w:szCs w:val="20"/>
        </w:rPr>
      </w:r>
      <w:r w:rsidR="00150E00">
        <w:rPr>
          <w:rFonts w:ascii="Times New Roman" w:hAnsi="Times New Roman" w:cs="Times New Roman"/>
          <w:sz w:val="20"/>
          <w:szCs w:val="20"/>
        </w:rPr>
        <w:fldChar w:fldCharType="separate"/>
      </w:r>
      <w:r w:rsidR="00150E00">
        <w:rPr>
          <w:rFonts w:ascii="Times New Roman" w:hAnsi="Times New Roman" w:cs="Times New Roman"/>
          <w:sz w:val="20"/>
          <w:szCs w:val="20"/>
        </w:rPr>
        <w:t>187</w:t>
      </w:r>
      <w:r w:rsidR="00150E00">
        <w:rPr>
          <w:rFonts w:ascii="Times New Roman" w:hAnsi="Times New Roman" w:cs="Times New Roman"/>
          <w:sz w:val="20"/>
          <w:szCs w:val="20"/>
        </w:rPr>
        <w:fldChar w:fldCharType="end"/>
      </w:r>
      <w:r w:rsidRPr="00BA4A9E">
        <w:rPr>
          <w:rFonts w:ascii="Times New Roman" w:hAnsi="Times New Roman" w:cs="Times New Roman"/>
          <w:sz w:val="20"/>
          <w:szCs w:val="20"/>
        </w:rPr>
        <w:t>.</w:t>
      </w:r>
      <w:r w:rsidR="00C614D0" w:rsidRPr="00BA4A9E">
        <w:rPr>
          <w:rFonts w:ascii="Times New Roman" w:hAnsi="Times New Roman" w:cs="Times New Roman"/>
          <w:sz w:val="20"/>
          <w:szCs w:val="20"/>
        </w:rPr>
        <w:t xml:space="preserve"> </w:t>
      </w:r>
      <w:r w:rsidR="00C614D0" w:rsidRPr="00CF1FE7">
        <w:rPr>
          <w:rFonts w:ascii="Times New Roman" w:hAnsi="Times New Roman" w:cs="Times New Roman"/>
          <w:sz w:val="20"/>
          <w:szCs w:val="20"/>
        </w:rPr>
        <w:t>The plane, flying out of Guantanamo Bay, Cuba with a false flight plan, and diverted from its usual activities of transferring prisoners – some to be tortured in the U.S.’ “war on terror” – deposited President Aristide and his wife in Bangui, Central African Republic, at an airport controlled by French troops.</w:t>
      </w:r>
    </w:p>
  </w:endnote>
  <w:endnote w:id="190">
    <w:p w14:paraId="78CA2F29" w14:textId="4B2CE4D6"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Ben Gutman, </w:t>
      </w:r>
      <w:r w:rsidRPr="00BA4A9E">
        <w:rPr>
          <w:rFonts w:ascii="Times New Roman" w:hAnsi="Times New Roman" w:cs="Times New Roman"/>
          <w:i/>
          <w:iCs/>
          <w:sz w:val="20"/>
          <w:szCs w:val="20"/>
        </w:rPr>
        <w:t>A Brutal History of Foreign Meddling in Haiti is Responsible for its Ongoing Crises</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The International Affairs Review</w:t>
      </w:r>
      <w:r w:rsidRPr="00BA4A9E">
        <w:rPr>
          <w:rFonts w:ascii="Times New Roman" w:hAnsi="Times New Roman" w:cs="Times New Roman"/>
          <w:sz w:val="20"/>
          <w:szCs w:val="20"/>
        </w:rPr>
        <w:t xml:space="preserve">, </w:t>
      </w:r>
      <w:hyperlink r:id="rId157" w:history="1">
        <w:r w:rsidRPr="00BA4A9E">
          <w:rPr>
            <w:rStyle w:val="Hyperlink"/>
            <w:rFonts w:ascii="Times New Roman" w:hAnsi="Times New Roman" w:cs="Times New Roman"/>
            <w:color w:val="auto"/>
            <w:sz w:val="20"/>
            <w:szCs w:val="20"/>
          </w:rPr>
          <w:t>https://www.iar-gwu.org/blog/iar-web/a-brutal-history</w:t>
        </w:r>
      </w:hyperlink>
      <w:r w:rsidRPr="00BA4A9E">
        <w:rPr>
          <w:rStyle w:val="Hyperlink"/>
          <w:rFonts w:ascii="Times New Roman" w:hAnsi="Times New Roman" w:cs="Times New Roman"/>
          <w:color w:val="auto"/>
          <w:sz w:val="20"/>
          <w:szCs w:val="20"/>
          <w:u w:val="none"/>
        </w:rPr>
        <w:t xml:space="preserve"> (last visited Sept. 11, 2023)</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Robinson, An Unbroken Agony</w:t>
      </w:r>
      <w:r w:rsidRPr="00BA4A9E">
        <w:rPr>
          <w:rFonts w:ascii="Times New Roman" w:hAnsi="Times New Roman" w:cs="Times New Roman"/>
          <w:sz w:val="20"/>
          <w:szCs w:val="20"/>
        </w:rPr>
        <w:t xml:space="preserve">, pp. 60, 145-46, 235; </w:t>
      </w:r>
      <w:r w:rsidRPr="00BA4A9E">
        <w:rPr>
          <w:rFonts w:ascii="Times New Roman" w:hAnsi="Times New Roman" w:cs="Times New Roman"/>
          <w:i/>
          <w:iCs/>
          <w:sz w:val="20"/>
          <w:szCs w:val="20"/>
        </w:rPr>
        <w:t>id</w:t>
      </w:r>
      <w:r w:rsidRPr="00BA4A9E">
        <w:rPr>
          <w:rFonts w:ascii="Times New Roman" w:hAnsi="Times New Roman" w:cs="Times New Roman"/>
          <w:sz w:val="20"/>
          <w:szCs w:val="20"/>
        </w:rPr>
        <w:t>. at 111 (“[T]he United States and the powerful Haitian insurrectionists . . . . wished only to crush the reform-minded government of a democratically elected president, and, with him, all hope in the years ahead for constitutional democracy in Haiti . . . . [The] ensuing hellish, bloody turmoil associated with its lawless interposition seemed . . . a fully intended outcome of the overall American strategy.”).</w:t>
      </w:r>
    </w:p>
  </w:endnote>
  <w:endnote w:id="191">
    <w:p w14:paraId="45185BEF" w14:textId="77777777" w:rsidR="000D0CA6" w:rsidRPr="00BA4A9E" w:rsidRDefault="000D0CA6" w:rsidP="000D0CA6">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See, e.g.,</w:t>
      </w:r>
      <w:r w:rsidRPr="00BA4A9E">
        <w:rPr>
          <w:rFonts w:ascii="Times New Roman" w:hAnsi="Times New Roman" w:cs="Times New Roman"/>
          <w:sz w:val="20"/>
          <w:szCs w:val="20"/>
        </w:rPr>
        <w:t xml:space="preserve"> Yves Engler, </w:t>
      </w:r>
      <w:r w:rsidRPr="00BA4A9E">
        <w:rPr>
          <w:rFonts w:ascii="Times New Roman" w:hAnsi="Times New Roman" w:cs="Times New Roman"/>
          <w:i/>
          <w:iCs/>
          <w:sz w:val="20"/>
          <w:szCs w:val="20"/>
        </w:rPr>
        <w:t>Canada’s role in the ‘Core Group’ is weakening Haitian democracy</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Canada Dimension</w:t>
      </w:r>
      <w:r w:rsidRPr="00BA4A9E">
        <w:rPr>
          <w:rFonts w:ascii="Times New Roman" w:hAnsi="Times New Roman" w:cs="Times New Roman"/>
          <w:sz w:val="20"/>
          <w:szCs w:val="20"/>
        </w:rPr>
        <w:t xml:space="preserve"> (Oct. 21, 2021), </w:t>
      </w:r>
      <w:hyperlink r:id="rId158" w:history="1">
        <w:r w:rsidRPr="00BA4A9E">
          <w:rPr>
            <w:rStyle w:val="Hyperlink"/>
            <w:rFonts w:ascii="Times New Roman" w:hAnsi="Times New Roman" w:cs="Times New Roman"/>
            <w:color w:val="auto"/>
            <w:sz w:val="20"/>
            <w:szCs w:val="20"/>
          </w:rPr>
          <w:t>https://canadiandimension.com/articles/view/how-canadas-role-in-the-core-group-is-weakening-haitian-democracy</w:t>
        </w:r>
      </w:hyperlink>
      <w:r w:rsidRPr="00BA4A9E">
        <w:rPr>
          <w:rFonts w:ascii="Times New Roman" w:hAnsi="Times New Roman" w:cs="Times New Roman"/>
          <w:sz w:val="20"/>
          <w:szCs w:val="20"/>
        </w:rPr>
        <w:t xml:space="preserve">; Haiti Libre, </w:t>
      </w:r>
      <w:r w:rsidRPr="00BA4A9E">
        <w:rPr>
          <w:rFonts w:ascii="Times New Roman" w:hAnsi="Times New Roman" w:cs="Times New Roman"/>
          <w:i/>
          <w:iCs/>
          <w:sz w:val="20"/>
          <w:szCs w:val="20"/>
        </w:rPr>
        <w:t>Haiti - FLASH: Ariel Henry Prime Minister of Haiti (official)</w:t>
      </w:r>
      <w:r w:rsidRPr="00BA4A9E">
        <w:rPr>
          <w:rFonts w:ascii="Times New Roman" w:hAnsi="Times New Roman" w:cs="Times New Roman"/>
          <w:sz w:val="20"/>
          <w:szCs w:val="20"/>
        </w:rPr>
        <w:t xml:space="preserve"> (July 20, 2021), </w:t>
      </w:r>
      <w:hyperlink r:id="rId159" w:history="1">
        <w:r w:rsidRPr="00BA4A9E">
          <w:rPr>
            <w:rStyle w:val="Hyperlink"/>
            <w:rFonts w:ascii="Times New Roman" w:hAnsi="Times New Roman" w:cs="Times New Roman"/>
            <w:color w:val="auto"/>
            <w:sz w:val="20"/>
            <w:szCs w:val="20"/>
          </w:rPr>
          <w:t>https://www.haitilibre.com/en/news-34274-haiti-flash-ariel-henry-prime-minister-of-haiti-official.html</w:t>
        </w:r>
      </w:hyperlink>
      <w:r w:rsidRPr="00BA4A9E">
        <w:rPr>
          <w:rFonts w:ascii="Times New Roman" w:hAnsi="Times New Roman" w:cs="Times New Roman"/>
          <w:sz w:val="20"/>
          <w:szCs w:val="20"/>
        </w:rPr>
        <w:t xml:space="preserve">; Jake Johnston, </w:t>
      </w:r>
      <w:r w:rsidRPr="00BA4A9E">
        <w:rPr>
          <w:rFonts w:ascii="Times New Roman" w:hAnsi="Times New Roman" w:cs="Times New Roman"/>
          <w:i/>
          <w:iCs/>
          <w:sz w:val="20"/>
          <w:szCs w:val="20"/>
        </w:rPr>
        <w:t>Haiti’s Eroding Democracy</w:t>
      </w:r>
      <w:r w:rsidRPr="00BA4A9E">
        <w:rPr>
          <w:rFonts w:ascii="Times New Roman" w:hAnsi="Times New Roman" w:cs="Times New Roman"/>
          <w:sz w:val="20"/>
          <w:szCs w:val="20"/>
        </w:rPr>
        <w:t xml:space="preserve">, </w:t>
      </w:r>
      <w:r w:rsidRPr="00BA4A9E">
        <w:rPr>
          <w:rFonts w:ascii="Times New Roman" w:hAnsi="Times New Roman" w:cs="Times New Roman"/>
          <w:smallCaps/>
          <w:sz w:val="20"/>
          <w:szCs w:val="20"/>
        </w:rPr>
        <w:t>Jacobin</w:t>
      </w:r>
      <w:r w:rsidRPr="00BA4A9E">
        <w:rPr>
          <w:rFonts w:ascii="Times New Roman" w:hAnsi="Times New Roman" w:cs="Times New Roman"/>
          <w:sz w:val="20"/>
          <w:szCs w:val="20"/>
        </w:rPr>
        <w:t xml:space="preserve"> (Feb. 13, 2017), </w:t>
      </w:r>
      <w:hyperlink r:id="rId160" w:history="1">
        <w:r w:rsidRPr="00BA4A9E">
          <w:rPr>
            <w:rStyle w:val="Hyperlink"/>
            <w:rFonts w:ascii="Times New Roman" w:hAnsi="Times New Roman" w:cs="Times New Roman"/>
            <w:color w:val="auto"/>
            <w:sz w:val="20"/>
            <w:szCs w:val="20"/>
          </w:rPr>
          <w:t>https://jacobin.com/2017/02/haiti-election-democracy-neoliberal-clinton-jovenel-moise-martelly-aristide-preval-duvalier/</w:t>
        </w:r>
      </w:hyperlink>
      <w:r w:rsidRPr="00BA4A9E">
        <w:rPr>
          <w:rFonts w:ascii="Times New Roman" w:hAnsi="Times New Roman" w:cs="Times New Roman"/>
          <w:sz w:val="20"/>
          <w:szCs w:val="20"/>
        </w:rPr>
        <w:t xml:space="preserve">; U.S. Department. of State, Office of the Historian, </w:t>
      </w:r>
      <w:r w:rsidRPr="00BA4A9E">
        <w:rPr>
          <w:rFonts w:ascii="Times New Roman" w:hAnsi="Times New Roman" w:cs="Times New Roman"/>
          <w:i/>
          <w:iCs/>
          <w:sz w:val="20"/>
          <w:szCs w:val="20"/>
        </w:rPr>
        <w:t>U.S. Invasion and Occupation of Haiti, 1915-1934</w:t>
      </w:r>
      <w:r w:rsidRPr="00BA4A9E">
        <w:rPr>
          <w:rFonts w:ascii="Times New Roman" w:hAnsi="Times New Roman" w:cs="Times New Roman"/>
          <w:sz w:val="20"/>
          <w:szCs w:val="20"/>
        </w:rPr>
        <w:t xml:space="preserve">, </w:t>
      </w:r>
      <w:hyperlink r:id="rId161" w:history="1">
        <w:r w:rsidRPr="00BA4A9E">
          <w:rPr>
            <w:rStyle w:val="Hyperlink"/>
            <w:rFonts w:ascii="Times New Roman" w:hAnsi="Times New Roman" w:cs="Times New Roman"/>
            <w:color w:val="auto"/>
            <w:sz w:val="20"/>
            <w:szCs w:val="20"/>
          </w:rPr>
          <w:t>https://history.state.gov/milestones/1914-1920/haiti</w:t>
        </w:r>
      </w:hyperlink>
      <w:r w:rsidRPr="00BA4A9E">
        <w:rPr>
          <w:rStyle w:val="Hyperlink"/>
          <w:rFonts w:ascii="Times New Roman" w:hAnsi="Times New Roman" w:cs="Times New Roman"/>
          <w:color w:val="auto"/>
          <w:sz w:val="20"/>
          <w:szCs w:val="20"/>
          <w:u w:val="none"/>
        </w:rPr>
        <w:t xml:space="preserve"> (last visited Sept. 11, 2023); </w:t>
      </w:r>
      <w:r w:rsidRPr="00BA4A9E">
        <w:rPr>
          <w:rFonts w:ascii="Times New Roman" w:hAnsi="Times New Roman" w:cs="Times New Roman"/>
          <w:smallCaps/>
          <w:sz w:val="20"/>
          <w:szCs w:val="20"/>
        </w:rPr>
        <w:t>Robinson, An Unbroken Agony</w:t>
      </w:r>
      <w:r w:rsidRPr="00BA4A9E">
        <w:rPr>
          <w:rFonts w:ascii="Times New Roman" w:hAnsi="Times New Roman" w:cs="Times New Roman"/>
          <w:sz w:val="20"/>
          <w:szCs w:val="20"/>
        </w:rPr>
        <w:t>, pp. 18-19, 25, 48-49.</w:t>
      </w:r>
    </w:p>
  </w:endnote>
  <w:endnote w:id="192">
    <w:p w14:paraId="528BBE9C" w14:textId="77777777" w:rsidR="000D0CA6" w:rsidRPr="00BA4A9E" w:rsidRDefault="000D0CA6" w:rsidP="000D0CA6">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w:t>
      </w:r>
      <w:r w:rsidRPr="00BA4A9E">
        <w:rPr>
          <w:rFonts w:ascii="Times New Roman" w:hAnsi="Times New Roman" w:cs="Times New Roman"/>
          <w:i/>
          <w:sz w:val="20"/>
          <w:szCs w:val="20"/>
        </w:rPr>
        <w:t xml:space="preserve">See </w:t>
      </w:r>
      <w:hyperlink r:id="rId162" w:history="1">
        <w:r w:rsidRPr="00BA4A9E">
          <w:rPr>
            <w:rStyle w:val="Hyperlink"/>
            <w:rFonts w:ascii="Times New Roman" w:hAnsi="Times New Roman" w:cs="Times New Roman"/>
            <w:color w:val="auto"/>
            <w:sz w:val="20"/>
            <w:szCs w:val="20"/>
          </w:rPr>
          <w:t>http://www.ijdh.org/wp-content/uploads/2023/06/HRU-June-2023-FINAL.pdf</w:t>
        </w:r>
      </w:hyperlink>
      <w:r w:rsidRPr="00BA4A9E">
        <w:rPr>
          <w:rFonts w:ascii="Times New Roman" w:hAnsi="Times New Roman" w:cs="Times New Roman"/>
          <w:sz w:val="20"/>
          <w:szCs w:val="20"/>
        </w:rPr>
        <w:t>;</w:t>
      </w:r>
      <w:r w:rsidRPr="00BA4A9E">
        <w:rPr>
          <w:rFonts w:ascii="Times New Roman" w:hAnsi="Times New Roman" w:cs="Times New Roman"/>
          <w:i/>
          <w:iCs/>
          <w:sz w:val="20"/>
          <w:szCs w:val="20"/>
        </w:rPr>
        <w:t xml:space="preserve"> </w:t>
      </w:r>
      <w:r w:rsidRPr="00BA4A9E">
        <w:rPr>
          <w:rFonts w:ascii="Times New Roman" w:hAnsi="Times New Roman" w:cs="Times New Roman"/>
          <w:smallCaps/>
          <w:sz w:val="20"/>
          <w:szCs w:val="20"/>
        </w:rPr>
        <w:t>Robinson, An Unbroken Agony</w:t>
      </w:r>
      <w:r w:rsidRPr="00BA4A9E">
        <w:rPr>
          <w:rFonts w:ascii="Times New Roman" w:hAnsi="Times New Roman" w:cs="Times New Roman"/>
          <w:sz w:val="20"/>
          <w:szCs w:val="20"/>
        </w:rPr>
        <w:t xml:space="preserve">, pp. 18-19. </w:t>
      </w:r>
      <w:r w:rsidRPr="00BA4A9E">
        <w:rPr>
          <w:rFonts w:ascii="Times New Roman" w:hAnsi="Times New Roman" w:cs="Times New Roman"/>
          <w:i/>
          <w:iCs/>
          <w:sz w:val="20"/>
          <w:szCs w:val="20"/>
        </w:rPr>
        <w:t xml:space="preserve">See generally </w:t>
      </w:r>
      <w:r w:rsidRPr="00BA4A9E">
        <w:rPr>
          <w:rFonts w:ascii="Times New Roman" w:hAnsi="Times New Roman" w:cs="Times New Roman"/>
          <w:smallCaps/>
          <w:sz w:val="20"/>
          <w:szCs w:val="20"/>
        </w:rPr>
        <w:t>Randall Robinson, The Debt: What America Owes to Blacks</w:t>
      </w:r>
      <w:r w:rsidRPr="00BA4A9E">
        <w:rPr>
          <w:rFonts w:ascii="Times New Roman" w:hAnsi="Times New Roman" w:cs="Times New Roman"/>
          <w:sz w:val="20"/>
          <w:szCs w:val="20"/>
        </w:rPr>
        <w:t xml:space="preserve"> (Penguin Books 2001) (2000) 183–89 (describing persisting patterns of extractive neocolonialism and policies perpetuating inequality directed at countries in Africa and the Caribbean that maintain subjugation and poverty for Black people); </w:t>
      </w:r>
      <w:r w:rsidRPr="00BA4A9E">
        <w:rPr>
          <w:rFonts w:ascii="Times New Roman" w:hAnsi="Times New Roman" w:cs="Times New Roman"/>
          <w:i/>
          <w:sz w:val="20"/>
          <w:szCs w:val="20"/>
        </w:rPr>
        <w:t>id</w:t>
      </w:r>
      <w:r w:rsidRPr="00BA4A9E">
        <w:rPr>
          <w:rFonts w:ascii="Times New Roman" w:hAnsi="Times New Roman" w:cs="Times New Roman"/>
          <w:sz w:val="20"/>
          <w:szCs w:val="20"/>
        </w:rPr>
        <w:t>. at 186-87 (“American policy, expressed bilaterally and multilaterally through institutions such as the IMF and the World Bank, is designed to keep Africa poor enough to supply [the United States] with cheap commodities and undemanding labor, viable enough to buy our manufactured exports, and unstable enough to provide a market for our guns.”).</w:t>
      </w:r>
    </w:p>
  </w:endnote>
  <w:endnote w:id="193">
    <w:p w14:paraId="728DC480" w14:textId="130852BB" w:rsidR="000362C9" w:rsidRPr="00BA4A9E" w:rsidRDefault="000362C9" w:rsidP="00F13970">
      <w:pPr>
        <w:rPr>
          <w:rFonts w:ascii="Times New Roman" w:hAnsi="Times New Roman" w:cs="Times New Roman"/>
          <w:sz w:val="20"/>
          <w:szCs w:val="20"/>
        </w:rPr>
      </w:pPr>
      <w:r w:rsidRPr="00BA4A9E">
        <w:rPr>
          <w:rStyle w:val="EndnoteReference"/>
          <w:rFonts w:ascii="Times New Roman" w:hAnsi="Times New Roman" w:cs="Times New Roman"/>
          <w:sz w:val="20"/>
          <w:szCs w:val="20"/>
        </w:rPr>
        <w:endnoteRef/>
      </w:r>
      <w:r w:rsidRPr="00BA4A9E">
        <w:rPr>
          <w:rFonts w:ascii="Times New Roman" w:hAnsi="Times New Roman" w:cs="Times New Roman"/>
          <w:sz w:val="20"/>
          <w:szCs w:val="20"/>
        </w:rPr>
        <w:t xml:space="preserve"> Institute for Justice and Democracy in Haiti, </w:t>
      </w:r>
      <w:r w:rsidRPr="00BA4A9E">
        <w:rPr>
          <w:rFonts w:ascii="Times New Roman" w:hAnsi="Times New Roman" w:cs="Times New Roman"/>
          <w:i/>
          <w:iCs/>
          <w:sz w:val="20"/>
          <w:szCs w:val="20"/>
        </w:rPr>
        <w:t>Human Rights and the Rule of Law in Haiti: Key Recent Developments December 2022 through May 2023</w:t>
      </w:r>
      <w:r w:rsidRPr="00BA4A9E">
        <w:rPr>
          <w:rFonts w:ascii="Times New Roman" w:hAnsi="Times New Roman" w:cs="Times New Roman"/>
          <w:sz w:val="20"/>
          <w:szCs w:val="20"/>
        </w:rPr>
        <w:t xml:space="preserve">, </w:t>
      </w:r>
      <w:hyperlink r:id="rId163" w:history="1">
        <w:r w:rsidRPr="00BA4A9E">
          <w:rPr>
            <w:rStyle w:val="Hyperlink"/>
            <w:rFonts w:ascii="Times New Roman" w:hAnsi="Times New Roman" w:cs="Times New Roman"/>
            <w:color w:val="auto"/>
            <w:sz w:val="20"/>
            <w:szCs w:val="20"/>
          </w:rPr>
          <w:t>http://www.ijdh.org/wp-content/uploads/2023/06/HRU-June-2023-FINAL.pdf</w:t>
        </w:r>
      </w:hyperlink>
      <w:r w:rsidRPr="00BA4A9E">
        <w:rPr>
          <w:rFonts w:ascii="Times New Roman" w:hAnsi="Times New Roman" w:cs="Times New Roman"/>
          <w:sz w:val="20"/>
          <w:szCs w:val="20"/>
        </w:rPr>
        <w:t xml:space="preserve"> (last visited Sept. 11, 2023). </w:t>
      </w:r>
    </w:p>
  </w:endnote>
  <w:endnote w:id="194">
    <w:p w14:paraId="5564EF49" w14:textId="608460E2"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0455A6">
        <w:rPr>
          <w:rFonts w:ascii="Times New Roman" w:hAnsi="Times New Roman" w:cs="Times New Roman"/>
        </w:rPr>
        <w:t xml:space="preserve">HRC </w:t>
      </w:r>
      <w:r w:rsidRPr="00BA4A9E">
        <w:rPr>
          <w:rFonts w:ascii="Times New Roman" w:hAnsi="Times New Roman" w:cs="Times New Roman"/>
        </w:rPr>
        <w:t xml:space="preserve">Concluding Observations, 2014, </w:t>
      </w:r>
      <w:r w:rsidR="00390EA6" w:rsidRPr="000455A6">
        <w:rPr>
          <w:rFonts w:ascii="Times New Roman" w:hAnsi="Times New Roman" w:cs="Times New Roman"/>
          <w:i/>
          <w:iCs/>
        </w:rPr>
        <w:t>supra</w:t>
      </w:r>
      <w:r w:rsidR="00390EA6" w:rsidRPr="00BA4A9E">
        <w:rPr>
          <w:rFonts w:ascii="Times New Roman" w:hAnsi="Times New Roman" w:cs="Times New Roman"/>
        </w:rPr>
        <w:t xml:space="preserve"> n. </w:t>
      </w:r>
      <w:r w:rsidR="00433528">
        <w:rPr>
          <w:rFonts w:ascii="Times New Roman" w:hAnsi="Times New Roman" w:cs="Times New Roman"/>
        </w:rPr>
        <w:fldChar w:fldCharType="begin"/>
      </w:r>
      <w:r w:rsidR="00433528">
        <w:rPr>
          <w:rFonts w:ascii="Times New Roman" w:hAnsi="Times New Roman" w:cs="Times New Roman"/>
        </w:rPr>
        <w:instrText xml:space="preserve"> NOTEREF _Ref145401673 \h </w:instrText>
      </w:r>
      <w:r w:rsidR="00433528">
        <w:rPr>
          <w:rFonts w:ascii="Times New Roman" w:hAnsi="Times New Roman" w:cs="Times New Roman"/>
        </w:rPr>
      </w:r>
      <w:r w:rsidR="00433528">
        <w:rPr>
          <w:rFonts w:ascii="Times New Roman" w:hAnsi="Times New Roman" w:cs="Times New Roman"/>
        </w:rPr>
        <w:fldChar w:fldCharType="separate"/>
      </w:r>
      <w:r w:rsidR="00433528">
        <w:rPr>
          <w:rFonts w:ascii="Times New Roman" w:hAnsi="Times New Roman" w:cs="Times New Roman"/>
        </w:rPr>
        <w:t>97</w:t>
      </w:r>
      <w:r w:rsidR="00433528">
        <w:rPr>
          <w:rFonts w:ascii="Times New Roman" w:hAnsi="Times New Roman" w:cs="Times New Roman"/>
        </w:rPr>
        <w:fldChar w:fldCharType="end"/>
      </w:r>
      <w:r w:rsidR="00390EA6" w:rsidRPr="00BA4A9E">
        <w:rPr>
          <w:rFonts w:ascii="Times New Roman" w:hAnsi="Times New Roman" w:cs="Times New Roman"/>
        </w:rPr>
        <w:t>, at ¶</w:t>
      </w:r>
      <w:r w:rsidRPr="00BA4A9E">
        <w:rPr>
          <w:rFonts w:ascii="Times New Roman" w:hAnsi="Times New Roman" w:cs="Times New Roman"/>
        </w:rPr>
        <w:t xml:space="preserve"> 4(a): “The Committee regrets that the State party continues to maintain the position that the Covenant does not apply with respect to individuals under its jurisdiction, but outside its territory, despite the interpretation to the contrary of article 2, paragraph 1, supported by the Committee’s established jurisprudence, the jurisprudence of the International Court of Justice and State practice. The Committee further notes that the State party has only limited avenues to ensure that state and local governments respect and implement the Covenant, and that its provisions have been declared to be non-self-executing at the time of ratification. Taken together, these elements considerably limit the legal reach and practical relevance of the Covenant (art. 2).</w:t>
      </w:r>
    </w:p>
    <w:p w14:paraId="412CFFC5" w14:textId="77777777"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The State party should:</w:t>
      </w:r>
    </w:p>
    <w:p w14:paraId="00873165" w14:textId="4912311C"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(a)</w:t>
      </w:r>
      <w:r w:rsidRPr="00BA4A9E">
        <w:rPr>
          <w:rFonts w:ascii="Times New Roman" w:hAnsi="Times New Roman" w:cs="Times New Roman"/>
        </w:rPr>
        <w:tab/>
        <w:t>Interpret the Covenant in good faith, in accordance with the ordinary meaning to be given to its terms in their context, including subsequent practice, and in the light of the object and purpose of the Covenant, and review its legal position so as to acknowledge the extraterritorial application of the Covenant under certain circumstances, as outlined, inter alia, in the Committee’s general comment No. 31 (2004) on the nature of the general legal obligation imposed on States parties to the Covenant”</w:t>
      </w:r>
    </w:p>
  </w:endnote>
  <w:endnote w:id="195">
    <w:p w14:paraId="0A0CFF65" w14:textId="5B0D011C"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CB1F12" w:rsidRPr="00BA4A9E">
        <w:rPr>
          <w:rFonts w:ascii="Times New Roman" w:hAnsi="Times New Roman" w:cs="Times New Roman"/>
          <w:i/>
          <w:iCs/>
        </w:rPr>
        <w:t xml:space="preserve">Id. </w:t>
      </w:r>
      <w:r w:rsidR="00CB1F12" w:rsidRPr="00BA4A9E">
        <w:rPr>
          <w:rFonts w:ascii="Times New Roman" w:hAnsi="Times New Roman" w:cs="Times New Roman"/>
        </w:rPr>
        <w:t>at ¶</w:t>
      </w:r>
      <w:r w:rsidRPr="00BA4A9E">
        <w:rPr>
          <w:rFonts w:ascii="Times New Roman" w:hAnsi="Times New Roman" w:cs="Times New Roman"/>
        </w:rPr>
        <w:t xml:space="preserve"> 13: “While noting the measures taken to ensure compliance with the principle of non-refoulement in cases of extradition, expulsion, return and transfer of individuals to other countries, the Committee is concerned about the State party’s reliance on diplomatic assurances that do not provide sufficient safeguards. It is also concerned at the State party’s position that the principle of non-refoulement is not covered by the Covenant, despite the Committee’s established jurisprudence and subsequent State practice (arts. 6 and 7). </w:t>
      </w:r>
    </w:p>
    <w:p w14:paraId="29E5B8F2" w14:textId="450B502A"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The State party should strictly apply the absolute prohibition against refoulement under articles 6 and 7 of the Covenant; continue exercising the utmost care in evaluating diplomatic assurances, and refrain from relying on such assurances where it is not in a position to effectively monitor the treatment of such persons after their extradition, expulsion, transfer or return to other countries; and take appropriate remedial action when assurances are not fulfilled.”</w:t>
      </w:r>
    </w:p>
  </w:endnote>
  <w:endnote w:id="196">
    <w:p w14:paraId="67C59B5A" w14:textId="4A9ED30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CB1F12" w:rsidRPr="000455A6">
        <w:rPr>
          <w:rFonts w:ascii="Times New Roman" w:hAnsi="Times New Roman" w:cs="Times New Roman"/>
          <w:i/>
          <w:iCs/>
        </w:rPr>
        <w:t>Id.</w:t>
      </w:r>
      <w:r w:rsidRPr="00BA4A9E">
        <w:rPr>
          <w:rFonts w:ascii="Times New Roman" w:hAnsi="Times New Roman" w:cs="Times New Roman"/>
        </w:rPr>
        <w:t xml:space="preserve"> at</w:t>
      </w:r>
      <w:r w:rsidRPr="00BA4A9E">
        <w:rPr>
          <w:rFonts w:ascii="Times New Roman" w:hAnsi="Times New Roman" w:cs="Times New Roman"/>
          <w:i/>
          <w:iCs/>
        </w:rPr>
        <w:t xml:space="preserve"> </w:t>
      </w:r>
      <w:r w:rsidRPr="00BA4A9E">
        <w:rPr>
          <w:rFonts w:ascii="Times New Roman" w:hAnsi="Times New Roman" w:cs="Times New Roman"/>
        </w:rPr>
        <w:t>¶ 15</w:t>
      </w:r>
      <w:r w:rsidR="00C51DAC">
        <w:rPr>
          <w:rFonts w:ascii="Times New Roman" w:hAnsi="Times New Roman" w:cs="Times New Roman"/>
        </w:rPr>
        <w:t xml:space="preserve">: </w:t>
      </w:r>
      <w:r w:rsidRPr="00BA4A9E">
        <w:rPr>
          <w:rFonts w:ascii="Times New Roman" w:hAnsi="Times New Roman" w:cs="Times New Roman"/>
        </w:rPr>
        <w:t>“The Committee is concerned that under certain circumstances mandatory detention of immigrants for prolonged periods of time without regard to the individual case may raise issues under article 9 of the Covenant. It is also concerned about the mandatory nature of the deportation of foreigners, without regard to elements such as the seriousness of crimes and misdemeanors committed, the length of lawful stay in the United States, health status, family ties and the fate of spouses and children staying behind, or the humanitarian situation in the country of destination. Finally, the Committee expresses concern about the exclusion of millions of undocumented immigrants and their children from coverage under the Affordable Care Act and the limited coverage of undocumented immigrants and immigrants residing lawfully in the United States for less than five years by Medicare and Children Health Insurance, all resulting in difficulties for immigrants in accessing adequate health care (arts. 7, 9, 13, 17, 24 and 26).</w:t>
      </w:r>
    </w:p>
    <w:p w14:paraId="00730A1B" w14:textId="2C9430F9"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The Committee recommends that the State party review its policies of mandatory detention and deportation of certain categories of immigrants in order to allow for individualized decisions; take measures to ensure that affected persons have access to legal representation; and identify ways to facilitate access to adequate health care, including reproductive health-care services, by undocumented immigrants and immigrants and their families who have been residing lawfully in the United States for less than five years.”</w:t>
      </w:r>
    </w:p>
  </w:endnote>
  <w:endnote w:id="197">
    <w:p w14:paraId="5EEB0287" w14:textId="1623995B"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at ¶ 20</w:t>
      </w:r>
      <w:r w:rsidR="00C51DAC">
        <w:rPr>
          <w:rFonts w:ascii="Times New Roman" w:hAnsi="Times New Roman" w:cs="Times New Roman"/>
        </w:rPr>
        <w:t xml:space="preserve">: </w:t>
      </w:r>
      <w:r w:rsidRPr="00BA4A9E">
        <w:rPr>
          <w:rFonts w:ascii="Times New Roman" w:hAnsi="Times New Roman" w:cs="Times New Roman"/>
        </w:rPr>
        <w:t>“The Committee is concerned about the continued practice of holding persons deprived of their liberty, including, under certain circumstances, juveniles and persons with mental disabilities, in prolonged solitary confinement and about detainees being held in solitary confinement in pretrial detention. The Committee is furthermore concerned about poor detention conditions in death-row facilities (arts. 7, 9, 10, 17 and 24).</w:t>
      </w:r>
    </w:p>
    <w:p w14:paraId="2C2399E4" w14:textId="63FACA60"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The State party should monitor the conditions of detention in prisons, including private detention facilities, with a view to ensuring that persons deprived of their liberty are treated in accordance with the requirements of articles 7 and 10 of the Covenant and the Standard Minimum Rules for the Treatment of Prisoners. It should impose strict limits on the use of solitary confinement, both pretrial and following conviction, in the federal system as well as nationwide, and abolish the practice in respect of anyone under the age of 18 and prisoners with serious mental illness. It should also bring the detention conditions of prisoners on death row into line with international standards.”</w:t>
      </w:r>
    </w:p>
  </w:endnote>
  <w:endnote w:id="198">
    <w:p w14:paraId="1D25688D" w14:textId="44AF85F3"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CB1F12" w:rsidRPr="00BA4A9E">
        <w:rPr>
          <w:rFonts w:ascii="Times New Roman" w:hAnsi="Times New Roman" w:cs="Times New Roman"/>
          <w:i/>
          <w:iCs/>
        </w:rPr>
        <w:t>Id</w:t>
      </w:r>
      <w:r w:rsidR="00CB1F12" w:rsidRPr="00BA4A9E">
        <w:rPr>
          <w:rFonts w:ascii="Times New Roman" w:hAnsi="Times New Roman" w:cs="Times New Roman"/>
        </w:rPr>
        <w:t xml:space="preserve">. at ¶ </w:t>
      </w:r>
      <w:r w:rsidRPr="00BA4A9E">
        <w:rPr>
          <w:rFonts w:ascii="Times New Roman" w:hAnsi="Times New Roman" w:cs="Times New Roman"/>
        </w:rPr>
        <w:t xml:space="preserve"> 11: “The Committee is concerned about the still high number of fatal shootings by certain police forces, including, for instance, in Chicago, and reports of excessive use of force by certain law enforcement officers, including the deadly use of tasers, which has a disparate impact on African Americans, and use of lethal force by Customs and Border Protection (CBP) officers at the United States-Mexico border (arts. 2, 6, 7 and 26).</w:t>
      </w:r>
    </w:p>
    <w:p w14:paraId="3F28A6BD" w14:textId="77777777"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The State Party should:</w:t>
      </w:r>
    </w:p>
    <w:p w14:paraId="15917F5F" w14:textId="77777777"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ab/>
        <w:t>(a)</w:t>
      </w:r>
      <w:r w:rsidRPr="00BA4A9E">
        <w:rPr>
          <w:rFonts w:ascii="Times New Roman" w:hAnsi="Times New Roman" w:cs="Times New Roman"/>
        </w:rPr>
        <w:tab/>
        <w:t>Step up its efforts to prevent the excessive use of force by law enforcement officers by ensuring compliance with the 1990 Basic Principles on the Use of Force and Firearms by Law Enforcement Officials;</w:t>
      </w:r>
    </w:p>
    <w:p w14:paraId="09D029C5" w14:textId="77777777"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ab/>
        <w:t>(b)</w:t>
      </w:r>
      <w:r w:rsidRPr="00BA4A9E">
        <w:rPr>
          <w:rFonts w:ascii="Times New Roman" w:hAnsi="Times New Roman" w:cs="Times New Roman"/>
        </w:rPr>
        <w:tab/>
        <w:t xml:space="preserve">Ensure that the new CBP directive on the use of deadly force is applied and enforced in practice; and </w:t>
      </w:r>
    </w:p>
    <w:p w14:paraId="752AE4A3" w14:textId="2D225B29" w:rsidR="000362C9" w:rsidRPr="00BA4A9E" w:rsidRDefault="000362C9" w:rsidP="00F13970">
      <w:pPr>
        <w:pStyle w:val="EndnoteText"/>
        <w:ind w:firstLine="720"/>
        <w:rPr>
          <w:rFonts w:ascii="Times New Roman" w:hAnsi="Times New Roman" w:cs="Times New Roman"/>
        </w:rPr>
      </w:pPr>
      <w:r w:rsidRPr="00BA4A9E">
        <w:rPr>
          <w:rFonts w:ascii="Times New Roman" w:hAnsi="Times New Roman" w:cs="Times New Roman"/>
        </w:rPr>
        <w:t>(c)</w:t>
      </w:r>
      <w:r w:rsidRPr="00BA4A9E">
        <w:rPr>
          <w:rFonts w:ascii="Times New Roman" w:hAnsi="Times New Roman" w:cs="Times New Roman"/>
        </w:rPr>
        <w:tab/>
        <w:t>Improve reporting of violations involving the excessive use of force and ensure that reported cases of excessive use of force are effectively investigated; that alleged perpetrators are prosecuted and, if convicted, punished with appropriate sanctions; that investigations are re-opened when new evidence becomes available; and that victims or their families are provided with adequate compensation.”</w:t>
      </w:r>
    </w:p>
  </w:endnote>
  <w:endnote w:id="199">
    <w:p w14:paraId="030D477C" w14:textId="0C1B721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Id</w:t>
      </w:r>
      <w:r w:rsidRPr="00BA4A9E">
        <w:rPr>
          <w:rFonts w:ascii="Times New Roman" w:hAnsi="Times New Roman" w:cs="Times New Roman"/>
        </w:rPr>
        <w:t>. at ¶ 12</w:t>
      </w:r>
      <w:r w:rsidR="00C51DAC">
        <w:rPr>
          <w:rFonts w:ascii="Times New Roman" w:hAnsi="Times New Roman" w:cs="Times New Roman"/>
        </w:rPr>
        <w:t xml:space="preserve">: </w:t>
      </w:r>
      <w:r w:rsidRPr="00BA4A9E">
        <w:rPr>
          <w:rFonts w:ascii="Times New Roman" w:hAnsi="Times New Roman" w:cs="Times New Roman"/>
        </w:rPr>
        <w:t>“While noting that acts of torture may be prosecuted in a variety of ways at both the federal and state levels, the Committee is concerned about the lack of comprehensive legislation criminalizing all forms of torture, including mental torture, committed within the territory of the State party. The Committee is also concerned about the inability of torture victims to claim compensation from the State party and its officials due to the application of broad doctrines of legal privilege and immunity (arts. 2 and 7).</w:t>
      </w:r>
    </w:p>
    <w:p w14:paraId="4515C6FA" w14:textId="1E2C440F" w:rsidR="000362C9" w:rsidRPr="00BA4A9E" w:rsidRDefault="000362C9" w:rsidP="00F13970">
      <w:pPr>
        <w:pStyle w:val="EndnoteText"/>
        <w:rPr>
          <w:rFonts w:ascii="Times New Roman" w:hAnsi="Times New Roman" w:cs="Times New Roman"/>
        </w:rPr>
      </w:pPr>
      <w:r w:rsidRPr="00BA4A9E">
        <w:rPr>
          <w:rFonts w:ascii="Times New Roman" w:hAnsi="Times New Roman" w:cs="Times New Roman"/>
        </w:rPr>
        <w:t>The State party should enact legislation to explicitly prohibit torture, including mental torture, wherever committed, and ensure that the law provides for penalties commensurate with the gravity of such acts, whether committed by public officials or other persons acting on behalf of the State, or by private persons. The State party should ensure the availability of compensation to victims of torture.”</w:t>
      </w:r>
    </w:p>
  </w:endnote>
  <w:endnote w:id="200">
    <w:p w14:paraId="31859C42" w14:textId="4DEBF21D" w:rsidR="00223161" w:rsidRPr="00223161" w:rsidRDefault="00223161">
      <w:pPr>
        <w:pStyle w:val="EndnoteText"/>
        <w:rPr>
          <w:rFonts w:ascii="Times New Roman" w:hAnsi="Times New Roman" w:cs="Times New Roman"/>
        </w:rPr>
      </w:pPr>
      <w:r>
        <w:rPr>
          <w:rStyle w:val="EndnoteReference"/>
        </w:rPr>
        <w:endnoteRef/>
      </w:r>
      <w:r>
        <w:t xml:space="preserve"> </w:t>
      </w:r>
      <w:r w:rsidRPr="00BA4A9E">
        <w:rPr>
          <w:rFonts w:ascii="Times New Roman" w:hAnsi="Times New Roman" w:cs="Times New Roman"/>
        </w:rPr>
        <w:t xml:space="preserve">CERD, </w:t>
      </w:r>
      <w:r w:rsidRPr="00BA4A9E">
        <w:rPr>
          <w:rFonts w:ascii="Times New Roman" w:hAnsi="Times New Roman" w:cs="Times New Roman"/>
          <w:i/>
          <w:iCs/>
        </w:rPr>
        <w:t>Situation of migrants, asylum seekers and refugees of Haitian origin in the Americas region</w:t>
      </w:r>
      <w:r w:rsidRPr="00BA4A9E">
        <w:rPr>
          <w:rFonts w:ascii="Times New Roman" w:hAnsi="Times New Roman" w:cs="Times New Roman"/>
        </w:rPr>
        <w:t xml:space="preserve"> (Apr. 28, 2023), </w:t>
      </w:r>
      <w:r w:rsidRPr="00BA4A9E">
        <w:rPr>
          <w:rFonts w:ascii="Times New Roman" w:hAnsi="Times New Roman" w:cs="Times New Roman"/>
          <w:i/>
          <w:iCs/>
        </w:rPr>
        <w:t>available at</w:t>
      </w:r>
      <w:r w:rsidRPr="00BA4A9E">
        <w:rPr>
          <w:rFonts w:ascii="Times New Roman" w:hAnsi="Times New Roman" w:cs="Times New Roman"/>
        </w:rPr>
        <w:t xml:space="preserve"> </w:t>
      </w:r>
      <w:hyperlink r:id="rId164" w:history="1">
        <w:r w:rsidRPr="00BA4A9E">
          <w:rPr>
            <w:rStyle w:val="Hyperlink"/>
            <w:rFonts w:ascii="Times New Roman" w:hAnsi="Times New Roman" w:cs="Times New Roman"/>
            <w:color w:val="auto"/>
          </w:rPr>
          <w:t>https://tbinternet.ohchr.org/_layouts/15/treatybodyexternal/Download.aspx?symbolno=INT%2FCERD%2FSWA%2F9755&amp;Lang=en</w:t>
        </w:r>
      </w:hyperlink>
      <w:r w:rsidRPr="00BA4A9E">
        <w:rPr>
          <w:rFonts w:ascii="Times New Roman" w:hAnsi="Times New Roman" w:cs="Times New Roman"/>
        </w:rPr>
        <w:t>.</w:t>
      </w:r>
    </w:p>
  </w:endnote>
  <w:endnote w:id="201">
    <w:p w14:paraId="7D96DE3F" w14:textId="23E66025" w:rsidR="000362C9" w:rsidRPr="00BA4A9E" w:rsidRDefault="000362C9" w:rsidP="00F13970">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000455A6" w:rsidRPr="000455A6">
        <w:rPr>
          <w:rFonts w:ascii="Times New Roman" w:hAnsi="Times New Roman" w:cs="Times New Roman"/>
        </w:rPr>
        <w:t xml:space="preserve">Felipe González Morales (Special Rapporteur on the human rights of migrants), </w:t>
      </w:r>
      <w:r w:rsidR="000455A6" w:rsidRPr="000455A6">
        <w:rPr>
          <w:rFonts w:ascii="Times New Roman" w:hAnsi="Times New Roman" w:cs="Times New Roman"/>
          <w:i/>
          <w:iCs/>
        </w:rPr>
        <w:t>Report on means to address the human rights impact of pushbacks of migrants on land and at sea</w:t>
      </w:r>
      <w:r w:rsidR="000455A6">
        <w:rPr>
          <w:rFonts w:ascii="Times New Roman" w:hAnsi="Times New Roman" w:cs="Times New Roman"/>
        </w:rPr>
        <w:t xml:space="preserve">, </w:t>
      </w:r>
      <w:r w:rsidR="000455A6" w:rsidRPr="000455A6">
        <w:rPr>
          <w:rFonts w:ascii="Times New Roman" w:hAnsi="Times New Roman" w:cs="Times New Roman"/>
          <w:i/>
          <w:iCs/>
        </w:rPr>
        <w:t>supra</w:t>
      </w:r>
      <w:r w:rsidR="000455A6">
        <w:rPr>
          <w:rFonts w:ascii="Times New Roman" w:hAnsi="Times New Roman" w:cs="Times New Roman"/>
        </w:rPr>
        <w:t xml:space="preserve"> n.</w:t>
      </w:r>
      <w:r w:rsidR="00433528">
        <w:rPr>
          <w:rFonts w:ascii="Times New Roman" w:hAnsi="Times New Roman" w:cs="Times New Roman"/>
        </w:rPr>
        <w:t xml:space="preserve"> </w:t>
      </w:r>
      <w:r w:rsidR="00433528">
        <w:rPr>
          <w:rFonts w:ascii="Times New Roman" w:hAnsi="Times New Roman" w:cs="Times New Roman"/>
        </w:rPr>
        <w:fldChar w:fldCharType="begin"/>
      </w:r>
      <w:r w:rsidR="00433528">
        <w:rPr>
          <w:rFonts w:ascii="Times New Roman" w:hAnsi="Times New Roman" w:cs="Times New Roman"/>
        </w:rPr>
        <w:instrText xml:space="preserve"> NOTEREF _Ref145401721 \h </w:instrText>
      </w:r>
      <w:r w:rsidR="00433528">
        <w:rPr>
          <w:rFonts w:ascii="Times New Roman" w:hAnsi="Times New Roman" w:cs="Times New Roman"/>
        </w:rPr>
      </w:r>
      <w:r w:rsidR="00433528">
        <w:rPr>
          <w:rFonts w:ascii="Times New Roman" w:hAnsi="Times New Roman" w:cs="Times New Roman"/>
        </w:rPr>
        <w:fldChar w:fldCharType="separate"/>
      </w:r>
      <w:r w:rsidR="00433528">
        <w:rPr>
          <w:rFonts w:ascii="Times New Roman" w:hAnsi="Times New Roman" w:cs="Times New Roman"/>
        </w:rPr>
        <w:t>74</w:t>
      </w:r>
      <w:r w:rsidR="00433528">
        <w:rPr>
          <w:rFonts w:ascii="Times New Roman" w:hAnsi="Times New Roman" w:cs="Times New Roman"/>
        </w:rPr>
        <w:fldChar w:fldCharType="end"/>
      </w:r>
      <w:r w:rsidR="000455A6">
        <w:rPr>
          <w:rFonts w:ascii="Times New Roman" w:hAnsi="Times New Roman" w:cs="Times New Roman"/>
        </w:rPr>
        <w:t xml:space="preserve">, at </w:t>
      </w:r>
      <w:r w:rsidR="00CB1F12" w:rsidRPr="00BA4A9E">
        <w:rPr>
          <w:rFonts w:ascii="Times New Roman" w:hAnsi="Times New Roman" w:cs="Times New Roman"/>
        </w:rPr>
        <w:t xml:space="preserve">¶ </w:t>
      </w:r>
      <w:r w:rsidRPr="00BA4A9E">
        <w:rPr>
          <w:rFonts w:ascii="Times New Roman" w:hAnsi="Times New Roman" w:cs="Times New Roman"/>
        </w:rPr>
        <w:t>107 (m)</w:t>
      </w:r>
      <w:r w:rsidR="000455A6">
        <w:rPr>
          <w:rFonts w:ascii="Times New Roman" w:hAnsi="Times New Roman" w:cs="Times New Roman"/>
        </w:rPr>
        <w:t>.</w:t>
      </w:r>
    </w:p>
  </w:endnote>
  <w:endnote w:id="202">
    <w:p w14:paraId="6AF28AF1" w14:textId="77777777" w:rsidR="006911CB" w:rsidRPr="00BA4A9E" w:rsidRDefault="006911CB" w:rsidP="006911CB">
      <w:pPr>
        <w:pStyle w:val="EndnoteText"/>
        <w:rPr>
          <w:rFonts w:ascii="Times New Roman" w:hAnsi="Times New Roman" w:cs="Times New Roman"/>
        </w:rPr>
      </w:pPr>
      <w:r w:rsidRPr="00BA4A9E">
        <w:rPr>
          <w:rStyle w:val="EndnoteReference"/>
          <w:rFonts w:ascii="Times New Roman" w:hAnsi="Times New Roman" w:cs="Times New Roman"/>
        </w:rPr>
        <w:endnoteRef/>
      </w:r>
      <w:r w:rsidRPr="00BA4A9E">
        <w:rPr>
          <w:rFonts w:ascii="Times New Roman" w:hAnsi="Times New Roman" w:cs="Times New Roman"/>
        </w:rPr>
        <w:t xml:space="preserve"> Human Rights Committee, </w:t>
      </w:r>
      <w:r w:rsidRPr="00BA4A9E">
        <w:rPr>
          <w:rFonts w:ascii="Times New Roman" w:hAnsi="Times New Roman" w:cs="Times New Roman"/>
          <w:i/>
          <w:iCs/>
        </w:rPr>
        <w:t>Concluding observations on the fourth periodic report of Panama</w:t>
      </w:r>
      <w:r w:rsidRPr="00BA4A9E">
        <w:rPr>
          <w:rFonts w:ascii="Times New Roman" w:hAnsi="Times New Roman" w:cs="Times New Roman"/>
        </w:rPr>
        <w:t xml:space="preserve">, UN Doc. CCPR/C/PAN/CO/4 (March 24, 2023), </w:t>
      </w:r>
      <w:r w:rsidRPr="00BA4A9E">
        <w:rPr>
          <w:rFonts w:ascii="Times New Roman" w:hAnsi="Times New Roman" w:cs="Times New Roman"/>
          <w:i/>
          <w:iCs/>
        </w:rPr>
        <w:t xml:space="preserve">available at </w:t>
      </w:r>
      <w:hyperlink r:id="rId165" w:history="1">
        <w:r w:rsidRPr="00BA4A9E">
          <w:rPr>
            <w:rStyle w:val="Hyperlink"/>
            <w:rFonts w:ascii="Times New Roman" w:hAnsi="Times New Roman" w:cs="Times New Roman"/>
            <w:color w:val="auto"/>
          </w:rPr>
          <w:t>https://tbinternet.ohchr.org/_layouts/15/treatybodyexternal/Download.aspx?symbolno=CCPR%2FC%2FPAN%2FCO%2F4&amp;Lang=en</w:t>
        </w:r>
      </w:hyperlink>
      <w:r w:rsidRPr="00BA4A9E">
        <w:rPr>
          <w:rFonts w:ascii="Times New Roman" w:hAnsi="Times New Roman" w:cs="Times New Roman"/>
        </w:rPr>
        <w:t xml:space="preserve">  </w:t>
      </w:r>
    </w:p>
    <w:p w14:paraId="75C94166" w14:textId="77777777" w:rsidR="006911CB" w:rsidRPr="00BA4A9E" w:rsidRDefault="006911CB" w:rsidP="006911CB">
      <w:pPr>
        <w:kinsoku w:val="0"/>
        <w:overflowPunct w:val="0"/>
        <w:autoSpaceDE w:val="0"/>
        <w:autoSpaceDN w:val="0"/>
        <w:adjustRightInd w:val="0"/>
        <w:ind w:left="39"/>
        <w:rPr>
          <w:rFonts w:ascii="Times New Roman" w:hAnsi="Times New Roman" w:cs="Times New Roman"/>
          <w:sz w:val="20"/>
          <w:szCs w:val="20"/>
        </w:rPr>
      </w:pPr>
      <w:r w:rsidRPr="00BA4A9E">
        <w:rPr>
          <w:rFonts w:ascii="Times New Roman" w:hAnsi="Times New Roman" w:cs="Times New Roman"/>
          <w:sz w:val="20"/>
          <w:szCs w:val="20"/>
        </w:rPr>
        <w:t>Recommendations include:</w:t>
      </w:r>
    </w:p>
    <w:p w14:paraId="44DEDE04" w14:textId="77777777" w:rsidR="006911CB" w:rsidRPr="00BA4A9E" w:rsidRDefault="006911CB" w:rsidP="006911CB">
      <w:pPr>
        <w:numPr>
          <w:ilvl w:val="0"/>
          <w:numId w:val="49"/>
        </w:numPr>
        <w:tabs>
          <w:tab w:val="left" w:pos="467"/>
        </w:tabs>
        <w:kinsoku w:val="0"/>
        <w:overflowPunct w:val="0"/>
        <w:autoSpaceDE w:val="0"/>
        <w:autoSpaceDN w:val="0"/>
        <w:adjustRightInd w:val="0"/>
        <w:spacing w:before="1"/>
        <w:ind w:left="467" w:right="124"/>
        <w:rPr>
          <w:rFonts w:ascii="Times New Roman" w:hAnsi="Times New Roman" w:cs="Times New Roman"/>
          <w:sz w:val="20"/>
          <w:szCs w:val="20"/>
        </w:rPr>
      </w:pPr>
      <w:r w:rsidRPr="00BA4A9E">
        <w:rPr>
          <w:rFonts w:ascii="Times New Roman" w:hAnsi="Times New Roman" w:cs="Times New Roman"/>
          <w:sz w:val="20"/>
          <w:szCs w:val="20"/>
        </w:rPr>
        <w:t>Redouble</w:t>
      </w:r>
      <w:r w:rsidRPr="00BA4A9E">
        <w:rPr>
          <w:rFonts w:ascii="Times New Roman" w:hAnsi="Times New Roman" w:cs="Times New Roman"/>
          <w:spacing w:val="20"/>
          <w:sz w:val="20"/>
          <w:szCs w:val="20"/>
        </w:rPr>
        <w:t xml:space="preserve"> </w:t>
      </w:r>
      <w:r w:rsidRPr="00BA4A9E">
        <w:rPr>
          <w:rFonts w:ascii="Times New Roman" w:hAnsi="Times New Roman" w:cs="Times New Roman"/>
          <w:sz w:val="20"/>
          <w:szCs w:val="20"/>
        </w:rPr>
        <w:t>efforts</w:t>
      </w:r>
      <w:r w:rsidRPr="00BA4A9E">
        <w:rPr>
          <w:rFonts w:ascii="Times New Roman" w:hAnsi="Times New Roman" w:cs="Times New Roman"/>
          <w:spacing w:val="19"/>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prevent</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combat</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all</w:t>
      </w:r>
      <w:r w:rsidRPr="00BA4A9E">
        <w:rPr>
          <w:rFonts w:ascii="Times New Roman" w:hAnsi="Times New Roman" w:cs="Times New Roman"/>
          <w:spacing w:val="20"/>
          <w:sz w:val="20"/>
          <w:szCs w:val="20"/>
        </w:rPr>
        <w:t xml:space="preserve"> </w:t>
      </w:r>
      <w:r w:rsidRPr="00BA4A9E">
        <w:rPr>
          <w:rFonts w:ascii="Times New Roman" w:hAnsi="Times New Roman" w:cs="Times New Roman"/>
          <w:sz w:val="20"/>
          <w:szCs w:val="20"/>
        </w:rPr>
        <w:t>forms</w:t>
      </w:r>
      <w:r w:rsidRPr="00BA4A9E">
        <w:rPr>
          <w:rFonts w:ascii="Times New Roman" w:hAnsi="Times New Roman" w:cs="Times New Roman"/>
          <w:spacing w:val="19"/>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violence</w:t>
      </w:r>
      <w:r w:rsidRPr="00BA4A9E">
        <w:rPr>
          <w:rFonts w:ascii="Times New Roman" w:hAnsi="Times New Roman" w:cs="Times New Roman"/>
          <w:spacing w:val="20"/>
          <w:sz w:val="20"/>
          <w:szCs w:val="20"/>
        </w:rPr>
        <w:t xml:space="preserve"> </w:t>
      </w:r>
      <w:r w:rsidRPr="00BA4A9E">
        <w:rPr>
          <w:rFonts w:ascii="Times New Roman" w:hAnsi="Times New Roman" w:cs="Times New Roman"/>
          <w:sz w:val="20"/>
          <w:szCs w:val="20"/>
        </w:rPr>
        <w:t>against</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migrant</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women</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Darién</w:t>
      </w:r>
      <w:r w:rsidRPr="00BA4A9E">
        <w:rPr>
          <w:rFonts w:ascii="Times New Roman" w:hAnsi="Times New Roman" w:cs="Times New Roman"/>
          <w:spacing w:val="19"/>
          <w:sz w:val="20"/>
          <w:szCs w:val="20"/>
        </w:rPr>
        <w:t xml:space="preserve"> </w:t>
      </w:r>
      <w:r w:rsidRPr="00BA4A9E">
        <w:rPr>
          <w:rFonts w:ascii="Times New Roman" w:hAnsi="Times New Roman" w:cs="Times New Roman"/>
          <w:sz w:val="20"/>
          <w:szCs w:val="20"/>
        </w:rPr>
        <w:t>Gap</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and provide</w:t>
      </w:r>
      <w:r w:rsidRPr="00BA4A9E">
        <w:rPr>
          <w:rFonts w:ascii="Times New Roman" w:hAnsi="Times New Roman" w:cs="Times New Roman"/>
          <w:spacing w:val="15"/>
          <w:sz w:val="20"/>
          <w:szCs w:val="20"/>
        </w:rPr>
        <w:t xml:space="preserve"> </w:t>
      </w:r>
      <w:r w:rsidRPr="00BA4A9E">
        <w:rPr>
          <w:rFonts w:ascii="Times New Roman" w:hAnsi="Times New Roman" w:cs="Times New Roman"/>
          <w:sz w:val="20"/>
          <w:szCs w:val="20"/>
        </w:rPr>
        <w:t>adequate</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protection</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victims;</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this</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regard,</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is</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encouraged</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implement</w:t>
      </w:r>
      <w:r w:rsidRPr="00BA4A9E">
        <w:rPr>
          <w:rFonts w:ascii="Times New Roman" w:hAnsi="Times New Roman" w:cs="Times New Roman"/>
          <w:spacing w:val="17"/>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18"/>
          <w:sz w:val="20"/>
          <w:szCs w:val="20"/>
        </w:rPr>
        <w:t xml:space="preserve"> </w:t>
      </w:r>
      <w:r w:rsidRPr="00BA4A9E">
        <w:rPr>
          <w:rFonts w:ascii="Times New Roman" w:hAnsi="Times New Roman" w:cs="Times New Roman"/>
          <w:sz w:val="20"/>
          <w:szCs w:val="20"/>
        </w:rPr>
        <w:t>recommendations made in February 2022 by the</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Committee on the Elimination of Discrimination against Women.</w:t>
      </w:r>
      <w:r w:rsidRPr="00BA4A9E">
        <w:rPr>
          <w:rFonts w:ascii="Times New Roman" w:hAnsi="Times New Roman" w:cs="Times New Roman"/>
          <w:spacing w:val="13"/>
          <w:sz w:val="20"/>
          <w:szCs w:val="20"/>
        </w:rPr>
        <w:t xml:space="preserve"> </w:t>
      </w:r>
      <w:r w:rsidRPr="00BA4A9E">
        <w:rPr>
          <w:rFonts w:ascii="Times New Roman" w:hAnsi="Times New Roman" w:cs="Times New Roman"/>
          <w:sz w:val="20"/>
          <w:szCs w:val="20"/>
        </w:rPr>
        <w:t>Para. 18 (e).</w:t>
      </w:r>
    </w:p>
    <w:p w14:paraId="34F811F3"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21"/>
        <w:rPr>
          <w:rFonts w:ascii="Times New Roman" w:hAnsi="Times New Roman" w:cs="Times New Roman"/>
          <w:sz w:val="20"/>
          <w:szCs w:val="20"/>
        </w:rPr>
      </w:pPr>
      <w:r w:rsidRPr="00BA4A9E">
        <w:rPr>
          <w:rFonts w:ascii="Times New Roman" w:hAnsi="Times New Roman" w:cs="Times New Roman"/>
          <w:sz w:val="20"/>
          <w:szCs w:val="20"/>
        </w:rPr>
        <w:t>Ensure</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that cases of violence</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against</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women,</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including</w:t>
      </w:r>
      <w:r w:rsidRPr="00BA4A9E">
        <w:rPr>
          <w:rFonts w:ascii="Times New Roman" w:hAnsi="Times New Roman" w:cs="Times New Roman"/>
          <w:spacing w:val="67"/>
          <w:sz w:val="20"/>
          <w:szCs w:val="20"/>
        </w:rPr>
        <w:t xml:space="preserve"> </w:t>
      </w:r>
      <w:r w:rsidRPr="00BA4A9E">
        <w:rPr>
          <w:rFonts w:ascii="Times New Roman" w:hAnsi="Times New Roman" w:cs="Times New Roman"/>
          <w:sz w:val="20"/>
          <w:szCs w:val="20"/>
        </w:rPr>
        <w:t>against</w:t>
      </w:r>
      <w:r w:rsidRPr="00BA4A9E">
        <w:rPr>
          <w:rFonts w:ascii="Times New Roman" w:hAnsi="Times New Roman" w:cs="Times New Roman"/>
          <w:spacing w:val="67"/>
          <w:sz w:val="20"/>
          <w:szCs w:val="20"/>
        </w:rPr>
        <w:t xml:space="preserve"> </w:t>
      </w:r>
      <w:r w:rsidRPr="00BA4A9E">
        <w:rPr>
          <w:rFonts w:ascii="Times New Roman" w:hAnsi="Times New Roman" w:cs="Times New Roman"/>
          <w:sz w:val="20"/>
          <w:szCs w:val="20"/>
        </w:rPr>
        <w:t>migrant women,</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are promptly</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effectively investigated, that perpetrators are punished and that victims obtain comprehensive reparations, and have access to means of</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protection, including adequate shelters and counselling centers and</w:t>
      </w:r>
      <w:r w:rsidRPr="00BA4A9E">
        <w:rPr>
          <w:rFonts w:ascii="Times New Roman" w:hAnsi="Times New Roman" w:cs="Times New Roman"/>
          <w:spacing w:val="80"/>
          <w:w w:val="150"/>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system. Para. 18 (b)</w:t>
      </w:r>
    </w:p>
    <w:p w14:paraId="2BD57098"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23"/>
        <w:rPr>
          <w:rFonts w:ascii="Times New Roman" w:hAnsi="Times New Roman" w:cs="Times New Roman"/>
          <w:sz w:val="20"/>
          <w:szCs w:val="20"/>
        </w:rPr>
      </w:pPr>
      <w:r w:rsidRPr="00BA4A9E">
        <w:rPr>
          <w:rFonts w:ascii="Times New Roman" w:hAnsi="Times New Roman" w:cs="Times New Roman"/>
          <w:sz w:val="20"/>
          <w:szCs w:val="20"/>
        </w:rPr>
        <w:t>Intensify</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its</w:t>
      </w:r>
      <w:r w:rsidRPr="00BA4A9E">
        <w:rPr>
          <w:rFonts w:ascii="Times New Roman" w:hAnsi="Times New Roman" w:cs="Times New Roman"/>
          <w:spacing w:val="6"/>
          <w:sz w:val="20"/>
          <w:szCs w:val="20"/>
        </w:rPr>
        <w:t xml:space="preserve"> </w:t>
      </w:r>
      <w:r w:rsidRPr="00BA4A9E">
        <w:rPr>
          <w:rFonts w:ascii="Times New Roman" w:hAnsi="Times New Roman" w:cs="Times New Roman"/>
          <w:sz w:val="20"/>
          <w:szCs w:val="20"/>
        </w:rPr>
        <w:t>efforts</w:t>
      </w:r>
      <w:r w:rsidRPr="00BA4A9E">
        <w:rPr>
          <w:rFonts w:ascii="Times New Roman" w:hAnsi="Times New Roman" w:cs="Times New Roman"/>
          <w:spacing w:val="6"/>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65"/>
          <w:sz w:val="20"/>
          <w:szCs w:val="20"/>
        </w:rPr>
        <w:t xml:space="preserve"> </w:t>
      </w:r>
      <w:r w:rsidRPr="00BA4A9E">
        <w:rPr>
          <w:rFonts w:ascii="Times New Roman" w:hAnsi="Times New Roman" w:cs="Times New Roman"/>
          <w:sz w:val="20"/>
          <w:szCs w:val="20"/>
        </w:rPr>
        <w:t>prevent,</w:t>
      </w:r>
      <w:r w:rsidRPr="00BA4A9E">
        <w:rPr>
          <w:rFonts w:ascii="Times New Roman" w:hAnsi="Times New Roman" w:cs="Times New Roman"/>
          <w:spacing w:val="65"/>
          <w:sz w:val="20"/>
          <w:szCs w:val="20"/>
        </w:rPr>
        <w:t xml:space="preserve"> </w:t>
      </w:r>
      <w:r w:rsidRPr="00BA4A9E">
        <w:rPr>
          <w:rFonts w:ascii="Times New Roman" w:hAnsi="Times New Roman" w:cs="Times New Roman"/>
          <w:sz w:val="20"/>
          <w:szCs w:val="20"/>
        </w:rPr>
        <w:t>combat</w:t>
      </w:r>
      <w:r w:rsidRPr="00BA4A9E">
        <w:rPr>
          <w:rFonts w:ascii="Times New Roman" w:hAnsi="Times New Roman" w:cs="Times New Roman"/>
          <w:spacing w:val="7"/>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65"/>
          <w:sz w:val="20"/>
          <w:szCs w:val="20"/>
        </w:rPr>
        <w:t xml:space="preserve"> </w:t>
      </w:r>
      <w:r w:rsidRPr="00BA4A9E">
        <w:rPr>
          <w:rFonts w:ascii="Times New Roman" w:hAnsi="Times New Roman" w:cs="Times New Roman"/>
          <w:sz w:val="20"/>
          <w:szCs w:val="20"/>
        </w:rPr>
        <w:t>punish</w:t>
      </w:r>
      <w:r w:rsidRPr="00BA4A9E">
        <w:rPr>
          <w:rFonts w:ascii="Times New Roman" w:hAnsi="Times New Roman" w:cs="Times New Roman"/>
          <w:spacing w:val="65"/>
          <w:sz w:val="20"/>
          <w:szCs w:val="20"/>
        </w:rPr>
        <w:t xml:space="preserve"> </w:t>
      </w:r>
      <w:r w:rsidRPr="00BA4A9E">
        <w:rPr>
          <w:rFonts w:ascii="Times New Roman" w:hAnsi="Times New Roman" w:cs="Times New Roman"/>
          <w:sz w:val="20"/>
          <w:szCs w:val="20"/>
        </w:rPr>
        <w:t>trafficking</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5"/>
          <w:sz w:val="20"/>
          <w:szCs w:val="20"/>
        </w:rPr>
        <w:t xml:space="preserve"> </w:t>
      </w:r>
      <w:r w:rsidRPr="00BA4A9E">
        <w:rPr>
          <w:rFonts w:ascii="Times New Roman" w:hAnsi="Times New Roman" w:cs="Times New Roman"/>
          <w:sz w:val="20"/>
          <w:szCs w:val="20"/>
        </w:rPr>
        <w:t>persons,</w:t>
      </w:r>
      <w:r w:rsidRPr="00BA4A9E">
        <w:rPr>
          <w:rFonts w:ascii="Times New Roman" w:hAnsi="Times New Roman" w:cs="Times New Roman"/>
          <w:spacing w:val="7"/>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63"/>
          <w:sz w:val="20"/>
          <w:szCs w:val="20"/>
        </w:rPr>
        <w:t xml:space="preserve"> </w:t>
      </w:r>
      <w:r w:rsidRPr="00BA4A9E">
        <w:rPr>
          <w:rFonts w:ascii="Times New Roman" w:hAnsi="Times New Roman" w:cs="Times New Roman"/>
          <w:sz w:val="20"/>
          <w:szCs w:val="20"/>
        </w:rPr>
        <w:t>ensure</w:t>
      </w:r>
      <w:r w:rsidRPr="00BA4A9E">
        <w:rPr>
          <w:rFonts w:ascii="Times New Roman" w:hAnsi="Times New Roman" w:cs="Times New Roman"/>
          <w:spacing w:val="7"/>
          <w:sz w:val="20"/>
          <w:szCs w:val="20"/>
        </w:rPr>
        <w:t xml:space="preserve"> </w:t>
      </w:r>
      <w:r w:rsidRPr="00BA4A9E">
        <w:rPr>
          <w:rFonts w:ascii="Times New Roman" w:hAnsi="Times New Roman" w:cs="Times New Roman"/>
          <w:sz w:val="20"/>
          <w:szCs w:val="20"/>
        </w:rPr>
        <w:t>that</w:t>
      </w:r>
      <w:r w:rsidRPr="00BA4A9E">
        <w:rPr>
          <w:rFonts w:ascii="Times New Roman" w:hAnsi="Times New Roman" w:cs="Times New Roman"/>
          <w:spacing w:val="7"/>
          <w:sz w:val="20"/>
          <w:szCs w:val="20"/>
        </w:rPr>
        <w:t xml:space="preserve"> </w:t>
      </w:r>
      <w:r w:rsidRPr="00BA4A9E">
        <w:rPr>
          <w:rFonts w:ascii="Times New Roman" w:hAnsi="Times New Roman" w:cs="Times New Roman"/>
          <w:sz w:val="20"/>
          <w:szCs w:val="20"/>
        </w:rPr>
        <w:t>trafficking</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crimes</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are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investigated,</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perpetrators</w:t>
      </w:r>
      <w:r w:rsidRPr="00BA4A9E">
        <w:rPr>
          <w:rFonts w:ascii="Times New Roman" w:hAnsi="Times New Roman" w:cs="Times New Roman"/>
          <w:spacing w:val="-3"/>
          <w:sz w:val="20"/>
          <w:szCs w:val="20"/>
        </w:rPr>
        <w:t xml:space="preserve"> </w:t>
      </w:r>
      <w:r w:rsidRPr="00BA4A9E">
        <w:rPr>
          <w:rFonts w:ascii="Times New Roman" w:hAnsi="Times New Roman" w:cs="Times New Roman"/>
          <w:sz w:val="20"/>
          <w:szCs w:val="20"/>
        </w:rPr>
        <w:t>prosecuted</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punished,</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that</w:t>
      </w:r>
      <w:r w:rsidRPr="00BA4A9E">
        <w:rPr>
          <w:rFonts w:ascii="Times New Roman" w:hAnsi="Times New Roman" w:cs="Times New Roman"/>
          <w:spacing w:val="-5"/>
          <w:sz w:val="20"/>
          <w:szCs w:val="20"/>
        </w:rPr>
        <w:t xml:space="preserve"> </w:t>
      </w:r>
      <w:r w:rsidRPr="00BA4A9E">
        <w:rPr>
          <w:rFonts w:ascii="Times New Roman" w:hAnsi="Times New Roman" w:cs="Times New Roman"/>
          <w:sz w:val="20"/>
          <w:szCs w:val="20"/>
        </w:rPr>
        <w:t>victims</w:t>
      </w:r>
      <w:r w:rsidRPr="00BA4A9E">
        <w:rPr>
          <w:rFonts w:ascii="Times New Roman" w:hAnsi="Times New Roman" w:cs="Times New Roman"/>
          <w:spacing w:val="-3"/>
          <w:sz w:val="20"/>
          <w:szCs w:val="20"/>
        </w:rPr>
        <w:t xml:space="preserve"> </w:t>
      </w:r>
      <w:r w:rsidRPr="00BA4A9E">
        <w:rPr>
          <w:rFonts w:ascii="Times New Roman" w:hAnsi="Times New Roman" w:cs="Times New Roman"/>
          <w:sz w:val="20"/>
          <w:szCs w:val="20"/>
        </w:rPr>
        <w:t>are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provided</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with</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comprehensive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reparation</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that</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they</w:t>
      </w:r>
      <w:r w:rsidRPr="00BA4A9E">
        <w:rPr>
          <w:rFonts w:ascii="Times New Roman" w:hAnsi="Times New Roman" w:cs="Times New Roman"/>
          <w:spacing w:val="23"/>
          <w:sz w:val="20"/>
          <w:szCs w:val="20"/>
        </w:rPr>
        <w:t xml:space="preserve"> </w:t>
      </w:r>
      <w:r w:rsidRPr="00BA4A9E">
        <w:rPr>
          <w:rFonts w:ascii="Times New Roman" w:hAnsi="Times New Roman" w:cs="Times New Roman"/>
          <w:sz w:val="20"/>
          <w:szCs w:val="20"/>
        </w:rPr>
        <w:t>have</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access</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adequate</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protection</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assistance</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measures,</w:t>
      </w:r>
      <w:r w:rsidRPr="00BA4A9E">
        <w:rPr>
          <w:rFonts w:ascii="Times New Roman" w:hAnsi="Times New Roman" w:cs="Times New Roman"/>
          <w:spacing w:val="68"/>
          <w:w w:val="150"/>
          <w:sz w:val="20"/>
          <w:szCs w:val="20"/>
        </w:rPr>
        <w:t xml:space="preserve"> </w:t>
      </w:r>
      <w:r w:rsidRPr="00BA4A9E">
        <w:rPr>
          <w:rFonts w:ascii="Times New Roman" w:hAnsi="Times New Roman" w:cs="Times New Roman"/>
          <w:sz w:val="20"/>
          <w:szCs w:val="20"/>
        </w:rPr>
        <w:t>including</w:t>
      </w:r>
      <w:r w:rsidRPr="00BA4A9E">
        <w:rPr>
          <w:rFonts w:ascii="Times New Roman" w:hAnsi="Times New Roman" w:cs="Times New Roman"/>
          <w:spacing w:val="22"/>
          <w:sz w:val="20"/>
          <w:szCs w:val="20"/>
        </w:rPr>
        <w:t xml:space="preserve"> </w:t>
      </w:r>
      <w:r w:rsidRPr="00BA4A9E">
        <w:rPr>
          <w:rFonts w:ascii="Times New Roman" w:hAnsi="Times New Roman" w:cs="Times New Roman"/>
          <w:sz w:val="20"/>
          <w:szCs w:val="20"/>
        </w:rPr>
        <w:t>sufficient</w:t>
      </w:r>
      <w:r w:rsidRPr="00BA4A9E">
        <w:rPr>
          <w:rFonts w:ascii="Times New Roman" w:hAnsi="Times New Roman" w:cs="Times New Roman"/>
          <w:spacing w:val="21"/>
          <w:sz w:val="20"/>
          <w:szCs w:val="20"/>
        </w:rPr>
        <w:t xml:space="preserve"> </w:t>
      </w:r>
      <w:r w:rsidRPr="00BA4A9E">
        <w:rPr>
          <w:rFonts w:ascii="Times New Roman" w:hAnsi="Times New Roman" w:cs="Times New Roman"/>
          <w:sz w:val="20"/>
          <w:szCs w:val="20"/>
        </w:rPr>
        <w:t>geographical</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coverage</w:t>
      </w:r>
      <w:r w:rsidRPr="00BA4A9E">
        <w:rPr>
          <w:rFonts w:ascii="Times New Roman" w:hAnsi="Times New Roman" w:cs="Times New Roman"/>
          <w:spacing w:val="34"/>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shelters,</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particularly</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border</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areas;</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this</w:t>
      </w:r>
      <w:r w:rsidRPr="00BA4A9E">
        <w:rPr>
          <w:rFonts w:ascii="Times New Roman" w:hAnsi="Times New Roman" w:cs="Times New Roman"/>
          <w:spacing w:val="35"/>
          <w:sz w:val="20"/>
          <w:szCs w:val="20"/>
        </w:rPr>
        <w:t xml:space="preserve"> </w:t>
      </w:r>
      <w:r w:rsidRPr="00BA4A9E">
        <w:rPr>
          <w:rFonts w:ascii="Times New Roman" w:hAnsi="Times New Roman" w:cs="Times New Roman"/>
          <w:sz w:val="20"/>
          <w:szCs w:val="20"/>
        </w:rPr>
        <w:t>regard,</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it</w:t>
      </w:r>
      <w:r w:rsidRPr="00BA4A9E">
        <w:rPr>
          <w:rFonts w:ascii="Times New Roman" w:hAnsi="Times New Roman" w:cs="Times New Roman"/>
          <w:spacing w:val="35"/>
          <w:sz w:val="20"/>
          <w:szCs w:val="20"/>
        </w:rPr>
        <w:t xml:space="preserve"> </w:t>
      </w:r>
      <w:r w:rsidRPr="00BA4A9E">
        <w:rPr>
          <w:rFonts w:ascii="Times New Roman" w:hAnsi="Times New Roman" w:cs="Times New Roman"/>
          <w:sz w:val="20"/>
          <w:szCs w:val="20"/>
        </w:rPr>
        <w:t>is</w:t>
      </w:r>
      <w:r w:rsidRPr="00BA4A9E">
        <w:rPr>
          <w:rFonts w:ascii="Times New Roman" w:hAnsi="Times New Roman" w:cs="Times New Roman"/>
          <w:spacing w:val="35"/>
          <w:sz w:val="20"/>
          <w:szCs w:val="20"/>
        </w:rPr>
        <w:t xml:space="preserve">  </w:t>
      </w:r>
      <w:r w:rsidRPr="00BA4A9E">
        <w:rPr>
          <w:rFonts w:ascii="Times New Roman" w:hAnsi="Times New Roman" w:cs="Times New Roman"/>
          <w:sz w:val="20"/>
          <w:szCs w:val="20"/>
        </w:rPr>
        <w:t>encouraged</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implement</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recommendations</w:t>
      </w:r>
      <w:r w:rsidRPr="00BA4A9E">
        <w:rPr>
          <w:rFonts w:ascii="Times New Roman" w:hAnsi="Times New Roman" w:cs="Times New Roman"/>
          <w:spacing w:val="38"/>
          <w:sz w:val="20"/>
          <w:szCs w:val="20"/>
        </w:rPr>
        <w:t xml:space="preserve"> </w:t>
      </w:r>
      <w:r w:rsidRPr="00BA4A9E">
        <w:rPr>
          <w:rFonts w:ascii="Times New Roman" w:hAnsi="Times New Roman" w:cs="Times New Roman"/>
          <w:sz w:val="20"/>
          <w:szCs w:val="20"/>
        </w:rPr>
        <w:t>made</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February</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2022</w:t>
      </w:r>
      <w:r w:rsidRPr="00BA4A9E">
        <w:rPr>
          <w:rFonts w:ascii="Times New Roman" w:hAnsi="Times New Roman" w:cs="Times New Roman"/>
          <w:spacing w:val="37"/>
          <w:sz w:val="20"/>
          <w:szCs w:val="20"/>
        </w:rPr>
        <w:t xml:space="preserve"> </w:t>
      </w:r>
      <w:r w:rsidRPr="00BA4A9E">
        <w:rPr>
          <w:rFonts w:ascii="Times New Roman" w:hAnsi="Times New Roman" w:cs="Times New Roman"/>
          <w:sz w:val="20"/>
          <w:szCs w:val="20"/>
        </w:rPr>
        <w:t>by</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36"/>
          <w:sz w:val="20"/>
          <w:szCs w:val="20"/>
        </w:rPr>
        <w:t xml:space="preserve"> </w:t>
      </w:r>
      <w:r w:rsidRPr="00BA4A9E">
        <w:rPr>
          <w:rFonts w:ascii="Times New Roman" w:hAnsi="Times New Roman" w:cs="Times New Roman"/>
          <w:sz w:val="20"/>
          <w:szCs w:val="20"/>
        </w:rPr>
        <w:t>Committee</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on</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Elimination</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Discrimination</w:t>
      </w:r>
      <w:r w:rsidRPr="00BA4A9E">
        <w:rPr>
          <w:rFonts w:ascii="Times New Roman" w:hAnsi="Times New Roman" w:cs="Times New Roman"/>
          <w:spacing w:val="39"/>
          <w:sz w:val="20"/>
          <w:szCs w:val="20"/>
        </w:rPr>
        <w:t xml:space="preserve"> </w:t>
      </w:r>
      <w:r w:rsidRPr="00BA4A9E">
        <w:rPr>
          <w:rFonts w:ascii="Times New Roman" w:hAnsi="Times New Roman" w:cs="Times New Roman"/>
          <w:sz w:val="20"/>
          <w:szCs w:val="20"/>
        </w:rPr>
        <w:t>against</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Women;</w:t>
      </w:r>
      <w:r w:rsidRPr="00BA4A9E">
        <w:rPr>
          <w:rFonts w:ascii="Times New Roman" w:hAnsi="Times New Roman" w:cs="Times New Roman"/>
          <w:spacing w:val="50"/>
          <w:sz w:val="20"/>
          <w:szCs w:val="20"/>
        </w:rPr>
        <w:t xml:space="preserve"> </w:t>
      </w:r>
      <w:r w:rsidRPr="00BA4A9E">
        <w:rPr>
          <w:rFonts w:ascii="Times New Roman" w:hAnsi="Times New Roman" w:cs="Times New Roman"/>
          <w:sz w:val="20"/>
          <w:szCs w:val="20"/>
        </w:rPr>
        <w:t>Para. 30</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(a)</w:t>
      </w:r>
    </w:p>
    <w:p w14:paraId="364D3E7A"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29"/>
        <w:rPr>
          <w:rFonts w:ascii="Times New Roman" w:hAnsi="Times New Roman" w:cs="Times New Roman"/>
          <w:sz w:val="20"/>
          <w:szCs w:val="20"/>
        </w:rPr>
      </w:pPr>
      <w:r w:rsidRPr="00BA4A9E">
        <w:rPr>
          <w:rFonts w:ascii="Times New Roman" w:hAnsi="Times New Roman" w:cs="Times New Roman"/>
          <w:sz w:val="20"/>
          <w:szCs w:val="20"/>
        </w:rPr>
        <w:t>Adopt</w:t>
      </w:r>
      <w:r w:rsidRPr="00BA4A9E">
        <w:rPr>
          <w:rFonts w:ascii="Times New Roman" w:hAnsi="Times New Roman" w:cs="Times New Roman"/>
          <w:spacing w:val="13"/>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necessary</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protection</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measures</w:t>
      </w:r>
      <w:r w:rsidRPr="00BA4A9E">
        <w:rPr>
          <w:rFonts w:ascii="Times New Roman" w:hAnsi="Times New Roman" w:cs="Times New Roman"/>
          <w:spacing w:val="13"/>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77"/>
          <w:sz w:val="20"/>
          <w:szCs w:val="20"/>
        </w:rPr>
        <w:t xml:space="preserve"> </w:t>
      </w:r>
      <w:r w:rsidRPr="00BA4A9E">
        <w:rPr>
          <w:rFonts w:ascii="Times New Roman" w:hAnsi="Times New Roman" w:cs="Times New Roman"/>
          <w:sz w:val="20"/>
          <w:szCs w:val="20"/>
        </w:rPr>
        <w:t>guarantee</w:t>
      </w:r>
      <w:r w:rsidRPr="00BA4A9E">
        <w:rPr>
          <w:rFonts w:ascii="Times New Roman" w:hAnsi="Times New Roman" w:cs="Times New Roman"/>
          <w:spacing w:val="15"/>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14"/>
          <w:sz w:val="20"/>
          <w:szCs w:val="20"/>
        </w:rPr>
        <w:t xml:space="preserve"> </w:t>
      </w:r>
      <w:r w:rsidRPr="00BA4A9E">
        <w:rPr>
          <w:rFonts w:ascii="Times New Roman" w:hAnsi="Times New Roman" w:cs="Times New Roman"/>
          <w:sz w:val="20"/>
          <w:szCs w:val="20"/>
        </w:rPr>
        <w:t>life</w:t>
      </w:r>
      <w:r w:rsidRPr="00BA4A9E">
        <w:rPr>
          <w:rFonts w:ascii="Times New Roman" w:hAnsi="Times New Roman" w:cs="Times New Roman"/>
          <w:spacing w:val="79"/>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77"/>
          <w:sz w:val="20"/>
          <w:szCs w:val="20"/>
        </w:rPr>
        <w:t xml:space="preserve"> </w:t>
      </w:r>
      <w:r w:rsidRPr="00BA4A9E">
        <w:rPr>
          <w:rFonts w:ascii="Times New Roman" w:hAnsi="Times New Roman" w:cs="Times New Roman"/>
          <w:sz w:val="20"/>
          <w:szCs w:val="20"/>
        </w:rPr>
        <w:t>safety</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15"/>
          <w:sz w:val="20"/>
          <w:szCs w:val="20"/>
        </w:rPr>
        <w:t xml:space="preserve"> </w:t>
      </w:r>
      <w:r w:rsidRPr="00BA4A9E">
        <w:rPr>
          <w:rFonts w:ascii="Times New Roman" w:hAnsi="Times New Roman" w:cs="Times New Roman"/>
          <w:sz w:val="20"/>
          <w:szCs w:val="20"/>
        </w:rPr>
        <w:t>migrants</w:t>
      </w:r>
      <w:r w:rsidRPr="00BA4A9E">
        <w:rPr>
          <w:rFonts w:ascii="Times New Roman" w:hAnsi="Times New Roman" w:cs="Times New Roman"/>
          <w:spacing w:val="13"/>
          <w:sz w:val="20"/>
          <w:szCs w:val="20"/>
        </w:rPr>
        <w:t xml:space="preserve"> </w:t>
      </w:r>
      <w:r w:rsidRPr="00BA4A9E">
        <w:rPr>
          <w:rFonts w:ascii="Times New Roman" w:hAnsi="Times New Roman" w:cs="Times New Roman"/>
          <w:sz w:val="20"/>
          <w:szCs w:val="20"/>
        </w:rPr>
        <w:t>who</w:t>
      </w:r>
      <w:r w:rsidRPr="00BA4A9E">
        <w:rPr>
          <w:rFonts w:ascii="Times New Roman" w:hAnsi="Times New Roman" w:cs="Times New Roman"/>
          <w:spacing w:val="16"/>
          <w:sz w:val="20"/>
          <w:szCs w:val="20"/>
        </w:rPr>
        <w:t xml:space="preserve"> </w:t>
      </w:r>
      <w:r w:rsidRPr="00BA4A9E">
        <w:rPr>
          <w:rFonts w:ascii="Times New Roman" w:hAnsi="Times New Roman" w:cs="Times New Roman"/>
          <w:sz w:val="20"/>
          <w:szCs w:val="20"/>
        </w:rPr>
        <w:t>cross</w:t>
      </w:r>
      <w:r w:rsidRPr="00BA4A9E">
        <w:rPr>
          <w:rFonts w:ascii="Times New Roman" w:hAnsi="Times New Roman" w:cs="Times New Roman"/>
          <w:spacing w:val="13"/>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79"/>
          <w:sz w:val="20"/>
          <w:szCs w:val="20"/>
        </w:rPr>
        <w:t xml:space="preserve"> </w:t>
      </w:r>
      <w:r w:rsidRPr="00BA4A9E">
        <w:rPr>
          <w:rFonts w:ascii="Times New Roman" w:hAnsi="Times New Roman" w:cs="Times New Roman"/>
          <w:sz w:val="20"/>
          <w:szCs w:val="20"/>
        </w:rPr>
        <w:t>Darién Gap</w:t>
      </w:r>
      <w:r w:rsidRPr="00BA4A9E">
        <w:rPr>
          <w:rFonts w:ascii="Times New Roman" w:hAnsi="Times New Roman" w:cs="Times New Roman"/>
          <w:spacing w:val="56"/>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to effectively prevent and combat all forms of violence against these people;</w:t>
      </w:r>
      <w:r w:rsidRPr="00BA4A9E">
        <w:rPr>
          <w:rFonts w:ascii="Times New Roman" w:hAnsi="Times New Roman" w:cs="Times New Roman"/>
          <w:spacing w:val="80"/>
          <w:w w:val="150"/>
          <w:sz w:val="20"/>
          <w:szCs w:val="20"/>
        </w:rPr>
        <w:t xml:space="preserve"> </w:t>
      </w:r>
      <w:r w:rsidRPr="00BA4A9E">
        <w:rPr>
          <w:rFonts w:ascii="Times New Roman" w:hAnsi="Times New Roman" w:cs="Times New Roman"/>
          <w:sz w:val="20"/>
          <w:szCs w:val="20"/>
        </w:rPr>
        <w:t>Para. 36 (a)</w:t>
      </w:r>
    </w:p>
    <w:p w14:paraId="4C629E32"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14"/>
        <w:rPr>
          <w:rFonts w:ascii="Times New Roman" w:hAnsi="Times New Roman" w:cs="Times New Roman"/>
          <w:sz w:val="20"/>
          <w:szCs w:val="20"/>
        </w:rPr>
      </w:pPr>
      <w:r w:rsidRPr="00BA4A9E">
        <w:rPr>
          <w:rFonts w:ascii="Times New Roman" w:hAnsi="Times New Roman" w:cs="Times New Roman"/>
          <w:sz w:val="20"/>
          <w:szCs w:val="20"/>
        </w:rPr>
        <w:t>Strengthen</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its</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efforts</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investigate</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allegations</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murders,</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disappearances,</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kidnappings,</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sexual</w:t>
      </w:r>
      <w:r w:rsidRPr="00BA4A9E">
        <w:rPr>
          <w:rFonts w:ascii="Times New Roman" w:hAnsi="Times New Roman" w:cs="Times New Roman"/>
          <w:spacing w:val="40"/>
          <w:sz w:val="20"/>
          <w:szCs w:val="20"/>
        </w:rPr>
        <w:t xml:space="preserve"> </w:t>
      </w:r>
      <w:r w:rsidRPr="00BA4A9E">
        <w:rPr>
          <w:rFonts w:ascii="Times New Roman" w:hAnsi="Times New Roman" w:cs="Times New Roman"/>
          <w:sz w:val="20"/>
          <w:szCs w:val="20"/>
        </w:rPr>
        <w:t>violence, trafficking,</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assaults,</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robberies,</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intimidation</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threats</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against</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migrants;</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prosecute</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punish</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those</w:t>
      </w:r>
      <w:r w:rsidRPr="00BA4A9E">
        <w:rPr>
          <w:rFonts w:ascii="Times New Roman" w:hAnsi="Times New Roman" w:cs="Times New Roman"/>
          <w:spacing w:val="-8"/>
          <w:sz w:val="20"/>
          <w:szCs w:val="20"/>
        </w:rPr>
        <w:t xml:space="preserve"> </w:t>
      </w:r>
      <w:r w:rsidRPr="00BA4A9E">
        <w:rPr>
          <w:rFonts w:ascii="Times New Roman" w:hAnsi="Times New Roman" w:cs="Times New Roman"/>
          <w:sz w:val="20"/>
          <w:szCs w:val="20"/>
        </w:rPr>
        <w:t>responsible; and provide comprehensive reparation to</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victims and their</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families;</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Para. 36 (b)</w:t>
      </w:r>
    </w:p>
    <w:p w14:paraId="7E5BAFC3"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13"/>
        <w:rPr>
          <w:rFonts w:ascii="Times New Roman" w:hAnsi="Times New Roman" w:cs="Times New Roman"/>
          <w:sz w:val="20"/>
          <w:szCs w:val="20"/>
        </w:rPr>
      </w:pPr>
      <w:r w:rsidRPr="00BA4A9E">
        <w:rPr>
          <w:rFonts w:ascii="Times New Roman" w:hAnsi="Times New Roman" w:cs="Times New Roman"/>
          <w:sz w:val="20"/>
          <w:szCs w:val="20"/>
        </w:rPr>
        <w:t>Fully respect the human rights of migrants housed in immigration reception stations, in particular the right not to</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be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deprived</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liberty,</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guarantee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them</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effective</w:t>
      </w:r>
      <w:r w:rsidRPr="00BA4A9E">
        <w:rPr>
          <w:rFonts w:ascii="Times New Roman" w:hAnsi="Times New Roman" w:cs="Times New Roman"/>
          <w:spacing w:val="-5"/>
          <w:sz w:val="20"/>
          <w:szCs w:val="20"/>
        </w:rPr>
        <w:t xml:space="preserve"> </w:t>
      </w:r>
      <w:r w:rsidRPr="00BA4A9E">
        <w:rPr>
          <w:rFonts w:ascii="Times New Roman" w:hAnsi="Times New Roman" w:cs="Times New Roman"/>
          <w:sz w:val="20"/>
          <w:szCs w:val="20"/>
        </w:rPr>
        <w:t>remedies</w:t>
      </w:r>
      <w:r w:rsidRPr="00BA4A9E">
        <w:rPr>
          <w:rFonts w:ascii="Times New Roman" w:hAnsi="Times New Roman" w:cs="Times New Roman"/>
          <w:spacing w:val="-3"/>
          <w:sz w:val="20"/>
          <w:szCs w:val="20"/>
        </w:rPr>
        <w:t xml:space="preserve"> </w:t>
      </w:r>
      <w:r w:rsidRPr="00BA4A9E">
        <w:rPr>
          <w:rFonts w:ascii="Times New Roman" w:hAnsi="Times New Roman" w:cs="Times New Roman"/>
          <w:sz w:val="20"/>
          <w:szCs w:val="20"/>
        </w:rPr>
        <w:t>against</w:t>
      </w:r>
      <w:r w:rsidRPr="00BA4A9E">
        <w:rPr>
          <w:rFonts w:ascii="Times New Roman" w:hAnsi="Times New Roman" w:cs="Times New Roman"/>
          <w:spacing w:val="-3"/>
          <w:sz w:val="20"/>
          <w:szCs w:val="20"/>
        </w:rPr>
        <w:t xml:space="preserve"> </w:t>
      </w:r>
      <w:r w:rsidRPr="00BA4A9E">
        <w:rPr>
          <w:rFonts w:ascii="Times New Roman" w:hAnsi="Times New Roman" w:cs="Times New Roman"/>
          <w:sz w:val="20"/>
          <w:szCs w:val="20"/>
        </w:rPr>
        <w:t>any</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violation</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their</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rights; Para.</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36</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(c)</w:t>
      </w:r>
    </w:p>
    <w:p w14:paraId="1E72D69C"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18"/>
        <w:rPr>
          <w:rFonts w:ascii="Times New Roman" w:hAnsi="Times New Roman" w:cs="Times New Roman"/>
          <w:sz w:val="20"/>
          <w:szCs w:val="20"/>
        </w:rPr>
      </w:pPr>
      <w:r w:rsidRPr="00BA4A9E">
        <w:rPr>
          <w:rFonts w:ascii="Times New Roman" w:hAnsi="Times New Roman" w:cs="Times New Roman"/>
          <w:sz w:val="20"/>
          <w:szCs w:val="20"/>
        </w:rPr>
        <w:t>Increase</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efforts</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improve</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living</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conditions</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migrant</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reception</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stations</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ensure</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access</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basic</w:t>
      </w:r>
      <w:r w:rsidRPr="00BA4A9E">
        <w:rPr>
          <w:rFonts w:ascii="Times New Roman" w:hAnsi="Times New Roman" w:cs="Times New Roman"/>
          <w:spacing w:val="13"/>
          <w:sz w:val="20"/>
          <w:szCs w:val="20"/>
        </w:rPr>
        <w:t xml:space="preserve"> </w:t>
      </w:r>
      <w:r w:rsidRPr="00BA4A9E">
        <w:rPr>
          <w:rFonts w:ascii="Times New Roman" w:hAnsi="Times New Roman" w:cs="Times New Roman"/>
          <w:sz w:val="20"/>
          <w:szCs w:val="20"/>
        </w:rPr>
        <w:t>services; and, in this regard, the State party is encouraged to implement the recommendations made in February 2023 by the Committee on Economic,</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Social and Cultural Rights;</w:t>
      </w:r>
      <w:r w:rsidRPr="00BA4A9E">
        <w:rPr>
          <w:rFonts w:ascii="Times New Roman" w:hAnsi="Times New Roman" w:cs="Times New Roman"/>
          <w:spacing w:val="60"/>
          <w:sz w:val="20"/>
          <w:szCs w:val="20"/>
        </w:rPr>
        <w:t xml:space="preserve"> </w:t>
      </w:r>
      <w:r w:rsidRPr="00BA4A9E">
        <w:rPr>
          <w:rFonts w:ascii="Times New Roman" w:hAnsi="Times New Roman" w:cs="Times New Roman"/>
          <w:sz w:val="20"/>
          <w:szCs w:val="20"/>
        </w:rPr>
        <w:t>Para. 36 (d)</w:t>
      </w:r>
    </w:p>
    <w:p w14:paraId="369FE16F" w14:textId="77777777" w:rsidR="006911CB" w:rsidRPr="00BA4A9E" w:rsidRDefault="006911CB" w:rsidP="006911CB">
      <w:pPr>
        <w:numPr>
          <w:ilvl w:val="0"/>
          <w:numId w:val="49"/>
        </w:numPr>
        <w:tabs>
          <w:tab w:val="left" w:pos="467"/>
        </w:tabs>
        <w:kinsoku w:val="0"/>
        <w:overflowPunct w:val="0"/>
        <w:autoSpaceDE w:val="0"/>
        <w:autoSpaceDN w:val="0"/>
        <w:adjustRightInd w:val="0"/>
        <w:ind w:left="467" w:right="118"/>
        <w:rPr>
          <w:rFonts w:ascii="Times New Roman" w:hAnsi="Times New Roman" w:cs="Times New Roman"/>
          <w:sz w:val="20"/>
          <w:szCs w:val="20"/>
        </w:rPr>
      </w:pPr>
      <w:r w:rsidRPr="00BA4A9E">
        <w:rPr>
          <w:rFonts w:ascii="Times New Roman" w:hAnsi="Times New Roman" w:cs="Times New Roman"/>
          <w:sz w:val="20"/>
          <w:szCs w:val="20"/>
        </w:rPr>
        <w:t>Guarantee</w:t>
      </w:r>
      <w:r w:rsidRPr="00BA4A9E">
        <w:rPr>
          <w:rFonts w:ascii="Times New Roman" w:hAnsi="Times New Roman" w:cs="Times New Roman"/>
          <w:spacing w:val="32"/>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31"/>
          <w:sz w:val="20"/>
          <w:szCs w:val="20"/>
        </w:rPr>
        <w:t xml:space="preserve"> </w:t>
      </w:r>
      <w:r w:rsidRPr="00BA4A9E">
        <w:rPr>
          <w:rFonts w:ascii="Times New Roman" w:hAnsi="Times New Roman" w:cs="Times New Roman"/>
          <w:sz w:val="20"/>
          <w:szCs w:val="20"/>
        </w:rPr>
        <w:t>practice</w:t>
      </w:r>
      <w:r w:rsidRPr="00BA4A9E">
        <w:rPr>
          <w:rFonts w:ascii="Times New Roman" w:hAnsi="Times New Roman" w:cs="Times New Roman"/>
          <w:spacing w:val="32"/>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30"/>
          <w:sz w:val="20"/>
          <w:szCs w:val="20"/>
        </w:rPr>
        <w:t xml:space="preserve"> </w:t>
      </w:r>
      <w:r w:rsidRPr="00BA4A9E">
        <w:rPr>
          <w:rFonts w:ascii="Times New Roman" w:hAnsi="Times New Roman" w:cs="Times New Roman"/>
          <w:sz w:val="20"/>
          <w:szCs w:val="20"/>
        </w:rPr>
        <w:t>protection</w:t>
      </w:r>
      <w:r w:rsidRPr="00BA4A9E">
        <w:rPr>
          <w:rFonts w:ascii="Times New Roman" w:hAnsi="Times New Roman" w:cs="Times New Roman"/>
          <w:spacing w:val="33"/>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30"/>
          <w:sz w:val="20"/>
          <w:szCs w:val="20"/>
        </w:rPr>
        <w:t xml:space="preserve"> </w:t>
      </w:r>
      <w:r w:rsidRPr="00BA4A9E">
        <w:rPr>
          <w:rFonts w:ascii="Times New Roman" w:hAnsi="Times New Roman" w:cs="Times New Roman"/>
          <w:sz w:val="20"/>
          <w:szCs w:val="20"/>
        </w:rPr>
        <w:t>asylum</w:t>
      </w:r>
      <w:r w:rsidRPr="00BA4A9E">
        <w:rPr>
          <w:rFonts w:ascii="Times New Roman" w:hAnsi="Times New Roman" w:cs="Times New Roman"/>
          <w:spacing w:val="33"/>
          <w:sz w:val="20"/>
          <w:szCs w:val="20"/>
        </w:rPr>
        <w:t xml:space="preserve"> </w:t>
      </w:r>
      <w:r w:rsidRPr="00BA4A9E">
        <w:rPr>
          <w:rFonts w:ascii="Times New Roman" w:hAnsi="Times New Roman" w:cs="Times New Roman"/>
          <w:sz w:val="20"/>
          <w:szCs w:val="20"/>
        </w:rPr>
        <w:t>seekers</w:t>
      </w:r>
      <w:r w:rsidRPr="00BA4A9E">
        <w:rPr>
          <w:rFonts w:ascii="Times New Roman" w:hAnsi="Times New Roman" w:cs="Times New Roman"/>
          <w:spacing w:val="31"/>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33"/>
          <w:sz w:val="20"/>
          <w:szCs w:val="20"/>
        </w:rPr>
        <w:t xml:space="preserve"> </w:t>
      </w:r>
      <w:r w:rsidRPr="00BA4A9E">
        <w:rPr>
          <w:rFonts w:ascii="Times New Roman" w:hAnsi="Times New Roman" w:cs="Times New Roman"/>
          <w:sz w:val="20"/>
          <w:szCs w:val="20"/>
        </w:rPr>
        <w:t>refugees,</w:t>
      </w:r>
      <w:r w:rsidRPr="00BA4A9E">
        <w:rPr>
          <w:rFonts w:ascii="Times New Roman" w:hAnsi="Times New Roman" w:cs="Times New Roman"/>
          <w:spacing w:val="32"/>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31"/>
          <w:sz w:val="20"/>
          <w:szCs w:val="20"/>
        </w:rPr>
        <w:t xml:space="preserve"> </w:t>
      </w:r>
      <w:r w:rsidRPr="00BA4A9E">
        <w:rPr>
          <w:rFonts w:ascii="Times New Roman" w:hAnsi="Times New Roman" w:cs="Times New Roman"/>
          <w:sz w:val="20"/>
          <w:szCs w:val="20"/>
        </w:rPr>
        <w:t>accordance</w:t>
      </w:r>
      <w:r w:rsidRPr="00BA4A9E">
        <w:rPr>
          <w:rFonts w:ascii="Times New Roman" w:hAnsi="Times New Roman" w:cs="Times New Roman"/>
          <w:spacing w:val="33"/>
          <w:sz w:val="20"/>
          <w:szCs w:val="20"/>
        </w:rPr>
        <w:t xml:space="preserve"> </w:t>
      </w:r>
      <w:r w:rsidRPr="00BA4A9E">
        <w:rPr>
          <w:rFonts w:ascii="Times New Roman" w:hAnsi="Times New Roman" w:cs="Times New Roman"/>
          <w:sz w:val="20"/>
          <w:szCs w:val="20"/>
        </w:rPr>
        <w:t>with</w:t>
      </w:r>
      <w:r w:rsidRPr="00BA4A9E">
        <w:rPr>
          <w:rFonts w:ascii="Times New Roman" w:hAnsi="Times New Roman" w:cs="Times New Roman"/>
          <w:spacing w:val="33"/>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32"/>
          <w:sz w:val="20"/>
          <w:szCs w:val="20"/>
        </w:rPr>
        <w:t xml:space="preserve"> </w:t>
      </w:r>
      <w:r w:rsidRPr="00BA4A9E">
        <w:rPr>
          <w:rFonts w:ascii="Times New Roman" w:hAnsi="Times New Roman" w:cs="Times New Roman"/>
          <w:sz w:val="20"/>
          <w:szCs w:val="20"/>
        </w:rPr>
        <w:t>Covenant</w:t>
      </w:r>
      <w:r w:rsidRPr="00BA4A9E">
        <w:rPr>
          <w:rFonts w:ascii="Times New Roman" w:hAnsi="Times New Roman" w:cs="Times New Roman"/>
          <w:spacing w:val="32"/>
          <w:sz w:val="20"/>
          <w:szCs w:val="20"/>
        </w:rPr>
        <w:t xml:space="preserve"> </w:t>
      </w:r>
      <w:r w:rsidRPr="00BA4A9E">
        <w:rPr>
          <w:rFonts w:ascii="Times New Roman" w:hAnsi="Times New Roman" w:cs="Times New Roman"/>
          <w:sz w:val="20"/>
          <w:szCs w:val="20"/>
        </w:rPr>
        <w:t>and international</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standards,</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strengthen</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capacity of</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National</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Office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for</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the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Care</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of</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Refugees,</w:t>
      </w:r>
      <w:r w:rsidRPr="00BA4A9E">
        <w:rPr>
          <w:rFonts w:ascii="Times New Roman" w:hAnsi="Times New Roman" w:cs="Times New Roman"/>
          <w:spacing w:val="-2"/>
          <w:sz w:val="20"/>
          <w:szCs w:val="20"/>
        </w:rPr>
        <w:t xml:space="preserve"> </w:t>
      </w:r>
      <w:r w:rsidRPr="00BA4A9E">
        <w:rPr>
          <w:rFonts w:ascii="Times New Roman" w:hAnsi="Times New Roman" w:cs="Times New Roman"/>
          <w:sz w:val="20"/>
          <w:szCs w:val="20"/>
        </w:rPr>
        <w:t>providing</w:t>
      </w:r>
      <w:r w:rsidRPr="00BA4A9E">
        <w:rPr>
          <w:rFonts w:ascii="Times New Roman" w:hAnsi="Times New Roman" w:cs="Times New Roman"/>
          <w:spacing w:val="-1"/>
          <w:sz w:val="20"/>
          <w:szCs w:val="20"/>
        </w:rPr>
        <w:t xml:space="preserve"> </w:t>
      </w:r>
      <w:r w:rsidRPr="00BA4A9E">
        <w:rPr>
          <w:rFonts w:ascii="Times New Roman" w:hAnsi="Times New Roman" w:cs="Times New Roman"/>
          <w:sz w:val="20"/>
          <w:szCs w:val="20"/>
        </w:rPr>
        <w:t>it with</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adequate</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financial</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and</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human</w:t>
      </w:r>
      <w:r w:rsidRPr="00BA4A9E">
        <w:rPr>
          <w:rFonts w:ascii="Times New Roman" w:hAnsi="Times New Roman" w:cs="Times New Roman"/>
          <w:spacing w:val="12"/>
          <w:sz w:val="20"/>
          <w:szCs w:val="20"/>
        </w:rPr>
        <w:t xml:space="preserve"> </w:t>
      </w:r>
      <w:r w:rsidRPr="00BA4A9E">
        <w:rPr>
          <w:rFonts w:ascii="Times New Roman" w:hAnsi="Times New Roman" w:cs="Times New Roman"/>
          <w:sz w:val="20"/>
          <w:szCs w:val="20"/>
        </w:rPr>
        <w:t>resources,</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so</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that</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it</w:t>
      </w:r>
      <w:r w:rsidRPr="00BA4A9E">
        <w:rPr>
          <w:rFonts w:ascii="Times New Roman" w:hAnsi="Times New Roman" w:cs="Times New Roman"/>
          <w:spacing w:val="10"/>
          <w:sz w:val="20"/>
          <w:szCs w:val="20"/>
        </w:rPr>
        <w:t xml:space="preserve"> </w:t>
      </w:r>
      <w:r w:rsidRPr="00BA4A9E">
        <w:rPr>
          <w:rFonts w:ascii="Times New Roman" w:hAnsi="Times New Roman" w:cs="Times New Roman"/>
          <w:sz w:val="20"/>
          <w:szCs w:val="20"/>
        </w:rPr>
        <w:t>can</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respond</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in</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a</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timely</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manner</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to</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requests</w:t>
      </w:r>
      <w:r w:rsidRPr="00BA4A9E">
        <w:rPr>
          <w:rFonts w:ascii="Times New Roman" w:hAnsi="Times New Roman" w:cs="Times New Roman"/>
          <w:spacing w:val="9"/>
          <w:sz w:val="20"/>
          <w:szCs w:val="20"/>
        </w:rPr>
        <w:t xml:space="preserve"> </w:t>
      </w:r>
      <w:r w:rsidRPr="00BA4A9E">
        <w:rPr>
          <w:rFonts w:ascii="Times New Roman" w:hAnsi="Times New Roman" w:cs="Times New Roman"/>
          <w:sz w:val="20"/>
          <w:szCs w:val="20"/>
        </w:rPr>
        <w:t>for</w:t>
      </w:r>
      <w:r w:rsidRPr="00BA4A9E">
        <w:rPr>
          <w:rFonts w:ascii="Times New Roman" w:hAnsi="Times New Roman" w:cs="Times New Roman"/>
          <w:spacing w:val="11"/>
          <w:sz w:val="20"/>
          <w:szCs w:val="20"/>
        </w:rPr>
        <w:t xml:space="preserve"> </w:t>
      </w:r>
      <w:r w:rsidRPr="00BA4A9E">
        <w:rPr>
          <w:rFonts w:ascii="Times New Roman" w:hAnsi="Times New Roman" w:cs="Times New Roman"/>
          <w:sz w:val="20"/>
          <w:szCs w:val="20"/>
        </w:rPr>
        <w:t>refuge. Para. 36 (e)</w:t>
      </w:r>
    </w:p>
  </w:endnote>
  <w:endnote w:id="203">
    <w:p w14:paraId="2E983318" w14:textId="77777777" w:rsidR="006911CB" w:rsidRPr="00BA4A9E" w:rsidRDefault="006911CB" w:rsidP="006911CB">
      <w:pPr>
        <w:pStyle w:val="EndnoteText"/>
        <w:rPr>
          <w:rFonts w:ascii="Times New Roman" w:hAnsi="Times New Roman" w:cs="Times New Roman"/>
          <w:i/>
          <w:iCs/>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CEDAW, Concluding observations on the eighth periodic report of Panama, UN Doc. CEDAW/C/PAN/CO/8, (February           </w:t>
      </w:r>
      <w:proofErr w:type="gramStart"/>
      <w:r w:rsidRPr="00BA4A9E">
        <w:rPr>
          <w:rFonts w:ascii="Times New Roman" w:hAnsi="Times New Roman" w:cs="Times New Roman"/>
          <w:i/>
          <w:iCs/>
        </w:rPr>
        <w:t xml:space="preserve">24,   </w:t>
      </w:r>
      <w:proofErr w:type="gramEnd"/>
      <w:r w:rsidRPr="00BA4A9E">
        <w:rPr>
          <w:rFonts w:ascii="Times New Roman" w:hAnsi="Times New Roman" w:cs="Times New Roman"/>
          <w:i/>
          <w:iCs/>
        </w:rPr>
        <w:t xml:space="preserve">        2022),           available           at</w:t>
      </w:r>
    </w:p>
    <w:p w14:paraId="1FECFC68" w14:textId="77777777" w:rsidR="006911CB" w:rsidRPr="00BA4A9E" w:rsidRDefault="00000000" w:rsidP="006911CB">
      <w:pPr>
        <w:pStyle w:val="EndnoteText"/>
        <w:rPr>
          <w:rFonts w:ascii="Times New Roman" w:hAnsi="Times New Roman" w:cs="Times New Roman"/>
          <w:i/>
          <w:iCs/>
        </w:rPr>
      </w:pPr>
      <w:hyperlink r:id="rId166" w:history="1">
        <w:r w:rsidR="006911CB" w:rsidRPr="00BA4A9E">
          <w:rPr>
            <w:rStyle w:val="Hyperlink"/>
            <w:rFonts w:ascii="Times New Roman" w:hAnsi="Times New Roman" w:cs="Times New Roman"/>
            <w:i/>
            <w:iCs/>
            <w:color w:val="auto"/>
          </w:rPr>
          <w:t>https://tbinternet.ohchr.org/_layouts/15/treatybodyexternal/Download.aspx?symbolno=CEDAW%2fC%2fPAN%2f</w:t>
        </w:r>
      </w:hyperlink>
      <w:r w:rsidR="006911CB" w:rsidRPr="00BA4A9E">
        <w:rPr>
          <w:rFonts w:ascii="Times New Roman" w:hAnsi="Times New Roman" w:cs="Times New Roman"/>
          <w:i/>
          <w:iCs/>
        </w:rPr>
        <w:t xml:space="preserve"> </w:t>
      </w:r>
      <w:r>
        <w:fldChar w:fldCharType="begin"/>
      </w:r>
      <w:r>
        <w:instrText>HYPERLINK "https://tbinternet.ohchr.org/_layouts/15/treatybodyexternal/Download.aspx?symbolno=CEDAW%2fC%2fPAN%2fCO%2f8&amp;Lang=en"</w:instrText>
      </w:r>
      <w:r>
        <w:fldChar w:fldCharType="separate"/>
      </w:r>
      <w:r w:rsidR="006911CB" w:rsidRPr="00BA4A9E">
        <w:rPr>
          <w:rStyle w:val="Hyperlink"/>
          <w:rFonts w:ascii="Times New Roman" w:hAnsi="Times New Roman" w:cs="Times New Roman"/>
          <w:i/>
          <w:iCs/>
          <w:color w:val="auto"/>
        </w:rPr>
        <w:t>CO%2f8&amp;Lang=en.</w:t>
      </w:r>
      <w:r>
        <w:rPr>
          <w:rStyle w:val="Hyperlink"/>
          <w:rFonts w:ascii="Times New Roman" w:hAnsi="Times New Roman" w:cs="Times New Roman"/>
          <w:i/>
          <w:iCs/>
          <w:color w:val="auto"/>
        </w:rPr>
        <w:fldChar w:fldCharType="end"/>
      </w:r>
      <w:r w:rsidR="006911CB" w:rsidRPr="00BA4A9E">
        <w:rPr>
          <w:rFonts w:ascii="Times New Roman" w:hAnsi="Times New Roman" w:cs="Times New Roman"/>
          <w:i/>
          <w:iCs/>
        </w:rPr>
        <w:t xml:space="preserve"> </w:t>
      </w:r>
    </w:p>
    <w:p w14:paraId="619BEFB4" w14:textId="77777777" w:rsidR="006911CB" w:rsidRPr="00BA4A9E" w:rsidRDefault="006911CB" w:rsidP="006911CB">
      <w:pPr>
        <w:pStyle w:val="EndnoteText"/>
        <w:rPr>
          <w:rFonts w:ascii="Times New Roman" w:hAnsi="Times New Roman" w:cs="Times New Roman"/>
          <w:i/>
          <w:iCs/>
        </w:rPr>
      </w:pPr>
      <w:r w:rsidRPr="00BA4A9E">
        <w:rPr>
          <w:rFonts w:ascii="Times New Roman" w:hAnsi="Times New Roman" w:cs="Times New Roman"/>
        </w:rPr>
        <w:t>Recommendations include</w:t>
      </w:r>
      <w:r w:rsidRPr="00BA4A9E">
        <w:rPr>
          <w:rFonts w:ascii="Times New Roman" w:hAnsi="Times New Roman" w:cs="Times New Roman"/>
          <w:i/>
          <w:iCs/>
        </w:rPr>
        <w:t>:</w:t>
      </w:r>
    </w:p>
    <w:p w14:paraId="3647C8FF"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Adopt an emergency plan to tackle and eliminate all forms of violence against migrant women in transit in the Darién Gap, based on a human rights approach to the crisis, ensuring victim-oriented and gender-sensitive policies and measures to address the situation, Para. 24 (a)</w:t>
      </w:r>
    </w:p>
    <w:p w14:paraId="7AF6BB18"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 xml:space="preserve">Remove the requirement to file a complaint with the Office of the Public Prosecutor in order for women to have access to the National Institute for Women survivor assistance </w:t>
      </w:r>
      <w:proofErr w:type="spellStart"/>
      <w:r w:rsidRPr="00BA4A9E">
        <w:rPr>
          <w:rFonts w:ascii="Times New Roman" w:hAnsi="Times New Roman" w:cs="Times New Roman"/>
        </w:rPr>
        <w:t>programmes</w:t>
      </w:r>
      <w:proofErr w:type="spellEnd"/>
      <w:r w:rsidRPr="00BA4A9E">
        <w:rPr>
          <w:rFonts w:ascii="Times New Roman" w:hAnsi="Times New Roman" w:cs="Times New Roman"/>
        </w:rPr>
        <w:t>, including shelters for victims of gender-based violence against women, Para. 24 (b)</w:t>
      </w:r>
    </w:p>
    <w:p w14:paraId="66748D77"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Reinforce cooperation and partnerships with the international community and civil society and women’s organizations to ensure that migrant women have access to the State party’s full range of services providing redress to survivors of gender-based violence against women, including in the areas of health care and psychosocial support, Para. 24 (c)</w:t>
      </w:r>
    </w:p>
    <w:p w14:paraId="2063F0EA"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Implement protection measures to guarantee the life and safety of women victims and witnesses of gender-based violence, including girls and family members, and increase the availability of shelters for high-risk victims of gender-based violence, allocating financial resources for them; Para. 24 (d)</w:t>
      </w:r>
    </w:p>
    <w:p w14:paraId="351DFCF4"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Guarantee access to justice for women in the border area of the Darién Gap regardless of their status, intensifying its efforts to investigate and punish the persons responsible for rape and other types of violence, and establish a mechanism within the criminal justice system to address complaints related to gender based-violence against migrant women in transit, ensuring recognition of protection measures for witnesses and survivors; Para. 24 (e)</w:t>
      </w:r>
    </w:p>
    <w:p w14:paraId="5A7DDC1B"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Collect data, disaggregated by sex, age and nationality, on women migrants and asylum seekers entering the State through the Darién Gap who have been victims of violence, including sexual violence, as well as information on the outcome of the investigation and prosecution of registered cases. Para. 24 (f)</w:t>
      </w:r>
    </w:p>
    <w:p w14:paraId="2971CBE1"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Adopt measures to prevent and to provide specialized support to women victims of sexual violence in migrant reception stations, to improve referral systems of women and girl victims of trafficking to the appropriate social services, and to establish specialized shelters for women and girl victims of trafficking, including measures to guarantee the safety of women under protection. Para. 26 (f)</w:t>
      </w:r>
    </w:p>
  </w:endnote>
  <w:endnote w:id="204">
    <w:p w14:paraId="0DA748F0" w14:textId="77777777" w:rsidR="006911CB" w:rsidRPr="00BA4A9E" w:rsidRDefault="006911CB" w:rsidP="006911CB">
      <w:pPr>
        <w:pStyle w:val="EndnoteText"/>
        <w:rPr>
          <w:rFonts w:ascii="Times New Roman" w:hAnsi="Times New Roman" w:cs="Times New Roman"/>
          <w:i/>
          <w:iCs/>
        </w:rPr>
      </w:pPr>
      <w:r w:rsidRPr="00BA4A9E">
        <w:rPr>
          <w:rStyle w:val="EndnoteReference"/>
          <w:rFonts w:ascii="Times New Roman" w:hAnsi="Times New Roman" w:cs="Times New Roman"/>
        </w:rPr>
        <w:endnoteRef/>
      </w:r>
      <w:r w:rsidRPr="00BA4A9E">
        <w:rPr>
          <w:rFonts w:ascii="Times New Roman" w:hAnsi="Times New Roman" w:cs="Times New Roman"/>
        </w:rPr>
        <w:t xml:space="preserve"> </w:t>
      </w:r>
      <w:r w:rsidRPr="00BA4A9E">
        <w:rPr>
          <w:rFonts w:ascii="Times New Roman" w:hAnsi="Times New Roman" w:cs="Times New Roman"/>
          <w:i/>
          <w:iCs/>
        </w:rPr>
        <w:t xml:space="preserve">See </w:t>
      </w:r>
      <w:r w:rsidRPr="00BA4A9E">
        <w:rPr>
          <w:rFonts w:ascii="Times New Roman" w:hAnsi="Times New Roman" w:cs="Times New Roman"/>
        </w:rPr>
        <w:t xml:space="preserve">CESCR, </w:t>
      </w:r>
      <w:r w:rsidRPr="00BA4A9E">
        <w:rPr>
          <w:rFonts w:ascii="Times New Roman" w:hAnsi="Times New Roman" w:cs="Times New Roman"/>
          <w:i/>
          <w:iCs/>
        </w:rPr>
        <w:t>Concluding observations on the third periodic report of Panama</w:t>
      </w:r>
      <w:r w:rsidRPr="00BA4A9E">
        <w:rPr>
          <w:rFonts w:ascii="Times New Roman" w:hAnsi="Times New Roman" w:cs="Times New Roman"/>
        </w:rPr>
        <w:t xml:space="preserve">, UN Doc. E/C.12/PAN/CO/3 (March 31, 2023), </w:t>
      </w:r>
      <w:r w:rsidRPr="00BA4A9E">
        <w:rPr>
          <w:rFonts w:ascii="Times New Roman" w:hAnsi="Times New Roman" w:cs="Times New Roman"/>
          <w:i/>
          <w:iCs/>
        </w:rPr>
        <w:t>available at</w:t>
      </w:r>
    </w:p>
    <w:p w14:paraId="65A5DCA0" w14:textId="77777777" w:rsidR="006911CB" w:rsidRPr="00BA4A9E" w:rsidRDefault="00000000" w:rsidP="006911CB">
      <w:pPr>
        <w:pStyle w:val="EndnoteText"/>
        <w:rPr>
          <w:rFonts w:ascii="Times New Roman" w:hAnsi="Times New Roman" w:cs="Times New Roman"/>
        </w:rPr>
      </w:pPr>
      <w:hyperlink r:id="rId167" w:history="1">
        <w:r w:rsidR="006911CB" w:rsidRPr="00BA4A9E">
          <w:rPr>
            <w:rStyle w:val="Hyperlink"/>
            <w:rFonts w:ascii="Times New Roman" w:hAnsi="Times New Roman" w:cs="Times New Roman"/>
            <w:color w:val="auto"/>
          </w:rPr>
          <w:t>https://tbinternet.ohchr.org/_layouts/15/treatybodyexternal/Download.aspx?symbolno=E%2FC.12%2FPAN%2FCO</w:t>
        </w:r>
      </w:hyperlink>
    </w:p>
    <w:p w14:paraId="270DE43B" w14:textId="77777777" w:rsidR="006911CB" w:rsidRPr="00BA4A9E" w:rsidRDefault="00000000" w:rsidP="006911CB">
      <w:pPr>
        <w:pStyle w:val="EndnoteText"/>
        <w:rPr>
          <w:rFonts w:ascii="Times New Roman" w:hAnsi="Times New Roman" w:cs="Times New Roman"/>
        </w:rPr>
      </w:pPr>
      <w:r>
        <w:fldChar w:fldCharType="begin"/>
      </w:r>
      <w:r>
        <w:instrText>HYPERLINK "https://tbinternet.ohchr.org/_layouts/15/treatybodyexternal/Download.aspx?symbolno=E%2FC.12%2FPAN%2FCO%2F3&amp;Lang=en"</w:instrText>
      </w:r>
      <w:r>
        <w:fldChar w:fldCharType="separate"/>
      </w:r>
      <w:r w:rsidR="006911CB" w:rsidRPr="00BA4A9E">
        <w:rPr>
          <w:rStyle w:val="Hyperlink"/>
          <w:rFonts w:ascii="Times New Roman" w:hAnsi="Times New Roman" w:cs="Times New Roman"/>
          <w:color w:val="auto"/>
        </w:rPr>
        <w:t>%2F3&amp;Lang=en.</w:t>
      </w:r>
      <w:r>
        <w:rPr>
          <w:rStyle w:val="Hyperlink"/>
          <w:rFonts w:ascii="Times New Roman" w:hAnsi="Times New Roman" w:cs="Times New Roman"/>
          <w:color w:val="auto"/>
        </w:rPr>
        <w:fldChar w:fldCharType="end"/>
      </w:r>
      <w:r w:rsidR="006911CB" w:rsidRPr="00BA4A9E">
        <w:rPr>
          <w:rFonts w:ascii="Times New Roman" w:hAnsi="Times New Roman" w:cs="Times New Roman"/>
        </w:rPr>
        <w:t xml:space="preserve"> </w:t>
      </w:r>
    </w:p>
    <w:p w14:paraId="5AF979CF" w14:textId="77777777" w:rsidR="006911CB" w:rsidRPr="00BA4A9E" w:rsidRDefault="006911CB" w:rsidP="006911CB">
      <w:pPr>
        <w:pStyle w:val="EndnoteText"/>
        <w:rPr>
          <w:rFonts w:ascii="Times New Roman" w:hAnsi="Times New Roman" w:cs="Times New Roman"/>
        </w:rPr>
      </w:pPr>
      <w:r w:rsidRPr="00BA4A9E">
        <w:rPr>
          <w:rFonts w:ascii="Times New Roman" w:hAnsi="Times New Roman" w:cs="Times New Roman"/>
        </w:rPr>
        <w:t>Recommendations include:</w:t>
      </w:r>
    </w:p>
    <w:p w14:paraId="2FC2D3E4"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 xml:space="preserve">Increase reception capacity and continue to improve the living conditions of the migratory reception </w:t>
      </w:r>
      <w:proofErr w:type="spellStart"/>
      <w:r w:rsidRPr="00BA4A9E">
        <w:rPr>
          <w:rFonts w:ascii="Times New Roman" w:hAnsi="Times New Roman" w:cs="Times New Roman"/>
        </w:rPr>
        <w:t>centres</w:t>
      </w:r>
      <w:proofErr w:type="spellEnd"/>
      <w:r w:rsidRPr="00BA4A9E">
        <w:rPr>
          <w:rFonts w:ascii="Times New Roman" w:hAnsi="Times New Roman" w:cs="Times New Roman"/>
        </w:rPr>
        <w:t xml:space="preserve"> in Darién and Chiriquí, facilitating access to, inter alia, adequate food, drinking water, sanitation and hygiene, health services and access to education; Para. 43 (a)</w:t>
      </w:r>
    </w:p>
    <w:p w14:paraId="60479590"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Design and implement a contingency plan, with a human rights approach, to respond comprehensively and comprehensively to the influx of migrants, refugees and asylum-seekers, ensuring access to fundamental rights and basic services in the border areas of Darién and Chiriquí, and integrating a gender approach and protection of all persons in vulnerable situations; Para. 43 (b)</w:t>
      </w:r>
    </w:p>
    <w:p w14:paraId="354196F2" w14:textId="77777777" w:rsidR="006911CB" w:rsidRPr="00BA4A9E"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Take into account, in this regard, its Declaration on the Obligations of States with regard to Refugees and Migrants under the Covenant; Para. 43 (c)</w:t>
      </w:r>
    </w:p>
    <w:p w14:paraId="30488F64" w14:textId="77777777" w:rsidR="006911CB" w:rsidRPr="009F0373" w:rsidRDefault="006911CB" w:rsidP="006911CB">
      <w:pPr>
        <w:pStyle w:val="EndnoteText"/>
        <w:numPr>
          <w:ilvl w:val="0"/>
          <w:numId w:val="49"/>
        </w:numPr>
        <w:rPr>
          <w:rFonts w:ascii="Times New Roman" w:hAnsi="Times New Roman" w:cs="Times New Roman"/>
        </w:rPr>
      </w:pPr>
      <w:r w:rsidRPr="00BA4A9E">
        <w:rPr>
          <w:rFonts w:ascii="Times New Roman" w:hAnsi="Times New Roman" w:cs="Times New Roman"/>
        </w:rPr>
        <w:t>Take into account, in this regard, the recommendations of the Committee on the Elimination of Discrimination against Women, particularly with regard to gender-based violence against women in border areas. Para. 43 (d)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413936"/>
      <w:docPartObj>
        <w:docPartGallery w:val="Page Numbers (Bottom of Page)"/>
        <w:docPartUnique/>
      </w:docPartObj>
    </w:sdtPr>
    <w:sdtEndPr>
      <w:rPr>
        <w:noProof/>
      </w:rPr>
    </w:sdtEndPr>
    <w:sdtContent>
      <w:p w14:paraId="76B45A36" w14:textId="036C69B7" w:rsidR="004E0D27" w:rsidRDefault="00FC4587" w:rsidP="00924F06">
        <w:pPr>
          <w:pStyle w:val="Footer"/>
          <w:jc w:val="center"/>
        </w:pPr>
        <w:r w:rsidRPr="00564ECB">
          <w:rPr>
            <w:rFonts w:ascii="Times New Roman" w:hAnsi="Times New Roman" w:cs="Times New Roman"/>
          </w:rPr>
          <w:fldChar w:fldCharType="begin"/>
        </w:r>
        <w:r w:rsidRPr="00564ECB">
          <w:rPr>
            <w:rFonts w:ascii="Times New Roman" w:hAnsi="Times New Roman" w:cs="Times New Roman"/>
          </w:rPr>
          <w:instrText xml:space="preserve"> PAGE   \* MERGEFORMAT </w:instrText>
        </w:r>
        <w:r w:rsidRPr="00564ECB">
          <w:rPr>
            <w:rFonts w:ascii="Times New Roman" w:hAnsi="Times New Roman" w:cs="Times New Roman"/>
          </w:rPr>
          <w:fldChar w:fldCharType="separate"/>
        </w:r>
        <w:r w:rsidRPr="00564ECB">
          <w:rPr>
            <w:rFonts w:ascii="Times New Roman" w:hAnsi="Times New Roman" w:cs="Times New Roman"/>
            <w:noProof/>
          </w:rPr>
          <w:t>2</w:t>
        </w:r>
        <w:r w:rsidRPr="00564ECB">
          <w:rPr>
            <w:rFonts w:ascii="Times New Roman" w:hAnsi="Times New Roman"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21AAD" w14:textId="460D4C28" w:rsidR="00564ECB" w:rsidRPr="002A7834" w:rsidRDefault="00637DEE" w:rsidP="002A7834">
    <w:pPr>
      <w:pStyle w:val="Footer"/>
      <w:jc w:val="both"/>
      <w:rPr>
        <w:rFonts w:ascii="Times New Roman" w:hAnsi="Times New Roman" w:cs="Times New Roman"/>
      </w:rPr>
    </w:pPr>
    <w:r w:rsidRPr="002A7834">
      <w:rPr>
        <w:rFonts w:ascii="Times New Roman" w:hAnsi="Times New Roman" w:cs="Times New Roman"/>
      </w:rPr>
      <w:t>*</w:t>
    </w:r>
    <w:r w:rsidR="002A7834" w:rsidRPr="002A7834">
      <w:rPr>
        <w:rFonts w:ascii="Times New Roman" w:hAnsi="Times New Roman" w:cs="Times New Roman"/>
      </w:rPr>
      <w:t>This communication does not purport to represent the institutional views, if any, of New York University.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0A68C" w14:textId="77777777" w:rsidR="00ED30C2" w:rsidRDefault="00ED30C2" w:rsidP="00992BB5">
      <w:r>
        <w:separator/>
      </w:r>
    </w:p>
  </w:footnote>
  <w:footnote w:type="continuationSeparator" w:id="0">
    <w:p w14:paraId="1405C4A7" w14:textId="77777777" w:rsidR="00ED30C2" w:rsidRDefault="00ED30C2" w:rsidP="00992BB5">
      <w:r>
        <w:continuationSeparator/>
      </w:r>
    </w:p>
  </w:footnote>
  <w:footnote w:type="continuationNotice" w:id="1">
    <w:p w14:paraId="473657C5" w14:textId="77777777" w:rsidR="00ED30C2" w:rsidRDefault="00ED30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4E0D27" w14:paraId="185242E0" w14:textId="77777777" w:rsidTr="72C78327">
      <w:trPr>
        <w:trHeight w:val="300"/>
      </w:trPr>
      <w:tc>
        <w:tcPr>
          <w:tcW w:w="3120" w:type="dxa"/>
        </w:tcPr>
        <w:p w14:paraId="3B963CBC" w14:textId="7907FCB5" w:rsidR="004E0D27" w:rsidRDefault="004E0D27" w:rsidP="72C78327">
          <w:pPr>
            <w:pStyle w:val="Header"/>
            <w:ind w:left="-115"/>
          </w:pPr>
        </w:p>
      </w:tc>
      <w:tc>
        <w:tcPr>
          <w:tcW w:w="3120" w:type="dxa"/>
        </w:tcPr>
        <w:p w14:paraId="257C7CFC" w14:textId="4BB2DBEF" w:rsidR="004E0D27" w:rsidRDefault="004E0D27" w:rsidP="72C78327">
          <w:pPr>
            <w:pStyle w:val="Header"/>
            <w:jc w:val="center"/>
          </w:pPr>
        </w:p>
      </w:tc>
      <w:tc>
        <w:tcPr>
          <w:tcW w:w="3120" w:type="dxa"/>
        </w:tcPr>
        <w:p w14:paraId="031E0D5C" w14:textId="659CC207" w:rsidR="004E0D27" w:rsidRDefault="004E0D27" w:rsidP="72C78327">
          <w:pPr>
            <w:pStyle w:val="Header"/>
            <w:ind w:right="-115"/>
            <w:jc w:val="right"/>
          </w:pPr>
        </w:p>
      </w:tc>
    </w:tr>
  </w:tbl>
  <w:p w14:paraId="133B0DD3" w14:textId="76BB34F5" w:rsidR="004E0D27" w:rsidRDefault="004E0D27" w:rsidP="72C783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527" w:hanging="360"/>
      </w:pPr>
      <w:rPr>
        <w:rFonts w:ascii="Symbol" w:hAnsi="Symbol" w:cs="Symbol"/>
        <w:b w:val="0"/>
        <w:bCs w:val="0"/>
        <w:i w:val="0"/>
        <w:iCs w:val="0"/>
        <w:spacing w:val="0"/>
        <w:w w:val="99"/>
        <w:sz w:val="20"/>
        <w:szCs w:val="20"/>
      </w:rPr>
    </w:lvl>
    <w:lvl w:ilvl="1">
      <w:numFmt w:val="bullet"/>
      <w:lvlText w:val="•"/>
      <w:lvlJc w:val="left"/>
      <w:pPr>
        <w:ind w:left="1426" w:hanging="360"/>
      </w:pPr>
    </w:lvl>
    <w:lvl w:ilvl="2">
      <w:numFmt w:val="bullet"/>
      <w:lvlText w:val="•"/>
      <w:lvlJc w:val="left"/>
      <w:pPr>
        <w:ind w:left="2332" w:hanging="360"/>
      </w:pPr>
    </w:lvl>
    <w:lvl w:ilvl="3">
      <w:numFmt w:val="bullet"/>
      <w:lvlText w:val="•"/>
      <w:lvlJc w:val="left"/>
      <w:pPr>
        <w:ind w:left="3238" w:hanging="360"/>
      </w:pPr>
    </w:lvl>
    <w:lvl w:ilvl="4">
      <w:numFmt w:val="bullet"/>
      <w:lvlText w:val="•"/>
      <w:lvlJc w:val="left"/>
      <w:pPr>
        <w:ind w:left="4144" w:hanging="360"/>
      </w:pPr>
    </w:lvl>
    <w:lvl w:ilvl="5">
      <w:numFmt w:val="bullet"/>
      <w:lvlText w:val="•"/>
      <w:lvlJc w:val="left"/>
      <w:pPr>
        <w:ind w:left="5050" w:hanging="360"/>
      </w:pPr>
    </w:lvl>
    <w:lvl w:ilvl="6">
      <w:numFmt w:val="bullet"/>
      <w:lvlText w:val="•"/>
      <w:lvlJc w:val="left"/>
      <w:pPr>
        <w:ind w:left="5956" w:hanging="360"/>
      </w:pPr>
    </w:lvl>
    <w:lvl w:ilvl="7">
      <w:numFmt w:val="bullet"/>
      <w:lvlText w:val="•"/>
      <w:lvlJc w:val="left"/>
      <w:pPr>
        <w:ind w:left="6862" w:hanging="360"/>
      </w:pPr>
    </w:lvl>
    <w:lvl w:ilvl="8">
      <w:numFmt w:val="bullet"/>
      <w:lvlText w:val="•"/>
      <w:lvlJc w:val="left"/>
      <w:pPr>
        <w:ind w:left="7768" w:hanging="360"/>
      </w:pPr>
    </w:lvl>
  </w:abstractNum>
  <w:abstractNum w:abstractNumId="1" w15:restartNumberingAfterBreak="0">
    <w:nsid w:val="07BA2010"/>
    <w:multiLevelType w:val="multilevel"/>
    <w:tmpl w:val="A9A4AAD6"/>
    <w:styleLink w:val="CurrentList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D80857"/>
    <w:multiLevelType w:val="hybridMultilevel"/>
    <w:tmpl w:val="68A29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6105B1"/>
    <w:multiLevelType w:val="hybridMultilevel"/>
    <w:tmpl w:val="03B45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594D2F"/>
    <w:multiLevelType w:val="hybridMultilevel"/>
    <w:tmpl w:val="EC82FE6A"/>
    <w:lvl w:ilvl="0" w:tplc="541664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C27A9A"/>
    <w:multiLevelType w:val="hybridMultilevel"/>
    <w:tmpl w:val="65B43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3D1508"/>
    <w:multiLevelType w:val="multilevel"/>
    <w:tmpl w:val="264213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167514E"/>
    <w:multiLevelType w:val="hybridMultilevel"/>
    <w:tmpl w:val="E4CC0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8198E"/>
    <w:multiLevelType w:val="hybridMultilevel"/>
    <w:tmpl w:val="C674D050"/>
    <w:lvl w:ilvl="0" w:tplc="3EC698A6">
      <w:start w:val="1"/>
      <w:numFmt w:val="decimal"/>
      <w:pStyle w:val="ListParagraph"/>
      <w:lvlText w:val="%1."/>
      <w:lvlJc w:val="left"/>
      <w:pPr>
        <w:ind w:left="720" w:hanging="360"/>
      </w:pPr>
      <w:rPr>
        <w:rFonts w:hint="default"/>
        <w:sz w:val="24"/>
        <w:szCs w:val="24"/>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A26CAD"/>
    <w:multiLevelType w:val="hybridMultilevel"/>
    <w:tmpl w:val="0730F8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DC14B0"/>
    <w:multiLevelType w:val="hybridMultilevel"/>
    <w:tmpl w:val="895E44DE"/>
    <w:lvl w:ilvl="0" w:tplc="BC386826">
      <w:start w:val="1"/>
      <w:numFmt w:val="decimal"/>
      <w:pStyle w:val="Heading3"/>
      <w:lvlText w:val="(%1)"/>
      <w:lvlJc w:val="right"/>
      <w:pPr>
        <w:ind w:left="2520" w:hanging="360"/>
      </w:pPr>
      <w:rPr>
        <w:rFonts w:ascii="Times New Roman" w:hAnsi="Times New Roman" w:hint="default"/>
        <w:b w:val="0"/>
        <w:i w:val="0"/>
        <w:sz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0F2109"/>
    <w:multiLevelType w:val="hybridMultilevel"/>
    <w:tmpl w:val="36442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9C017C"/>
    <w:multiLevelType w:val="multilevel"/>
    <w:tmpl w:val="94E4668C"/>
    <w:styleLink w:val="CurrentList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3A06AF"/>
    <w:multiLevelType w:val="hybridMultilevel"/>
    <w:tmpl w:val="40682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62366C"/>
    <w:multiLevelType w:val="hybridMultilevel"/>
    <w:tmpl w:val="3B92D4F8"/>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2375B"/>
    <w:multiLevelType w:val="hybridMultilevel"/>
    <w:tmpl w:val="42C26FD8"/>
    <w:lvl w:ilvl="0" w:tplc="11625FD4">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ED11B8"/>
    <w:multiLevelType w:val="hybridMultilevel"/>
    <w:tmpl w:val="D010B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F5E53"/>
    <w:multiLevelType w:val="hybridMultilevel"/>
    <w:tmpl w:val="E0083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72949"/>
    <w:multiLevelType w:val="hybridMultilevel"/>
    <w:tmpl w:val="1C728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973C61"/>
    <w:multiLevelType w:val="multilevel"/>
    <w:tmpl w:val="2062C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652FE0"/>
    <w:multiLevelType w:val="multilevel"/>
    <w:tmpl w:val="0302D8B4"/>
    <w:styleLink w:val="CurrentList2"/>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F205C7C"/>
    <w:multiLevelType w:val="hybridMultilevel"/>
    <w:tmpl w:val="FFFFFFFF"/>
    <w:lvl w:ilvl="0" w:tplc="99A2885C">
      <w:start w:val="1"/>
      <w:numFmt w:val="upperRoman"/>
      <w:lvlText w:val="%1."/>
      <w:lvlJc w:val="left"/>
      <w:pPr>
        <w:ind w:left="1080" w:hanging="360"/>
      </w:pPr>
    </w:lvl>
    <w:lvl w:ilvl="1" w:tplc="B5C01676">
      <w:start w:val="1"/>
      <w:numFmt w:val="lowerLetter"/>
      <w:lvlText w:val="%2."/>
      <w:lvlJc w:val="left"/>
      <w:pPr>
        <w:ind w:left="1440" w:hanging="360"/>
      </w:pPr>
    </w:lvl>
    <w:lvl w:ilvl="2" w:tplc="FC5A9524">
      <w:start w:val="1"/>
      <w:numFmt w:val="lowerRoman"/>
      <w:lvlText w:val="%3."/>
      <w:lvlJc w:val="right"/>
      <w:pPr>
        <w:ind w:left="2160" w:hanging="180"/>
      </w:pPr>
    </w:lvl>
    <w:lvl w:ilvl="3" w:tplc="F886DA18">
      <w:start w:val="1"/>
      <w:numFmt w:val="decimal"/>
      <w:lvlText w:val="%4."/>
      <w:lvlJc w:val="left"/>
      <w:pPr>
        <w:ind w:left="2880" w:hanging="360"/>
      </w:pPr>
    </w:lvl>
    <w:lvl w:ilvl="4" w:tplc="8E0CF17A">
      <w:start w:val="1"/>
      <w:numFmt w:val="lowerLetter"/>
      <w:lvlText w:val="%5."/>
      <w:lvlJc w:val="left"/>
      <w:pPr>
        <w:ind w:left="3600" w:hanging="360"/>
      </w:pPr>
    </w:lvl>
    <w:lvl w:ilvl="5" w:tplc="5B761FD4">
      <w:start w:val="1"/>
      <w:numFmt w:val="lowerRoman"/>
      <w:lvlText w:val="%6."/>
      <w:lvlJc w:val="right"/>
      <w:pPr>
        <w:ind w:left="4320" w:hanging="180"/>
      </w:pPr>
    </w:lvl>
    <w:lvl w:ilvl="6" w:tplc="4BDCBECC">
      <w:start w:val="1"/>
      <w:numFmt w:val="decimal"/>
      <w:lvlText w:val="%7."/>
      <w:lvlJc w:val="left"/>
      <w:pPr>
        <w:ind w:left="5040" w:hanging="360"/>
      </w:pPr>
    </w:lvl>
    <w:lvl w:ilvl="7" w:tplc="112630D6">
      <w:start w:val="1"/>
      <w:numFmt w:val="lowerLetter"/>
      <w:lvlText w:val="%8."/>
      <w:lvlJc w:val="left"/>
      <w:pPr>
        <w:ind w:left="5760" w:hanging="360"/>
      </w:pPr>
    </w:lvl>
    <w:lvl w:ilvl="8" w:tplc="E0A0F10C">
      <w:start w:val="1"/>
      <w:numFmt w:val="lowerRoman"/>
      <w:lvlText w:val="%9."/>
      <w:lvlJc w:val="right"/>
      <w:pPr>
        <w:ind w:left="6480" w:hanging="180"/>
      </w:pPr>
    </w:lvl>
  </w:abstractNum>
  <w:abstractNum w:abstractNumId="22" w15:restartNumberingAfterBreak="0">
    <w:nsid w:val="561074E4"/>
    <w:multiLevelType w:val="hybridMultilevel"/>
    <w:tmpl w:val="21AAC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CA21B7"/>
    <w:multiLevelType w:val="hybridMultilevel"/>
    <w:tmpl w:val="CAE06994"/>
    <w:lvl w:ilvl="0" w:tplc="C1FC6FBE">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DFA1765"/>
    <w:multiLevelType w:val="multilevel"/>
    <w:tmpl w:val="0302D8B4"/>
    <w:styleLink w:val="CurrentList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07705E"/>
    <w:multiLevelType w:val="hybridMultilevel"/>
    <w:tmpl w:val="100E3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38161E"/>
    <w:multiLevelType w:val="hybridMultilevel"/>
    <w:tmpl w:val="6A129394"/>
    <w:lvl w:ilvl="0" w:tplc="7DB86BA8">
      <w:start w:val="1"/>
      <w:numFmt w:val="lowerLetter"/>
      <w:pStyle w:val="Heading4"/>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6FD934A0"/>
    <w:multiLevelType w:val="hybridMultilevel"/>
    <w:tmpl w:val="3D9E4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7142C2"/>
    <w:multiLevelType w:val="hybridMultilevel"/>
    <w:tmpl w:val="558AF48E"/>
    <w:lvl w:ilvl="0" w:tplc="1306140C">
      <w:start w:val="2"/>
      <w:numFmt w:val="upperRoman"/>
      <w:pStyle w:val="Heading1"/>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205EF2"/>
    <w:multiLevelType w:val="hybridMultilevel"/>
    <w:tmpl w:val="7924D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57AB62"/>
    <w:multiLevelType w:val="hybridMultilevel"/>
    <w:tmpl w:val="F00EF35C"/>
    <w:lvl w:ilvl="0" w:tplc="D67A8548">
      <w:start w:val="1"/>
      <w:numFmt w:val="bullet"/>
      <w:lvlText w:val=""/>
      <w:lvlJc w:val="left"/>
      <w:pPr>
        <w:ind w:left="720" w:hanging="360"/>
      </w:pPr>
      <w:rPr>
        <w:rFonts w:ascii="Symbol" w:hAnsi="Symbol" w:hint="default"/>
      </w:rPr>
    </w:lvl>
    <w:lvl w:ilvl="1" w:tplc="8D6E4188">
      <w:start w:val="1"/>
      <w:numFmt w:val="bullet"/>
      <w:lvlText w:val="o"/>
      <w:lvlJc w:val="left"/>
      <w:pPr>
        <w:ind w:left="1440" w:hanging="360"/>
      </w:pPr>
      <w:rPr>
        <w:rFonts w:ascii="Courier New" w:hAnsi="Courier New" w:hint="default"/>
      </w:rPr>
    </w:lvl>
    <w:lvl w:ilvl="2" w:tplc="85300D72">
      <w:start w:val="1"/>
      <w:numFmt w:val="bullet"/>
      <w:lvlText w:val=""/>
      <w:lvlJc w:val="left"/>
      <w:pPr>
        <w:ind w:left="2160" w:hanging="360"/>
      </w:pPr>
      <w:rPr>
        <w:rFonts w:ascii="Wingdings" w:hAnsi="Wingdings" w:hint="default"/>
      </w:rPr>
    </w:lvl>
    <w:lvl w:ilvl="3" w:tplc="0C209364">
      <w:start w:val="1"/>
      <w:numFmt w:val="bullet"/>
      <w:lvlText w:val=""/>
      <w:lvlJc w:val="left"/>
      <w:pPr>
        <w:ind w:left="2880" w:hanging="360"/>
      </w:pPr>
      <w:rPr>
        <w:rFonts w:ascii="Symbol" w:hAnsi="Symbol" w:hint="default"/>
      </w:rPr>
    </w:lvl>
    <w:lvl w:ilvl="4" w:tplc="D5BC37F6">
      <w:start w:val="1"/>
      <w:numFmt w:val="bullet"/>
      <w:lvlText w:val="o"/>
      <w:lvlJc w:val="left"/>
      <w:pPr>
        <w:ind w:left="3600" w:hanging="360"/>
      </w:pPr>
      <w:rPr>
        <w:rFonts w:ascii="Courier New" w:hAnsi="Courier New" w:hint="default"/>
      </w:rPr>
    </w:lvl>
    <w:lvl w:ilvl="5" w:tplc="242CED8C">
      <w:start w:val="1"/>
      <w:numFmt w:val="bullet"/>
      <w:lvlText w:val=""/>
      <w:lvlJc w:val="left"/>
      <w:pPr>
        <w:ind w:left="4320" w:hanging="360"/>
      </w:pPr>
      <w:rPr>
        <w:rFonts w:ascii="Wingdings" w:hAnsi="Wingdings" w:hint="default"/>
      </w:rPr>
    </w:lvl>
    <w:lvl w:ilvl="6" w:tplc="C018055C">
      <w:start w:val="1"/>
      <w:numFmt w:val="bullet"/>
      <w:lvlText w:val=""/>
      <w:lvlJc w:val="left"/>
      <w:pPr>
        <w:ind w:left="5040" w:hanging="360"/>
      </w:pPr>
      <w:rPr>
        <w:rFonts w:ascii="Symbol" w:hAnsi="Symbol" w:hint="default"/>
      </w:rPr>
    </w:lvl>
    <w:lvl w:ilvl="7" w:tplc="17349536">
      <w:start w:val="1"/>
      <w:numFmt w:val="bullet"/>
      <w:lvlText w:val="o"/>
      <w:lvlJc w:val="left"/>
      <w:pPr>
        <w:ind w:left="5760" w:hanging="360"/>
      </w:pPr>
      <w:rPr>
        <w:rFonts w:ascii="Courier New" w:hAnsi="Courier New" w:hint="default"/>
      </w:rPr>
    </w:lvl>
    <w:lvl w:ilvl="8" w:tplc="C4B62950">
      <w:start w:val="1"/>
      <w:numFmt w:val="bullet"/>
      <w:lvlText w:val=""/>
      <w:lvlJc w:val="left"/>
      <w:pPr>
        <w:ind w:left="6480" w:hanging="360"/>
      </w:pPr>
      <w:rPr>
        <w:rFonts w:ascii="Wingdings" w:hAnsi="Wingdings" w:hint="default"/>
      </w:rPr>
    </w:lvl>
  </w:abstractNum>
  <w:abstractNum w:abstractNumId="31" w15:restartNumberingAfterBreak="0">
    <w:nsid w:val="7DEF7CDD"/>
    <w:multiLevelType w:val="multilevel"/>
    <w:tmpl w:val="F3F487C8"/>
    <w:styleLink w:val="CurrentList5"/>
    <w:lvl w:ilvl="0">
      <w:start w:val="1"/>
      <w:numFmt w:val="upperRoman"/>
      <w:lvlText w:val="%1I."/>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75297068">
    <w:abstractNumId w:val="30"/>
  </w:num>
  <w:num w:numId="2" w16cid:durableId="377634123">
    <w:abstractNumId w:val="21"/>
  </w:num>
  <w:num w:numId="3" w16cid:durableId="554043426">
    <w:abstractNumId w:val="28"/>
  </w:num>
  <w:num w:numId="4" w16cid:durableId="564143732">
    <w:abstractNumId w:val="14"/>
  </w:num>
  <w:num w:numId="5" w16cid:durableId="79371356">
    <w:abstractNumId w:val="9"/>
  </w:num>
  <w:num w:numId="6" w16cid:durableId="1051537588">
    <w:abstractNumId w:val="8"/>
  </w:num>
  <w:num w:numId="7" w16cid:durableId="118450129">
    <w:abstractNumId w:val="13"/>
  </w:num>
  <w:num w:numId="8" w16cid:durableId="1556156653">
    <w:abstractNumId w:val="18"/>
  </w:num>
  <w:num w:numId="9" w16cid:durableId="942877836">
    <w:abstractNumId w:val="2"/>
  </w:num>
  <w:num w:numId="10" w16cid:durableId="467357325">
    <w:abstractNumId w:val="16"/>
  </w:num>
  <w:num w:numId="11" w16cid:durableId="2141992046">
    <w:abstractNumId w:val="22"/>
  </w:num>
  <w:num w:numId="12" w16cid:durableId="1897282539">
    <w:abstractNumId w:val="3"/>
  </w:num>
  <w:num w:numId="13" w16cid:durableId="1815874246">
    <w:abstractNumId w:val="27"/>
  </w:num>
  <w:num w:numId="14" w16cid:durableId="2047555581">
    <w:abstractNumId w:val="7"/>
  </w:num>
  <w:num w:numId="15" w16cid:durableId="1244875114">
    <w:abstractNumId w:val="25"/>
  </w:num>
  <w:num w:numId="16" w16cid:durableId="1463619035">
    <w:abstractNumId w:val="11"/>
  </w:num>
  <w:num w:numId="17" w16cid:durableId="238903947">
    <w:abstractNumId w:val="17"/>
  </w:num>
  <w:num w:numId="18" w16cid:durableId="743650972">
    <w:abstractNumId w:val="29"/>
  </w:num>
  <w:num w:numId="19" w16cid:durableId="1408841543">
    <w:abstractNumId w:val="5"/>
  </w:num>
  <w:num w:numId="20" w16cid:durableId="202909201">
    <w:abstractNumId w:val="4"/>
  </w:num>
  <w:num w:numId="21" w16cid:durableId="1113130588">
    <w:abstractNumId w:val="15"/>
  </w:num>
  <w:num w:numId="22" w16cid:durableId="1007830553">
    <w:abstractNumId w:val="10"/>
  </w:num>
  <w:num w:numId="23" w16cid:durableId="1554388552">
    <w:abstractNumId w:val="15"/>
    <w:lvlOverride w:ilvl="0">
      <w:startOverride w:val="1"/>
    </w:lvlOverride>
  </w:num>
  <w:num w:numId="24" w16cid:durableId="123930272">
    <w:abstractNumId w:val="10"/>
    <w:lvlOverride w:ilvl="0">
      <w:startOverride w:val="1"/>
    </w:lvlOverride>
  </w:num>
  <w:num w:numId="25" w16cid:durableId="451168275">
    <w:abstractNumId w:val="10"/>
    <w:lvlOverride w:ilvl="0">
      <w:startOverride w:val="1"/>
    </w:lvlOverride>
  </w:num>
  <w:num w:numId="26" w16cid:durableId="1992707460">
    <w:abstractNumId w:val="10"/>
    <w:lvlOverride w:ilvl="0">
      <w:startOverride w:val="1"/>
    </w:lvlOverride>
  </w:num>
  <w:num w:numId="27" w16cid:durableId="1210727001">
    <w:abstractNumId w:val="10"/>
    <w:lvlOverride w:ilvl="0">
      <w:startOverride w:val="1"/>
    </w:lvlOverride>
  </w:num>
  <w:num w:numId="28" w16cid:durableId="341277247">
    <w:abstractNumId w:val="23"/>
  </w:num>
  <w:num w:numId="29" w16cid:durableId="1678536465">
    <w:abstractNumId w:val="10"/>
    <w:lvlOverride w:ilvl="0">
      <w:startOverride w:val="1"/>
    </w:lvlOverride>
  </w:num>
  <w:num w:numId="30" w16cid:durableId="1073427063">
    <w:abstractNumId w:val="10"/>
    <w:lvlOverride w:ilvl="0">
      <w:startOverride w:val="1"/>
    </w:lvlOverride>
  </w:num>
  <w:num w:numId="31" w16cid:durableId="1648820889">
    <w:abstractNumId w:val="10"/>
    <w:lvlOverride w:ilvl="0">
      <w:startOverride w:val="1"/>
    </w:lvlOverride>
  </w:num>
  <w:num w:numId="32" w16cid:durableId="812139969">
    <w:abstractNumId w:val="26"/>
  </w:num>
  <w:num w:numId="33" w16cid:durableId="1388069142">
    <w:abstractNumId w:val="26"/>
    <w:lvlOverride w:ilvl="0">
      <w:startOverride w:val="1"/>
    </w:lvlOverride>
  </w:num>
  <w:num w:numId="34" w16cid:durableId="2018803027">
    <w:abstractNumId w:val="26"/>
    <w:lvlOverride w:ilvl="0">
      <w:startOverride w:val="1"/>
    </w:lvlOverride>
  </w:num>
  <w:num w:numId="35" w16cid:durableId="160975284">
    <w:abstractNumId w:val="26"/>
    <w:lvlOverride w:ilvl="0">
      <w:startOverride w:val="1"/>
    </w:lvlOverride>
  </w:num>
  <w:num w:numId="36" w16cid:durableId="1140922676">
    <w:abstractNumId w:val="26"/>
    <w:lvlOverride w:ilvl="0">
      <w:startOverride w:val="1"/>
    </w:lvlOverride>
  </w:num>
  <w:num w:numId="37" w16cid:durableId="1915819026">
    <w:abstractNumId w:val="26"/>
    <w:lvlOverride w:ilvl="0">
      <w:startOverride w:val="1"/>
    </w:lvlOverride>
  </w:num>
  <w:num w:numId="38" w16cid:durableId="837423128">
    <w:abstractNumId w:val="15"/>
    <w:lvlOverride w:ilvl="0">
      <w:startOverride w:val="1"/>
    </w:lvlOverride>
  </w:num>
  <w:num w:numId="39" w16cid:durableId="1499811342">
    <w:abstractNumId w:val="10"/>
    <w:lvlOverride w:ilvl="0">
      <w:startOverride w:val="1"/>
    </w:lvlOverride>
  </w:num>
  <w:num w:numId="40" w16cid:durableId="707343103">
    <w:abstractNumId w:val="26"/>
    <w:lvlOverride w:ilvl="0">
      <w:startOverride w:val="1"/>
    </w:lvlOverride>
  </w:num>
  <w:num w:numId="41" w16cid:durableId="1648970584">
    <w:abstractNumId w:val="10"/>
  </w:num>
  <w:num w:numId="42" w16cid:durableId="498739247">
    <w:abstractNumId w:val="10"/>
    <w:lvlOverride w:ilvl="0">
      <w:startOverride w:val="1"/>
    </w:lvlOverride>
  </w:num>
  <w:num w:numId="43" w16cid:durableId="1011536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85022129">
    <w:abstractNumId w:val="19"/>
  </w:num>
  <w:num w:numId="45" w16cid:durableId="626276921">
    <w:abstractNumId w:val="15"/>
    <w:lvlOverride w:ilvl="0">
      <w:startOverride w:val="1"/>
    </w:lvlOverride>
  </w:num>
  <w:num w:numId="46" w16cid:durableId="888222707">
    <w:abstractNumId w:val="10"/>
    <w:lvlOverride w:ilvl="0">
      <w:startOverride w:val="1"/>
    </w:lvlOverride>
  </w:num>
  <w:num w:numId="47" w16cid:durableId="672807623">
    <w:abstractNumId w:val="6"/>
  </w:num>
  <w:num w:numId="48" w16cid:durableId="283002176">
    <w:abstractNumId w:val="10"/>
    <w:lvlOverride w:ilvl="0">
      <w:startOverride w:val="1"/>
    </w:lvlOverride>
  </w:num>
  <w:num w:numId="49" w16cid:durableId="2052727644">
    <w:abstractNumId w:val="0"/>
  </w:num>
  <w:num w:numId="50" w16cid:durableId="427849370">
    <w:abstractNumId w:val="12"/>
  </w:num>
  <w:num w:numId="51" w16cid:durableId="1431774296">
    <w:abstractNumId w:val="28"/>
  </w:num>
  <w:num w:numId="52" w16cid:durableId="1452162835">
    <w:abstractNumId w:val="20"/>
  </w:num>
  <w:num w:numId="53" w16cid:durableId="800078204">
    <w:abstractNumId w:val="24"/>
  </w:num>
  <w:num w:numId="54" w16cid:durableId="222109225">
    <w:abstractNumId w:val="31"/>
  </w:num>
  <w:num w:numId="55" w16cid:durableId="687220165">
    <w:abstractNumId w:val="28"/>
    <w:lvlOverride w:ilvl="0">
      <w:startOverride w:val="4"/>
    </w:lvlOverride>
  </w:num>
  <w:num w:numId="56" w16cid:durableId="1215315551">
    <w:abstractNumId w:val="1"/>
  </w:num>
  <w:num w:numId="57" w16cid:durableId="967009663">
    <w:abstractNumId w:val="28"/>
    <w:lvlOverride w:ilvl="0">
      <w:startOverride w:val="2"/>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4C6"/>
    <w:rsid w:val="00000C2B"/>
    <w:rsid w:val="00001197"/>
    <w:rsid w:val="00001DD0"/>
    <w:rsid w:val="00001FA7"/>
    <w:rsid w:val="00002BA2"/>
    <w:rsid w:val="00002F65"/>
    <w:rsid w:val="0000578A"/>
    <w:rsid w:val="00006D27"/>
    <w:rsid w:val="0000799B"/>
    <w:rsid w:val="00011B93"/>
    <w:rsid w:val="000126F6"/>
    <w:rsid w:val="000135A0"/>
    <w:rsid w:val="0001522A"/>
    <w:rsid w:val="000205C9"/>
    <w:rsid w:val="00020CFA"/>
    <w:rsid w:val="00021500"/>
    <w:rsid w:val="00021599"/>
    <w:rsid w:val="00023745"/>
    <w:rsid w:val="00025B00"/>
    <w:rsid w:val="000306D2"/>
    <w:rsid w:val="000310B3"/>
    <w:rsid w:val="00031C91"/>
    <w:rsid w:val="000331C3"/>
    <w:rsid w:val="00033D77"/>
    <w:rsid w:val="00034279"/>
    <w:rsid w:val="00034657"/>
    <w:rsid w:val="00035C13"/>
    <w:rsid w:val="000362C9"/>
    <w:rsid w:val="00036381"/>
    <w:rsid w:val="00036B19"/>
    <w:rsid w:val="00036B84"/>
    <w:rsid w:val="0004232C"/>
    <w:rsid w:val="00043966"/>
    <w:rsid w:val="00043ED4"/>
    <w:rsid w:val="0004433C"/>
    <w:rsid w:val="000451AA"/>
    <w:rsid w:val="000455A6"/>
    <w:rsid w:val="000455C7"/>
    <w:rsid w:val="00045DB9"/>
    <w:rsid w:val="00047499"/>
    <w:rsid w:val="00050017"/>
    <w:rsid w:val="00050333"/>
    <w:rsid w:val="00052208"/>
    <w:rsid w:val="00056E41"/>
    <w:rsid w:val="00056FC9"/>
    <w:rsid w:val="000575B9"/>
    <w:rsid w:val="00057A77"/>
    <w:rsid w:val="0006061E"/>
    <w:rsid w:val="00060A87"/>
    <w:rsid w:val="00060E7F"/>
    <w:rsid w:val="0006101F"/>
    <w:rsid w:val="0006171A"/>
    <w:rsid w:val="00062143"/>
    <w:rsid w:val="000628C9"/>
    <w:rsid w:val="0006465D"/>
    <w:rsid w:val="000702A3"/>
    <w:rsid w:val="00070A75"/>
    <w:rsid w:val="00071474"/>
    <w:rsid w:val="00073C77"/>
    <w:rsid w:val="000771F2"/>
    <w:rsid w:val="000809E2"/>
    <w:rsid w:val="00083ADD"/>
    <w:rsid w:val="00086BDC"/>
    <w:rsid w:val="0008705E"/>
    <w:rsid w:val="000910B8"/>
    <w:rsid w:val="00092762"/>
    <w:rsid w:val="00092885"/>
    <w:rsid w:val="000929FD"/>
    <w:rsid w:val="0009413A"/>
    <w:rsid w:val="00094F3A"/>
    <w:rsid w:val="00096965"/>
    <w:rsid w:val="00096C62"/>
    <w:rsid w:val="00097DC0"/>
    <w:rsid w:val="000A00A3"/>
    <w:rsid w:val="000A21C3"/>
    <w:rsid w:val="000A2FFE"/>
    <w:rsid w:val="000A3BF3"/>
    <w:rsid w:val="000A419E"/>
    <w:rsid w:val="000A427C"/>
    <w:rsid w:val="000B1AEF"/>
    <w:rsid w:val="000B24EA"/>
    <w:rsid w:val="000B2874"/>
    <w:rsid w:val="000B5FAC"/>
    <w:rsid w:val="000B7DC2"/>
    <w:rsid w:val="000C1883"/>
    <w:rsid w:val="000C1962"/>
    <w:rsid w:val="000C2640"/>
    <w:rsid w:val="000C2F83"/>
    <w:rsid w:val="000C3DEB"/>
    <w:rsid w:val="000C4634"/>
    <w:rsid w:val="000C47EF"/>
    <w:rsid w:val="000C6BE8"/>
    <w:rsid w:val="000D0CA6"/>
    <w:rsid w:val="000D0F00"/>
    <w:rsid w:val="000D66E3"/>
    <w:rsid w:val="000D7146"/>
    <w:rsid w:val="000D71E9"/>
    <w:rsid w:val="000E24E0"/>
    <w:rsid w:val="000E3AFA"/>
    <w:rsid w:val="000E544E"/>
    <w:rsid w:val="000F00AE"/>
    <w:rsid w:val="000F0BC9"/>
    <w:rsid w:val="000F108F"/>
    <w:rsid w:val="000F3826"/>
    <w:rsid w:val="000F44B4"/>
    <w:rsid w:val="000F4A08"/>
    <w:rsid w:val="000F4C3C"/>
    <w:rsid w:val="000F6AD9"/>
    <w:rsid w:val="000F6FCC"/>
    <w:rsid w:val="000F7369"/>
    <w:rsid w:val="000F78CE"/>
    <w:rsid w:val="000F7965"/>
    <w:rsid w:val="00101E96"/>
    <w:rsid w:val="00101FBE"/>
    <w:rsid w:val="00103619"/>
    <w:rsid w:val="0010471F"/>
    <w:rsid w:val="00106F7C"/>
    <w:rsid w:val="00107998"/>
    <w:rsid w:val="00110153"/>
    <w:rsid w:val="001109E1"/>
    <w:rsid w:val="00110FB6"/>
    <w:rsid w:val="00111302"/>
    <w:rsid w:val="0011291D"/>
    <w:rsid w:val="00113178"/>
    <w:rsid w:val="00113700"/>
    <w:rsid w:val="0011386D"/>
    <w:rsid w:val="00114881"/>
    <w:rsid w:val="00116572"/>
    <w:rsid w:val="00117F8E"/>
    <w:rsid w:val="00120085"/>
    <w:rsid w:val="00122AFE"/>
    <w:rsid w:val="001230E8"/>
    <w:rsid w:val="00123CD4"/>
    <w:rsid w:val="00124266"/>
    <w:rsid w:val="00124FF6"/>
    <w:rsid w:val="001251E0"/>
    <w:rsid w:val="0012522C"/>
    <w:rsid w:val="00126C43"/>
    <w:rsid w:val="00127B03"/>
    <w:rsid w:val="0013021E"/>
    <w:rsid w:val="00131B70"/>
    <w:rsid w:val="00133ACA"/>
    <w:rsid w:val="00133B13"/>
    <w:rsid w:val="001343A3"/>
    <w:rsid w:val="0013475D"/>
    <w:rsid w:val="00135B10"/>
    <w:rsid w:val="001364B1"/>
    <w:rsid w:val="0013777F"/>
    <w:rsid w:val="00137D5B"/>
    <w:rsid w:val="00141AD0"/>
    <w:rsid w:val="001423A3"/>
    <w:rsid w:val="001453DC"/>
    <w:rsid w:val="0014666B"/>
    <w:rsid w:val="00146A35"/>
    <w:rsid w:val="00146F4D"/>
    <w:rsid w:val="00147588"/>
    <w:rsid w:val="00147603"/>
    <w:rsid w:val="00150618"/>
    <w:rsid w:val="00150E00"/>
    <w:rsid w:val="00152A89"/>
    <w:rsid w:val="00153C82"/>
    <w:rsid w:val="0015715D"/>
    <w:rsid w:val="00162498"/>
    <w:rsid w:val="00162644"/>
    <w:rsid w:val="00162BBE"/>
    <w:rsid w:val="00167AA6"/>
    <w:rsid w:val="00170505"/>
    <w:rsid w:val="00170960"/>
    <w:rsid w:val="00171038"/>
    <w:rsid w:val="00171DED"/>
    <w:rsid w:val="00173697"/>
    <w:rsid w:val="001765A3"/>
    <w:rsid w:val="00176BEE"/>
    <w:rsid w:val="00177B1A"/>
    <w:rsid w:val="00180475"/>
    <w:rsid w:val="0018059D"/>
    <w:rsid w:val="0018156C"/>
    <w:rsid w:val="001823F3"/>
    <w:rsid w:val="00182C2F"/>
    <w:rsid w:val="001831BB"/>
    <w:rsid w:val="00183705"/>
    <w:rsid w:val="001848AB"/>
    <w:rsid w:val="00185455"/>
    <w:rsid w:val="00187828"/>
    <w:rsid w:val="00190001"/>
    <w:rsid w:val="0019094A"/>
    <w:rsid w:val="00191E9D"/>
    <w:rsid w:val="00193015"/>
    <w:rsid w:val="0019419B"/>
    <w:rsid w:val="00195343"/>
    <w:rsid w:val="001957E4"/>
    <w:rsid w:val="00195EAC"/>
    <w:rsid w:val="00197004"/>
    <w:rsid w:val="001A1FEA"/>
    <w:rsid w:val="001A272A"/>
    <w:rsid w:val="001A42EB"/>
    <w:rsid w:val="001A45BF"/>
    <w:rsid w:val="001A644F"/>
    <w:rsid w:val="001A7EC3"/>
    <w:rsid w:val="001A7ECC"/>
    <w:rsid w:val="001A7F2B"/>
    <w:rsid w:val="001B2772"/>
    <w:rsid w:val="001B29A7"/>
    <w:rsid w:val="001B51E5"/>
    <w:rsid w:val="001B5450"/>
    <w:rsid w:val="001B5562"/>
    <w:rsid w:val="001B5747"/>
    <w:rsid w:val="001B6B13"/>
    <w:rsid w:val="001C21CE"/>
    <w:rsid w:val="001C24A1"/>
    <w:rsid w:val="001C29F4"/>
    <w:rsid w:val="001C2E2C"/>
    <w:rsid w:val="001C2FEC"/>
    <w:rsid w:val="001C36D7"/>
    <w:rsid w:val="001C375B"/>
    <w:rsid w:val="001C446D"/>
    <w:rsid w:val="001C640E"/>
    <w:rsid w:val="001C652E"/>
    <w:rsid w:val="001C66CA"/>
    <w:rsid w:val="001D01E5"/>
    <w:rsid w:val="001D10F5"/>
    <w:rsid w:val="001D30D0"/>
    <w:rsid w:val="001D498C"/>
    <w:rsid w:val="001D5133"/>
    <w:rsid w:val="001E1727"/>
    <w:rsid w:val="001E199E"/>
    <w:rsid w:val="001E31C2"/>
    <w:rsid w:val="001E37B8"/>
    <w:rsid w:val="001E3C71"/>
    <w:rsid w:val="001E62DB"/>
    <w:rsid w:val="001F041D"/>
    <w:rsid w:val="001F327D"/>
    <w:rsid w:val="001F4A11"/>
    <w:rsid w:val="001F4D10"/>
    <w:rsid w:val="002001DC"/>
    <w:rsid w:val="00200476"/>
    <w:rsid w:val="002042B6"/>
    <w:rsid w:val="00205051"/>
    <w:rsid w:val="00206036"/>
    <w:rsid w:val="0020608C"/>
    <w:rsid w:val="00206DFC"/>
    <w:rsid w:val="00207212"/>
    <w:rsid w:val="00210D70"/>
    <w:rsid w:val="00212D97"/>
    <w:rsid w:val="00213DD0"/>
    <w:rsid w:val="00214743"/>
    <w:rsid w:val="00215D27"/>
    <w:rsid w:val="00215DCA"/>
    <w:rsid w:val="00215F8B"/>
    <w:rsid w:val="002161D1"/>
    <w:rsid w:val="00217DEC"/>
    <w:rsid w:val="00220134"/>
    <w:rsid w:val="00220701"/>
    <w:rsid w:val="002221CB"/>
    <w:rsid w:val="00222CE6"/>
    <w:rsid w:val="00223161"/>
    <w:rsid w:val="00223567"/>
    <w:rsid w:val="00223BD9"/>
    <w:rsid w:val="00224A21"/>
    <w:rsid w:val="002275BE"/>
    <w:rsid w:val="00227FB1"/>
    <w:rsid w:val="00232336"/>
    <w:rsid w:val="00234D5F"/>
    <w:rsid w:val="002358AB"/>
    <w:rsid w:val="00235D65"/>
    <w:rsid w:val="00236AC7"/>
    <w:rsid w:val="00236FD7"/>
    <w:rsid w:val="002373DE"/>
    <w:rsid w:val="00237D5E"/>
    <w:rsid w:val="00240CAC"/>
    <w:rsid w:val="00241605"/>
    <w:rsid w:val="002450FC"/>
    <w:rsid w:val="00247399"/>
    <w:rsid w:val="00254118"/>
    <w:rsid w:val="00254D82"/>
    <w:rsid w:val="00257229"/>
    <w:rsid w:val="002603E9"/>
    <w:rsid w:val="002622C9"/>
    <w:rsid w:val="00263D6C"/>
    <w:rsid w:val="002641DA"/>
    <w:rsid w:val="0026449B"/>
    <w:rsid w:val="00264519"/>
    <w:rsid w:val="00265694"/>
    <w:rsid w:val="00265E71"/>
    <w:rsid w:val="00266478"/>
    <w:rsid w:val="002670F3"/>
    <w:rsid w:val="002673BA"/>
    <w:rsid w:val="00267CCE"/>
    <w:rsid w:val="00270FF8"/>
    <w:rsid w:val="00271759"/>
    <w:rsid w:val="00271CC4"/>
    <w:rsid w:val="002731D9"/>
    <w:rsid w:val="002732FA"/>
    <w:rsid w:val="002742C0"/>
    <w:rsid w:val="002754D0"/>
    <w:rsid w:val="00275BCD"/>
    <w:rsid w:val="00277DED"/>
    <w:rsid w:val="00280506"/>
    <w:rsid w:val="00280751"/>
    <w:rsid w:val="00280B34"/>
    <w:rsid w:val="00282522"/>
    <w:rsid w:val="00284C44"/>
    <w:rsid w:val="002856F9"/>
    <w:rsid w:val="002857CB"/>
    <w:rsid w:val="002869E8"/>
    <w:rsid w:val="00286E9D"/>
    <w:rsid w:val="002906B1"/>
    <w:rsid w:val="00296448"/>
    <w:rsid w:val="00296C54"/>
    <w:rsid w:val="002977C5"/>
    <w:rsid w:val="002A02B7"/>
    <w:rsid w:val="002A0886"/>
    <w:rsid w:val="002A1196"/>
    <w:rsid w:val="002A1C8D"/>
    <w:rsid w:val="002A21EF"/>
    <w:rsid w:val="002A2781"/>
    <w:rsid w:val="002A3FDF"/>
    <w:rsid w:val="002A543F"/>
    <w:rsid w:val="002A7834"/>
    <w:rsid w:val="002A7D06"/>
    <w:rsid w:val="002B007C"/>
    <w:rsid w:val="002B194E"/>
    <w:rsid w:val="002B1E94"/>
    <w:rsid w:val="002B33AB"/>
    <w:rsid w:val="002B440D"/>
    <w:rsid w:val="002B49B8"/>
    <w:rsid w:val="002B5881"/>
    <w:rsid w:val="002B60AD"/>
    <w:rsid w:val="002C04CD"/>
    <w:rsid w:val="002C1787"/>
    <w:rsid w:val="002C1D4B"/>
    <w:rsid w:val="002C2FC5"/>
    <w:rsid w:val="002C357B"/>
    <w:rsid w:val="002C3CF9"/>
    <w:rsid w:val="002C53BF"/>
    <w:rsid w:val="002C5423"/>
    <w:rsid w:val="002C5A20"/>
    <w:rsid w:val="002C5E78"/>
    <w:rsid w:val="002C6926"/>
    <w:rsid w:val="002D002A"/>
    <w:rsid w:val="002D04E6"/>
    <w:rsid w:val="002D1909"/>
    <w:rsid w:val="002D22B6"/>
    <w:rsid w:val="002D26E1"/>
    <w:rsid w:val="002D7AE7"/>
    <w:rsid w:val="002E06AB"/>
    <w:rsid w:val="002E09C0"/>
    <w:rsid w:val="002E0C9B"/>
    <w:rsid w:val="002E20E0"/>
    <w:rsid w:val="002E2846"/>
    <w:rsid w:val="002E6B94"/>
    <w:rsid w:val="002E7180"/>
    <w:rsid w:val="002F164D"/>
    <w:rsid w:val="002F5949"/>
    <w:rsid w:val="00301AAA"/>
    <w:rsid w:val="00302432"/>
    <w:rsid w:val="0030315A"/>
    <w:rsid w:val="003068E3"/>
    <w:rsid w:val="003069C5"/>
    <w:rsid w:val="0031074E"/>
    <w:rsid w:val="003119E5"/>
    <w:rsid w:val="003122CD"/>
    <w:rsid w:val="0031397A"/>
    <w:rsid w:val="00314CFC"/>
    <w:rsid w:val="00315D16"/>
    <w:rsid w:val="00317F2F"/>
    <w:rsid w:val="0032086A"/>
    <w:rsid w:val="0032265F"/>
    <w:rsid w:val="00322C1A"/>
    <w:rsid w:val="0032312E"/>
    <w:rsid w:val="003231E5"/>
    <w:rsid w:val="003234D0"/>
    <w:rsid w:val="00324CD1"/>
    <w:rsid w:val="00324ECE"/>
    <w:rsid w:val="00326A04"/>
    <w:rsid w:val="00327563"/>
    <w:rsid w:val="00327D35"/>
    <w:rsid w:val="00327EC6"/>
    <w:rsid w:val="00330DA1"/>
    <w:rsid w:val="003310A9"/>
    <w:rsid w:val="003323E7"/>
    <w:rsid w:val="00332951"/>
    <w:rsid w:val="00333473"/>
    <w:rsid w:val="00333D88"/>
    <w:rsid w:val="00334839"/>
    <w:rsid w:val="0033611E"/>
    <w:rsid w:val="0033751B"/>
    <w:rsid w:val="003401A9"/>
    <w:rsid w:val="00341946"/>
    <w:rsid w:val="00343E0F"/>
    <w:rsid w:val="0034421D"/>
    <w:rsid w:val="00345605"/>
    <w:rsid w:val="00345B45"/>
    <w:rsid w:val="003507CE"/>
    <w:rsid w:val="00351E74"/>
    <w:rsid w:val="00353762"/>
    <w:rsid w:val="003559A6"/>
    <w:rsid w:val="00356E5C"/>
    <w:rsid w:val="00357D07"/>
    <w:rsid w:val="00360352"/>
    <w:rsid w:val="003608AD"/>
    <w:rsid w:val="00360A6E"/>
    <w:rsid w:val="00360B3A"/>
    <w:rsid w:val="00362734"/>
    <w:rsid w:val="003637E7"/>
    <w:rsid w:val="00363F61"/>
    <w:rsid w:val="003653E0"/>
    <w:rsid w:val="0036542B"/>
    <w:rsid w:val="00366B52"/>
    <w:rsid w:val="003678B7"/>
    <w:rsid w:val="003712BA"/>
    <w:rsid w:val="00371CB3"/>
    <w:rsid w:val="00374109"/>
    <w:rsid w:val="00375B2D"/>
    <w:rsid w:val="00380A49"/>
    <w:rsid w:val="003812A4"/>
    <w:rsid w:val="00382D21"/>
    <w:rsid w:val="00382EBB"/>
    <w:rsid w:val="003836EB"/>
    <w:rsid w:val="00384289"/>
    <w:rsid w:val="0038501D"/>
    <w:rsid w:val="00385461"/>
    <w:rsid w:val="00387B83"/>
    <w:rsid w:val="00390EA6"/>
    <w:rsid w:val="00391A89"/>
    <w:rsid w:val="00391C8D"/>
    <w:rsid w:val="00391F8A"/>
    <w:rsid w:val="00392212"/>
    <w:rsid w:val="00392B6F"/>
    <w:rsid w:val="00392EB4"/>
    <w:rsid w:val="00393B78"/>
    <w:rsid w:val="0039486D"/>
    <w:rsid w:val="00395769"/>
    <w:rsid w:val="00395799"/>
    <w:rsid w:val="00396172"/>
    <w:rsid w:val="003A1390"/>
    <w:rsid w:val="003A1EF9"/>
    <w:rsid w:val="003A37B7"/>
    <w:rsid w:val="003A3DE9"/>
    <w:rsid w:val="003A454B"/>
    <w:rsid w:val="003A639E"/>
    <w:rsid w:val="003A6EB0"/>
    <w:rsid w:val="003A6F9B"/>
    <w:rsid w:val="003A7A41"/>
    <w:rsid w:val="003B1C40"/>
    <w:rsid w:val="003B1EBC"/>
    <w:rsid w:val="003B1F50"/>
    <w:rsid w:val="003B2372"/>
    <w:rsid w:val="003B2F73"/>
    <w:rsid w:val="003B570C"/>
    <w:rsid w:val="003B61F3"/>
    <w:rsid w:val="003B74A3"/>
    <w:rsid w:val="003C03C7"/>
    <w:rsid w:val="003C274D"/>
    <w:rsid w:val="003C4C0D"/>
    <w:rsid w:val="003C5C05"/>
    <w:rsid w:val="003C6748"/>
    <w:rsid w:val="003C7EA1"/>
    <w:rsid w:val="003D1322"/>
    <w:rsid w:val="003D1D22"/>
    <w:rsid w:val="003D273D"/>
    <w:rsid w:val="003D3897"/>
    <w:rsid w:val="003D3AF6"/>
    <w:rsid w:val="003D7F2B"/>
    <w:rsid w:val="003E151E"/>
    <w:rsid w:val="003E168B"/>
    <w:rsid w:val="003E3C17"/>
    <w:rsid w:val="003E4039"/>
    <w:rsid w:val="003E537A"/>
    <w:rsid w:val="003E5982"/>
    <w:rsid w:val="003E5DD6"/>
    <w:rsid w:val="003E5E8C"/>
    <w:rsid w:val="003E6DDB"/>
    <w:rsid w:val="003E706E"/>
    <w:rsid w:val="003E7FAB"/>
    <w:rsid w:val="003F109E"/>
    <w:rsid w:val="003F2577"/>
    <w:rsid w:val="003F34ED"/>
    <w:rsid w:val="003F3567"/>
    <w:rsid w:val="003F5B74"/>
    <w:rsid w:val="003F627C"/>
    <w:rsid w:val="003F7B3D"/>
    <w:rsid w:val="00401C05"/>
    <w:rsid w:val="00402420"/>
    <w:rsid w:val="004029F2"/>
    <w:rsid w:val="004035C3"/>
    <w:rsid w:val="00403C63"/>
    <w:rsid w:val="00405B41"/>
    <w:rsid w:val="00405D85"/>
    <w:rsid w:val="00405FFA"/>
    <w:rsid w:val="00407C51"/>
    <w:rsid w:val="004100DC"/>
    <w:rsid w:val="004105EB"/>
    <w:rsid w:val="00411124"/>
    <w:rsid w:val="004120C0"/>
    <w:rsid w:val="00412447"/>
    <w:rsid w:val="0041297E"/>
    <w:rsid w:val="00413BF3"/>
    <w:rsid w:val="00417EEA"/>
    <w:rsid w:val="0042011A"/>
    <w:rsid w:val="004231FE"/>
    <w:rsid w:val="004245BA"/>
    <w:rsid w:val="0042475E"/>
    <w:rsid w:val="004253AC"/>
    <w:rsid w:val="00425705"/>
    <w:rsid w:val="00425ADE"/>
    <w:rsid w:val="00427261"/>
    <w:rsid w:val="00431B1C"/>
    <w:rsid w:val="00432146"/>
    <w:rsid w:val="00433528"/>
    <w:rsid w:val="00433810"/>
    <w:rsid w:val="00433A1E"/>
    <w:rsid w:val="0043457C"/>
    <w:rsid w:val="004362E3"/>
    <w:rsid w:val="00436438"/>
    <w:rsid w:val="00436ED1"/>
    <w:rsid w:val="00437A95"/>
    <w:rsid w:val="0044252E"/>
    <w:rsid w:val="004435D1"/>
    <w:rsid w:val="00443DE6"/>
    <w:rsid w:val="00444FC9"/>
    <w:rsid w:val="0044517E"/>
    <w:rsid w:val="00446CCB"/>
    <w:rsid w:val="00446E62"/>
    <w:rsid w:val="00452053"/>
    <w:rsid w:val="0045473B"/>
    <w:rsid w:val="0045523B"/>
    <w:rsid w:val="00455773"/>
    <w:rsid w:val="00456C3D"/>
    <w:rsid w:val="00457760"/>
    <w:rsid w:val="00461E22"/>
    <w:rsid w:val="0046322B"/>
    <w:rsid w:val="00464AEF"/>
    <w:rsid w:val="004677AC"/>
    <w:rsid w:val="00471815"/>
    <w:rsid w:val="004720E5"/>
    <w:rsid w:val="00475704"/>
    <w:rsid w:val="00475736"/>
    <w:rsid w:val="004759E5"/>
    <w:rsid w:val="00475A1F"/>
    <w:rsid w:val="00476D11"/>
    <w:rsid w:val="00481511"/>
    <w:rsid w:val="00481A0E"/>
    <w:rsid w:val="00483A83"/>
    <w:rsid w:val="00484BE2"/>
    <w:rsid w:val="00485A10"/>
    <w:rsid w:val="00490E18"/>
    <w:rsid w:val="00492501"/>
    <w:rsid w:val="00492557"/>
    <w:rsid w:val="00495143"/>
    <w:rsid w:val="00495C40"/>
    <w:rsid w:val="004A3B4F"/>
    <w:rsid w:val="004A4C66"/>
    <w:rsid w:val="004A5257"/>
    <w:rsid w:val="004A6A02"/>
    <w:rsid w:val="004A71F1"/>
    <w:rsid w:val="004A7B70"/>
    <w:rsid w:val="004A7BEB"/>
    <w:rsid w:val="004B0A01"/>
    <w:rsid w:val="004B1785"/>
    <w:rsid w:val="004B1BB0"/>
    <w:rsid w:val="004B1F4D"/>
    <w:rsid w:val="004B2944"/>
    <w:rsid w:val="004B3743"/>
    <w:rsid w:val="004B4115"/>
    <w:rsid w:val="004B7191"/>
    <w:rsid w:val="004B7C42"/>
    <w:rsid w:val="004C10BC"/>
    <w:rsid w:val="004C1423"/>
    <w:rsid w:val="004C28E3"/>
    <w:rsid w:val="004C3A11"/>
    <w:rsid w:val="004C4E4F"/>
    <w:rsid w:val="004C52CF"/>
    <w:rsid w:val="004C71BC"/>
    <w:rsid w:val="004D1B81"/>
    <w:rsid w:val="004D2919"/>
    <w:rsid w:val="004D2C72"/>
    <w:rsid w:val="004D6B2F"/>
    <w:rsid w:val="004E0D27"/>
    <w:rsid w:val="004E0E6A"/>
    <w:rsid w:val="004E18CD"/>
    <w:rsid w:val="004E3451"/>
    <w:rsid w:val="004E3FE1"/>
    <w:rsid w:val="004E44D2"/>
    <w:rsid w:val="004F0336"/>
    <w:rsid w:val="004F0EA3"/>
    <w:rsid w:val="004F147D"/>
    <w:rsid w:val="004F14BD"/>
    <w:rsid w:val="004F2D98"/>
    <w:rsid w:val="004F31CC"/>
    <w:rsid w:val="004F329E"/>
    <w:rsid w:val="004F4F96"/>
    <w:rsid w:val="004F5298"/>
    <w:rsid w:val="004F68FC"/>
    <w:rsid w:val="004F70E0"/>
    <w:rsid w:val="0050041C"/>
    <w:rsid w:val="0050059F"/>
    <w:rsid w:val="00500A51"/>
    <w:rsid w:val="00501375"/>
    <w:rsid w:val="00501CF3"/>
    <w:rsid w:val="00503694"/>
    <w:rsid w:val="00503B8A"/>
    <w:rsid w:val="00504B3A"/>
    <w:rsid w:val="00504F75"/>
    <w:rsid w:val="005050C1"/>
    <w:rsid w:val="005060F6"/>
    <w:rsid w:val="0050711B"/>
    <w:rsid w:val="00507FB1"/>
    <w:rsid w:val="005109A7"/>
    <w:rsid w:val="00512DF1"/>
    <w:rsid w:val="00513E9B"/>
    <w:rsid w:val="0051470C"/>
    <w:rsid w:val="00514CF6"/>
    <w:rsid w:val="00514D6C"/>
    <w:rsid w:val="00514E49"/>
    <w:rsid w:val="0051729D"/>
    <w:rsid w:val="00522262"/>
    <w:rsid w:val="00522F98"/>
    <w:rsid w:val="00524067"/>
    <w:rsid w:val="00524D24"/>
    <w:rsid w:val="00525C1F"/>
    <w:rsid w:val="00526197"/>
    <w:rsid w:val="00526766"/>
    <w:rsid w:val="00526A10"/>
    <w:rsid w:val="00527A93"/>
    <w:rsid w:val="00530A46"/>
    <w:rsid w:val="00532181"/>
    <w:rsid w:val="00532789"/>
    <w:rsid w:val="00532E83"/>
    <w:rsid w:val="005331E1"/>
    <w:rsid w:val="00534704"/>
    <w:rsid w:val="0054038E"/>
    <w:rsid w:val="005411D2"/>
    <w:rsid w:val="005416EA"/>
    <w:rsid w:val="00544638"/>
    <w:rsid w:val="00545479"/>
    <w:rsid w:val="005459EA"/>
    <w:rsid w:val="00546D62"/>
    <w:rsid w:val="00547C9C"/>
    <w:rsid w:val="00550151"/>
    <w:rsid w:val="005529AA"/>
    <w:rsid w:val="005561DA"/>
    <w:rsid w:val="0055636A"/>
    <w:rsid w:val="00556A21"/>
    <w:rsid w:val="0055776E"/>
    <w:rsid w:val="005626F7"/>
    <w:rsid w:val="00563B6E"/>
    <w:rsid w:val="00564A65"/>
    <w:rsid w:val="00564ECB"/>
    <w:rsid w:val="00565469"/>
    <w:rsid w:val="00565CEB"/>
    <w:rsid w:val="00566694"/>
    <w:rsid w:val="005675E9"/>
    <w:rsid w:val="005678B4"/>
    <w:rsid w:val="00567EEE"/>
    <w:rsid w:val="00570B5C"/>
    <w:rsid w:val="005721F4"/>
    <w:rsid w:val="0057350B"/>
    <w:rsid w:val="00581778"/>
    <w:rsid w:val="00581890"/>
    <w:rsid w:val="005821AC"/>
    <w:rsid w:val="00582773"/>
    <w:rsid w:val="00582823"/>
    <w:rsid w:val="00582C3E"/>
    <w:rsid w:val="00583585"/>
    <w:rsid w:val="00585506"/>
    <w:rsid w:val="0058580F"/>
    <w:rsid w:val="00585B6F"/>
    <w:rsid w:val="00585BA2"/>
    <w:rsid w:val="0058693D"/>
    <w:rsid w:val="005874EE"/>
    <w:rsid w:val="0058792F"/>
    <w:rsid w:val="0059272C"/>
    <w:rsid w:val="005936C9"/>
    <w:rsid w:val="00593AA3"/>
    <w:rsid w:val="00593CD9"/>
    <w:rsid w:val="00594245"/>
    <w:rsid w:val="0059621C"/>
    <w:rsid w:val="00596682"/>
    <w:rsid w:val="00597694"/>
    <w:rsid w:val="005A0F99"/>
    <w:rsid w:val="005A245A"/>
    <w:rsid w:val="005A3429"/>
    <w:rsid w:val="005A3ACD"/>
    <w:rsid w:val="005A435C"/>
    <w:rsid w:val="005A48B8"/>
    <w:rsid w:val="005A5C73"/>
    <w:rsid w:val="005B03E2"/>
    <w:rsid w:val="005B382B"/>
    <w:rsid w:val="005B5352"/>
    <w:rsid w:val="005B5A01"/>
    <w:rsid w:val="005B5A5B"/>
    <w:rsid w:val="005B6C92"/>
    <w:rsid w:val="005B7200"/>
    <w:rsid w:val="005C1225"/>
    <w:rsid w:val="005C1BE4"/>
    <w:rsid w:val="005C42C1"/>
    <w:rsid w:val="005C5B35"/>
    <w:rsid w:val="005C5DD4"/>
    <w:rsid w:val="005C5FC2"/>
    <w:rsid w:val="005C6812"/>
    <w:rsid w:val="005D09D1"/>
    <w:rsid w:val="005D0D68"/>
    <w:rsid w:val="005D1139"/>
    <w:rsid w:val="005D27F6"/>
    <w:rsid w:val="005D4D6F"/>
    <w:rsid w:val="005D565D"/>
    <w:rsid w:val="005D5AA0"/>
    <w:rsid w:val="005D68A2"/>
    <w:rsid w:val="005D730E"/>
    <w:rsid w:val="005E0080"/>
    <w:rsid w:val="005E0271"/>
    <w:rsid w:val="005E2446"/>
    <w:rsid w:val="005E5CDA"/>
    <w:rsid w:val="005E6A9E"/>
    <w:rsid w:val="005E6DC2"/>
    <w:rsid w:val="005E7016"/>
    <w:rsid w:val="005F1902"/>
    <w:rsid w:val="005F30F3"/>
    <w:rsid w:val="005F3BE4"/>
    <w:rsid w:val="005F5451"/>
    <w:rsid w:val="005F6B7E"/>
    <w:rsid w:val="00602E86"/>
    <w:rsid w:val="00606868"/>
    <w:rsid w:val="00606E8B"/>
    <w:rsid w:val="0061034F"/>
    <w:rsid w:val="006126B0"/>
    <w:rsid w:val="00612AA2"/>
    <w:rsid w:val="00613105"/>
    <w:rsid w:val="00613B7D"/>
    <w:rsid w:val="00613E41"/>
    <w:rsid w:val="00614816"/>
    <w:rsid w:val="006157F6"/>
    <w:rsid w:val="006166D8"/>
    <w:rsid w:val="00617A81"/>
    <w:rsid w:val="00617DC3"/>
    <w:rsid w:val="00617EA5"/>
    <w:rsid w:val="0062081B"/>
    <w:rsid w:val="00620F47"/>
    <w:rsid w:val="00621C0F"/>
    <w:rsid w:val="00621CBE"/>
    <w:rsid w:val="00623EB1"/>
    <w:rsid w:val="00625491"/>
    <w:rsid w:val="00627570"/>
    <w:rsid w:val="00630667"/>
    <w:rsid w:val="006314C1"/>
    <w:rsid w:val="00633888"/>
    <w:rsid w:val="00635DFC"/>
    <w:rsid w:val="00637DEE"/>
    <w:rsid w:val="00637E37"/>
    <w:rsid w:val="00642B81"/>
    <w:rsid w:val="00642FEC"/>
    <w:rsid w:val="00643CA4"/>
    <w:rsid w:val="00643EEE"/>
    <w:rsid w:val="006441E8"/>
    <w:rsid w:val="006448DF"/>
    <w:rsid w:val="0064575D"/>
    <w:rsid w:val="00646ABD"/>
    <w:rsid w:val="0064707F"/>
    <w:rsid w:val="006472D6"/>
    <w:rsid w:val="00647ADA"/>
    <w:rsid w:val="00652F8F"/>
    <w:rsid w:val="00654003"/>
    <w:rsid w:val="00654FD4"/>
    <w:rsid w:val="0065526D"/>
    <w:rsid w:val="00656F53"/>
    <w:rsid w:val="00660711"/>
    <w:rsid w:val="0066080F"/>
    <w:rsid w:val="006615F1"/>
    <w:rsid w:val="006617C7"/>
    <w:rsid w:val="006619FA"/>
    <w:rsid w:val="00664191"/>
    <w:rsid w:val="00664F59"/>
    <w:rsid w:val="00665490"/>
    <w:rsid w:val="006704CE"/>
    <w:rsid w:val="00671795"/>
    <w:rsid w:val="00675258"/>
    <w:rsid w:val="006760D4"/>
    <w:rsid w:val="00676E6D"/>
    <w:rsid w:val="00681500"/>
    <w:rsid w:val="00682AB1"/>
    <w:rsid w:val="00684266"/>
    <w:rsid w:val="0068574A"/>
    <w:rsid w:val="006871F6"/>
    <w:rsid w:val="006911CB"/>
    <w:rsid w:val="0069242D"/>
    <w:rsid w:val="00693284"/>
    <w:rsid w:val="006939A8"/>
    <w:rsid w:val="006941EC"/>
    <w:rsid w:val="00694B69"/>
    <w:rsid w:val="00695B4F"/>
    <w:rsid w:val="0069677F"/>
    <w:rsid w:val="006969D3"/>
    <w:rsid w:val="00696C6D"/>
    <w:rsid w:val="006A4BEB"/>
    <w:rsid w:val="006B0DE6"/>
    <w:rsid w:val="006B4347"/>
    <w:rsid w:val="006B4865"/>
    <w:rsid w:val="006B71F3"/>
    <w:rsid w:val="006B789E"/>
    <w:rsid w:val="006C1B07"/>
    <w:rsid w:val="006C1B1F"/>
    <w:rsid w:val="006C1F96"/>
    <w:rsid w:val="006C2E1E"/>
    <w:rsid w:val="006C3A50"/>
    <w:rsid w:val="006C417B"/>
    <w:rsid w:val="006C4875"/>
    <w:rsid w:val="006C6C9D"/>
    <w:rsid w:val="006C7C17"/>
    <w:rsid w:val="006D0989"/>
    <w:rsid w:val="006D192C"/>
    <w:rsid w:val="006D3C6C"/>
    <w:rsid w:val="006D5B49"/>
    <w:rsid w:val="006D622A"/>
    <w:rsid w:val="006D6A07"/>
    <w:rsid w:val="006D6FA3"/>
    <w:rsid w:val="006D7852"/>
    <w:rsid w:val="006E025B"/>
    <w:rsid w:val="006E083C"/>
    <w:rsid w:val="006E172D"/>
    <w:rsid w:val="006E1C0E"/>
    <w:rsid w:val="006E1D7C"/>
    <w:rsid w:val="006E47B1"/>
    <w:rsid w:val="006E54B0"/>
    <w:rsid w:val="006E64E1"/>
    <w:rsid w:val="006E6B64"/>
    <w:rsid w:val="006E7724"/>
    <w:rsid w:val="006F297B"/>
    <w:rsid w:val="006F4306"/>
    <w:rsid w:val="006F4871"/>
    <w:rsid w:val="006F4967"/>
    <w:rsid w:val="006F4A45"/>
    <w:rsid w:val="006F4F43"/>
    <w:rsid w:val="006F4FDD"/>
    <w:rsid w:val="006F5D51"/>
    <w:rsid w:val="006F732D"/>
    <w:rsid w:val="0070075A"/>
    <w:rsid w:val="0070122E"/>
    <w:rsid w:val="00701F96"/>
    <w:rsid w:val="007029DD"/>
    <w:rsid w:val="00702D23"/>
    <w:rsid w:val="00703A40"/>
    <w:rsid w:val="00703B76"/>
    <w:rsid w:val="00703CC3"/>
    <w:rsid w:val="007057AE"/>
    <w:rsid w:val="007060F4"/>
    <w:rsid w:val="0070638F"/>
    <w:rsid w:val="00706A2E"/>
    <w:rsid w:val="00707171"/>
    <w:rsid w:val="007101B5"/>
    <w:rsid w:val="00710D8F"/>
    <w:rsid w:val="00711215"/>
    <w:rsid w:val="00715EEB"/>
    <w:rsid w:val="0071637D"/>
    <w:rsid w:val="00716920"/>
    <w:rsid w:val="00722C8A"/>
    <w:rsid w:val="00723314"/>
    <w:rsid w:val="00723F8D"/>
    <w:rsid w:val="00724333"/>
    <w:rsid w:val="00725440"/>
    <w:rsid w:val="00725D8F"/>
    <w:rsid w:val="0073090D"/>
    <w:rsid w:val="00732219"/>
    <w:rsid w:val="00733289"/>
    <w:rsid w:val="00735360"/>
    <w:rsid w:val="00736A56"/>
    <w:rsid w:val="00736D19"/>
    <w:rsid w:val="00737145"/>
    <w:rsid w:val="0074044D"/>
    <w:rsid w:val="0074076D"/>
    <w:rsid w:val="00740797"/>
    <w:rsid w:val="0074210C"/>
    <w:rsid w:val="00742F13"/>
    <w:rsid w:val="0074301B"/>
    <w:rsid w:val="007432A1"/>
    <w:rsid w:val="0074372B"/>
    <w:rsid w:val="007451EB"/>
    <w:rsid w:val="00747FE7"/>
    <w:rsid w:val="007504C1"/>
    <w:rsid w:val="00750DA2"/>
    <w:rsid w:val="007515BD"/>
    <w:rsid w:val="00751B00"/>
    <w:rsid w:val="00753069"/>
    <w:rsid w:val="0075447E"/>
    <w:rsid w:val="00754A29"/>
    <w:rsid w:val="00754CF4"/>
    <w:rsid w:val="00755494"/>
    <w:rsid w:val="00755AE9"/>
    <w:rsid w:val="007568B1"/>
    <w:rsid w:val="00756BF9"/>
    <w:rsid w:val="007575F6"/>
    <w:rsid w:val="00761245"/>
    <w:rsid w:val="00762BB5"/>
    <w:rsid w:val="00762C7A"/>
    <w:rsid w:val="00763106"/>
    <w:rsid w:val="007631CC"/>
    <w:rsid w:val="00764425"/>
    <w:rsid w:val="0076543C"/>
    <w:rsid w:val="00765D0B"/>
    <w:rsid w:val="00771C60"/>
    <w:rsid w:val="00771C70"/>
    <w:rsid w:val="00771E1B"/>
    <w:rsid w:val="007733B2"/>
    <w:rsid w:val="00773AFA"/>
    <w:rsid w:val="00773E08"/>
    <w:rsid w:val="0077402B"/>
    <w:rsid w:val="0077626B"/>
    <w:rsid w:val="00777022"/>
    <w:rsid w:val="00781525"/>
    <w:rsid w:val="00781F3F"/>
    <w:rsid w:val="007829DD"/>
    <w:rsid w:val="0078506F"/>
    <w:rsid w:val="00785BBB"/>
    <w:rsid w:val="00786B10"/>
    <w:rsid w:val="00787423"/>
    <w:rsid w:val="007915CE"/>
    <w:rsid w:val="0079173F"/>
    <w:rsid w:val="007922E9"/>
    <w:rsid w:val="00792569"/>
    <w:rsid w:val="007926D5"/>
    <w:rsid w:val="00792710"/>
    <w:rsid w:val="00794423"/>
    <w:rsid w:val="00795F73"/>
    <w:rsid w:val="00797491"/>
    <w:rsid w:val="007A0260"/>
    <w:rsid w:val="007A078A"/>
    <w:rsid w:val="007A1B3B"/>
    <w:rsid w:val="007A1B8B"/>
    <w:rsid w:val="007A3956"/>
    <w:rsid w:val="007A3D40"/>
    <w:rsid w:val="007A41F0"/>
    <w:rsid w:val="007A66B5"/>
    <w:rsid w:val="007A6BF2"/>
    <w:rsid w:val="007A6DA0"/>
    <w:rsid w:val="007A6FD0"/>
    <w:rsid w:val="007B18E2"/>
    <w:rsid w:val="007B42F9"/>
    <w:rsid w:val="007B4486"/>
    <w:rsid w:val="007B69A9"/>
    <w:rsid w:val="007B6DBA"/>
    <w:rsid w:val="007C1005"/>
    <w:rsid w:val="007C2E53"/>
    <w:rsid w:val="007C301B"/>
    <w:rsid w:val="007C3D0B"/>
    <w:rsid w:val="007C55DB"/>
    <w:rsid w:val="007D0B81"/>
    <w:rsid w:val="007D12ED"/>
    <w:rsid w:val="007D1BA6"/>
    <w:rsid w:val="007D20F9"/>
    <w:rsid w:val="007D629B"/>
    <w:rsid w:val="007D66A5"/>
    <w:rsid w:val="007D6CA3"/>
    <w:rsid w:val="007D7EB4"/>
    <w:rsid w:val="007E06DE"/>
    <w:rsid w:val="007E0C5F"/>
    <w:rsid w:val="007E1A28"/>
    <w:rsid w:val="007E31B9"/>
    <w:rsid w:val="007E465F"/>
    <w:rsid w:val="007E57D3"/>
    <w:rsid w:val="007E6825"/>
    <w:rsid w:val="007F04E2"/>
    <w:rsid w:val="007F09B5"/>
    <w:rsid w:val="007F0C71"/>
    <w:rsid w:val="007F1178"/>
    <w:rsid w:val="007F16D8"/>
    <w:rsid w:val="007F1887"/>
    <w:rsid w:val="007F321E"/>
    <w:rsid w:val="007F3EBA"/>
    <w:rsid w:val="007F4E84"/>
    <w:rsid w:val="007F4FCF"/>
    <w:rsid w:val="007F52FF"/>
    <w:rsid w:val="007F56B2"/>
    <w:rsid w:val="007F69AE"/>
    <w:rsid w:val="007F6CE1"/>
    <w:rsid w:val="007F7785"/>
    <w:rsid w:val="007F7DCD"/>
    <w:rsid w:val="008004EA"/>
    <w:rsid w:val="0080168D"/>
    <w:rsid w:val="00802E51"/>
    <w:rsid w:val="00802EB4"/>
    <w:rsid w:val="008036A9"/>
    <w:rsid w:val="00803A3F"/>
    <w:rsid w:val="00803B8D"/>
    <w:rsid w:val="008058AD"/>
    <w:rsid w:val="008065DE"/>
    <w:rsid w:val="00806911"/>
    <w:rsid w:val="0080734C"/>
    <w:rsid w:val="0080768F"/>
    <w:rsid w:val="0081037A"/>
    <w:rsid w:val="00811C9B"/>
    <w:rsid w:val="0081397D"/>
    <w:rsid w:val="00814D73"/>
    <w:rsid w:val="0081513D"/>
    <w:rsid w:val="00817045"/>
    <w:rsid w:val="00820689"/>
    <w:rsid w:val="00820D0F"/>
    <w:rsid w:val="00821689"/>
    <w:rsid w:val="00821DC4"/>
    <w:rsid w:val="00822837"/>
    <w:rsid w:val="00823705"/>
    <w:rsid w:val="008241B7"/>
    <w:rsid w:val="00825F99"/>
    <w:rsid w:val="008268D3"/>
    <w:rsid w:val="00826996"/>
    <w:rsid w:val="00826C76"/>
    <w:rsid w:val="00827B3D"/>
    <w:rsid w:val="0083393C"/>
    <w:rsid w:val="00834A1D"/>
    <w:rsid w:val="008350DB"/>
    <w:rsid w:val="0083569F"/>
    <w:rsid w:val="0083638D"/>
    <w:rsid w:val="00841591"/>
    <w:rsid w:val="0084160F"/>
    <w:rsid w:val="008429F4"/>
    <w:rsid w:val="00842FA6"/>
    <w:rsid w:val="008442A4"/>
    <w:rsid w:val="0084586F"/>
    <w:rsid w:val="0085097E"/>
    <w:rsid w:val="00852754"/>
    <w:rsid w:val="008536E7"/>
    <w:rsid w:val="008541FF"/>
    <w:rsid w:val="00854966"/>
    <w:rsid w:val="008549CC"/>
    <w:rsid w:val="0085568E"/>
    <w:rsid w:val="008556B1"/>
    <w:rsid w:val="008574DE"/>
    <w:rsid w:val="00857625"/>
    <w:rsid w:val="00860A00"/>
    <w:rsid w:val="00860D08"/>
    <w:rsid w:val="00861717"/>
    <w:rsid w:val="008635C6"/>
    <w:rsid w:val="0086621D"/>
    <w:rsid w:val="00866539"/>
    <w:rsid w:val="00866823"/>
    <w:rsid w:val="00867102"/>
    <w:rsid w:val="0086770B"/>
    <w:rsid w:val="00870365"/>
    <w:rsid w:val="00870FF0"/>
    <w:rsid w:val="00871CAC"/>
    <w:rsid w:val="00872866"/>
    <w:rsid w:val="00872EA1"/>
    <w:rsid w:val="0087462C"/>
    <w:rsid w:val="00874660"/>
    <w:rsid w:val="00874E69"/>
    <w:rsid w:val="0087636C"/>
    <w:rsid w:val="00877F65"/>
    <w:rsid w:val="00880D2E"/>
    <w:rsid w:val="008819A6"/>
    <w:rsid w:val="00883021"/>
    <w:rsid w:val="00884AFD"/>
    <w:rsid w:val="00884DA6"/>
    <w:rsid w:val="00887A8D"/>
    <w:rsid w:val="00887BF9"/>
    <w:rsid w:val="00891189"/>
    <w:rsid w:val="008935EC"/>
    <w:rsid w:val="00893E2C"/>
    <w:rsid w:val="00894A93"/>
    <w:rsid w:val="00897C37"/>
    <w:rsid w:val="008A03D4"/>
    <w:rsid w:val="008A0E04"/>
    <w:rsid w:val="008A1A29"/>
    <w:rsid w:val="008A22CE"/>
    <w:rsid w:val="008A242A"/>
    <w:rsid w:val="008A2B69"/>
    <w:rsid w:val="008A3E4B"/>
    <w:rsid w:val="008A46A7"/>
    <w:rsid w:val="008A4B0D"/>
    <w:rsid w:val="008A5B72"/>
    <w:rsid w:val="008A5C79"/>
    <w:rsid w:val="008A5EB6"/>
    <w:rsid w:val="008A6272"/>
    <w:rsid w:val="008A633C"/>
    <w:rsid w:val="008A6656"/>
    <w:rsid w:val="008A6848"/>
    <w:rsid w:val="008A721E"/>
    <w:rsid w:val="008B0318"/>
    <w:rsid w:val="008B062B"/>
    <w:rsid w:val="008B0B4C"/>
    <w:rsid w:val="008B185D"/>
    <w:rsid w:val="008B194E"/>
    <w:rsid w:val="008B24D3"/>
    <w:rsid w:val="008B2C50"/>
    <w:rsid w:val="008B3DC2"/>
    <w:rsid w:val="008B427A"/>
    <w:rsid w:val="008B6948"/>
    <w:rsid w:val="008B6AFA"/>
    <w:rsid w:val="008B73EF"/>
    <w:rsid w:val="008C17A7"/>
    <w:rsid w:val="008C1ED3"/>
    <w:rsid w:val="008C2576"/>
    <w:rsid w:val="008C40E6"/>
    <w:rsid w:val="008C4F82"/>
    <w:rsid w:val="008C5FE9"/>
    <w:rsid w:val="008D0743"/>
    <w:rsid w:val="008D0773"/>
    <w:rsid w:val="008D1EA9"/>
    <w:rsid w:val="008D4AD5"/>
    <w:rsid w:val="008D4E4C"/>
    <w:rsid w:val="008D660F"/>
    <w:rsid w:val="008D7175"/>
    <w:rsid w:val="008D7B28"/>
    <w:rsid w:val="008E16D6"/>
    <w:rsid w:val="008E25EC"/>
    <w:rsid w:val="008E6AAA"/>
    <w:rsid w:val="008E7263"/>
    <w:rsid w:val="008F005C"/>
    <w:rsid w:val="008F0127"/>
    <w:rsid w:val="008F0BDF"/>
    <w:rsid w:val="008F0C6A"/>
    <w:rsid w:val="008F1158"/>
    <w:rsid w:val="008F2160"/>
    <w:rsid w:val="008F37EF"/>
    <w:rsid w:val="008F3BF6"/>
    <w:rsid w:val="008F4CF4"/>
    <w:rsid w:val="008F50FD"/>
    <w:rsid w:val="008F7A4D"/>
    <w:rsid w:val="008F7E9E"/>
    <w:rsid w:val="00901252"/>
    <w:rsid w:val="00901F6D"/>
    <w:rsid w:val="009025A0"/>
    <w:rsid w:val="009037A4"/>
    <w:rsid w:val="0090455C"/>
    <w:rsid w:val="009060F5"/>
    <w:rsid w:val="009123BF"/>
    <w:rsid w:val="0091684E"/>
    <w:rsid w:val="00922646"/>
    <w:rsid w:val="009231EC"/>
    <w:rsid w:val="009237CA"/>
    <w:rsid w:val="0092406C"/>
    <w:rsid w:val="00924F06"/>
    <w:rsid w:val="009264F8"/>
    <w:rsid w:val="00926BF4"/>
    <w:rsid w:val="009306E7"/>
    <w:rsid w:val="00931509"/>
    <w:rsid w:val="00933959"/>
    <w:rsid w:val="00934112"/>
    <w:rsid w:val="0093492D"/>
    <w:rsid w:val="00934A83"/>
    <w:rsid w:val="00935034"/>
    <w:rsid w:val="0093547E"/>
    <w:rsid w:val="00936D09"/>
    <w:rsid w:val="009415E0"/>
    <w:rsid w:val="009431C2"/>
    <w:rsid w:val="009433B9"/>
    <w:rsid w:val="00946C4D"/>
    <w:rsid w:val="0094707E"/>
    <w:rsid w:val="00947D41"/>
    <w:rsid w:val="00950BA2"/>
    <w:rsid w:val="00952176"/>
    <w:rsid w:val="0095309F"/>
    <w:rsid w:val="009533C1"/>
    <w:rsid w:val="00955622"/>
    <w:rsid w:val="00955A22"/>
    <w:rsid w:val="00955BFD"/>
    <w:rsid w:val="009562AA"/>
    <w:rsid w:val="00956E1D"/>
    <w:rsid w:val="009664E2"/>
    <w:rsid w:val="00966BD1"/>
    <w:rsid w:val="0096700D"/>
    <w:rsid w:val="00967966"/>
    <w:rsid w:val="00967E9F"/>
    <w:rsid w:val="00970827"/>
    <w:rsid w:val="00970F33"/>
    <w:rsid w:val="009733FC"/>
    <w:rsid w:val="00973E6D"/>
    <w:rsid w:val="00974F7E"/>
    <w:rsid w:val="00976BE7"/>
    <w:rsid w:val="009802EE"/>
    <w:rsid w:val="00981EC7"/>
    <w:rsid w:val="00982E4D"/>
    <w:rsid w:val="009852A5"/>
    <w:rsid w:val="009877DA"/>
    <w:rsid w:val="009878F6"/>
    <w:rsid w:val="0099007A"/>
    <w:rsid w:val="00991B17"/>
    <w:rsid w:val="009929BD"/>
    <w:rsid w:val="00992BB5"/>
    <w:rsid w:val="00992D74"/>
    <w:rsid w:val="00992F83"/>
    <w:rsid w:val="00993CA5"/>
    <w:rsid w:val="009959E0"/>
    <w:rsid w:val="009A09E3"/>
    <w:rsid w:val="009A10B7"/>
    <w:rsid w:val="009A4235"/>
    <w:rsid w:val="009A5D0E"/>
    <w:rsid w:val="009A60F0"/>
    <w:rsid w:val="009A66E5"/>
    <w:rsid w:val="009A6B19"/>
    <w:rsid w:val="009A6E1E"/>
    <w:rsid w:val="009B032E"/>
    <w:rsid w:val="009B10FB"/>
    <w:rsid w:val="009B2F54"/>
    <w:rsid w:val="009B3E28"/>
    <w:rsid w:val="009B3FC3"/>
    <w:rsid w:val="009B6475"/>
    <w:rsid w:val="009C2166"/>
    <w:rsid w:val="009C4B83"/>
    <w:rsid w:val="009C6578"/>
    <w:rsid w:val="009C6594"/>
    <w:rsid w:val="009C6870"/>
    <w:rsid w:val="009C6E8B"/>
    <w:rsid w:val="009D0D57"/>
    <w:rsid w:val="009D1041"/>
    <w:rsid w:val="009D19CD"/>
    <w:rsid w:val="009D1F7E"/>
    <w:rsid w:val="009D33D5"/>
    <w:rsid w:val="009D3B03"/>
    <w:rsid w:val="009D410C"/>
    <w:rsid w:val="009D702A"/>
    <w:rsid w:val="009E31BA"/>
    <w:rsid w:val="009E4402"/>
    <w:rsid w:val="009E54EC"/>
    <w:rsid w:val="009E6F4A"/>
    <w:rsid w:val="009F0373"/>
    <w:rsid w:val="009F324F"/>
    <w:rsid w:val="009F535F"/>
    <w:rsid w:val="00A00523"/>
    <w:rsid w:val="00A008FA"/>
    <w:rsid w:val="00A01FF5"/>
    <w:rsid w:val="00A028BF"/>
    <w:rsid w:val="00A02A81"/>
    <w:rsid w:val="00A031D4"/>
    <w:rsid w:val="00A03D06"/>
    <w:rsid w:val="00A0486A"/>
    <w:rsid w:val="00A04940"/>
    <w:rsid w:val="00A06A12"/>
    <w:rsid w:val="00A075A2"/>
    <w:rsid w:val="00A1011B"/>
    <w:rsid w:val="00A10EF3"/>
    <w:rsid w:val="00A1132D"/>
    <w:rsid w:val="00A125D4"/>
    <w:rsid w:val="00A14BBF"/>
    <w:rsid w:val="00A156CD"/>
    <w:rsid w:val="00A1576E"/>
    <w:rsid w:val="00A15E40"/>
    <w:rsid w:val="00A162BE"/>
    <w:rsid w:val="00A17025"/>
    <w:rsid w:val="00A22967"/>
    <w:rsid w:val="00A23766"/>
    <w:rsid w:val="00A24AC2"/>
    <w:rsid w:val="00A24E84"/>
    <w:rsid w:val="00A24EF1"/>
    <w:rsid w:val="00A26C0A"/>
    <w:rsid w:val="00A26E5B"/>
    <w:rsid w:val="00A27A6F"/>
    <w:rsid w:val="00A27FEB"/>
    <w:rsid w:val="00A304E5"/>
    <w:rsid w:val="00A31E65"/>
    <w:rsid w:val="00A32602"/>
    <w:rsid w:val="00A340F7"/>
    <w:rsid w:val="00A36214"/>
    <w:rsid w:val="00A36D17"/>
    <w:rsid w:val="00A3703C"/>
    <w:rsid w:val="00A407BA"/>
    <w:rsid w:val="00A40C23"/>
    <w:rsid w:val="00A41998"/>
    <w:rsid w:val="00A43976"/>
    <w:rsid w:val="00A4405E"/>
    <w:rsid w:val="00A44AAA"/>
    <w:rsid w:val="00A452A9"/>
    <w:rsid w:val="00A453A2"/>
    <w:rsid w:val="00A455C9"/>
    <w:rsid w:val="00A50DC3"/>
    <w:rsid w:val="00A51F63"/>
    <w:rsid w:val="00A521FA"/>
    <w:rsid w:val="00A5265C"/>
    <w:rsid w:val="00A52C9F"/>
    <w:rsid w:val="00A53E02"/>
    <w:rsid w:val="00A546EB"/>
    <w:rsid w:val="00A54B1B"/>
    <w:rsid w:val="00A554D2"/>
    <w:rsid w:val="00A55692"/>
    <w:rsid w:val="00A55F19"/>
    <w:rsid w:val="00A600A1"/>
    <w:rsid w:val="00A65050"/>
    <w:rsid w:val="00A65278"/>
    <w:rsid w:val="00A709EF"/>
    <w:rsid w:val="00A71463"/>
    <w:rsid w:val="00A7195D"/>
    <w:rsid w:val="00A71A0F"/>
    <w:rsid w:val="00A7215E"/>
    <w:rsid w:val="00A723BD"/>
    <w:rsid w:val="00A72663"/>
    <w:rsid w:val="00A72CBD"/>
    <w:rsid w:val="00A745D4"/>
    <w:rsid w:val="00A756C0"/>
    <w:rsid w:val="00A75D53"/>
    <w:rsid w:val="00A82BD8"/>
    <w:rsid w:val="00A82CA0"/>
    <w:rsid w:val="00A83D7C"/>
    <w:rsid w:val="00A85FCF"/>
    <w:rsid w:val="00A87A70"/>
    <w:rsid w:val="00A90975"/>
    <w:rsid w:val="00A90C24"/>
    <w:rsid w:val="00A93216"/>
    <w:rsid w:val="00A937A9"/>
    <w:rsid w:val="00A93C2E"/>
    <w:rsid w:val="00A93E37"/>
    <w:rsid w:val="00A957D1"/>
    <w:rsid w:val="00A96C87"/>
    <w:rsid w:val="00AA3D5F"/>
    <w:rsid w:val="00AA529E"/>
    <w:rsid w:val="00AA5944"/>
    <w:rsid w:val="00AA5D66"/>
    <w:rsid w:val="00AB06B6"/>
    <w:rsid w:val="00AB1CCE"/>
    <w:rsid w:val="00AB2F5A"/>
    <w:rsid w:val="00AB3A6B"/>
    <w:rsid w:val="00AB3D3F"/>
    <w:rsid w:val="00AB3F1F"/>
    <w:rsid w:val="00AB4078"/>
    <w:rsid w:val="00AB4E92"/>
    <w:rsid w:val="00AB67FA"/>
    <w:rsid w:val="00AB7B8A"/>
    <w:rsid w:val="00AC1F82"/>
    <w:rsid w:val="00AC20AD"/>
    <w:rsid w:val="00AC23AD"/>
    <w:rsid w:val="00AC3445"/>
    <w:rsid w:val="00AC3AB0"/>
    <w:rsid w:val="00AC3B7C"/>
    <w:rsid w:val="00AC418A"/>
    <w:rsid w:val="00AC4DA1"/>
    <w:rsid w:val="00AC4EF0"/>
    <w:rsid w:val="00AC5983"/>
    <w:rsid w:val="00AC6790"/>
    <w:rsid w:val="00AC6BF6"/>
    <w:rsid w:val="00AC78A9"/>
    <w:rsid w:val="00AC7F5D"/>
    <w:rsid w:val="00AD379C"/>
    <w:rsid w:val="00AD396F"/>
    <w:rsid w:val="00AD3A98"/>
    <w:rsid w:val="00AD3CA2"/>
    <w:rsid w:val="00AD4563"/>
    <w:rsid w:val="00AD5E8B"/>
    <w:rsid w:val="00AE0E46"/>
    <w:rsid w:val="00AE23B1"/>
    <w:rsid w:val="00AE3ECE"/>
    <w:rsid w:val="00AE43C8"/>
    <w:rsid w:val="00AE677F"/>
    <w:rsid w:val="00AF064A"/>
    <w:rsid w:val="00AF079D"/>
    <w:rsid w:val="00AF086E"/>
    <w:rsid w:val="00AF1CBF"/>
    <w:rsid w:val="00AF1F9E"/>
    <w:rsid w:val="00AF28ED"/>
    <w:rsid w:val="00AF2E19"/>
    <w:rsid w:val="00AF3345"/>
    <w:rsid w:val="00AF3BED"/>
    <w:rsid w:val="00AF3C90"/>
    <w:rsid w:val="00AF3DE4"/>
    <w:rsid w:val="00AF5469"/>
    <w:rsid w:val="00AF56DA"/>
    <w:rsid w:val="00AF5F22"/>
    <w:rsid w:val="00AF7950"/>
    <w:rsid w:val="00B00D81"/>
    <w:rsid w:val="00B01277"/>
    <w:rsid w:val="00B013E6"/>
    <w:rsid w:val="00B01C53"/>
    <w:rsid w:val="00B04C8A"/>
    <w:rsid w:val="00B04CDB"/>
    <w:rsid w:val="00B063AF"/>
    <w:rsid w:val="00B06488"/>
    <w:rsid w:val="00B06AE7"/>
    <w:rsid w:val="00B07441"/>
    <w:rsid w:val="00B07C95"/>
    <w:rsid w:val="00B11B45"/>
    <w:rsid w:val="00B11FCF"/>
    <w:rsid w:val="00B120C8"/>
    <w:rsid w:val="00B120FB"/>
    <w:rsid w:val="00B12C04"/>
    <w:rsid w:val="00B13FDA"/>
    <w:rsid w:val="00B148D3"/>
    <w:rsid w:val="00B20BC9"/>
    <w:rsid w:val="00B20D6F"/>
    <w:rsid w:val="00B211E7"/>
    <w:rsid w:val="00B2338E"/>
    <w:rsid w:val="00B2364A"/>
    <w:rsid w:val="00B23EF1"/>
    <w:rsid w:val="00B300AA"/>
    <w:rsid w:val="00B3361D"/>
    <w:rsid w:val="00B34565"/>
    <w:rsid w:val="00B34669"/>
    <w:rsid w:val="00B34E9B"/>
    <w:rsid w:val="00B37192"/>
    <w:rsid w:val="00B422E2"/>
    <w:rsid w:val="00B4434D"/>
    <w:rsid w:val="00B455C6"/>
    <w:rsid w:val="00B469EB"/>
    <w:rsid w:val="00B47BFE"/>
    <w:rsid w:val="00B50BFE"/>
    <w:rsid w:val="00B52E71"/>
    <w:rsid w:val="00B53DF7"/>
    <w:rsid w:val="00B5447E"/>
    <w:rsid w:val="00B55625"/>
    <w:rsid w:val="00B56C35"/>
    <w:rsid w:val="00B56F5B"/>
    <w:rsid w:val="00B6052C"/>
    <w:rsid w:val="00B609AC"/>
    <w:rsid w:val="00B60F31"/>
    <w:rsid w:val="00B614AE"/>
    <w:rsid w:val="00B61643"/>
    <w:rsid w:val="00B62FC4"/>
    <w:rsid w:val="00B62FE1"/>
    <w:rsid w:val="00B6336F"/>
    <w:rsid w:val="00B6341C"/>
    <w:rsid w:val="00B636B9"/>
    <w:rsid w:val="00B646ED"/>
    <w:rsid w:val="00B65307"/>
    <w:rsid w:val="00B66387"/>
    <w:rsid w:val="00B67EA3"/>
    <w:rsid w:val="00B710B8"/>
    <w:rsid w:val="00B738E9"/>
    <w:rsid w:val="00B73B0C"/>
    <w:rsid w:val="00B7518A"/>
    <w:rsid w:val="00B7547D"/>
    <w:rsid w:val="00B76344"/>
    <w:rsid w:val="00B7684D"/>
    <w:rsid w:val="00B77578"/>
    <w:rsid w:val="00B818BD"/>
    <w:rsid w:val="00B82E18"/>
    <w:rsid w:val="00B83518"/>
    <w:rsid w:val="00B8496A"/>
    <w:rsid w:val="00B85DD2"/>
    <w:rsid w:val="00B8714E"/>
    <w:rsid w:val="00B93362"/>
    <w:rsid w:val="00B93660"/>
    <w:rsid w:val="00B94F3D"/>
    <w:rsid w:val="00B95271"/>
    <w:rsid w:val="00BA3D93"/>
    <w:rsid w:val="00BA3F42"/>
    <w:rsid w:val="00BA4A9E"/>
    <w:rsid w:val="00BA6410"/>
    <w:rsid w:val="00BA6483"/>
    <w:rsid w:val="00BA64FA"/>
    <w:rsid w:val="00BA7F11"/>
    <w:rsid w:val="00BB00B7"/>
    <w:rsid w:val="00BB08CF"/>
    <w:rsid w:val="00BB0DF0"/>
    <w:rsid w:val="00BB31A3"/>
    <w:rsid w:val="00BB5B11"/>
    <w:rsid w:val="00BB60D8"/>
    <w:rsid w:val="00BB7982"/>
    <w:rsid w:val="00BC2F6D"/>
    <w:rsid w:val="00BC30B6"/>
    <w:rsid w:val="00BC335F"/>
    <w:rsid w:val="00BC4563"/>
    <w:rsid w:val="00BC498B"/>
    <w:rsid w:val="00BC5116"/>
    <w:rsid w:val="00BC5E56"/>
    <w:rsid w:val="00BC6721"/>
    <w:rsid w:val="00BC7761"/>
    <w:rsid w:val="00BC788A"/>
    <w:rsid w:val="00BD0C0D"/>
    <w:rsid w:val="00BD2AE3"/>
    <w:rsid w:val="00BD5486"/>
    <w:rsid w:val="00BD5D2A"/>
    <w:rsid w:val="00BD6129"/>
    <w:rsid w:val="00BD6F54"/>
    <w:rsid w:val="00BE03B2"/>
    <w:rsid w:val="00BE1B0E"/>
    <w:rsid w:val="00BE1B5D"/>
    <w:rsid w:val="00BE41A1"/>
    <w:rsid w:val="00BE55DE"/>
    <w:rsid w:val="00BE62B0"/>
    <w:rsid w:val="00BE72AB"/>
    <w:rsid w:val="00BE749F"/>
    <w:rsid w:val="00BE771F"/>
    <w:rsid w:val="00BF0062"/>
    <w:rsid w:val="00BF1448"/>
    <w:rsid w:val="00BF1606"/>
    <w:rsid w:val="00BF4BF9"/>
    <w:rsid w:val="00BF4C21"/>
    <w:rsid w:val="00BF6322"/>
    <w:rsid w:val="00BF645F"/>
    <w:rsid w:val="00BF750B"/>
    <w:rsid w:val="00BF7B90"/>
    <w:rsid w:val="00C01B1A"/>
    <w:rsid w:val="00C02B5F"/>
    <w:rsid w:val="00C02D73"/>
    <w:rsid w:val="00C03F94"/>
    <w:rsid w:val="00C04608"/>
    <w:rsid w:val="00C04D0A"/>
    <w:rsid w:val="00C06610"/>
    <w:rsid w:val="00C12FF5"/>
    <w:rsid w:val="00C139AC"/>
    <w:rsid w:val="00C13ECC"/>
    <w:rsid w:val="00C146B2"/>
    <w:rsid w:val="00C152F0"/>
    <w:rsid w:val="00C1568B"/>
    <w:rsid w:val="00C156AB"/>
    <w:rsid w:val="00C159BD"/>
    <w:rsid w:val="00C15B48"/>
    <w:rsid w:val="00C168C6"/>
    <w:rsid w:val="00C17110"/>
    <w:rsid w:val="00C1728C"/>
    <w:rsid w:val="00C177BC"/>
    <w:rsid w:val="00C20620"/>
    <w:rsid w:val="00C212EF"/>
    <w:rsid w:val="00C22E67"/>
    <w:rsid w:val="00C23463"/>
    <w:rsid w:val="00C23B2A"/>
    <w:rsid w:val="00C245D8"/>
    <w:rsid w:val="00C24A50"/>
    <w:rsid w:val="00C26473"/>
    <w:rsid w:val="00C27875"/>
    <w:rsid w:val="00C320C9"/>
    <w:rsid w:val="00C32CA3"/>
    <w:rsid w:val="00C340B9"/>
    <w:rsid w:val="00C34E80"/>
    <w:rsid w:val="00C36D36"/>
    <w:rsid w:val="00C36FBF"/>
    <w:rsid w:val="00C3710B"/>
    <w:rsid w:val="00C37400"/>
    <w:rsid w:val="00C4210C"/>
    <w:rsid w:val="00C433FA"/>
    <w:rsid w:val="00C461D4"/>
    <w:rsid w:val="00C4700A"/>
    <w:rsid w:val="00C475B6"/>
    <w:rsid w:val="00C477FF"/>
    <w:rsid w:val="00C47F14"/>
    <w:rsid w:val="00C47FAE"/>
    <w:rsid w:val="00C50A7A"/>
    <w:rsid w:val="00C50E60"/>
    <w:rsid w:val="00C51DAC"/>
    <w:rsid w:val="00C53A31"/>
    <w:rsid w:val="00C56508"/>
    <w:rsid w:val="00C57D86"/>
    <w:rsid w:val="00C612D0"/>
    <w:rsid w:val="00C614D0"/>
    <w:rsid w:val="00C61924"/>
    <w:rsid w:val="00C61FB1"/>
    <w:rsid w:val="00C633DC"/>
    <w:rsid w:val="00C63DD6"/>
    <w:rsid w:val="00C645BF"/>
    <w:rsid w:val="00C666F9"/>
    <w:rsid w:val="00C669EF"/>
    <w:rsid w:val="00C71E19"/>
    <w:rsid w:val="00C757B9"/>
    <w:rsid w:val="00C76019"/>
    <w:rsid w:val="00C77104"/>
    <w:rsid w:val="00C804E0"/>
    <w:rsid w:val="00C807E4"/>
    <w:rsid w:val="00C831A2"/>
    <w:rsid w:val="00C85634"/>
    <w:rsid w:val="00C85F20"/>
    <w:rsid w:val="00C902D0"/>
    <w:rsid w:val="00C90342"/>
    <w:rsid w:val="00C907FC"/>
    <w:rsid w:val="00C917BF"/>
    <w:rsid w:val="00C91F8F"/>
    <w:rsid w:val="00C923EF"/>
    <w:rsid w:val="00C92762"/>
    <w:rsid w:val="00C92914"/>
    <w:rsid w:val="00C938F0"/>
    <w:rsid w:val="00C9401E"/>
    <w:rsid w:val="00C957F7"/>
    <w:rsid w:val="00C96593"/>
    <w:rsid w:val="00C96A93"/>
    <w:rsid w:val="00C973EC"/>
    <w:rsid w:val="00C9757E"/>
    <w:rsid w:val="00C97697"/>
    <w:rsid w:val="00CA0001"/>
    <w:rsid w:val="00CA3208"/>
    <w:rsid w:val="00CA3EFF"/>
    <w:rsid w:val="00CA56F3"/>
    <w:rsid w:val="00CA67AB"/>
    <w:rsid w:val="00CB185E"/>
    <w:rsid w:val="00CB1F12"/>
    <w:rsid w:val="00CB2AA0"/>
    <w:rsid w:val="00CB5C68"/>
    <w:rsid w:val="00CB7998"/>
    <w:rsid w:val="00CB7D4F"/>
    <w:rsid w:val="00CB7F69"/>
    <w:rsid w:val="00CC00C8"/>
    <w:rsid w:val="00CC2906"/>
    <w:rsid w:val="00CC4438"/>
    <w:rsid w:val="00CC4BE9"/>
    <w:rsid w:val="00CC4C73"/>
    <w:rsid w:val="00CC5175"/>
    <w:rsid w:val="00CC5641"/>
    <w:rsid w:val="00CC6C77"/>
    <w:rsid w:val="00CD07BD"/>
    <w:rsid w:val="00CD0E0C"/>
    <w:rsid w:val="00CD1DA7"/>
    <w:rsid w:val="00CD2237"/>
    <w:rsid w:val="00CD2543"/>
    <w:rsid w:val="00CD3EE9"/>
    <w:rsid w:val="00CD4189"/>
    <w:rsid w:val="00CD59AA"/>
    <w:rsid w:val="00CE01CA"/>
    <w:rsid w:val="00CE0642"/>
    <w:rsid w:val="00CE0C37"/>
    <w:rsid w:val="00CE1B36"/>
    <w:rsid w:val="00CE202E"/>
    <w:rsid w:val="00CE5405"/>
    <w:rsid w:val="00CE5DFD"/>
    <w:rsid w:val="00CE6182"/>
    <w:rsid w:val="00CF0A96"/>
    <w:rsid w:val="00CF1B77"/>
    <w:rsid w:val="00CF1DF1"/>
    <w:rsid w:val="00CF1FE7"/>
    <w:rsid w:val="00CF2159"/>
    <w:rsid w:val="00CF35E8"/>
    <w:rsid w:val="00CF5483"/>
    <w:rsid w:val="00CF640E"/>
    <w:rsid w:val="00CF6674"/>
    <w:rsid w:val="00CF7693"/>
    <w:rsid w:val="00CF7A41"/>
    <w:rsid w:val="00D00304"/>
    <w:rsid w:val="00D0185F"/>
    <w:rsid w:val="00D01DB4"/>
    <w:rsid w:val="00D01E30"/>
    <w:rsid w:val="00D02295"/>
    <w:rsid w:val="00D02C78"/>
    <w:rsid w:val="00D03B32"/>
    <w:rsid w:val="00D041E4"/>
    <w:rsid w:val="00D05C13"/>
    <w:rsid w:val="00D06D56"/>
    <w:rsid w:val="00D06F51"/>
    <w:rsid w:val="00D07386"/>
    <w:rsid w:val="00D10C00"/>
    <w:rsid w:val="00D11CD1"/>
    <w:rsid w:val="00D124F8"/>
    <w:rsid w:val="00D12F97"/>
    <w:rsid w:val="00D160D7"/>
    <w:rsid w:val="00D16E20"/>
    <w:rsid w:val="00D1721B"/>
    <w:rsid w:val="00D17F03"/>
    <w:rsid w:val="00D2187E"/>
    <w:rsid w:val="00D21AA2"/>
    <w:rsid w:val="00D22EA9"/>
    <w:rsid w:val="00D24BEE"/>
    <w:rsid w:val="00D27CD5"/>
    <w:rsid w:val="00D33AC1"/>
    <w:rsid w:val="00D35696"/>
    <w:rsid w:val="00D35B88"/>
    <w:rsid w:val="00D3686E"/>
    <w:rsid w:val="00D36D18"/>
    <w:rsid w:val="00D3755A"/>
    <w:rsid w:val="00D4233C"/>
    <w:rsid w:val="00D42AA9"/>
    <w:rsid w:val="00D43AD3"/>
    <w:rsid w:val="00D43E88"/>
    <w:rsid w:val="00D475FD"/>
    <w:rsid w:val="00D500C9"/>
    <w:rsid w:val="00D504C8"/>
    <w:rsid w:val="00D51652"/>
    <w:rsid w:val="00D53C9E"/>
    <w:rsid w:val="00D575FF"/>
    <w:rsid w:val="00D634CF"/>
    <w:rsid w:val="00D6464B"/>
    <w:rsid w:val="00D64A6C"/>
    <w:rsid w:val="00D64AA1"/>
    <w:rsid w:val="00D64F44"/>
    <w:rsid w:val="00D658E5"/>
    <w:rsid w:val="00D660DB"/>
    <w:rsid w:val="00D662B2"/>
    <w:rsid w:val="00D66AC7"/>
    <w:rsid w:val="00D67677"/>
    <w:rsid w:val="00D70624"/>
    <w:rsid w:val="00D707B2"/>
    <w:rsid w:val="00D711A2"/>
    <w:rsid w:val="00D71688"/>
    <w:rsid w:val="00D7269C"/>
    <w:rsid w:val="00D737CD"/>
    <w:rsid w:val="00D73D72"/>
    <w:rsid w:val="00D76BE5"/>
    <w:rsid w:val="00D77523"/>
    <w:rsid w:val="00D81192"/>
    <w:rsid w:val="00D8175E"/>
    <w:rsid w:val="00D843B9"/>
    <w:rsid w:val="00D84FA4"/>
    <w:rsid w:val="00D90C90"/>
    <w:rsid w:val="00D91355"/>
    <w:rsid w:val="00D92448"/>
    <w:rsid w:val="00D96C72"/>
    <w:rsid w:val="00DA02CD"/>
    <w:rsid w:val="00DA0366"/>
    <w:rsid w:val="00DA0A5D"/>
    <w:rsid w:val="00DA11A2"/>
    <w:rsid w:val="00DA1FA8"/>
    <w:rsid w:val="00DA22E8"/>
    <w:rsid w:val="00DA2518"/>
    <w:rsid w:val="00DA2BE7"/>
    <w:rsid w:val="00DA2E77"/>
    <w:rsid w:val="00DA32E0"/>
    <w:rsid w:val="00DA3E7A"/>
    <w:rsid w:val="00DA40D2"/>
    <w:rsid w:val="00DA41D9"/>
    <w:rsid w:val="00DA60A3"/>
    <w:rsid w:val="00DA70B9"/>
    <w:rsid w:val="00DA763D"/>
    <w:rsid w:val="00DB1555"/>
    <w:rsid w:val="00DB2858"/>
    <w:rsid w:val="00DB37F1"/>
    <w:rsid w:val="00DC317D"/>
    <w:rsid w:val="00DC5D11"/>
    <w:rsid w:val="00DC6549"/>
    <w:rsid w:val="00DC7D48"/>
    <w:rsid w:val="00DD04F2"/>
    <w:rsid w:val="00DD1056"/>
    <w:rsid w:val="00DD1990"/>
    <w:rsid w:val="00DD367E"/>
    <w:rsid w:val="00DD367F"/>
    <w:rsid w:val="00DD45F4"/>
    <w:rsid w:val="00DD4A80"/>
    <w:rsid w:val="00DD561A"/>
    <w:rsid w:val="00DD573B"/>
    <w:rsid w:val="00DD6A8A"/>
    <w:rsid w:val="00DD700F"/>
    <w:rsid w:val="00DD7037"/>
    <w:rsid w:val="00DD7900"/>
    <w:rsid w:val="00DE1B1D"/>
    <w:rsid w:val="00DE4C5D"/>
    <w:rsid w:val="00DE7F18"/>
    <w:rsid w:val="00DF088C"/>
    <w:rsid w:val="00DF0D86"/>
    <w:rsid w:val="00DF10D0"/>
    <w:rsid w:val="00DF2645"/>
    <w:rsid w:val="00DF30A3"/>
    <w:rsid w:val="00DF3BF6"/>
    <w:rsid w:val="00DF4D00"/>
    <w:rsid w:val="00E005F0"/>
    <w:rsid w:val="00E0088E"/>
    <w:rsid w:val="00E00BEA"/>
    <w:rsid w:val="00E01054"/>
    <w:rsid w:val="00E01F3C"/>
    <w:rsid w:val="00E03F75"/>
    <w:rsid w:val="00E05D5C"/>
    <w:rsid w:val="00E07C2E"/>
    <w:rsid w:val="00E122B4"/>
    <w:rsid w:val="00E155C1"/>
    <w:rsid w:val="00E15C79"/>
    <w:rsid w:val="00E17F21"/>
    <w:rsid w:val="00E20A52"/>
    <w:rsid w:val="00E22D2D"/>
    <w:rsid w:val="00E23D21"/>
    <w:rsid w:val="00E24CD6"/>
    <w:rsid w:val="00E25A10"/>
    <w:rsid w:val="00E26BDB"/>
    <w:rsid w:val="00E271BA"/>
    <w:rsid w:val="00E27319"/>
    <w:rsid w:val="00E304C1"/>
    <w:rsid w:val="00E31F7E"/>
    <w:rsid w:val="00E324B8"/>
    <w:rsid w:val="00E32965"/>
    <w:rsid w:val="00E33987"/>
    <w:rsid w:val="00E33E17"/>
    <w:rsid w:val="00E34881"/>
    <w:rsid w:val="00E352F8"/>
    <w:rsid w:val="00E356BA"/>
    <w:rsid w:val="00E365DB"/>
    <w:rsid w:val="00E37431"/>
    <w:rsid w:val="00E374EE"/>
    <w:rsid w:val="00E406AF"/>
    <w:rsid w:val="00E40D93"/>
    <w:rsid w:val="00E41AA0"/>
    <w:rsid w:val="00E42256"/>
    <w:rsid w:val="00E42BFD"/>
    <w:rsid w:val="00E43023"/>
    <w:rsid w:val="00E4356E"/>
    <w:rsid w:val="00E43CAB"/>
    <w:rsid w:val="00E43FBD"/>
    <w:rsid w:val="00E45D7C"/>
    <w:rsid w:val="00E50115"/>
    <w:rsid w:val="00E50D1E"/>
    <w:rsid w:val="00E529A9"/>
    <w:rsid w:val="00E53EB5"/>
    <w:rsid w:val="00E54740"/>
    <w:rsid w:val="00E54A68"/>
    <w:rsid w:val="00E54C54"/>
    <w:rsid w:val="00E5610B"/>
    <w:rsid w:val="00E57388"/>
    <w:rsid w:val="00E61134"/>
    <w:rsid w:val="00E620F2"/>
    <w:rsid w:val="00E621D6"/>
    <w:rsid w:val="00E62A2E"/>
    <w:rsid w:val="00E630B0"/>
    <w:rsid w:val="00E63651"/>
    <w:rsid w:val="00E644E8"/>
    <w:rsid w:val="00E64EC4"/>
    <w:rsid w:val="00E6635C"/>
    <w:rsid w:val="00E6738F"/>
    <w:rsid w:val="00E674C6"/>
    <w:rsid w:val="00E71ABA"/>
    <w:rsid w:val="00E72A34"/>
    <w:rsid w:val="00E73A23"/>
    <w:rsid w:val="00E7498F"/>
    <w:rsid w:val="00E768DB"/>
    <w:rsid w:val="00E76BA8"/>
    <w:rsid w:val="00E800DB"/>
    <w:rsid w:val="00E81702"/>
    <w:rsid w:val="00E84EC5"/>
    <w:rsid w:val="00E87906"/>
    <w:rsid w:val="00E87D45"/>
    <w:rsid w:val="00E90128"/>
    <w:rsid w:val="00E91EFC"/>
    <w:rsid w:val="00E93453"/>
    <w:rsid w:val="00E944F0"/>
    <w:rsid w:val="00E9532B"/>
    <w:rsid w:val="00E96D45"/>
    <w:rsid w:val="00E96F78"/>
    <w:rsid w:val="00EA1BF0"/>
    <w:rsid w:val="00EA2F3B"/>
    <w:rsid w:val="00EA342F"/>
    <w:rsid w:val="00EA4579"/>
    <w:rsid w:val="00EA49B0"/>
    <w:rsid w:val="00EA4DAD"/>
    <w:rsid w:val="00EB148A"/>
    <w:rsid w:val="00EB28B1"/>
    <w:rsid w:val="00EB3F11"/>
    <w:rsid w:val="00EB4491"/>
    <w:rsid w:val="00EB46EF"/>
    <w:rsid w:val="00EB5ED8"/>
    <w:rsid w:val="00EB5F75"/>
    <w:rsid w:val="00EB629E"/>
    <w:rsid w:val="00EB744F"/>
    <w:rsid w:val="00EC00EE"/>
    <w:rsid w:val="00EC061B"/>
    <w:rsid w:val="00EC090C"/>
    <w:rsid w:val="00EC224D"/>
    <w:rsid w:val="00EC2924"/>
    <w:rsid w:val="00EC694E"/>
    <w:rsid w:val="00ED2E68"/>
    <w:rsid w:val="00ED30C2"/>
    <w:rsid w:val="00ED31D3"/>
    <w:rsid w:val="00ED43F3"/>
    <w:rsid w:val="00ED46D0"/>
    <w:rsid w:val="00ED7F18"/>
    <w:rsid w:val="00EE09FC"/>
    <w:rsid w:val="00EE1FD5"/>
    <w:rsid w:val="00EE49B8"/>
    <w:rsid w:val="00EE56FB"/>
    <w:rsid w:val="00EE5FB0"/>
    <w:rsid w:val="00EE6F9F"/>
    <w:rsid w:val="00EE6FC8"/>
    <w:rsid w:val="00EE77E3"/>
    <w:rsid w:val="00EF08D9"/>
    <w:rsid w:val="00EF3D22"/>
    <w:rsid w:val="00EF489E"/>
    <w:rsid w:val="00EF49A9"/>
    <w:rsid w:val="00EF6C3D"/>
    <w:rsid w:val="00EF6F0E"/>
    <w:rsid w:val="00EF74C0"/>
    <w:rsid w:val="00F01B45"/>
    <w:rsid w:val="00F02940"/>
    <w:rsid w:val="00F03CB6"/>
    <w:rsid w:val="00F03F6E"/>
    <w:rsid w:val="00F05028"/>
    <w:rsid w:val="00F058E5"/>
    <w:rsid w:val="00F05CED"/>
    <w:rsid w:val="00F05E1F"/>
    <w:rsid w:val="00F119A6"/>
    <w:rsid w:val="00F13970"/>
    <w:rsid w:val="00F13A9D"/>
    <w:rsid w:val="00F154CE"/>
    <w:rsid w:val="00F20E05"/>
    <w:rsid w:val="00F21AB3"/>
    <w:rsid w:val="00F21DDB"/>
    <w:rsid w:val="00F227CC"/>
    <w:rsid w:val="00F23BD3"/>
    <w:rsid w:val="00F2556C"/>
    <w:rsid w:val="00F26322"/>
    <w:rsid w:val="00F26C5A"/>
    <w:rsid w:val="00F303BC"/>
    <w:rsid w:val="00F3094A"/>
    <w:rsid w:val="00F32242"/>
    <w:rsid w:val="00F3490F"/>
    <w:rsid w:val="00F36968"/>
    <w:rsid w:val="00F36D5C"/>
    <w:rsid w:val="00F3734D"/>
    <w:rsid w:val="00F37A22"/>
    <w:rsid w:val="00F40E44"/>
    <w:rsid w:val="00F414F9"/>
    <w:rsid w:val="00F42B7C"/>
    <w:rsid w:val="00F438AC"/>
    <w:rsid w:val="00F43CDA"/>
    <w:rsid w:val="00F43F82"/>
    <w:rsid w:val="00F45FF7"/>
    <w:rsid w:val="00F46EA4"/>
    <w:rsid w:val="00F47C69"/>
    <w:rsid w:val="00F50153"/>
    <w:rsid w:val="00F50813"/>
    <w:rsid w:val="00F51ABD"/>
    <w:rsid w:val="00F51BEB"/>
    <w:rsid w:val="00F527C4"/>
    <w:rsid w:val="00F528B6"/>
    <w:rsid w:val="00F53948"/>
    <w:rsid w:val="00F53F01"/>
    <w:rsid w:val="00F55053"/>
    <w:rsid w:val="00F55301"/>
    <w:rsid w:val="00F62DEB"/>
    <w:rsid w:val="00F64255"/>
    <w:rsid w:val="00F64AB1"/>
    <w:rsid w:val="00F64C17"/>
    <w:rsid w:val="00F66C38"/>
    <w:rsid w:val="00F66F0A"/>
    <w:rsid w:val="00F7315F"/>
    <w:rsid w:val="00F770C6"/>
    <w:rsid w:val="00F77875"/>
    <w:rsid w:val="00F8047E"/>
    <w:rsid w:val="00F82185"/>
    <w:rsid w:val="00F853A4"/>
    <w:rsid w:val="00F867F7"/>
    <w:rsid w:val="00F8704D"/>
    <w:rsid w:val="00F877C7"/>
    <w:rsid w:val="00F9266E"/>
    <w:rsid w:val="00F9533B"/>
    <w:rsid w:val="00F96D07"/>
    <w:rsid w:val="00FA0222"/>
    <w:rsid w:val="00FA05E2"/>
    <w:rsid w:val="00FA0B55"/>
    <w:rsid w:val="00FA0E47"/>
    <w:rsid w:val="00FA126C"/>
    <w:rsid w:val="00FA2648"/>
    <w:rsid w:val="00FA34FC"/>
    <w:rsid w:val="00FA3D61"/>
    <w:rsid w:val="00FA4E9D"/>
    <w:rsid w:val="00FB05F0"/>
    <w:rsid w:val="00FB15E0"/>
    <w:rsid w:val="00FB25BF"/>
    <w:rsid w:val="00FB54B9"/>
    <w:rsid w:val="00FB5854"/>
    <w:rsid w:val="00FB6B92"/>
    <w:rsid w:val="00FC0356"/>
    <w:rsid w:val="00FC0E38"/>
    <w:rsid w:val="00FC13CA"/>
    <w:rsid w:val="00FC2FF7"/>
    <w:rsid w:val="00FC4073"/>
    <w:rsid w:val="00FC4587"/>
    <w:rsid w:val="00FC45B3"/>
    <w:rsid w:val="00FC505E"/>
    <w:rsid w:val="00FC564A"/>
    <w:rsid w:val="00FC6D87"/>
    <w:rsid w:val="00FD0C99"/>
    <w:rsid w:val="00FD0F48"/>
    <w:rsid w:val="00FD22C9"/>
    <w:rsid w:val="00FD2EEF"/>
    <w:rsid w:val="00FD3779"/>
    <w:rsid w:val="00FD70C1"/>
    <w:rsid w:val="00FE1032"/>
    <w:rsid w:val="00FE1A11"/>
    <w:rsid w:val="00FE2A2A"/>
    <w:rsid w:val="00FE340C"/>
    <w:rsid w:val="00FE3A41"/>
    <w:rsid w:val="00FE46C0"/>
    <w:rsid w:val="00FE4FDA"/>
    <w:rsid w:val="00FE5E89"/>
    <w:rsid w:val="00FE6E02"/>
    <w:rsid w:val="00FE7328"/>
    <w:rsid w:val="00FF012D"/>
    <w:rsid w:val="00FF0720"/>
    <w:rsid w:val="00FF1AE1"/>
    <w:rsid w:val="00FF2609"/>
    <w:rsid w:val="00FF3186"/>
    <w:rsid w:val="00FF3C8D"/>
    <w:rsid w:val="00FF3FDE"/>
    <w:rsid w:val="00FF4969"/>
    <w:rsid w:val="00FF51C8"/>
    <w:rsid w:val="00FF5F7A"/>
    <w:rsid w:val="00FF5F7E"/>
    <w:rsid w:val="00FF61D8"/>
    <w:rsid w:val="06ADC21F"/>
    <w:rsid w:val="17EDF1C3"/>
    <w:rsid w:val="2146EE22"/>
    <w:rsid w:val="30954339"/>
    <w:rsid w:val="3D4031AA"/>
    <w:rsid w:val="46F8E2AB"/>
    <w:rsid w:val="6DA7055E"/>
    <w:rsid w:val="7180CA61"/>
    <w:rsid w:val="72C783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BA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4C6"/>
    <w:pPr>
      <w:spacing w:after="0" w:line="240" w:lineRule="auto"/>
    </w:pPr>
    <w:rPr>
      <w:rFonts w:ascii="Calibri" w:hAnsi="Calibri" w:cs="Calibri"/>
    </w:rPr>
  </w:style>
  <w:style w:type="paragraph" w:styleId="Heading1">
    <w:name w:val="heading 1"/>
    <w:basedOn w:val="ListParagraph"/>
    <w:next w:val="Normal"/>
    <w:link w:val="Heading1Char"/>
    <w:uiPriority w:val="9"/>
    <w:qFormat/>
    <w:rsid w:val="00585B6F"/>
    <w:pPr>
      <w:numPr>
        <w:numId w:val="51"/>
      </w:numPr>
      <w:spacing w:before="120" w:after="120"/>
      <w:outlineLvl w:val="0"/>
    </w:pPr>
    <w:rPr>
      <w:b/>
      <w:bCs/>
    </w:rPr>
  </w:style>
  <w:style w:type="paragraph" w:styleId="Heading2">
    <w:name w:val="heading 2"/>
    <w:basedOn w:val="Normal"/>
    <w:next w:val="Normal"/>
    <w:link w:val="Heading2Char"/>
    <w:uiPriority w:val="9"/>
    <w:unhideWhenUsed/>
    <w:qFormat/>
    <w:rsid w:val="00695B4F"/>
    <w:pPr>
      <w:keepNext/>
      <w:keepLines/>
      <w:numPr>
        <w:numId w:val="21"/>
      </w:numPr>
      <w:spacing w:before="120" w:after="120"/>
      <w:ind w:left="1800"/>
      <w:jc w:val="both"/>
      <w:outlineLvl w:val="1"/>
    </w:pPr>
    <w:rPr>
      <w:rFonts w:ascii="Times New Roman" w:eastAsiaTheme="majorEastAsia" w:hAnsi="Times New Roman" w:cstheme="majorBidi"/>
      <w:b/>
      <w:bCs/>
      <w:szCs w:val="26"/>
    </w:rPr>
  </w:style>
  <w:style w:type="paragraph" w:styleId="Heading3">
    <w:name w:val="heading 3"/>
    <w:basedOn w:val="Normal"/>
    <w:next w:val="Normal"/>
    <w:link w:val="Heading3Char"/>
    <w:uiPriority w:val="9"/>
    <w:unhideWhenUsed/>
    <w:qFormat/>
    <w:rsid w:val="00B23EF1"/>
    <w:pPr>
      <w:keepNext/>
      <w:keepLines/>
      <w:numPr>
        <w:numId w:val="22"/>
      </w:numPr>
      <w:spacing w:before="120" w:after="120"/>
      <w:outlineLvl w:val="2"/>
    </w:pPr>
    <w:rPr>
      <w:rFonts w:ascii="Times New Roman" w:eastAsiaTheme="majorEastAsia" w:hAnsi="Times New Roman" w:cstheme="majorBidi"/>
      <w:szCs w:val="24"/>
      <w:u w:val="single"/>
    </w:rPr>
  </w:style>
  <w:style w:type="paragraph" w:styleId="Heading4">
    <w:name w:val="heading 4"/>
    <w:next w:val="Normal"/>
    <w:link w:val="Heading4Char"/>
    <w:uiPriority w:val="9"/>
    <w:unhideWhenUsed/>
    <w:qFormat/>
    <w:rsid w:val="00EB744F"/>
    <w:pPr>
      <w:numPr>
        <w:numId w:val="32"/>
      </w:numPr>
      <w:spacing w:before="120" w:after="120" w:line="240" w:lineRule="auto"/>
      <w:outlineLvl w:val="3"/>
    </w:pPr>
    <w:rPr>
      <w:rFonts w:ascii="Times New Roman" w:eastAsiaTheme="majorEastAsia" w:hAnsi="Times New Roman" w:cstheme="majorBidi"/>
      <w:i/>
      <w:szCs w:val="24"/>
    </w:rPr>
  </w:style>
  <w:style w:type="paragraph" w:styleId="Heading5">
    <w:name w:val="heading 5"/>
    <w:basedOn w:val="Normal"/>
    <w:next w:val="Normal"/>
    <w:link w:val="Heading5Char"/>
    <w:uiPriority w:val="9"/>
    <w:unhideWhenUsed/>
    <w:qFormat/>
    <w:rsid w:val="00D8175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8175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FDD"/>
    <w:pPr>
      <w:numPr>
        <w:numId w:val="6"/>
      </w:numPr>
      <w:spacing w:line="276" w:lineRule="auto"/>
      <w:contextualSpacing/>
      <w:jc w:val="both"/>
    </w:pPr>
    <w:rPr>
      <w:rFonts w:ascii="Times New Roman" w:hAnsi="Times New Roman" w:cs="Times New Roman"/>
    </w:rPr>
  </w:style>
  <w:style w:type="character" w:styleId="Hyperlink">
    <w:name w:val="Hyperlink"/>
    <w:basedOn w:val="DefaultParagraphFont"/>
    <w:uiPriority w:val="99"/>
    <w:unhideWhenUsed/>
    <w:rsid w:val="00A40C23"/>
    <w:rPr>
      <w:color w:val="0000FF"/>
      <w:u w:val="single"/>
    </w:rPr>
  </w:style>
  <w:style w:type="character" w:styleId="Strong">
    <w:name w:val="Strong"/>
    <w:basedOn w:val="DefaultParagraphFont"/>
    <w:uiPriority w:val="22"/>
    <w:qFormat/>
    <w:rsid w:val="00992BB5"/>
    <w:rPr>
      <w:b/>
      <w:bCs/>
    </w:rPr>
  </w:style>
  <w:style w:type="paragraph" w:styleId="FootnoteText">
    <w:name w:val="footnote text"/>
    <w:aliases w:val="5_G,Footnote Text Char Char Char Char Char,Footnote Text Char Char Char Char,Footnote reference,FA Fu,Footnote Text Char Char Char, Char,Footnote Reference1"/>
    <w:basedOn w:val="Normal"/>
    <w:link w:val="FootnoteTextChar"/>
    <w:uiPriority w:val="99"/>
    <w:unhideWhenUsed/>
    <w:rsid w:val="00992BB5"/>
    <w:rPr>
      <w:rFonts w:asciiTheme="minorHAnsi" w:hAnsiTheme="minorHAnsi" w:cstheme="minorBidi"/>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
    <w:basedOn w:val="DefaultParagraphFont"/>
    <w:link w:val="FootnoteText"/>
    <w:uiPriority w:val="99"/>
    <w:rsid w:val="00992BB5"/>
    <w:rPr>
      <w:sz w:val="20"/>
      <w:szCs w:val="20"/>
    </w:rPr>
  </w:style>
  <w:style w:type="character" w:styleId="FootnoteReference">
    <w:name w:val="footnote reference"/>
    <w:aliases w:val="4_G,Footnote number"/>
    <w:basedOn w:val="DefaultParagraphFont"/>
    <w:uiPriority w:val="99"/>
    <w:unhideWhenUsed/>
    <w:rsid w:val="00992BB5"/>
    <w:rPr>
      <w:vertAlign w:val="superscript"/>
    </w:rPr>
  </w:style>
  <w:style w:type="character" w:styleId="FollowedHyperlink">
    <w:name w:val="FollowedHyperlink"/>
    <w:basedOn w:val="DefaultParagraphFont"/>
    <w:uiPriority w:val="99"/>
    <w:semiHidden/>
    <w:unhideWhenUsed/>
    <w:rsid w:val="008A5C79"/>
    <w:rPr>
      <w:color w:val="954F72" w:themeColor="followedHyperlink"/>
      <w:u w:val="single"/>
    </w:rPr>
  </w:style>
  <w:style w:type="character" w:styleId="UnresolvedMention">
    <w:name w:val="Unresolved Mention"/>
    <w:basedOn w:val="DefaultParagraphFont"/>
    <w:uiPriority w:val="99"/>
    <w:semiHidden/>
    <w:unhideWhenUsed/>
    <w:rsid w:val="00D01DB4"/>
    <w:rPr>
      <w:color w:val="605E5C"/>
      <w:shd w:val="clear" w:color="auto" w:fill="E1DFDD"/>
    </w:rPr>
  </w:style>
  <w:style w:type="paragraph" w:styleId="EndnoteText">
    <w:name w:val="endnote text"/>
    <w:basedOn w:val="Normal"/>
    <w:link w:val="EndnoteTextChar"/>
    <w:uiPriority w:val="99"/>
    <w:semiHidden/>
    <w:unhideWhenUsed/>
    <w:rsid w:val="005E6A9E"/>
    <w:rPr>
      <w:sz w:val="20"/>
      <w:szCs w:val="20"/>
    </w:rPr>
  </w:style>
  <w:style w:type="character" w:customStyle="1" w:styleId="EndnoteTextChar">
    <w:name w:val="Endnote Text Char"/>
    <w:basedOn w:val="DefaultParagraphFont"/>
    <w:link w:val="EndnoteText"/>
    <w:uiPriority w:val="99"/>
    <w:semiHidden/>
    <w:rsid w:val="005E6A9E"/>
    <w:rPr>
      <w:rFonts w:ascii="Calibri" w:hAnsi="Calibri" w:cs="Calibri"/>
      <w:sz w:val="20"/>
      <w:szCs w:val="20"/>
    </w:rPr>
  </w:style>
  <w:style w:type="character" w:styleId="EndnoteReference">
    <w:name w:val="endnote reference"/>
    <w:basedOn w:val="DefaultParagraphFont"/>
    <w:uiPriority w:val="99"/>
    <w:semiHidden/>
    <w:unhideWhenUsed/>
    <w:rsid w:val="005E6A9E"/>
    <w:rPr>
      <w:vertAlign w:val="superscript"/>
    </w:rPr>
  </w:style>
  <w:style w:type="paragraph" w:styleId="Header">
    <w:name w:val="header"/>
    <w:basedOn w:val="Normal"/>
    <w:link w:val="HeaderChar"/>
    <w:uiPriority w:val="99"/>
    <w:unhideWhenUsed/>
    <w:rsid w:val="0015715D"/>
    <w:pPr>
      <w:tabs>
        <w:tab w:val="center" w:pos="4680"/>
        <w:tab w:val="right" w:pos="9360"/>
      </w:tabs>
    </w:pPr>
  </w:style>
  <w:style w:type="character" w:customStyle="1" w:styleId="HeaderChar">
    <w:name w:val="Header Char"/>
    <w:basedOn w:val="DefaultParagraphFont"/>
    <w:link w:val="Header"/>
    <w:uiPriority w:val="99"/>
    <w:rsid w:val="0015715D"/>
    <w:rPr>
      <w:rFonts w:ascii="Calibri" w:hAnsi="Calibri" w:cs="Calibri"/>
    </w:rPr>
  </w:style>
  <w:style w:type="paragraph" w:styleId="Footer">
    <w:name w:val="footer"/>
    <w:basedOn w:val="Normal"/>
    <w:link w:val="FooterChar"/>
    <w:uiPriority w:val="99"/>
    <w:unhideWhenUsed/>
    <w:rsid w:val="0015715D"/>
    <w:pPr>
      <w:tabs>
        <w:tab w:val="center" w:pos="4680"/>
        <w:tab w:val="right" w:pos="9360"/>
      </w:tabs>
    </w:pPr>
  </w:style>
  <w:style w:type="character" w:customStyle="1" w:styleId="FooterChar">
    <w:name w:val="Footer Char"/>
    <w:basedOn w:val="DefaultParagraphFont"/>
    <w:link w:val="Footer"/>
    <w:uiPriority w:val="99"/>
    <w:rsid w:val="0015715D"/>
    <w:rPr>
      <w:rFonts w:ascii="Calibri" w:hAnsi="Calibri" w:cs="Calibri"/>
    </w:rPr>
  </w:style>
  <w:style w:type="character" w:styleId="CommentReference">
    <w:name w:val="annotation reference"/>
    <w:basedOn w:val="DefaultParagraphFont"/>
    <w:uiPriority w:val="99"/>
    <w:semiHidden/>
    <w:unhideWhenUsed/>
    <w:rsid w:val="009415E0"/>
    <w:rPr>
      <w:sz w:val="16"/>
      <w:szCs w:val="16"/>
    </w:rPr>
  </w:style>
  <w:style w:type="paragraph" w:styleId="CommentText">
    <w:name w:val="annotation text"/>
    <w:basedOn w:val="Normal"/>
    <w:link w:val="CommentTextChar"/>
    <w:uiPriority w:val="99"/>
    <w:unhideWhenUsed/>
    <w:rsid w:val="009415E0"/>
    <w:rPr>
      <w:sz w:val="20"/>
      <w:szCs w:val="20"/>
    </w:rPr>
  </w:style>
  <w:style w:type="character" w:customStyle="1" w:styleId="CommentTextChar">
    <w:name w:val="Comment Text Char"/>
    <w:basedOn w:val="DefaultParagraphFont"/>
    <w:link w:val="CommentText"/>
    <w:uiPriority w:val="99"/>
    <w:rsid w:val="009415E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9415E0"/>
    <w:rPr>
      <w:b/>
      <w:bCs/>
    </w:rPr>
  </w:style>
  <w:style w:type="character" w:customStyle="1" w:styleId="CommentSubjectChar">
    <w:name w:val="Comment Subject Char"/>
    <w:basedOn w:val="CommentTextChar"/>
    <w:link w:val="CommentSubject"/>
    <w:uiPriority w:val="99"/>
    <w:semiHidden/>
    <w:rsid w:val="009415E0"/>
    <w:rPr>
      <w:rFonts w:ascii="Calibri" w:hAnsi="Calibri" w:cs="Calibri"/>
      <w:b/>
      <w:bCs/>
      <w:sz w:val="20"/>
      <w:szCs w:val="20"/>
    </w:rPr>
  </w:style>
  <w:style w:type="paragraph" w:customStyle="1" w:styleId="Default">
    <w:name w:val="Default"/>
    <w:rsid w:val="00B9366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85B6F"/>
    <w:rPr>
      <w:rFonts w:ascii="Times New Roman" w:hAnsi="Times New Roman" w:cs="Times New Roman"/>
      <w:b/>
      <w:bCs/>
    </w:rPr>
  </w:style>
  <w:style w:type="character" w:customStyle="1" w:styleId="Heading2Char">
    <w:name w:val="Heading 2 Char"/>
    <w:basedOn w:val="DefaultParagraphFont"/>
    <w:link w:val="Heading2"/>
    <w:uiPriority w:val="9"/>
    <w:rsid w:val="00695B4F"/>
    <w:rPr>
      <w:rFonts w:ascii="Times New Roman" w:eastAsiaTheme="majorEastAsia" w:hAnsi="Times New Roman" w:cstheme="majorBidi"/>
      <w:b/>
      <w:bCs/>
      <w:szCs w:val="26"/>
    </w:rPr>
  </w:style>
  <w:style w:type="character" w:customStyle="1" w:styleId="Heading3Char">
    <w:name w:val="Heading 3 Char"/>
    <w:basedOn w:val="DefaultParagraphFont"/>
    <w:link w:val="Heading3"/>
    <w:uiPriority w:val="9"/>
    <w:rsid w:val="00B23EF1"/>
    <w:rPr>
      <w:rFonts w:ascii="Times New Roman" w:eastAsiaTheme="majorEastAsia" w:hAnsi="Times New Roman" w:cstheme="majorBidi"/>
      <w:szCs w:val="24"/>
      <w:u w:val="single"/>
    </w:rPr>
  </w:style>
  <w:style w:type="paragraph" w:styleId="TOCHeading">
    <w:name w:val="TOC Heading"/>
    <w:basedOn w:val="Heading1"/>
    <w:next w:val="Normal"/>
    <w:uiPriority w:val="39"/>
    <w:unhideWhenUsed/>
    <w:qFormat/>
    <w:rsid w:val="009E54EC"/>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966BD1"/>
    <w:pPr>
      <w:tabs>
        <w:tab w:val="left" w:pos="440"/>
        <w:tab w:val="right" w:leader="dot" w:pos="9350"/>
      </w:tabs>
      <w:spacing w:after="100"/>
      <w:jc w:val="both"/>
    </w:pPr>
    <w:rPr>
      <w:rFonts w:ascii="Times New Roman" w:hAnsi="Times New Roman"/>
      <w:b/>
    </w:rPr>
  </w:style>
  <w:style w:type="paragraph" w:styleId="TOC2">
    <w:name w:val="toc 2"/>
    <w:basedOn w:val="Normal"/>
    <w:next w:val="Normal"/>
    <w:autoRedefine/>
    <w:uiPriority w:val="39"/>
    <w:unhideWhenUsed/>
    <w:rsid w:val="00BE1B0E"/>
    <w:pPr>
      <w:tabs>
        <w:tab w:val="left" w:pos="900"/>
        <w:tab w:val="right" w:leader="dot" w:pos="9350"/>
      </w:tabs>
      <w:spacing w:after="100"/>
      <w:ind w:left="432"/>
      <w:jc w:val="both"/>
    </w:pPr>
    <w:rPr>
      <w:rFonts w:ascii="Times New Roman" w:hAnsi="Times New Roman"/>
      <w:b/>
    </w:rPr>
  </w:style>
  <w:style w:type="paragraph" w:styleId="TOC3">
    <w:name w:val="toc 3"/>
    <w:basedOn w:val="Normal"/>
    <w:next w:val="Normal"/>
    <w:autoRedefine/>
    <w:uiPriority w:val="39"/>
    <w:unhideWhenUsed/>
    <w:rsid w:val="00E87D45"/>
    <w:pPr>
      <w:tabs>
        <w:tab w:val="left" w:pos="1100"/>
        <w:tab w:val="right" w:leader="dot" w:pos="9350"/>
      </w:tabs>
      <w:spacing w:after="100"/>
      <w:ind w:left="720"/>
      <w:jc w:val="both"/>
    </w:pPr>
    <w:rPr>
      <w:rFonts w:ascii="Times New Roman" w:hAnsi="Times New Roman"/>
      <w:u w:val="single"/>
    </w:rPr>
  </w:style>
  <w:style w:type="character" w:customStyle="1" w:styleId="Heading4Char">
    <w:name w:val="Heading 4 Char"/>
    <w:basedOn w:val="DefaultParagraphFont"/>
    <w:link w:val="Heading4"/>
    <w:uiPriority w:val="9"/>
    <w:rsid w:val="00B23EF1"/>
    <w:rPr>
      <w:rFonts w:ascii="Times New Roman" w:eastAsiaTheme="majorEastAsia" w:hAnsi="Times New Roman" w:cstheme="majorBidi"/>
      <w:i/>
      <w:szCs w:val="24"/>
    </w:rPr>
  </w:style>
  <w:style w:type="paragraph" w:styleId="TOC4">
    <w:name w:val="toc 4"/>
    <w:basedOn w:val="Normal"/>
    <w:next w:val="Normal"/>
    <w:autoRedefine/>
    <w:uiPriority w:val="39"/>
    <w:unhideWhenUsed/>
    <w:rsid w:val="00E87D45"/>
    <w:pPr>
      <w:spacing w:after="100"/>
      <w:ind w:left="864"/>
    </w:pPr>
    <w:rPr>
      <w:rFonts w:ascii="Times New Roman" w:hAnsi="Times New Roman"/>
      <w:i/>
    </w:rPr>
  </w:style>
  <w:style w:type="paragraph" w:customStyle="1" w:styleId="paragraph">
    <w:name w:val="paragraph"/>
    <w:basedOn w:val="Normal"/>
    <w:rsid w:val="00302432"/>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302432"/>
  </w:style>
  <w:style w:type="character" w:customStyle="1" w:styleId="eop">
    <w:name w:val="eop"/>
    <w:basedOn w:val="DefaultParagraphFont"/>
    <w:rsid w:val="00302432"/>
  </w:style>
  <w:style w:type="character" w:customStyle="1" w:styleId="cosmallcaps">
    <w:name w:val="co_smallcaps"/>
    <w:basedOn w:val="DefaultParagraphFont"/>
    <w:rsid w:val="00827B3D"/>
  </w:style>
  <w:style w:type="character" w:styleId="Emphasis">
    <w:name w:val="Emphasis"/>
    <w:basedOn w:val="DefaultParagraphFont"/>
    <w:uiPriority w:val="20"/>
    <w:qFormat/>
    <w:rsid w:val="00827B3D"/>
    <w:rPr>
      <w:i/>
      <w:iCs/>
    </w:rPr>
  </w:style>
  <w:style w:type="paragraph" w:styleId="NormalWeb">
    <w:name w:val="Normal (Web)"/>
    <w:basedOn w:val="Normal"/>
    <w:uiPriority w:val="99"/>
    <w:semiHidden/>
    <w:unhideWhenUsed/>
    <w:rsid w:val="00170505"/>
    <w:pPr>
      <w:spacing w:before="100" w:beforeAutospacing="1" w:after="100" w:afterAutospacing="1"/>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D817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8175E"/>
    <w:rPr>
      <w:rFonts w:asciiTheme="majorHAnsi" w:eastAsiaTheme="majorEastAsia" w:hAnsiTheme="majorHAnsi" w:cstheme="majorBidi"/>
      <w:color w:val="1F3763" w:themeColor="accent1" w:themeShade="7F"/>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03B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B8A"/>
    <w:rPr>
      <w:rFonts w:ascii="Segoe UI" w:hAnsi="Segoe UI" w:cs="Segoe UI"/>
      <w:sz w:val="18"/>
      <w:szCs w:val="18"/>
    </w:rPr>
  </w:style>
  <w:style w:type="character" w:customStyle="1" w:styleId="pjlv">
    <w:name w:val="pjlv"/>
    <w:basedOn w:val="DefaultParagraphFont"/>
    <w:rsid w:val="004100DC"/>
  </w:style>
  <w:style w:type="paragraph" w:styleId="Revision">
    <w:name w:val="Revision"/>
    <w:hidden/>
    <w:uiPriority w:val="99"/>
    <w:semiHidden/>
    <w:rsid w:val="002906B1"/>
    <w:pPr>
      <w:spacing w:after="0" w:line="240" w:lineRule="auto"/>
    </w:pPr>
    <w:rPr>
      <w:rFonts w:ascii="Calibri" w:hAnsi="Calibri" w:cs="Calibri"/>
    </w:rPr>
  </w:style>
  <w:style w:type="numbering" w:customStyle="1" w:styleId="CurrentList1">
    <w:name w:val="Current List1"/>
    <w:uiPriority w:val="99"/>
    <w:rsid w:val="00BE62B0"/>
    <w:pPr>
      <w:numPr>
        <w:numId w:val="50"/>
      </w:numPr>
    </w:pPr>
  </w:style>
  <w:style w:type="numbering" w:customStyle="1" w:styleId="CurrentList2">
    <w:name w:val="Current List2"/>
    <w:uiPriority w:val="99"/>
    <w:rsid w:val="002B60AD"/>
    <w:pPr>
      <w:numPr>
        <w:numId w:val="52"/>
      </w:numPr>
    </w:pPr>
  </w:style>
  <w:style w:type="numbering" w:customStyle="1" w:styleId="CurrentList3">
    <w:name w:val="Current List3"/>
    <w:uiPriority w:val="99"/>
    <w:rsid w:val="00C47F14"/>
  </w:style>
  <w:style w:type="numbering" w:customStyle="1" w:styleId="CurrentList4">
    <w:name w:val="Current List4"/>
    <w:uiPriority w:val="99"/>
    <w:rsid w:val="00C47F14"/>
    <w:pPr>
      <w:numPr>
        <w:numId w:val="53"/>
      </w:numPr>
    </w:pPr>
  </w:style>
  <w:style w:type="numbering" w:customStyle="1" w:styleId="CurrentList5">
    <w:name w:val="Current List5"/>
    <w:uiPriority w:val="99"/>
    <w:rsid w:val="00966BD1"/>
    <w:pPr>
      <w:numPr>
        <w:numId w:val="54"/>
      </w:numPr>
    </w:pPr>
  </w:style>
  <w:style w:type="numbering" w:customStyle="1" w:styleId="CurrentList6">
    <w:name w:val="Current List6"/>
    <w:uiPriority w:val="99"/>
    <w:rsid w:val="008D1EA9"/>
    <w:pPr>
      <w:numPr>
        <w:numId w:val="5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2702">
      <w:bodyDiv w:val="1"/>
      <w:marLeft w:val="0"/>
      <w:marRight w:val="0"/>
      <w:marTop w:val="0"/>
      <w:marBottom w:val="0"/>
      <w:divBdr>
        <w:top w:val="none" w:sz="0" w:space="0" w:color="auto"/>
        <w:left w:val="none" w:sz="0" w:space="0" w:color="auto"/>
        <w:bottom w:val="none" w:sz="0" w:space="0" w:color="auto"/>
        <w:right w:val="none" w:sz="0" w:space="0" w:color="auto"/>
      </w:divBdr>
      <w:divsChild>
        <w:div w:id="1244340036">
          <w:marLeft w:val="0"/>
          <w:marRight w:val="0"/>
          <w:marTop w:val="0"/>
          <w:marBottom w:val="0"/>
          <w:divBdr>
            <w:top w:val="none" w:sz="0" w:space="0" w:color="auto"/>
            <w:left w:val="none" w:sz="0" w:space="0" w:color="auto"/>
            <w:bottom w:val="none" w:sz="0" w:space="0" w:color="auto"/>
            <w:right w:val="none" w:sz="0" w:space="0" w:color="auto"/>
          </w:divBdr>
          <w:divsChild>
            <w:div w:id="1828861541">
              <w:marLeft w:val="0"/>
              <w:marRight w:val="0"/>
              <w:marTop w:val="0"/>
              <w:marBottom w:val="0"/>
              <w:divBdr>
                <w:top w:val="none" w:sz="0" w:space="0" w:color="auto"/>
                <w:left w:val="none" w:sz="0" w:space="0" w:color="auto"/>
                <w:bottom w:val="none" w:sz="0" w:space="0" w:color="auto"/>
                <w:right w:val="none" w:sz="0" w:space="0" w:color="auto"/>
              </w:divBdr>
              <w:divsChild>
                <w:div w:id="11175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3086">
      <w:bodyDiv w:val="1"/>
      <w:marLeft w:val="0"/>
      <w:marRight w:val="0"/>
      <w:marTop w:val="0"/>
      <w:marBottom w:val="0"/>
      <w:divBdr>
        <w:top w:val="none" w:sz="0" w:space="0" w:color="auto"/>
        <w:left w:val="none" w:sz="0" w:space="0" w:color="auto"/>
        <w:bottom w:val="none" w:sz="0" w:space="0" w:color="auto"/>
        <w:right w:val="none" w:sz="0" w:space="0" w:color="auto"/>
      </w:divBdr>
    </w:div>
    <w:div w:id="119882990">
      <w:bodyDiv w:val="1"/>
      <w:marLeft w:val="0"/>
      <w:marRight w:val="0"/>
      <w:marTop w:val="0"/>
      <w:marBottom w:val="0"/>
      <w:divBdr>
        <w:top w:val="none" w:sz="0" w:space="0" w:color="auto"/>
        <w:left w:val="none" w:sz="0" w:space="0" w:color="auto"/>
        <w:bottom w:val="none" w:sz="0" w:space="0" w:color="auto"/>
        <w:right w:val="none" w:sz="0" w:space="0" w:color="auto"/>
      </w:divBdr>
    </w:div>
    <w:div w:id="149057618">
      <w:bodyDiv w:val="1"/>
      <w:marLeft w:val="0"/>
      <w:marRight w:val="0"/>
      <w:marTop w:val="0"/>
      <w:marBottom w:val="0"/>
      <w:divBdr>
        <w:top w:val="none" w:sz="0" w:space="0" w:color="auto"/>
        <w:left w:val="none" w:sz="0" w:space="0" w:color="auto"/>
        <w:bottom w:val="none" w:sz="0" w:space="0" w:color="auto"/>
        <w:right w:val="none" w:sz="0" w:space="0" w:color="auto"/>
      </w:divBdr>
    </w:div>
    <w:div w:id="161820599">
      <w:bodyDiv w:val="1"/>
      <w:marLeft w:val="0"/>
      <w:marRight w:val="0"/>
      <w:marTop w:val="0"/>
      <w:marBottom w:val="0"/>
      <w:divBdr>
        <w:top w:val="none" w:sz="0" w:space="0" w:color="auto"/>
        <w:left w:val="none" w:sz="0" w:space="0" w:color="auto"/>
        <w:bottom w:val="none" w:sz="0" w:space="0" w:color="auto"/>
        <w:right w:val="none" w:sz="0" w:space="0" w:color="auto"/>
      </w:divBdr>
    </w:div>
    <w:div w:id="210386330">
      <w:bodyDiv w:val="1"/>
      <w:marLeft w:val="0"/>
      <w:marRight w:val="0"/>
      <w:marTop w:val="0"/>
      <w:marBottom w:val="0"/>
      <w:divBdr>
        <w:top w:val="none" w:sz="0" w:space="0" w:color="auto"/>
        <w:left w:val="none" w:sz="0" w:space="0" w:color="auto"/>
        <w:bottom w:val="none" w:sz="0" w:space="0" w:color="auto"/>
        <w:right w:val="none" w:sz="0" w:space="0" w:color="auto"/>
      </w:divBdr>
    </w:div>
    <w:div w:id="267202180">
      <w:bodyDiv w:val="1"/>
      <w:marLeft w:val="0"/>
      <w:marRight w:val="0"/>
      <w:marTop w:val="0"/>
      <w:marBottom w:val="0"/>
      <w:divBdr>
        <w:top w:val="none" w:sz="0" w:space="0" w:color="auto"/>
        <w:left w:val="none" w:sz="0" w:space="0" w:color="auto"/>
        <w:bottom w:val="none" w:sz="0" w:space="0" w:color="auto"/>
        <w:right w:val="none" w:sz="0" w:space="0" w:color="auto"/>
      </w:divBdr>
      <w:divsChild>
        <w:div w:id="349532739">
          <w:marLeft w:val="0"/>
          <w:marRight w:val="0"/>
          <w:marTop w:val="0"/>
          <w:marBottom w:val="0"/>
          <w:divBdr>
            <w:top w:val="none" w:sz="0" w:space="0" w:color="auto"/>
            <w:left w:val="none" w:sz="0" w:space="0" w:color="auto"/>
            <w:bottom w:val="none" w:sz="0" w:space="0" w:color="auto"/>
            <w:right w:val="none" w:sz="0" w:space="0" w:color="auto"/>
          </w:divBdr>
          <w:divsChild>
            <w:div w:id="604654551">
              <w:marLeft w:val="0"/>
              <w:marRight w:val="0"/>
              <w:marTop w:val="0"/>
              <w:marBottom w:val="0"/>
              <w:divBdr>
                <w:top w:val="none" w:sz="0" w:space="0" w:color="auto"/>
                <w:left w:val="none" w:sz="0" w:space="0" w:color="auto"/>
                <w:bottom w:val="none" w:sz="0" w:space="0" w:color="auto"/>
                <w:right w:val="none" w:sz="0" w:space="0" w:color="auto"/>
              </w:divBdr>
              <w:divsChild>
                <w:div w:id="16556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94721">
      <w:bodyDiv w:val="1"/>
      <w:marLeft w:val="0"/>
      <w:marRight w:val="0"/>
      <w:marTop w:val="0"/>
      <w:marBottom w:val="0"/>
      <w:divBdr>
        <w:top w:val="none" w:sz="0" w:space="0" w:color="auto"/>
        <w:left w:val="none" w:sz="0" w:space="0" w:color="auto"/>
        <w:bottom w:val="none" w:sz="0" w:space="0" w:color="auto"/>
        <w:right w:val="none" w:sz="0" w:space="0" w:color="auto"/>
      </w:divBdr>
    </w:div>
    <w:div w:id="354304794">
      <w:bodyDiv w:val="1"/>
      <w:marLeft w:val="0"/>
      <w:marRight w:val="0"/>
      <w:marTop w:val="0"/>
      <w:marBottom w:val="0"/>
      <w:divBdr>
        <w:top w:val="none" w:sz="0" w:space="0" w:color="auto"/>
        <w:left w:val="none" w:sz="0" w:space="0" w:color="auto"/>
        <w:bottom w:val="none" w:sz="0" w:space="0" w:color="auto"/>
        <w:right w:val="none" w:sz="0" w:space="0" w:color="auto"/>
      </w:divBdr>
    </w:div>
    <w:div w:id="486828749">
      <w:bodyDiv w:val="1"/>
      <w:marLeft w:val="0"/>
      <w:marRight w:val="0"/>
      <w:marTop w:val="0"/>
      <w:marBottom w:val="0"/>
      <w:divBdr>
        <w:top w:val="none" w:sz="0" w:space="0" w:color="auto"/>
        <w:left w:val="none" w:sz="0" w:space="0" w:color="auto"/>
        <w:bottom w:val="none" w:sz="0" w:space="0" w:color="auto"/>
        <w:right w:val="none" w:sz="0" w:space="0" w:color="auto"/>
      </w:divBdr>
    </w:div>
    <w:div w:id="521208187">
      <w:bodyDiv w:val="1"/>
      <w:marLeft w:val="0"/>
      <w:marRight w:val="0"/>
      <w:marTop w:val="0"/>
      <w:marBottom w:val="0"/>
      <w:divBdr>
        <w:top w:val="none" w:sz="0" w:space="0" w:color="auto"/>
        <w:left w:val="none" w:sz="0" w:space="0" w:color="auto"/>
        <w:bottom w:val="none" w:sz="0" w:space="0" w:color="auto"/>
        <w:right w:val="none" w:sz="0" w:space="0" w:color="auto"/>
      </w:divBdr>
    </w:div>
    <w:div w:id="574245846">
      <w:bodyDiv w:val="1"/>
      <w:marLeft w:val="0"/>
      <w:marRight w:val="0"/>
      <w:marTop w:val="0"/>
      <w:marBottom w:val="0"/>
      <w:divBdr>
        <w:top w:val="none" w:sz="0" w:space="0" w:color="auto"/>
        <w:left w:val="none" w:sz="0" w:space="0" w:color="auto"/>
        <w:bottom w:val="none" w:sz="0" w:space="0" w:color="auto"/>
        <w:right w:val="none" w:sz="0" w:space="0" w:color="auto"/>
      </w:divBdr>
    </w:div>
    <w:div w:id="657028843">
      <w:bodyDiv w:val="1"/>
      <w:marLeft w:val="0"/>
      <w:marRight w:val="0"/>
      <w:marTop w:val="0"/>
      <w:marBottom w:val="0"/>
      <w:divBdr>
        <w:top w:val="none" w:sz="0" w:space="0" w:color="auto"/>
        <w:left w:val="none" w:sz="0" w:space="0" w:color="auto"/>
        <w:bottom w:val="none" w:sz="0" w:space="0" w:color="auto"/>
        <w:right w:val="none" w:sz="0" w:space="0" w:color="auto"/>
      </w:divBdr>
    </w:div>
    <w:div w:id="693655824">
      <w:bodyDiv w:val="1"/>
      <w:marLeft w:val="0"/>
      <w:marRight w:val="0"/>
      <w:marTop w:val="0"/>
      <w:marBottom w:val="0"/>
      <w:divBdr>
        <w:top w:val="none" w:sz="0" w:space="0" w:color="auto"/>
        <w:left w:val="none" w:sz="0" w:space="0" w:color="auto"/>
        <w:bottom w:val="none" w:sz="0" w:space="0" w:color="auto"/>
        <w:right w:val="none" w:sz="0" w:space="0" w:color="auto"/>
      </w:divBdr>
    </w:div>
    <w:div w:id="746540026">
      <w:bodyDiv w:val="1"/>
      <w:marLeft w:val="0"/>
      <w:marRight w:val="0"/>
      <w:marTop w:val="0"/>
      <w:marBottom w:val="0"/>
      <w:divBdr>
        <w:top w:val="none" w:sz="0" w:space="0" w:color="auto"/>
        <w:left w:val="none" w:sz="0" w:space="0" w:color="auto"/>
        <w:bottom w:val="none" w:sz="0" w:space="0" w:color="auto"/>
        <w:right w:val="none" w:sz="0" w:space="0" w:color="auto"/>
      </w:divBdr>
    </w:div>
    <w:div w:id="782650343">
      <w:bodyDiv w:val="1"/>
      <w:marLeft w:val="0"/>
      <w:marRight w:val="0"/>
      <w:marTop w:val="0"/>
      <w:marBottom w:val="0"/>
      <w:divBdr>
        <w:top w:val="none" w:sz="0" w:space="0" w:color="auto"/>
        <w:left w:val="none" w:sz="0" w:space="0" w:color="auto"/>
        <w:bottom w:val="none" w:sz="0" w:space="0" w:color="auto"/>
        <w:right w:val="none" w:sz="0" w:space="0" w:color="auto"/>
      </w:divBdr>
    </w:div>
    <w:div w:id="863859610">
      <w:bodyDiv w:val="1"/>
      <w:marLeft w:val="0"/>
      <w:marRight w:val="0"/>
      <w:marTop w:val="0"/>
      <w:marBottom w:val="0"/>
      <w:divBdr>
        <w:top w:val="none" w:sz="0" w:space="0" w:color="auto"/>
        <w:left w:val="none" w:sz="0" w:space="0" w:color="auto"/>
        <w:bottom w:val="none" w:sz="0" w:space="0" w:color="auto"/>
        <w:right w:val="none" w:sz="0" w:space="0" w:color="auto"/>
      </w:divBdr>
    </w:div>
    <w:div w:id="934628700">
      <w:bodyDiv w:val="1"/>
      <w:marLeft w:val="0"/>
      <w:marRight w:val="0"/>
      <w:marTop w:val="0"/>
      <w:marBottom w:val="0"/>
      <w:divBdr>
        <w:top w:val="none" w:sz="0" w:space="0" w:color="auto"/>
        <w:left w:val="none" w:sz="0" w:space="0" w:color="auto"/>
        <w:bottom w:val="none" w:sz="0" w:space="0" w:color="auto"/>
        <w:right w:val="none" w:sz="0" w:space="0" w:color="auto"/>
      </w:divBdr>
    </w:div>
    <w:div w:id="960965170">
      <w:bodyDiv w:val="1"/>
      <w:marLeft w:val="0"/>
      <w:marRight w:val="0"/>
      <w:marTop w:val="0"/>
      <w:marBottom w:val="0"/>
      <w:divBdr>
        <w:top w:val="none" w:sz="0" w:space="0" w:color="auto"/>
        <w:left w:val="none" w:sz="0" w:space="0" w:color="auto"/>
        <w:bottom w:val="none" w:sz="0" w:space="0" w:color="auto"/>
        <w:right w:val="none" w:sz="0" w:space="0" w:color="auto"/>
      </w:divBdr>
      <w:divsChild>
        <w:div w:id="632297638">
          <w:marLeft w:val="0"/>
          <w:marRight w:val="0"/>
          <w:marTop w:val="0"/>
          <w:marBottom w:val="0"/>
          <w:divBdr>
            <w:top w:val="none" w:sz="0" w:space="0" w:color="auto"/>
            <w:left w:val="none" w:sz="0" w:space="0" w:color="auto"/>
            <w:bottom w:val="none" w:sz="0" w:space="0" w:color="auto"/>
            <w:right w:val="none" w:sz="0" w:space="0" w:color="auto"/>
          </w:divBdr>
          <w:divsChild>
            <w:div w:id="2079328441">
              <w:marLeft w:val="0"/>
              <w:marRight w:val="0"/>
              <w:marTop w:val="0"/>
              <w:marBottom w:val="0"/>
              <w:divBdr>
                <w:top w:val="none" w:sz="0" w:space="0" w:color="auto"/>
                <w:left w:val="none" w:sz="0" w:space="0" w:color="auto"/>
                <w:bottom w:val="none" w:sz="0" w:space="0" w:color="auto"/>
                <w:right w:val="none" w:sz="0" w:space="0" w:color="auto"/>
              </w:divBdr>
              <w:divsChild>
                <w:div w:id="26118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097985">
      <w:bodyDiv w:val="1"/>
      <w:marLeft w:val="0"/>
      <w:marRight w:val="0"/>
      <w:marTop w:val="0"/>
      <w:marBottom w:val="0"/>
      <w:divBdr>
        <w:top w:val="none" w:sz="0" w:space="0" w:color="auto"/>
        <w:left w:val="none" w:sz="0" w:space="0" w:color="auto"/>
        <w:bottom w:val="none" w:sz="0" w:space="0" w:color="auto"/>
        <w:right w:val="none" w:sz="0" w:space="0" w:color="auto"/>
      </w:divBdr>
      <w:divsChild>
        <w:div w:id="2017610308">
          <w:marLeft w:val="0"/>
          <w:marRight w:val="0"/>
          <w:marTop w:val="0"/>
          <w:marBottom w:val="0"/>
          <w:divBdr>
            <w:top w:val="none" w:sz="0" w:space="0" w:color="auto"/>
            <w:left w:val="none" w:sz="0" w:space="0" w:color="auto"/>
            <w:bottom w:val="none" w:sz="0" w:space="0" w:color="auto"/>
            <w:right w:val="none" w:sz="0" w:space="0" w:color="auto"/>
          </w:divBdr>
          <w:divsChild>
            <w:div w:id="468279956">
              <w:marLeft w:val="0"/>
              <w:marRight w:val="0"/>
              <w:marTop w:val="0"/>
              <w:marBottom w:val="0"/>
              <w:divBdr>
                <w:top w:val="none" w:sz="0" w:space="0" w:color="auto"/>
                <w:left w:val="none" w:sz="0" w:space="0" w:color="auto"/>
                <w:bottom w:val="none" w:sz="0" w:space="0" w:color="auto"/>
                <w:right w:val="none" w:sz="0" w:space="0" w:color="auto"/>
              </w:divBdr>
              <w:divsChild>
                <w:div w:id="183560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236282">
      <w:bodyDiv w:val="1"/>
      <w:marLeft w:val="0"/>
      <w:marRight w:val="0"/>
      <w:marTop w:val="0"/>
      <w:marBottom w:val="0"/>
      <w:divBdr>
        <w:top w:val="none" w:sz="0" w:space="0" w:color="auto"/>
        <w:left w:val="none" w:sz="0" w:space="0" w:color="auto"/>
        <w:bottom w:val="none" w:sz="0" w:space="0" w:color="auto"/>
        <w:right w:val="none" w:sz="0" w:space="0" w:color="auto"/>
      </w:divBdr>
    </w:div>
    <w:div w:id="1088312513">
      <w:bodyDiv w:val="1"/>
      <w:marLeft w:val="0"/>
      <w:marRight w:val="0"/>
      <w:marTop w:val="0"/>
      <w:marBottom w:val="0"/>
      <w:divBdr>
        <w:top w:val="none" w:sz="0" w:space="0" w:color="auto"/>
        <w:left w:val="none" w:sz="0" w:space="0" w:color="auto"/>
        <w:bottom w:val="none" w:sz="0" w:space="0" w:color="auto"/>
        <w:right w:val="none" w:sz="0" w:space="0" w:color="auto"/>
      </w:divBdr>
    </w:div>
    <w:div w:id="1130174231">
      <w:bodyDiv w:val="1"/>
      <w:marLeft w:val="0"/>
      <w:marRight w:val="0"/>
      <w:marTop w:val="0"/>
      <w:marBottom w:val="0"/>
      <w:divBdr>
        <w:top w:val="none" w:sz="0" w:space="0" w:color="auto"/>
        <w:left w:val="none" w:sz="0" w:space="0" w:color="auto"/>
        <w:bottom w:val="none" w:sz="0" w:space="0" w:color="auto"/>
        <w:right w:val="none" w:sz="0" w:space="0" w:color="auto"/>
      </w:divBdr>
    </w:div>
    <w:div w:id="1167594464">
      <w:bodyDiv w:val="1"/>
      <w:marLeft w:val="0"/>
      <w:marRight w:val="0"/>
      <w:marTop w:val="0"/>
      <w:marBottom w:val="0"/>
      <w:divBdr>
        <w:top w:val="none" w:sz="0" w:space="0" w:color="auto"/>
        <w:left w:val="none" w:sz="0" w:space="0" w:color="auto"/>
        <w:bottom w:val="none" w:sz="0" w:space="0" w:color="auto"/>
        <w:right w:val="none" w:sz="0" w:space="0" w:color="auto"/>
      </w:divBdr>
    </w:div>
    <w:div w:id="1214658856">
      <w:bodyDiv w:val="1"/>
      <w:marLeft w:val="0"/>
      <w:marRight w:val="0"/>
      <w:marTop w:val="0"/>
      <w:marBottom w:val="0"/>
      <w:divBdr>
        <w:top w:val="none" w:sz="0" w:space="0" w:color="auto"/>
        <w:left w:val="none" w:sz="0" w:space="0" w:color="auto"/>
        <w:bottom w:val="none" w:sz="0" w:space="0" w:color="auto"/>
        <w:right w:val="none" w:sz="0" w:space="0" w:color="auto"/>
      </w:divBdr>
    </w:div>
    <w:div w:id="1228371270">
      <w:bodyDiv w:val="1"/>
      <w:marLeft w:val="0"/>
      <w:marRight w:val="0"/>
      <w:marTop w:val="0"/>
      <w:marBottom w:val="0"/>
      <w:divBdr>
        <w:top w:val="none" w:sz="0" w:space="0" w:color="auto"/>
        <w:left w:val="none" w:sz="0" w:space="0" w:color="auto"/>
        <w:bottom w:val="none" w:sz="0" w:space="0" w:color="auto"/>
        <w:right w:val="none" w:sz="0" w:space="0" w:color="auto"/>
      </w:divBdr>
      <w:divsChild>
        <w:div w:id="2012028738">
          <w:marLeft w:val="0"/>
          <w:marRight w:val="0"/>
          <w:marTop w:val="0"/>
          <w:marBottom w:val="0"/>
          <w:divBdr>
            <w:top w:val="none" w:sz="0" w:space="0" w:color="auto"/>
            <w:left w:val="none" w:sz="0" w:space="0" w:color="auto"/>
            <w:bottom w:val="none" w:sz="0" w:space="0" w:color="auto"/>
            <w:right w:val="none" w:sz="0" w:space="0" w:color="auto"/>
          </w:divBdr>
          <w:divsChild>
            <w:div w:id="547037463">
              <w:marLeft w:val="0"/>
              <w:marRight w:val="0"/>
              <w:marTop w:val="0"/>
              <w:marBottom w:val="0"/>
              <w:divBdr>
                <w:top w:val="none" w:sz="0" w:space="0" w:color="auto"/>
                <w:left w:val="none" w:sz="0" w:space="0" w:color="auto"/>
                <w:bottom w:val="none" w:sz="0" w:space="0" w:color="auto"/>
                <w:right w:val="none" w:sz="0" w:space="0" w:color="auto"/>
              </w:divBdr>
              <w:divsChild>
                <w:div w:id="9260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329704">
      <w:bodyDiv w:val="1"/>
      <w:marLeft w:val="0"/>
      <w:marRight w:val="0"/>
      <w:marTop w:val="0"/>
      <w:marBottom w:val="0"/>
      <w:divBdr>
        <w:top w:val="none" w:sz="0" w:space="0" w:color="auto"/>
        <w:left w:val="none" w:sz="0" w:space="0" w:color="auto"/>
        <w:bottom w:val="none" w:sz="0" w:space="0" w:color="auto"/>
        <w:right w:val="none" w:sz="0" w:space="0" w:color="auto"/>
      </w:divBdr>
    </w:div>
    <w:div w:id="1277325275">
      <w:bodyDiv w:val="1"/>
      <w:marLeft w:val="0"/>
      <w:marRight w:val="0"/>
      <w:marTop w:val="0"/>
      <w:marBottom w:val="0"/>
      <w:divBdr>
        <w:top w:val="none" w:sz="0" w:space="0" w:color="auto"/>
        <w:left w:val="none" w:sz="0" w:space="0" w:color="auto"/>
        <w:bottom w:val="none" w:sz="0" w:space="0" w:color="auto"/>
        <w:right w:val="none" w:sz="0" w:space="0" w:color="auto"/>
      </w:divBdr>
      <w:divsChild>
        <w:div w:id="280915828">
          <w:marLeft w:val="0"/>
          <w:marRight w:val="0"/>
          <w:marTop w:val="0"/>
          <w:marBottom w:val="0"/>
          <w:divBdr>
            <w:top w:val="none" w:sz="0" w:space="0" w:color="auto"/>
            <w:left w:val="none" w:sz="0" w:space="0" w:color="auto"/>
            <w:bottom w:val="none" w:sz="0" w:space="0" w:color="auto"/>
            <w:right w:val="none" w:sz="0" w:space="0" w:color="auto"/>
          </w:divBdr>
          <w:divsChild>
            <w:div w:id="686371570">
              <w:marLeft w:val="0"/>
              <w:marRight w:val="0"/>
              <w:marTop w:val="0"/>
              <w:marBottom w:val="0"/>
              <w:divBdr>
                <w:top w:val="none" w:sz="0" w:space="0" w:color="auto"/>
                <w:left w:val="none" w:sz="0" w:space="0" w:color="auto"/>
                <w:bottom w:val="none" w:sz="0" w:space="0" w:color="auto"/>
                <w:right w:val="none" w:sz="0" w:space="0" w:color="auto"/>
              </w:divBdr>
              <w:divsChild>
                <w:div w:id="198561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52909">
      <w:bodyDiv w:val="1"/>
      <w:marLeft w:val="0"/>
      <w:marRight w:val="0"/>
      <w:marTop w:val="0"/>
      <w:marBottom w:val="0"/>
      <w:divBdr>
        <w:top w:val="none" w:sz="0" w:space="0" w:color="auto"/>
        <w:left w:val="none" w:sz="0" w:space="0" w:color="auto"/>
        <w:bottom w:val="none" w:sz="0" w:space="0" w:color="auto"/>
        <w:right w:val="none" w:sz="0" w:space="0" w:color="auto"/>
      </w:divBdr>
    </w:div>
    <w:div w:id="1340080654">
      <w:bodyDiv w:val="1"/>
      <w:marLeft w:val="0"/>
      <w:marRight w:val="0"/>
      <w:marTop w:val="0"/>
      <w:marBottom w:val="0"/>
      <w:divBdr>
        <w:top w:val="none" w:sz="0" w:space="0" w:color="auto"/>
        <w:left w:val="none" w:sz="0" w:space="0" w:color="auto"/>
        <w:bottom w:val="none" w:sz="0" w:space="0" w:color="auto"/>
        <w:right w:val="none" w:sz="0" w:space="0" w:color="auto"/>
      </w:divBdr>
    </w:div>
    <w:div w:id="1352951188">
      <w:bodyDiv w:val="1"/>
      <w:marLeft w:val="0"/>
      <w:marRight w:val="0"/>
      <w:marTop w:val="0"/>
      <w:marBottom w:val="0"/>
      <w:divBdr>
        <w:top w:val="none" w:sz="0" w:space="0" w:color="auto"/>
        <w:left w:val="none" w:sz="0" w:space="0" w:color="auto"/>
        <w:bottom w:val="none" w:sz="0" w:space="0" w:color="auto"/>
        <w:right w:val="none" w:sz="0" w:space="0" w:color="auto"/>
      </w:divBdr>
    </w:div>
    <w:div w:id="1489127128">
      <w:bodyDiv w:val="1"/>
      <w:marLeft w:val="0"/>
      <w:marRight w:val="0"/>
      <w:marTop w:val="0"/>
      <w:marBottom w:val="0"/>
      <w:divBdr>
        <w:top w:val="none" w:sz="0" w:space="0" w:color="auto"/>
        <w:left w:val="none" w:sz="0" w:space="0" w:color="auto"/>
        <w:bottom w:val="none" w:sz="0" w:space="0" w:color="auto"/>
        <w:right w:val="none" w:sz="0" w:space="0" w:color="auto"/>
      </w:divBdr>
    </w:div>
    <w:div w:id="1540822877">
      <w:bodyDiv w:val="1"/>
      <w:marLeft w:val="0"/>
      <w:marRight w:val="0"/>
      <w:marTop w:val="0"/>
      <w:marBottom w:val="0"/>
      <w:divBdr>
        <w:top w:val="none" w:sz="0" w:space="0" w:color="auto"/>
        <w:left w:val="none" w:sz="0" w:space="0" w:color="auto"/>
        <w:bottom w:val="none" w:sz="0" w:space="0" w:color="auto"/>
        <w:right w:val="none" w:sz="0" w:space="0" w:color="auto"/>
      </w:divBdr>
    </w:div>
    <w:div w:id="1557738415">
      <w:bodyDiv w:val="1"/>
      <w:marLeft w:val="0"/>
      <w:marRight w:val="0"/>
      <w:marTop w:val="0"/>
      <w:marBottom w:val="0"/>
      <w:divBdr>
        <w:top w:val="none" w:sz="0" w:space="0" w:color="auto"/>
        <w:left w:val="none" w:sz="0" w:space="0" w:color="auto"/>
        <w:bottom w:val="none" w:sz="0" w:space="0" w:color="auto"/>
        <w:right w:val="none" w:sz="0" w:space="0" w:color="auto"/>
      </w:divBdr>
    </w:div>
    <w:div w:id="1584991729">
      <w:bodyDiv w:val="1"/>
      <w:marLeft w:val="0"/>
      <w:marRight w:val="0"/>
      <w:marTop w:val="0"/>
      <w:marBottom w:val="0"/>
      <w:divBdr>
        <w:top w:val="none" w:sz="0" w:space="0" w:color="auto"/>
        <w:left w:val="none" w:sz="0" w:space="0" w:color="auto"/>
        <w:bottom w:val="none" w:sz="0" w:space="0" w:color="auto"/>
        <w:right w:val="none" w:sz="0" w:space="0" w:color="auto"/>
      </w:divBdr>
    </w:div>
    <w:div w:id="1604877595">
      <w:bodyDiv w:val="1"/>
      <w:marLeft w:val="0"/>
      <w:marRight w:val="0"/>
      <w:marTop w:val="0"/>
      <w:marBottom w:val="0"/>
      <w:divBdr>
        <w:top w:val="none" w:sz="0" w:space="0" w:color="auto"/>
        <w:left w:val="none" w:sz="0" w:space="0" w:color="auto"/>
        <w:bottom w:val="none" w:sz="0" w:space="0" w:color="auto"/>
        <w:right w:val="none" w:sz="0" w:space="0" w:color="auto"/>
      </w:divBdr>
    </w:div>
    <w:div w:id="1610118609">
      <w:bodyDiv w:val="1"/>
      <w:marLeft w:val="0"/>
      <w:marRight w:val="0"/>
      <w:marTop w:val="0"/>
      <w:marBottom w:val="0"/>
      <w:divBdr>
        <w:top w:val="none" w:sz="0" w:space="0" w:color="auto"/>
        <w:left w:val="none" w:sz="0" w:space="0" w:color="auto"/>
        <w:bottom w:val="none" w:sz="0" w:space="0" w:color="auto"/>
        <w:right w:val="none" w:sz="0" w:space="0" w:color="auto"/>
      </w:divBdr>
    </w:div>
    <w:div w:id="1636252361">
      <w:bodyDiv w:val="1"/>
      <w:marLeft w:val="0"/>
      <w:marRight w:val="0"/>
      <w:marTop w:val="0"/>
      <w:marBottom w:val="0"/>
      <w:divBdr>
        <w:top w:val="none" w:sz="0" w:space="0" w:color="auto"/>
        <w:left w:val="none" w:sz="0" w:space="0" w:color="auto"/>
        <w:bottom w:val="none" w:sz="0" w:space="0" w:color="auto"/>
        <w:right w:val="none" w:sz="0" w:space="0" w:color="auto"/>
      </w:divBdr>
      <w:divsChild>
        <w:div w:id="420101550">
          <w:marLeft w:val="0"/>
          <w:marRight w:val="0"/>
          <w:marTop w:val="0"/>
          <w:marBottom w:val="0"/>
          <w:divBdr>
            <w:top w:val="none" w:sz="0" w:space="0" w:color="auto"/>
            <w:left w:val="none" w:sz="0" w:space="0" w:color="auto"/>
            <w:bottom w:val="none" w:sz="0" w:space="0" w:color="auto"/>
            <w:right w:val="none" w:sz="0" w:space="0" w:color="auto"/>
          </w:divBdr>
          <w:divsChild>
            <w:div w:id="815293324">
              <w:marLeft w:val="0"/>
              <w:marRight w:val="0"/>
              <w:marTop w:val="0"/>
              <w:marBottom w:val="0"/>
              <w:divBdr>
                <w:top w:val="none" w:sz="0" w:space="0" w:color="auto"/>
                <w:left w:val="none" w:sz="0" w:space="0" w:color="auto"/>
                <w:bottom w:val="none" w:sz="0" w:space="0" w:color="auto"/>
                <w:right w:val="none" w:sz="0" w:space="0" w:color="auto"/>
              </w:divBdr>
              <w:divsChild>
                <w:div w:id="166593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47977">
      <w:bodyDiv w:val="1"/>
      <w:marLeft w:val="0"/>
      <w:marRight w:val="0"/>
      <w:marTop w:val="0"/>
      <w:marBottom w:val="0"/>
      <w:divBdr>
        <w:top w:val="none" w:sz="0" w:space="0" w:color="auto"/>
        <w:left w:val="none" w:sz="0" w:space="0" w:color="auto"/>
        <w:bottom w:val="none" w:sz="0" w:space="0" w:color="auto"/>
        <w:right w:val="none" w:sz="0" w:space="0" w:color="auto"/>
      </w:divBdr>
    </w:div>
    <w:div w:id="1667246076">
      <w:bodyDiv w:val="1"/>
      <w:marLeft w:val="0"/>
      <w:marRight w:val="0"/>
      <w:marTop w:val="0"/>
      <w:marBottom w:val="0"/>
      <w:divBdr>
        <w:top w:val="none" w:sz="0" w:space="0" w:color="auto"/>
        <w:left w:val="none" w:sz="0" w:space="0" w:color="auto"/>
        <w:bottom w:val="none" w:sz="0" w:space="0" w:color="auto"/>
        <w:right w:val="none" w:sz="0" w:space="0" w:color="auto"/>
      </w:divBdr>
    </w:div>
    <w:div w:id="1670327903">
      <w:bodyDiv w:val="1"/>
      <w:marLeft w:val="0"/>
      <w:marRight w:val="0"/>
      <w:marTop w:val="0"/>
      <w:marBottom w:val="0"/>
      <w:divBdr>
        <w:top w:val="none" w:sz="0" w:space="0" w:color="auto"/>
        <w:left w:val="none" w:sz="0" w:space="0" w:color="auto"/>
        <w:bottom w:val="none" w:sz="0" w:space="0" w:color="auto"/>
        <w:right w:val="none" w:sz="0" w:space="0" w:color="auto"/>
      </w:divBdr>
    </w:div>
    <w:div w:id="1774746100">
      <w:bodyDiv w:val="1"/>
      <w:marLeft w:val="0"/>
      <w:marRight w:val="0"/>
      <w:marTop w:val="0"/>
      <w:marBottom w:val="0"/>
      <w:divBdr>
        <w:top w:val="none" w:sz="0" w:space="0" w:color="auto"/>
        <w:left w:val="none" w:sz="0" w:space="0" w:color="auto"/>
        <w:bottom w:val="none" w:sz="0" w:space="0" w:color="auto"/>
        <w:right w:val="none" w:sz="0" w:space="0" w:color="auto"/>
      </w:divBdr>
    </w:div>
    <w:div w:id="1802065531">
      <w:bodyDiv w:val="1"/>
      <w:marLeft w:val="0"/>
      <w:marRight w:val="0"/>
      <w:marTop w:val="0"/>
      <w:marBottom w:val="0"/>
      <w:divBdr>
        <w:top w:val="none" w:sz="0" w:space="0" w:color="auto"/>
        <w:left w:val="none" w:sz="0" w:space="0" w:color="auto"/>
        <w:bottom w:val="none" w:sz="0" w:space="0" w:color="auto"/>
        <w:right w:val="none" w:sz="0" w:space="0" w:color="auto"/>
      </w:divBdr>
    </w:div>
    <w:div w:id="1823277879">
      <w:bodyDiv w:val="1"/>
      <w:marLeft w:val="0"/>
      <w:marRight w:val="0"/>
      <w:marTop w:val="0"/>
      <w:marBottom w:val="0"/>
      <w:divBdr>
        <w:top w:val="none" w:sz="0" w:space="0" w:color="auto"/>
        <w:left w:val="none" w:sz="0" w:space="0" w:color="auto"/>
        <w:bottom w:val="none" w:sz="0" w:space="0" w:color="auto"/>
        <w:right w:val="none" w:sz="0" w:space="0" w:color="auto"/>
      </w:divBdr>
    </w:div>
    <w:div w:id="1857109582">
      <w:bodyDiv w:val="1"/>
      <w:marLeft w:val="0"/>
      <w:marRight w:val="0"/>
      <w:marTop w:val="0"/>
      <w:marBottom w:val="0"/>
      <w:divBdr>
        <w:top w:val="none" w:sz="0" w:space="0" w:color="auto"/>
        <w:left w:val="none" w:sz="0" w:space="0" w:color="auto"/>
        <w:bottom w:val="none" w:sz="0" w:space="0" w:color="auto"/>
        <w:right w:val="none" w:sz="0" w:space="0" w:color="auto"/>
      </w:divBdr>
      <w:divsChild>
        <w:div w:id="99953950">
          <w:marLeft w:val="0"/>
          <w:marRight w:val="0"/>
          <w:marTop w:val="0"/>
          <w:marBottom w:val="0"/>
          <w:divBdr>
            <w:top w:val="none" w:sz="0" w:space="0" w:color="auto"/>
            <w:left w:val="none" w:sz="0" w:space="0" w:color="auto"/>
            <w:bottom w:val="none" w:sz="0" w:space="0" w:color="auto"/>
            <w:right w:val="none" w:sz="0" w:space="0" w:color="auto"/>
          </w:divBdr>
          <w:divsChild>
            <w:div w:id="1441685698">
              <w:marLeft w:val="0"/>
              <w:marRight w:val="0"/>
              <w:marTop w:val="0"/>
              <w:marBottom w:val="0"/>
              <w:divBdr>
                <w:top w:val="none" w:sz="0" w:space="0" w:color="auto"/>
                <w:left w:val="none" w:sz="0" w:space="0" w:color="auto"/>
                <w:bottom w:val="none" w:sz="0" w:space="0" w:color="auto"/>
                <w:right w:val="none" w:sz="0" w:space="0" w:color="auto"/>
              </w:divBdr>
              <w:divsChild>
                <w:div w:id="204216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99271">
      <w:bodyDiv w:val="1"/>
      <w:marLeft w:val="0"/>
      <w:marRight w:val="0"/>
      <w:marTop w:val="0"/>
      <w:marBottom w:val="0"/>
      <w:divBdr>
        <w:top w:val="none" w:sz="0" w:space="0" w:color="auto"/>
        <w:left w:val="none" w:sz="0" w:space="0" w:color="auto"/>
        <w:bottom w:val="none" w:sz="0" w:space="0" w:color="auto"/>
        <w:right w:val="none" w:sz="0" w:space="0" w:color="auto"/>
      </w:divBdr>
    </w:div>
    <w:div w:id="2062363557">
      <w:bodyDiv w:val="1"/>
      <w:marLeft w:val="0"/>
      <w:marRight w:val="0"/>
      <w:marTop w:val="0"/>
      <w:marBottom w:val="0"/>
      <w:divBdr>
        <w:top w:val="none" w:sz="0" w:space="0" w:color="auto"/>
        <w:left w:val="none" w:sz="0" w:space="0" w:color="auto"/>
        <w:bottom w:val="none" w:sz="0" w:space="0" w:color="auto"/>
        <w:right w:val="none" w:sz="0" w:space="0" w:color="auto"/>
      </w:divBdr>
    </w:div>
    <w:div w:id="2110851009">
      <w:bodyDiv w:val="1"/>
      <w:marLeft w:val="0"/>
      <w:marRight w:val="0"/>
      <w:marTop w:val="0"/>
      <w:marBottom w:val="0"/>
      <w:divBdr>
        <w:top w:val="none" w:sz="0" w:space="0" w:color="auto"/>
        <w:left w:val="none" w:sz="0" w:space="0" w:color="auto"/>
        <w:bottom w:val="none" w:sz="0" w:space="0" w:color="auto"/>
        <w:right w:val="none" w:sz="0" w:space="0" w:color="auto"/>
      </w:divBdr>
    </w:div>
    <w:div w:id="2114788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bcnews.com/news/latino/asylum-seekers-attorneys-decry-horrendous-louisiana-ice-detention-cent-rcna1218" TargetMode="External"/><Relationship Id="rId2" Type="http://schemas.openxmlformats.org/officeDocument/2006/relationships/numbering" Target="numbering.xml"/><Relationship Id="rId16" Type="http://schemas.openxmlformats.org/officeDocument/2006/relationships/hyperlink" Target="https://www.nbcnews.com/news/latino/i-m-afraid-take-covid-home-guard-ice-detention-facility-n119818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s3.documentcloud.org/documents/23855473/doe-v-baker-county-md-fla-may-19-2023-sex-trafficking.pdf" TargetMode="External"/><Relationship Id="rId21" Type="http://schemas.openxmlformats.org/officeDocument/2006/relationships/hyperlink" Target="https://www.presidency.ucsb.edu/documents/executive-order-12324-interdiction-illegal-aliens" TargetMode="External"/><Relationship Id="rId42" Type="http://schemas.openxmlformats.org/officeDocument/2006/relationships/hyperlink" Target="https://www.quixote.org/wp-content/uploads/2021/10/HaitianEmergencyFlightsJA-21-00378-Final9-27-2021.pdf" TargetMode="External"/><Relationship Id="rId63" Type="http://schemas.openxmlformats.org/officeDocument/2006/relationships/hyperlink" Target="https://www.usni.org/magazines/proceedings/2023/february/coast-guard-migrant-interdiction-operations-are-state-emergency" TargetMode="External"/><Relationship Id="rId84" Type="http://schemas.openxmlformats.org/officeDocument/2006/relationships/hyperlink" Target="https://foreignpolicy.com/2020/12/13/united-states-cameroon-asylum-seekers-ice-deportation/" TargetMode="External"/><Relationship Id="rId138" Type="http://schemas.openxmlformats.org/officeDocument/2006/relationships/hyperlink" Target="http://www.cidh.oas.org/annualrep/99eng/Merits/UnitedStates10.951.htm" TargetMode="External"/><Relationship Id="rId159" Type="http://schemas.openxmlformats.org/officeDocument/2006/relationships/hyperlink" Target="https://www.haitilibre.com/en/news-34274-haiti-flash-ariel-henry-prime-minister-of-haiti-official.html" TargetMode="External"/><Relationship Id="rId107" Type="http://schemas.openxmlformats.org/officeDocument/2006/relationships/hyperlink" Target="https://osf.io/preprints/socarxiv/zdy7f/" TargetMode="External"/><Relationship Id="rId11" Type="http://schemas.openxmlformats.org/officeDocument/2006/relationships/hyperlink" Target="https://crsreports.congress.gov/product/pdf/IF/IF11343" TargetMode="External"/><Relationship Id="rId32" Type="http://schemas.openxmlformats.org/officeDocument/2006/relationships/hyperlink" Target="https://www.documentcloud.org/documents/5987025-Border-Patrol-Strategic-Plan-1994-and-Beyond.html" TargetMode="External"/><Relationship Id="rId53" Type="http://schemas.openxmlformats.org/officeDocument/2006/relationships/hyperlink" Target="https://www.nbcnews.com/politics/immigration/senior-biden-officials-are-pushing-send-us-troops-south-american-jungl-rcna85574" TargetMode="External"/><Relationship Id="rId74" Type="http://schemas.openxmlformats.org/officeDocument/2006/relationships/hyperlink" Target="https://www.americanimmigrationcouncil.org/sites/default/files/litigation_documents/challenging_cbp_one_turnback_policy_complaint_0.pdf" TargetMode="External"/><Relationship Id="rId128" Type="http://schemas.openxmlformats.org/officeDocument/2006/relationships/hyperlink" Target="https://www.lawfareblog.com/case-study-outsourcing-us-border-control" TargetMode="External"/><Relationship Id="rId149" Type="http://schemas.openxmlformats.org/officeDocument/2006/relationships/hyperlink" Target="https://www.lrb.co.uk/the-paper/v26/n08/paul-farmer/who-removed-aristide" TargetMode="External"/><Relationship Id="rId5" Type="http://schemas.openxmlformats.org/officeDocument/2006/relationships/hyperlink" Target="https://documents-dds-ny.un.org/doc/UNDOC/GEN/G22/495/96/PDF/G2249596.pdf" TargetMode="External"/><Relationship Id="rId95" Type="http://schemas.openxmlformats.org/officeDocument/2006/relationships/hyperlink" Target="https://www.law.georgetown.edu/immigration-law-journal/wp-content/uploads/sites/19/2020/08/ENDING-FORCED-LABOR-IN-ICE-DETENTION-CENTERS-A-NEW-APPROACH.pdf" TargetMode="External"/><Relationship Id="rId160" Type="http://schemas.openxmlformats.org/officeDocument/2006/relationships/hyperlink" Target="https://jacobin.com/2017/02/haiti-election-democracy-neoliberal-clinton-jovenel-moise-martelly-aristide-preval-duvalier/" TargetMode="External"/><Relationship Id="rId22" Type="http://schemas.openxmlformats.org/officeDocument/2006/relationships/hyperlink" Target="https://www.presidency.ucsb.edu/documents/executive-order-12807-interdiction-illegal-aliens" TargetMode="External"/><Relationship Id="rId43" Type="http://schemas.openxmlformats.org/officeDocument/2006/relationships/hyperlink" Target="https://jsis.washington.edu/humanrights/2019/04/23/ice-air/" TargetMode="External"/><Relationship Id="rId64" Type="http://schemas.openxmlformats.org/officeDocument/2006/relationships/hyperlink" Target="https://humanrightsfirst.org/library/a-system-designed-to-fail-haitians/" TargetMode="External"/><Relationship Id="rId118" Type="http://schemas.openxmlformats.org/officeDocument/2006/relationships/hyperlink" Target="https://apnews.com/article/0e406b5b8a8c405491461188022a824c" TargetMode="External"/><Relationship Id="rId139" Type="http://schemas.openxmlformats.org/officeDocument/2006/relationships/hyperlink" Target="https://digitalcommons.wcl.american.edu/auilr/vol11/iss4/1" TargetMode="External"/><Relationship Id="rId85" Type="http://schemas.openxmlformats.org/officeDocument/2006/relationships/hyperlink" Target="https://www.aclu.org/news/immigrants-rights/unchecked-growth-private-prison-corporations-and-immigration-detention-three-years-into-the-biden-administration" TargetMode="External"/><Relationship Id="rId150" Type="http://schemas.openxmlformats.org/officeDocument/2006/relationships/hyperlink" Target="https://www.ohchr.org/sites/default/files/documents/hrbodies/hrcouncil/forums/forum-african-descent/sessions/session2/statements/PFPAD-session2-grj-ngo-Bureau-des-Avocats-Internationaux.pdf" TargetMode="External"/><Relationship Id="rId12" Type="http://schemas.openxmlformats.org/officeDocument/2006/relationships/hyperlink" Target="https://www.congress.gov/bill/99th-congress/senate-bill/1200" TargetMode="External"/><Relationship Id="rId17" Type="http://schemas.openxmlformats.org/officeDocument/2006/relationships/hyperlink" Target="https://www.theatlantic.com/politics/archive/2017/12/the-double-punishment-for-black-immigrants/549425/" TargetMode="External"/><Relationship Id="rId33" Type="http://schemas.openxmlformats.org/officeDocument/2006/relationships/hyperlink" Target="https://crsreports.congress.gov/product/pdf/RL/RL32562/16" TargetMode="External"/><Relationship Id="rId38" Type="http://schemas.openxmlformats.org/officeDocument/2006/relationships/hyperlink" Target="https://ccrjustice.org/sites/default/files/attach/2023/03/23%20Ps%20Cross%20Appeal%20Brief%202023.02.21.pdf" TargetMode="External"/><Relationship Id="rId59" Type="http://schemas.openxmlformats.org/officeDocument/2006/relationships/hyperlink" Target="https://www.theguardian.com/global-development/2023/apr/14/darien-gap-panama-colombia-us-agreement-migrants" TargetMode="External"/><Relationship Id="rId103" Type="http://schemas.openxmlformats.org/officeDocument/2006/relationships/hyperlink" Target="https://www.oig.dhs.gov/sites/default/files/assets/2022-05/OIG-22-31-Mar22-mgmtalert.pdf" TargetMode="External"/><Relationship Id="rId108" Type="http://schemas.openxmlformats.org/officeDocument/2006/relationships/hyperlink" Target="https://rfkhr.imgix.net/asset/US-Coalition_anti-Black-Discrimination-in-Immigration__CERD-Report_072222.pdf" TargetMode="External"/><Relationship Id="rId124" Type="http://schemas.openxmlformats.org/officeDocument/2006/relationships/hyperlink" Target="https://www.dallasnews.com/opinion/commentary/2021/05/23/mexico-cannot-solve-the-us-border-crisis/" TargetMode="External"/><Relationship Id="rId129" Type="http://schemas.openxmlformats.org/officeDocument/2006/relationships/hyperlink" Target="https://www.infobae.com/america/mexico/2021/11/26/detuvieron-a-cuatro-policias-por-la-muerte-de-una-migrante-haitiana-en-chiapas/" TargetMode="External"/><Relationship Id="rId54" Type="http://schemas.openxmlformats.org/officeDocument/2006/relationships/hyperlink" Target="https://www.southcom.mil/MEDIA/NEWS-ARTICLES/Article/3062872/southcom-commander-visits-panama/" TargetMode="External"/><Relationship Id="rId70" Type="http://schemas.openxmlformats.org/officeDocument/2006/relationships/hyperlink" Target="https://www.ohchr.org/sites/default/files/Documents/Issues/Migration/pushback/Franciscans_International_SubmissionI.pdf" TargetMode="External"/><Relationship Id="rId75" Type="http://schemas.openxmlformats.org/officeDocument/2006/relationships/hyperlink" Target="https://humanrightsfirst.org/wp-content/uploads/2023/05/Barriers-and-Harms-As-Biden-Asylum-Ban-Takes-Effect31.pdf" TargetMode="External"/><Relationship Id="rId91" Type="http://schemas.openxmlformats.org/officeDocument/2006/relationships/hyperlink" Target="https://www.pbs.org/newshour/nation/hundreds-of-immigrants-have-reported-sexual-abuse-at-ice-facilities-most-cases-arent-investigated" TargetMode="External"/><Relationship Id="rId96" Type="http://schemas.openxmlformats.org/officeDocument/2006/relationships/hyperlink" Target="https://www.theguardian.com/commentisfree/2018/may/17/us-private-prisons-forced-labour-detainees-modern-slavery" TargetMode="External"/><Relationship Id="rId140" Type="http://schemas.openxmlformats.org/officeDocument/2006/relationships/hyperlink" Target="https://ccrjustice.org/sites/default/files/attach/2019/05/189" TargetMode="External"/><Relationship Id="rId145" Type="http://schemas.openxmlformats.org/officeDocument/2006/relationships/hyperlink" Target="https://rfkhr.imgix.net/asset/US-Coalition_anti-Black-Discrimination-in-Immigration__CERD-Report_072222.pdf" TargetMode="External"/><Relationship Id="rId161" Type="http://schemas.openxmlformats.org/officeDocument/2006/relationships/hyperlink" Target="https://history.state.gov/milestones/1914-1920/haiti" TargetMode="External"/><Relationship Id="rId166" Type="http://schemas.openxmlformats.org/officeDocument/2006/relationships/hyperlink" Target="https://tbinternet.ohchr.org/_layouts/15/treatybodyexternal/Download.aspx?symbolno=CEDAW%2fC%2fPAN%2fCO%2f8&amp;Lang=en" TargetMode="External"/><Relationship Id="rId1" Type="http://schemas.openxmlformats.org/officeDocument/2006/relationships/hyperlink" Target="https://documents-dds-ny.un.org/doc/UNDOC/GEN/N19/259/38/PDF/N1925938.pdf" TargetMode="External"/><Relationship Id="rId6" Type="http://schemas.openxmlformats.org/officeDocument/2006/relationships/hyperlink" Target="https://tbinternet.ohchr.org/_layouts/15/treatybodyexternal/Download.aspx?symbolno=INT%2FCERD%2FSWA%2F9755&amp;Lang=en" TargetMode="External"/><Relationship Id="rId23" Type="http://schemas.openxmlformats.org/officeDocument/2006/relationships/hyperlink" Target="https://www.presidency.ucsb.edu/documents/executive-order-13276-delegation-responsibilities-concerning-undocumented-aliens" TargetMode="External"/><Relationship Id="rId28" Type="http://schemas.openxmlformats.org/officeDocument/2006/relationships/hyperlink" Target="https://doi.org/10.1017/lsi.2021.11" TargetMode="External"/><Relationship Id="rId49" Type="http://schemas.openxmlformats.org/officeDocument/2006/relationships/hyperlink" Target="https://thehill.com/homenews/ap/ap-top-headlines/us-panama-and-colombia-aim-to-stop-darien-gap-migration/" TargetMode="External"/><Relationship Id="rId114" Type="http://schemas.openxmlformats.org/officeDocument/2006/relationships/hyperlink" Target="https://www.buzzfeednews.com/article/hamedaleaziz/ice-private-prison-louisiana-conditions" TargetMode="External"/><Relationship Id="rId119" Type="http://schemas.openxmlformats.org/officeDocument/2006/relationships/hyperlink" Target="https://www.state.gov/wp-content/uploads/2019/09/19-607-Mexico-Migration-and-Refugees.pdf" TargetMode="External"/><Relationship Id="rId44" Type="http://schemas.openxmlformats.org/officeDocument/2006/relationships/hyperlink" Target="https://imumi.org/attachments/2020/A-Journey-of-Hope-Haitian-Womens-Migration-to%20-Tapachula.pdf" TargetMode="External"/><Relationship Id="rId60" Type="http://schemas.openxmlformats.org/officeDocument/2006/relationships/hyperlink" Target="https://www.latimes.com/world-nation/story/2023-06-02/panama-launches-darien-gap-operation-against-migrant-smugglers" TargetMode="External"/><Relationship Id="rId65" Type="http://schemas.openxmlformats.org/officeDocument/2006/relationships/hyperlink" Target="https://www.usni.org/magazines/proceedings/2023/february/coast-guard-migrant-interdiction-operations-are-state-emergency" TargetMode="External"/><Relationship Id="rId81" Type="http://schemas.openxmlformats.org/officeDocument/2006/relationships/hyperlink" Target="https://www.oas.org/en/iachr/sessions/?S=186" TargetMode="External"/><Relationship Id="rId86" Type="http://schemas.openxmlformats.org/officeDocument/2006/relationships/hyperlink" Target="https://trac.syr.edu/immigration/detentionstats/pop_agen_table.html" TargetMode="External"/><Relationship Id="rId130" Type="http://schemas.openxmlformats.org/officeDocument/2006/relationships/hyperlink" Target="https://www.refugeesinternational.org/reports/2022/4/25/pushed-into-the-shadows-mexicos-reception-of-haitian-migrants" TargetMode="External"/><Relationship Id="rId135" Type="http://schemas.openxmlformats.org/officeDocument/2006/relationships/hyperlink" Target="https://www.federalregister.gov/documents/2023/01/09/2023-00255/implementation-of-a-parole-process-for-haitians" TargetMode="External"/><Relationship Id="rId151" Type="http://schemas.openxmlformats.org/officeDocument/2006/relationships/hyperlink" Target="https://www.theroot.com/as-haiti-burns-never-forget-white-people-did-that-1827454590" TargetMode="External"/><Relationship Id="rId156" Type="http://schemas.openxmlformats.org/officeDocument/2006/relationships/hyperlink" Target="https://www.counterpunch.org/2022/06/02/new-york-times-admits-truth-of-haitian-coup/" TargetMode="External"/><Relationship Id="rId13" Type="http://schemas.openxmlformats.org/officeDocument/2006/relationships/hyperlink" Target="https://www.vox.com/identities/2019/9/30/20875821/black-immigrants-school-prison-deportation-pipeline" TargetMode="External"/><Relationship Id="rId18" Type="http://schemas.openxmlformats.org/officeDocument/2006/relationships/hyperlink" Target="https://escholarship.org/uc/item/8gw8r8xj" TargetMode="External"/><Relationship Id="rId39" Type="http://schemas.openxmlformats.org/officeDocument/2006/relationships/hyperlink" Target="https://ccrjustice.org/sites/default/files/attach/2020/09/AOL%20MSJ.pdf" TargetMode="External"/><Relationship Id="rId109" Type="http://schemas.openxmlformats.org/officeDocument/2006/relationships/hyperlink" Target="https://www.nbcnews.com/news/detainees-advocates-decry-horrific-conditions-louisiana-ice-detention-rcna92339" TargetMode="External"/><Relationship Id="rId34" Type="http://schemas.openxmlformats.org/officeDocument/2006/relationships/hyperlink" Target="https://www.americanimmigrationcouncil.org/research/the-cost-of-immigration-enforcement-and-border-security" TargetMode="External"/><Relationship Id="rId50" Type="http://schemas.openxmlformats.org/officeDocument/2006/relationships/hyperlink" Target="https://www.fwd.us/news/new-report-how-offshoring-and-externalization-policies-imperil-the-right-to-asylum/" TargetMode="External"/><Relationship Id="rId55" Type="http://schemas.openxmlformats.org/officeDocument/2006/relationships/hyperlink" Target="https://www.state.gov/the-united-states-and-panama-advance-migration-cooperation/" TargetMode="External"/><Relationship Id="rId76" Type="http://schemas.openxmlformats.org/officeDocument/2006/relationships/hyperlink" Target="https://miami.app.box.com/s/y9rayyctjsudmeaffnxekijfs760zc55" TargetMode="External"/><Relationship Id="rId97" Type="http://schemas.openxmlformats.org/officeDocument/2006/relationships/hyperlink" Target="https://www.cvt.org/what-we-do/project-archive/immigration-detention-must-end/immigration-detention-is-arbitrary/" TargetMode="External"/><Relationship Id="rId104" Type="http://schemas.openxmlformats.org/officeDocument/2006/relationships/hyperlink" Target="https://www.oig.dhs.gov/sites/default/files/assets/2022-09/OIG-22-75-Sep22.pdf" TargetMode="External"/><Relationship Id="rId120" Type="http://schemas.openxmlformats.org/officeDocument/2006/relationships/hyperlink" Target="https://www.wola.org/2019/02/mexico-national-guard-violates-international-law/" TargetMode="External"/><Relationship Id="rId125" Type="http://schemas.openxmlformats.org/officeDocument/2006/relationships/hyperlink" Target="https://www.voanews.com/a/usa_us-vice-president-calls-immigration-effort-mexico/6205565.html" TargetMode="External"/><Relationship Id="rId141" Type="http://schemas.openxmlformats.org/officeDocument/2006/relationships/hyperlink" Target="https://ccrjustice.org/sites/default/files/attach/2021/09/742" TargetMode="External"/><Relationship Id="rId146" Type="http://schemas.openxmlformats.org/officeDocument/2006/relationships/hyperlink" Target="https://www.ohchr.org/sites/default/files/documents/hrbodies/hrcouncil/forums/forum-african-descent/sessions/session2/Preliminary-Conclusions-and-Recommendations-of-2nd-Session-en.pdf" TargetMode="External"/><Relationship Id="rId167" Type="http://schemas.openxmlformats.org/officeDocument/2006/relationships/hyperlink" Target="https://tbinternet.ohchr.org/_layouts/15/treatybodyexternal/Download.aspx?symbolno=E%2FC.12%2FPAN%2FCO%2F3&amp;Lang=en" TargetMode="External"/><Relationship Id="rId7" Type="http://schemas.openxmlformats.org/officeDocument/2006/relationships/hyperlink" Target="https://www.washingtonpost.com/outlook/2019/07/18/citizenship-once-meant-whiteness-heres-how-that-changed/" TargetMode="External"/><Relationship Id="rId71" Type="http://schemas.openxmlformats.org/officeDocument/2006/relationships/hyperlink" Target="https://www.govinfo.gov/content/pkg/FR-2023-05-16/pdf/2023-10146.pdf" TargetMode="External"/><Relationship Id="rId92" Type="http://schemas.openxmlformats.org/officeDocument/2006/relationships/hyperlink" Target="https://thehill.com/latino/3860354-ice-unable-to-stamp-out-abuse-allegations-at-detention-centers/" TargetMode="External"/><Relationship Id="rId162" Type="http://schemas.openxmlformats.org/officeDocument/2006/relationships/hyperlink" Target="http://www.ijdh.org/wp-content/uploads/2023/06/HRU-June-2023-FINAL.pdf" TargetMode="External"/><Relationship Id="rId2" Type="http://schemas.openxmlformats.org/officeDocument/2006/relationships/hyperlink" Target="https://www.amnesty.org/en/documents/amr36/5973/2022/en/" TargetMode="External"/><Relationship Id="rId29" Type="http://schemas.openxmlformats.org/officeDocument/2006/relationships/hyperlink" Target="https://review.law.stanford.edu/wp-content/uploads/sites/3/2019/03/71-Stan.-L.-Rev.-Ryo.pdf" TargetMode="External"/><Relationship Id="rId24" Type="http://schemas.openxmlformats.org/officeDocument/2006/relationships/hyperlink" Target="https://www.presidency.ucsb.edu/documents/executive-order-13286-amendment-executive-orders-and-other-actions-connection-with-the" TargetMode="External"/><Relationship Id="rId40" Type="http://schemas.openxmlformats.org/officeDocument/2006/relationships/hyperlink" Target="https://www.npr.org/2021/09/23/1040055089/us-special-envoy-haiti-quits-deportations-refugees" TargetMode="External"/><Relationship Id="rId45" Type="http://schemas.openxmlformats.org/officeDocument/2006/relationships/hyperlink" Target="https://www.state.gov/u-s-colombia-joint-commitment-to-address-the-hemispheric-challenge-of-irregular-migration/" TargetMode="External"/><Relationship Id="rId66" Type="http://schemas.openxmlformats.org/officeDocument/2006/relationships/hyperlink" Target="https://content.govdelivery.com/accounts/USDHSCG/bulletins/32abc91?reqfrom=share" TargetMode="External"/><Relationship Id="rId87" Type="http://schemas.openxmlformats.org/officeDocument/2006/relationships/hyperlink" Target="https://www.npr.org/2023/08/16/1190767610/ice-detention-immigration-government-inspectors-barbaric-negligent-conditions" TargetMode="External"/><Relationship Id="rId110" Type="http://schemas.openxmlformats.org/officeDocument/2006/relationships/hyperlink" Target="https://www.nbcnews.com/news/latino/i-m-afraid-take-covid-home-guard-ice-detention-facility-n1198186" TargetMode="External"/><Relationship Id="rId115" Type="http://schemas.openxmlformats.org/officeDocument/2006/relationships/hyperlink" Target="https://apnews.com/article/joe-biden-health-immigration-coronavirus-pandemic-4d7427ff67d586a77487b7efec58e74d" TargetMode="External"/><Relationship Id="rId131" Type="http://schemas.openxmlformats.org/officeDocument/2006/relationships/hyperlink" Target="https://www.ohchr.org/sites/default/files/Documents/Issues/Racism/RES_43_1/NGOsAndOthers/coalicion-indigena-migrantes-chiapas-proyecto-afro-mexico-imumi.pdf" TargetMode="External"/><Relationship Id="rId136" Type="http://schemas.openxmlformats.org/officeDocument/2006/relationships/hyperlink" Target="https://www.federalregister.gov/documents/2023/01/09/2023-00254/implementation-of-a-parole-process-for-nicaraguans" TargetMode="External"/><Relationship Id="rId157" Type="http://schemas.openxmlformats.org/officeDocument/2006/relationships/hyperlink" Target="https://www.iar-gwu.org/blog/iar-web/a-brutal-history" TargetMode="External"/><Relationship Id="rId61" Type="http://schemas.openxmlformats.org/officeDocument/2006/relationships/hyperlink" Target="https://www.refugeesinternational.org/reports/2020/5/8/deportation-with-a-layover-failure-of-protectionunder-the-us-guatemala-asylum-cooperative-agreement" TargetMode="External"/><Relationship Id="rId82" Type="http://schemas.openxmlformats.org/officeDocument/2006/relationships/hyperlink" Target="https://youtu.be/5AgrksRMpdY" TargetMode="External"/><Relationship Id="rId152" Type="http://schemas.openxmlformats.org/officeDocument/2006/relationships/hyperlink" Target="https://www.nytimes.com/2022/05/20/world/americas/haiti-aristide-reparations-france.html" TargetMode="External"/><Relationship Id="rId19" Type="http://schemas.openxmlformats.org/officeDocument/2006/relationships/hyperlink" Target="https://www.washingtonpost.com/outlook/2021/10/02/violence-racism-against-haitian-migrants-was-never-limited-horseback-riders/" TargetMode="External"/><Relationship Id="rId14" Type="http://schemas.openxmlformats.org/officeDocument/2006/relationships/hyperlink" Target="https://www.aclu.org/wp-content/uploads/legal-documents/2022-06-02-sheriffresearch_1.pdf" TargetMode="External"/><Relationship Id="rId30" Type="http://schemas.openxmlformats.org/officeDocument/2006/relationships/hyperlink" Target="https://www.law.georgetown.edu/immigration-law-journal/wp-content/uploads/sites/19/2022/01/GT-GILJ210006.pdf" TargetMode="External"/><Relationship Id="rId35" Type="http://schemas.openxmlformats.org/officeDocument/2006/relationships/hyperlink" Target="https://www.whitehouse.gov/briefing-room/statements-releases/2023/03/09/fact-sheet-president-bidens-budget-strengthens-border-security-enhances-legal-pathways-and-provides-resources-to-enforce-our-immigration-laws/" TargetMode="External"/><Relationship Id="rId56" Type="http://schemas.openxmlformats.org/officeDocument/2006/relationships/hyperlink" Target="https://www.state.gov/wp-content/uploads/2022/04/ICS_WHA_Panama_Public.pdf" TargetMode="External"/><Relationship Id="rId77" Type="http://schemas.openxmlformats.org/officeDocument/2006/relationships/hyperlink" Target="https://www.unhcr.org/news/news-releases/unhcr-calls-states-refrain-forced-returns-haitians" TargetMode="External"/><Relationship Id="rId100" Type="http://schemas.openxmlformats.org/officeDocument/2006/relationships/hyperlink" Target="https://www.acslaw.org/expertforum/ice-contract-facilities-including-counties-continue-to-violate-the-religious-exercise-rights-of-muslim-detainees/" TargetMode="External"/><Relationship Id="rId105" Type="http://schemas.openxmlformats.org/officeDocument/2006/relationships/hyperlink" Target="https://www.washingtonpost.com/national-security/2022/03/18/ice-detention-unsanitary-new-mexico/" TargetMode="External"/><Relationship Id="rId126" Type="http://schemas.openxmlformats.org/officeDocument/2006/relationships/hyperlink" Target="https://www.hrw.org/news/2022/06/06/mexico-asylum-seekers-face-abuses-southern-border" TargetMode="External"/><Relationship Id="rId147" Type="http://schemas.openxmlformats.org/officeDocument/2006/relationships/hyperlink" Target="https://www.ohchr.org/sites/default/files/documents/hrbodies/hrcouncil/forums/forum-african-descent/sessions/session2/Preliminary-Conclusions-and-Recommendations-of-2nd-Session-en.pdf" TargetMode="External"/><Relationship Id="rId8" Type="http://schemas.openxmlformats.org/officeDocument/2006/relationships/hyperlink" Target="https://time.com/5324440/14th-amendment-meaning-150-anniversary/" TargetMode="External"/><Relationship Id="rId51" Type="http://schemas.openxmlformats.org/officeDocument/2006/relationships/hyperlink" Target="https://cronkitenews.azpbs.org/2020/07/02/humanitarian-flow-panama-migrants/" TargetMode="External"/><Relationship Id="rId72" Type="http://schemas.openxmlformats.org/officeDocument/2006/relationships/hyperlink" Target="https://www.regulations.gov/comment/USCIS-2022-0016-12543" TargetMode="External"/><Relationship Id="rId93" Type="http://schemas.openxmlformats.org/officeDocument/2006/relationships/hyperlink" Target="https://rfkhumanrights.org/assets/documents/RFK-Human-Rights-Pine-Prairie-DHS-Complaint.pdf" TargetMode="External"/><Relationship Id="rId98" Type="http://schemas.openxmlformats.org/officeDocument/2006/relationships/hyperlink" Target="https://www.hrw.org/report/2021/11/03/dismantling-detention/international-alternatives-detaining-immigrants" TargetMode="External"/><Relationship Id="rId121" Type="http://schemas.openxmlformats.org/officeDocument/2006/relationships/hyperlink" Target="https://www.wola.org/analysis/mexico-southern-border-report/" TargetMode="External"/><Relationship Id="rId142" Type="http://schemas.openxmlformats.org/officeDocument/2006/relationships/hyperlink" Target="https://ccrjustice.org/sites/default/files/attach/2021/09/742" TargetMode="External"/><Relationship Id="rId163" Type="http://schemas.openxmlformats.org/officeDocument/2006/relationships/hyperlink" Target="http://www.ijdh.org/wp-content/uploads/2023/06/HRU-June-2023-FINAL.pdf" TargetMode="External"/><Relationship Id="rId3" Type="http://schemas.openxmlformats.org/officeDocument/2006/relationships/hyperlink" Target="https://int.nyt.com/data/documenttools/hba-v-biden/a8106eacd7c45afe/full.pdf" TargetMode="External"/><Relationship Id="rId25" Type="http://schemas.openxmlformats.org/officeDocument/2006/relationships/hyperlink" Target="https://www.dhs.gov/news/2021/07/13/secretary-mayorkas-overviews-us-maritime-migrant-interdiction-operations" TargetMode="External"/><Relationship Id="rId46" Type="http://schemas.openxmlformats.org/officeDocument/2006/relationships/hyperlink" Target="https://www.dhs.gov/news/2021/07/08/readout-secretary-mayorkas-s-trip-guatemala" TargetMode="External"/><Relationship Id="rId67" Type="http://schemas.openxmlformats.org/officeDocument/2006/relationships/hyperlink" Target="https://aijustice.org/wp-content/uploads/2023/06/Final-Joint-Comment-in-Opposition-to-the-Expansion-of-the-CLP-Final-Rule-in-the-Maritime-Context-.pdf" TargetMode="External"/><Relationship Id="rId116" Type="http://schemas.openxmlformats.org/officeDocument/2006/relationships/hyperlink" Target="https://public.tableau.com/app/profile/aclu.fl/viz/FLDetentionDatabase/u" TargetMode="External"/><Relationship Id="rId137" Type="http://schemas.openxmlformats.org/officeDocument/2006/relationships/hyperlink" Target="https://www.federalregister.gov/documents/2023/01/09/2023-00253/implementation-of-changes-to-the-parole-process-for-venezuelans" TargetMode="External"/><Relationship Id="rId158" Type="http://schemas.openxmlformats.org/officeDocument/2006/relationships/hyperlink" Target="https://canadiandimension.com/articles/view/how-canadas-role-in-the-core-group-is-weakening-haitian-democracy" TargetMode="External"/><Relationship Id="rId20" Type="http://schemas.openxmlformats.org/officeDocument/2006/relationships/hyperlink" Target="https://www.bostonreview.net/articles/guantanamos-other-history/" TargetMode="External"/><Relationship Id="rId41" Type="http://schemas.openxmlformats.org/officeDocument/2006/relationships/hyperlink" Target="https://rfkhr.imgix.net/asset/Del-Rio-Report.pdf" TargetMode="External"/><Relationship Id="rId62" Type="http://schemas.openxmlformats.org/officeDocument/2006/relationships/hyperlink" Target="https://undocs.org/Home/Mobile?FinalSymbol=A/HRC/47/30&amp;Language=E&amp;DeviceType=Desktop" TargetMode="External"/><Relationship Id="rId83" Type="http://schemas.openxmlformats.org/officeDocument/2006/relationships/hyperlink" Target="https://documents-dds-ny.un.org/doc/UNDOC/GEN/G14/426/73/PDF/G1442673.pdf" TargetMode="External"/><Relationship Id="rId88" Type="http://schemas.openxmlformats.org/officeDocument/2006/relationships/hyperlink" Target="https://immigrationimpact.com/2023/04/13/a-closer-look-at-deaths-in-ice-detention-facilities/" TargetMode="External"/><Relationship Id="rId111" Type="http://schemas.openxmlformats.org/officeDocument/2006/relationships/hyperlink" Target="https://www.nbcnews.com/news/latino/asylum-seekers-attorneys-decry-horrendous-louisiana-ice-detention-cent-rcna1218" TargetMode="External"/><Relationship Id="rId132" Type="http://schemas.openxmlformats.org/officeDocument/2006/relationships/hyperlink" Target="https://tbinternet.ohchr.org/_layouts/15/treatybodyexternal/Download.aspx?symbolno=INT%2fCEDAW%2fCSS%2fPAN%2f47481&amp;Lang=en" TargetMode="External"/><Relationship Id="rId153" Type="http://schemas.openxmlformats.org/officeDocument/2006/relationships/hyperlink" Target="https://www.miamiherald.com/opinion/op-ed/article273642735.html" TargetMode="External"/><Relationship Id="rId15" Type="http://schemas.openxmlformats.org/officeDocument/2006/relationships/hyperlink" Target="https://www.nytimes.com/2014/04/07/us/more-deportations-follow-minor-crimes-data-shows.html" TargetMode="External"/><Relationship Id="rId36" Type="http://schemas.openxmlformats.org/officeDocument/2006/relationships/hyperlink" Target="https://documents-dds-ny.un.org/doc/UNDOC/GEN/G06/459/61/PDF/G0645961.pdf" TargetMode="External"/><Relationship Id="rId57" Type="http://schemas.openxmlformats.org/officeDocument/2006/relationships/hyperlink" Target="https://www.theguardian.com/world/2023/aug/03/darien-gap-migration-panama-un-crisis" TargetMode="External"/><Relationship Id="rId106" Type="http://schemas.openxmlformats.org/officeDocument/2006/relationships/hyperlink" Target="https://www.npr.org/2023/08/16/1190767610/ice-detention-immigration-government-inspectors-barbaric-negligent-conditions" TargetMode="External"/><Relationship Id="rId127" Type="http://schemas.openxmlformats.org/officeDocument/2006/relationships/hyperlink" Target="https://imumi.org/attachments/2020/The-Impact-of-Anti-Black-Racism-on-African-Migrants-at-Mexico.pdf" TargetMode="External"/><Relationship Id="rId10" Type="http://schemas.openxmlformats.org/officeDocument/2006/relationships/hyperlink" Target="https://www.loc.gov/item/usrep261204/" TargetMode="External"/><Relationship Id="rId31" Type="http://schemas.openxmlformats.org/officeDocument/2006/relationships/hyperlink" Target="https://www.hrw.org/news/2023/07/26/statement-human-rights-watch-human-cost-harsh-us-immigration-deterrence-policies" TargetMode="External"/><Relationship Id="rId52" Type="http://schemas.openxmlformats.org/officeDocument/2006/relationships/hyperlink" Target="https://www.washingtonpost.com/immigration/immigration-officials-partner-with-panama-to-boost-screening-of-migrants-passing-through-to-us/2019/08/26/532f6150-c81d-11e9-a4f3-c081a126de70_story.html" TargetMode="External"/><Relationship Id="rId73" Type="http://schemas.openxmlformats.org/officeDocument/2006/relationships/hyperlink" Target="https://www.theguardian.com/us-news/2023/feb/08/us-immigration-cbp-one-app-facial-recognition-bias" TargetMode="External"/><Relationship Id="rId78" Type="http://schemas.openxmlformats.org/officeDocument/2006/relationships/hyperlink" Target="https://www.amnesty.org/en/wp-content/uploads/2021/12/AMR3651012021ENGLISH.pdf" TargetMode="External"/><Relationship Id="rId94" Type="http://schemas.openxmlformats.org/officeDocument/2006/relationships/hyperlink" Target="https://www.ajc.com/news/georgia-news/ice-detainees-say-they-were-forced-into-labor-in-ga-file-lawsuit/ECLTIVQNMVE6LKOFKXQBWCCVUA/" TargetMode="External"/><Relationship Id="rId99" Type="http://schemas.openxmlformats.org/officeDocument/2006/relationships/hyperlink" Target="https://aijustice.org/2021/08/12/formerly-detained-muslims-receive-damages/" TargetMode="External"/><Relationship Id="rId101" Type="http://schemas.openxmlformats.org/officeDocument/2006/relationships/hyperlink" Target="https://www.aclu.org/news/immigrants-rights/border-patrol-and-ice-routinely-violate" TargetMode="External"/><Relationship Id="rId122" Type="http://schemas.openxmlformats.org/officeDocument/2006/relationships/hyperlink" Target="https://sgp.fas.org/crs/row/IF10215.pdf" TargetMode="External"/><Relationship Id="rId143" Type="http://schemas.openxmlformats.org/officeDocument/2006/relationships/hyperlink" Target="https://www.scotusblog.com/2022/06/justices-reverse-lower-court-rulings-that-ordered-bond-hearings-for-noncitizens-in-lengthy-immigration-detention/" TargetMode="External"/><Relationship Id="rId148" Type="http://schemas.openxmlformats.org/officeDocument/2006/relationships/hyperlink" Target="https://library.brown.edu/create/modernlatinamerica/chapters/chapter-14-the-united-states-and-latin-america/moments-in-u-s-latin-american-relations/a-history-of-united-states-policy-towards-haiti/" TargetMode="External"/><Relationship Id="rId164" Type="http://schemas.openxmlformats.org/officeDocument/2006/relationships/hyperlink" Target="https://tbinternet.ohchr.org/_layouts/15/treatybodyexternal/Download.aspx?symbolno=INT%2FCERD%2FSWA%2F9755&amp;Lang=en" TargetMode="External"/><Relationship Id="rId4" Type="http://schemas.openxmlformats.org/officeDocument/2006/relationships/hyperlink" Target="https://www.americanbar.org/groups/crsj/publications/human_rights_magazine_home/black-to-the-future-part-ii/the-united-states--hollow-commitment-to-eradicating-global-racia/" TargetMode="External"/><Relationship Id="rId9" Type="http://schemas.openxmlformats.org/officeDocument/2006/relationships/hyperlink" Target="https://www.law.cornell.edu/supremecourt/text/260/178" TargetMode="External"/><Relationship Id="rId26" Type="http://schemas.openxmlformats.org/officeDocument/2006/relationships/hyperlink" Target="https://www.news.uscg.mil/Press-Releases/Article/3280774/operation-vigilant-sentry-stopping-illegal-migration-at-sea/" TargetMode="External"/><Relationship Id="rId47" Type="http://schemas.openxmlformats.org/officeDocument/2006/relationships/hyperlink" Target="https://www.npr.org/sections/goatsandsoda/2019/09/17/761266169/trump-froze-aidto-guatemala-now-programs-are-shutting-down" TargetMode="External"/><Relationship Id="rId68" Type="http://schemas.openxmlformats.org/officeDocument/2006/relationships/hyperlink" Target="https://www.govinfo.gov/content/pkg/FR-2023-05-16/pdf/2023-10146.pdf" TargetMode="External"/><Relationship Id="rId89" Type="http://schemas.openxmlformats.org/officeDocument/2006/relationships/hyperlink" Target="https://www.hrw.org/news/2018/06/20/us-poor-medical-care-deaths-immigrant-detention" TargetMode="External"/><Relationship Id="rId112" Type="http://schemas.openxmlformats.org/officeDocument/2006/relationships/hyperlink" Target="https://apnews.com/article/joe-biden-health-immigration-coronavirus-pandemic-4d7427ff67d586a77487b7efec58e74d" TargetMode="External"/><Relationship Id="rId133" Type="http://schemas.openxmlformats.org/officeDocument/2006/relationships/hyperlink" Target="https://tbinternet.ohchr.org/_layouts/15/treatybodyexternal/Download.aspx?symbolno=INT%2FCCPR%2FCSS%2FPAN%2F51506&amp;Lang=en" TargetMode="External"/><Relationship Id="rId154" Type="http://schemas.openxmlformats.org/officeDocument/2006/relationships/hyperlink" Target="https://echo360.org/media/df600a1f-2144-4ba5-a9b1-17f2b4694c5b/public" TargetMode="External"/><Relationship Id="rId16" Type="http://schemas.openxmlformats.org/officeDocument/2006/relationships/hyperlink" Target="https://lawreview.law.ucdavis.edu/issues/52/1/Symposium/52-1_Das.pdf" TargetMode="External"/><Relationship Id="rId37" Type="http://schemas.openxmlformats.org/officeDocument/2006/relationships/hyperlink" Target="https://www.gsa.gov/about-us/regions/region-9-pacific-rim/land-ports-of-entry/san-ysidro-land-port-of-entry" TargetMode="External"/><Relationship Id="rId58" Type="http://schemas.openxmlformats.org/officeDocument/2006/relationships/hyperlink" Target="https://www.unicef.org/lac/en/press-release/darien-jungle-child-crossing-2023-exceed-whole-2022-statement-garry-conille-unicef-regional-director" TargetMode="External"/><Relationship Id="rId79" Type="http://schemas.openxmlformats.org/officeDocument/2006/relationships/hyperlink" Target="https://www.ice.gov/doclib/eoy/iceAnnualReportFY2022.pdf" TargetMode="External"/><Relationship Id="rId102" Type="http://schemas.openxmlformats.org/officeDocument/2006/relationships/hyperlink" Target="https://www.americanimmigrationcouncil.org/research/council-files-complaint-against-ice-racial-discrimination-and-excessive-use-force-colorado" TargetMode="External"/><Relationship Id="rId123" Type="http://schemas.openxmlformats.org/officeDocument/2006/relationships/hyperlink" Target="https://humanrightsfirst.org/library/at-two-months-bidens-asylum-ban-threatens-lives/" TargetMode="External"/><Relationship Id="rId144" Type="http://schemas.openxmlformats.org/officeDocument/2006/relationships/hyperlink" Target="https://immigrantjustice.org/sites/default/files/content-type/research-item/documents/2023-06/NIJC-Policy-Brief_ICE-Bond-Reform_May-2023.pdf" TargetMode="External"/><Relationship Id="rId90" Type="http://schemas.openxmlformats.org/officeDocument/2006/relationships/hyperlink" Target="https://www.aclu.org/wp-content/uploads/legal-documents/fatal_neglect_acludwnnijc.pdf" TargetMode="External"/><Relationship Id="rId165" Type="http://schemas.openxmlformats.org/officeDocument/2006/relationships/hyperlink" Target="https://tbinternet.ohchr.org/_layouts/15/treatybodyexternal/Download.aspx?symbolno=CCPR%2FC%2FPAN%2FCO%2F4&amp;Lang=en" TargetMode="External"/><Relationship Id="rId27" Type="http://schemas.openxmlformats.org/officeDocument/2006/relationships/hyperlink" Target="https://www.dhs.gov/sites/default/files/publications/uscg_-_maritime_law_enforcement_assessment.pdf" TargetMode="External"/><Relationship Id="rId48" Type="http://schemas.openxmlformats.org/officeDocument/2006/relationships/hyperlink" Target="https://www.washingtonpost.com/national-security/biden-mexico-immigration-coronavirus-vaccine/2021/03/18/a63a3426-8791-11eb-8a67-f314e5fcf88d_story.html" TargetMode="External"/><Relationship Id="rId69" Type="http://schemas.openxmlformats.org/officeDocument/2006/relationships/hyperlink" Target="https://www.dhs.gov/sites/default/files/2023-05/retention-memo-maritime-interdiction-01-20-23.pdf" TargetMode="External"/><Relationship Id="rId113" Type="http://schemas.openxmlformats.org/officeDocument/2006/relationships/hyperlink" Target="https://www.dhs.gov/sites/default/files/2022-08/2021.12.07%20CRCL%20Retention%20Memo%20to%20ICE%20-%20Oversight%20of%20New%20Orleans%20AOR%20-%20Redacted_508.pdf" TargetMode="External"/><Relationship Id="rId134" Type="http://schemas.openxmlformats.org/officeDocument/2006/relationships/hyperlink" Target="https://www.federalregister.gov/documents/2023/01/09/2023-00252/implementation-of-a-parole-process-for-cubans" TargetMode="External"/><Relationship Id="rId80" Type="http://schemas.openxmlformats.org/officeDocument/2006/relationships/hyperlink" Target="https://www.law.miami.edu/_assets/files-exp/files-clinic-human-rights/urgent-call-to-stop-all-u.s-deportations-to-haiti_february-202312.pdf" TargetMode="External"/><Relationship Id="rId155" Type="http://schemas.openxmlformats.org/officeDocument/2006/relationships/hyperlink" Target="https://www.democracynow.org/2022/5/23/headlines/ex_ambassador_admits_france_us_orchestrated_2004_coup_in_haiti_to_oust_arist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7C04B-3F03-47DA-B018-367A14AD0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10238</Words>
  <Characters>58668</Characters>
  <Application>Microsoft Office Word</Application>
  <DocSecurity>0</DocSecurity>
  <Lines>888</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2023-09-12T20:56:00Z</dcterms:created>
  <dcterms:modified xsi:type="dcterms:W3CDTF">2023-09-12T20:57:00Z</dcterms:modified>
  <cp:contentStatus/>
</cp:coreProperties>
</file>