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5D61" w:rsidRDefault="00505D61">
      <w:pPr>
        <w:pStyle w:val="LO-normal1"/>
        <w:keepNext/>
        <w:keepLines/>
        <w:tabs>
          <w:tab w:val="right" w:pos="851"/>
        </w:tabs>
        <w:spacing w:before="360" w:after="240" w:line="240" w:lineRule="auto"/>
        <w:ind w:right="1134"/>
        <w:jc w:val="center"/>
        <w:rPr>
          <w:rFonts w:ascii="Times New Roman" w:eastAsia="Times New Roman" w:hAnsi="Times New Roman" w:cs="Times New Roman"/>
          <w:b/>
          <w:color w:val="002060"/>
        </w:rPr>
      </w:pPr>
      <w:bookmarkStart w:id="0" w:name="_GoBack"/>
      <w:bookmarkEnd w:id="0"/>
    </w:p>
    <w:p w:rsidR="00505D61" w:rsidRDefault="007F6DAC">
      <w:pPr>
        <w:pStyle w:val="LO-normal1"/>
        <w:keepNext/>
        <w:keepLines/>
        <w:tabs>
          <w:tab w:val="right" w:pos="851"/>
        </w:tabs>
        <w:spacing w:before="360" w:after="240" w:line="240" w:lineRule="auto"/>
        <w:ind w:right="1134"/>
        <w:jc w:val="center"/>
        <w:rPr>
          <w:rFonts w:ascii="Times New Roman" w:eastAsia="Times New Roman" w:hAnsi="Times New Roman" w:cs="Times New Roman"/>
          <w:b/>
          <w:color w:val="002060"/>
        </w:rPr>
      </w:pPr>
      <w:r>
        <w:rPr>
          <w:rFonts w:ascii="Times New Roman" w:eastAsia="Times New Roman" w:hAnsi="Times New Roman" w:cs="Times New Roman"/>
          <w:b/>
          <w:color w:val="002060"/>
        </w:rPr>
        <w:t>Público</w:t>
      </w:r>
    </w:p>
    <w:p w:rsidR="00505D61" w:rsidRDefault="007F6DAC">
      <w:pPr>
        <w:pStyle w:val="LO-normal1"/>
        <w:keepNext/>
        <w:keepLines/>
        <w:tabs>
          <w:tab w:val="right" w:pos="851"/>
        </w:tabs>
        <w:spacing w:before="360" w:after="240" w:line="240" w:lineRule="auto"/>
        <w:ind w:right="1134"/>
        <w:jc w:val="center"/>
        <w:rPr>
          <w:rFonts w:ascii="Times New Roman" w:eastAsia="Times New Roman" w:hAnsi="Times New Roman" w:cs="Times New Roman"/>
          <w:b/>
          <w:color w:val="002060"/>
        </w:rPr>
      </w:pPr>
      <w:r>
        <w:rPr>
          <w:rFonts w:ascii="Times New Roman" w:eastAsia="Times New Roman" w:hAnsi="Times New Roman" w:cs="Times New Roman"/>
          <w:b/>
          <w:color w:val="002060"/>
        </w:rPr>
        <w:t>CENTRO POR LA JUSTICIA Y DERECHOS HUMANOS DE LA COSTA ATLÁNTICA DE NICARAGUA</w:t>
      </w:r>
    </w:p>
    <w:p w:rsidR="00505D61" w:rsidRDefault="007F6DAC">
      <w:pPr>
        <w:pStyle w:val="LO-normal1"/>
        <w:keepNext/>
        <w:keepLines/>
        <w:tabs>
          <w:tab w:val="right" w:pos="851"/>
        </w:tabs>
        <w:spacing w:before="360" w:after="240" w:line="240" w:lineRule="auto"/>
        <w:ind w:right="1134"/>
        <w:jc w:val="center"/>
        <w:rPr>
          <w:rFonts w:ascii="Times New Roman" w:eastAsia="Times New Roman" w:hAnsi="Times New Roman" w:cs="Times New Roman"/>
          <w:b/>
          <w:color w:val="002060"/>
        </w:rPr>
      </w:pPr>
      <w:r>
        <w:rPr>
          <w:rFonts w:ascii="Times New Roman" w:eastAsia="Times New Roman" w:hAnsi="Times New Roman" w:cs="Times New Roman"/>
          <w:b/>
          <w:color w:val="002060"/>
        </w:rPr>
        <w:t xml:space="preserve">CEJUDHCAN </w:t>
      </w:r>
    </w:p>
    <w:p w:rsidR="00505D61" w:rsidRDefault="007F6DAC">
      <w:pPr>
        <w:pStyle w:val="LO-normal1"/>
        <w:keepNext/>
        <w:keepLines/>
        <w:tabs>
          <w:tab w:val="right" w:pos="851"/>
        </w:tabs>
        <w:spacing w:before="360" w:after="240" w:line="240" w:lineRule="auto"/>
        <w:ind w:left="1134" w:right="1134"/>
        <w:jc w:val="both"/>
        <w:rPr>
          <w:rFonts w:ascii="Times New Roman" w:eastAsia="Times New Roman" w:hAnsi="Times New Roman" w:cs="Times New Roman"/>
          <w:color w:val="002060"/>
        </w:rPr>
      </w:pPr>
      <w:r>
        <w:rPr>
          <w:rFonts w:ascii="Times New Roman" w:eastAsia="Times New Roman" w:hAnsi="Times New Roman" w:cs="Times New Roman"/>
          <w:noProof/>
          <w:color w:val="002060"/>
          <w:lang w:val="en-GB" w:eastAsia="en-GB" w:bidi="ar-SA"/>
        </w:rPr>
        <w:drawing>
          <wp:anchor distT="0" distB="3175" distL="0" distR="0" simplePos="0" relativeHeight="2" behindDoc="0" locked="0" layoutInCell="1" allowOverlap="1">
            <wp:simplePos x="0" y="0"/>
            <wp:positionH relativeFrom="column">
              <wp:posOffset>1739265</wp:posOffset>
            </wp:positionH>
            <wp:positionV relativeFrom="paragraph">
              <wp:posOffset>172085</wp:posOffset>
            </wp:positionV>
            <wp:extent cx="1478915" cy="1383030"/>
            <wp:effectExtent l="0" t="0" r="0" b="0"/>
            <wp:wrapSquare wrapText="bothSides"/>
            <wp:docPr id="1"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pic:cNvPicPr>
                      <a:picLocks noChangeAspect="1" noChangeArrowheads="1"/>
                    </pic:cNvPicPr>
                  </pic:nvPicPr>
                  <pic:blipFill>
                    <a:blip r:embed="rId8"/>
                    <a:srcRect l="-8" t="-8" r="-8" b="-8"/>
                    <a:stretch>
                      <a:fillRect/>
                    </a:stretch>
                  </pic:blipFill>
                  <pic:spPr bwMode="auto">
                    <a:xfrm>
                      <a:off x="0" y="0"/>
                      <a:ext cx="1478915" cy="1383030"/>
                    </a:xfrm>
                    <a:prstGeom prst="rect">
                      <a:avLst/>
                    </a:prstGeom>
                  </pic:spPr>
                </pic:pic>
              </a:graphicData>
            </a:graphic>
          </wp:anchor>
        </w:drawing>
      </w:r>
    </w:p>
    <w:p w:rsidR="00505D61" w:rsidRDefault="00505D61">
      <w:pPr>
        <w:pStyle w:val="LO-normal1"/>
        <w:keepNext/>
        <w:keepLines/>
        <w:tabs>
          <w:tab w:val="right" w:pos="851"/>
        </w:tabs>
        <w:spacing w:before="360" w:after="240" w:line="240" w:lineRule="auto"/>
        <w:ind w:left="1134" w:right="1134"/>
        <w:jc w:val="both"/>
        <w:rPr>
          <w:rFonts w:ascii="Times New Roman" w:eastAsia="Times New Roman" w:hAnsi="Times New Roman" w:cs="Times New Roman"/>
          <w:color w:val="002060"/>
        </w:rPr>
      </w:pPr>
    </w:p>
    <w:p w:rsidR="00505D61" w:rsidRDefault="00505D61">
      <w:pPr>
        <w:pStyle w:val="LO-normal1"/>
        <w:keepNext/>
        <w:keepLines/>
        <w:tabs>
          <w:tab w:val="right" w:pos="851"/>
        </w:tabs>
        <w:spacing w:before="360" w:after="240" w:line="240" w:lineRule="auto"/>
        <w:ind w:left="1134" w:right="1134"/>
        <w:jc w:val="both"/>
        <w:rPr>
          <w:rFonts w:ascii="Times New Roman" w:eastAsia="Times New Roman" w:hAnsi="Times New Roman" w:cs="Times New Roman"/>
          <w:color w:val="002060"/>
        </w:rPr>
      </w:pPr>
    </w:p>
    <w:p w:rsidR="00505D61" w:rsidRDefault="00505D61">
      <w:pPr>
        <w:pStyle w:val="LO-normal1"/>
        <w:keepNext/>
        <w:keepLines/>
        <w:tabs>
          <w:tab w:val="right" w:pos="851"/>
        </w:tabs>
        <w:spacing w:before="360" w:after="240" w:line="240" w:lineRule="auto"/>
        <w:ind w:right="1134"/>
        <w:jc w:val="both"/>
        <w:rPr>
          <w:rFonts w:ascii="Times New Roman" w:eastAsia="Times New Roman" w:hAnsi="Times New Roman" w:cs="Times New Roman"/>
          <w:color w:val="002060"/>
        </w:rPr>
      </w:pPr>
    </w:p>
    <w:p w:rsidR="00505D61" w:rsidRDefault="00505D61">
      <w:pPr>
        <w:pStyle w:val="LO-normal1"/>
        <w:spacing w:line="240" w:lineRule="auto"/>
        <w:jc w:val="both"/>
        <w:rPr>
          <w:rFonts w:ascii="Times New Roman" w:eastAsia="Times New Roman" w:hAnsi="Times New Roman" w:cs="Times New Roman"/>
          <w:b/>
          <w:color w:val="002060"/>
        </w:rPr>
      </w:pPr>
    </w:p>
    <w:p w:rsidR="00505D61" w:rsidRDefault="007F6DAC">
      <w:pPr>
        <w:pStyle w:val="LO-normal1"/>
        <w:spacing w:line="240" w:lineRule="auto"/>
        <w:jc w:val="center"/>
        <w:rPr>
          <w:rFonts w:ascii="Times New Roman" w:eastAsia="Times New Roman" w:hAnsi="Times New Roman" w:cs="Times New Roman"/>
          <w:b/>
          <w:color w:val="002060"/>
        </w:rPr>
      </w:pPr>
      <w:r>
        <w:rPr>
          <w:rFonts w:ascii="Times New Roman" w:eastAsia="Times New Roman" w:hAnsi="Times New Roman" w:cs="Times New Roman"/>
          <w:b/>
          <w:color w:val="002060"/>
        </w:rPr>
        <w:t xml:space="preserve">Informe de actualización sobre la situación de los Derechos Económicos, Sociales, y Culturales de los Pueblos Indígenas y Afrodescendiente de la Costa </w:t>
      </w:r>
      <w:r>
        <w:rPr>
          <w:rFonts w:ascii="Times New Roman" w:eastAsia="Times New Roman" w:hAnsi="Times New Roman" w:cs="Times New Roman"/>
          <w:b/>
          <w:color w:val="002060"/>
        </w:rPr>
        <w:t>Caribe  de Nicaragua</w:t>
      </w:r>
    </w:p>
    <w:p w:rsidR="00505D61" w:rsidRDefault="00505D61">
      <w:pPr>
        <w:pStyle w:val="LO-normal1"/>
        <w:spacing w:line="240" w:lineRule="auto"/>
        <w:jc w:val="center"/>
        <w:rPr>
          <w:rFonts w:ascii="Times New Roman" w:eastAsia="Times New Roman" w:hAnsi="Times New Roman" w:cs="Times New Roman"/>
          <w:b/>
          <w:color w:val="002060"/>
        </w:rPr>
      </w:pPr>
    </w:p>
    <w:p w:rsidR="00505D61" w:rsidRDefault="007F6DAC">
      <w:pPr>
        <w:pStyle w:val="LO-normal1"/>
        <w:spacing w:line="240" w:lineRule="auto"/>
        <w:jc w:val="center"/>
        <w:rPr>
          <w:rFonts w:ascii="Times New Roman" w:eastAsia="Times New Roman" w:hAnsi="Times New Roman" w:cs="Times New Roman"/>
          <w:b/>
          <w:color w:val="002060"/>
        </w:rPr>
      </w:pPr>
      <w:r>
        <w:rPr>
          <w:rFonts w:ascii="Times New Roman" w:eastAsia="Times New Roman" w:hAnsi="Times New Roman" w:cs="Times New Roman"/>
          <w:b/>
          <w:color w:val="002060"/>
        </w:rPr>
        <w:t>(Arts. 1, 2, 3, 6, 7, 11, 12, 13 y 15 del Pacto Internacional de Derechos Económicos, Sociales y Culturales)</w:t>
      </w:r>
    </w:p>
    <w:p w:rsidR="00505D61" w:rsidRDefault="007F6DAC">
      <w:pPr>
        <w:pStyle w:val="LO-normal1"/>
        <w:spacing w:line="240" w:lineRule="auto"/>
        <w:jc w:val="center"/>
        <w:rPr>
          <w:rFonts w:ascii="Times New Roman" w:eastAsia="Times New Roman" w:hAnsi="Times New Roman" w:cs="Times New Roman"/>
          <w:b/>
          <w:color w:val="002060"/>
        </w:rPr>
      </w:pPr>
      <w:r>
        <w:rPr>
          <w:rFonts w:ascii="Times New Roman" w:eastAsia="Times New Roman" w:hAnsi="Times New Roman" w:cs="Times New Roman"/>
          <w:b/>
          <w:color w:val="002060"/>
        </w:rPr>
        <w:t>Estado a evaluar: Nicaragua</w:t>
      </w:r>
    </w:p>
    <w:p w:rsidR="00505D61" w:rsidRDefault="007F6DAC">
      <w:pPr>
        <w:pStyle w:val="LO-normal1"/>
        <w:spacing w:line="240" w:lineRule="auto"/>
        <w:jc w:val="center"/>
        <w:rPr>
          <w:rFonts w:ascii="Times New Roman" w:eastAsia="Times New Roman" w:hAnsi="Times New Roman" w:cs="Times New Roman"/>
          <w:b/>
          <w:color w:val="002060"/>
        </w:rPr>
      </w:pPr>
      <w:r>
        <w:rPr>
          <w:rFonts w:ascii="Times New Roman" w:eastAsia="Times New Roman" w:hAnsi="Times New Roman" w:cs="Times New Roman"/>
          <w:b/>
          <w:color w:val="002060"/>
        </w:rPr>
        <w:t>Información de contacto:</w:t>
      </w:r>
    </w:p>
    <w:p w:rsidR="00505D61" w:rsidRDefault="007F6DAC">
      <w:pPr>
        <w:pStyle w:val="LO-normal1"/>
        <w:spacing w:line="240" w:lineRule="auto"/>
        <w:jc w:val="center"/>
        <w:rPr>
          <w:rFonts w:ascii="Times New Roman" w:eastAsia="Times New Roman" w:hAnsi="Times New Roman" w:cs="Times New Roman"/>
          <w:b/>
          <w:color w:val="002060"/>
        </w:rPr>
      </w:pPr>
      <w:r>
        <w:rPr>
          <w:rFonts w:ascii="Times New Roman" w:eastAsia="Times New Roman" w:hAnsi="Times New Roman" w:cs="Times New Roman"/>
          <w:b/>
          <w:color w:val="002060"/>
        </w:rPr>
        <w:t xml:space="preserve">Dirección: Bilwi, Puerto Cabezas, barrio Nueva Jerusalén de la estación </w:t>
      </w:r>
      <w:r>
        <w:rPr>
          <w:rFonts w:ascii="Times New Roman" w:eastAsia="Times New Roman" w:hAnsi="Times New Roman" w:cs="Times New Roman"/>
          <w:b/>
          <w:color w:val="002060"/>
        </w:rPr>
        <w:t>de buses una cuadra al sur, una cuadra al este Puerto Cabezas, RAAN, Nicaragua.</w:t>
      </w:r>
    </w:p>
    <w:p w:rsidR="00505D61" w:rsidRDefault="007F6DAC">
      <w:pPr>
        <w:pStyle w:val="LO-normal1"/>
        <w:spacing w:line="240" w:lineRule="auto"/>
        <w:jc w:val="center"/>
        <w:rPr>
          <w:rFonts w:ascii="Times New Roman" w:eastAsia="Times New Roman" w:hAnsi="Times New Roman" w:cs="Times New Roman"/>
          <w:b/>
          <w:color w:val="002060"/>
        </w:rPr>
      </w:pPr>
      <w:r>
        <w:rPr>
          <w:rFonts w:ascii="Times New Roman" w:eastAsia="Times New Roman" w:hAnsi="Times New Roman" w:cs="Times New Roman"/>
          <w:b/>
          <w:color w:val="002060"/>
        </w:rPr>
        <w:t>Tel: (505) 27921033,</w:t>
      </w:r>
    </w:p>
    <w:p w:rsidR="00505D61" w:rsidRDefault="007F6DAC">
      <w:pPr>
        <w:pStyle w:val="LO-normal1"/>
        <w:spacing w:line="240" w:lineRule="auto"/>
        <w:jc w:val="center"/>
        <w:rPr>
          <w:rFonts w:ascii="Times New Roman" w:eastAsia="Times New Roman" w:hAnsi="Times New Roman" w:cs="Times New Roman"/>
          <w:b/>
          <w:color w:val="002060"/>
        </w:rPr>
      </w:pPr>
      <w:r>
        <w:rPr>
          <w:rFonts w:ascii="Times New Roman" w:eastAsia="Times New Roman" w:hAnsi="Times New Roman" w:cs="Times New Roman"/>
          <w:b/>
          <w:color w:val="002060"/>
        </w:rPr>
        <w:t>www.cejudhcan.org</w:t>
      </w:r>
    </w:p>
    <w:p w:rsidR="00505D61" w:rsidRDefault="007F6DAC">
      <w:pPr>
        <w:pStyle w:val="LO-normal1"/>
        <w:spacing w:line="240" w:lineRule="auto"/>
        <w:jc w:val="center"/>
        <w:rPr>
          <w:rFonts w:ascii="Times New Roman" w:eastAsia="Times New Roman" w:hAnsi="Times New Roman" w:cs="Times New Roman"/>
          <w:b/>
          <w:color w:val="002060"/>
        </w:rPr>
      </w:pPr>
      <w:r>
        <w:rPr>
          <w:rFonts w:ascii="Times New Roman" w:eastAsia="Times New Roman" w:hAnsi="Times New Roman" w:cs="Times New Roman"/>
          <w:b/>
          <w:color w:val="002060"/>
        </w:rPr>
        <w:t>Correo electrónico: lottiecejudhcan@gmail.com</w:t>
      </w:r>
    </w:p>
    <w:p w:rsidR="00505D61" w:rsidRDefault="00505D61">
      <w:pPr>
        <w:pStyle w:val="LO-normal1"/>
        <w:spacing w:line="240" w:lineRule="auto"/>
        <w:jc w:val="both"/>
        <w:rPr>
          <w:rFonts w:ascii="Times New Roman" w:eastAsia="Times New Roman" w:hAnsi="Times New Roman" w:cs="Times New Roman"/>
          <w:b/>
          <w:color w:val="002060"/>
        </w:rPr>
      </w:pPr>
    </w:p>
    <w:p w:rsidR="00505D61" w:rsidRDefault="00505D61">
      <w:pPr>
        <w:pStyle w:val="LO-normal1"/>
        <w:spacing w:line="240" w:lineRule="auto"/>
        <w:jc w:val="both"/>
        <w:rPr>
          <w:rFonts w:ascii="Times New Roman" w:eastAsia="Times New Roman" w:hAnsi="Times New Roman" w:cs="Times New Roman"/>
          <w:b/>
          <w:color w:val="002060"/>
        </w:rPr>
      </w:pPr>
    </w:p>
    <w:p w:rsidR="00505D61" w:rsidRDefault="00505D61">
      <w:pPr>
        <w:pStyle w:val="LO-normal1"/>
        <w:spacing w:line="240" w:lineRule="auto"/>
        <w:jc w:val="both"/>
        <w:rPr>
          <w:rFonts w:ascii="Times New Roman" w:eastAsia="Times New Roman" w:hAnsi="Times New Roman" w:cs="Times New Roman"/>
          <w:b/>
          <w:color w:val="002060"/>
        </w:rPr>
      </w:pPr>
    </w:p>
    <w:p w:rsidR="00505D61" w:rsidRDefault="00505D61">
      <w:pPr>
        <w:pStyle w:val="LO-normal1"/>
        <w:spacing w:after="0" w:line="240" w:lineRule="auto"/>
        <w:jc w:val="both"/>
        <w:rPr>
          <w:rFonts w:ascii="Times New Roman" w:eastAsia="Times New Roman" w:hAnsi="Times New Roman" w:cs="Times New Roman"/>
          <w:b/>
          <w:color w:val="002060"/>
        </w:rPr>
      </w:pPr>
    </w:p>
    <w:p w:rsidR="00505D61" w:rsidRDefault="007F6DAC">
      <w:pPr>
        <w:pStyle w:val="LO-normal1"/>
        <w:numPr>
          <w:ilvl w:val="0"/>
          <w:numId w:val="4"/>
        </w:numPr>
        <w:spacing w:after="0" w:line="240" w:lineRule="auto"/>
        <w:jc w:val="both"/>
        <w:rPr>
          <w:rFonts w:ascii="Times New Roman" w:eastAsia="Times New Roman" w:hAnsi="Times New Roman" w:cs="Times New Roman"/>
          <w:b/>
          <w:color w:val="002060"/>
        </w:rPr>
      </w:pPr>
      <w:r>
        <w:rPr>
          <w:rFonts w:ascii="Times New Roman" w:eastAsia="Times New Roman" w:hAnsi="Times New Roman" w:cs="Times New Roman"/>
          <w:b/>
          <w:color w:val="002060"/>
        </w:rPr>
        <w:t>INTRODUCCIÓN</w:t>
      </w:r>
      <w:r>
        <w:rPr>
          <w:rFonts w:ascii="Times New Roman" w:eastAsia="Times New Roman" w:hAnsi="Times New Roman" w:cs="Times New Roman"/>
          <w:b/>
          <w:color w:val="002060"/>
        </w:rPr>
        <w:tab/>
      </w:r>
    </w:p>
    <w:p w:rsidR="00505D61" w:rsidRDefault="00505D61">
      <w:pPr>
        <w:pStyle w:val="LO-normal1"/>
        <w:spacing w:after="0" w:line="240" w:lineRule="auto"/>
        <w:ind w:left="720"/>
        <w:jc w:val="both"/>
        <w:rPr>
          <w:rFonts w:ascii="Times New Roman" w:eastAsia="Times New Roman" w:hAnsi="Times New Roman" w:cs="Times New Roman"/>
          <w:b/>
          <w:color w:val="00206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 </w:t>
      </w:r>
      <w:r>
        <w:rPr>
          <w:rFonts w:ascii="Times New Roman" w:eastAsia="Times New Roman" w:hAnsi="Times New Roman" w:cs="Times New Roman"/>
          <w:color w:val="000000"/>
        </w:rPr>
        <w:tab/>
      </w:r>
      <w:r>
        <w:rPr>
          <w:rFonts w:ascii="Times New Roman" w:eastAsia="Times New Roman" w:hAnsi="Times New Roman" w:cs="Times New Roman"/>
          <w:color w:val="222222"/>
        </w:rPr>
        <w:t xml:space="preserve">El Centro por la Justicia y Derechos Humanos de la Costa Atlántica </w:t>
      </w:r>
      <w:r>
        <w:rPr>
          <w:rFonts w:ascii="Times New Roman" w:eastAsia="Times New Roman" w:hAnsi="Times New Roman" w:cs="Times New Roman"/>
          <w:color w:val="222222"/>
        </w:rPr>
        <w:t>de Nicaragua (CEJUDHCAN)</w:t>
      </w:r>
      <w:r>
        <w:rPr>
          <w:rStyle w:val="Ancladenotaalpie"/>
          <w:rFonts w:ascii="Times New Roman" w:eastAsia="Times New Roman" w:hAnsi="Times New Roman" w:cs="Times New Roman"/>
          <w:color w:val="222222"/>
        </w:rPr>
        <w:footnoteReference w:id="1"/>
      </w:r>
      <w:r>
        <w:rPr>
          <w:rFonts w:ascii="Times New Roman" w:eastAsia="Times New Roman" w:hAnsi="Times New Roman" w:cs="Times New Roman"/>
          <w:color w:val="222222"/>
          <w:vertAlign w:val="superscript"/>
        </w:rPr>
        <w:t xml:space="preserve"> </w:t>
      </w:r>
      <w:r>
        <w:rPr>
          <w:rFonts w:ascii="Times New Roman" w:eastAsia="Times New Roman" w:hAnsi="Times New Roman" w:cs="Times New Roman"/>
          <w:color w:val="222222"/>
        </w:rPr>
        <w:t xml:space="preserve">presenta esta actualización </w:t>
      </w:r>
      <w:r>
        <w:rPr>
          <w:rFonts w:ascii="Times New Roman" w:eastAsia="Times New Roman" w:hAnsi="Times New Roman" w:cs="Times New Roman"/>
          <w:color w:val="000000"/>
        </w:rPr>
        <w:t xml:space="preserve">sobre la situación de los derechos Económicos, Sociales y Culturales (DESC) de los pueblos indígenas y afrodescendientes y el nivel de cumplimiento por parte del Estado de Nicaragua. La información </w:t>
      </w:r>
      <w:r>
        <w:rPr>
          <w:rFonts w:ascii="Times New Roman" w:eastAsia="Times New Roman" w:hAnsi="Times New Roman" w:cs="Times New Roman"/>
          <w:color w:val="000000"/>
        </w:rPr>
        <w:t>presentada es producto de un proceso de consultas en 8 territorios indígenas</w:t>
      </w:r>
      <w:r>
        <w:rPr>
          <w:rStyle w:val="Ancladenotaalpie"/>
          <w:rFonts w:ascii="Times New Roman" w:eastAsia="Times New Roman" w:hAnsi="Times New Roman" w:cs="Times New Roman"/>
          <w:color w:val="000000"/>
        </w:rPr>
        <w:footnoteReference w:id="2"/>
      </w:r>
      <w:r>
        <w:rPr>
          <w:rFonts w:ascii="Times New Roman" w:eastAsia="Times New Roman" w:hAnsi="Times New Roman" w:cs="Times New Roman"/>
          <w:color w:val="000000"/>
        </w:rPr>
        <w:t xml:space="preserve">, ubicados en la Región Autónoma de la  Costa Caribe Norte de Nicaragua  (RACCN).  </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numPr>
          <w:ilvl w:val="0"/>
          <w:numId w:val="4"/>
        </w:numPr>
        <w:spacing w:after="0" w:line="240" w:lineRule="auto"/>
        <w:jc w:val="both"/>
        <w:rPr>
          <w:rFonts w:ascii="Times New Roman" w:eastAsia="Times New Roman" w:hAnsi="Times New Roman" w:cs="Times New Roman"/>
          <w:b/>
          <w:color w:val="002060"/>
        </w:rPr>
      </w:pPr>
      <w:r>
        <w:rPr>
          <w:rFonts w:ascii="Times New Roman" w:eastAsia="Times New Roman" w:hAnsi="Times New Roman" w:cs="Times New Roman"/>
          <w:b/>
          <w:color w:val="002060"/>
        </w:rPr>
        <w:t>CONTEXTO GENERAL</w:t>
      </w:r>
    </w:p>
    <w:p w:rsidR="00505D61" w:rsidRDefault="00505D61">
      <w:pPr>
        <w:pStyle w:val="LO-norm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222"/>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 </w:t>
      </w:r>
      <w:r>
        <w:rPr>
          <w:rFonts w:ascii="Times New Roman" w:eastAsia="Times New Roman" w:hAnsi="Times New Roman" w:cs="Times New Roman"/>
          <w:color w:val="000000"/>
        </w:rPr>
        <w:tab/>
        <w:t xml:space="preserve">La legislación nicaragüense reconoce los derechos individuales y </w:t>
      </w:r>
      <w:r>
        <w:rPr>
          <w:rFonts w:ascii="Times New Roman" w:eastAsia="Times New Roman" w:hAnsi="Times New Roman" w:cs="Times New Roman"/>
          <w:color w:val="000000"/>
        </w:rPr>
        <w:t>colectivos de los pueblos indígenas Miskitu, Mayangnas, Ramas y afrodescendientes Criollos o Creoles, Garífunas que habitan en la Costa Caribe de Nicaragua</w:t>
      </w:r>
      <w:r>
        <w:rPr>
          <w:rStyle w:val="Ancladenotaalpie"/>
          <w:rFonts w:ascii="Times New Roman" w:eastAsia="Times New Roman" w:hAnsi="Times New Roman" w:cs="Times New Roman"/>
          <w:color w:val="000000"/>
        </w:rPr>
        <w:footnoteReference w:id="3"/>
      </w:r>
      <w:r>
        <w:rPr>
          <w:rFonts w:ascii="Times New Roman" w:eastAsia="Times New Roman" w:hAnsi="Times New Roman" w:cs="Times New Roman"/>
          <w:color w:val="000000"/>
        </w:rPr>
        <w:t xml:space="preserve">. Se reconoce un régimen político administrativo de autonomía regional y de propiedad comunal sobre </w:t>
      </w:r>
      <w:r>
        <w:rPr>
          <w:rFonts w:ascii="Times New Roman" w:eastAsia="Times New Roman" w:hAnsi="Times New Roman" w:cs="Times New Roman"/>
          <w:color w:val="000000"/>
        </w:rPr>
        <w:t>las tierras ancestrales</w:t>
      </w:r>
      <w:r>
        <w:rPr>
          <w:rStyle w:val="Ancladenotaalpie"/>
          <w:rFonts w:ascii="Times New Roman" w:eastAsia="Times New Roman" w:hAnsi="Times New Roman" w:cs="Times New Roman"/>
          <w:color w:val="000000"/>
        </w:rPr>
        <w:footnoteReference w:id="4"/>
      </w:r>
      <w:r>
        <w:rPr>
          <w:rFonts w:ascii="Times New Roman" w:eastAsia="Times New Roman" w:hAnsi="Times New Roman" w:cs="Times New Roman"/>
          <w:color w:val="000000"/>
        </w:rPr>
        <w:t>. Así mismo, el Estado ha adoptado el Convenio 169 sobre Pueblos Indígenas y Tribales en Países Independientes, de la Organización Internacional del Trabajo (OIT) y la Declaración de Naciones Unidas sobre los Derechos de los pueblos</w:t>
      </w:r>
      <w:r>
        <w:rPr>
          <w:rFonts w:ascii="Times New Roman" w:eastAsia="Times New Roman" w:hAnsi="Times New Roman" w:cs="Times New Roman"/>
          <w:color w:val="000000"/>
        </w:rPr>
        <w:t xml:space="preserve"> indígenas</w:t>
      </w:r>
      <w:r>
        <w:rPr>
          <w:rStyle w:val="Ancladenotaalpie"/>
          <w:rFonts w:ascii="Times New Roman" w:eastAsia="Times New Roman" w:hAnsi="Times New Roman" w:cs="Times New Roman"/>
          <w:color w:val="000000"/>
        </w:rPr>
        <w:footnoteReference w:id="5"/>
      </w:r>
      <w:r>
        <w:rPr>
          <w:rFonts w:ascii="Times New Roman" w:eastAsia="Times New Roman" w:hAnsi="Times New Roman" w:cs="Times New Roman"/>
          <w:color w:val="000000"/>
        </w:rPr>
        <w:t xml:space="preserve">. </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 </w:t>
      </w:r>
      <w:r>
        <w:rPr>
          <w:rFonts w:ascii="Times New Roman" w:eastAsia="Times New Roman" w:hAnsi="Times New Roman" w:cs="Times New Roman"/>
          <w:color w:val="000000"/>
        </w:rPr>
        <w:tab/>
        <w:t xml:space="preserve">No obstante, </w:t>
      </w:r>
      <w:r>
        <w:rPr>
          <w:rFonts w:ascii="Times New Roman" w:eastAsia="Times New Roman" w:hAnsi="Times New Roman" w:cs="Times New Roman"/>
          <w:color w:val="00000A"/>
        </w:rPr>
        <w:t>la pobreza extrema, la dispersión poblacional y la ubicación de las comunidades en áreas de difícil acceso son características principales de la zona del Caribe, en donde se ubican los municipios más pobres del país. Por otr</w:t>
      </w:r>
      <w:r>
        <w:rPr>
          <w:rFonts w:ascii="Times New Roman" w:eastAsia="Times New Roman" w:hAnsi="Times New Roman" w:cs="Times New Roman"/>
          <w:color w:val="00000A"/>
        </w:rPr>
        <w:t xml:space="preserve">as parte, la crisis política, económica, social y de derechos humanos que vive el país desde el 2018, ha tenido graves consecuencias para los pueblos indígenas y afrodescendientes de la Costa Caribe de Nicaragua, quienes han sufrido y denunciado una serie </w:t>
      </w:r>
      <w:r>
        <w:rPr>
          <w:rFonts w:ascii="Times New Roman" w:eastAsia="Times New Roman" w:hAnsi="Times New Roman" w:cs="Times New Roman"/>
          <w:color w:val="00000A"/>
        </w:rPr>
        <w:t xml:space="preserve">de actos violentos por las invasiones de sus territorios, lo que </w:t>
      </w:r>
      <w:r>
        <w:rPr>
          <w:rFonts w:ascii="Times New Roman" w:eastAsia="Times New Roman" w:hAnsi="Times New Roman" w:cs="Times New Roman"/>
          <w:color w:val="000000"/>
        </w:rPr>
        <w:t xml:space="preserve">llevó a CEJUDHCAN, en el 2015, a solicitar a la </w:t>
      </w:r>
      <w:r>
        <w:rPr>
          <w:rFonts w:ascii="Times New Roman" w:eastAsia="Times New Roman" w:hAnsi="Times New Roman" w:cs="Times New Roman"/>
          <w:color w:val="000000"/>
        </w:rPr>
        <w:lastRenderedPageBreak/>
        <w:t>Comisión Interamericana de Derechos Humanos  (CIDH) y a la Corte Interamericana de Derechos Humanos (Corte IDH), la adopción de medidas de prot</w:t>
      </w:r>
      <w:r>
        <w:rPr>
          <w:rFonts w:ascii="Times New Roman" w:eastAsia="Times New Roman" w:hAnsi="Times New Roman" w:cs="Times New Roman"/>
          <w:color w:val="000000"/>
        </w:rPr>
        <w:t>ección, ante la situación de gravedad y urgencia de daño irreparable a la vida e integridad de los comunitarios</w:t>
      </w:r>
      <w:r>
        <w:rPr>
          <w:rStyle w:val="Ancladenotaalpie"/>
          <w:rFonts w:ascii="Times New Roman" w:eastAsia="Times New Roman" w:hAnsi="Times New Roman" w:cs="Times New Roman"/>
          <w:color w:val="000000"/>
        </w:rPr>
        <w:footnoteReference w:id="6"/>
      </w:r>
      <w:r>
        <w:rPr>
          <w:rFonts w:ascii="Times New Roman" w:eastAsia="Times New Roman" w:hAnsi="Times New Roman" w:cs="Times New Roman"/>
          <w:color w:val="000000"/>
        </w:rPr>
        <w:t>. Dichas medidas no han sido acatadas por el Estado de Nicaragua.</w:t>
      </w:r>
    </w:p>
    <w:p w:rsidR="00505D61" w:rsidRDefault="00505D61">
      <w:pPr>
        <w:pStyle w:val="LO-normal1"/>
        <w:spacing w:after="0" w:line="240" w:lineRule="auto"/>
        <w:jc w:val="both"/>
        <w:rPr>
          <w:rFonts w:ascii="Times New Roman" w:eastAsia="Times New Roman" w:hAnsi="Times New Roman" w:cs="Times New Roman"/>
          <w:color w:val="00000A"/>
        </w:rPr>
      </w:pPr>
    </w:p>
    <w:p w:rsidR="00505D61" w:rsidRDefault="007F6DAC">
      <w:pPr>
        <w:pStyle w:val="LO-normal1"/>
        <w:spacing w:after="0" w:line="240" w:lineRule="auto"/>
        <w:jc w:val="both"/>
        <w:rPr>
          <w:rFonts w:ascii="Times New Roman" w:eastAsia="Times New Roman" w:hAnsi="Times New Roman" w:cs="Times New Roman"/>
          <w:color w:val="00000A"/>
        </w:rPr>
      </w:pPr>
      <w:r>
        <w:rPr>
          <w:rFonts w:ascii="Times New Roman" w:eastAsia="Times New Roman" w:hAnsi="Times New Roman" w:cs="Times New Roman"/>
          <w:color w:val="00000A"/>
        </w:rPr>
        <w:t xml:space="preserve">4. </w:t>
      </w:r>
      <w:r>
        <w:rPr>
          <w:rFonts w:ascii="Times New Roman" w:eastAsia="Times New Roman" w:hAnsi="Times New Roman" w:cs="Times New Roman"/>
          <w:color w:val="00000A"/>
        </w:rPr>
        <w:tab/>
        <w:t xml:space="preserve">Cabe destacar que a las múltiples crisis que viven los pueblos indígenas </w:t>
      </w:r>
      <w:r>
        <w:rPr>
          <w:rFonts w:ascii="Times New Roman" w:eastAsia="Times New Roman" w:hAnsi="Times New Roman" w:cs="Times New Roman"/>
          <w:color w:val="00000A"/>
        </w:rPr>
        <w:t>y afrodescendientes en los territorios y comunidades de la Costa Caribe, se suman los efectos de la pandemia del  COVID-19, la falta de adopción de políticas de protección y prevención por parte del gobierno de Nicaragua: y los efectos catastróficos de los</w:t>
      </w:r>
      <w:r>
        <w:rPr>
          <w:rFonts w:ascii="Times New Roman" w:eastAsia="Times New Roman" w:hAnsi="Times New Roman" w:cs="Times New Roman"/>
          <w:color w:val="00000A"/>
        </w:rPr>
        <w:t xml:space="preserve"> huracanes ETA y IOTA, de categoría 4 y 5, que impactaron el Caribe de Nicaragua en noviembre del 2020, dejando desolada la región, agravando la situación alimentaria, de la vivienda, la salud y la educación. Muchas de las comunidades afectadas pasaron de </w:t>
      </w:r>
      <w:r>
        <w:rPr>
          <w:rFonts w:ascii="Times New Roman" w:eastAsia="Times New Roman" w:hAnsi="Times New Roman" w:cs="Times New Roman"/>
          <w:color w:val="00000A"/>
        </w:rPr>
        <w:t>la pobreza extrema al desamparo total, con el consiguiente efecto en los  DESC.</w:t>
      </w:r>
    </w:p>
    <w:p w:rsidR="00505D61" w:rsidRDefault="00505D61">
      <w:pPr>
        <w:pStyle w:val="LO-normal1"/>
        <w:spacing w:after="0" w:line="240" w:lineRule="auto"/>
        <w:jc w:val="both"/>
        <w:rPr>
          <w:rFonts w:ascii="Times New Roman" w:eastAsia="Times New Roman" w:hAnsi="Times New Roman" w:cs="Times New Roman"/>
          <w:color w:val="00000A"/>
        </w:rPr>
      </w:pPr>
    </w:p>
    <w:p w:rsidR="00505D61" w:rsidRDefault="00505D61">
      <w:pPr>
        <w:pStyle w:val="LO-normal1"/>
        <w:spacing w:after="0" w:line="240" w:lineRule="auto"/>
        <w:jc w:val="both"/>
        <w:rPr>
          <w:rFonts w:ascii="Times New Roman" w:eastAsia="Times New Roman" w:hAnsi="Times New Roman" w:cs="Times New Roman"/>
          <w:color w:val="FF0000"/>
        </w:rPr>
      </w:pPr>
    </w:p>
    <w:p w:rsidR="00505D61" w:rsidRDefault="007F6DAC">
      <w:pPr>
        <w:pStyle w:val="LO-normal1"/>
        <w:numPr>
          <w:ilvl w:val="0"/>
          <w:numId w:val="4"/>
        </w:numPr>
        <w:spacing w:after="0" w:line="240" w:lineRule="auto"/>
        <w:jc w:val="both"/>
        <w:rPr>
          <w:rFonts w:ascii="Times New Roman" w:eastAsia="Times New Roman" w:hAnsi="Times New Roman" w:cs="Times New Roman"/>
          <w:b/>
          <w:color w:val="002060"/>
        </w:rPr>
      </w:pPr>
      <w:r>
        <w:rPr>
          <w:rFonts w:ascii="Times New Roman" w:eastAsia="Times New Roman" w:hAnsi="Times New Roman" w:cs="Times New Roman"/>
          <w:b/>
          <w:color w:val="002060"/>
        </w:rPr>
        <w:t>DISPOSICIONES DEL PACTO Y ASPECTOS A ACTUALIZAR DE LA LISTA DE CUESTIONES</w:t>
      </w:r>
    </w:p>
    <w:p w:rsidR="00505D61" w:rsidRDefault="00505D61">
      <w:pPr>
        <w:pStyle w:val="LO-normal1"/>
        <w:spacing w:after="0" w:line="240" w:lineRule="auto"/>
        <w:jc w:val="both"/>
        <w:rPr>
          <w:rFonts w:ascii="Times New Roman" w:eastAsia="Times New Roman" w:hAnsi="Times New Roman" w:cs="Times New Roman"/>
          <w:b/>
          <w:color w:val="002060"/>
        </w:rPr>
      </w:pPr>
    </w:p>
    <w:p w:rsidR="00505D61" w:rsidRDefault="007F6DAC">
      <w:pPr>
        <w:pStyle w:val="LO-normal1"/>
        <w:spacing w:after="0" w:line="240" w:lineRule="auto"/>
        <w:jc w:val="both"/>
        <w:rPr>
          <w:rFonts w:ascii="Times New Roman" w:eastAsia="Times New Roman" w:hAnsi="Times New Roman" w:cs="Times New Roman"/>
          <w:b/>
          <w:color w:val="002060"/>
        </w:rPr>
      </w:pPr>
      <w:r>
        <w:rPr>
          <w:rFonts w:ascii="Times New Roman" w:eastAsia="Times New Roman" w:hAnsi="Times New Roman" w:cs="Times New Roman"/>
          <w:b/>
          <w:color w:val="002060"/>
        </w:rPr>
        <w:t>DERECHO A LA LIBRE DETERMINACIÓN (ART. 1).</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222"/>
        </w:rPr>
      </w:pPr>
      <w:r>
        <w:rPr>
          <w:rFonts w:ascii="Times New Roman" w:eastAsia="Times New Roman" w:hAnsi="Times New Roman" w:cs="Times New Roman"/>
          <w:color w:val="222222"/>
        </w:rPr>
        <w:t>5.</w:t>
      </w:r>
      <w:r>
        <w:rPr>
          <w:rFonts w:ascii="Times New Roman" w:eastAsia="Times New Roman" w:hAnsi="Times New Roman" w:cs="Times New Roman"/>
          <w:color w:val="222222"/>
        </w:rPr>
        <w:tab/>
        <w:t xml:space="preserve">La libre determinación de los pueblos indígenas se </w:t>
      </w:r>
      <w:r>
        <w:rPr>
          <w:rFonts w:ascii="Times New Roman" w:eastAsia="Times New Roman" w:hAnsi="Times New Roman" w:cs="Times New Roman"/>
          <w:color w:val="222222"/>
        </w:rPr>
        <w:t>ejerce mediante un régimen de autonomía comunal, territorial y regional, sobre la base de la democracia comunitaria de las estructuras y organizaciones sociales tradicionales que han mantenido las comunidades indígenas y afrodescendientes en la Costa Carib</w:t>
      </w:r>
      <w:r>
        <w:rPr>
          <w:rFonts w:ascii="Times New Roman" w:eastAsia="Times New Roman" w:hAnsi="Times New Roman" w:cs="Times New Roman"/>
          <w:color w:val="222222"/>
        </w:rPr>
        <w:t>e. Entre estas estructuras territoriales y comunales, están los Wihta, Síndico, Consejo de Anciano, Gobiernos Comunales y territoriales que responde a la forma en que están constituidos los 24 territorios indígena y afrodescendientes</w:t>
      </w:r>
      <w:r>
        <w:rPr>
          <w:rStyle w:val="Ancladenotaalpie"/>
          <w:rFonts w:ascii="Times New Roman" w:eastAsia="Times New Roman" w:hAnsi="Times New Roman" w:cs="Times New Roman"/>
          <w:color w:val="222222"/>
        </w:rPr>
        <w:footnoteReference w:id="7"/>
      </w:r>
      <w:r>
        <w:rPr>
          <w:rFonts w:ascii="Times New Roman" w:eastAsia="Times New Roman" w:hAnsi="Times New Roman" w:cs="Times New Roman"/>
          <w:color w:val="222222"/>
        </w:rPr>
        <w:t xml:space="preserve">.  </w:t>
      </w:r>
      <w:r>
        <w:rPr>
          <w:rFonts w:ascii="Times New Roman" w:eastAsia="Times New Roman" w:hAnsi="Times New Roman" w:cs="Times New Roman"/>
          <w:color w:val="000000"/>
        </w:rPr>
        <w:t xml:space="preserve">No obstante, en la </w:t>
      </w:r>
      <w:r>
        <w:rPr>
          <w:rFonts w:ascii="Times New Roman" w:eastAsia="Times New Roman" w:hAnsi="Times New Roman" w:cs="Times New Roman"/>
          <w:color w:val="000000"/>
        </w:rPr>
        <w:t>práctica, el régimen de autonomía regional que establece la Ley no.28, no garantiza el derecho a la libre determinación al establecer un régimen de autonomía regional para la región de la Costa Caribe y no para los pueblos. Tras más de 30 años de ejercicio</w:t>
      </w:r>
      <w:r>
        <w:rPr>
          <w:rFonts w:ascii="Times New Roman" w:eastAsia="Times New Roman" w:hAnsi="Times New Roman" w:cs="Times New Roman"/>
          <w:color w:val="000000"/>
        </w:rPr>
        <w:t xml:space="preserve"> autonómico, estas se han limitado a la celebración de elección y nombramientos de las autoridades regionales, los que responde a intereses centralistas y político partidarios, ajenos a las demandas históricas y a las realidades de los pueblos indígenas y </w:t>
      </w:r>
      <w:r>
        <w:rPr>
          <w:rFonts w:ascii="Times New Roman" w:eastAsia="Times New Roman" w:hAnsi="Times New Roman" w:cs="Times New Roman"/>
          <w:color w:val="000000"/>
        </w:rPr>
        <w:t xml:space="preserve">afrodescendientes. Todas las decisiones se toman a nivel del gobierno central y partido político de </w:t>
      </w:r>
      <w:r>
        <w:rPr>
          <w:rFonts w:ascii="Times New Roman" w:eastAsia="Times New Roman" w:hAnsi="Times New Roman" w:cs="Times New Roman"/>
          <w:color w:val="000000"/>
        </w:rPr>
        <w:lastRenderedPageBreak/>
        <w:t>gobierno, dependen financieramente de las transferencias o asignaciones presupuestarias antojadizas del gobierno central</w:t>
      </w:r>
      <w:r>
        <w:rPr>
          <w:rStyle w:val="Ancladenotaalpie"/>
          <w:rFonts w:ascii="Times New Roman" w:eastAsia="Times New Roman" w:hAnsi="Times New Roman" w:cs="Times New Roman"/>
          <w:color w:val="000000"/>
        </w:rPr>
        <w:footnoteReference w:id="8"/>
      </w:r>
      <w:r>
        <w:rPr>
          <w:rFonts w:ascii="Times New Roman" w:eastAsia="Times New Roman" w:hAnsi="Times New Roman" w:cs="Times New Roman"/>
          <w:color w:val="000000"/>
        </w:rPr>
        <w:t>.</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222222"/>
        </w:rPr>
      </w:pPr>
      <w:r>
        <w:rPr>
          <w:rFonts w:ascii="Times New Roman" w:eastAsia="Times New Roman" w:hAnsi="Times New Roman" w:cs="Times New Roman"/>
          <w:color w:val="000000"/>
        </w:rPr>
        <w:t xml:space="preserve">6. </w:t>
      </w:r>
      <w:r>
        <w:rPr>
          <w:rFonts w:ascii="Times New Roman" w:eastAsia="Times New Roman" w:hAnsi="Times New Roman" w:cs="Times New Roman"/>
          <w:color w:val="000000"/>
        </w:rPr>
        <w:tab/>
        <w:t xml:space="preserve">Por otra parte en el ámbito </w:t>
      </w:r>
      <w:r>
        <w:rPr>
          <w:rFonts w:ascii="Times New Roman" w:eastAsia="Times New Roman" w:hAnsi="Times New Roman" w:cs="Times New Roman"/>
          <w:color w:val="000000"/>
        </w:rPr>
        <w:t xml:space="preserve">comunal y territorial también están siendo afectadas por prácticas estatales dirigidas por el partido de gobierno que socavan el ejercicio efectivo de los pueblos a la libre determinación, promoviendo el divisionismo y conflictos. </w:t>
      </w:r>
      <w:r>
        <w:rPr>
          <w:rFonts w:ascii="Times New Roman" w:eastAsia="Times New Roman" w:hAnsi="Times New Roman" w:cs="Times New Roman"/>
          <w:color w:val="222222"/>
        </w:rPr>
        <w:t>Las autoridades comunales</w:t>
      </w:r>
      <w:r>
        <w:rPr>
          <w:rFonts w:ascii="Times New Roman" w:eastAsia="Times New Roman" w:hAnsi="Times New Roman" w:cs="Times New Roman"/>
          <w:color w:val="222222"/>
        </w:rPr>
        <w:t xml:space="preserve"> y territoriales, legítimamente electas en asambleas comunitarias no son certificadas y son desconocidas por las instituciones de gobierno,  y son suplantadas por estructuras paralelas (gobiernos paralelos)</w:t>
      </w:r>
      <w:r>
        <w:rPr>
          <w:rStyle w:val="Ancladenotaalpie"/>
          <w:rFonts w:ascii="Times New Roman" w:eastAsia="Times New Roman" w:hAnsi="Times New Roman" w:cs="Times New Roman"/>
          <w:color w:val="000000"/>
        </w:rPr>
        <w:footnoteReference w:id="9"/>
      </w:r>
      <w:r>
        <w:rPr>
          <w:rFonts w:ascii="Times New Roman" w:eastAsia="Times New Roman" w:hAnsi="Times New Roman" w:cs="Times New Roman"/>
          <w:color w:val="222222"/>
        </w:rPr>
        <w:t xml:space="preserve">  y personas ajenas a la comunidad que responden a los intereses del partido de gobierno para mantener el control absoluto y seguir las políticas de colonización ideológica etnocida, </w:t>
      </w:r>
      <w:r>
        <w:rPr>
          <w:rFonts w:ascii="Times New Roman" w:eastAsia="Times New Roman" w:hAnsi="Times New Roman" w:cs="Times New Roman"/>
          <w:color w:val="000000"/>
        </w:rPr>
        <w:t xml:space="preserve"> anulando el ejercicio autonómico de las comunidades y territorios y soca</w:t>
      </w:r>
      <w:r>
        <w:rPr>
          <w:rFonts w:ascii="Times New Roman" w:eastAsia="Times New Roman" w:hAnsi="Times New Roman" w:cs="Times New Roman"/>
          <w:color w:val="000000"/>
        </w:rPr>
        <w:t>vando el principio de libre determinación. Al respecto, CEJUDHCAN durante el primer trimestre del 2021, identificó  más de 27   gobiernos comunales paralelos en los siguientes territorios: 1. Twi Yahbra, 2. Wangki Twi Tasba Raya</w:t>
      </w:r>
      <w:r>
        <w:rPr>
          <w:rStyle w:val="Ancladenotaalpie"/>
          <w:rFonts w:ascii="Times New Roman" w:eastAsia="Times New Roman" w:hAnsi="Times New Roman" w:cs="Times New Roman"/>
          <w:color w:val="000000"/>
        </w:rPr>
        <w:footnoteReference w:id="10"/>
      </w:r>
      <w:r>
        <w:rPr>
          <w:rFonts w:ascii="Times New Roman" w:eastAsia="Times New Roman" w:hAnsi="Times New Roman" w:cs="Times New Roman"/>
          <w:color w:val="000000"/>
        </w:rPr>
        <w:t>, 3. Wangky May y 4. Wangki</w:t>
      </w:r>
      <w:r>
        <w:rPr>
          <w:rFonts w:ascii="Times New Roman" w:eastAsia="Times New Roman" w:hAnsi="Times New Roman" w:cs="Times New Roman"/>
          <w:color w:val="000000"/>
        </w:rPr>
        <w:t xml:space="preserve"> Li Aubra</w:t>
      </w:r>
      <w:r>
        <w:rPr>
          <w:rStyle w:val="Ancladenotaalpie"/>
          <w:rFonts w:ascii="Times New Roman" w:eastAsia="Times New Roman" w:hAnsi="Times New Roman" w:cs="Times New Roman"/>
          <w:color w:val="000000"/>
        </w:rPr>
        <w:footnoteReference w:id="11"/>
      </w:r>
      <w:r>
        <w:rPr>
          <w:rFonts w:ascii="Times New Roman" w:eastAsia="Times New Roman" w:hAnsi="Times New Roman" w:cs="Times New Roman"/>
          <w:color w:val="000000"/>
        </w:rPr>
        <w:t>. De ellos, más de 80% de estas autoridades han sido impuestas. La tarea principal  de estas instancias, es  avalar la invasión de colonos  orientada por el gobierno central.</w:t>
      </w:r>
      <w:r>
        <w:rPr>
          <w:rFonts w:ascii="Times New Roman" w:eastAsia="Times New Roman" w:hAnsi="Times New Roman" w:cs="Times New Roman"/>
          <w:color w:val="FF0000"/>
        </w:rPr>
        <w:t xml:space="preserve"> </w:t>
      </w:r>
      <w:r>
        <w:rPr>
          <w:rFonts w:ascii="Times New Roman" w:eastAsia="Times New Roman" w:hAnsi="Times New Roman" w:cs="Times New Roman"/>
          <w:color w:val="000000"/>
        </w:rPr>
        <w:t xml:space="preserve">Los ocho territorios participantes del presente diagnóstico corroboran </w:t>
      </w:r>
      <w:r>
        <w:rPr>
          <w:rFonts w:ascii="Times New Roman" w:eastAsia="Times New Roman" w:hAnsi="Times New Roman" w:cs="Times New Roman"/>
          <w:color w:val="000000"/>
        </w:rPr>
        <w:t>que las elecciones se están llevando a cabo sin respetar los procedimientos tradicionales y son avalados por el Gobierno Regional.</w:t>
      </w:r>
    </w:p>
    <w:p w:rsidR="00505D61" w:rsidRDefault="00505D61">
      <w:pPr>
        <w:pStyle w:val="LO-normal1"/>
        <w:spacing w:after="0" w:line="240" w:lineRule="auto"/>
        <w:jc w:val="both"/>
        <w:rPr>
          <w:rFonts w:ascii="Times New Roman" w:eastAsia="Times New Roman" w:hAnsi="Times New Roman" w:cs="Times New Roman"/>
          <w:color w:val="222222"/>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7.</w:t>
      </w:r>
      <w:r>
        <w:rPr>
          <w:rFonts w:ascii="Times New Roman" w:eastAsia="Times New Roman" w:hAnsi="Times New Roman" w:cs="Times New Roman"/>
          <w:color w:val="000000"/>
        </w:rPr>
        <w:tab/>
        <w:t>La imposición de gobiernos comunitarios y territoriales paralelos facilita la injerencia de las instituciones de gobierno</w:t>
      </w:r>
      <w:r>
        <w:rPr>
          <w:rFonts w:ascii="Times New Roman" w:eastAsia="Times New Roman" w:hAnsi="Times New Roman" w:cs="Times New Roman"/>
          <w:color w:val="000000"/>
        </w:rPr>
        <w:t xml:space="preserve"> regional y nacional en las decisiones de la población, e incluso, ha contribuido a la usurpación de las tierras y recursos naturales, ya que permiten la aprobación – bajo amenaza y/o cooptación – de todo tipo de proyectos extractivos, con inversión privad</w:t>
      </w:r>
      <w:r>
        <w:rPr>
          <w:rFonts w:ascii="Times New Roman" w:eastAsia="Times New Roman" w:hAnsi="Times New Roman" w:cs="Times New Roman"/>
          <w:color w:val="000000"/>
        </w:rPr>
        <w:t>a. De esta manera, el Estado evita la aplicación de la normativa internacional requerida para realizar la consulta hasta llegar al consentimiento libre, previo e informado de los pueblos indígenas y afrodescendientes. Por otra parte, desde enero de 2020, e</w:t>
      </w:r>
      <w:r>
        <w:rPr>
          <w:rFonts w:ascii="Times New Roman" w:eastAsia="Times New Roman" w:hAnsi="Times New Roman" w:cs="Times New Roman"/>
          <w:color w:val="000000"/>
        </w:rPr>
        <w:t xml:space="preserve">l conflicto por la tierra y el patrón de violencia sistemática, se ha generalizado contra quienes defienden los derechos de los pueblos indígenas, y se ha agudizado de manera alarmante </w:t>
      </w:r>
      <w:r>
        <w:rPr>
          <w:rFonts w:ascii="Times New Roman" w:eastAsia="Times New Roman" w:hAnsi="Times New Roman" w:cs="Times New Roman"/>
          <w:color w:val="000000"/>
        </w:rPr>
        <w:lastRenderedPageBreak/>
        <w:t xml:space="preserve">en las comunidades y territorios Miskitus y Mayangna que encuentran en </w:t>
      </w:r>
      <w:r>
        <w:rPr>
          <w:rFonts w:ascii="Times New Roman" w:eastAsia="Times New Roman" w:hAnsi="Times New Roman" w:cs="Times New Roman"/>
          <w:color w:val="000000"/>
        </w:rPr>
        <w:t xml:space="preserve">la cuenca del Río Coco (Wangki) y en la Reserva de la Biosfera de Bosawás, ubicados en la RACCN. Ello se debe a la impunidad con la que actúan los perpetradores y ejecutores del tráfico ilegal de tierras y a la usurpación de los recursos naturales y de la </w:t>
      </w:r>
      <w:r>
        <w:rPr>
          <w:rFonts w:ascii="Times New Roman" w:eastAsia="Times New Roman" w:hAnsi="Times New Roman" w:cs="Times New Roman"/>
          <w:color w:val="000000"/>
        </w:rPr>
        <w:t>tierra en general facilitada y permitida por las autoridades estatales en lo que parece una política de colonización interna encubierta por parte del Estado dirigida al etnocidio de estos pueblos</w:t>
      </w:r>
      <w:r>
        <w:rPr>
          <w:rStyle w:val="Ancladenotaalpie"/>
          <w:rFonts w:ascii="Times New Roman" w:eastAsia="Times New Roman" w:hAnsi="Times New Roman" w:cs="Times New Roman"/>
          <w:color w:val="000000"/>
        </w:rPr>
        <w:footnoteReference w:id="12"/>
      </w:r>
      <w:r>
        <w:rPr>
          <w:rFonts w:ascii="Times New Roman" w:eastAsia="Times New Roman" w:hAnsi="Times New Roman" w:cs="Times New Roman"/>
          <w:color w:val="000000"/>
        </w:rPr>
        <w:t>.</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8. </w:t>
      </w:r>
      <w:r>
        <w:rPr>
          <w:rFonts w:ascii="Times New Roman" w:eastAsia="Times New Roman" w:hAnsi="Times New Roman" w:cs="Times New Roman"/>
          <w:color w:val="000000"/>
        </w:rPr>
        <w:tab/>
        <w:t>Las personas defensoras de los derechos de los pueblo</w:t>
      </w:r>
      <w:r>
        <w:rPr>
          <w:rFonts w:ascii="Times New Roman" w:eastAsia="Times New Roman" w:hAnsi="Times New Roman" w:cs="Times New Roman"/>
          <w:color w:val="000000"/>
        </w:rPr>
        <w:t>s indígenas y las comunidades Mayangna y Mískitu se encuentran sometidas a constantes amenazas por parte de grupos de personas no indígenas (de aquí en adelante “colonos” ), quienes incursionan en tierras indígenas con el objetivo de desplazar a la poblaci</w:t>
      </w:r>
      <w:r>
        <w:rPr>
          <w:rFonts w:ascii="Times New Roman" w:eastAsia="Times New Roman" w:hAnsi="Times New Roman" w:cs="Times New Roman"/>
          <w:color w:val="000000"/>
        </w:rPr>
        <w:t>ón de manera forzosa y ocupar sus tierras para llevar a cabo actividades ilegales de minería, siembra de marihuana, ganadería y tala de madera. En el marco de estas agresiones, destaca un patrón de ataques deliberados contra los medios de subsistencia de l</w:t>
      </w:r>
      <w:r>
        <w:rPr>
          <w:rFonts w:ascii="Times New Roman" w:eastAsia="Times New Roman" w:hAnsi="Times New Roman" w:cs="Times New Roman"/>
          <w:color w:val="000000"/>
        </w:rPr>
        <w:t>as comunidades, incluidos sus recursos naturales, medios de transporte, bosques, ganado y sus cosechas, y la vida misma. Lo anterior ha generado que alrededor de 3,000 indígenas miskitos se encuentran actualmente desplazados forzosamente en otras comunidad</w:t>
      </w:r>
      <w:r>
        <w:rPr>
          <w:rFonts w:ascii="Times New Roman" w:eastAsia="Times New Roman" w:hAnsi="Times New Roman" w:cs="Times New Roman"/>
          <w:color w:val="000000"/>
        </w:rPr>
        <w:t xml:space="preserve">es y cabeceras municipales, así como en comunidades fronterizas con </w:t>
      </w:r>
      <w:r>
        <w:rPr>
          <w:rFonts w:ascii="Times New Roman" w:eastAsia="Times New Roman" w:hAnsi="Times New Roman" w:cs="Times New Roman"/>
        </w:rPr>
        <w:t>Honduras</w:t>
      </w:r>
      <w:r>
        <w:rPr>
          <w:rFonts w:ascii="Times New Roman" w:eastAsia="Times New Roman" w:hAnsi="Times New Roman" w:cs="Times New Roman"/>
          <w:color w:val="000000"/>
        </w:rPr>
        <w:t xml:space="preserve">. </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9. </w:t>
      </w:r>
      <w:r>
        <w:rPr>
          <w:rFonts w:ascii="Times New Roman" w:eastAsia="Times New Roman" w:hAnsi="Times New Roman" w:cs="Times New Roman"/>
          <w:color w:val="000000"/>
        </w:rPr>
        <w:tab/>
        <w:t>A lo largo del año 2020, se contabilizaron al menos 13 asesinatos</w:t>
      </w:r>
      <w:r>
        <w:rPr>
          <w:rStyle w:val="Ancladenotaalpie"/>
          <w:rFonts w:ascii="Times New Roman" w:eastAsia="Times New Roman" w:hAnsi="Times New Roman" w:cs="Times New Roman"/>
          <w:color w:val="000000"/>
        </w:rPr>
        <w:footnoteReference w:id="13"/>
      </w:r>
      <w:r>
        <w:rPr>
          <w:rFonts w:ascii="Times New Roman" w:eastAsia="Times New Roman" w:hAnsi="Times New Roman" w:cs="Times New Roman"/>
          <w:color w:val="000000"/>
        </w:rPr>
        <w:t>, ocho personas heridas en ataques armados, dos secuestros, el desplazamiento forzado de una comunidad, la</w:t>
      </w:r>
      <w:r>
        <w:rPr>
          <w:rFonts w:ascii="Times New Roman" w:eastAsia="Times New Roman" w:hAnsi="Times New Roman" w:cs="Times New Roman"/>
          <w:color w:val="000000"/>
        </w:rPr>
        <w:t xml:space="preserve"> mayoría de ellos miembros del pueblo indígena Mayangna, y dos agresiones a dos niñas indígenas Mískitu menores de edad</w:t>
      </w:r>
      <w:r>
        <w:rPr>
          <w:rStyle w:val="Ancladenotaalpie"/>
          <w:rFonts w:ascii="Times New Roman" w:eastAsia="Times New Roman" w:hAnsi="Times New Roman" w:cs="Times New Roman"/>
          <w:color w:val="000000"/>
        </w:rPr>
        <w:footnoteReference w:id="14"/>
      </w:r>
      <w:r>
        <w:rPr>
          <w:rFonts w:ascii="Times New Roman" w:eastAsia="Times New Roman" w:hAnsi="Times New Roman" w:cs="Times New Roman"/>
          <w:color w:val="000000"/>
        </w:rPr>
        <w:t xml:space="preserve">. </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numPr>
          <w:ilvl w:val="0"/>
          <w:numId w:val="1"/>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El 29 de enero, un grupo armado ilegal vinculado a una mafia de acaparadores de tierras, asaltaron la comunidad Mayangna de Alal, ub</w:t>
      </w:r>
      <w:r>
        <w:rPr>
          <w:rFonts w:ascii="Times New Roman" w:eastAsia="Times New Roman" w:hAnsi="Times New Roman" w:cs="Times New Roman"/>
          <w:color w:val="000000"/>
        </w:rPr>
        <w:t>icada en el Territorio Sauni As, en la Reserva de la Biósfera Bosawas, mataron a cuatro miembros del pueblo indígena mayangna, dejaron a dos heridos y quemaron 16 casas incluidos el centro de salud, la casa pastoral y la escuela comunitaria</w:t>
      </w:r>
      <w:r>
        <w:rPr>
          <w:rStyle w:val="Ancladenotaalpie"/>
          <w:rFonts w:ascii="Times New Roman" w:eastAsia="Times New Roman" w:hAnsi="Times New Roman" w:cs="Times New Roman"/>
          <w:color w:val="000000"/>
        </w:rPr>
        <w:footnoteReference w:id="15"/>
      </w:r>
      <w:r>
        <w:rPr>
          <w:rFonts w:ascii="Times New Roman" w:eastAsia="Times New Roman" w:hAnsi="Times New Roman" w:cs="Times New Roman"/>
          <w:color w:val="000000"/>
        </w:rPr>
        <w:t>.</w:t>
      </w:r>
    </w:p>
    <w:p w:rsidR="00505D61" w:rsidRDefault="007F6DAC">
      <w:pPr>
        <w:pStyle w:val="LO-normal1"/>
        <w:numPr>
          <w:ilvl w:val="0"/>
          <w:numId w:val="1"/>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El 26 de marz</w:t>
      </w:r>
      <w:r>
        <w:rPr>
          <w:rFonts w:ascii="Times New Roman" w:eastAsia="Times New Roman" w:hAnsi="Times New Roman" w:cs="Times New Roman"/>
          <w:color w:val="000000"/>
        </w:rPr>
        <w:t>o, la Comunidad Mayangna de Wasakin, ubicada en el Territorio Tuahka, Caribe Norte, fue atacada con armas de fuego por colonos. Durante el ataque asesinaron a dos indígenas: el Sr. Dunis Morales Rodolfo y Neldo Dolores Gómez. Asimismo, Etlerson Johnny Mont</w:t>
      </w:r>
      <w:r>
        <w:rPr>
          <w:rFonts w:ascii="Times New Roman" w:eastAsia="Times New Roman" w:hAnsi="Times New Roman" w:cs="Times New Roman"/>
          <w:color w:val="000000"/>
        </w:rPr>
        <w:t xml:space="preserve">iel e Ilaiso Saballos Montiel resultaron heridos de bala. </w:t>
      </w:r>
    </w:p>
    <w:p w:rsidR="00505D61" w:rsidRDefault="00505D61">
      <w:pPr>
        <w:pStyle w:val="LO-normal1"/>
        <w:spacing w:after="0" w:line="240" w:lineRule="auto"/>
        <w:ind w:left="720"/>
        <w:jc w:val="both"/>
        <w:rPr>
          <w:rFonts w:ascii="Times New Roman" w:eastAsia="Times New Roman" w:hAnsi="Times New Roman" w:cs="Times New Roman"/>
          <w:color w:val="000000"/>
        </w:rPr>
      </w:pPr>
    </w:p>
    <w:p w:rsidR="00505D61" w:rsidRDefault="007F6DAC">
      <w:pPr>
        <w:pStyle w:val="LO-normal1"/>
        <w:numPr>
          <w:ilvl w:val="0"/>
          <w:numId w:val="1"/>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El 27 de marzo, menos de 48 horas después del ataque contra la Comunidad Mayangna de Wasakin, ubicado en el  Caribe Norte, el joven indígena Mískitu Federico Pérez Gradiz y el joven Mayangna Rubén</w:t>
      </w:r>
      <w:r>
        <w:rPr>
          <w:rFonts w:ascii="Times New Roman" w:eastAsia="Times New Roman" w:hAnsi="Times New Roman" w:cs="Times New Roman"/>
          <w:color w:val="000000"/>
        </w:rPr>
        <w:t xml:space="preserve"> Jacobo Bendles fueron asesinados con armas de fuego por un grupo de colonos mientras realizaban tareas de limpieza de los mojones que delimitan el territorio en la Comunidad de Ibu, ubicada también en el Territorio Tuahka</w:t>
      </w:r>
    </w:p>
    <w:p w:rsidR="00505D61" w:rsidRDefault="00505D61">
      <w:pPr>
        <w:pStyle w:val="LO-normal1"/>
        <w:spacing w:after="0" w:line="240" w:lineRule="auto"/>
        <w:ind w:left="720"/>
        <w:jc w:val="both"/>
        <w:rPr>
          <w:rFonts w:ascii="Times New Roman" w:eastAsia="Times New Roman" w:hAnsi="Times New Roman" w:cs="Times New Roman"/>
          <w:color w:val="000000"/>
        </w:rPr>
      </w:pPr>
    </w:p>
    <w:p w:rsidR="00505D61" w:rsidRDefault="007F6DAC">
      <w:pPr>
        <w:pStyle w:val="LO-normal1"/>
        <w:numPr>
          <w:ilvl w:val="0"/>
          <w:numId w:val="1"/>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El 10 de julio de 2020 el joven </w:t>
      </w:r>
      <w:r>
        <w:rPr>
          <w:rFonts w:ascii="Times New Roman" w:eastAsia="Times New Roman" w:hAnsi="Times New Roman" w:cs="Times New Roman"/>
          <w:color w:val="000000"/>
        </w:rPr>
        <w:t>indígena Simón Palacios Hernández, de 32 años, fue asesinado producto  de un disparo de escopeta a manos de colonos.  También, fue herido de gravedad Santos Cosme Pérez, de 51 años.</w:t>
      </w:r>
    </w:p>
    <w:p w:rsidR="00505D61" w:rsidRDefault="00505D61">
      <w:pPr>
        <w:pStyle w:val="LO-normal1"/>
        <w:spacing w:after="0" w:line="240" w:lineRule="auto"/>
        <w:ind w:left="720"/>
        <w:jc w:val="both"/>
        <w:rPr>
          <w:rFonts w:ascii="Times New Roman" w:eastAsia="Times New Roman" w:hAnsi="Times New Roman" w:cs="Times New Roman"/>
          <w:color w:val="000000"/>
        </w:rPr>
      </w:pPr>
    </w:p>
    <w:p w:rsidR="00505D61" w:rsidRDefault="007F6DAC">
      <w:pPr>
        <w:pStyle w:val="LO-normal1"/>
        <w:numPr>
          <w:ilvl w:val="0"/>
          <w:numId w:val="1"/>
        </w:numPr>
        <w:spacing w:after="0" w:line="240" w:lineRule="auto"/>
        <w:jc w:val="both"/>
        <w:rPr>
          <w:rFonts w:ascii="Times New Roman" w:eastAsia="Times New Roman" w:hAnsi="Times New Roman" w:cs="Times New Roman"/>
          <w:color w:val="FF0000"/>
        </w:rPr>
      </w:pPr>
      <w:r>
        <w:rPr>
          <w:rFonts w:ascii="Times New Roman" w:eastAsia="Times New Roman" w:hAnsi="Times New Roman" w:cs="Times New Roman"/>
          <w:color w:val="000000"/>
        </w:rPr>
        <w:t>El 3 de septiembre de 2020, 30 familias de la Comunidad Miskitu de Sangni</w:t>
      </w:r>
      <w:r>
        <w:rPr>
          <w:rFonts w:ascii="Times New Roman" w:eastAsia="Times New Roman" w:hAnsi="Times New Roman" w:cs="Times New Roman"/>
          <w:color w:val="000000"/>
        </w:rPr>
        <w:t xml:space="preserve"> Laya, ubicada en el Territorio de Twi Yahbra, en la Caribe Norte,  fueron desplazadas forzosamente a otras comunidades del territorio como Auhyapihni y a Bilwi, ante las amenazas por parte de colonos. El 21 de septiembre, un grupo de colonos armados ataca</w:t>
      </w:r>
      <w:r>
        <w:rPr>
          <w:rFonts w:ascii="Times New Roman" w:eastAsia="Times New Roman" w:hAnsi="Times New Roman" w:cs="Times New Roman"/>
          <w:color w:val="000000"/>
        </w:rPr>
        <w:t>ron la Comunidad Sangni Laya y sus medios de subsistencia, quemaron cinco casas que servían de depósito de alimentos productor de sus cosechas. Secuestraron a dos hombres</w:t>
      </w:r>
      <w:r>
        <w:rPr>
          <w:rFonts w:ascii="Times New Roman" w:eastAsia="Times New Roman" w:hAnsi="Times New Roman" w:cs="Times New Roman"/>
        </w:rPr>
        <w:t>.</w:t>
      </w:r>
    </w:p>
    <w:p w:rsidR="00505D61" w:rsidRDefault="00505D61">
      <w:pPr>
        <w:pStyle w:val="LO-normal1"/>
        <w:spacing w:after="0" w:line="240" w:lineRule="auto"/>
        <w:ind w:left="720"/>
        <w:jc w:val="both"/>
        <w:rPr>
          <w:rFonts w:ascii="Times New Roman" w:eastAsia="Times New Roman" w:hAnsi="Times New Roman" w:cs="Times New Roman"/>
        </w:rPr>
      </w:pPr>
    </w:p>
    <w:p w:rsidR="00505D61" w:rsidRDefault="007F6DAC">
      <w:pPr>
        <w:pStyle w:val="LO-normal1"/>
        <w:numPr>
          <w:ilvl w:val="0"/>
          <w:numId w:val="1"/>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El 14 de noviembre de 2020, fue asesinado por colonos, el Sr. Nacilio Macario, líde</w:t>
      </w:r>
      <w:r>
        <w:rPr>
          <w:rFonts w:ascii="Times New Roman" w:eastAsia="Times New Roman" w:hAnsi="Times New Roman" w:cs="Times New Roman"/>
          <w:color w:val="000000"/>
        </w:rPr>
        <w:t>r indígena Mayangna y defensor de derechos humanos, originario de la comunidad Musawas de Sauni As, ubicada en la Reserva de Biosfera Bosawás, Región Autónoma de la Costa Caribe Norte.</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 </w:t>
      </w:r>
      <w:r>
        <w:rPr>
          <w:rFonts w:ascii="Times New Roman" w:eastAsia="Times New Roman" w:hAnsi="Times New Roman" w:cs="Times New Roman"/>
          <w:color w:val="000000"/>
        </w:rPr>
        <w:tab/>
        <w:t>En lo que va del año 2021 se contabilizan 14 asesinatos.</w:t>
      </w:r>
    </w:p>
    <w:p w:rsidR="00505D61" w:rsidRDefault="00505D61">
      <w:pPr>
        <w:pStyle w:val="LO-normal1"/>
        <w:spacing w:after="0" w:line="240" w:lineRule="auto"/>
        <w:ind w:left="720"/>
        <w:jc w:val="both"/>
        <w:rPr>
          <w:rFonts w:ascii="Times New Roman" w:eastAsia="Times New Roman" w:hAnsi="Times New Roman" w:cs="Times New Roman"/>
          <w:color w:val="000000"/>
        </w:rPr>
      </w:pPr>
    </w:p>
    <w:p w:rsidR="00505D61" w:rsidRDefault="007F6DAC">
      <w:pPr>
        <w:pStyle w:val="LO-normal1"/>
        <w:numPr>
          <w:ilvl w:val="0"/>
          <w:numId w:val="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El 23 </w:t>
      </w:r>
      <w:r>
        <w:rPr>
          <w:rFonts w:ascii="Times New Roman" w:eastAsia="Times New Roman" w:hAnsi="Times New Roman" w:cs="Times New Roman"/>
          <w:color w:val="000000"/>
        </w:rPr>
        <w:t>de agosto del 2021, durante la preparación del presente informe se recibió información sobre la masacre al menos 1</w:t>
      </w:r>
      <w:r>
        <w:rPr>
          <w:rFonts w:ascii="Times New Roman" w:eastAsia="Times New Roman" w:hAnsi="Times New Roman" w:cs="Times New Roman"/>
        </w:rPr>
        <w:t>3</w:t>
      </w:r>
      <w:r>
        <w:rPr>
          <w:rFonts w:ascii="Times New Roman" w:eastAsia="Times New Roman" w:hAnsi="Times New Roman" w:cs="Times New Roman"/>
          <w:color w:val="000000"/>
        </w:rPr>
        <w:t xml:space="preserve"> indígenas Mayagna y Miskitu, entre ellos mujeres y niños, en el cerro sagrado de Kiwakumbaih —Roca del diablo, en idioma mayangna— y que fue</w:t>
      </w:r>
      <w:r>
        <w:rPr>
          <w:rFonts w:ascii="Times New Roman" w:eastAsia="Times New Roman" w:hAnsi="Times New Roman" w:cs="Times New Roman"/>
          <w:color w:val="000000"/>
        </w:rPr>
        <w:t xml:space="preserve"> ejecutada por “colonos” que invadieron ese territorio indígena. Los colonos torturaron y asesinaron con armas de fuego y machetes,  dejando colgados los cuerpos en un árbol</w:t>
      </w:r>
      <w:r>
        <w:rPr>
          <w:rFonts w:ascii="Times New Roman" w:eastAsia="Times New Roman" w:hAnsi="Times New Roman" w:cs="Times New Roman"/>
        </w:rPr>
        <w:t>.</w:t>
      </w:r>
      <w:r>
        <w:rPr>
          <w:rFonts w:ascii="Times New Roman" w:eastAsia="Times New Roman" w:hAnsi="Times New Roman" w:cs="Times New Roman"/>
          <w:color w:val="000000"/>
        </w:rPr>
        <w:t xml:space="preserve">  una mujer fue violada por al m</w:t>
      </w:r>
      <w:r>
        <w:rPr>
          <w:rFonts w:ascii="Times New Roman" w:eastAsia="Times New Roman" w:hAnsi="Times New Roman" w:cs="Times New Roman"/>
        </w:rPr>
        <w:t xml:space="preserve">enos 20 colonos. </w:t>
      </w:r>
      <w:r>
        <w:rPr>
          <w:rFonts w:ascii="Times New Roman" w:eastAsia="Times New Roman" w:hAnsi="Times New Roman" w:cs="Times New Roman"/>
          <w:color w:val="000000"/>
        </w:rPr>
        <w:t>Una comunitaria fue testigo de la</w:t>
      </w:r>
      <w:r>
        <w:rPr>
          <w:rFonts w:ascii="Times New Roman" w:eastAsia="Times New Roman" w:hAnsi="Times New Roman" w:cs="Times New Roman"/>
          <w:color w:val="000000"/>
        </w:rPr>
        <w:t xml:space="preserve"> masacre, presenció el asesinato de su esposo y sus dos yernos. Luego la soltaron y la dejaron con un mensaje: “Ningún mayangna debe venir aquí porque serán asesinados”</w:t>
      </w:r>
      <w:r>
        <w:rPr>
          <w:rStyle w:val="Ancladenotaalpie"/>
          <w:rFonts w:ascii="Times New Roman" w:eastAsia="Times New Roman" w:hAnsi="Times New Roman" w:cs="Times New Roman"/>
          <w:color w:val="000000"/>
        </w:rPr>
        <w:footnoteReference w:id="16"/>
      </w:r>
      <w:r>
        <w:rPr>
          <w:rFonts w:ascii="Times New Roman" w:eastAsia="Times New Roman" w:hAnsi="Times New Roman" w:cs="Times New Roman"/>
          <w:color w:val="000000"/>
        </w:rPr>
        <w:t>.</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11. </w:t>
      </w:r>
      <w:r>
        <w:rPr>
          <w:rFonts w:ascii="Times New Roman" w:eastAsia="Times New Roman" w:hAnsi="Times New Roman" w:cs="Times New Roman"/>
          <w:color w:val="000000"/>
        </w:rPr>
        <w:tab/>
        <w:t xml:space="preserve">Cabe señalar que estos casos permanecen en la total impunidad, el Estado lejos </w:t>
      </w:r>
      <w:r>
        <w:rPr>
          <w:rFonts w:ascii="Times New Roman" w:eastAsia="Times New Roman" w:hAnsi="Times New Roman" w:cs="Times New Roman"/>
          <w:color w:val="000000"/>
        </w:rPr>
        <w:t>de resolver el problema estructural y cumplir con la legislación vigente, garantizando los derechos de los pueblos indígenas, sostiene que lo que existe en la zona es un conflicto entre particulares con iguales derechos. Inclusive, han motivado a las comun</w:t>
      </w:r>
      <w:r>
        <w:rPr>
          <w:rFonts w:ascii="Times New Roman" w:eastAsia="Times New Roman" w:hAnsi="Times New Roman" w:cs="Times New Roman"/>
          <w:color w:val="000000"/>
        </w:rPr>
        <w:t>idades indígenas aceptar en sus tierras a los colonos, permitir la cohabitación y hasta la venta de tierras comunitarias a terceros, cuando la misma ley prohíbe la venta de las tierras ancestrales. Así lo sostuvo el Estado de Nicaragua durante la audiencia</w:t>
      </w:r>
      <w:r>
        <w:rPr>
          <w:rFonts w:ascii="Times New Roman" w:eastAsia="Times New Roman" w:hAnsi="Times New Roman" w:cs="Times New Roman"/>
          <w:color w:val="000000"/>
        </w:rPr>
        <w:t xml:space="preserve"> pública celebrada </w:t>
      </w:r>
      <w:r>
        <w:rPr>
          <w:rFonts w:ascii="Times New Roman" w:eastAsia="Times New Roman" w:hAnsi="Times New Roman" w:cs="Times New Roman"/>
          <w:color w:val="000000"/>
        </w:rPr>
        <w:lastRenderedPageBreak/>
        <w:t>ante la Corte IDH, cuando afirmó que estaba instando a las comunidades a negociar con los colonos</w:t>
      </w:r>
      <w:r>
        <w:rPr>
          <w:rStyle w:val="Ancladenotaalpie"/>
          <w:rFonts w:ascii="Times New Roman" w:eastAsia="Times New Roman" w:hAnsi="Times New Roman" w:cs="Times New Roman"/>
          <w:color w:val="000000"/>
        </w:rPr>
        <w:footnoteReference w:id="17"/>
      </w:r>
      <w:r>
        <w:rPr>
          <w:rFonts w:ascii="Times New Roman" w:eastAsia="Times New Roman" w:hAnsi="Times New Roman" w:cs="Times New Roman"/>
        </w:rPr>
        <w:t>. Tanto</w:t>
      </w:r>
      <w:r>
        <w:rPr>
          <w:rFonts w:ascii="Times New Roman" w:eastAsia="Times New Roman" w:hAnsi="Times New Roman" w:cs="Times New Roman"/>
          <w:color w:val="000000"/>
        </w:rPr>
        <w:t xml:space="preserve"> la imposición de autoridades por parte del Gobierno Regional y Central como la suspensión de la etapa de saneamiento y la presencia</w:t>
      </w:r>
      <w:r>
        <w:rPr>
          <w:rFonts w:ascii="Times New Roman" w:eastAsia="Times New Roman" w:hAnsi="Times New Roman" w:cs="Times New Roman"/>
          <w:color w:val="000000"/>
        </w:rPr>
        <w:t xml:space="preserve"> de colonos en los territorios, constituyen factores que limitan el derecho a la libre determinación de las comunidades e impiden el reconocimiento de sus derechos colectivos y territoriales. </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12. </w:t>
      </w:r>
      <w:r>
        <w:rPr>
          <w:rFonts w:ascii="Times New Roman" w:eastAsia="Times New Roman" w:hAnsi="Times New Roman" w:cs="Times New Roman"/>
          <w:color w:val="000000"/>
        </w:rPr>
        <w:tab/>
        <w:t xml:space="preserve">De lo anterior se derivan diversas graves afectaciones a </w:t>
      </w:r>
      <w:r>
        <w:rPr>
          <w:rFonts w:ascii="Times New Roman" w:eastAsia="Times New Roman" w:hAnsi="Times New Roman" w:cs="Times New Roman"/>
          <w:color w:val="000000"/>
        </w:rPr>
        <w:t xml:space="preserve">los DESC. En primer lugar, propician la incertidumbre en la población que vive en constante tensión, porque no saben cuándo y dónde será el siguiente ataque, lo que determina un ambiente de inseguridad colectiva e individual, afectando especialmente a las </w:t>
      </w:r>
      <w:r>
        <w:rPr>
          <w:rFonts w:ascii="Times New Roman" w:eastAsia="Times New Roman" w:hAnsi="Times New Roman" w:cs="Times New Roman"/>
          <w:color w:val="000000"/>
        </w:rPr>
        <w:t>mujeres y la niñez. En segundo lugar, ha agravado la falta de alimentos por la pérdida del control de sus territorios y los recursos productivos que disponen; la economía familiar adquiere una buena parte de alimentos y bienes de consumo, de las actividade</w:t>
      </w:r>
      <w:r>
        <w:rPr>
          <w:rFonts w:ascii="Times New Roman" w:eastAsia="Times New Roman" w:hAnsi="Times New Roman" w:cs="Times New Roman"/>
          <w:color w:val="000000"/>
        </w:rPr>
        <w:t>s de caza, pesca y agricultura que ahora se han visto afectadas por la inseguridad que enfrentan</w:t>
      </w:r>
      <w:r>
        <w:rPr>
          <w:rStyle w:val="Ancladenotaalpie"/>
          <w:rFonts w:ascii="Times New Roman" w:eastAsia="Times New Roman" w:hAnsi="Times New Roman" w:cs="Times New Roman"/>
          <w:color w:val="000000"/>
        </w:rPr>
        <w:footnoteReference w:id="18"/>
      </w:r>
      <w:r>
        <w:rPr>
          <w:rFonts w:ascii="Times New Roman" w:eastAsia="Times New Roman" w:hAnsi="Times New Roman" w:cs="Times New Roman"/>
          <w:color w:val="000000"/>
        </w:rPr>
        <w:t>. Líderes consultados para el presente diagnóstico, manifiestan que los colonos han destruido parcelas con la cosecha de frijoles, maíz y arroz y han matado an</w:t>
      </w:r>
      <w:r>
        <w:rPr>
          <w:rFonts w:ascii="Times New Roman" w:eastAsia="Times New Roman" w:hAnsi="Times New Roman" w:cs="Times New Roman"/>
          <w:color w:val="000000"/>
        </w:rPr>
        <w:t>imales para consumo especialmente cerdos y aves, lo que agudiza la carencia de alimentos para las familias. Esta situación incide para que, en la actualidad, la siembra de cultivos se haga en tierras cercanas a las comunidades que no cuentan con la fertili</w:t>
      </w:r>
      <w:r>
        <w:rPr>
          <w:rFonts w:ascii="Times New Roman" w:eastAsia="Times New Roman" w:hAnsi="Times New Roman" w:cs="Times New Roman"/>
          <w:color w:val="000000"/>
        </w:rPr>
        <w:t>dad requerida y agrava la inseguridad alimentaria que enfrentan. Esta situación es más grave para pobladores que han tenido que desplazarse de sus comunidades hacia otras (Polo Paiwas</w:t>
      </w:r>
      <w:r>
        <w:rPr>
          <w:rStyle w:val="Ancladenotaalpie"/>
          <w:rFonts w:ascii="Times New Roman" w:eastAsia="Times New Roman" w:hAnsi="Times New Roman" w:cs="Times New Roman"/>
          <w:color w:val="000000"/>
        </w:rPr>
        <w:footnoteReference w:id="19"/>
      </w:r>
      <w:r>
        <w:rPr>
          <w:rFonts w:ascii="Times New Roman" w:eastAsia="Times New Roman" w:hAnsi="Times New Roman" w:cs="Times New Roman"/>
          <w:color w:val="000000"/>
        </w:rPr>
        <w:t xml:space="preserve">, Klisnak, Sagny Laya, entre otras) porque la disponibilidad de tierras </w:t>
      </w:r>
      <w:r>
        <w:rPr>
          <w:rFonts w:ascii="Times New Roman" w:eastAsia="Times New Roman" w:hAnsi="Times New Roman" w:cs="Times New Roman"/>
          <w:color w:val="000000"/>
        </w:rPr>
        <w:t>es menor y no cuentan con los medios productivos suficientes para reactivar la producción agropecuaria en pequeña escala.</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b/>
          <w:color w:val="002060"/>
        </w:rPr>
      </w:pPr>
      <w:r>
        <w:rPr>
          <w:rFonts w:ascii="Times New Roman" w:eastAsia="Times New Roman" w:hAnsi="Times New Roman" w:cs="Times New Roman"/>
          <w:b/>
          <w:color w:val="002060"/>
        </w:rPr>
        <w:t xml:space="preserve">IV. </w:t>
      </w:r>
      <w:r>
        <w:rPr>
          <w:rFonts w:ascii="Times New Roman" w:eastAsia="Times New Roman" w:hAnsi="Times New Roman" w:cs="Times New Roman"/>
          <w:b/>
          <w:color w:val="002060"/>
        </w:rPr>
        <w:tab/>
        <w:t>DERECHOS ESPECÍFICOS DEL PACTO</w:t>
      </w:r>
    </w:p>
    <w:p w:rsidR="00505D61" w:rsidRDefault="00505D61">
      <w:pPr>
        <w:pStyle w:val="LO-normal1"/>
        <w:spacing w:after="0" w:line="240" w:lineRule="auto"/>
        <w:jc w:val="both"/>
        <w:rPr>
          <w:rFonts w:ascii="Times New Roman" w:eastAsia="Times New Roman" w:hAnsi="Times New Roman" w:cs="Times New Roman"/>
          <w:b/>
          <w:color w:val="002060"/>
        </w:rPr>
      </w:pPr>
    </w:p>
    <w:p w:rsidR="00505D61" w:rsidRDefault="007F6DAC">
      <w:pPr>
        <w:pStyle w:val="LO-normal1"/>
        <w:spacing w:after="0" w:line="240" w:lineRule="auto"/>
        <w:jc w:val="both"/>
        <w:rPr>
          <w:rFonts w:ascii="Times New Roman" w:eastAsia="Times New Roman" w:hAnsi="Times New Roman" w:cs="Times New Roman"/>
          <w:b/>
          <w:color w:val="002060"/>
        </w:rPr>
      </w:pPr>
      <w:r>
        <w:rPr>
          <w:rFonts w:ascii="Times New Roman" w:eastAsia="Times New Roman" w:hAnsi="Times New Roman" w:cs="Times New Roman"/>
          <w:b/>
          <w:color w:val="002060"/>
        </w:rPr>
        <w:t>DERECHO AL TRABAJO (ARTOS. 6 Y 7)</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13.</w:t>
      </w:r>
      <w:r>
        <w:rPr>
          <w:rFonts w:ascii="Times New Roman" w:eastAsia="Times New Roman" w:hAnsi="Times New Roman" w:cs="Times New Roman"/>
          <w:color w:val="000000"/>
        </w:rPr>
        <w:tab/>
        <w:t xml:space="preserve">En las comunidades indígenas los 8 territorios indígenas </w:t>
      </w:r>
      <w:r>
        <w:rPr>
          <w:rFonts w:ascii="Times New Roman" w:eastAsia="Times New Roman" w:hAnsi="Times New Roman" w:cs="Times New Roman"/>
          <w:color w:val="000000"/>
        </w:rPr>
        <w:t>vinculados a este informe,  la mayor parte de la población trabaja por cuenta propia (empleo informal), principalmente en la actividad agrícola – producción de granos básicos, tubérculos, musáceas – la pesca artesanal</w:t>
      </w:r>
      <w:r>
        <w:rPr>
          <w:rStyle w:val="Ancladenotaalpie"/>
          <w:rFonts w:ascii="Times New Roman" w:eastAsia="Times New Roman" w:hAnsi="Times New Roman" w:cs="Times New Roman"/>
          <w:color w:val="000000"/>
        </w:rPr>
        <w:footnoteReference w:id="20"/>
      </w:r>
      <w:r>
        <w:rPr>
          <w:rFonts w:ascii="Times New Roman" w:eastAsia="Times New Roman" w:hAnsi="Times New Roman" w:cs="Times New Roman"/>
          <w:color w:val="000000"/>
        </w:rPr>
        <w:t xml:space="preserve">, la güirisería (extracción artesanal </w:t>
      </w:r>
      <w:r>
        <w:rPr>
          <w:rFonts w:ascii="Times New Roman" w:eastAsia="Times New Roman" w:hAnsi="Times New Roman" w:cs="Times New Roman"/>
          <w:color w:val="000000"/>
        </w:rPr>
        <w:t xml:space="preserve">de oro), la venta de madera, la venta de arena de río, de piedra bolón, venta de carbón, entre otras. </w:t>
      </w:r>
    </w:p>
    <w:p w:rsidR="00505D61" w:rsidRDefault="00505D61">
      <w:pPr>
        <w:pStyle w:val="LO-normal1"/>
        <w:spacing w:after="0" w:line="240" w:lineRule="auto"/>
        <w:ind w:left="720"/>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14.</w:t>
      </w:r>
      <w:r>
        <w:rPr>
          <w:rFonts w:ascii="Times New Roman" w:eastAsia="Times New Roman" w:hAnsi="Times New Roman" w:cs="Times New Roman"/>
          <w:color w:val="000000"/>
        </w:rPr>
        <w:tab/>
        <w:t>En las comunidades indígenas prevalece en el empleo informal, el sub-empleo y trabajadores sin salario</w:t>
      </w:r>
      <w:r>
        <w:rPr>
          <w:rStyle w:val="Ancladenotaalpie"/>
          <w:rFonts w:ascii="Times New Roman" w:eastAsia="Times New Roman" w:hAnsi="Times New Roman" w:cs="Times New Roman"/>
          <w:color w:val="000000"/>
        </w:rPr>
        <w:footnoteReference w:id="21"/>
      </w:r>
      <w:r>
        <w:rPr>
          <w:rFonts w:ascii="Times New Roman" w:eastAsia="Times New Roman" w:hAnsi="Times New Roman" w:cs="Times New Roman"/>
          <w:color w:val="000000"/>
        </w:rPr>
        <w:t>, afectando a todas las personas en edad de l</w:t>
      </w:r>
      <w:r>
        <w:rPr>
          <w:rFonts w:ascii="Times New Roman" w:eastAsia="Times New Roman" w:hAnsi="Times New Roman" w:cs="Times New Roman"/>
          <w:color w:val="000000"/>
        </w:rPr>
        <w:t>aboral especialmente a las mujeres</w:t>
      </w:r>
      <w:r>
        <w:rPr>
          <w:rStyle w:val="Ancladenotaalpie"/>
          <w:rFonts w:ascii="Times New Roman" w:eastAsia="Times New Roman" w:hAnsi="Times New Roman" w:cs="Times New Roman"/>
          <w:color w:val="000000"/>
        </w:rPr>
        <w:footnoteReference w:id="22"/>
      </w:r>
      <w:r>
        <w:rPr>
          <w:rFonts w:ascii="Times New Roman" w:eastAsia="Times New Roman" w:hAnsi="Times New Roman" w:cs="Times New Roman"/>
          <w:color w:val="000000"/>
        </w:rPr>
        <w:t>. Según el testimonio de los participantes en la consulta, los empleos formales que existen en las comunidades son los que corresponden a trabajadores del sector público en áreas de educación y salud, siendo estas las úni</w:t>
      </w:r>
      <w:r>
        <w:rPr>
          <w:rFonts w:ascii="Times New Roman" w:eastAsia="Times New Roman" w:hAnsi="Times New Roman" w:cs="Times New Roman"/>
          <w:color w:val="000000"/>
        </w:rPr>
        <w:t xml:space="preserve">cas personas que gozan de seguridad social como maestros y personal médico (sobre todo enfermeras y auxiliares de enfermería) cuya labor se desarrolla directamente en las comunidades. </w:t>
      </w:r>
    </w:p>
    <w:p w:rsidR="00505D61" w:rsidRDefault="00505D61">
      <w:pPr>
        <w:pStyle w:val="LO-normal1"/>
        <w:spacing w:after="0" w:line="240" w:lineRule="auto"/>
        <w:ind w:left="720"/>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15.</w:t>
      </w:r>
      <w:r>
        <w:rPr>
          <w:rFonts w:ascii="Times New Roman" w:eastAsia="Times New Roman" w:hAnsi="Times New Roman" w:cs="Times New Roman"/>
          <w:color w:val="000000"/>
        </w:rPr>
        <w:tab/>
        <w:t>Existe un reducido sector dedicado al empleo formal en las institu</w:t>
      </w:r>
      <w:r>
        <w:rPr>
          <w:rFonts w:ascii="Times New Roman" w:eastAsia="Times New Roman" w:hAnsi="Times New Roman" w:cs="Times New Roman"/>
          <w:color w:val="000000"/>
        </w:rPr>
        <w:t>ciones de gobierno, organizaciones no gubernamentales, empresas privadas, pero están ubicadas en las cabeceras municipales especialmente en la ciudad de Bilwi, Waspam, Rosita y Prinzapolka. De igual forma, en ninguno de los 8 territorios existe organizació</w:t>
      </w:r>
      <w:r>
        <w:rPr>
          <w:rFonts w:ascii="Times New Roman" w:eastAsia="Times New Roman" w:hAnsi="Times New Roman" w:cs="Times New Roman"/>
          <w:color w:val="000000"/>
        </w:rPr>
        <w:t>n sindical debido a que la mayoría de las personas ocupadas laboran por cuenta propia (sector informal). En el caso de los trabajadores del Ministerio de Salud (MINSA) y Ministerio de Educación (MINED), así como de otras instituciones del estado (alcaldías</w:t>
      </w:r>
      <w:r>
        <w:rPr>
          <w:rFonts w:ascii="Times New Roman" w:eastAsia="Times New Roman" w:hAnsi="Times New Roman" w:cs="Times New Roman"/>
          <w:color w:val="000000"/>
        </w:rPr>
        <w:t>, delegaciones ministeriales) están organizados en sindicatos nacionales</w:t>
      </w:r>
      <w:r>
        <w:rPr>
          <w:rStyle w:val="Ancladenotaalpie"/>
          <w:rFonts w:ascii="Times New Roman" w:eastAsia="Times New Roman" w:hAnsi="Times New Roman" w:cs="Times New Roman"/>
          <w:color w:val="000000"/>
        </w:rPr>
        <w:footnoteReference w:id="23"/>
      </w:r>
      <w:r>
        <w:rPr>
          <w:rFonts w:ascii="Times New Roman" w:eastAsia="Times New Roman" w:hAnsi="Times New Roman" w:cs="Times New Roman"/>
          <w:color w:val="000000"/>
        </w:rPr>
        <w:t xml:space="preserve"> que carecen de autonomía ya que sus principales dirigentes son diputados por el partido de gobierno e impulsan leyes que atentan contra los derechos de los trabajadores y no tienen m</w:t>
      </w:r>
      <w:r>
        <w:rPr>
          <w:rFonts w:ascii="Times New Roman" w:eastAsia="Times New Roman" w:hAnsi="Times New Roman" w:cs="Times New Roman"/>
          <w:color w:val="000000"/>
        </w:rPr>
        <w:t>ás opciones que acatar lo que le ordena el partido de gobierno.</w:t>
      </w:r>
    </w:p>
    <w:p w:rsidR="00505D61" w:rsidRDefault="00505D61">
      <w:pPr>
        <w:pStyle w:val="LO-normal1"/>
        <w:spacing w:after="0" w:line="240" w:lineRule="auto"/>
        <w:ind w:left="720"/>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16. </w:t>
      </w:r>
      <w:r>
        <w:rPr>
          <w:rFonts w:ascii="Times New Roman" w:eastAsia="Times New Roman" w:hAnsi="Times New Roman" w:cs="Times New Roman"/>
          <w:color w:val="000000"/>
        </w:rPr>
        <w:tab/>
        <w:t>Cabe señalar que el empleo formal a las que tenían acceso los jóvenes y profesionales indígenas en las organizaciones no gubernamentales se vieron afectadas con el cierre masivo de organ</w:t>
      </w:r>
      <w:r>
        <w:rPr>
          <w:rFonts w:ascii="Times New Roman" w:eastAsia="Times New Roman" w:hAnsi="Times New Roman" w:cs="Times New Roman"/>
          <w:color w:val="000000"/>
        </w:rPr>
        <w:t>ismos internacionales dedicados a la cooperación internacional y el desarrollo en las comunidades indígenas y en la región de la Costa Caribe. Solo en los meses de julio y agosto de 2021, el Gobierno canceló la personería jurídica a 44 organizaciones no gu</w:t>
      </w:r>
      <w:r>
        <w:rPr>
          <w:rFonts w:ascii="Times New Roman" w:eastAsia="Times New Roman" w:hAnsi="Times New Roman" w:cs="Times New Roman"/>
          <w:color w:val="000000"/>
        </w:rPr>
        <w:t>bernamentales, entre ellos 6 organizaciones internacionales</w:t>
      </w:r>
      <w:r>
        <w:rPr>
          <w:rStyle w:val="Ancladenotaalpie"/>
          <w:rFonts w:ascii="Times New Roman" w:eastAsia="Times New Roman" w:hAnsi="Times New Roman" w:cs="Times New Roman"/>
          <w:color w:val="000000"/>
        </w:rPr>
        <w:footnoteReference w:id="24"/>
      </w:r>
      <w:r>
        <w:rPr>
          <w:rFonts w:ascii="Times New Roman" w:eastAsia="Times New Roman" w:hAnsi="Times New Roman" w:cs="Times New Roman"/>
          <w:color w:val="000000"/>
        </w:rPr>
        <w:t xml:space="preserve"> que han colaborado en el desarrollo DESC en las comunidades indígenas y afrodescendientes en la Costa Caribe, en ayuda humanitaria, derechos humanos, producción agroecológica y protección del med</w:t>
      </w:r>
      <w:r>
        <w:rPr>
          <w:rFonts w:ascii="Times New Roman" w:eastAsia="Times New Roman" w:hAnsi="Times New Roman" w:cs="Times New Roman"/>
          <w:color w:val="000000"/>
        </w:rPr>
        <w:t>io ambiente, lucha contra la pobreza entre otras.</w:t>
      </w:r>
    </w:p>
    <w:p w:rsidR="00505D61" w:rsidRDefault="00505D61">
      <w:pPr>
        <w:pStyle w:val="LO-normal1"/>
        <w:spacing w:after="0" w:line="240" w:lineRule="auto"/>
        <w:jc w:val="both"/>
        <w:rPr>
          <w:rFonts w:ascii="Times New Roman" w:eastAsia="Times New Roman" w:hAnsi="Times New Roman" w:cs="Times New Roman"/>
          <w:b/>
          <w:color w:val="002060"/>
        </w:rPr>
      </w:pPr>
    </w:p>
    <w:p w:rsidR="00505D61" w:rsidRDefault="007F6DAC">
      <w:pPr>
        <w:pStyle w:val="LO-normal1"/>
        <w:spacing w:after="0" w:line="240" w:lineRule="auto"/>
        <w:jc w:val="both"/>
        <w:rPr>
          <w:rFonts w:ascii="Times New Roman" w:eastAsia="Times New Roman" w:hAnsi="Times New Roman" w:cs="Times New Roman"/>
          <w:b/>
          <w:color w:val="002060"/>
        </w:rPr>
      </w:pPr>
      <w:r>
        <w:rPr>
          <w:rFonts w:ascii="Times New Roman" w:eastAsia="Times New Roman" w:hAnsi="Times New Roman" w:cs="Times New Roman"/>
          <w:b/>
          <w:color w:val="002060"/>
        </w:rPr>
        <w:t>SITUACIÓN DEL DERECHO A LA SALUD ADECUADA (ART. 12)</w:t>
      </w:r>
    </w:p>
    <w:p w:rsidR="00505D61" w:rsidRDefault="00505D61">
      <w:pPr>
        <w:pStyle w:val="LO-normal1"/>
        <w:spacing w:after="0" w:line="240" w:lineRule="auto"/>
        <w:ind w:left="720"/>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17.</w:t>
      </w:r>
      <w:r>
        <w:rPr>
          <w:rFonts w:ascii="Times New Roman" w:eastAsia="Times New Roman" w:hAnsi="Times New Roman" w:cs="Times New Roman"/>
          <w:color w:val="000000"/>
        </w:rPr>
        <w:tab/>
        <w:t>Los principales indicadores de salud que miden los efectos positivos del esfuerzo que realiza el sistema de salud muestran brechas importantes en la</w:t>
      </w:r>
      <w:r>
        <w:rPr>
          <w:rFonts w:ascii="Times New Roman" w:eastAsia="Times New Roman" w:hAnsi="Times New Roman" w:cs="Times New Roman"/>
          <w:color w:val="000000"/>
        </w:rPr>
        <w:t xml:space="preserve"> RACCN en relación al promedio nacional, lo que indica la necesidad de mejorar el trabajo que se realiza. Presentamos los datos de la Encuesta Demográfica y de Salud (ENDESA) 2011 – 2012 (la última realizada en el país), para evidenciar que no existe ningu</w:t>
      </w:r>
      <w:r>
        <w:rPr>
          <w:rFonts w:ascii="Times New Roman" w:eastAsia="Times New Roman" w:hAnsi="Times New Roman" w:cs="Times New Roman"/>
          <w:color w:val="000000"/>
        </w:rPr>
        <w:t>na voluntad de actualizar estos datos. No obstante el comportamiento es la siguiente: (i) la Tasa de mortalidad en la niñez hasta los 5 años en la RACCN es de 41% y a nivel nacional, de 25%; (ii) porcentaje de niñez que completaron esquema de vacunación en</w:t>
      </w:r>
      <w:r>
        <w:rPr>
          <w:rFonts w:ascii="Times New Roman" w:eastAsia="Times New Roman" w:hAnsi="Times New Roman" w:cs="Times New Roman"/>
          <w:color w:val="000000"/>
        </w:rPr>
        <w:t xml:space="preserve"> la RACCN es del 60% y a nivel nacional, de 81.4%; (iii) porcentaje de partos institucionalizados en la RACCN es de 64.5% y a nivel nacional del 88%. Aunque son datos de al menos 8 años atrás, muestran las brechas existentes, las que se incrementan especia</w:t>
      </w:r>
      <w:r>
        <w:rPr>
          <w:rFonts w:ascii="Times New Roman" w:eastAsia="Times New Roman" w:hAnsi="Times New Roman" w:cs="Times New Roman"/>
          <w:color w:val="000000"/>
        </w:rPr>
        <w:t>lmente en las comunidades indígenas.</w:t>
      </w:r>
    </w:p>
    <w:p w:rsidR="00505D61" w:rsidRDefault="00505D61">
      <w:pPr>
        <w:pStyle w:val="LO-normal1"/>
        <w:spacing w:after="0" w:line="240" w:lineRule="auto"/>
        <w:ind w:left="720"/>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18.</w:t>
      </w:r>
      <w:r>
        <w:rPr>
          <w:rFonts w:ascii="Times New Roman" w:eastAsia="Times New Roman" w:hAnsi="Times New Roman" w:cs="Times New Roman"/>
          <w:color w:val="000000"/>
        </w:rPr>
        <w:tab/>
        <w:t>Cabe señalar que la atención médica en las 51 comunidades de los 8 territorios consultados, está bajo la responsabilidad de 46 puestos de salud</w:t>
      </w:r>
      <w:r>
        <w:rPr>
          <w:rStyle w:val="Ancladenotaalpie"/>
          <w:rFonts w:ascii="Times New Roman" w:eastAsia="Times New Roman" w:hAnsi="Times New Roman" w:cs="Times New Roman"/>
          <w:color w:val="000000"/>
        </w:rPr>
        <w:footnoteReference w:id="25"/>
      </w:r>
      <w:r>
        <w:rPr>
          <w:rFonts w:ascii="Times New Roman" w:eastAsia="Times New Roman" w:hAnsi="Times New Roman" w:cs="Times New Roman"/>
          <w:color w:val="000000"/>
        </w:rPr>
        <w:t xml:space="preserve"> (Mapa de Salud de Nicaragua, MINSA, febrero 2021), y la misma muestra</w:t>
      </w:r>
      <w:r>
        <w:rPr>
          <w:rFonts w:ascii="Times New Roman" w:eastAsia="Times New Roman" w:hAnsi="Times New Roman" w:cs="Times New Roman"/>
          <w:color w:val="000000"/>
        </w:rPr>
        <w:t xml:space="preserve"> serias limitaciones. En primer lugar, todos los puestos – con excepción de 1 de ellos (comunidad Sisín, territorio Twi Yahbra) – son atendidos por enfermeras (particularmente auxiliar de enfermería), lo que limita el nivel de resolución ante cierto tipo d</w:t>
      </w:r>
      <w:r>
        <w:rPr>
          <w:rFonts w:ascii="Times New Roman" w:eastAsia="Times New Roman" w:hAnsi="Times New Roman" w:cs="Times New Roman"/>
          <w:color w:val="000000"/>
        </w:rPr>
        <w:t>e enfermedades. En segundo lugar, la disponibilidad de medicamentos es reducida y poco variada, concentrándose en enfermedades básicas (respiratorias, diarreas) dejando por fuera otro tipo de padecimiento. En tercer lugar, desde un puesto de salud se atien</w:t>
      </w:r>
      <w:r>
        <w:rPr>
          <w:rFonts w:ascii="Times New Roman" w:eastAsia="Times New Roman" w:hAnsi="Times New Roman" w:cs="Times New Roman"/>
          <w:color w:val="000000"/>
        </w:rPr>
        <w:t xml:space="preserve">de a varias comunidades, lo que sobrecarga el tiempo del personal médico ya que deben visitar estas otras localidades, dejando sin atención el puesto de salud hasta que regresan. </w:t>
      </w:r>
    </w:p>
    <w:p w:rsidR="00505D61" w:rsidRDefault="00505D61">
      <w:pPr>
        <w:pStyle w:val="LO-normal1"/>
        <w:spacing w:after="0" w:line="240" w:lineRule="auto"/>
        <w:ind w:left="720"/>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19. </w:t>
      </w:r>
      <w:r>
        <w:rPr>
          <w:rFonts w:ascii="Times New Roman" w:eastAsia="Times New Roman" w:hAnsi="Times New Roman" w:cs="Times New Roman"/>
          <w:color w:val="000000"/>
        </w:rPr>
        <w:tab/>
        <w:t xml:space="preserve">Para solventar esta limitante, el MINSA organiza las denominadas </w:t>
      </w:r>
      <w:r>
        <w:rPr>
          <w:rFonts w:ascii="Times New Roman" w:eastAsia="Times New Roman" w:hAnsi="Times New Roman" w:cs="Times New Roman"/>
          <w:color w:val="000000"/>
        </w:rPr>
        <w:t>brigadas de salud, que cada cierto tiempo (por lo general cada dos meses) visitan las comunidades brindando consultas médicas especializadas. Sin embargo, esta modalidad no permite el acceso permanente y de calidad de la población ya que más consultas no s</w:t>
      </w:r>
      <w:r>
        <w:rPr>
          <w:rFonts w:ascii="Times New Roman" w:eastAsia="Times New Roman" w:hAnsi="Times New Roman" w:cs="Times New Roman"/>
          <w:color w:val="000000"/>
        </w:rPr>
        <w:t>ignifican mejor salud y por el contrario, denotan el deterioro de la misma por la falta de servicios constantes. Además, las brigadas médicas son utilizadas para realizar propaganda partidaria al promover el mensaje, que se trata de un servicio proporciona</w:t>
      </w:r>
      <w:r>
        <w:rPr>
          <w:rFonts w:ascii="Times New Roman" w:eastAsia="Times New Roman" w:hAnsi="Times New Roman" w:cs="Times New Roman"/>
          <w:color w:val="000000"/>
        </w:rPr>
        <w:t>do por el presidente y la vicepresidente de la República cuando es una asistencia obligatoria de parte del estado y un derecho de la población.</w:t>
      </w:r>
    </w:p>
    <w:p w:rsidR="00505D61" w:rsidRDefault="00505D61">
      <w:pPr>
        <w:pStyle w:val="LO-normal1"/>
        <w:spacing w:after="0" w:line="240" w:lineRule="auto"/>
        <w:ind w:left="720"/>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20.</w:t>
      </w:r>
      <w:r>
        <w:rPr>
          <w:rFonts w:ascii="Times New Roman" w:eastAsia="Times New Roman" w:hAnsi="Times New Roman" w:cs="Times New Roman"/>
          <w:color w:val="000000"/>
        </w:rPr>
        <w:tab/>
        <w:t xml:space="preserve">Los servicios de salud continúan siendo insuficientes en los 8 territorios y no se observan acciones en el </w:t>
      </w:r>
      <w:r>
        <w:rPr>
          <w:rFonts w:ascii="Times New Roman" w:eastAsia="Times New Roman" w:hAnsi="Times New Roman" w:cs="Times New Roman"/>
          <w:color w:val="000000"/>
        </w:rPr>
        <w:t>corto y mediano plazo que reviertan esta situación. La población que enfrenta alguna discapacidad (físico motora, intelectual, visual, auditiva, psico social, otras) no cuenta con la atención requerida según su padecimiento debido a las carencias que el si</w:t>
      </w:r>
      <w:r>
        <w:rPr>
          <w:rFonts w:ascii="Times New Roman" w:eastAsia="Times New Roman" w:hAnsi="Times New Roman" w:cs="Times New Roman"/>
          <w:color w:val="000000"/>
        </w:rPr>
        <w:t xml:space="preserve">stema de salud ofrece en las 22 comunidades. Cuando se requiere deben trasladarse hasta Bilwi a recibir tratamientos específicos según su condición de discapacidad. Esta situación vulnera los derechos establecidos en la Convención </w:t>
      </w:r>
      <w:r>
        <w:rPr>
          <w:rFonts w:ascii="Times New Roman" w:eastAsia="Times New Roman" w:hAnsi="Times New Roman" w:cs="Times New Roman"/>
          <w:color w:val="000000"/>
        </w:rPr>
        <w:lastRenderedPageBreak/>
        <w:t>Internacional sobre los D</w:t>
      </w:r>
      <w:r>
        <w:rPr>
          <w:rFonts w:ascii="Times New Roman" w:eastAsia="Times New Roman" w:hAnsi="Times New Roman" w:cs="Times New Roman"/>
          <w:color w:val="000000"/>
        </w:rPr>
        <w:t>erechos de las Personas con Discapacidad la cual constituye un instrumento internacional destinada a proteger los derechos y la dignidad de las personas con discapacidad</w:t>
      </w:r>
      <w:r>
        <w:rPr>
          <w:rStyle w:val="Ancladenotaalpie"/>
          <w:rFonts w:ascii="Times New Roman" w:eastAsia="Times New Roman" w:hAnsi="Times New Roman" w:cs="Times New Roman"/>
          <w:color w:val="000000"/>
        </w:rPr>
        <w:footnoteReference w:id="26"/>
      </w:r>
      <w:r>
        <w:rPr>
          <w:rFonts w:ascii="Times New Roman" w:eastAsia="Times New Roman" w:hAnsi="Times New Roman" w:cs="Times New Roman"/>
          <w:color w:val="000000"/>
        </w:rPr>
        <w:t>.</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23. </w:t>
      </w:r>
      <w:r>
        <w:rPr>
          <w:rFonts w:ascii="Times New Roman" w:eastAsia="Times New Roman" w:hAnsi="Times New Roman" w:cs="Times New Roman"/>
          <w:color w:val="000000"/>
        </w:rPr>
        <w:tab/>
        <w:t>Los efectos de la pandemia del COVID-19 en las comunidades indígenas y afro de</w:t>
      </w:r>
      <w:r>
        <w:rPr>
          <w:rFonts w:ascii="Times New Roman" w:eastAsia="Times New Roman" w:hAnsi="Times New Roman" w:cs="Times New Roman"/>
          <w:color w:val="000000"/>
        </w:rPr>
        <w:t>scendientes, han sido desoladores. El ocultamiento y la falta de una política de prevención, afecta particularmente a las mujeres indígenas y otros grupos vulnerables, pese a que las comunidades decidieron decretar auto cuarentena y tratamiento con medicin</w:t>
      </w:r>
      <w:r>
        <w:rPr>
          <w:rFonts w:ascii="Times New Roman" w:eastAsia="Times New Roman" w:hAnsi="Times New Roman" w:cs="Times New Roman"/>
          <w:color w:val="000000"/>
        </w:rPr>
        <w:t xml:space="preserve">a tradicional. Cabe señalar que en la Costa Caribe los primeros casos de Covid-19 se presentaron en el mes de mayo del 2020 y con ello las primeras muertes. </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24. </w:t>
      </w:r>
      <w:r>
        <w:rPr>
          <w:rFonts w:ascii="Times New Roman" w:eastAsia="Times New Roman" w:hAnsi="Times New Roman" w:cs="Times New Roman"/>
          <w:color w:val="000000"/>
        </w:rPr>
        <w:tab/>
        <w:t>Hasta el 21 de julio del 2021, la organización no gubernamental Observatorio Ciudadano Covid</w:t>
      </w:r>
      <w:r>
        <w:rPr>
          <w:rFonts w:ascii="Times New Roman" w:eastAsia="Times New Roman" w:hAnsi="Times New Roman" w:cs="Times New Roman"/>
          <w:color w:val="000000"/>
        </w:rPr>
        <w:t>-19, Nicaragua, registra 19,743 casos sospechosos de contagio de los cuales el gobierno registra solo 7044 casos</w:t>
      </w:r>
      <w:r>
        <w:rPr>
          <w:rStyle w:val="Ancladenotaalpie"/>
          <w:rFonts w:ascii="Times New Roman" w:eastAsia="Times New Roman" w:hAnsi="Times New Roman" w:cs="Times New Roman"/>
          <w:color w:val="000000"/>
        </w:rPr>
        <w:footnoteReference w:id="27"/>
      </w:r>
      <w:r>
        <w:rPr>
          <w:rFonts w:ascii="Times New Roman" w:eastAsia="Times New Roman" w:hAnsi="Times New Roman" w:cs="Times New Roman"/>
          <w:color w:val="000000"/>
        </w:rPr>
        <w:t>. En la zona de la Costa Caribe donde habitan los pueblos indígenas y afrodescendientes se han registrado de un total de 590 casos, 193 muertes</w:t>
      </w:r>
      <w:r>
        <w:rPr>
          <w:rStyle w:val="Ancladenotaalpie"/>
          <w:rFonts w:ascii="Times New Roman" w:eastAsia="Times New Roman" w:hAnsi="Times New Roman" w:cs="Times New Roman"/>
          <w:color w:val="000000"/>
        </w:rPr>
        <w:footnoteReference w:id="28"/>
      </w:r>
      <w:r>
        <w:rPr>
          <w:rFonts w:ascii="Times New Roman" w:eastAsia="Times New Roman" w:hAnsi="Times New Roman" w:cs="Times New Roman"/>
          <w:color w:val="000000"/>
        </w:rPr>
        <w:t>. No obstante, estas cifras distan de la realidad puesto que la situación de las comunidades indígenas y afrodescendientes más alejadas está sub registradas o simplemente no registradas por falta de información.</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b/>
          <w:color w:val="002060"/>
        </w:rPr>
      </w:pPr>
      <w:r>
        <w:rPr>
          <w:rFonts w:ascii="Times New Roman" w:eastAsia="Times New Roman" w:hAnsi="Times New Roman" w:cs="Times New Roman"/>
          <w:b/>
          <w:color w:val="002060"/>
        </w:rPr>
        <w:t>DESNUTRICIÓN Y GRUPOS EN SITUACIÓN DE VUL</w:t>
      </w:r>
      <w:r>
        <w:rPr>
          <w:rFonts w:ascii="Times New Roman" w:eastAsia="Times New Roman" w:hAnsi="Times New Roman" w:cs="Times New Roman"/>
          <w:b/>
          <w:color w:val="002060"/>
        </w:rPr>
        <w:t>NERABILIDAD EN LAS COMUNIDADES  (ARTS.13 )</w:t>
      </w:r>
    </w:p>
    <w:p w:rsidR="00505D61" w:rsidRDefault="00505D61">
      <w:pPr>
        <w:pStyle w:val="LO-normal1"/>
        <w:spacing w:after="0" w:line="240" w:lineRule="auto"/>
        <w:ind w:left="720"/>
        <w:jc w:val="both"/>
        <w:rPr>
          <w:rFonts w:ascii="Times New Roman" w:eastAsia="Times New Roman" w:hAnsi="Times New Roman" w:cs="Times New Roman"/>
          <w:b/>
          <w:color w:val="00206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25. </w:t>
      </w:r>
      <w:r>
        <w:rPr>
          <w:rFonts w:ascii="Times New Roman" w:eastAsia="Times New Roman" w:hAnsi="Times New Roman" w:cs="Times New Roman"/>
          <w:color w:val="000000"/>
        </w:rPr>
        <w:tab/>
        <w:t xml:space="preserve">La  vulnerable condición de las comunidades, territorios Miskito y Mayangna que encuentran en la cuenca del Río Coco (Wangki) y en la Reserva de la Biósfera de Bosawas, se agudiza desde el año 2015 ante una </w:t>
      </w:r>
      <w:r>
        <w:rPr>
          <w:rFonts w:ascii="Times New Roman" w:eastAsia="Times New Roman" w:hAnsi="Times New Roman" w:cs="Times New Roman"/>
          <w:color w:val="000000"/>
        </w:rPr>
        <w:t>crisis alimentaria continúa, debido a la situación de agresión y violencia que enfrentan estas comunidades, se suman los efectos de la pandemia del COVID-19 y los impactos de los huracanes ETA y IOTA.</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26.</w:t>
      </w:r>
      <w:r>
        <w:rPr>
          <w:rFonts w:ascii="Times New Roman" w:eastAsia="Times New Roman" w:hAnsi="Times New Roman" w:cs="Times New Roman"/>
          <w:color w:val="000000"/>
        </w:rPr>
        <w:tab/>
        <w:t xml:space="preserve">La seguridad alimentaria se ha visto afectada </w:t>
      </w:r>
      <w:r>
        <w:rPr>
          <w:rFonts w:ascii="Times New Roman" w:eastAsia="Times New Roman" w:hAnsi="Times New Roman" w:cs="Times New Roman"/>
          <w:color w:val="000000"/>
        </w:rPr>
        <w:t>severamente por la constantes amenazas e invasión de colonos a las tierras comunales. Los comunitarios para resguardar su vida e integridad, han dejado de  sembrar y realizar actividades en las áreas tradicionales, afectando su formas económicas y cultural</w:t>
      </w:r>
      <w:r>
        <w:rPr>
          <w:rFonts w:ascii="Times New Roman" w:eastAsia="Times New Roman" w:hAnsi="Times New Roman" w:cs="Times New Roman"/>
          <w:color w:val="000000"/>
        </w:rPr>
        <w:t>es de obtener alimentos. Un caso emblemático es la situación que viven los comunitarios de la comunidad Polo Paiwas,</w:t>
      </w:r>
      <w:r>
        <w:rPr>
          <w:rStyle w:val="Ancladenotaalpie"/>
          <w:rFonts w:ascii="Times New Roman" w:eastAsia="Times New Roman" w:hAnsi="Times New Roman" w:cs="Times New Roman"/>
          <w:color w:val="000000"/>
        </w:rPr>
        <w:footnoteReference w:id="29"/>
      </w:r>
      <w:r>
        <w:rPr>
          <w:rFonts w:ascii="Times New Roman" w:eastAsia="Times New Roman" w:hAnsi="Times New Roman" w:cs="Times New Roman"/>
          <w:color w:val="000000"/>
        </w:rPr>
        <w:t xml:space="preserve"> quienes abandonaron la comunidad después de que colonos secuestraran, asesinaran a comunitarios y quemaran todas las casas de la comunidad</w:t>
      </w:r>
      <w:r>
        <w:rPr>
          <w:rFonts w:ascii="Times New Roman" w:eastAsia="Times New Roman" w:hAnsi="Times New Roman" w:cs="Times New Roman"/>
          <w:color w:val="000000"/>
        </w:rPr>
        <w:t>, viéndose forzados a refugiarse en la comunidad de Klink. La comunidad de Santa Fe, ha cambiado su forma tradicional de cultivo, ahora siembra en tierras cercanas a la comunidad pocas productivas.  Por su parte, la comunidad El Naranjal, de Alal, Wasakin,</w:t>
      </w:r>
      <w:r>
        <w:rPr>
          <w:rFonts w:ascii="Times New Roman" w:eastAsia="Times New Roman" w:hAnsi="Times New Roman" w:cs="Times New Roman"/>
          <w:color w:val="000000"/>
        </w:rPr>
        <w:t xml:space="preserve"> Bambana y Musawas (indígenas mayangnas), han dejado de sembrar en sus áreas tradicionales y extraer madera o lavar oro (güirisería) de forma artesanal, en las minas de </w:t>
      </w:r>
      <w:r>
        <w:rPr>
          <w:rFonts w:ascii="Times New Roman" w:eastAsia="Times New Roman" w:hAnsi="Times New Roman" w:cs="Times New Roman"/>
          <w:color w:val="000000"/>
        </w:rPr>
        <w:lastRenderedPageBreak/>
        <w:t>Santa Rosa y Santa Clara, por el temor de ser atacados por colonos, como ha venido ocur</w:t>
      </w:r>
      <w:r>
        <w:rPr>
          <w:rFonts w:ascii="Times New Roman" w:eastAsia="Times New Roman" w:hAnsi="Times New Roman" w:cs="Times New Roman"/>
          <w:color w:val="000000"/>
        </w:rPr>
        <w:t xml:space="preserve">riendo en los últimos meses. El último ataque fue la masacre de al menos 18 personas el 23 de agosto de 2021. </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27.</w:t>
      </w:r>
      <w:r>
        <w:rPr>
          <w:rFonts w:ascii="Times New Roman" w:eastAsia="Times New Roman" w:hAnsi="Times New Roman" w:cs="Times New Roman"/>
          <w:color w:val="000000"/>
        </w:rPr>
        <w:tab/>
        <w:t>Los efectos de los huracanes ETA y IOTA,  para las principales comunidades del municipio de Bilwi, Prinzapolka y el Triángulo Minero se dier</w:t>
      </w:r>
      <w:r>
        <w:rPr>
          <w:rFonts w:ascii="Times New Roman" w:eastAsia="Times New Roman" w:hAnsi="Times New Roman" w:cs="Times New Roman"/>
          <w:color w:val="000000"/>
        </w:rPr>
        <w:t>on pérdidas promedio de un 90% en los cultivos de arroz, frijoles, musáceas y tubérculos, entre otros. cabe señalar que por las características topográficas de la RACCN, en especial las comunidades ubicadas en los municipios de Waspam, Puerto Cabezas y Pri</w:t>
      </w:r>
      <w:r>
        <w:rPr>
          <w:rFonts w:ascii="Times New Roman" w:eastAsia="Times New Roman" w:hAnsi="Times New Roman" w:cs="Times New Roman"/>
          <w:color w:val="000000"/>
        </w:rPr>
        <w:t>nzapolka, la agricultura está referida al cultivo de musáceas para consumo familiar y se realizan en las riberas de los ríos, por lo que son sumamente frágiles a las inundaciones,  la interrupción de estas actividades por un periodo indeterminado represent</w:t>
      </w:r>
      <w:r>
        <w:rPr>
          <w:rFonts w:ascii="Times New Roman" w:eastAsia="Times New Roman" w:hAnsi="Times New Roman" w:cs="Times New Roman"/>
          <w:color w:val="000000"/>
        </w:rPr>
        <w:t>aría un riesgo sustancial a los medios de vida y a la seguridad alimentaria de las comunidades indígenas y afrodescendientes.</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b/>
          <w:color w:val="002060"/>
        </w:rPr>
      </w:pPr>
      <w:r>
        <w:rPr>
          <w:rFonts w:ascii="Times New Roman" w:eastAsia="Times New Roman" w:hAnsi="Times New Roman" w:cs="Times New Roman"/>
          <w:color w:val="000000"/>
        </w:rPr>
        <w:t>28.</w:t>
      </w:r>
      <w:r>
        <w:rPr>
          <w:rFonts w:ascii="Times New Roman" w:eastAsia="Times New Roman" w:hAnsi="Times New Roman" w:cs="Times New Roman"/>
          <w:color w:val="000000"/>
        </w:rPr>
        <w:tab/>
        <w:t xml:space="preserve">Como resultado de los huracanes ETA y IOTA un aproximado de 256 comunidades indígenas fueron afectadas, lo que se traduce en </w:t>
      </w:r>
      <w:r>
        <w:rPr>
          <w:rFonts w:ascii="Times New Roman" w:eastAsia="Times New Roman" w:hAnsi="Times New Roman" w:cs="Times New Roman"/>
          <w:color w:val="000000"/>
        </w:rPr>
        <w:t>más de 112,613 damnificados ubicados en los municipios de Puerto Cabezas, Prinzapolka y Waspam, que carecen de alimentos, agua, medicamentos, vestimentas, techos y atención psicosocial. Solamente en los municipios de Puerto Cabezas, Waspam y Prinzapolka, s</w:t>
      </w:r>
      <w:r>
        <w:rPr>
          <w:rFonts w:ascii="Times New Roman" w:eastAsia="Times New Roman" w:hAnsi="Times New Roman" w:cs="Times New Roman"/>
          <w:color w:val="000000"/>
        </w:rPr>
        <w:t>e estima la pérdida de cultivos básicos entre los que se mencionan 8,874 ha de arroz, 8,131 ha de musáceas, 10,848 ha de tubérculos. De igual manera, se contabiliza la pérdida de 2,500 animales (ganado mayor y menor) así como la pérdida de medios de transp</w:t>
      </w:r>
      <w:r>
        <w:rPr>
          <w:rFonts w:ascii="Times New Roman" w:eastAsia="Times New Roman" w:hAnsi="Times New Roman" w:cs="Times New Roman"/>
          <w:color w:val="000000"/>
        </w:rPr>
        <w:t>orte y aperos para la pesca (783 medios de transporte acuático menores, 292 trasmallos o redes de pesca) más un aproximado de 11,500 unidades de árboles frutales afectando directamente la base material de su dieta alimenticia</w:t>
      </w:r>
      <w:r>
        <w:rPr>
          <w:rStyle w:val="Ancladenotaalpie"/>
          <w:rFonts w:ascii="Times New Roman" w:eastAsia="Times New Roman" w:hAnsi="Times New Roman" w:cs="Times New Roman"/>
          <w:color w:val="000000"/>
        </w:rPr>
        <w:footnoteReference w:id="30"/>
      </w:r>
      <w:r>
        <w:rPr>
          <w:rFonts w:ascii="Times New Roman" w:eastAsia="Times New Roman" w:hAnsi="Times New Roman" w:cs="Times New Roman"/>
          <w:color w:val="000000"/>
        </w:rPr>
        <w:t>.</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29. </w:t>
      </w:r>
      <w:r>
        <w:rPr>
          <w:rFonts w:ascii="Times New Roman" w:eastAsia="Times New Roman" w:hAnsi="Times New Roman" w:cs="Times New Roman"/>
          <w:color w:val="000000"/>
        </w:rPr>
        <w:tab/>
        <w:t>Los territorios indíge</w:t>
      </w:r>
      <w:r>
        <w:rPr>
          <w:rFonts w:ascii="Times New Roman" w:eastAsia="Times New Roman" w:hAnsi="Times New Roman" w:cs="Times New Roman"/>
          <w:color w:val="000000"/>
        </w:rPr>
        <w:t>nas más afectadas por los efectos de ambos huracanes son Prinzu Awala, Wanky Li lamni, Li Aubra, Wanky Maya y Wanky Twi, Yahbra Twi, provocando cuantiosas pérdidas en cultivos agrícolas, animales y sistemas de agua. Las comunidades recibieron ayuda humanit</w:t>
      </w:r>
      <w:r>
        <w:rPr>
          <w:rFonts w:ascii="Times New Roman" w:eastAsia="Times New Roman" w:hAnsi="Times New Roman" w:cs="Times New Roman"/>
          <w:color w:val="000000"/>
        </w:rPr>
        <w:t>aria canalizada por el Gobierno durante las primeras cuatro semanas. La ayuda alimentaria consiste en avituallamiento (colchones, frazadas, plástico, hamacas, kits de higiene, otros) así como materiales para la reconstrucción de viviendas  denominadas “Pla</w:t>
      </w:r>
      <w:r>
        <w:rPr>
          <w:rFonts w:ascii="Times New Roman" w:eastAsia="Times New Roman" w:hAnsi="Times New Roman" w:cs="Times New Roman"/>
          <w:color w:val="000000"/>
        </w:rPr>
        <w:t>n Techo”</w:t>
      </w:r>
      <w:r>
        <w:rPr>
          <w:rStyle w:val="Ancladenotaalpie"/>
          <w:rFonts w:ascii="Times New Roman" w:eastAsia="Times New Roman" w:hAnsi="Times New Roman" w:cs="Times New Roman"/>
          <w:color w:val="000000"/>
        </w:rPr>
        <w:footnoteReference w:id="31"/>
      </w:r>
      <w:r>
        <w:rPr>
          <w:rFonts w:ascii="Times New Roman" w:eastAsia="Times New Roman" w:hAnsi="Times New Roman" w:cs="Times New Roman"/>
          <w:color w:val="000000"/>
        </w:rPr>
        <w:t>. Sin embargo, la ayuda se entregó a través de las estructuras del partido político de gobierno, de forma desorganizada y priorizando a los simpatizantes del gobierno</w:t>
      </w:r>
      <w:r>
        <w:rPr>
          <w:rStyle w:val="Ancladenotaalpie"/>
          <w:rFonts w:ascii="Times New Roman" w:eastAsia="Times New Roman" w:hAnsi="Times New Roman" w:cs="Times New Roman"/>
          <w:color w:val="000000"/>
        </w:rPr>
        <w:footnoteReference w:id="32"/>
      </w:r>
      <w:r>
        <w:rPr>
          <w:rFonts w:ascii="Times New Roman" w:eastAsia="Times New Roman" w:hAnsi="Times New Roman" w:cs="Times New Roman"/>
          <w:color w:val="000000"/>
        </w:rPr>
        <w:t xml:space="preserve">. </w:t>
      </w:r>
      <w:r>
        <w:rPr>
          <w:rFonts w:ascii="Times New Roman" w:eastAsia="Times New Roman" w:hAnsi="Times New Roman" w:cs="Times New Roman"/>
        </w:rPr>
        <w:t>C</w:t>
      </w:r>
      <w:r>
        <w:rPr>
          <w:rFonts w:ascii="Times New Roman" w:eastAsia="Times New Roman" w:hAnsi="Times New Roman" w:cs="Times New Roman"/>
          <w:color w:val="000000"/>
        </w:rPr>
        <w:t>abe señalar que el gobierno  prohibió cualquier iniciativa de ayuda humanitar</w:t>
      </w:r>
      <w:r>
        <w:rPr>
          <w:rFonts w:ascii="Times New Roman" w:eastAsia="Times New Roman" w:hAnsi="Times New Roman" w:cs="Times New Roman"/>
          <w:color w:val="000000"/>
        </w:rPr>
        <w:t xml:space="preserve">ia que pudiera generarse desde la sociedad. </w:t>
      </w:r>
    </w:p>
    <w:p w:rsidR="00505D61" w:rsidRDefault="00505D61">
      <w:pPr>
        <w:pStyle w:val="LO-normal1"/>
        <w:spacing w:after="0" w:line="240" w:lineRule="auto"/>
        <w:jc w:val="both"/>
        <w:rPr>
          <w:rFonts w:ascii="Times New Roman" w:eastAsia="Times New Roman" w:hAnsi="Times New Roman" w:cs="Times New Roman"/>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3o. Alrededor de 1,8 millones de personas, incluidos 720.000 niños, todavía necesitan ayuda humanitaria, especialmente entre las comunidades indígenas. Las niñas, los niños y los adolescentes se encuentran entr</w:t>
      </w:r>
      <w:r>
        <w:rPr>
          <w:rFonts w:ascii="Times New Roman" w:eastAsia="Times New Roman" w:hAnsi="Times New Roman" w:cs="Times New Roman"/>
        </w:rPr>
        <w:t xml:space="preserve">e los más afectados y los más invisibles, con efectos inmediatos y de largo plazo derivados de la emergencia climática. Más de 260 escuelas perdieron sus tejados y resultaron </w:t>
      </w:r>
      <w:r>
        <w:rPr>
          <w:rFonts w:ascii="Times New Roman" w:eastAsia="Times New Roman" w:hAnsi="Times New Roman" w:cs="Times New Roman"/>
        </w:rPr>
        <w:lastRenderedPageBreak/>
        <w:t>parcialmente dañadas o totalmente destruidas</w:t>
      </w:r>
      <w:r>
        <w:rPr>
          <w:rStyle w:val="Ancladenotaalpie"/>
          <w:rFonts w:ascii="Times New Roman" w:eastAsia="Times New Roman" w:hAnsi="Times New Roman" w:cs="Times New Roman"/>
        </w:rPr>
        <w:footnoteReference w:id="33"/>
      </w:r>
      <w:r>
        <w:rPr>
          <w:rFonts w:ascii="Times New Roman" w:eastAsia="Times New Roman" w:hAnsi="Times New Roman" w:cs="Times New Roman"/>
        </w:rPr>
        <w:t xml:space="preserve">. </w:t>
      </w:r>
      <w:r>
        <w:rPr>
          <w:rFonts w:ascii="Times New Roman" w:eastAsia="Times New Roman" w:hAnsi="Times New Roman" w:cs="Times New Roman"/>
          <w:color w:val="000000"/>
        </w:rPr>
        <w:t>Los huracanes ETA y IOTA impactaro</w:t>
      </w:r>
      <w:r>
        <w:rPr>
          <w:rFonts w:ascii="Times New Roman" w:eastAsia="Times New Roman" w:hAnsi="Times New Roman" w:cs="Times New Roman"/>
          <w:color w:val="000000"/>
        </w:rPr>
        <w:t>n importantes áreas de bosques cuya madera podría ser aprovechada por las comunidades afectadas para reconstruir sus viviendas y comercializar sus excedentes. Sin embargo, los trámites que se requieren para que una familia aproveche este recurso son tan ex</w:t>
      </w:r>
      <w:r>
        <w:rPr>
          <w:rFonts w:ascii="Times New Roman" w:eastAsia="Times New Roman" w:hAnsi="Times New Roman" w:cs="Times New Roman"/>
          <w:color w:val="000000"/>
        </w:rPr>
        <w:t>cesivos que imposibilitan que tenga acceso a la misma, perdiéndose una oportunidad de atender la reconstrucción física de las viviendas y económicas las familias</w:t>
      </w:r>
      <w:r>
        <w:rPr>
          <w:rStyle w:val="Ancladenotaalpie"/>
          <w:rFonts w:ascii="Times New Roman" w:eastAsia="Times New Roman" w:hAnsi="Times New Roman" w:cs="Times New Roman"/>
          <w:color w:val="000000"/>
        </w:rPr>
        <w:footnoteReference w:id="34"/>
      </w:r>
      <w:r>
        <w:rPr>
          <w:rFonts w:ascii="Times New Roman" w:eastAsia="Times New Roman" w:hAnsi="Times New Roman" w:cs="Times New Roman"/>
          <w:color w:val="000000"/>
        </w:rPr>
        <w:t>.</w:t>
      </w:r>
      <w:r>
        <w:rPr>
          <w:rFonts w:ascii="Times New Roman" w:eastAsia="Times New Roman" w:hAnsi="Times New Roman" w:cs="Times New Roman"/>
          <w:color w:val="FF0000"/>
        </w:rPr>
        <w:t xml:space="preserve"> </w:t>
      </w:r>
    </w:p>
    <w:p w:rsidR="00505D61" w:rsidRDefault="00505D61">
      <w:pPr>
        <w:pStyle w:val="LO-normal1"/>
        <w:spacing w:after="0" w:line="240" w:lineRule="auto"/>
        <w:ind w:left="720"/>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31. </w:t>
      </w:r>
      <w:r>
        <w:rPr>
          <w:rFonts w:ascii="Times New Roman" w:eastAsia="Times New Roman" w:hAnsi="Times New Roman" w:cs="Times New Roman"/>
          <w:color w:val="000000"/>
        </w:rPr>
        <w:tab/>
        <w:t>En el caso de los 8 territorios consultados, el nivel de inseguridad alimentaria ha i</w:t>
      </w:r>
      <w:r>
        <w:rPr>
          <w:rFonts w:ascii="Times New Roman" w:eastAsia="Times New Roman" w:hAnsi="Times New Roman" w:cs="Times New Roman"/>
          <w:color w:val="000000"/>
        </w:rPr>
        <w:t>ncrementado después del paso de los huracanes ETA y IOTA, si bien antes de los huracanes enfrentan limitaciones para alimentarse, ahora (9 meses después de ambos fenómenos) la situación se ha agudizado por los daños en la cosecha de granos básicos (sobre t</w:t>
      </w:r>
      <w:r>
        <w:rPr>
          <w:rFonts w:ascii="Times New Roman" w:eastAsia="Times New Roman" w:hAnsi="Times New Roman" w:cs="Times New Roman"/>
          <w:color w:val="000000"/>
        </w:rPr>
        <w:t xml:space="preserve">odo frijol y arroz). En el caso del Territorio Wangki  Maya  en 14 comunidades se identificó que el 80 % de las familias de este territorio padecen de condiciones alimentarias severas, el  17 % condiciones alimentarias moderadas  y el 3 %  de las familias </w:t>
      </w:r>
      <w:r>
        <w:rPr>
          <w:rFonts w:ascii="Times New Roman" w:eastAsia="Times New Roman" w:hAnsi="Times New Roman" w:cs="Times New Roman"/>
          <w:color w:val="000000"/>
        </w:rPr>
        <w:t>presentan condiciones alimentarias leves. De este universo poblacional de mujeres el 15.4 % de las mujeres que presentan inseguridad alimentaria severa se encuentran en estado de embarazo. Cabe hacer referencia que solo el 1 % de la población del territori</w:t>
      </w:r>
      <w:r>
        <w:rPr>
          <w:rFonts w:ascii="Times New Roman" w:eastAsia="Times New Roman" w:hAnsi="Times New Roman" w:cs="Times New Roman"/>
          <w:color w:val="000000"/>
        </w:rPr>
        <w:t xml:space="preserve">o de las personas gozan de seguridad alimentaria. De las 876  mujeres encuestadas, 160 mujeres  lactantes  se encuentran en condiciones de inseguridad alimentaria severa, mujeres lactantes en condiciones de inseguridad alimentaria moderada 82 y 23 mujeres </w:t>
      </w:r>
      <w:r>
        <w:rPr>
          <w:rFonts w:ascii="Times New Roman" w:eastAsia="Times New Roman" w:hAnsi="Times New Roman" w:cs="Times New Roman"/>
          <w:color w:val="000000"/>
        </w:rPr>
        <w:t>lactantes en situación alimentaria leve.</w:t>
      </w:r>
    </w:p>
    <w:p w:rsidR="00505D61" w:rsidRDefault="00505D61">
      <w:pPr>
        <w:pStyle w:val="LO-normal1"/>
        <w:spacing w:after="0" w:line="240" w:lineRule="auto"/>
        <w:jc w:val="both"/>
        <w:rPr>
          <w:rFonts w:ascii="Times New Roman" w:eastAsia="Times New Roman" w:hAnsi="Times New Roman" w:cs="Times New Roman"/>
        </w:rPr>
      </w:pPr>
    </w:p>
    <w:p w:rsidR="00505D61" w:rsidRDefault="007F6DAC">
      <w:pPr>
        <w:pStyle w:val="LO-normal1"/>
        <w:spacing w:after="0" w:line="240" w:lineRule="auto"/>
        <w:jc w:val="both"/>
        <w:rPr>
          <w:rFonts w:ascii="Times New Roman" w:eastAsia="Times New Roman" w:hAnsi="Times New Roman" w:cs="Times New Roman"/>
          <w:b/>
          <w:color w:val="002060"/>
        </w:rPr>
      </w:pPr>
      <w:r>
        <w:rPr>
          <w:rFonts w:ascii="Times New Roman" w:eastAsia="Times New Roman" w:hAnsi="Times New Roman" w:cs="Times New Roman"/>
          <w:b/>
          <w:color w:val="002060"/>
        </w:rPr>
        <w:t>EL ACCESO A LA EDUCACIÓN (ARTS. 14)</w:t>
      </w:r>
    </w:p>
    <w:p w:rsidR="00505D61" w:rsidRDefault="00505D61">
      <w:pPr>
        <w:pStyle w:val="LO-normal1"/>
        <w:spacing w:after="0" w:line="240" w:lineRule="auto"/>
        <w:jc w:val="both"/>
        <w:rPr>
          <w:rFonts w:ascii="Times New Roman" w:eastAsia="Times New Roman" w:hAnsi="Times New Roman" w:cs="Times New Roman"/>
        </w:rPr>
      </w:pPr>
    </w:p>
    <w:p w:rsidR="00505D61" w:rsidRDefault="007F6DAC">
      <w:pPr>
        <w:pStyle w:val="LO-normal1"/>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32. </w:t>
      </w:r>
      <w:r>
        <w:rPr>
          <w:rFonts w:ascii="Times New Roman" w:eastAsia="Times New Roman" w:hAnsi="Times New Roman" w:cs="Times New Roman"/>
        </w:rPr>
        <w:tab/>
        <w:t>El sistema escolar en Nicaragua muestra avances</w:t>
      </w:r>
      <w:r>
        <w:rPr>
          <w:rStyle w:val="Ancladenotaalpie"/>
          <w:rFonts w:ascii="Times New Roman" w:eastAsia="Times New Roman" w:hAnsi="Times New Roman" w:cs="Times New Roman"/>
        </w:rPr>
        <w:footnoteReference w:id="35"/>
      </w:r>
      <w:r>
        <w:rPr>
          <w:rFonts w:ascii="Times New Roman" w:eastAsia="Times New Roman" w:hAnsi="Times New Roman" w:cs="Times New Roman"/>
        </w:rPr>
        <w:t xml:space="preserve"> en cobertura, pero todavía enfrenta retos relacionados con la calidad de la educación. Datos oficiales indica que la Tasa Neta de Escolarización</w:t>
      </w:r>
      <w:r>
        <w:rPr>
          <w:rStyle w:val="Ancladenotaalpie"/>
          <w:rFonts w:ascii="Times New Roman" w:eastAsia="Times New Roman" w:hAnsi="Times New Roman" w:cs="Times New Roman"/>
        </w:rPr>
        <w:footnoteReference w:id="36"/>
      </w:r>
      <w:r>
        <w:rPr>
          <w:rFonts w:ascii="Times New Roman" w:eastAsia="Times New Roman" w:hAnsi="Times New Roman" w:cs="Times New Roman"/>
        </w:rPr>
        <w:t xml:space="preserve"> de Educación Inicial pasó de 37.2% (2008) a 59.3% (2018); de educación primaria pasó del 87% a 93.9% en el pe</w:t>
      </w:r>
      <w:r>
        <w:rPr>
          <w:rFonts w:ascii="Times New Roman" w:eastAsia="Times New Roman" w:hAnsi="Times New Roman" w:cs="Times New Roman"/>
        </w:rPr>
        <w:t>ríodo 2007 – 2017, y de educación secundaria, de 46% a 62.8% en el mismo período</w:t>
      </w:r>
      <w:r>
        <w:rPr>
          <w:rStyle w:val="Ancladenotaalpie"/>
          <w:rFonts w:ascii="Times New Roman" w:eastAsia="Times New Roman" w:hAnsi="Times New Roman" w:cs="Times New Roman"/>
        </w:rPr>
        <w:footnoteReference w:id="37"/>
      </w:r>
      <w:r>
        <w:rPr>
          <w:rFonts w:ascii="Times New Roman" w:eastAsia="Times New Roman" w:hAnsi="Times New Roman" w:cs="Times New Roman"/>
        </w:rPr>
        <w:t xml:space="preserve">. </w:t>
      </w:r>
      <w:r>
        <w:rPr>
          <w:rFonts w:ascii="Times New Roman" w:eastAsia="Times New Roman" w:hAnsi="Times New Roman" w:cs="Times New Roman"/>
        </w:rPr>
        <w:lastRenderedPageBreak/>
        <w:t>En la Costa Caribe de Nicaragua</w:t>
      </w:r>
      <w:r>
        <w:rPr>
          <w:rStyle w:val="Ancladenotaalpie"/>
          <w:rFonts w:ascii="Times New Roman" w:eastAsia="Times New Roman" w:hAnsi="Times New Roman" w:cs="Times New Roman"/>
        </w:rPr>
        <w:footnoteReference w:id="38"/>
      </w:r>
      <w:r>
        <w:rPr>
          <w:rFonts w:ascii="Times New Roman" w:eastAsia="Times New Roman" w:hAnsi="Times New Roman" w:cs="Times New Roman"/>
        </w:rPr>
        <w:t xml:space="preserve"> la situación educativa muestra un comportamiento similar en lo relacionado al incremento de la Tasa Neta de Escolarización: durante el perío</w:t>
      </w:r>
      <w:r>
        <w:rPr>
          <w:rFonts w:ascii="Times New Roman" w:eastAsia="Times New Roman" w:hAnsi="Times New Roman" w:cs="Times New Roman"/>
        </w:rPr>
        <w:t>do 2004 – 2013, la educación inicial pasó del 36.3% al 39.5%; la educación primaria pasó del 83.8% al 86.1% y la educación secundaria, del 20.2% al 36.8%</w:t>
      </w:r>
      <w:r>
        <w:rPr>
          <w:rStyle w:val="Ancladenotaalpie"/>
          <w:rFonts w:ascii="Times New Roman" w:eastAsia="Times New Roman" w:hAnsi="Times New Roman" w:cs="Times New Roman"/>
        </w:rPr>
        <w:footnoteReference w:id="39"/>
      </w:r>
      <w:r>
        <w:rPr>
          <w:rFonts w:ascii="Times New Roman" w:eastAsia="Times New Roman" w:hAnsi="Times New Roman" w:cs="Times New Roman"/>
        </w:rPr>
        <w:t>.</w:t>
      </w:r>
    </w:p>
    <w:p w:rsidR="00505D61" w:rsidRDefault="00505D61">
      <w:pPr>
        <w:pStyle w:val="LO-normal1"/>
        <w:spacing w:after="0" w:line="240" w:lineRule="auto"/>
        <w:ind w:left="705"/>
        <w:jc w:val="both"/>
        <w:rPr>
          <w:rFonts w:ascii="Times New Roman" w:eastAsia="Times New Roman" w:hAnsi="Times New Roman" w:cs="Times New Roman"/>
        </w:rPr>
      </w:pPr>
    </w:p>
    <w:p w:rsidR="00505D61" w:rsidRDefault="007F6DAC">
      <w:pPr>
        <w:pStyle w:val="LO-normal1"/>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33. </w:t>
      </w:r>
      <w:r>
        <w:rPr>
          <w:rFonts w:ascii="Times New Roman" w:eastAsia="Times New Roman" w:hAnsi="Times New Roman" w:cs="Times New Roman"/>
        </w:rPr>
        <w:tab/>
        <w:t>A pesar de los avances que se observan, los retos a superar son inmensos: (i) a nivel nacional</w:t>
      </w:r>
      <w:r>
        <w:rPr>
          <w:rFonts w:ascii="Times New Roman" w:eastAsia="Times New Roman" w:hAnsi="Times New Roman" w:cs="Times New Roman"/>
        </w:rPr>
        <w:t>, el 41% de niños en edad quedan fuera del nivel de Educación Inicial, porcentaje que se incrementa en la Costa Caribe (60.5% al 2013)</w:t>
      </w:r>
      <w:r>
        <w:rPr>
          <w:rStyle w:val="Ancladenotaalpie"/>
          <w:rFonts w:ascii="Times New Roman" w:eastAsia="Times New Roman" w:hAnsi="Times New Roman" w:cs="Times New Roman"/>
        </w:rPr>
        <w:footnoteReference w:id="40"/>
      </w:r>
      <w:r>
        <w:rPr>
          <w:rFonts w:ascii="Times New Roman" w:eastAsia="Times New Roman" w:hAnsi="Times New Roman" w:cs="Times New Roman"/>
        </w:rPr>
        <w:t>. (ii) al menos el 20% de niños que ingresan a educación primaria abandonan las clases después de algunos meses, especial</w:t>
      </w:r>
      <w:r>
        <w:rPr>
          <w:rFonts w:ascii="Times New Roman" w:eastAsia="Times New Roman" w:hAnsi="Times New Roman" w:cs="Times New Roman"/>
        </w:rPr>
        <w:t>mente entre 1ero y 2er grado, situación que influye para que solamente el 47.9% de los niños que ingresan a primer grado, finalizan la primaria</w:t>
      </w:r>
      <w:r>
        <w:rPr>
          <w:rStyle w:val="Ancladenotaalpie"/>
          <w:rFonts w:ascii="Times New Roman" w:eastAsia="Times New Roman" w:hAnsi="Times New Roman" w:cs="Times New Roman"/>
        </w:rPr>
        <w:footnoteReference w:id="41"/>
      </w:r>
      <w:r>
        <w:rPr>
          <w:rFonts w:ascii="Times New Roman" w:eastAsia="Times New Roman" w:hAnsi="Times New Roman" w:cs="Times New Roman"/>
        </w:rPr>
        <w:t>. (iii) A nivel nacional (2017), el 37.2% de adolescentes en edad de estudiar Educación secundaria, se encontrab</w:t>
      </w:r>
      <w:r>
        <w:rPr>
          <w:rFonts w:ascii="Times New Roman" w:eastAsia="Times New Roman" w:hAnsi="Times New Roman" w:cs="Times New Roman"/>
        </w:rPr>
        <w:t>a fuera del sistema educativo, es decir no estudian, porcentaje que se eleva en la Costa Caribe al 63.2% (2013)</w:t>
      </w:r>
      <w:r>
        <w:rPr>
          <w:rStyle w:val="Ancladenotaalpie"/>
          <w:rFonts w:ascii="Times New Roman" w:eastAsia="Times New Roman" w:hAnsi="Times New Roman" w:cs="Times New Roman"/>
        </w:rPr>
        <w:footnoteReference w:id="42"/>
      </w:r>
      <w:r>
        <w:rPr>
          <w:rFonts w:ascii="Times New Roman" w:eastAsia="Times New Roman" w:hAnsi="Times New Roman" w:cs="Times New Roman"/>
          <w:vertAlign w:val="superscript"/>
        </w:rPr>
        <w:t>.</w:t>
      </w:r>
      <w:r>
        <w:rPr>
          <w:rFonts w:ascii="Times New Roman" w:eastAsia="Times New Roman" w:hAnsi="Times New Roman" w:cs="Times New Roman"/>
        </w:rPr>
        <w:t xml:space="preserve"> </w:t>
      </w:r>
    </w:p>
    <w:p w:rsidR="00505D61" w:rsidRDefault="00505D61">
      <w:pPr>
        <w:pStyle w:val="LO-normal1"/>
        <w:spacing w:after="0" w:line="240" w:lineRule="auto"/>
        <w:jc w:val="both"/>
        <w:rPr>
          <w:rFonts w:ascii="Times New Roman" w:eastAsia="Times New Roman" w:hAnsi="Times New Roman" w:cs="Times New Roman"/>
        </w:rPr>
      </w:pPr>
    </w:p>
    <w:p w:rsidR="00505D61" w:rsidRDefault="007F6DAC">
      <w:pPr>
        <w:pStyle w:val="LO-normal1"/>
        <w:spacing w:after="0" w:line="240" w:lineRule="auto"/>
        <w:jc w:val="both"/>
        <w:rPr>
          <w:rFonts w:ascii="Times New Roman" w:eastAsia="Times New Roman" w:hAnsi="Times New Roman" w:cs="Times New Roman"/>
        </w:rPr>
      </w:pPr>
      <w:r>
        <w:rPr>
          <w:rFonts w:ascii="Times New Roman" w:eastAsia="Times New Roman" w:hAnsi="Times New Roman" w:cs="Times New Roman"/>
        </w:rPr>
        <w:t>34.</w:t>
      </w:r>
      <w:r>
        <w:rPr>
          <w:rFonts w:ascii="Times New Roman" w:eastAsia="Times New Roman" w:hAnsi="Times New Roman" w:cs="Times New Roman"/>
        </w:rPr>
        <w:tab/>
        <w:t>En las comunidades de los ocho territorios, la cobertura de los servicios de educación es inferior al promedio de la RACCN y presenta se</w:t>
      </w:r>
      <w:r>
        <w:rPr>
          <w:rFonts w:ascii="Times New Roman" w:eastAsia="Times New Roman" w:hAnsi="Times New Roman" w:cs="Times New Roman"/>
        </w:rPr>
        <w:t>rios problemas de calidad. En relación a la cobertura, en las 51 comunidades seleccionadas, funcionan un total de 57 centros escolares; todos brindan educación inicial, educación primaria y solamente en 18 de ellos, hay educación secundaria. Líderes comuna</w:t>
      </w:r>
      <w:r>
        <w:rPr>
          <w:rFonts w:ascii="Times New Roman" w:eastAsia="Times New Roman" w:hAnsi="Times New Roman" w:cs="Times New Roman"/>
        </w:rPr>
        <w:t>les consultados indican que solamente un 35% de niños en edad de educación inicial asisten a clases</w:t>
      </w:r>
      <w:r>
        <w:rPr>
          <w:rStyle w:val="Ancladenotaalpie"/>
          <w:rFonts w:ascii="Times New Roman" w:eastAsia="Times New Roman" w:hAnsi="Times New Roman" w:cs="Times New Roman"/>
        </w:rPr>
        <w:footnoteReference w:id="43"/>
      </w:r>
      <w:r>
        <w:rPr>
          <w:rFonts w:ascii="Times New Roman" w:eastAsia="Times New Roman" w:hAnsi="Times New Roman" w:cs="Times New Roman"/>
        </w:rPr>
        <w:t>, por varias razones</w:t>
      </w:r>
      <w:r>
        <w:rPr>
          <w:rStyle w:val="Ancladenotaalpie"/>
          <w:rFonts w:ascii="Times New Roman" w:eastAsia="Times New Roman" w:hAnsi="Times New Roman" w:cs="Times New Roman"/>
        </w:rPr>
        <w:footnoteReference w:id="44"/>
      </w:r>
      <w:r>
        <w:rPr>
          <w:rFonts w:ascii="Times New Roman" w:eastAsia="Times New Roman" w:hAnsi="Times New Roman" w:cs="Times New Roman"/>
        </w:rPr>
        <w:t>, mientras que, en educación primaria, se reconoce que un 90% de los niños están en la escuela, porcentaje que disminuye a partir del 4</w:t>
      </w:r>
      <w:r>
        <w:rPr>
          <w:rFonts w:ascii="Times New Roman" w:eastAsia="Times New Roman" w:hAnsi="Times New Roman" w:cs="Times New Roman"/>
        </w:rPr>
        <w:t>to grado debido al alto nivel de deserción que existe. La cobertura se reduce drásticamente en educación secundaria ya que en el 65% de las comunidades no se brinda este nivel, y en donde funciona, se estima que menos del 50% de adolescentes en edad, estud</w:t>
      </w:r>
      <w:r>
        <w:rPr>
          <w:rFonts w:ascii="Times New Roman" w:eastAsia="Times New Roman" w:hAnsi="Times New Roman" w:cs="Times New Roman"/>
        </w:rPr>
        <w:t xml:space="preserve">ian. </w:t>
      </w:r>
    </w:p>
    <w:p w:rsidR="00505D61" w:rsidRDefault="00505D61">
      <w:pPr>
        <w:pStyle w:val="LO-normal1"/>
        <w:spacing w:after="0" w:line="240" w:lineRule="auto"/>
        <w:ind w:left="705"/>
        <w:jc w:val="both"/>
        <w:rPr>
          <w:rFonts w:ascii="Times New Roman" w:eastAsia="Times New Roman" w:hAnsi="Times New Roman" w:cs="Times New Roman"/>
        </w:rPr>
      </w:pPr>
    </w:p>
    <w:p w:rsidR="00505D61" w:rsidRDefault="007F6DAC">
      <w:pPr>
        <w:pStyle w:val="LO-normal1"/>
        <w:spacing w:after="0" w:line="240" w:lineRule="auto"/>
        <w:jc w:val="both"/>
        <w:rPr>
          <w:rFonts w:ascii="Times New Roman" w:eastAsia="Times New Roman" w:hAnsi="Times New Roman" w:cs="Times New Roman"/>
        </w:rPr>
      </w:pPr>
      <w:r>
        <w:rPr>
          <w:rFonts w:ascii="Times New Roman" w:eastAsia="Times New Roman" w:hAnsi="Times New Roman" w:cs="Times New Roman"/>
        </w:rPr>
        <w:t>35.</w:t>
      </w:r>
      <w:r>
        <w:rPr>
          <w:rFonts w:ascii="Times New Roman" w:eastAsia="Times New Roman" w:hAnsi="Times New Roman" w:cs="Times New Roman"/>
        </w:rPr>
        <w:tab/>
        <w:t xml:space="preserve">La falta de material didáctico para los alumnos (libros por materia y/o consulta, bibliografía complementaria) es una de las limitaciones que influye en la calidad del aprendizaje, ya que el mismo se basa exclusivamente en lo que el maestro (a) </w:t>
      </w:r>
      <w:r>
        <w:rPr>
          <w:rFonts w:ascii="Times New Roman" w:eastAsia="Times New Roman" w:hAnsi="Times New Roman" w:cs="Times New Roman"/>
        </w:rPr>
        <w:t xml:space="preserve">explica y los estudiantes apuntan en sus cuadernos. La carencia de buena infraestructura (pupitres, pizarrones) así como de agua y unidades de saneamiento, impiden crear un ambiente propicio para la educación. Se agrega que al menos un 60% de los maestros </w:t>
      </w:r>
      <w:r>
        <w:rPr>
          <w:rFonts w:ascii="Times New Roman" w:eastAsia="Times New Roman" w:hAnsi="Times New Roman" w:cs="Times New Roman"/>
        </w:rPr>
        <w:t xml:space="preserve">de estas escuelas son empíricos, y una buena parte de ellos, viven en otras comunidades por lo que deben viajar todos los días y no siempre inician las clases a la hora establecida, por retrasos en su llegada. </w:t>
      </w:r>
    </w:p>
    <w:p w:rsidR="00505D61" w:rsidRDefault="00505D61">
      <w:pPr>
        <w:pStyle w:val="LO-normal1"/>
        <w:spacing w:after="0" w:line="240" w:lineRule="auto"/>
        <w:ind w:left="705"/>
        <w:jc w:val="both"/>
        <w:rPr>
          <w:rFonts w:ascii="Times New Roman" w:eastAsia="Times New Roman" w:hAnsi="Times New Roman" w:cs="Times New Roman"/>
        </w:rPr>
      </w:pPr>
    </w:p>
    <w:p w:rsidR="00505D61" w:rsidRDefault="007F6DAC">
      <w:pPr>
        <w:pStyle w:val="LO-normal1"/>
        <w:spacing w:after="0" w:line="240" w:lineRule="auto"/>
        <w:jc w:val="both"/>
        <w:rPr>
          <w:rFonts w:ascii="Times New Roman" w:eastAsia="Times New Roman" w:hAnsi="Times New Roman" w:cs="Times New Roman"/>
        </w:rPr>
      </w:pPr>
      <w:r>
        <w:rPr>
          <w:rFonts w:ascii="Times New Roman" w:eastAsia="Times New Roman" w:hAnsi="Times New Roman" w:cs="Times New Roman"/>
        </w:rPr>
        <w:t>36.</w:t>
      </w:r>
      <w:r>
        <w:rPr>
          <w:rFonts w:ascii="Times New Roman" w:eastAsia="Times New Roman" w:hAnsi="Times New Roman" w:cs="Times New Roman"/>
        </w:rPr>
        <w:tab/>
        <w:t>El nivel educativo de la población en Ni</w:t>
      </w:r>
      <w:r>
        <w:rPr>
          <w:rFonts w:ascii="Times New Roman" w:eastAsia="Times New Roman" w:hAnsi="Times New Roman" w:cs="Times New Roman"/>
        </w:rPr>
        <w:t>caragua es de 6.4 años de estudios en promedio, lo cual es inferior al resto de países centroamericanos. A nivel urbano, el promedio de años de estudios aprobados de la población es 7.6 años, mientras que en el área rural es 4.8 años. En el año 2009 el niv</w:t>
      </w:r>
      <w:r>
        <w:rPr>
          <w:rFonts w:ascii="Times New Roman" w:eastAsia="Times New Roman" w:hAnsi="Times New Roman" w:cs="Times New Roman"/>
        </w:rPr>
        <w:t>el de estudio promedio era de 5.9 años, lo que indica que en casi una década después se ha avanzado solamente 0.5 años de estudios. El Gobierno de Nicaragua no logró cumplir uno de los Objetivos de Desarrollo del Milenio (para el 2015 100% de niños y niñas</w:t>
      </w:r>
      <w:r>
        <w:rPr>
          <w:rFonts w:ascii="Times New Roman" w:eastAsia="Times New Roman" w:hAnsi="Times New Roman" w:cs="Times New Roman"/>
        </w:rPr>
        <w:t xml:space="preserve"> matriculados en el nivel de primaria) y 5 años después (al 2020), no logra alcanzar dicha meta.</w:t>
      </w:r>
    </w:p>
    <w:p w:rsidR="00505D61" w:rsidRDefault="00505D61">
      <w:pPr>
        <w:pStyle w:val="LO-normal1"/>
        <w:spacing w:after="0" w:line="240" w:lineRule="auto"/>
        <w:jc w:val="both"/>
        <w:rPr>
          <w:rFonts w:ascii="Times New Roman" w:eastAsia="Times New Roman" w:hAnsi="Times New Roman" w:cs="Times New Roman"/>
        </w:rPr>
      </w:pPr>
    </w:p>
    <w:p w:rsidR="00505D61" w:rsidRDefault="00505D61">
      <w:pPr>
        <w:pStyle w:val="LO-normal1"/>
        <w:spacing w:after="0" w:line="240" w:lineRule="auto"/>
        <w:jc w:val="both"/>
        <w:rPr>
          <w:rFonts w:ascii="Times New Roman" w:eastAsia="Times New Roman" w:hAnsi="Times New Roman" w:cs="Times New Roman"/>
        </w:rPr>
      </w:pPr>
    </w:p>
    <w:p w:rsidR="00505D61" w:rsidRDefault="00505D61">
      <w:pPr>
        <w:pStyle w:val="LO-normal1"/>
        <w:spacing w:after="0" w:line="240" w:lineRule="auto"/>
        <w:jc w:val="both"/>
        <w:rPr>
          <w:rFonts w:ascii="Times New Roman" w:eastAsia="Times New Roman" w:hAnsi="Times New Roman" w:cs="Times New Roman"/>
          <w:b/>
          <w:color w:val="002060"/>
        </w:rPr>
      </w:pPr>
    </w:p>
    <w:p w:rsidR="00505D61" w:rsidRDefault="00505D61">
      <w:pPr>
        <w:pStyle w:val="LO-normal1"/>
        <w:spacing w:after="0" w:line="240" w:lineRule="auto"/>
        <w:jc w:val="both"/>
        <w:rPr>
          <w:rFonts w:ascii="Times New Roman" w:eastAsia="Times New Roman" w:hAnsi="Times New Roman" w:cs="Times New Roman"/>
          <w:b/>
          <w:color w:val="002060"/>
        </w:rPr>
      </w:pPr>
    </w:p>
    <w:p w:rsidR="00505D61" w:rsidRDefault="007F6DAC">
      <w:pPr>
        <w:pStyle w:val="LO-normal1"/>
        <w:numPr>
          <w:ilvl w:val="0"/>
          <w:numId w:val="2"/>
        </w:numPr>
        <w:spacing w:after="0" w:line="240" w:lineRule="auto"/>
        <w:jc w:val="both"/>
        <w:rPr>
          <w:rFonts w:ascii="Times New Roman" w:eastAsia="Times New Roman" w:hAnsi="Times New Roman" w:cs="Times New Roman"/>
          <w:b/>
          <w:color w:val="002060"/>
        </w:rPr>
      </w:pPr>
      <w:r>
        <w:rPr>
          <w:rFonts w:ascii="Times New Roman" w:eastAsia="Times New Roman" w:hAnsi="Times New Roman" w:cs="Times New Roman"/>
          <w:b/>
          <w:color w:val="002060"/>
        </w:rPr>
        <w:t>CONCLUSIONES</w:t>
      </w:r>
    </w:p>
    <w:p w:rsidR="00505D61" w:rsidRDefault="00505D61">
      <w:pPr>
        <w:pStyle w:val="LO-normal1"/>
        <w:spacing w:after="0" w:line="240" w:lineRule="auto"/>
        <w:jc w:val="both"/>
        <w:rPr>
          <w:rFonts w:ascii="Times New Roman" w:eastAsia="Times New Roman" w:hAnsi="Times New Roman" w:cs="Times New Roman"/>
          <w:b/>
          <w:color w:val="00206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color w:val="002060"/>
        </w:rPr>
        <w:t xml:space="preserve">37. </w:t>
      </w:r>
      <w:r>
        <w:rPr>
          <w:rFonts w:ascii="Times New Roman" w:eastAsia="Times New Roman" w:hAnsi="Times New Roman" w:cs="Times New Roman"/>
          <w:b/>
          <w:color w:val="002060"/>
        </w:rPr>
        <w:tab/>
      </w:r>
      <w:r>
        <w:rPr>
          <w:rFonts w:ascii="Times New Roman" w:eastAsia="Times New Roman" w:hAnsi="Times New Roman" w:cs="Times New Roman"/>
          <w:color w:val="000000"/>
        </w:rPr>
        <w:t>A nivel de la RACCN, el entorno muestra factores que afectan los derechos económicos sociales, económicos, culturales y ambientales de l</w:t>
      </w:r>
      <w:r>
        <w:rPr>
          <w:rFonts w:ascii="Times New Roman" w:eastAsia="Times New Roman" w:hAnsi="Times New Roman" w:cs="Times New Roman"/>
          <w:color w:val="000000"/>
        </w:rPr>
        <w:t>a población que habita en los 8 territorios que se han analizado en el presente informe, destacándose cuatro de ellos, estrechamente vinculados entre sí. El primero, es el incremento de agresiones violentas – por parte de personas externas (colonos, tercer</w:t>
      </w:r>
      <w:r>
        <w:rPr>
          <w:rFonts w:ascii="Times New Roman" w:eastAsia="Times New Roman" w:hAnsi="Times New Roman" w:cs="Times New Roman"/>
          <w:color w:val="000000"/>
        </w:rPr>
        <w:t xml:space="preserve">os) que están ocupando los territorios de manera ilegal – que se han experimentado en los últimos años.  Al menos </w:t>
      </w:r>
      <w:r>
        <w:rPr>
          <w:rFonts w:ascii="Times New Roman" w:eastAsia="Times New Roman" w:hAnsi="Times New Roman" w:cs="Times New Roman"/>
        </w:rPr>
        <w:t>62</w:t>
      </w:r>
      <w:r>
        <w:rPr>
          <w:rFonts w:ascii="Times New Roman" w:eastAsia="Times New Roman" w:hAnsi="Times New Roman" w:cs="Times New Roman"/>
          <w:color w:val="000000"/>
        </w:rPr>
        <w:t xml:space="preserve"> indígenas han sido asesinados entre el 2011 y el 202</w:t>
      </w:r>
      <w:r>
        <w:rPr>
          <w:rFonts w:ascii="Times New Roman" w:eastAsia="Times New Roman" w:hAnsi="Times New Roman" w:cs="Times New Roman"/>
        </w:rPr>
        <w:t>1</w:t>
      </w:r>
      <w:r>
        <w:rPr>
          <w:rFonts w:ascii="Times New Roman" w:eastAsia="Times New Roman" w:hAnsi="Times New Roman" w:cs="Times New Roman"/>
          <w:color w:val="000000"/>
        </w:rPr>
        <w:t xml:space="preserve"> y otros 43 han sido lesionados y 46 han sido secuestrados. El segundo elemento se refiere a la respuesta que el Gobierno de Nicaragua y sus instituciones han brindado a la situación anterior: en todos estos años, nadie ha sido juzgado por los asesinatos y</w:t>
      </w:r>
      <w:r>
        <w:rPr>
          <w:rFonts w:ascii="Times New Roman" w:eastAsia="Times New Roman" w:hAnsi="Times New Roman" w:cs="Times New Roman"/>
          <w:color w:val="000000"/>
        </w:rPr>
        <w:t xml:space="preserve"> otros tipos de agresión (ataques armados, secuestros) que han ocurrido, ni se han desalojado a los que ocupan ilegalmente los territorios. Por el contrario, las autoridades han promovido la negociación entre los colonos – terceros y la población indígena </w:t>
      </w:r>
      <w:r>
        <w:rPr>
          <w:rFonts w:ascii="Times New Roman" w:eastAsia="Times New Roman" w:hAnsi="Times New Roman" w:cs="Times New Roman"/>
          <w:color w:val="000000"/>
        </w:rPr>
        <w:t>de estos territorios, contraviniendo lo establecido en la Ley 445.</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38.</w:t>
      </w:r>
      <w:r>
        <w:rPr>
          <w:rFonts w:ascii="Times New Roman" w:eastAsia="Times New Roman" w:hAnsi="Times New Roman" w:cs="Times New Roman"/>
        </w:rPr>
        <w:tab/>
      </w:r>
      <w:r>
        <w:rPr>
          <w:rFonts w:ascii="Times New Roman" w:eastAsia="Times New Roman" w:hAnsi="Times New Roman" w:cs="Times New Roman"/>
          <w:color w:val="000000"/>
        </w:rPr>
        <w:t>Lo mismo pasa con los servicios de salud que se prestan en las comunidades de los 8 territorios, los que son insuficientes, de baja cobertura y poco eficientes en relación a la prevenc</w:t>
      </w:r>
      <w:r>
        <w:rPr>
          <w:rFonts w:ascii="Times New Roman" w:eastAsia="Times New Roman" w:hAnsi="Times New Roman" w:cs="Times New Roman"/>
          <w:color w:val="000000"/>
        </w:rPr>
        <w:t>ión de enfermedades que son factibles de superar con un esfuerzo preventivo.</w:t>
      </w:r>
    </w:p>
    <w:p w:rsidR="00505D61" w:rsidRDefault="00505D61">
      <w:pPr>
        <w:pStyle w:val="LO-normal1"/>
        <w:ind w:left="720"/>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39.</w:t>
      </w:r>
      <w:r>
        <w:rPr>
          <w:rFonts w:ascii="Times New Roman" w:eastAsia="Times New Roman" w:hAnsi="Times New Roman" w:cs="Times New Roman"/>
        </w:rPr>
        <w:tab/>
      </w:r>
      <w:r>
        <w:rPr>
          <w:rFonts w:ascii="Times New Roman" w:eastAsia="Times New Roman" w:hAnsi="Times New Roman" w:cs="Times New Roman"/>
          <w:color w:val="000000"/>
        </w:rPr>
        <w:t>Aunque se ha iniciado la reconstrucción de las comunidades afectadas por los huracanes ETA y IOTA, se está muy lejos de lograr la estabilización económica y social de las mis</w:t>
      </w:r>
      <w:r>
        <w:rPr>
          <w:rFonts w:ascii="Times New Roman" w:eastAsia="Times New Roman" w:hAnsi="Times New Roman" w:cs="Times New Roman"/>
          <w:color w:val="000000"/>
        </w:rPr>
        <w:t xml:space="preserve">mas hasta alcanzar el estado previo a estos fenómenos. El respaldo gubernamental ha sido puntual y reducido en relación al nivel de daños en la infraestructura y las actividades productivas de las comunidades y se requerirá </w:t>
      </w:r>
      <w:r>
        <w:rPr>
          <w:rFonts w:ascii="Times New Roman" w:eastAsia="Times New Roman" w:hAnsi="Times New Roman" w:cs="Times New Roman"/>
          <w:color w:val="000000"/>
        </w:rPr>
        <w:lastRenderedPageBreak/>
        <w:t xml:space="preserve">de varios años más hasta lograr </w:t>
      </w:r>
      <w:r>
        <w:rPr>
          <w:rFonts w:ascii="Times New Roman" w:eastAsia="Times New Roman" w:hAnsi="Times New Roman" w:cs="Times New Roman"/>
          <w:color w:val="000000"/>
        </w:rPr>
        <w:t>la mejoría. Eventos similares ocurridos con anterioridad (Huracán Joan 1988, Huracán Félix 2007) muestran que el proceso de recuperación material de los daños requiere de al menos entre 3 a 5 años, debido a que el apoyo gubernamental desaparece antes del a</w:t>
      </w:r>
      <w:r>
        <w:rPr>
          <w:rFonts w:ascii="Times New Roman" w:eastAsia="Times New Roman" w:hAnsi="Times New Roman" w:cs="Times New Roman"/>
          <w:color w:val="000000"/>
        </w:rPr>
        <w:t xml:space="preserve">ño de ocurrido el evento. Todo indica que esta misma situación se presentará en las comunidades afectadas por los dos huracanes ocurridos en noviembre del 2020. </w:t>
      </w:r>
    </w:p>
    <w:p w:rsidR="00505D61" w:rsidRDefault="00505D61">
      <w:pPr>
        <w:pStyle w:val="LO-normal1"/>
        <w:spacing w:after="0" w:line="240" w:lineRule="auto"/>
        <w:jc w:val="both"/>
        <w:rPr>
          <w:rFonts w:ascii="Times New Roman" w:eastAsia="Times New Roman" w:hAnsi="Times New Roman" w:cs="Times New Roman"/>
          <w:b/>
          <w:color w:val="00206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color w:val="002060"/>
        </w:rPr>
        <w:t xml:space="preserve">VI  RECOMENDACIONES: </w:t>
      </w:r>
    </w:p>
    <w:p w:rsidR="00505D61" w:rsidRDefault="00505D61">
      <w:pPr>
        <w:pStyle w:val="LO-normal1"/>
        <w:ind w:left="720"/>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40.</w:t>
      </w:r>
      <w:r>
        <w:rPr>
          <w:rFonts w:ascii="Times New Roman" w:eastAsia="Times New Roman" w:hAnsi="Times New Roman" w:cs="Times New Roman"/>
        </w:rPr>
        <w:tab/>
      </w:r>
      <w:r>
        <w:rPr>
          <w:rFonts w:ascii="Times New Roman" w:eastAsia="Times New Roman" w:hAnsi="Times New Roman" w:cs="Times New Roman"/>
          <w:color w:val="000000"/>
        </w:rPr>
        <w:t xml:space="preserve">La autodeterminación de los Pueblos Indígenas de la Costa Caribe de Nicaragua constituye un elemento  central para que estos Pueblos gocen de manera efectiva los DESC. Desde esta perspectiva, instamos al Estado de Nicaragua, </w:t>
      </w:r>
      <w:r>
        <w:rPr>
          <w:rFonts w:ascii="Times New Roman" w:eastAsia="Times New Roman" w:hAnsi="Times New Roman" w:cs="Times New Roman"/>
        </w:rPr>
        <w:t>a crear</w:t>
      </w:r>
      <w:r>
        <w:rPr>
          <w:rFonts w:ascii="Times New Roman" w:eastAsia="Times New Roman" w:hAnsi="Times New Roman" w:cs="Times New Roman"/>
          <w:color w:val="000000"/>
        </w:rPr>
        <w:t xml:space="preserve"> las condiciones y mecan</w:t>
      </w:r>
      <w:r>
        <w:rPr>
          <w:rFonts w:ascii="Times New Roman" w:eastAsia="Times New Roman" w:hAnsi="Times New Roman" w:cs="Times New Roman"/>
          <w:color w:val="000000"/>
        </w:rPr>
        <w:t>ismos para que se haga efectivo el cumplimiento de estos derechos.  Un primer paso que debe tomar el Estado, es respetar las formas tradicionales de elecciones de autoridades de los gobiernos comunales y territoriales en la Costa Caribe de Nicaragua, sin i</w:t>
      </w:r>
      <w:r>
        <w:rPr>
          <w:rFonts w:ascii="Times New Roman" w:eastAsia="Times New Roman" w:hAnsi="Times New Roman" w:cs="Times New Roman"/>
          <w:color w:val="000000"/>
        </w:rPr>
        <w:t>njerencia de las estructuras de los gobiernos regionales y central.</w:t>
      </w:r>
    </w:p>
    <w:p w:rsidR="00505D61" w:rsidRDefault="00505D61">
      <w:pPr>
        <w:pStyle w:val="LO-normal1"/>
        <w:spacing w:after="0" w:line="240" w:lineRule="auto"/>
        <w:jc w:val="both"/>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41.</w:t>
      </w:r>
      <w:r>
        <w:rPr>
          <w:rFonts w:ascii="Times New Roman" w:eastAsia="Times New Roman" w:hAnsi="Times New Roman" w:cs="Times New Roman"/>
        </w:rPr>
        <w:tab/>
      </w:r>
      <w:r>
        <w:rPr>
          <w:rFonts w:ascii="Times New Roman" w:eastAsia="Times New Roman" w:hAnsi="Times New Roman" w:cs="Times New Roman"/>
          <w:color w:val="000000"/>
        </w:rPr>
        <w:t xml:space="preserve"> Se hace necesario que el Estado de Nicaragua respete el principio del consentimiento libre, previo e informado previsto en el Convenio No. 169 y en la Declaración de las Naciones Uni</w:t>
      </w:r>
      <w:r>
        <w:rPr>
          <w:rFonts w:ascii="Times New Roman" w:eastAsia="Times New Roman" w:hAnsi="Times New Roman" w:cs="Times New Roman"/>
          <w:color w:val="000000"/>
        </w:rPr>
        <w:t>das sobre los Derechos de los Pueblos Indígenas y adopte medidas efectivas, en consulta con los pueblos indígenas,  aplicando este derecho particularmente en programas sociales, culturales y ambientales que ejecute el Estado de Nicaragua en territorios ind</w:t>
      </w:r>
      <w:r>
        <w:rPr>
          <w:rFonts w:ascii="Times New Roman" w:eastAsia="Times New Roman" w:hAnsi="Times New Roman" w:cs="Times New Roman"/>
          <w:color w:val="000000"/>
        </w:rPr>
        <w:t xml:space="preserve">ígenas y previo a la concesión de cualquier proyecto en los territorios indígenas. </w:t>
      </w:r>
    </w:p>
    <w:p w:rsidR="00505D61" w:rsidRDefault="00505D61">
      <w:pPr>
        <w:pStyle w:val="LO-normal1"/>
        <w:ind w:left="720"/>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42.</w:t>
      </w:r>
      <w:r>
        <w:rPr>
          <w:rFonts w:ascii="Times New Roman" w:eastAsia="Times New Roman" w:hAnsi="Times New Roman" w:cs="Times New Roman"/>
        </w:rPr>
        <w:tab/>
      </w:r>
      <w:r>
        <w:rPr>
          <w:rFonts w:ascii="Times New Roman" w:eastAsia="Times New Roman" w:hAnsi="Times New Roman" w:cs="Times New Roman"/>
          <w:color w:val="000000"/>
        </w:rPr>
        <w:t xml:space="preserve"> Instamos al Estado de Nicaragua, a implementar programas sociales en comunidades donde la presencia del Estado es casi nula y los índices de pobreza son extremadament</w:t>
      </w:r>
      <w:r>
        <w:rPr>
          <w:rFonts w:ascii="Times New Roman" w:eastAsia="Times New Roman" w:hAnsi="Times New Roman" w:cs="Times New Roman"/>
          <w:color w:val="000000"/>
        </w:rPr>
        <w:t>e altos, que se expresa a través de la inseguridad alimentaria, caso particular de las comunidades del territorio Wangky Maya, ubicados en el municipio de Waspam Río Coco.</w:t>
      </w:r>
    </w:p>
    <w:p w:rsidR="00505D61" w:rsidRDefault="00505D61">
      <w:pPr>
        <w:pStyle w:val="LO-normal1"/>
        <w:ind w:left="720"/>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43.</w:t>
      </w:r>
      <w:r>
        <w:rPr>
          <w:rFonts w:ascii="Times New Roman" w:eastAsia="Times New Roman" w:hAnsi="Times New Roman" w:cs="Times New Roman"/>
        </w:rPr>
        <w:tab/>
      </w:r>
      <w:r>
        <w:rPr>
          <w:rFonts w:ascii="Times New Roman" w:eastAsia="Times New Roman" w:hAnsi="Times New Roman" w:cs="Times New Roman"/>
          <w:color w:val="000000"/>
        </w:rPr>
        <w:t>Exigimos al Estado de Nicaragua concluir la última etapa de demarcación (saneam</w:t>
      </w:r>
      <w:r>
        <w:rPr>
          <w:rFonts w:ascii="Times New Roman" w:eastAsia="Times New Roman" w:hAnsi="Times New Roman" w:cs="Times New Roman"/>
          <w:color w:val="000000"/>
        </w:rPr>
        <w:t>iento) de los territorios que integran las Regiones Autónomas de la Costa Caribe de Nicaragua. La falta de cumplimiento de esta etapa está causando una serie de situaciones que afecta la capacidad de los Pueblos Indígenas a beneficiarse de los derechos eco</w:t>
      </w:r>
      <w:r>
        <w:rPr>
          <w:rFonts w:ascii="Times New Roman" w:eastAsia="Times New Roman" w:hAnsi="Times New Roman" w:cs="Times New Roman"/>
          <w:color w:val="000000"/>
        </w:rPr>
        <w:t xml:space="preserve">nómicos, sociales y culturales. </w:t>
      </w:r>
    </w:p>
    <w:p w:rsidR="00505D61" w:rsidRDefault="00505D61">
      <w:pPr>
        <w:pStyle w:val="LO-normal1"/>
        <w:ind w:left="720"/>
        <w:rPr>
          <w:rFonts w:ascii="Times New Roman" w:eastAsia="Times New Roman" w:hAnsi="Times New Roman" w:cs="Times New Roman"/>
          <w:color w:val="000000"/>
        </w:rPr>
      </w:pPr>
    </w:p>
    <w:p w:rsidR="00505D61" w:rsidRDefault="007F6DAC">
      <w:pPr>
        <w:pStyle w:val="LO-normal1"/>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44.</w:t>
      </w:r>
      <w:r>
        <w:rPr>
          <w:rFonts w:ascii="Times New Roman" w:eastAsia="Times New Roman" w:hAnsi="Times New Roman" w:cs="Times New Roman"/>
        </w:rPr>
        <w:tab/>
      </w:r>
      <w:r>
        <w:rPr>
          <w:rFonts w:ascii="Times New Roman" w:eastAsia="Times New Roman" w:hAnsi="Times New Roman" w:cs="Times New Roman"/>
          <w:color w:val="000000"/>
        </w:rPr>
        <w:t xml:space="preserve">Exigimos al Estado de Nicaragua investigar las muertes y los hechos violentos que se dan en el contexto de las invasiones de los colonos y a sancionar debidamente a las personas responsables, incluidas las autoridades </w:t>
      </w:r>
      <w:r>
        <w:rPr>
          <w:rFonts w:ascii="Times New Roman" w:eastAsia="Times New Roman" w:hAnsi="Times New Roman" w:cs="Times New Roman"/>
          <w:color w:val="000000"/>
        </w:rPr>
        <w:t xml:space="preserve">que por años han incumplido su obligación de garantizar a las familias y a las personas </w:t>
      </w:r>
      <w:r>
        <w:rPr>
          <w:rFonts w:ascii="Times New Roman" w:eastAsia="Times New Roman" w:hAnsi="Times New Roman" w:cs="Times New Roman"/>
        </w:rPr>
        <w:t>sobrevivientes</w:t>
      </w:r>
      <w:r>
        <w:rPr>
          <w:rFonts w:ascii="Times New Roman" w:eastAsia="Times New Roman" w:hAnsi="Times New Roman" w:cs="Times New Roman"/>
          <w:color w:val="000000"/>
        </w:rPr>
        <w:t xml:space="preserve"> acceder a la justicia.</w:t>
      </w:r>
    </w:p>
    <w:p w:rsidR="00505D61" w:rsidRDefault="00505D61">
      <w:pPr>
        <w:pStyle w:val="LO-normal1"/>
        <w:spacing w:after="0" w:line="240" w:lineRule="auto"/>
        <w:ind w:left="720"/>
        <w:jc w:val="both"/>
        <w:rPr>
          <w:rFonts w:ascii="Times New Roman" w:eastAsia="Times New Roman" w:hAnsi="Times New Roman" w:cs="Times New Roman"/>
          <w:color w:val="000000"/>
        </w:rPr>
      </w:pPr>
    </w:p>
    <w:sectPr w:rsidR="00505D61">
      <w:headerReference w:type="default" r:id="rId9"/>
      <w:footerReference w:type="default" r:id="rId10"/>
      <w:footerReference w:type="first" r:id="rId11"/>
      <w:pgSz w:w="12240" w:h="15840"/>
      <w:pgMar w:top="1797" w:right="1554" w:bottom="2517" w:left="1712" w:header="0" w:footer="0" w:gutter="0"/>
      <w:pgNumType w:start="1"/>
      <w:cols w:space="720"/>
      <w:formProt w:val="0"/>
      <w:titlePg/>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F6DAC">
      <w:pPr>
        <w:spacing w:after="0" w:line="240" w:lineRule="auto"/>
      </w:pPr>
      <w:r>
        <w:separator/>
      </w:r>
    </w:p>
  </w:endnote>
  <w:endnote w:type="continuationSeparator" w:id="0">
    <w:p w:rsidR="00000000" w:rsidRDefault="007F6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1"/>
    <w:family w:val="auto"/>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D61" w:rsidRDefault="00505D61">
    <w:pPr>
      <w:pStyle w:val="LO-normal1"/>
      <w:tabs>
        <w:tab w:val="center" w:pos="4419"/>
        <w:tab w:val="right" w:pos="8838"/>
      </w:tabs>
      <w:spacing w:after="0" w:line="240" w:lineRule="auto"/>
      <w:jc w:val="center"/>
      <w:rPr>
        <w:rFonts w:ascii="Times New Roman" w:eastAsia="Times New Roman" w:hAnsi="Times New Roman" w:cs="Times New Roman"/>
        <w:sz w:val="16"/>
        <w:szCs w:val="16"/>
      </w:rPr>
    </w:pPr>
  </w:p>
  <w:p w:rsidR="00505D61" w:rsidRDefault="007F6DAC">
    <w:pPr>
      <w:pStyle w:val="LO-normal1"/>
      <w:tabs>
        <w:tab w:val="center" w:pos="4419"/>
        <w:tab w:val="right" w:pos="8838"/>
      </w:tabs>
      <w:spacing w:after="0" w:line="240" w:lineRule="auto"/>
      <w:jc w:val="center"/>
      <w:rPr>
        <w:color w:val="000000"/>
      </w:rPr>
    </w:pPr>
    <w:r>
      <w:t xml:space="preserve"> </w:t>
    </w:r>
  </w:p>
  <w:p w:rsidR="00505D61" w:rsidRDefault="00505D61">
    <w:pPr>
      <w:pStyle w:val="LO-normal1"/>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D61" w:rsidRDefault="00505D61">
    <w:pPr>
      <w:pStyle w:val="LO-normal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D61" w:rsidRDefault="00505D61">
      <w:pPr>
        <w:pStyle w:val="LO-normal1"/>
        <w:rPr>
          <w:sz w:val="12"/>
        </w:rPr>
      </w:pPr>
    </w:p>
  </w:footnote>
  <w:footnote w:type="continuationSeparator" w:id="0">
    <w:p w:rsidR="00505D61" w:rsidRDefault="00505D61">
      <w:pPr>
        <w:pStyle w:val="LO-normal1"/>
        <w:rPr>
          <w:sz w:val="12"/>
        </w:rPr>
      </w:pPr>
    </w:p>
  </w:footnote>
  <w:footnote w:id="1">
    <w:p w:rsidR="00505D61" w:rsidRDefault="007F6DAC">
      <w:pPr>
        <w:pStyle w:val="LO-normal1"/>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222222"/>
          <w:sz w:val="16"/>
          <w:szCs w:val="16"/>
        </w:rPr>
        <w:t xml:space="preserve">CEJUDHCAN es una organización no gubernamental, </w:t>
      </w:r>
      <w:r>
        <w:rPr>
          <w:rFonts w:ascii="Times New Roman" w:eastAsia="Times New Roman" w:hAnsi="Times New Roman" w:cs="Times New Roman"/>
          <w:color w:val="222222"/>
          <w:sz w:val="16"/>
          <w:szCs w:val="16"/>
        </w:rPr>
        <w:t>creada en el año 2003, constituida como asociación e integrada por profesionales indígenas y no indígenas, política, sin fines de lucro y de carácter humanitario dedicada a la promoción y defensa de los derechos humanos con enfoque sobre los derechos terri</w:t>
      </w:r>
      <w:r>
        <w:rPr>
          <w:rFonts w:ascii="Times New Roman" w:eastAsia="Times New Roman" w:hAnsi="Times New Roman" w:cs="Times New Roman"/>
          <w:color w:val="222222"/>
          <w:sz w:val="16"/>
          <w:szCs w:val="16"/>
        </w:rPr>
        <w:t>toriales.</w:t>
      </w:r>
    </w:p>
  </w:footnote>
  <w:footnote w:id="2">
    <w:p w:rsidR="00505D61" w:rsidRDefault="007F6DAC">
      <w:pPr>
        <w:pStyle w:val="LO-normal1"/>
        <w:spacing w:after="0" w:line="240" w:lineRule="auto"/>
        <w:jc w:val="both"/>
        <w:rPr>
          <w:rFonts w:ascii="Times New Roman" w:eastAsia="Times New Roman" w:hAnsi="Times New Roman" w:cs="Times New Roman"/>
          <w:color w:val="000000"/>
          <w:sz w:val="16"/>
          <w:szCs w:val="16"/>
          <w:highlight w:val="yellow"/>
        </w:rPr>
      </w:pPr>
      <w:r>
        <w:rPr>
          <w:rStyle w:val="Caracteresdenotaalpie"/>
        </w:rPr>
        <w:footnoteRef/>
      </w:r>
      <w:r>
        <w:rPr>
          <w:rFonts w:ascii="Times New Roman" w:eastAsia="Times New Roman" w:hAnsi="Times New Roman" w:cs="Times New Roman"/>
          <w:color w:val="000000"/>
          <w:sz w:val="16"/>
          <w:szCs w:val="16"/>
        </w:rPr>
        <w:t xml:space="preserve"> Los territorios y municipios son: Territorio Wangki Twi - Tasba Raya, Territorio Li Aubra, Territorio Wangki Maya (municipio de Waspam), Territorio Karata, Territorio Twi Waupasa, Territorio Twi Yahbra, (municipio de Puerto Cabezas), Territorio</w:t>
      </w:r>
      <w:r>
        <w:rPr>
          <w:rFonts w:ascii="Times New Roman" w:eastAsia="Times New Roman" w:hAnsi="Times New Roman" w:cs="Times New Roman"/>
          <w:color w:val="000000"/>
          <w:sz w:val="16"/>
          <w:szCs w:val="16"/>
        </w:rPr>
        <w:t xml:space="preserve"> Tuahka (municipio de Rosita) y Territorio Prinzu Awala (municipio de Prinzapolka). Los 8 territorios aglutinan un total de 129 comunidades indígenas, de las cuales se definió una Muestra de 51 de ellas (40% del total) para analizar la situación de los der</w:t>
      </w:r>
      <w:r>
        <w:rPr>
          <w:rFonts w:ascii="Times New Roman" w:eastAsia="Times New Roman" w:hAnsi="Times New Roman" w:cs="Times New Roman"/>
          <w:color w:val="000000"/>
          <w:sz w:val="16"/>
          <w:szCs w:val="16"/>
        </w:rPr>
        <w:t xml:space="preserve">echos DESC y poder inferir – en base a los resultados obtenidos – el estado de los mismos en el resto de comunidades. La consulta contó con la participación de representantes de las principales comunidades (mujeres, jóvenes, hombres, líderes), mediante la </w:t>
      </w:r>
      <w:r>
        <w:rPr>
          <w:rFonts w:ascii="Times New Roman" w:eastAsia="Times New Roman" w:hAnsi="Times New Roman" w:cs="Times New Roman"/>
          <w:color w:val="000000"/>
          <w:sz w:val="16"/>
          <w:szCs w:val="16"/>
        </w:rPr>
        <w:t>realización de 13 sesiones grupales, de las cuales, 5 han sido con mujeres, 3 con jóvenes y 5, mixtas (hombres y mujeres), periodo de febrero – abril 2021.</w:t>
      </w:r>
    </w:p>
  </w:footnote>
  <w:footnote w:id="3">
    <w:p w:rsidR="00505D61" w:rsidRDefault="007F6DAC">
      <w:pPr>
        <w:pStyle w:val="LO-normal1"/>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2"/>
          <w:szCs w:val="12"/>
        </w:rPr>
        <w:t xml:space="preserve"> </w:t>
      </w:r>
      <w:r>
        <w:rPr>
          <w:rFonts w:ascii="Times New Roman" w:eastAsia="Times New Roman" w:hAnsi="Times New Roman" w:cs="Times New Roman"/>
          <w:color w:val="000000"/>
          <w:sz w:val="16"/>
          <w:szCs w:val="16"/>
        </w:rPr>
        <w:t>Constitución Política de Nicaragua del 2014. Artículo 5. […]El Estado reconoce la existencia de lo</w:t>
      </w:r>
      <w:r>
        <w:rPr>
          <w:rFonts w:ascii="Times New Roman" w:eastAsia="Times New Roman" w:hAnsi="Times New Roman" w:cs="Times New Roman"/>
          <w:color w:val="000000"/>
          <w:sz w:val="16"/>
          <w:szCs w:val="16"/>
        </w:rPr>
        <w:t xml:space="preserve">s pueblos originarios y afrodescendientes, que gozan de los derechos, deberes y garantías consignados en la Constitución y en especial, los de mantener y desarrollar su identidad y cultura, tener sus propias formas de organización social y administrar sus </w:t>
      </w:r>
      <w:r>
        <w:rPr>
          <w:rFonts w:ascii="Times New Roman" w:eastAsia="Times New Roman" w:hAnsi="Times New Roman" w:cs="Times New Roman"/>
          <w:color w:val="000000"/>
          <w:sz w:val="16"/>
          <w:szCs w:val="16"/>
        </w:rPr>
        <w:t>asuntos locales; así como mantener las formas comunales de propiedad de sus tierras y el goce, uso y disfrute, todo de conformidad con la Ley. Para las comunidades de la Costa Caribe se establece el régimen de autonomía en la presente Constitución.</w:t>
      </w:r>
    </w:p>
  </w:footnote>
  <w:footnote w:id="4">
    <w:p w:rsidR="00505D61" w:rsidRDefault="007F6DAC">
      <w:pPr>
        <w:pStyle w:val="LO-normal1"/>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6"/>
          <w:szCs w:val="16"/>
        </w:rPr>
        <w:t xml:space="preserve"> Ver L</w:t>
      </w:r>
      <w:r>
        <w:rPr>
          <w:rFonts w:ascii="Times New Roman" w:eastAsia="Times New Roman" w:hAnsi="Times New Roman" w:cs="Times New Roman"/>
          <w:color w:val="000000"/>
          <w:sz w:val="16"/>
          <w:szCs w:val="16"/>
        </w:rPr>
        <w:t>ey 28</w:t>
      </w:r>
      <w:r>
        <w:rPr>
          <w:rFonts w:ascii="Times New Roman" w:eastAsia="Times New Roman" w:hAnsi="Times New Roman" w:cs="Times New Roman"/>
          <w:i/>
          <w:color w:val="000000"/>
          <w:sz w:val="16"/>
          <w:szCs w:val="16"/>
        </w:rPr>
        <w:t xml:space="preserve"> Estatuto de Autonomía de las Regiones de la Costa Atlántica de Nicaragua</w:t>
      </w:r>
      <w:r>
        <w:rPr>
          <w:rFonts w:ascii="Times New Roman" w:eastAsia="Times New Roman" w:hAnsi="Times New Roman" w:cs="Times New Roman"/>
          <w:color w:val="000000"/>
          <w:sz w:val="16"/>
          <w:szCs w:val="16"/>
        </w:rPr>
        <w:t>, Diario Oficial la Gaceta número (30 de Octubre de 1987). [en adelante, “Estatuto de Autonomía” o “Ley 28”].</w:t>
      </w:r>
      <w:r>
        <w:rPr>
          <w:rFonts w:ascii="Times New Roman" w:eastAsia="Times New Roman" w:hAnsi="Times New Roman" w:cs="Times New Roman"/>
          <w:sz w:val="16"/>
          <w:szCs w:val="16"/>
        </w:rPr>
        <w:t xml:space="preserve"> </w:t>
      </w:r>
      <w:r>
        <w:rPr>
          <w:rFonts w:ascii="Times New Roman" w:eastAsia="Times New Roman" w:hAnsi="Times New Roman" w:cs="Times New Roman"/>
          <w:color w:val="000000"/>
          <w:sz w:val="16"/>
          <w:szCs w:val="16"/>
        </w:rPr>
        <w:t xml:space="preserve">Ley No. 445 </w:t>
      </w:r>
      <w:r>
        <w:rPr>
          <w:rFonts w:ascii="Times New Roman" w:eastAsia="Times New Roman" w:hAnsi="Times New Roman" w:cs="Times New Roman"/>
          <w:i/>
          <w:color w:val="000000"/>
          <w:sz w:val="16"/>
          <w:szCs w:val="16"/>
        </w:rPr>
        <w:t xml:space="preserve">Ley del Régimen de Propiedad Comunal de los Pueblos </w:t>
      </w:r>
      <w:r>
        <w:rPr>
          <w:rFonts w:ascii="Times New Roman" w:eastAsia="Times New Roman" w:hAnsi="Times New Roman" w:cs="Times New Roman"/>
          <w:i/>
          <w:color w:val="000000"/>
          <w:sz w:val="16"/>
          <w:szCs w:val="16"/>
        </w:rPr>
        <w:t>Indígenas y Comunidades Étnicas de las Regiones Autónomas de la Costa Atlántica de Nicaragua y de los Ríos Bocay, Coco, Indio y  Maíz</w:t>
      </w:r>
      <w:r>
        <w:rPr>
          <w:rFonts w:ascii="Times New Roman" w:eastAsia="Times New Roman" w:hAnsi="Times New Roman" w:cs="Times New Roman"/>
          <w:color w:val="000000"/>
          <w:sz w:val="16"/>
          <w:szCs w:val="16"/>
        </w:rPr>
        <w:t>, Diario Oficial la Gaceta, (23 de enero de 2003) [en adelante, “Ley No. 445” ]</w:t>
      </w:r>
    </w:p>
  </w:footnote>
  <w:footnote w:id="5">
    <w:p w:rsidR="00505D61" w:rsidRDefault="007F6DAC">
      <w:pPr>
        <w:pStyle w:val="LO-normal1"/>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2"/>
          <w:szCs w:val="12"/>
        </w:rPr>
        <w:t xml:space="preserve">  </w:t>
      </w:r>
      <w:r>
        <w:rPr>
          <w:rFonts w:ascii="Times New Roman" w:eastAsia="Times New Roman" w:hAnsi="Times New Roman" w:cs="Times New Roman"/>
          <w:color w:val="000000"/>
          <w:sz w:val="16"/>
          <w:szCs w:val="16"/>
        </w:rPr>
        <w:t>La Asamblea Nacional de Nicaragua aprobó</w:t>
      </w:r>
      <w:r>
        <w:rPr>
          <w:rFonts w:ascii="Times New Roman" w:eastAsia="Times New Roman" w:hAnsi="Times New Roman" w:cs="Times New Roman"/>
          <w:color w:val="000000"/>
          <w:sz w:val="16"/>
          <w:szCs w:val="16"/>
        </w:rPr>
        <w:t xml:space="preserve"> el Convenio 169 sobre Pueblos Indígenas y Tribales en Países Independientes de la Organización Internacional del Trabajo, el 6 de mayo del 2010. Decreto No. 5934, Diario Oficial La Gaceta (4 de Junio del 2010). [en adelante “Convenio 169 de la OIT” o “Con</w:t>
      </w:r>
      <w:r>
        <w:rPr>
          <w:rFonts w:ascii="Times New Roman" w:eastAsia="Times New Roman" w:hAnsi="Times New Roman" w:cs="Times New Roman"/>
          <w:color w:val="000000"/>
          <w:sz w:val="16"/>
          <w:szCs w:val="16"/>
        </w:rPr>
        <w:t>venio”].</w:t>
      </w:r>
    </w:p>
  </w:footnote>
  <w:footnote w:id="6">
    <w:p w:rsidR="00505D61" w:rsidRDefault="007F6DAC">
      <w:pPr>
        <w:pStyle w:val="LO-normal1"/>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6"/>
          <w:szCs w:val="16"/>
        </w:rPr>
        <w:t xml:space="preserve"> CIDH. Medida cautelar 505-15. Pueblo Indígena Miskitu de Wangki Twi- Tasba Raya respecto de Nicaragua.  Resolución 37/15 de 14 de octubre de 2015, resolución 2/16 de 16 de enero de 2016 y Resolución 44/16 de 8 de agosto de 2016. Disponibles en: </w:t>
      </w:r>
      <w:hyperlink r:id="rId1">
        <w:r>
          <w:rPr>
            <w:rFonts w:ascii="Times New Roman" w:eastAsia="Times New Roman" w:hAnsi="Times New Roman" w:cs="Times New Roman"/>
            <w:color w:val="1155CC"/>
            <w:sz w:val="16"/>
            <w:szCs w:val="16"/>
            <w:u w:val="single"/>
          </w:rPr>
          <w:t>http://www.oas.org/es/cidh/decisiones/cautelares.asp</w:t>
        </w:r>
      </w:hyperlink>
      <w:r>
        <w:rPr>
          <w:rFonts w:ascii="Times New Roman" w:eastAsia="Times New Roman" w:hAnsi="Times New Roman" w:cs="Times New Roman"/>
          <w:color w:val="000000"/>
          <w:sz w:val="16"/>
          <w:szCs w:val="16"/>
        </w:rPr>
        <w:t xml:space="preserve">  </w:t>
      </w:r>
    </w:p>
    <w:p w:rsidR="00505D61" w:rsidRDefault="007F6DAC">
      <w:pPr>
        <w:pStyle w:val="LO-normal1"/>
        <w:spacing w:after="0" w:line="240" w:lineRule="auto"/>
        <w:jc w:val="both"/>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Corte IDH. Asunto Pobladores de las Comunidades del Pueblo Indígena Miskitu de la Región Costa Caribe Norte Resolución de la Cort</w:t>
      </w:r>
      <w:r>
        <w:rPr>
          <w:rFonts w:ascii="Times New Roman" w:eastAsia="Times New Roman" w:hAnsi="Times New Roman" w:cs="Times New Roman"/>
          <w:color w:val="000000"/>
          <w:sz w:val="16"/>
          <w:szCs w:val="16"/>
        </w:rPr>
        <w:t xml:space="preserve">e IDH de 1 de septiembre de 2016. Resolutivos 1 y 2. Disponible en </w:t>
      </w:r>
      <w:hyperlink r:id="rId2">
        <w:r>
          <w:rPr>
            <w:rFonts w:ascii="Times New Roman" w:eastAsia="Times New Roman" w:hAnsi="Times New Roman" w:cs="Times New Roman"/>
            <w:color w:val="1155CC"/>
            <w:sz w:val="16"/>
            <w:szCs w:val="16"/>
            <w:u w:val="single"/>
          </w:rPr>
          <w:t>http://www.corteidh.or.cr/docs/medidas/miskitu_se_01.pdf</w:t>
        </w:r>
      </w:hyperlink>
      <w:r>
        <w:rPr>
          <w:rFonts w:ascii="Times New Roman" w:eastAsia="Times New Roman" w:hAnsi="Times New Roman" w:cs="Times New Roman"/>
          <w:color w:val="000000"/>
          <w:sz w:val="16"/>
          <w:szCs w:val="16"/>
        </w:rPr>
        <w:t xml:space="preserve">  Corte IDH. Asunto Pobladores de las Comunidades del Pueblo Indígena Miskitu de la Región Costa Caribe Norte. Resolución de la Corte IDH de 23 de noviembre de 2016. Disponible en </w:t>
      </w:r>
      <w:hyperlink r:id="rId3">
        <w:r>
          <w:rPr>
            <w:rFonts w:ascii="Times New Roman" w:eastAsia="Times New Roman" w:hAnsi="Times New Roman" w:cs="Times New Roman"/>
            <w:color w:val="1155CC"/>
            <w:sz w:val="16"/>
            <w:szCs w:val="16"/>
            <w:u w:val="single"/>
          </w:rPr>
          <w:t>h</w:t>
        </w:r>
        <w:r>
          <w:rPr>
            <w:rFonts w:ascii="Times New Roman" w:eastAsia="Times New Roman" w:hAnsi="Times New Roman" w:cs="Times New Roman"/>
            <w:color w:val="1155CC"/>
            <w:sz w:val="16"/>
            <w:szCs w:val="16"/>
            <w:u w:val="single"/>
          </w:rPr>
          <w:t>ttp://www.corteidh.or.cr/docs/medidas/miskitu_se_02.pd</w:t>
        </w:r>
      </w:hyperlink>
      <w:r>
        <w:rPr>
          <w:rFonts w:ascii="Times New Roman" w:eastAsia="Times New Roman" w:hAnsi="Times New Roman" w:cs="Times New Roman"/>
          <w:color w:val="000000"/>
          <w:sz w:val="16"/>
          <w:szCs w:val="16"/>
        </w:rPr>
        <w:t xml:space="preserve"> </w:t>
      </w:r>
    </w:p>
  </w:footnote>
  <w:footnote w:id="7">
    <w:p w:rsidR="00505D61" w:rsidRDefault="007F6DAC">
      <w:pPr>
        <w:pStyle w:val="LO-normal1"/>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2"/>
          <w:szCs w:val="12"/>
        </w:rPr>
        <w:t xml:space="preserve"> </w:t>
      </w:r>
      <w:r>
        <w:rPr>
          <w:rFonts w:ascii="Times New Roman" w:eastAsia="Times New Roman" w:hAnsi="Times New Roman" w:cs="Times New Roman"/>
          <w:color w:val="000000"/>
          <w:sz w:val="16"/>
          <w:szCs w:val="16"/>
        </w:rPr>
        <w:t xml:space="preserve"> Los territorios indígenas y afrodescendientes son:  en la RACCN.  1. Mayangna Sauni As, 2. Li Lamni Tasbaika Kum, 3. Territorio Indígena y Afrodescendientes de KARATA, 4. Awas Tingni (AMASAU), 5. M</w:t>
      </w:r>
      <w:r>
        <w:rPr>
          <w:rFonts w:ascii="Times New Roman" w:eastAsia="Times New Roman" w:hAnsi="Times New Roman" w:cs="Times New Roman"/>
          <w:color w:val="000000"/>
          <w:sz w:val="16"/>
          <w:szCs w:val="16"/>
        </w:rPr>
        <w:t>ayangna Sauni Bas "SIKILTA", 6. Wangki Li Aubra Tasbaika, 7. Tuahka Takaln Balna, 8. Mayangna Sauni Arungka "MATUMBAK", 9. Wangki Twi- Tasba Raya, 10. Prinzu Awala, 11. Wangki Maya, 12. TAWIRA, 13. Prinsu Auhya, 14. Twi Waupasa, 15. Twi Yahabra (10 Comunid</w:t>
      </w:r>
      <w:r>
        <w:rPr>
          <w:rFonts w:ascii="Times New Roman" w:eastAsia="Times New Roman" w:hAnsi="Times New Roman" w:cs="Times New Roman"/>
          <w:color w:val="000000"/>
          <w:sz w:val="16"/>
          <w:szCs w:val="16"/>
        </w:rPr>
        <w:t>ades) y 16. Indígena Miskitu de Tasba Pri. En la RACCS son: 1. RAMA y KRIOL, 2. Doce Comunidades Indígenas y Afrodescendientes, 3. Awaltara Luhpia Nani Tasbaya y 4. Territorio Bluefields Creole:  y en  Zona del Régimen Especial Alto Wanki: 1.Kipla Sait Tas</w:t>
      </w:r>
      <w:r>
        <w:rPr>
          <w:rFonts w:ascii="Times New Roman" w:eastAsia="Times New Roman" w:hAnsi="Times New Roman" w:cs="Times New Roman"/>
          <w:color w:val="000000"/>
          <w:sz w:val="16"/>
          <w:szCs w:val="16"/>
        </w:rPr>
        <w:t>baika, 2. Miskitu Indian Tasbaika Kum y 3. Mayangna Sauni Bu</w:t>
      </w:r>
    </w:p>
    <w:p w:rsidR="00505D61" w:rsidRDefault="00505D61">
      <w:pPr>
        <w:pStyle w:val="LO-normal1"/>
        <w:spacing w:after="0" w:line="240" w:lineRule="auto"/>
        <w:rPr>
          <w:rFonts w:ascii="Times New Roman" w:eastAsia="Times New Roman" w:hAnsi="Times New Roman" w:cs="Times New Roman"/>
          <w:color w:val="000000"/>
          <w:sz w:val="12"/>
          <w:szCs w:val="12"/>
        </w:rPr>
      </w:pPr>
    </w:p>
  </w:footnote>
  <w:footnote w:id="8">
    <w:p w:rsidR="00505D61" w:rsidRDefault="007F6DAC">
      <w:pPr>
        <w:pStyle w:val="LO-normal1"/>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6"/>
          <w:szCs w:val="16"/>
        </w:rPr>
        <w:t xml:space="preserve"> El pasado 7 de agosto del 2021, líderes indígenas denunciaron que 24 gobiernos territoriales indígenas y afrodescendientes, fueron obligados a firmar una proclama en respaldo al actual preside</w:t>
      </w:r>
      <w:r>
        <w:rPr>
          <w:rFonts w:ascii="Times New Roman" w:eastAsia="Times New Roman" w:hAnsi="Times New Roman" w:cs="Times New Roman"/>
          <w:color w:val="000000"/>
          <w:sz w:val="16"/>
          <w:szCs w:val="16"/>
        </w:rPr>
        <w:t>nte Daniel Ortega quien es el candidato presidencial junto a su esposa Rosario Murrillo, para las próximas elecciones del noviembre 2021, de no firmarlo no recibirán la transferencia presupuestaria que se le designa</w:t>
      </w:r>
      <w:r>
        <w:rPr>
          <w:color w:val="000000"/>
          <w:sz w:val="16"/>
          <w:szCs w:val="16"/>
        </w:rPr>
        <w:t xml:space="preserve"> </w:t>
      </w:r>
      <w:r>
        <w:rPr>
          <w:rFonts w:ascii="Times New Roman" w:eastAsia="Times New Roman" w:hAnsi="Times New Roman" w:cs="Times New Roman"/>
          <w:color w:val="000000"/>
          <w:sz w:val="16"/>
          <w:szCs w:val="16"/>
        </w:rPr>
        <w:t>cada año a las comunidades. ver: https:/</w:t>
      </w:r>
      <w:r>
        <w:rPr>
          <w:rFonts w:ascii="Times New Roman" w:eastAsia="Times New Roman" w:hAnsi="Times New Roman" w:cs="Times New Roman"/>
          <w:color w:val="000000"/>
          <w:sz w:val="16"/>
          <w:szCs w:val="16"/>
        </w:rPr>
        <w:t>/www.laprensa.com.ni/2021/08/19/politica/2867129-denuncian-que-gobiernos-indigenas-y-afrodescendientes-fueron-obligados-a-firmar-respaldo-al-partido-gobernante-dirigente-indigena-lo-niega</w:t>
      </w:r>
    </w:p>
    <w:p w:rsidR="00505D61" w:rsidRDefault="00505D61">
      <w:pPr>
        <w:pStyle w:val="LO-normal1"/>
        <w:spacing w:after="0" w:line="240" w:lineRule="auto"/>
        <w:rPr>
          <w:rFonts w:ascii="Times New Roman" w:eastAsia="Times New Roman" w:hAnsi="Times New Roman" w:cs="Times New Roman"/>
          <w:color w:val="000000"/>
          <w:sz w:val="12"/>
          <w:szCs w:val="12"/>
        </w:rPr>
      </w:pPr>
    </w:p>
  </w:footnote>
  <w:footnote w:id="9">
    <w:p w:rsidR="00505D61" w:rsidRDefault="007F6DAC">
      <w:pPr>
        <w:pStyle w:val="LO-normal1"/>
        <w:tabs>
          <w:tab w:val="left" w:pos="284"/>
        </w:tabs>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2"/>
          <w:szCs w:val="12"/>
        </w:rPr>
        <w:tab/>
      </w:r>
      <w:r>
        <w:rPr>
          <w:rFonts w:ascii="Times New Roman" w:eastAsia="Times New Roman" w:hAnsi="Times New Roman" w:cs="Times New Roman"/>
          <w:color w:val="000000"/>
          <w:sz w:val="16"/>
          <w:szCs w:val="16"/>
        </w:rPr>
        <w:t xml:space="preserve">Los gobiernos paralelos son creados con el fin de desarticular </w:t>
      </w:r>
      <w:r>
        <w:rPr>
          <w:rFonts w:ascii="Times New Roman" w:eastAsia="Times New Roman" w:hAnsi="Times New Roman" w:cs="Times New Roman"/>
          <w:color w:val="000000"/>
          <w:sz w:val="16"/>
          <w:szCs w:val="16"/>
        </w:rPr>
        <w:t>los gobiernos tradicionales indígenas (GTI) a fin de lograr el control total de estas estructuras, tal y como ocurre con las alcaldías municipales, que las decisiones relevantes provienen de instancias administrativas que no tienen ese rol pero que lo ejer</w:t>
      </w:r>
      <w:r>
        <w:rPr>
          <w:rFonts w:ascii="Times New Roman" w:eastAsia="Times New Roman" w:hAnsi="Times New Roman" w:cs="Times New Roman"/>
          <w:color w:val="000000"/>
          <w:sz w:val="16"/>
          <w:szCs w:val="16"/>
        </w:rPr>
        <w:t>cen. En este caso, los Gobiernos Regionales juegan ese papel de control y a las autoridades que no lo aceptan, les niegan el reconocimiento de su estatus (certificación) o le condicionan la asignación presupuestaria que reciben los GTI, hasta lograr su ali</w:t>
      </w:r>
      <w:r>
        <w:rPr>
          <w:rFonts w:ascii="Times New Roman" w:eastAsia="Times New Roman" w:hAnsi="Times New Roman" w:cs="Times New Roman"/>
          <w:color w:val="000000"/>
          <w:sz w:val="16"/>
          <w:szCs w:val="16"/>
        </w:rPr>
        <w:t>neamiento político. Y aunque en la mayoría de las comunidades y territorios la población ha elegido sus autoridades al margen de esta estrategia, no gozan del reconocimiento de las instituciones del estado ni reciben la atención que requieren cuando realiz</w:t>
      </w:r>
      <w:r>
        <w:rPr>
          <w:rFonts w:ascii="Times New Roman" w:eastAsia="Times New Roman" w:hAnsi="Times New Roman" w:cs="Times New Roman"/>
          <w:color w:val="000000"/>
          <w:sz w:val="16"/>
          <w:szCs w:val="16"/>
        </w:rPr>
        <w:t>an gestiones propias de su cargo.</w:t>
      </w:r>
    </w:p>
    <w:p w:rsidR="00505D61" w:rsidRDefault="00505D61">
      <w:pPr>
        <w:pStyle w:val="LO-normal1"/>
        <w:tabs>
          <w:tab w:val="left" w:pos="284"/>
        </w:tabs>
        <w:spacing w:after="0" w:line="240" w:lineRule="auto"/>
        <w:ind w:left="284"/>
        <w:jc w:val="both"/>
        <w:rPr>
          <w:rFonts w:ascii="Times New Roman" w:eastAsia="Times New Roman" w:hAnsi="Times New Roman" w:cs="Times New Roman"/>
          <w:color w:val="000000"/>
          <w:sz w:val="12"/>
          <w:szCs w:val="12"/>
        </w:rPr>
      </w:pPr>
    </w:p>
  </w:footnote>
  <w:footnote w:id="10">
    <w:p w:rsidR="00505D61" w:rsidRDefault="007F6DAC">
      <w:pPr>
        <w:pStyle w:val="LO-normal1"/>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2"/>
          <w:szCs w:val="12"/>
        </w:rPr>
        <w:t xml:space="preserve"> </w:t>
      </w:r>
      <w:r>
        <w:rPr>
          <w:rFonts w:ascii="Times New Roman" w:eastAsia="Times New Roman" w:hAnsi="Times New Roman" w:cs="Times New Roman"/>
          <w:color w:val="000000"/>
          <w:sz w:val="16"/>
          <w:szCs w:val="16"/>
        </w:rPr>
        <w:t>El Territorio Wangki Twi- Tasba Raya lo integra veinte y uno (21) comunidades Miskitu: 1.Waspam, 2.Ulwas, 3.Saupuka, 4.Kisalaya, 5.Kururia, 6.Tronquera, 7.Santa Rita, 8.Tee Kiamp, 9.Buenos Aire, 10.La Piñera, 11.Moos Pa</w:t>
      </w:r>
      <w:r>
        <w:rPr>
          <w:rFonts w:ascii="Times New Roman" w:eastAsia="Times New Roman" w:hAnsi="Times New Roman" w:cs="Times New Roman"/>
          <w:color w:val="000000"/>
          <w:sz w:val="16"/>
          <w:szCs w:val="16"/>
        </w:rPr>
        <w:t>m, 12.Santa Rosa, 13.Francia Sirpi, 14.Wisconsin, 15.Tasba Pain, 16.Santa Clara, 17.Miguel Bikan, 18.La Esperanza, 19.Polo Lakia Sirpi, 20.Ipri Tingni o CAPRI y 21.Polo Lakia Tara. Ver Comisión Nacional de Demarcación, Título de Propiedad Comunal de Prinzu</w:t>
      </w:r>
      <w:r>
        <w:rPr>
          <w:rFonts w:ascii="Times New Roman" w:eastAsia="Times New Roman" w:hAnsi="Times New Roman" w:cs="Times New Roman"/>
          <w:color w:val="000000"/>
          <w:sz w:val="16"/>
          <w:szCs w:val="16"/>
        </w:rPr>
        <w:t xml:space="preserve"> Awala, Resolución número 013-30-04-2010.</w:t>
      </w:r>
    </w:p>
  </w:footnote>
  <w:footnote w:id="11">
    <w:p w:rsidR="00505D61" w:rsidRDefault="007F6DAC">
      <w:pPr>
        <w:pStyle w:val="LO-normal1"/>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2"/>
          <w:szCs w:val="12"/>
        </w:rPr>
        <w:t xml:space="preserve"> </w:t>
      </w:r>
      <w:r>
        <w:rPr>
          <w:rFonts w:ascii="Times New Roman" w:eastAsia="Times New Roman" w:hAnsi="Times New Roman" w:cs="Times New Roman"/>
          <w:color w:val="000000"/>
          <w:sz w:val="16"/>
          <w:szCs w:val="16"/>
        </w:rPr>
        <w:t>El Territorio Indígena de Wangki Li Aubra lo integran diez y nueve (19) comunidades Miskitu: 1.Paiwas  Ta, 2.Klisnak, 3.El Naranjal, 4. El Cocal,  5.La Esperanza, 6.Santa Fé . 7.San Alberto, 8.El Paraíso,  9.Kisu</w:t>
      </w:r>
      <w:r>
        <w:rPr>
          <w:rFonts w:ascii="Times New Roman" w:eastAsia="Times New Roman" w:hAnsi="Times New Roman" w:cs="Times New Roman"/>
          <w:color w:val="000000"/>
          <w:sz w:val="16"/>
          <w:szCs w:val="16"/>
        </w:rPr>
        <w:t xml:space="preserve"> Bila, 10.El Carmen, 11.San Jerónimo, 12.Bull Sirpi, 13.Leimus, 14. Bull Kiamp, 15.El Chilamate, 16.Santa Ana, 17.Wis Wis, y 18. Lakun Tara. Ver Comisión Nacional de Demarcación, Título de Propiedad Comunal 008-30-04-2009. Territorio Indígena Wangki Li Ubr</w:t>
      </w:r>
      <w:r>
        <w:rPr>
          <w:rFonts w:ascii="Times New Roman" w:eastAsia="Times New Roman" w:hAnsi="Times New Roman" w:cs="Times New Roman"/>
          <w:color w:val="000000"/>
          <w:sz w:val="16"/>
          <w:szCs w:val="16"/>
        </w:rPr>
        <w:t>a.</w:t>
      </w:r>
    </w:p>
    <w:p w:rsidR="00505D61" w:rsidRDefault="00505D61">
      <w:pPr>
        <w:pStyle w:val="LO-normal1"/>
        <w:spacing w:after="0" w:line="240" w:lineRule="auto"/>
        <w:rPr>
          <w:color w:val="000000"/>
          <w:sz w:val="12"/>
          <w:szCs w:val="12"/>
        </w:rPr>
      </w:pPr>
    </w:p>
  </w:footnote>
  <w:footnote w:id="12">
    <w:p w:rsidR="00505D61" w:rsidRDefault="007F6DAC">
      <w:pPr>
        <w:pStyle w:val="LO-normal1"/>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2"/>
          <w:szCs w:val="12"/>
        </w:rPr>
        <w:t xml:space="preserve"> </w:t>
      </w:r>
      <w:r>
        <w:rPr>
          <w:rFonts w:ascii="Times New Roman" w:eastAsia="Times New Roman" w:hAnsi="Times New Roman" w:cs="Times New Roman"/>
          <w:color w:val="000000"/>
          <w:sz w:val="12"/>
          <w:szCs w:val="12"/>
        </w:rPr>
        <w:tab/>
      </w:r>
      <w:r>
        <w:rPr>
          <w:rFonts w:ascii="Times New Roman" w:eastAsia="Times New Roman" w:hAnsi="Times New Roman" w:cs="Times New Roman"/>
          <w:color w:val="000000"/>
          <w:sz w:val="16"/>
          <w:szCs w:val="16"/>
        </w:rPr>
        <w:t xml:space="preserve">Nicaragua: Mensaje de la vocera oficial de la Alta Comisionada sobre los ataques contra pueblos indígenas, 7 </w:t>
      </w:r>
      <w:r>
        <w:rPr>
          <w:rFonts w:ascii="Times New Roman" w:eastAsia="Times New Roman" w:hAnsi="Times New Roman" w:cs="Times New Roman"/>
          <w:color w:val="383737"/>
          <w:sz w:val="16"/>
          <w:szCs w:val="16"/>
          <w:highlight w:val="white"/>
        </w:rPr>
        <w:t xml:space="preserve"> de febrero de 2020. http://www.oacnudh.org/nicaragua-mensaje-de-la-vocera-oficial-de-la-alta-comisionada-sobre-los-ataques-contra-pueblos-i</w:t>
      </w:r>
      <w:r>
        <w:rPr>
          <w:rFonts w:ascii="Times New Roman" w:eastAsia="Times New Roman" w:hAnsi="Times New Roman" w:cs="Times New Roman"/>
          <w:color w:val="383737"/>
          <w:sz w:val="16"/>
          <w:szCs w:val="16"/>
          <w:highlight w:val="white"/>
        </w:rPr>
        <w:t>ndigenas/</w:t>
      </w:r>
    </w:p>
  </w:footnote>
  <w:footnote w:id="13">
    <w:p w:rsidR="00505D61" w:rsidRDefault="007F6DAC">
      <w:pPr>
        <w:pStyle w:val="LO-normal1"/>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2"/>
          <w:szCs w:val="12"/>
        </w:rPr>
        <w:t xml:space="preserve"> </w:t>
      </w:r>
      <w:r>
        <w:rPr>
          <w:rFonts w:ascii="Times New Roman" w:eastAsia="Times New Roman" w:hAnsi="Times New Roman" w:cs="Times New Roman"/>
          <w:color w:val="000000"/>
          <w:sz w:val="12"/>
          <w:szCs w:val="12"/>
        </w:rPr>
        <w:tab/>
      </w:r>
      <w:r>
        <w:rPr>
          <w:rFonts w:ascii="Times New Roman" w:eastAsia="Times New Roman" w:hAnsi="Times New Roman" w:cs="Times New Roman"/>
          <w:color w:val="000000"/>
          <w:sz w:val="16"/>
          <w:szCs w:val="16"/>
        </w:rPr>
        <w:t>Confidencial. Reportan 13 indígenas asesinados por colonos durante el 2020. 10 de diciembre de 2020.https://www.confidencial.com.ni/nacion/reportan-13-indigenas-asesinados-por-colonos-durante-el-2020/</w:t>
      </w:r>
    </w:p>
  </w:footnote>
  <w:footnote w:id="14">
    <w:p w:rsidR="00505D61" w:rsidRDefault="007F6DAC">
      <w:pPr>
        <w:pStyle w:val="LO-normal1"/>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2"/>
          <w:szCs w:val="12"/>
        </w:rPr>
        <w:t xml:space="preserve"> </w:t>
      </w:r>
      <w:r>
        <w:rPr>
          <w:rFonts w:ascii="Times New Roman" w:eastAsia="Times New Roman" w:hAnsi="Times New Roman" w:cs="Times New Roman"/>
          <w:color w:val="000000"/>
          <w:sz w:val="12"/>
          <w:szCs w:val="12"/>
        </w:rPr>
        <w:tab/>
      </w:r>
      <w:r>
        <w:rPr>
          <w:rFonts w:ascii="Times New Roman" w:eastAsia="Times New Roman" w:hAnsi="Times New Roman" w:cs="Times New Roman"/>
          <w:color w:val="000000"/>
          <w:sz w:val="16"/>
          <w:szCs w:val="16"/>
        </w:rPr>
        <w:t xml:space="preserve">Niña de origen miskito resulta herida en ataque de colonos en comunidad indígena.17 de febrero de 2020. </w:t>
      </w:r>
      <w:hyperlink r:id="rId4" w:anchor=":~:text=El ataque sucedió a las,bala pasó destruyendo su dentadura" w:history="1">
        <w:r>
          <w:rPr>
            <w:rFonts w:ascii="Times New Roman" w:eastAsia="Times New Roman" w:hAnsi="Times New Roman" w:cs="Times New Roman"/>
            <w:color w:val="1155CC"/>
            <w:sz w:val="16"/>
            <w:szCs w:val="16"/>
            <w:u w:val="single"/>
          </w:rPr>
          <w:t>https://100noticias.com.ni/alerta/98718-nina-miskita-herida-comunida-indigena/#:~:</w:t>
        </w:r>
      </w:hyperlink>
      <w:hyperlink r:id="rId5" w:anchor=":~:text=El ataque sucedió a las,bala pasó destruyendo su dentadura" w:history="1">
        <w:r>
          <w:rPr>
            <w:rFonts w:ascii="Times New Roman" w:eastAsia="Times New Roman" w:hAnsi="Times New Roman" w:cs="Times New Roman"/>
            <w:color w:val="1155CC"/>
            <w:sz w:val="16"/>
            <w:szCs w:val="16"/>
            <w:u w:val="single"/>
          </w:rPr>
          <w:t>text</w:t>
        </w:r>
      </w:hyperlink>
      <w:hyperlink r:id="rId6" w:anchor=":~:text=El ataque sucedió a las,bala pasó destruyendo su dentadura" w:history="1">
        <w:r>
          <w:rPr>
            <w:rFonts w:ascii="Times New Roman" w:eastAsia="Times New Roman" w:hAnsi="Times New Roman" w:cs="Times New Roman"/>
            <w:color w:val="1155CC"/>
            <w:sz w:val="16"/>
            <w:szCs w:val="16"/>
            <w:u w:val="single"/>
          </w:rPr>
          <w:t>=El%</w:t>
        </w:r>
      </w:hyperlink>
      <w:hyperlink r:id="rId7" w:anchor=":~:text=El ataque sucedió a las,bala pasó destruyendo su dentadura" w:history="1">
        <w:r>
          <w:rPr>
            <w:rFonts w:ascii="Times New Roman" w:eastAsia="Times New Roman" w:hAnsi="Times New Roman" w:cs="Times New Roman"/>
            <w:color w:val="1155CC"/>
            <w:sz w:val="16"/>
            <w:szCs w:val="16"/>
            <w:u w:val="single"/>
          </w:rPr>
          <w:t>20ataque</w:t>
        </w:r>
      </w:hyperlink>
      <w:hyperlink r:id="rId8" w:anchor=":~:text=El ataque sucedió a las,bala pasó destruyendo su dentadura" w:history="1">
        <w:r>
          <w:rPr>
            <w:rFonts w:ascii="Times New Roman" w:eastAsia="Times New Roman" w:hAnsi="Times New Roman" w:cs="Times New Roman"/>
            <w:color w:val="1155CC"/>
            <w:sz w:val="16"/>
            <w:szCs w:val="16"/>
            <w:u w:val="single"/>
          </w:rPr>
          <w:t>%</w:t>
        </w:r>
      </w:hyperlink>
      <w:hyperlink r:id="rId9" w:anchor=":~:text=El ataque sucedió a las,bala pasó destruyendo su dentadura" w:history="1">
        <w:r>
          <w:rPr>
            <w:rFonts w:ascii="Times New Roman" w:eastAsia="Times New Roman" w:hAnsi="Times New Roman" w:cs="Times New Roman"/>
            <w:color w:val="1155CC"/>
            <w:sz w:val="16"/>
            <w:szCs w:val="16"/>
            <w:u w:val="single"/>
          </w:rPr>
          <w:t>20sucedi</w:t>
        </w:r>
      </w:hyperlink>
      <w:hyperlink r:id="rId10" w:anchor=":~:text=El ataque sucedió a las,bala pasó destruyendo su dentadura" w:history="1">
        <w:r>
          <w:rPr>
            <w:rFonts w:ascii="Times New Roman" w:eastAsia="Times New Roman" w:hAnsi="Times New Roman" w:cs="Times New Roman"/>
            <w:color w:val="1155CC"/>
            <w:sz w:val="16"/>
            <w:szCs w:val="16"/>
            <w:u w:val="single"/>
          </w:rPr>
          <w:t>%C3%B3%20a%20las,bala%20pas%C3%B3%</w:t>
        </w:r>
      </w:hyperlink>
      <w:hyperlink r:id="rId11" w:anchor=":~:text=El ataque sucedió a las,bala pasó destruyendo su dentadura" w:history="1">
        <w:r>
          <w:rPr>
            <w:rFonts w:ascii="Times New Roman" w:eastAsia="Times New Roman" w:hAnsi="Times New Roman" w:cs="Times New Roman"/>
            <w:color w:val="1155CC"/>
            <w:sz w:val="16"/>
            <w:szCs w:val="16"/>
            <w:u w:val="single"/>
          </w:rPr>
          <w:t>20destruyendo</w:t>
        </w:r>
      </w:hyperlink>
      <w:hyperlink r:id="rId12" w:anchor=":~:text=El ataque sucedió a las,bala pasó destruyendo su dentadura" w:history="1">
        <w:r>
          <w:rPr>
            <w:rFonts w:ascii="Times New Roman" w:eastAsia="Times New Roman" w:hAnsi="Times New Roman" w:cs="Times New Roman"/>
            <w:color w:val="1155CC"/>
            <w:sz w:val="16"/>
            <w:szCs w:val="16"/>
            <w:u w:val="single"/>
          </w:rPr>
          <w:t>%20su%</w:t>
        </w:r>
      </w:hyperlink>
      <w:hyperlink r:id="rId13" w:anchor=":~:text=El ataque sucedió a las,bala pasó destruyendo su dentadura" w:history="1">
        <w:r>
          <w:rPr>
            <w:rFonts w:ascii="Times New Roman" w:eastAsia="Times New Roman" w:hAnsi="Times New Roman" w:cs="Times New Roman"/>
            <w:color w:val="1155CC"/>
            <w:sz w:val="16"/>
            <w:szCs w:val="16"/>
            <w:u w:val="single"/>
          </w:rPr>
          <w:t>20dentadura</w:t>
        </w:r>
      </w:hyperlink>
      <w:r>
        <w:rPr>
          <w:rFonts w:ascii="Times New Roman" w:eastAsia="Times New Roman" w:hAnsi="Times New Roman" w:cs="Times New Roman"/>
          <w:color w:val="000000"/>
          <w:sz w:val="16"/>
          <w:szCs w:val="16"/>
        </w:rPr>
        <w:t xml:space="preserve">. </w:t>
      </w:r>
    </w:p>
  </w:footnote>
  <w:footnote w:id="15">
    <w:p w:rsidR="00505D61" w:rsidRDefault="007F6DAC">
      <w:pPr>
        <w:pStyle w:val="LO-normal1"/>
        <w:spacing w:after="0" w:line="240" w:lineRule="auto"/>
        <w:jc w:val="both"/>
        <w:rPr>
          <w:color w:val="000000"/>
          <w:sz w:val="16"/>
          <w:szCs w:val="16"/>
        </w:rPr>
      </w:pPr>
      <w:r>
        <w:rPr>
          <w:rStyle w:val="Caracteresdenotaalpie"/>
        </w:rPr>
        <w:footnoteRef/>
      </w:r>
      <w:r>
        <w:rPr>
          <w:rFonts w:ascii="Times New Roman" w:eastAsia="Times New Roman" w:hAnsi="Times New Roman" w:cs="Times New Roman"/>
          <w:color w:val="000000"/>
          <w:sz w:val="12"/>
          <w:szCs w:val="12"/>
        </w:rPr>
        <w:t xml:space="preserve"> </w:t>
      </w:r>
      <w:r>
        <w:rPr>
          <w:rFonts w:ascii="Times New Roman" w:eastAsia="Times New Roman" w:hAnsi="Times New Roman" w:cs="Times New Roman"/>
          <w:color w:val="000000"/>
          <w:sz w:val="12"/>
          <w:szCs w:val="12"/>
        </w:rPr>
        <w:tab/>
      </w:r>
      <w:r>
        <w:rPr>
          <w:rFonts w:ascii="Times New Roman" w:eastAsia="Times New Roman" w:hAnsi="Times New Roman" w:cs="Times New Roman"/>
          <w:color w:val="000000"/>
          <w:sz w:val="16"/>
          <w:szCs w:val="16"/>
        </w:rPr>
        <w:t>Durante el ataque cuatro personas fueron asesinados: Jarle Samuel Gutiérrez, Juan Emilio Devis Gutiérrez, Ar</w:t>
      </w:r>
      <w:r>
        <w:rPr>
          <w:rFonts w:ascii="Times New Roman" w:eastAsia="Times New Roman" w:hAnsi="Times New Roman" w:cs="Times New Roman"/>
          <w:color w:val="000000"/>
          <w:sz w:val="16"/>
          <w:szCs w:val="16"/>
        </w:rPr>
        <w:t>maru Rener y Cristino López Ortiz, indígenas Mayangna. Dos personas resultaron gravemente heridas de bala, Maynor Will Fernández y Marconi Jarquín Rener, quien quedó parapléjico debido a un disparo en la cabeza. Los guardabosques y miembros del gobierno co</w:t>
      </w:r>
      <w:r>
        <w:rPr>
          <w:rFonts w:ascii="Times New Roman" w:eastAsia="Times New Roman" w:hAnsi="Times New Roman" w:cs="Times New Roman"/>
          <w:color w:val="000000"/>
          <w:sz w:val="16"/>
          <w:szCs w:val="16"/>
        </w:rPr>
        <w:t xml:space="preserve">munal del Territorio Sauni As Navarro Miguel, Efraín Miguel Valle, Víctor Díaz, Transito Mesa Bruno, Navarro Miguel Valle, Carlos Bruno,Econias Miguel Barcio y Martian Miguel Dixon tuvieron que permanecer escondidos fuera de la comunidad durante tres días </w:t>
      </w:r>
      <w:r>
        <w:rPr>
          <w:rFonts w:ascii="Times New Roman" w:eastAsia="Times New Roman" w:hAnsi="Times New Roman" w:cs="Times New Roman"/>
          <w:color w:val="000000"/>
          <w:sz w:val="16"/>
          <w:szCs w:val="16"/>
        </w:rPr>
        <w:t>para proteger su vida e integridad física. Asimismo, los medios de subsistencia del pueblo Mayangna de Alal fueron atacados de manera deliberada. El grupo de atacantes incendió sus cultivos y mató a todos sus animales y al ganado.</w:t>
      </w:r>
    </w:p>
  </w:footnote>
  <w:footnote w:id="16">
    <w:p w:rsidR="00505D61" w:rsidRDefault="007F6DAC">
      <w:pPr>
        <w:pStyle w:val="LO-normal1"/>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2"/>
          <w:szCs w:val="12"/>
        </w:rPr>
        <w:t xml:space="preserve"> </w:t>
      </w:r>
      <w:r>
        <w:rPr>
          <w:rFonts w:ascii="Times New Roman" w:eastAsia="Times New Roman" w:hAnsi="Times New Roman" w:cs="Times New Roman"/>
          <w:color w:val="000000"/>
          <w:sz w:val="16"/>
          <w:szCs w:val="16"/>
        </w:rPr>
        <w:t xml:space="preserve">Otras </w:t>
      </w:r>
      <w:r>
        <w:rPr>
          <w:rFonts w:ascii="Times New Roman" w:eastAsia="Times New Roman" w:hAnsi="Times New Roman" w:cs="Times New Roman"/>
          <w:sz w:val="16"/>
          <w:szCs w:val="16"/>
        </w:rPr>
        <w:t>fuentes</w:t>
      </w:r>
      <w:r>
        <w:rPr>
          <w:rFonts w:ascii="Times New Roman" w:eastAsia="Times New Roman" w:hAnsi="Times New Roman" w:cs="Times New Roman"/>
          <w:color w:val="000000"/>
          <w:sz w:val="16"/>
          <w:szCs w:val="16"/>
        </w:rPr>
        <w:t xml:space="preserve"> habla</w:t>
      </w:r>
      <w:r>
        <w:rPr>
          <w:rFonts w:ascii="Times New Roman" w:eastAsia="Times New Roman" w:hAnsi="Times New Roman" w:cs="Times New Roman"/>
          <w:sz w:val="16"/>
          <w:szCs w:val="16"/>
        </w:rPr>
        <w:t xml:space="preserve">n de 18 personas. </w:t>
      </w:r>
      <w:r>
        <w:rPr>
          <w:rFonts w:ascii="Times New Roman" w:eastAsia="Times New Roman" w:hAnsi="Times New Roman" w:cs="Times New Roman"/>
          <w:color w:val="000000"/>
          <w:sz w:val="16"/>
          <w:szCs w:val="16"/>
        </w:rPr>
        <w:t>G</w:t>
      </w:r>
      <w:r>
        <w:rPr>
          <w:rFonts w:ascii="Times New Roman" w:eastAsia="Times New Roman" w:hAnsi="Times New Roman" w:cs="Times New Roman"/>
          <w:sz w:val="16"/>
          <w:szCs w:val="16"/>
        </w:rPr>
        <w:t>obierno  de Ortega en frente a masacre de inidgena en el caribe.https://www.articulo66.com/2021/08/29/gobierno-de-ortega-en-silencio-frente-a-masacre-de-indigenas-en-el-caribe/.</w:t>
      </w:r>
      <w:r>
        <w:rPr>
          <w:rFonts w:ascii="Times New Roman" w:eastAsia="Times New Roman" w:hAnsi="Times New Roman" w:cs="Times New Roman"/>
          <w:color w:val="000000"/>
          <w:sz w:val="16"/>
          <w:szCs w:val="16"/>
        </w:rPr>
        <w:t xml:space="preserve"> APnews. ONG reportan 12 muertos por ataque a comunidad en N</w:t>
      </w:r>
      <w:r>
        <w:rPr>
          <w:rFonts w:ascii="Times New Roman" w:eastAsia="Times New Roman" w:hAnsi="Times New Roman" w:cs="Times New Roman"/>
          <w:color w:val="000000"/>
          <w:sz w:val="16"/>
          <w:szCs w:val="16"/>
        </w:rPr>
        <w:t>icaragua. 25 de agosto del 2021.</w:t>
      </w:r>
    </w:p>
    <w:p w:rsidR="00505D61" w:rsidRDefault="007F6DAC">
      <w:pPr>
        <w:pStyle w:val="LO-normal1"/>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w:t>
      </w:r>
      <w:hyperlink r:id="rId14">
        <w:r>
          <w:rPr>
            <w:rFonts w:ascii="Times New Roman" w:eastAsia="Times New Roman" w:hAnsi="Times New Roman" w:cs="Times New Roman"/>
            <w:color w:val="1155CC"/>
            <w:sz w:val="16"/>
            <w:szCs w:val="16"/>
            <w:u w:val="single"/>
          </w:rPr>
          <w:t>https://apnews.com/article/f27f3969646a08eac16ee7bce43c0927</w:t>
        </w:r>
      </w:hyperlink>
    </w:p>
    <w:p w:rsidR="00505D61" w:rsidRDefault="00505D61">
      <w:pPr>
        <w:pStyle w:val="LO-normal1"/>
        <w:spacing w:after="0" w:line="240" w:lineRule="auto"/>
        <w:rPr>
          <w:rFonts w:ascii="Times New Roman" w:eastAsia="Times New Roman" w:hAnsi="Times New Roman" w:cs="Times New Roman"/>
          <w:color w:val="000000"/>
          <w:sz w:val="16"/>
          <w:szCs w:val="16"/>
        </w:rPr>
      </w:pPr>
    </w:p>
  </w:footnote>
  <w:footnote w:id="17">
    <w:p w:rsidR="00505D61" w:rsidRDefault="007F6DAC">
      <w:pPr>
        <w:pStyle w:val="LO-normal1"/>
        <w:spacing w:after="0" w:line="240" w:lineRule="auto"/>
        <w:rPr>
          <w:rFonts w:ascii="Times New Roman" w:eastAsia="Times New Roman" w:hAnsi="Times New Roman" w:cs="Times New Roman"/>
          <w:color w:val="000000"/>
          <w:sz w:val="16"/>
          <w:szCs w:val="16"/>
          <w:highlight w:val="yellow"/>
        </w:rPr>
      </w:pPr>
      <w:r>
        <w:rPr>
          <w:rStyle w:val="Caracteresdenotaalpi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z w:val="16"/>
          <w:szCs w:val="16"/>
        </w:rPr>
        <w:t>El 18 de marzo de 2021, la Comisión Interamericana de Derechos Humanos (CIDH) ce</w:t>
      </w:r>
      <w:r>
        <w:rPr>
          <w:rFonts w:ascii="Times New Roman" w:eastAsia="Times New Roman" w:hAnsi="Times New Roman" w:cs="Times New Roman"/>
          <w:sz w:val="16"/>
          <w:szCs w:val="16"/>
        </w:rPr>
        <w:t>lebrará una audiencia pública sobre los impactos de la colonización de las tierras indígenas en la costa caribe de Nicaragua, en el marco de su 179º período de sesiones.</w:t>
      </w:r>
    </w:p>
  </w:footnote>
  <w:footnote w:id="18">
    <w:p w:rsidR="00505D61" w:rsidRDefault="007F6DAC">
      <w:pPr>
        <w:pStyle w:val="LO-normal1"/>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sz w:val="18"/>
          <w:szCs w:val="18"/>
        </w:rPr>
        <w:t>T</w:t>
      </w:r>
      <w:r>
        <w:rPr>
          <w:rFonts w:ascii="Times New Roman" w:eastAsia="Times New Roman" w:hAnsi="Times New Roman" w:cs="Times New Roman"/>
          <w:sz w:val="16"/>
          <w:szCs w:val="16"/>
        </w:rPr>
        <w:t>he Oakland Institute. NICARAGUA: UNA REVOLUCIÓN FALLIDA. LA LUCHA INDÍGENA POR EL SA</w:t>
      </w:r>
      <w:r>
        <w:rPr>
          <w:rFonts w:ascii="Times New Roman" w:eastAsia="Times New Roman" w:hAnsi="Times New Roman" w:cs="Times New Roman"/>
          <w:sz w:val="16"/>
          <w:szCs w:val="16"/>
        </w:rPr>
        <w:t>NEAMIENTO  https://www.oaklandinstitute.org/sites/oaklandinstitute.org/files/nicaragua-revolucion-fallida.pdf</w:t>
      </w:r>
      <w:r>
        <w:rPr>
          <w:rFonts w:ascii="Times New Roman" w:eastAsia="Times New Roman" w:hAnsi="Times New Roman" w:cs="Times New Roman"/>
          <w:color w:val="000000"/>
          <w:sz w:val="16"/>
          <w:szCs w:val="16"/>
        </w:rPr>
        <w:t xml:space="preserve"> </w:t>
      </w:r>
    </w:p>
  </w:footnote>
  <w:footnote w:id="19">
    <w:p w:rsidR="00505D61" w:rsidRDefault="007F6DAC">
      <w:pPr>
        <w:pStyle w:val="LO-normal1"/>
        <w:tabs>
          <w:tab w:val="left" w:pos="284"/>
        </w:tabs>
        <w:spacing w:after="0" w:line="240" w:lineRule="auto"/>
        <w:jc w:val="both"/>
        <w:rPr>
          <w:rFonts w:ascii="Times New Roman" w:eastAsia="Times New Roman" w:hAnsi="Times New Roman" w:cs="Times New Roman"/>
          <w:color w:val="000000"/>
          <w:sz w:val="16"/>
          <w:szCs w:val="16"/>
          <w:highlight w:val="yellow"/>
        </w:rPr>
      </w:pPr>
      <w:r>
        <w:rPr>
          <w:rStyle w:val="Caracteresdenotaalpie"/>
        </w:rPr>
        <w:footnoteRef/>
      </w:r>
      <w:r>
        <w:rPr>
          <w:rFonts w:ascii="Times New Roman" w:eastAsia="Times New Roman" w:hAnsi="Times New Roman" w:cs="Times New Roman"/>
          <w:color w:val="000000"/>
          <w:sz w:val="12"/>
          <w:szCs w:val="12"/>
        </w:rPr>
        <w:t xml:space="preserve"> </w:t>
      </w:r>
      <w:r>
        <w:rPr>
          <w:rFonts w:ascii="Times New Roman" w:eastAsia="Times New Roman" w:hAnsi="Times New Roman" w:cs="Times New Roman"/>
          <w:color w:val="000000"/>
          <w:sz w:val="12"/>
          <w:szCs w:val="12"/>
        </w:rPr>
        <w:tab/>
      </w:r>
      <w:r>
        <w:rPr>
          <w:rFonts w:ascii="Times New Roman" w:eastAsia="Times New Roman" w:hAnsi="Times New Roman" w:cs="Times New Roman"/>
          <w:color w:val="000000"/>
          <w:sz w:val="16"/>
          <w:szCs w:val="16"/>
        </w:rPr>
        <w:t xml:space="preserve">Más de la mitad de los pobladores de la comunidad de Polo Paiwas, debieron refugiarse en la comunidad de Klisnak después que fueron víctimas </w:t>
      </w:r>
      <w:r>
        <w:rPr>
          <w:rFonts w:ascii="Times New Roman" w:eastAsia="Times New Roman" w:hAnsi="Times New Roman" w:cs="Times New Roman"/>
          <w:color w:val="000000"/>
          <w:sz w:val="16"/>
          <w:szCs w:val="16"/>
        </w:rPr>
        <w:t>de ataques armados de parte de colonos durante el año 2015. Al menos 113 personas se mantienen refugiadas desde ese año.</w:t>
      </w:r>
    </w:p>
  </w:footnote>
  <w:footnote w:id="20">
    <w:p w:rsidR="00505D61" w:rsidRDefault="007F6DAC">
      <w:pPr>
        <w:pStyle w:val="LO-normal1"/>
        <w:tabs>
          <w:tab w:val="left" w:pos="284"/>
        </w:tabs>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2"/>
          <w:szCs w:val="12"/>
        </w:rPr>
        <w:tab/>
      </w:r>
      <w:r>
        <w:rPr>
          <w:rFonts w:ascii="Times New Roman" w:eastAsia="Times New Roman" w:hAnsi="Times New Roman" w:cs="Times New Roman"/>
          <w:color w:val="000000"/>
          <w:sz w:val="16"/>
          <w:szCs w:val="16"/>
        </w:rPr>
        <w:t>Participan en la pesca marítima como ayudantes o buzos en acuerdo con comunitarios de los territorios en donde se ubican los principa</w:t>
      </w:r>
      <w:r>
        <w:rPr>
          <w:rFonts w:ascii="Times New Roman" w:eastAsia="Times New Roman" w:hAnsi="Times New Roman" w:cs="Times New Roman"/>
          <w:color w:val="000000"/>
          <w:sz w:val="16"/>
          <w:szCs w:val="16"/>
        </w:rPr>
        <w:t>les bancos de pesca (Cayos miskitos y áreas adyacentes). Permanecen por temporadas en estas localidades y después retornos a sus comunidades.</w:t>
      </w:r>
    </w:p>
    <w:p w:rsidR="00505D61" w:rsidRDefault="00505D61">
      <w:pPr>
        <w:pStyle w:val="LO-normal1"/>
        <w:spacing w:after="0" w:line="240" w:lineRule="auto"/>
        <w:jc w:val="both"/>
        <w:rPr>
          <w:rFonts w:ascii="Times New Roman" w:eastAsia="Times New Roman" w:hAnsi="Times New Roman" w:cs="Times New Roman"/>
          <w:color w:val="000000"/>
          <w:sz w:val="12"/>
          <w:szCs w:val="12"/>
        </w:rPr>
      </w:pPr>
    </w:p>
  </w:footnote>
  <w:footnote w:id="21">
    <w:p w:rsidR="00505D61" w:rsidRDefault="007F6DAC">
      <w:pPr>
        <w:pStyle w:val="LO-normal1"/>
        <w:tabs>
          <w:tab w:val="left" w:pos="284"/>
        </w:tabs>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2"/>
          <w:szCs w:val="12"/>
        </w:rPr>
        <w:tab/>
      </w:r>
      <w:r>
        <w:rPr>
          <w:rFonts w:ascii="Times New Roman" w:eastAsia="Times New Roman" w:hAnsi="Times New Roman" w:cs="Times New Roman"/>
          <w:color w:val="000000"/>
          <w:sz w:val="16"/>
          <w:szCs w:val="16"/>
        </w:rPr>
        <w:t>Trabajadores sin salario son todas aquellas personas que trabajan, pero no ganan un sueldo; por ejemplo, la muc</w:t>
      </w:r>
      <w:r>
        <w:rPr>
          <w:rFonts w:ascii="Times New Roman" w:eastAsia="Times New Roman" w:hAnsi="Times New Roman" w:cs="Times New Roman"/>
          <w:color w:val="000000"/>
          <w:sz w:val="16"/>
          <w:szCs w:val="16"/>
        </w:rPr>
        <w:t>hacha que trabaja echando tortillas y le dan una ayuda o albergue en la casa o el ayudante de una tienda que limpia, acomoda productos y solamente recibe comida. Según el Instituto Nacional de Información para el Desarrollo (INIDE) durante el primer trimes</w:t>
      </w:r>
      <w:r>
        <w:rPr>
          <w:rFonts w:ascii="Times New Roman" w:eastAsia="Times New Roman" w:hAnsi="Times New Roman" w:cs="Times New Roman"/>
          <w:color w:val="000000"/>
          <w:sz w:val="16"/>
          <w:szCs w:val="16"/>
        </w:rPr>
        <w:t>tre del año 2020, el 15% de las personas ocupadas son trabajadores sin salario, es decir, 15 de cada 100, porcentaje que para el año 2015 era del 8%.Según el Instituto Nacional de Información para el Desarrollo (INIDE), para el I trimestre del año 2020, el</w:t>
      </w:r>
      <w:r>
        <w:rPr>
          <w:rFonts w:ascii="Times New Roman" w:eastAsia="Times New Roman" w:hAnsi="Times New Roman" w:cs="Times New Roman"/>
          <w:color w:val="000000"/>
          <w:sz w:val="16"/>
          <w:szCs w:val="16"/>
        </w:rPr>
        <w:t xml:space="preserve"> 46% de la población laboral se encuentra en condición de subempleo, es decir, que no gana ni siquiera el salario mínimo. Y el 15% son trabajadores sin salario. Es decir, trabajan, pero no ganan un sueldo. La situación es peor en el caso de las mujeres. Se</w:t>
      </w:r>
      <w:r>
        <w:rPr>
          <w:rFonts w:ascii="Times New Roman" w:eastAsia="Times New Roman" w:hAnsi="Times New Roman" w:cs="Times New Roman"/>
          <w:color w:val="000000"/>
          <w:sz w:val="16"/>
          <w:szCs w:val="16"/>
        </w:rPr>
        <w:t>gún el INIDE casi el 50% de las mujeres que pertenecen a la población económicamente activa son trabajadoras por cuenta propia y más del 15% pertenecen a la categoría de trabajadoras sin salario</w:t>
      </w:r>
    </w:p>
  </w:footnote>
  <w:footnote w:id="22">
    <w:p w:rsidR="00505D61" w:rsidRDefault="007F6DAC">
      <w:pPr>
        <w:pStyle w:val="LO-normal1"/>
        <w:tabs>
          <w:tab w:val="left" w:pos="284"/>
        </w:tabs>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2"/>
          <w:szCs w:val="12"/>
        </w:rPr>
        <w:tab/>
      </w:r>
      <w:r>
        <w:rPr>
          <w:rFonts w:ascii="Times New Roman" w:eastAsia="Times New Roman" w:hAnsi="Times New Roman" w:cs="Times New Roman"/>
          <w:sz w:val="16"/>
          <w:szCs w:val="16"/>
        </w:rPr>
        <w:t>The Oakland Institute. NICARAGUA: UNA REVOLUCIÓN FALLIDA. L</w:t>
      </w:r>
      <w:r>
        <w:rPr>
          <w:rFonts w:ascii="Times New Roman" w:eastAsia="Times New Roman" w:hAnsi="Times New Roman" w:cs="Times New Roman"/>
          <w:sz w:val="16"/>
          <w:szCs w:val="16"/>
        </w:rPr>
        <w:t>A LUCHA INDÍGENA POR EL SANEAMIENTO  https://www.oaklandinstitute.org/sites/oaklandinstitute.org/files/nicaragua-revolucion-fallida.pdf</w:t>
      </w:r>
    </w:p>
  </w:footnote>
  <w:footnote w:id="23">
    <w:p w:rsidR="00505D61" w:rsidRDefault="007F6DAC">
      <w:pPr>
        <w:pStyle w:val="LO-normal1"/>
        <w:tabs>
          <w:tab w:val="left" w:pos="284"/>
        </w:tabs>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2"/>
          <w:szCs w:val="12"/>
        </w:rPr>
        <w:t xml:space="preserve">. </w:t>
      </w:r>
      <w:r>
        <w:rPr>
          <w:rFonts w:ascii="Times New Roman" w:eastAsia="Times New Roman" w:hAnsi="Times New Roman" w:cs="Times New Roman"/>
          <w:color w:val="000000"/>
          <w:sz w:val="12"/>
          <w:szCs w:val="12"/>
        </w:rPr>
        <w:tab/>
      </w:r>
      <w:r>
        <w:rPr>
          <w:rFonts w:ascii="Times New Roman" w:eastAsia="Times New Roman" w:hAnsi="Times New Roman" w:cs="Times New Roman"/>
          <w:color w:val="000000"/>
          <w:sz w:val="16"/>
          <w:szCs w:val="16"/>
        </w:rPr>
        <w:t>Confederación General de Trabajadores de la Educación de Nicaragua (ANDEN), Central de Trabajadores de la Salud (FET</w:t>
      </w:r>
      <w:r>
        <w:rPr>
          <w:rFonts w:ascii="Times New Roman" w:eastAsia="Times New Roman" w:hAnsi="Times New Roman" w:cs="Times New Roman"/>
          <w:color w:val="000000"/>
          <w:sz w:val="16"/>
          <w:szCs w:val="16"/>
        </w:rPr>
        <w:t>SALUD) y Unión Nacional de Empleados (UNE).</w:t>
      </w:r>
    </w:p>
  </w:footnote>
  <w:footnote w:id="24">
    <w:p w:rsidR="00505D61" w:rsidRDefault="007F6DAC">
      <w:pPr>
        <w:pStyle w:val="LO-normal1"/>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6"/>
          <w:szCs w:val="16"/>
        </w:rPr>
        <w:t xml:space="preserve"> El Ministerio de Gobernaciones (MIGOB), ordenó la cancelación de los registros de seis organizaciones internacionales sin fines de lucro impidiéndoles operar en Nicaragua. Las organizaciones son: 1. National De</w:t>
      </w:r>
      <w:r>
        <w:rPr>
          <w:rFonts w:ascii="Times New Roman" w:eastAsia="Times New Roman" w:hAnsi="Times New Roman" w:cs="Times New Roman"/>
          <w:color w:val="000000"/>
          <w:sz w:val="16"/>
          <w:szCs w:val="16"/>
        </w:rPr>
        <w:t>mocratic Institute For International Affairs (NDI), 2. International Republican Institute (IRI), 3. Helping Hands The Warren William Pagel, M.D. Foundation, originarias de Estados Unidos, 4.Fundación Oxfam Intermón (originarias de España), 5. Oxfam IBIS (o</w:t>
      </w:r>
      <w:r>
        <w:rPr>
          <w:rFonts w:ascii="Times New Roman" w:eastAsia="Times New Roman" w:hAnsi="Times New Roman" w:cs="Times New Roman"/>
          <w:color w:val="000000"/>
          <w:sz w:val="16"/>
          <w:szCs w:val="16"/>
        </w:rPr>
        <w:t>riginaria de Dinamarca) y 6. Diakonia (originaria de Suecia). Ver La Gaceta Diario Oficial 15. publicado el 16 de agosto de 2021.</w:t>
      </w:r>
    </w:p>
    <w:p w:rsidR="00505D61" w:rsidRDefault="00505D61">
      <w:pPr>
        <w:pStyle w:val="LO-normal1"/>
        <w:spacing w:after="0" w:line="240" w:lineRule="auto"/>
        <w:rPr>
          <w:rFonts w:ascii="Times New Roman" w:eastAsia="Times New Roman" w:hAnsi="Times New Roman" w:cs="Times New Roman"/>
          <w:color w:val="000000"/>
          <w:sz w:val="12"/>
          <w:szCs w:val="12"/>
        </w:rPr>
      </w:pPr>
    </w:p>
  </w:footnote>
  <w:footnote w:id="25">
    <w:p w:rsidR="00505D61" w:rsidRDefault="007F6DAC">
      <w:pPr>
        <w:pStyle w:val="LO-normal1"/>
        <w:tabs>
          <w:tab w:val="left" w:pos="-1"/>
        </w:tabs>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6"/>
          <w:szCs w:val="16"/>
        </w:rPr>
        <w:t>21  Establecimiento que conforma la unidad funcional básica cuyas acciones están encaminadas a la promoción, prevención, ate</w:t>
      </w:r>
      <w:r>
        <w:rPr>
          <w:rFonts w:ascii="Times New Roman" w:eastAsia="Times New Roman" w:hAnsi="Times New Roman" w:cs="Times New Roman"/>
          <w:color w:val="000000"/>
          <w:sz w:val="16"/>
          <w:szCs w:val="16"/>
        </w:rPr>
        <w:t>nción de las afecciones comunes, estabilización y traslado en casos complicados o emergencias que amenacen la vida de las personas. El puesto de salud rural atiende una población menor de 15,000 habitantes, dispone de personal médico y de enfermería de for</w:t>
      </w:r>
      <w:r>
        <w:rPr>
          <w:rFonts w:ascii="Times New Roman" w:eastAsia="Times New Roman" w:hAnsi="Times New Roman" w:cs="Times New Roman"/>
          <w:color w:val="000000"/>
          <w:sz w:val="16"/>
          <w:szCs w:val="16"/>
        </w:rPr>
        <w:t>ma permanente, así como insumos médicos y no médicos (Manual de habilitación de establecimientos de proveedores de servicios de salud, MINSA. Dirección General de Regulación Sanitaria).</w:t>
      </w:r>
    </w:p>
    <w:p w:rsidR="00505D61" w:rsidRDefault="00505D61">
      <w:pPr>
        <w:pStyle w:val="LO-normal1"/>
        <w:tabs>
          <w:tab w:val="left" w:pos="284"/>
        </w:tabs>
        <w:spacing w:after="0" w:line="240" w:lineRule="auto"/>
        <w:ind w:left="284" w:hanging="284"/>
        <w:jc w:val="both"/>
        <w:rPr>
          <w:rFonts w:ascii="Times New Roman" w:eastAsia="Times New Roman" w:hAnsi="Times New Roman" w:cs="Times New Roman"/>
          <w:color w:val="000000"/>
          <w:sz w:val="12"/>
          <w:szCs w:val="12"/>
        </w:rPr>
      </w:pPr>
    </w:p>
  </w:footnote>
  <w:footnote w:id="26">
    <w:p w:rsidR="00505D61" w:rsidRDefault="007F6DAC">
      <w:pPr>
        <w:pStyle w:val="LO-normal1"/>
        <w:tabs>
          <w:tab w:val="left" w:pos="284"/>
        </w:tabs>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2"/>
          <w:szCs w:val="12"/>
        </w:rPr>
        <w:tab/>
      </w:r>
      <w:r>
        <w:rPr>
          <w:rFonts w:ascii="Times New Roman" w:eastAsia="Times New Roman" w:hAnsi="Times New Roman" w:cs="Times New Roman"/>
          <w:color w:val="000000"/>
          <w:sz w:val="16"/>
          <w:szCs w:val="16"/>
        </w:rPr>
        <w:t>. El SILAIS Bilwi contabiliza la existencia de un total de 2,799 pe</w:t>
      </w:r>
      <w:r>
        <w:rPr>
          <w:rFonts w:ascii="Times New Roman" w:eastAsia="Times New Roman" w:hAnsi="Times New Roman" w:cs="Times New Roman"/>
          <w:color w:val="000000"/>
          <w:sz w:val="16"/>
          <w:szCs w:val="16"/>
        </w:rPr>
        <w:t xml:space="preserve">rsonas con discapacidad (Programa Todos con Vos) en los municipios de Waspam, Puerto Cabezas y Prinzapolka. Por su parte, el SILAS Las Minas indica que 2,412 personas, de los municipios de Bonanza, Rosita, Siuna, Mulukukú y Paiwas (de la RACCS), viven con </w:t>
      </w:r>
      <w:r>
        <w:rPr>
          <w:rFonts w:ascii="Times New Roman" w:eastAsia="Times New Roman" w:hAnsi="Times New Roman" w:cs="Times New Roman"/>
          <w:color w:val="000000"/>
          <w:sz w:val="16"/>
          <w:szCs w:val="16"/>
        </w:rPr>
        <w:t>algún tipo de discapacidad.</w:t>
      </w:r>
    </w:p>
    <w:p w:rsidR="00505D61" w:rsidRDefault="00505D61">
      <w:pPr>
        <w:pStyle w:val="LO-normal1"/>
        <w:spacing w:after="0" w:line="240" w:lineRule="auto"/>
        <w:jc w:val="both"/>
        <w:rPr>
          <w:color w:val="000000"/>
          <w:sz w:val="16"/>
          <w:szCs w:val="16"/>
        </w:rPr>
      </w:pPr>
    </w:p>
  </w:footnote>
  <w:footnote w:id="27">
    <w:p w:rsidR="00505D61" w:rsidRDefault="007F6DAC">
      <w:pPr>
        <w:pStyle w:val="LO-normal1"/>
        <w:spacing w:after="0" w:line="240" w:lineRule="auto"/>
        <w:jc w:val="both"/>
        <w:rPr>
          <w:rFonts w:ascii="Times New Roman" w:eastAsia="Times New Roman" w:hAnsi="Times New Roman" w:cs="Times New Roman"/>
          <w:color w:val="000000"/>
          <w:sz w:val="12"/>
          <w:szCs w:val="12"/>
        </w:rPr>
      </w:pPr>
      <w:r>
        <w:rPr>
          <w:rStyle w:val="Caracteresdenotaalpie"/>
        </w:rPr>
        <w:footnoteRef/>
      </w:r>
      <w:r>
        <w:rPr>
          <w:rFonts w:ascii="Times New Roman" w:eastAsia="Times New Roman" w:hAnsi="Times New Roman" w:cs="Times New Roman"/>
          <w:color w:val="000000"/>
          <w:sz w:val="16"/>
          <w:szCs w:val="16"/>
        </w:rPr>
        <w:t xml:space="preserve"> Ministerio de Salud. Casos de Covid 19 en Nicaragua 13 de julio de 2021.file:///home/chronos/u-a1b2069a6b</w:t>
      </w:r>
      <w:r>
        <w:rPr>
          <w:rFonts w:ascii="Times New Roman" w:eastAsia="Times New Roman" w:hAnsi="Times New Roman" w:cs="Times New Roman"/>
          <w:color w:val="000000"/>
          <w:sz w:val="12"/>
          <w:szCs w:val="12"/>
        </w:rPr>
        <w:t>3a9fd1fe6920322b809419d524e438/MyFiles/Downloads/COVID19-13JULIO2021.pdf</w:t>
      </w:r>
    </w:p>
  </w:footnote>
  <w:footnote w:id="28">
    <w:p w:rsidR="00505D61" w:rsidRDefault="007F6DAC">
      <w:pPr>
        <w:pStyle w:val="LO-normal1"/>
        <w:spacing w:after="0" w:line="240" w:lineRule="auto"/>
        <w:rPr>
          <w:rFonts w:ascii="Times New Roman" w:eastAsia="Times New Roman" w:hAnsi="Times New Roman" w:cs="Times New Roman"/>
          <w:color w:val="000000"/>
          <w:sz w:val="16"/>
          <w:szCs w:val="16"/>
        </w:rPr>
      </w:pPr>
      <w:r>
        <w:rPr>
          <w:rStyle w:val="Caracteresdenotaalpie"/>
        </w:rPr>
        <w:footnoteRef/>
      </w:r>
    </w:p>
  </w:footnote>
  <w:footnote w:id="29">
    <w:p w:rsidR="00505D61" w:rsidRDefault="007F6DAC">
      <w:pPr>
        <w:pStyle w:val="LO-normal1"/>
        <w:spacing w:after="0" w:line="240" w:lineRule="auto"/>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sz w:val="16"/>
          <w:szCs w:val="16"/>
        </w:rPr>
        <w:t xml:space="preserve">The Oakland Institute. NICARAGUA: UNA </w:t>
      </w:r>
      <w:r>
        <w:rPr>
          <w:rFonts w:ascii="Times New Roman" w:eastAsia="Times New Roman" w:hAnsi="Times New Roman" w:cs="Times New Roman"/>
          <w:sz w:val="16"/>
          <w:szCs w:val="16"/>
        </w:rPr>
        <w:t>REVOLUCIÓN FALLIDA. LA LUCHA INDÍGENA POR EL SANEAMIENTO</w:t>
      </w:r>
      <w:r>
        <w:rPr>
          <w:rFonts w:ascii="Times New Roman" w:eastAsia="Times New Roman" w:hAnsi="Times New Roman" w:cs="Times New Roman"/>
          <w:color w:val="000000"/>
          <w:sz w:val="16"/>
          <w:szCs w:val="16"/>
        </w:rPr>
        <w:t xml:space="preserve">  https://www.oaklandinstitute.org/sites/oaklandinstitute.org/files/nicaragua-revolucion-fallida.pdf</w:t>
      </w:r>
    </w:p>
  </w:footnote>
  <w:footnote w:id="30">
    <w:p w:rsidR="00505D61" w:rsidRDefault="007F6DAC">
      <w:pPr>
        <w:pStyle w:val="LO-normal1"/>
        <w:spacing w:after="0" w:line="240" w:lineRule="auto"/>
        <w:rPr>
          <w:rFonts w:ascii="Times New Roman" w:eastAsia="Times New Roman" w:hAnsi="Times New Roman" w:cs="Times New Roman"/>
          <w:sz w:val="16"/>
          <w:szCs w:val="16"/>
        </w:rPr>
      </w:pPr>
      <w:r>
        <w:rPr>
          <w:rStyle w:val="Caracteresdenotaalpie"/>
        </w:rPr>
        <w:footnoteRef/>
      </w:r>
      <w:r>
        <w:rPr>
          <w:sz w:val="20"/>
          <w:szCs w:val="20"/>
        </w:rPr>
        <w:t xml:space="preserve"> </w:t>
      </w:r>
      <w:r>
        <w:rPr>
          <w:rFonts w:ascii="Times New Roman" w:eastAsia="Times New Roman" w:hAnsi="Times New Roman" w:cs="Times New Roman"/>
          <w:sz w:val="16"/>
          <w:szCs w:val="16"/>
        </w:rPr>
        <w:t>1 Informe Preliminar de Evaluación de Daños, Pérdidas y Necesidades ocasionados por Huracanes Eta</w:t>
      </w:r>
      <w:r>
        <w:rPr>
          <w:rFonts w:ascii="Times New Roman" w:eastAsia="Times New Roman" w:hAnsi="Times New Roman" w:cs="Times New Roman"/>
          <w:sz w:val="16"/>
          <w:szCs w:val="16"/>
        </w:rPr>
        <w:t xml:space="preserve"> e Iota, 24 noviembre de 2020.</w:t>
      </w:r>
    </w:p>
  </w:footnote>
  <w:footnote w:id="31">
    <w:p w:rsidR="00505D61" w:rsidRDefault="007F6DAC">
      <w:pPr>
        <w:pStyle w:val="LO-normal1"/>
        <w:tabs>
          <w:tab w:val="left" w:pos="284"/>
        </w:tabs>
        <w:spacing w:after="0" w:line="240" w:lineRule="auto"/>
        <w:jc w:val="both"/>
        <w:rPr>
          <w:rFonts w:ascii="Times New Roman" w:eastAsia="Times New Roman" w:hAnsi="Times New Roman" w:cs="Times New Roman"/>
          <w:color w:val="000000"/>
          <w:sz w:val="16"/>
          <w:szCs w:val="16"/>
        </w:rPr>
      </w:pPr>
      <w:r>
        <w:rPr>
          <w:rStyle w:val="Caracteresdenotaalpie"/>
        </w:rPr>
        <w:footnoteRef/>
      </w:r>
      <w:r>
        <w:rPr>
          <w:rFonts w:ascii="Times New Roman" w:eastAsia="Times New Roman" w:hAnsi="Times New Roman" w:cs="Times New Roman"/>
          <w:color w:val="000000"/>
          <w:sz w:val="12"/>
          <w:szCs w:val="12"/>
        </w:rPr>
        <w:tab/>
      </w:r>
      <w:r>
        <w:rPr>
          <w:rFonts w:ascii="Times New Roman" w:eastAsia="Times New Roman" w:hAnsi="Times New Roman" w:cs="Times New Roman"/>
          <w:color w:val="000000"/>
          <w:sz w:val="16"/>
          <w:szCs w:val="16"/>
        </w:rPr>
        <w:t>Datos del Gobierno de Nicaragua indican que, a nivel nacional, la población afectada por los huracanes ETA y IOTA asciende a 96,137 personas, de las cuales 8,544 son del municipio de Waspam, 31,274 del municipio de Puerto C</w:t>
      </w:r>
      <w:r>
        <w:rPr>
          <w:rFonts w:ascii="Times New Roman" w:eastAsia="Times New Roman" w:hAnsi="Times New Roman" w:cs="Times New Roman"/>
          <w:color w:val="000000"/>
          <w:sz w:val="16"/>
          <w:szCs w:val="16"/>
        </w:rPr>
        <w:t>abezas y 33,311 del municipio de Prinzapolka. De este total, se estima haber ofrecido albergue a un aproximado de 9,500 en los tres municipios de la RACCN.</w:t>
      </w:r>
    </w:p>
  </w:footnote>
  <w:footnote w:id="32">
    <w:p w:rsidR="00505D61" w:rsidRDefault="007F6DAC">
      <w:pPr>
        <w:pStyle w:val="LO-normal1"/>
        <w:tabs>
          <w:tab w:val="left" w:pos="284"/>
        </w:tabs>
        <w:spacing w:after="0" w:line="240" w:lineRule="auto"/>
        <w:jc w:val="both"/>
        <w:rPr>
          <w:rFonts w:ascii="Times New Roman" w:eastAsia="Times New Roman" w:hAnsi="Times New Roman" w:cs="Times New Roman"/>
          <w:color w:val="002060"/>
          <w:sz w:val="16"/>
          <w:szCs w:val="16"/>
        </w:rPr>
      </w:pPr>
      <w:r>
        <w:rPr>
          <w:rStyle w:val="Caracteresdenotaalpie"/>
        </w:rPr>
        <w:footnoteRef/>
      </w:r>
      <w:r>
        <w:rPr>
          <w:rFonts w:ascii="Times New Roman" w:eastAsia="Times New Roman" w:hAnsi="Times New Roman" w:cs="Times New Roman"/>
          <w:color w:val="002060"/>
          <w:sz w:val="12"/>
          <w:szCs w:val="12"/>
        </w:rPr>
        <w:tab/>
      </w:r>
      <w:r>
        <w:rPr>
          <w:rFonts w:ascii="Times New Roman" w:eastAsia="Times New Roman" w:hAnsi="Times New Roman" w:cs="Times New Roman"/>
          <w:color w:val="002060"/>
          <w:sz w:val="16"/>
          <w:szCs w:val="16"/>
        </w:rPr>
        <w:t>Los Consejos de Liderazgo Sandinista (CLS) y Juventud Sandinista (JS) han sido las estructuras par</w:t>
      </w:r>
      <w:r>
        <w:rPr>
          <w:rFonts w:ascii="Times New Roman" w:eastAsia="Times New Roman" w:hAnsi="Times New Roman" w:cs="Times New Roman"/>
          <w:color w:val="002060"/>
          <w:sz w:val="16"/>
          <w:szCs w:val="16"/>
        </w:rPr>
        <w:t xml:space="preserve">tidarias encargadas de distribuir la ayuda humanitaria en los barrios, priorizando la entrega a simpatizantes del gobierno y militantes del FSLN. Entrevista con Juana Bilbano, directora ejecutiva CEJUDHCAN. </w:t>
      </w:r>
      <w:hyperlink r:id="rId15">
        <w:r>
          <w:rPr>
            <w:rFonts w:ascii="Times New Roman" w:eastAsia="Times New Roman" w:hAnsi="Times New Roman" w:cs="Times New Roman"/>
            <w:color w:val="002060"/>
            <w:sz w:val="16"/>
            <w:szCs w:val="16"/>
            <w:u w:val="single"/>
          </w:rPr>
          <w:t>https://obreradelatecla.com/no-politizar-la-ayuda-para-los-damnificados-de-eta-y-iota-el-llamado-desde-cejudhcan/</w:t>
        </w:r>
      </w:hyperlink>
    </w:p>
    <w:p w:rsidR="00505D61" w:rsidRDefault="00505D61">
      <w:pPr>
        <w:pStyle w:val="LO-normal1"/>
        <w:tabs>
          <w:tab w:val="left" w:pos="284"/>
        </w:tabs>
        <w:spacing w:after="0" w:line="240" w:lineRule="auto"/>
        <w:ind w:left="284"/>
        <w:jc w:val="both"/>
        <w:rPr>
          <w:rFonts w:ascii="Times New Roman" w:eastAsia="Times New Roman" w:hAnsi="Times New Roman" w:cs="Times New Roman"/>
          <w:color w:val="002060"/>
          <w:sz w:val="12"/>
          <w:szCs w:val="12"/>
        </w:rPr>
      </w:pPr>
    </w:p>
  </w:footnote>
  <w:footnote w:id="33">
    <w:p w:rsidR="00505D61" w:rsidRDefault="007F6DAC">
      <w:pPr>
        <w:pStyle w:val="LO-normal1"/>
        <w:spacing w:after="0" w:line="240" w:lineRule="auto"/>
        <w:rPr>
          <w:rFonts w:ascii="Times New Roman" w:eastAsia="Times New Roman" w:hAnsi="Times New Roman" w:cs="Times New Roman"/>
          <w:sz w:val="16"/>
          <w:szCs w:val="16"/>
        </w:rPr>
      </w:pPr>
      <w:r>
        <w:rPr>
          <w:rStyle w:val="Caracteresdenotaalpie"/>
        </w:rPr>
        <w:footnoteRef/>
      </w:r>
      <w:r>
        <w:rPr>
          <w:sz w:val="20"/>
          <w:szCs w:val="20"/>
        </w:rPr>
        <w:t xml:space="preserve"> </w:t>
      </w:r>
      <w:r>
        <w:rPr>
          <w:rFonts w:ascii="Times New Roman" w:eastAsia="Times New Roman" w:hAnsi="Times New Roman" w:cs="Times New Roman"/>
          <w:sz w:val="16"/>
          <w:szCs w:val="16"/>
        </w:rPr>
        <w:t xml:space="preserve">UNICEF. </w:t>
      </w:r>
      <w:r>
        <w:rPr>
          <w:rFonts w:ascii="Times New Roman" w:eastAsia="Times New Roman" w:hAnsi="Times New Roman" w:cs="Times New Roman"/>
          <w:sz w:val="16"/>
          <w:szCs w:val="16"/>
        </w:rPr>
        <w:t>https://www.unicef.org/lac/comunicados-prensa/eta-iota-medio-millon-de-personas-siguen-con-acceso-limitado-a-agua-segura-en-nicaragua</w:t>
      </w:r>
    </w:p>
    <w:p w:rsidR="00505D61" w:rsidRDefault="00505D61">
      <w:pPr>
        <w:pStyle w:val="LO-normal1"/>
        <w:spacing w:after="0" w:line="240" w:lineRule="auto"/>
        <w:rPr>
          <w:rFonts w:ascii="Times New Roman" w:eastAsia="Times New Roman" w:hAnsi="Times New Roman" w:cs="Times New Roman"/>
          <w:sz w:val="16"/>
          <w:szCs w:val="16"/>
        </w:rPr>
      </w:pPr>
    </w:p>
  </w:footnote>
  <w:footnote w:id="34">
    <w:p w:rsidR="00505D61" w:rsidRDefault="007F6DAC">
      <w:pPr>
        <w:pStyle w:val="LO-normal1"/>
        <w:spacing w:after="0" w:line="240" w:lineRule="auto"/>
        <w:jc w:val="both"/>
        <w:rPr>
          <w:rFonts w:ascii="Times New Roman" w:eastAsia="Times New Roman" w:hAnsi="Times New Roman" w:cs="Times New Roman"/>
          <w:color w:val="000000"/>
          <w:sz w:val="12"/>
          <w:szCs w:val="12"/>
        </w:rPr>
      </w:pPr>
      <w:r>
        <w:rPr>
          <w:rStyle w:val="Caracteresdenotaalpie"/>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6"/>
          <w:szCs w:val="16"/>
        </w:rPr>
        <w:t>El 24 de noviembre de 2020, el Instituto Nacional Forestal (Inafor) firmó una resolución en la que establecía las condi</w:t>
      </w:r>
      <w:r>
        <w:rPr>
          <w:rFonts w:ascii="Times New Roman" w:eastAsia="Times New Roman" w:hAnsi="Times New Roman" w:cs="Times New Roman"/>
          <w:color w:val="000000"/>
          <w:sz w:val="16"/>
          <w:szCs w:val="16"/>
        </w:rPr>
        <w:t>ciones para el "aprovechamiento familiar" de los árboles "en las zonas de mayor afectación".  Los requisitos para que las familias afectadas puedan utilizar la madera de los árboles tumbados son entre otros: Georreferenciación del área de intervención; Una</w:t>
      </w:r>
      <w:r>
        <w:rPr>
          <w:rFonts w:ascii="Times New Roman" w:eastAsia="Times New Roman" w:hAnsi="Times New Roman" w:cs="Times New Roman"/>
          <w:color w:val="000000"/>
          <w:sz w:val="16"/>
          <w:szCs w:val="16"/>
        </w:rPr>
        <w:t xml:space="preserve"> guía metodológica de aprovechamiento; Inventario forestal; Plan de reposición de 10 plantas por cada árbol utilizado; Comprobante de inspección; Aprobación de un regente forestal. Dichos requisitos no pueden ser cumplidos por la mayoría de los pobladores </w:t>
      </w:r>
      <w:r>
        <w:rPr>
          <w:rFonts w:ascii="Times New Roman" w:eastAsia="Times New Roman" w:hAnsi="Times New Roman" w:cs="Times New Roman"/>
          <w:color w:val="000000"/>
          <w:sz w:val="16"/>
          <w:szCs w:val="16"/>
        </w:rPr>
        <w:t>que quedaron sin bienes y capital para pagar sus costos</w:t>
      </w:r>
    </w:p>
  </w:footnote>
  <w:footnote w:id="35">
    <w:p w:rsidR="00505D61" w:rsidRDefault="007F6DAC">
      <w:pPr>
        <w:pStyle w:val="LO-normal1"/>
        <w:tabs>
          <w:tab w:val="left" w:pos="284"/>
        </w:tabs>
        <w:spacing w:after="0" w:line="240" w:lineRule="auto"/>
        <w:ind w:left="284"/>
        <w:jc w:val="both"/>
        <w:rPr>
          <w:rFonts w:ascii="Candara" w:eastAsia="Candara" w:hAnsi="Candara" w:cs="Candara"/>
          <w:sz w:val="21"/>
          <w:szCs w:val="21"/>
        </w:rPr>
      </w:pPr>
      <w:r>
        <w:rPr>
          <w:rStyle w:val="Caracteresdenotaalpie"/>
        </w:rPr>
        <w:footnoteRef/>
      </w:r>
      <w:r>
        <w:rPr>
          <w:rFonts w:ascii="Candara" w:eastAsia="Candara" w:hAnsi="Candara" w:cs="Candara"/>
          <w:sz w:val="23"/>
          <w:szCs w:val="23"/>
        </w:rPr>
        <w:tab/>
      </w:r>
      <w:r>
        <w:rPr>
          <w:rFonts w:ascii="Times New Roman" w:eastAsia="Times New Roman" w:hAnsi="Times New Roman" w:cs="Times New Roman"/>
          <w:sz w:val="16"/>
          <w:szCs w:val="16"/>
        </w:rPr>
        <w:t xml:space="preserve">A pesar de estos esfuerzos, los años de estudios de un nicaragüense promedio es de 6.4 años, es decir, logró aprobar el nivel educativo de primaria; ese porcentaje se incrementa a 7.6 años en el </w:t>
      </w:r>
      <w:r>
        <w:rPr>
          <w:rFonts w:ascii="Times New Roman" w:eastAsia="Times New Roman" w:hAnsi="Times New Roman" w:cs="Times New Roman"/>
          <w:sz w:val="16"/>
          <w:szCs w:val="16"/>
        </w:rPr>
        <w:t>área de residencia urbana y se reduce a 4.8 años, en el área de residencia rural. Los años de estudio aprobados son un indicador que permite resumir en una cifra el nivel educativo de la población. Por otra parte, la tasa de analfabetismo de las personas d</w:t>
      </w:r>
      <w:r>
        <w:rPr>
          <w:rFonts w:ascii="Times New Roman" w:eastAsia="Times New Roman" w:hAnsi="Times New Roman" w:cs="Times New Roman"/>
          <w:sz w:val="16"/>
          <w:szCs w:val="16"/>
        </w:rPr>
        <w:t>e 10 años a más aumentó situándose en 15.4% a nivel nacional en el 2017</w:t>
      </w:r>
      <w:r>
        <w:rPr>
          <w:rFonts w:ascii="Candara" w:eastAsia="Candara" w:hAnsi="Candara" w:cs="Candara"/>
          <w:sz w:val="21"/>
          <w:szCs w:val="21"/>
        </w:rPr>
        <w:t>.</w:t>
      </w:r>
    </w:p>
    <w:p w:rsidR="00505D61" w:rsidRDefault="00505D61">
      <w:pPr>
        <w:pStyle w:val="LO-normal1"/>
        <w:spacing w:after="0" w:line="240" w:lineRule="auto"/>
        <w:rPr>
          <w:sz w:val="16"/>
          <w:szCs w:val="16"/>
        </w:rPr>
      </w:pPr>
    </w:p>
  </w:footnote>
  <w:footnote w:id="36">
    <w:p w:rsidR="00505D61" w:rsidRDefault="007F6DAC">
      <w:pPr>
        <w:pStyle w:val="LO-normal1"/>
        <w:tabs>
          <w:tab w:val="left" w:pos="284"/>
        </w:tabs>
        <w:spacing w:after="0" w:line="240" w:lineRule="auto"/>
        <w:ind w:left="284"/>
        <w:jc w:val="both"/>
        <w:rPr>
          <w:rFonts w:ascii="Times New Roman" w:eastAsia="Times New Roman" w:hAnsi="Times New Roman" w:cs="Times New Roman"/>
          <w:sz w:val="16"/>
          <w:szCs w:val="16"/>
        </w:rPr>
      </w:pPr>
      <w:r>
        <w:rPr>
          <w:rStyle w:val="Caracteresdenotaalpie"/>
        </w:rPr>
        <w:footnoteRef/>
      </w:r>
      <w:r>
        <w:rPr>
          <w:rFonts w:ascii="Candara" w:eastAsia="Candara" w:hAnsi="Candara" w:cs="Candara"/>
          <w:sz w:val="23"/>
          <w:szCs w:val="23"/>
        </w:rPr>
        <w:tab/>
      </w:r>
      <w:r>
        <w:rPr>
          <w:rFonts w:ascii="Times New Roman" w:eastAsia="Times New Roman" w:hAnsi="Times New Roman" w:cs="Times New Roman"/>
          <w:sz w:val="16"/>
          <w:szCs w:val="16"/>
        </w:rPr>
        <w:t>La tasa neta de matrícula se refiere al número de alumnos matriculados en centros de enseñanza de un determinado nivel y que pertenecen al grupo de edad que, según las normas regla</w:t>
      </w:r>
      <w:r>
        <w:rPr>
          <w:rFonts w:ascii="Times New Roman" w:eastAsia="Times New Roman" w:hAnsi="Times New Roman" w:cs="Times New Roman"/>
          <w:sz w:val="16"/>
          <w:szCs w:val="16"/>
        </w:rPr>
        <w:t>mentarias o convenciones educativas, corresponden a dicho nivel, y se expresa como porcentaje de la población del grupo de edad respectivo: de 6 a 11 años de edad para el caso de primaria, de 12 a 16 años de edad para el caso de secundaria y de 17 a 23 año</w:t>
      </w:r>
      <w:r>
        <w:rPr>
          <w:rFonts w:ascii="Times New Roman" w:eastAsia="Times New Roman" w:hAnsi="Times New Roman" w:cs="Times New Roman"/>
          <w:sz w:val="16"/>
          <w:szCs w:val="16"/>
        </w:rPr>
        <w:t xml:space="preserve">s de edad para el caso de la universidad. </w:t>
      </w:r>
    </w:p>
    <w:p w:rsidR="00505D61" w:rsidRDefault="00505D61">
      <w:pPr>
        <w:pStyle w:val="LO-normal1"/>
        <w:tabs>
          <w:tab w:val="left" w:pos="284"/>
        </w:tabs>
        <w:spacing w:after="0" w:line="240" w:lineRule="auto"/>
        <w:ind w:left="284"/>
        <w:jc w:val="both"/>
        <w:rPr>
          <w:rFonts w:ascii="Times New Roman" w:eastAsia="Times New Roman" w:hAnsi="Times New Roman" w:cs="Times New Roman"/>
          <w:sz w:val="16"/>
          <w:szCs w:val="16"/>
        </w:rPr>
      </w:pPr>
    </w:p>
  </w:footnote>
  <w:footnote w:id="37">
    <w:p w:rsidR="00505D61" w:rsidRDefault="007F6DAC">
      <w:pPr>
        <w:pStyle w:val="LO-normal1"/>
        <w:tabs>
          <w:tab w:val="left" w:pos="284"/>
        </w:tabs>
        <w:spacing w:after="0" w:line="240" w:lineRule="auto"/>
        <w:ind w:left="284"/>
        <w:jc w:val="both"/>
        <w:rPr>
          <w:rFonts w:ascii="Times New Roman" w:eastAsia="Times New Roman" w:hAnsi="Times New Roman" w:cs="Times New Roman"/>
          <w:sz w:val="16"/>
          <w:szCs w:val="16"/>
        </w:rPr>
      </w:pPr>
      <w:r>
        <w:rPr>
          <w:rStyle w:val="Caracteresdenotaalpie"/>
        </w:rPr>
        <w:footnoteRef/>
      </w:r>
      <w:r>
        <w:rPr>
          <w:rFonts w:ascii="Candara" w:eastAsia="Candara" w:hAnsi="Candara" w:cs="Candara"/>
          <w:sz w:val="23"/>
          <w:szCs w:val="23"/>
        </w:rPr>
        <w:t xml:space="preserve"> </w:t>
      </w:r>
      <w:r>
        <w:rPr>
          <w:rFonts w:ascii="Candara" w:eastAsia="Candara" w:hAnsi="Candara" w:cs="Candara"/>
          <w:sz w:val="23"/>
          <w:szCs w:val="23"/>
        </w:rPr>
        <w:tab/>
      </w:r>
      <w:r>
        <w:rPr>
          <w:rFonts w:ascii="Times New Roman" w:eastAsia="Times New Roman" w:hAnsi="Times New Roman" w:cs="Times New Roman"/>
          <w:sz w:val="16"/>
          <w:szCs w:val="16"/>
        </w:rPr>
        <w:t>Organización de las Naciones Unidas para la Educación, la Ciencia y la Cultura (UNESCO) 2009. Indicadores de la educación. Especificaciones técnicas. Informe al Pacto Internacional de Derechos Económicos, Soci</w:t>
      </w:r>
      <w:r>
        <w:rPr>
          <w:rFonts w:ascii="Times New Roman" w:eastAsia="Times New Roman" w:hAnsi="Times New Roman" w:cs="Times New Roman"/>
          <w:sz w:val="16"/>
          <w:szCs w:val="16"/>
        </w:rPr>
        <w:t>ales y Culturales, Consejo Superior de la Empresa Privada (COSEP) y Fundación Nicaragüense para el Desarrollo Económico y Social (FUNIDES), junio 2019.</w:t>
      </w:r>
    </w:p>
  </w:footnote>
  <w:footnote w:id="38">
    <w:p w:rsidR="00505D61" w:rsidRDefault="007F6DAC">
      <w:pPr>
        <w:pStyle w:val="LO-normal1"/>
        <w:tabs>
          <w:tab w:val="left" w:pos="-1"/>
        </w:tabs>
        <w:spacing w:after="0" w:line="240" w:lineRule="auto"/>
        <w:ind w:left="283" w:hanging="283"/>
        <w:jc w:val="both"/>
        <w:rPr>
          <w:rFonts w:ascii="Candara" w:eastAsia="Candara" w:hAnsi="Candara" w:cs="Candara"/>
          <w:sz w:val="16"/>
          <w:szCs w:val="16"/>
        </w:rPr>
      </w:pPr>
      <w:r>
        <w:rPr>
          <w:rStyle w:val="Caracteresdenotaalpie"/>
        </w:rPr>
        <w:footnoteRef/>
      </w:r>
      <w:r>
        <w:rPr>
          <w:rFonts w:ascii="Candara" w:eastAsia="Candara" w:hAnsi="Candara" w:cs="Candara"/>
          <w:sz w:val="16"/>
          <w:szCs w:val="16"/>
        </w:rPr>
        <w:tab/>
        <w:t>En las Regiones Autónomas de la Costa del Caribe Nicaragüense, se cuenta con el Subsistema Educativo A</w:t>
      </w:r>
      <w:r>
        <w:rPr>
          <w:rFonts w:ascii="Candara" w:eastAsia="Candara" w:hAnsi="Candara" w:cs="Candara"/>
          <w:sz w:val="16"/>
          <w:szCs w:val="16"/>
        </w:rPr>
        <w:t>utónomo Regional (SEAR) el cual tiene como objetivo desarrollar una formación integral basado en los principios de autonomía, interculturalidad, solidaridad, pertinencia, calidad y equidad.</w:t>
      </w:r>
    </w:p>
  </w:footnote>
  <w:footnote w:id="39">
    <w:p w:rsidR="00505D61" w:rsidRDefault="007F6DAC">
      <w:pPr>
        <w:pStyle w:val="LO-normal1"/>
        <w:tabs>
          <w:tab w:val="left" w:pos="284"/>
        </w:tabs>
        <w:spacing w:after="0" w:line="240" w:lineRule="auto"/>
        <w:jc w:val="both"/>
        <w:rPr>
          <w:rFonts w:ascii="Times New Roman" w:eastAsia="Times New Roman" w:hAnsi="Times New Roman" w:cs="Times New Roman"/>
          <w:sz w:val="16"/>
          <w:szCs w:val="16"/>
        </w:rPr>
      </w:pPr>
      <w:r>
        <w:rPr>
          <w:rStyle w:val="Caracteresdenotaalpie"/>
        </w:rPr>
        <w:footnoteRef/>
      </w:r>
      <w:r>
        <w:rPr>
          <w:rFonts w:ascii="Candara" w:eastAsia="Candara" w:hAnsi="Candara" w:cs="Candara"/>
          <w:sz w:val="16"/>
          <w:szCs w:val="16"/>
        </w:rPr>
        <w:tab/>
      </w:r>
      <w:r>
        <w:rPr>
          <w:rFonts w:ascii="Times New Roman" w:eastAsia="Times New Roman" w:hAnsi="Times New Roman" w:cs="Times New Roman"/>
          <w:sz w:val="16"/>
          <w:szCs w:val="16"/>
        </w:rPr>
        <w:t>Debido a la ausencia de datos oficiales sobre matrícula en la Co</w:t>
      </w:r>
      <w:r>
        <w:rPr>
          <w:rFonts w:ascii="Times New Roman" w:eastAsia="Times New Roman" w:hAnsi="Times New Roman" w:cs="Times New Roman"/>
          <w:sz w:val="16"/>
          <w:szCs w:val="16"/>
        </w:rPr>
        <w:t>sta Caribe no es posible extender el análisis hasta el año 2018.</w:t>
      </w:r>
    </w:p>
  </w:footnote>
  <w:footnote w:id="40">
    <w:p w:rsidR="00505D61" w:rsidRDefault="007F6DAC">
      <w:pPr>
        <w:pStyle w:val="LO-normal1"/>
        <w:tabs>
          <w:tab w:val="left" w:pos="284"/>
        </w:tabs>
        <w:spacing w:after="0" w:line="240" w:lineRule="auto"/>
        <w:ind w:left="283"/>
        <w:jc w:val="both"/>
        <w:rPr>
          <w:rFonts w:ascii="Times New Roman" w:eastAsia="Times New Roman" w:hAnsi="Times New Roman" w:cs="Times New Roman"/>
          <w:sz w:val="16"/>
          <w:szCs w:val="16"/>
        </w:rPr>
      </w:pPr>
      <w:r>
        <w:rPr>
          <w:rStyle w:val="Caracteresdenotaalpie"/>
        </w:rPr>
        <w:footnoteRef/>
      </w:r>
      <w:r>
        <w:rPr>
          <w:rFonts w:ascii="Times New Roman" w:eastAsia="Times New Roman" w:hAnsi="Times New Roman" w:cs="Times New Roman"/>
          <w:sz w:val="18"/>
          <w:szCs w:val="18"/>
        </w:rPr>
        <w:tab/>
      </w:r>
      <w:r>
        <w:rPr>
          <w:rFonts w:ascii="Times New Roman" w:eastAsia="Times New Roman" w:hAnsi="Times New Roman" w:cs="Times New Roman"/>
          <w:sz w:val="16"/>
          <w:szCs w:val="16"/>
        </w:rPr>
        <w:t xml:space="preserve">Nicaragua destina para la educación inicial el menor porcentaje de su presupuesto para educación, en relación al resto </w:t>
      </w:r>
      <w:r>
        <w:rPr>
          <w:rFonts w:ascii="Times New Roman" w:eastAsia="Times New Roman" w:hAnsi="Times New Roman" w:cs="Times New Roman"/>
          <w:sz w:val="16"/>
          <w:szCs w:val="16"/>
        </w:rPr>
        <w:tab/>
        <w:t xml:space="preserve">de Centroamérica. Según datos del estudio “Situación de la educación </w:t>
      </w:r>
      <w:r>
        <w:rPr>
          <w:rFonts w:ascii="Times New Roman" w:eastAsia="Times New Roman" w:hAnsi="Times New Roman" w:cs="Times New Roman"/>
          <w:sz w:val="16"/>
          <w:szCs w:val="16"/>
        </w:rPr>
        <w:t>Preescolar en Nicaragua Mejoramiento y lecciones en el período 2012-2017” Nicaragua solo dedica el 3.5%, del presupuesto en este nivel educativo, mientras que Guatemala en el período de esos cuatro años, dedicó el 13.7%. El reporte, describe las deficienci</w:t>
      </w:r>
      <w:r>
        <w:rPr>
          <w:rFonts w:ascii="Times New Roman" w:eastAsia="Times New Roman" w:hAnsi="Times New Roman" w:cs="Times New Roman"/>
          <w:sz w:val="16"/>
          <w:szCs w:val="16"/>
        </w:rPr>
        <w:t>as en el desarrollo de la educación preescolar en Nicaragua y las oportunidades que podrían alcanzarse, por medio de la educación inicial, si se prestara mayor atención a lo que los especialistas en educación señalan como la etapa más importante del desarr</w:t>
      </w:r>
      <w:r>
        <w:rPr>
          <w:rFonts w:ascii="Times New Roman" w:eastAsia="Times New Roman" w:hAnsi="Times New Roman" w:cs="Times New Roman"/>
          <w:sz w:val="16"/>
          <w:szCs w:val="16"/>
        </w:rPr>
        <w:t>ollo del cerebro humano.</w:t>
      </w:r>
    </w:p>
  </w:footnote>
  <w:footnote w:id="41">
    <w:p w:rsidR="00505D61" w:rsidRDefault="007F6DAC">
      <w:pPr>
        <w:pStyle w:val="LO-normal1"/>
        <w:tabs>
          <w:tab w:val="left" w:pos="284"/>
        </w:tabs>
        <w:spacing w:after="0" w:line="240" w:lineRule="auto"/>
        <w:rPr>
          <w:rFonts w:ascii="Times New Roman" w:eastAsia="Times New Roman" w:hAnsi="Times New Roman" w:cs="Times New Roman"/>
          <w:sz w:val="16"/>
          <w:szCs w:val="16"/>
        </w:rPr>
      </w:pPr>
      <w:r>
        <w:rPr>
          <w:rStyle w:val="Caracteresdenotaalpie"/>
        </w:rPr>
        <w:footnoteRef/>
      </w:r>
      <w:r>
        <w:rPr>
          <w:rFonts w:ascii="Candara" w:eastAsia="Candara" w:hAnsi="Candara" w:cs="Candara"/>
          <w:sz w:val="16"/>
          <w:szCs w:val="16"/>
        </w:rPr>
        <w:tab/>
      </w:r>
      <w:r>
        <w:rPr>
          <w:rFonts w:ascii="Times New Roman" w:eastAsia="Times New Roman" w:hAnsi="Times New Roman" w:cs="Times New Roman"/>
          <w:sz w:val="16"/>
          <w:szCs w:val="16"/>
        </w:rPr>
        <w:t>FUNIDES, Agenda Educativa para la Nación, 2012</w:t>
      </w:r>
    </w:p>
    <w:p w:rsidR="00505D61" w:rsidRDefault="00505D61">
      <w:pPr>
        <w:pStyle w:val="LO-normal1"/>
        <w:tabs>
          <w:tab w:val="left" w:pos="284"/>
        </w:tabs>
        <w:spacing w:after="0" w:line="240" w:lineRule="auto"/>
        <w:rPr>
          <w:rFonts w:ascii="Candara" w:eastAsia="Candara" w:hAnsi="Candara" w:cs="Candara"/>
          <w:sz w:val="16"/>
          <w:szCs w:val="16"/>
        </w:rPr>
      </w:pPr>
    </w:p>
  </w:footnote>
  <w:footnote w:id="42">
    <w:p w:rsidR="00505D61" w:rsidRDefault="007F6DAC">
      <w:pPr>
        <w:pStyle w:val="LO-normal1"/>
        <w:tabs>
          <w:tab w:val="left" w:pos="284"/>
        </w:tabs>
        <w:spacing w:after="0" w:line="240" w:lineRule="auto"/>
        <w:ind w:left="284"/>
        <w:jc w:val="both"/>
        <w:rPr>
          <w:rFonts w:ascii="Candara" w:eastAsia="Candara" w:hAnsi="Candara" w:cs="Candara"/>
          <w:sz w:val="18"/>
          <w:szCs w:val="18"/>
        </w:rPr>
      </w:pPr>
      <w:r>
        <w:rPr>
          <w:rStyle w:val="Caracteresdenotaalpie"/>
        </w:rPr>
        <w:footnoteRef/>
      </w:r>
      <w:r>
        <w:rPr>
          <w:rFonts w:ascii="Candara" w:eastAsia="Candara" w:hAnsi="Candara" w:cs="Candara"/>
          <w:sz w:val="23"/>
          <w:szCs w:val="23"/>
        </w:rPr>
        <w:tab/>
      </w:r>
      <w:r>
        <w:rPr>
          <w:rFonts w:ascii="Candara" w:eastAsia="Candara" w:hAnsi="Candara" w:cs="Candara"/>
          <w:sz w:val="18"/>
          <w:szCs w:val="18"/>
        </w:rPr>
        <w:t xml:space="preserve">Asumiendo que estos porcentajes hayan mejorado entre el 2014 – 2017, las brechas educativas existentes entre la Costa Caribe y el nivel nacional, influirían para que la mejoría sea siempre menor que a nivel nacional. </w:t>
      </w:r>
    </w:p>
    <w:p w:rsidR="00505D61" w:rsidRDefault="00505D61">
      <w:pPr>
        <w:pStyle w:val="LO-normal1"/>
        <w:tabs>
          <w:tab w:val="left" w:pos="284"/>
        </w:tabs>
        <w:spacing w:after="0" w:line="240" w:lineRule="auto"/>
        <w:ind w:left="284"/>
        <w:jc w:val="both"/>
        <w:rPr>
          <w:rFonts w:ascii="Candara" w:eastAsia="Candara" w:hAnsi="Candara" w:cs="Candara"/>
          <w:sz w:val="16"/>
          <w:szCs w:val="16"/>
        </w:rPr>
      </w:pPr>
    </w:p>
  </w:footnote>
  <w:footnote w:id="43">
    <w:p w:rsidR="00505D61" w:rsidRDefault="007F6DAC">
      <w:pPr>
        <w:pStyle w:val="LO-normal1"/>
        <w:tabs>
          <w:tab w:val="left" w:pos="284"/>
        </w:tabs>
        <w:spacing w:after="0" w:line="240" w:lineRule="auto"/>
        <w:ind w:left="284"/>
        <w:jc w:val="both"/>
        <w:rPr>
          <w:rFonts w:ascii="Times New Roman" w:eastAsia="Times New Roman" w:hAnsi="Times New Roman" w:cs="Times New Roman"/>
          <w:sz w:val="18"/>
          <w:szCs w:val="18"/>
        </w:rPr>
      </w:pPr>
      <w:r>
        <w:rPr>
          <w:rStyle w:val="Caracteresdenotaalpie"/>
        </w:rPr>
        <w:footnoteRef/>
      </w:r>
      <w:r>
        <w:rPr>
          <w:rFonts w:ascii="Candara" w:eastAsia="Candara" w:hAnsi="Candara" w:cs="Candara"/>
          <w:sz w:val="23"/>
          <w:szCs w:val="23"/>
        </w:rPr>
        <w:t>.</w:t>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ab/>
        <w:t>Esta información es coherente con</w:t>
      </w:r>
      <w:r>
        <w:rPr>
          <w:rFonts w:ascii="Times New Roman" w:eastAsia="Times New Roman" w:hAnsi="Times New Roman" w:cs="Times New Roman"/>
          <w:sz w:val="18"/>
          <w:szCs w:val="18"/>
        </w:rPr>
        <w:t xml:space="preserve"> los resultados de la Encuesta Nacional de Medición de Nivel de Vida (EMNV) 2014, la cual indica que, a nivel nacional, 5 de cada 10 niñas y niños de 3 a 6 años asisten a preescolar; en la Costa Caribe esto cambia, ya que solo 3 de cada 10 asisten a este n</w:t>
      </w:r>
      <w:r>
        <w:rPr>
          <w:rFonts w:ascii="Times New Roman" w:eastAsia="Times New Roman" w:hAnsi="Times New Roman" w:cs="Times New Roman"/>
          <w:sz w:val="18"/>
          <w:szCs w:val="18"/>
        </w:rPr>
        <w:t>ivel.</w:t>
      </w:r>
    </w:p>
  </w:footnote>
  <w:footnote w:id="44">
    <w:p w:rsidR="00505D61" w:rsidRDefault="007F6DAC">
      <w:pPr>
        <w:pStyle w:val="LO-normal1"/>
        <w:spacing w:after="0" w:line="240" w:lineRule="auto"/>
        <w:jc w:val="both"/>
        <w:rPr>
          <w:rFonts w:ascii="Candara" w:eastAsia="Candara" w:hAnsi="Candara" w:cs="Candara"/>
          <w:sz w:val="16"/>
          <w:szCs w:val="16"/>
        </w:rPr>
      </w:pPr>
      <w:r>
        <w:rPr>
          <w:rStyle w:val="Caracteresdenotaalpie"/>
        </w:rPr>
        <w:footnoteRef/>
      </w:r>
    </w:p>
    <w:p w:rsidR="00505D61" w:rsidRDefault="007F6DAC">
      <w:pPr>
        <w:pStyle w:val="LO-normal1"/>
        <w:tabs>
          <w:tab w:val="left" w:pos="284"/>
        </w:tabs>
        <w:spacing w:after="0" w:line="240" w:lineRule="auto"/>
        <w:ind w:left="284"/>
        <w:jc w:val="both"/>
        <w:rPr>
          <w:rFonts w:ascii="Times New Roman" w:eastAsia="Times New Roman" w:hAnsi="Times New Roman" w:cs="Times New Roman"/>
          <w:sz w:val="18"/>
          <w:szCs w:val="18"/>
        </w:rPr>
      </w:pPr>
      <w:r>
        <w:rPr>
          <w:rFonts w:ascii="Candara" w:eastAsia="Candara" w:hAnsi="Candara" w:cs="Candara"/>
          <w:sz w:val="23"/>
          <w:szCs w:val="23"/>
        </w:rPr>
        <w:t xml:space="preserve">. </w:t>
      </w:r>
      <w:r>
        <w:rPr>
          <w:rFonts w:ascii="Candara" w:eastAsia="Candara" w:hAnsi="Candara" w:cs="Candara"/>
          <w:sz w:val="23"/>
          <w:szCs w:val="23"/>
        </w:rPr>
        <w:tab/>
      </w:r>
      <w:r>
        <w:rPr>
          <w:rFonts w:ascii="Times New Roman" w:eastAsia="Times New Roman" w:hAnsi="Times New Roman" w:cs="Times New Roman"/>
          <w:sz w:val="18"/>
          <w:szCs w:val="18"/>
        </w:rPr>
        <w:t>Aducen al menos tres factores: (i) los padres estiman que están muy chiquitos para enviarlos a la escuela; (ii) el centro escolar les queda largo de sus casas; (iii) porque las escuelas no disponen de medios pedagógicos adecuados para esta edad,</w:t>
      </w:r>
      <w:r>
        <w:rPr>
          <w:rFonts w:ascii="Times New Roman" w:eastAsia="Times New Roman" w:hAnsi="Times New Roman" w:cs="Times New Roman"/>
          <w:sz w:val="18"/>
          <w:szCs w:val="18"/>
        </w:rPr>
        <w:t xml:space="preserve"> ya que utilizan la misma infraestructura que el resto de alumnos.</w:t>
      </w:r>
    </w:p>
    <w:p w:rsidR="00505D61" w:rsidRDefault="00505D61">
      <w:pPr>
        <w:pStyle w:val="LO-normal1"/>
        <w:tabs>
          <w:tab w:val="left" w:pos="284"/>
        </w:tabs>
        <w:spacing w:after="0" w:line="240" w:lineRule="auto"/>
        <w:ind w:left="284"/>
        <w:jc w:val="both"/>
        <w:rPr>
          <w:rFonts w:ascii="Candara" w:eastAsia="Candara" w:hAnsi="Candara" w:cs="Candara"/>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D61" w:rsidRDefault="00505D61">
    <w:pPr>
      <w:pStyle w:val="LO-normal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B64B6"/>
    <w:multiLevelType w:val="multilevel"/>
    <w:tmpl w:val="CBB6A83C"/>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
      <w:lvlJc w:val="left"/>
      <w:pPr>
        <w:tabs>
          <w:tab w:val="num" w:pos="0"/>
        </w:tabs>
        <w:ind w:left="1440" w:hanging="360"/>
      </w:pPr>
      <w:rPr>
        <w:rFonts w:ascii="Noto Sans Symbols" w:hAnsi="Noto Sans Symbols" w:cs="Noto Sans Symbols"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
      <w:lvlJc w:val="left"/>
      <w:pPr>
        <w:tabs>
          <w:tab w:val="num" w:pos="0"/>
        </w:tabs>
        <w:ind w:left="3600" w:hanging="360"/>
      </w:pPr>
      <w:rPr>
        <w:rFonts w:ascii="Noto Sans Symbols" w:hAnsi="Noto Sans Symbols" w:cs="Noto Sans Symbols"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
      <w:lvlJc w:val="left"/>
      <w:pPr>
        <w:tabs>
          <w:tab w:val="num" w:pos="0"/>
        </w:tabs>
        <w:ind w:left="5760" w:hanging="360"/>
      </w:pPr>
      <w:rPr>
        <w:rFonts w:ascii="Noto Sans Symbols" w:hAnsi="Noto Sans Symbols" w:cs="Noto Sans Symbols"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 w15:restartNumberingAfterBreak="0">
    <w:nsid w:val="47315A66"/>
    <w:multiLevelType w:val="multilevel"/>
    <w:tmpl w:val="848212DC"/>
    <w:lvl w:ilvl="0">
      <w:start w:val="1"/>
      <w:numFmt w:val="upperRoman"/>
      <w:lvlText w:val="%1."/>
      <w:lvlJc w:val="right"/>
      <w:pPr>
        <w:tabs>
          <w:tab w:val="num" w:pos="0"/>
        </w:tabs>
        <w:ind w:left="720" w:hanging="360"/>
      </w:pPr>
      <w:rPr>
        <w:u w:val="none"/>
      </w:rPr>
    </w:lvl>
    <w:lvl w:ilvl="1">
      <w:start w:val="1"/>
      <w:numFmt w:val="upperLetter"/>
      <w:lvlText w:val="%2."/>
      <w:lvlJc w:val="left"/>
      <w:pPr>
        <w:tabs>
          <w:tab w:val="num" w:pos="0"/>
        </w:tabs>
        <w:ind w:left="1440" w:hanging="360"/>
      </w:pPr>
      <w:rPr>
        <w:u w:val="none"/>
      </w:rPr>
    </w:lvl>
    <w:lvl w:ilvl="2">
      <w:start w:val="1"/>
      <w:numFmt w:val="decimal"/>
      <w:lvlText w:val="%3."/>
      <w:lvlJc w:val="left"/>
      <w:pPr>
        <w:tabs>
          <w:tab w:val="num" w:pos="0"/>
        </w:tabs>
        <w:ind w:left="2160" w:hanging="360"/>
      </w:pPr>
      <w:rPr>
        <w:u w:val="none"/>
      </w:rPr>
    </w:lvl>
    <w:lvl w:ilvl="3">
      <w:start w:val="1"/>
      <w:numFmt w:val="lowerLetter"/>
      <w:lvlText w:val="%4)"/>
      <w:lvlJc w:val="left"/>
      <w:pPr>
        <w:tabs>
          <w:tab w:val="num" w:pos="0"/>
        </w:tabs>
        <w:ind w:left="2880" w:hanging="360"/>
      </w:pPr>
      <w:rPr>
        <w:u w:val="none"/>
      </w:rPr>
    </w:lvl>
    <w:lvl w:ilvl="4">
      <w:start w:val="1"/>
      <w:numFmt w:val="decimal"/>
      <w:lvlText w:val="(%5)"/>
      <w:lvlJc w:val="left"/>
      <w:pPr>
        <w:tabs>
          <w:tab w:val="num" w:pos="0"/>
        </w:tabs>
        <w:ind w:left="3600" w:hanging="360"/>
      </w:pPr>
      <w:rPr>
        <w:u w:val="none"/>
      </w:rPr>
    </w:lvl>
    <w:lvl w:ilvl="5">
      <w:start w:val="1"/>
      <w:numFmt w:val="lowerLetter"/>
      <w:lvlText w:val="(%6)"/>
      <w:lvlJc w:val="left"/>
      <w:pPr>
        <w:tabs>
          <w:tab w:val="num" w:pos="0"/>
        </w:tabs>
        <w:ind w:left="4320" w:hanging="360"/>
      </w:pPr>
      <w:rPr>
        <w:u w:val="none"/>
      </w:rPr>
    </w:lvl>
    <w:lvl w:ilvl="6">
      <w:start w:val="1"/>
      <w:numFmt w:val="lowerRoman"/>
      <w:lvlText w:val="(%7)"/>
      <w:lvlJc w:val="righ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 w15:restartNumberingAfterBreak="0">
    <w:nsid w:val="56B63CB8"/>
    <w:multiLevelType w:val="multilevel"/>
    <w:tmpl w:val="2B0EFEAE"/>
    <w:lvl w:ilvl="0">
      <w:start w:val="5"/>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6D437835"/>
    <w:multiLevelType w:val="multilevel"/>
    <w:tmpl w:val="A9C0A1B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74C214F1"/>
    <w:multiLevelType w:val="multilevel"/>
    <w:tmpl w:val="283861FC"/>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
      <w:lvlJc w:val="left"/>
      <w:pPr>
        <w:tabs>
          <w:tab w:val="num" w:pos="0"/>
        </w:tabs>
        <w:ind w:left="1440" w:hanging="360"/>
      </w:pPr>
      <w:rPr>
        <w:rFonts w:ascii="Noto Sans Symbols" w:hAnsi="Noto Sans Symbols" w:cs="Noto Sans Symbols"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
      <w:lvlJc w:val="left"/>
      <w:pPr>
        <w:tabs>
          <w:tab w:val="num" w:pos="0"/>
        </w:tabs>
        <w:ind w:left="3600" w:hanging="360"/>
      </w:pPr>
      <w:rPr>
        <w:rFonts w:ascii="Noto Sans Symbols" w:hAnsi="Noto Sans Symbols" w:cs="Noto Sans Symbols"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
      <w:lvlJc w:val="left"/>
      <w:pPr>
        <w:tabs>
          <w:tab w:val="num" w:pos="0"/>
        </w:tabs>
        <w:ind w:left="5760" w:hanging="360"/>
      </w:pPr>
      <w:rPr>
        <w:rFonts w:ascii="Noto Sans Symbols" w:hAnsi="Noto Sans Symbols" w:cs="Noto Sans Symbols"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D61"/>
    <w:rsid w:val="00505D61"/>
    <w:rsid w:val="007F6DA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8F8C71-B3A4-4671-B727-57B5400C8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NI"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paragraph" w:styleId="Heading1">
    <w:name w:val="heading 1"/>
    <w:basedOn w:val="LO-normal"/>
    <w:next w:val="LO-normal"/>
    <w:qFormat/>
    <w:pPr>
      <w:keepNext/>
      <w:keepLines/>
      <w:spacing w:before="480" w:after="120" w:line="240" w:lineRule="auto"/>
      <w:outlineLvl w:val="0"/>
    </w:pPr>
    <w:rPr>
      <w:b/>
      <w:sz w:val="48"/>
      <w:szCs w:val="48"/>
    </w:rPr>
  </w:style>
  <w:style w:type="paragraph" w:styleId="Heading2">
    <w:name w:val="heading 2"/>
    <w:basedOn w:val="LO-normal"/>
    <w:next w:val="LO-normal"/>
    <w:qFormat/>
    <w:pPr>
      <w:keepNext/>
      <w:keepLines/>
      <w:spacing w:before="360" w:after="80" w:line="240" w:lineRule="auto"/>
      <w:outlineLvl w:val="1"/>
    </w:pPr>
    <w:rPr>
      <w:b/>
      <w:sz w:val="36"/>
      <w:szCs w:val="36"/>
    </w:rPr>
  </w:style>
  <w:style w:type="paragraph" w:styleId="Heading3">
    <w:name w:val="heading 3"/>
    <w:basedOn w:val="LO-normal"/>
    <w:next w:val="LO-normal"/>
    <w:qFormat/>
    <w:pPr>
      <w:keepNext/>
      <w:keepLines/>
      <w:spacing w:before="280" w:after="80" w:line="240" w:lineRule="auto"/>
      <w:outlineLvl w:val="2"/>
    </w:pPr>
    <w:rPr>
      <w:b/>
      <w:sz w:val="28"/>
      <w:szCs w:val="28"/>
    </w:rPr>
  </w:style>
  <w:style w:type="paragraph" w:styleId="Heading4">
    <w:name w:val="heading 4"/>
    <w:basedOn w:val="LO-normal"/>
    <w:next w:val="LO-normal"/>
    <w:qFormat/>
    <w:pPr>
      <w:keepNext/>
      <w:keepLines/>
      <w:spacing w:before="240" w:after="40" w:line="240" w:lineRule="auto"/>
      <w:outlineLvl w:val="3"/>
    </w:pPr>
    <w:rPr>
      <w:b/>
      <w:sz w:val="24"/>
      <w:szCs w:val="24"/>
    </w:rPr>
  </w:style>
  <w:style w:type="paragraph" w:styleId="Heading5">
    <w:name w:val="heading 5"/>
    <w:basedOn w:val="LO-normal"/>
    <w:next w:val="LO-normal"/>
    <w:qFormat/>
    <w:pPr>
      <w:keepNext/>
      <w:keepLines/>
      <w:spacing w:before="220" w:after="40" w:line="240" w:lineRule="auto"/>
      <w:outlineLvl w:val="4"/>
    </w:pPr>
    <w:rPr>
      <w:b/>
    </w:rPr>
  </w:style>
  <w:style w:type="paragraph" w:styleId="Heading6">
    <w:name w:val="heading 6"/>
    <w:basedOn w:val="LO-normal"/>
    <w:next w:val="LO-normal"/>
    <w:qFormat/>
    <w:pPr>
      <w:keepNext/>
      <w:keepLines/>
      <w:spacing w:before="200" w:after="40" w:line="240" w:lineRule="auto"/>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ncladenotaalpie">
    <w:name w:val="Ancla de nota al pie"/>
    <w:rPr>
      <w:vertAlign w:val="superscript"/>
    </w:rPr>
  </w:style>
  <w:style w:type="character" w:customStyle="1" w:styleId="FootnoteCharacters">
    <w:name w:val="Footnote Characters"/>
    <w:basedOn w:val="DefaultParagraphFont"/>
    <w:link w:val="BVIfnrCarCar1CarCarCarCarCarCarCharCarCharCharCharCarCarCarChar"/>
    <w:uiPriority w:val="99"/>
    <w:unhideWhenUsed/>
    <w:qFormat/>
    <w:rsid w:val="00781652"/>
    <w:rPr>
      <w:vertAlign w:val="superscript"/>
    </w:rPr>
  </w:style>
  <w:style w:type="character" w:customStyle="1" w:styleId="FootnoteTextChar">
    <w:name w:val="Footnote Text Char"/>
    <w:basedOn w:val="DefaultParagraphFont"/>
    <w:link w:val="FootnoteText"/>
    <w:uiPriority w:val="99"/>
    <w:qFormat/>
    <w:rsid w:val="00781652"/>
    <w:rPr>
      <w:sz w:val="20"/>
      <w:szCs w:val="20"/>
    </w:rPr>
  </w:style>
  <w:style w:type="character" w:customStyle="1" w:styleId="TextonotapieCar1">
    <w:name w:val="Texto nota pie Car1"/>
    <w:basedOn w:val="DefaultParagraphFont"/>
    <w:uiPriority w:val="99"/>
    <w:semiHidden/>
    <w:qFormat/>
    <w:rsid w:val="00781652"/>
    <w:rPr>
      <w:sz w:val="20"/>
      <w:szCs w:val="20"/>
    </w:rPr>
  </w:style>
  <w:style w:type="character" w:customStyle="1" w:styleId="EnlacedeInternet">
    <w:name w:val="Enlace de Internet"/>
    <w:basedOn w:val="DefaultParagraphFont"/>
    <w:uiPriority w:val="99"/>
    <w:unhideWhenUsed/>
    <w:rsid w:val="00622A66"/>
    <w:rPr>
      <w:color w:val="0563C1" w:themeColor="hyperlink"/>
      <w:u w:val="single"/>
    </w:rPr>
  </w:style>
  <w:style w:type="character" w:customStyle="1" w:styleId="HeaderChar">
    <w:name w:val="Header Char"/>
    <w:basedOn w:val="DefaultParagraphFont"/>
    <w:link w:val="Header"/>
    <w:uiPriority w:val="99"/>
    <w:qFormat/>
    <w:rsid w:val="007D6228"/>
  </w:style>
  <w:style w:type="character" w:customStyle="1" w:styleId="FooterChar">
    <w:name w:val="Footer Char"/>
    <w:basedOn w:val="DefaultParagraphFont"/>
    <w:link w:val="Footer"/>
    <w:uiPriority w:val="99"/>
    <w:qFormat/>
    <w:rsid w:val="007D6228"/>
  </w:style>
  <w:style w:type="character" w:customStyle="1" w:styleId="BalloonTextChar">
    <w:name w:val="Balloon Text Char"/>
    <w:basedOn w:val="DefaultParagraphFont"/>
    <w:link w:val="BalloonText"/>
    <w:uiPriority w:val="99"/>
    <w:semiHidden/>
    <w:qFormat/>
    <w:rsid w:val="00E3384B"/>
    <w:rPr>
      <w:rFonts w:ascii="Times New Roman" w:hAnsi="Times New Roman" w:cs="Times New Roman"/>
      <w:sz w:val="18"/>
      <w:szCs w:val="18"/>
    </w:rPr>
  </w:style>
  <w:style w:type="character" w:styleId="CommentReference">
    <w:name w:val="annotation reference"/>
    <w:basedOn w:val="DefaultParagraphFont"/>
    <w:uiPriority w:val="99"/>
    <w:semiHidden/>
    <w:unhideWhenUsed/>
    <w:qFormat/>
    <w:rsid w:val="00C919E5"/>
    <w:rPr>
      <w:sz w:val="16"/>
      <w:szCs w:val="16"/>
    </w:rPr>
  </w:style>
  <w:style w:type="character" w:customStyle="1" w:styleId="CommentTextChar">
    <w:name w:val="Comment Text Char"/>
    <w:basedOn w:val="DefaultParagraphFont"/>
    <w:link w:val="CommentText"/>
    <w:uiPriority w:val="99"/>
    <w:semiHidden/>
    <w:qFormat/>
    <w:rsid w:val="00C919E5"/>
    <w:rPr>
      <w:sz w:val="20"/>
      <w:szCs w:val="20"/>
    </w:rPr>
  </w:style>
  <w:style w:type="character" w:customStyle="1" w:styleId="CommentSubjectChar">
    <w:name w:val="Comment Subject Char"/>
    <w:basedOn w:val="CommentTextChar"/>
    <w:link w:val="CommentSubject"/>
    <w:uiPriority w:val="99"/>
    <w:semiHidden/>
    <w:qFormat/>
    <w:rsid w:val="00C919E5"/>
    <w:rPr>
      <w:b/>
      <w:bCs/>
      <w:sz w:val="20"/>
      <w:szCs w:val="20"/>
    </w:rPr>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UnresolvedMention">
    <w:name w:val="Unresolved Mention"/>
    <w:basedOn w:val="DefaultParagraphFont"/>
    <w:uiPriority w:val="99"/>
    <w:semiHidden/>
    <w:unhideWhenUsed/>
    <w:qFormat/>
    <w:rsid w:val="00622A66"/>
    <w:rPr>
      <w:color w:val="605E5C"/>
      <w:shd w:val="clear" w:color="auto" w:fill="E1DFDD"/>
    </w:rPr>
  </w:style>
  <w:style w:type="paragraph" w:customStyle="1" w:styleId="Ttulo">
    <w:name w:val="Título"/>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LO-normal1"/>
    <w:pPr>
      <w:spacing w:after="140" w:line="276" w:lineRule="auto"/>
    </w:pPr>
  </w:style>
  <w:style w:type="paragraph" w:styleId="List">
    <w:name w:val="List"/>
    <w:basedOn w:val="BodyText"/>
    <w:rPr>
      <w:rFonts w:cs="Lohit Devanagari"/>
    </w:rPr>
  </w:style>
  <w:style w:type="paragraph" w:styleId="Caption">
    <w:name w:val="caption"/>
    <w:basedOn w:val="LO-normal1"/>
    <w:qFormat/>
    <w:pPr>
      <w:suppressLineNumbers/>
      <w:spacing w:before="120" w:after="120"/>
    </w:pPr>
    <w:rPr>
      <w:rFonts w:cs="Lohit Devanagari"/>
      <w:i/>
      <w:iCs/>
      <w:sz w:val="24"/>
      <w:szCs w:val="24"/>
    </w:rPr>
  </w:style>
  <w:style w:type="paragraph" w:customStyle="1" w:styleId="ndice">
    <w:name w:val="Índice"/>
    <w:basedOn w:val="LO-normal1"/>
    <w:qFormat/>
    <w:pPr>
      <w:suppressLineNumbers/>
    </w:pPr>
    <w:rPr>
      <w:rFonts w:cs="Lohit Devanagari"/>
    </w:rPr>
  </w:style>
  <w:style w:type="paragraph" w:customStyle="1" w:styleId="LO-normal1">
    <w:name w:val="LO-normal1"/>
    <w:qFormat/>
    <w:pPr>
      <w:spacing w:after="160" w:line="259" w:lineRule="auto"/>
    </w:pPr>
  </w:style>
  <w:style w:type="paragraph" w:styleId="Title">
    <w:name w:val="Title"/>
    <w:basedOn w:val="LO-normal"/>
    <w:next w:val="BodyText"/>
    <w:qFormat/>
    <w:pPr>
      <w:keepNext/>
      <w:keepLines/>
      <w:spacing w:before="480" w:after="120" w:line="240" w:lineRule="auto"/>
    </w:pPr>
    <w:rPr>
      <w:b/>
      <w:sz w:val="72"/>
      <w:szCs w:val="72"/>
    </w:rPr>
  </w:style>
  <w:style w:type="paragraph" w:customStyle="1" w:styleId="LO-normal">
    <w:name w:val="LO-normal"/>
    <w:qFormat/>
    <w:pPr>
      <w:spacing w:after="160" w:line="259" w:lineRule="auto"/>
    </w:pPr>
  </w:style>
  <w:style w:type="paragraph" w:styleId="ListParagraph">
    <w:name w:val="List Paragraph"/>
    <w:basedOn w:val="LO-normal"/>
    <w:uiPriority w:val="34"/>
    <w:qFormat/>
    <w:rsid w:val="00781652"/>
    <w:pPr>
      <w:ind w:left="720"/>
      <w:contextualSpacing/>
    </w:pPr>
  </w:style>
  <w:style w:type="paragraph" w:customStyle="1" w:styleId="BVIfnrCarCar1CarCarCarCarCarCarCharCarCharCharCharCarCarCarChar">
    <w:name w:val="BVI fnr Car Car1 Car Car Car Car Car Car Char Car Char Char Char Car Car Car Char"/>
    <w:basedOn w:val="LO-normal"/>
    <w:link w:val="FootnoteCharacters"/>
    <w:uiPriority w:val="99"/>
    <w:qFormat/>
    <w:rsid w:val="00781652"/>
    <w:pPr>
      <w:spacing w:line="240" w:lineRule="exact"/>
    </w:pPr>
    <w:rPr>
      <w:vertAlign w:val="superscript"/>
    </w:rPr>
  </w:style>
  <w:style w:type="paragraph" w:styleId="FootnoteText">
    <w:name w:val="footnote text"/>
    <w:basedOn w:val="LO-normal"/>
    <w:link w:val="FootnoteTextChar"/>
    <w:uiPriority w:val="99"/>
    <w:unhideWhenUsed/>
    <w:qFormat/>
    <w:rsid w:val="00781652"/>
    <w:pPr>
      <w:spacing w:after="0" w:line="276" w:lineRule="auto"/>
    </w:pPr>
    <w:rPr>
      <w:sz w:val="20"/>
      <w:szCs w:val="20"/>
    </w:rPr>
  </w:style>
  <w:style w:type="paragraph" w:customStyle="1" w:styleId="Cabeceraypie">
    <w:name w:val="Cabecera y pie"/>
    <w:basedOn w:val="LO-normal1"/>
    <w:qFormat/>
  </w:style>
  <w:style w:type="paragraph" w:styleId="Header">
    <w:name w:val="header"/>
    <w:basedOn w:val="LO-normal"/>
    <w:link w:val="HeaderChar"/>
    <w:uiPriority w:val="99"/>
    <w:unhideWhenUsed/>
    <w:rsid w:val="007D6228"/>
    <w:pPr>
      <w:tabs>
        <w:tab w:val="center" w:pos="4419"/>
        <w:tab w:val="right" w:pos="8838"/>
      </w:tabs>
      <w:spacing w:after="0" w:line="240" w:lineRule="auto"/>
    </w:pPr>
  </w:style>
  <w:style w:type="paragraph" w:styleId="Footer">
    <w:name w:val="footer"/>
    <w:basedOn w:val="LO-normal"/>
    <w:link w:val="FooterChar"/>
    <w:uiPriority w:val="99"/>
    <w:unhideWhenUsed/>
    <w:rsid w:val="007D6228"/>
    <w:pPr>
      <w:tabs>
        <w:tab w:val="center" w:pos="4419"/>
        <w:tab w:val="right" w:pos="8838"/>
      </w:tabs>
      <w:spacing w:after="0" w:line="240" w:lineRule="auto"/>
    </w:pPr>
  </w:style>
  <w:style w:type="paragraph" w:styleId="BalloonText">
    <w:name w:val="Balloon Text"/>
    <w:basedOn w:val="LO-normal"/>
    <w:link w:val="BalloonTextChar"/>
    <w:uiPriority w:val="99"/>
    <w:semiHidden/>
    <w:unhideWhenUsed/>
    <w:qFormat/>
    <w:rsid w:val="00E3384B"/>
    <w:pPr>
      <w:spacing w:after="0" w:line="240" w:lineRule="auto"/>
    </w:pPr>
    <w:rPr>
      <w:rFonts w:ascii="Times New Roman" w:hAnsi="Times New Roman" w:cs="Times New Roman"/>
      <w:sz w:val="18"/>
      <w:szCs w:val="18"/>
    </w:rPr>
  </w:style>
  <w:style w:type="paragraph" w:styleId="CommentText">
    <w:name w:val="annotation text"/>
    <w:basedOn w:val="LO-normal"/>
    <w:link w:val="CommentTextChar"/>
    <w:uiPriority w:val="99"/>
    <w:semiHidden/>
    <w:unhideWhenUsed/>
    <w:qFormat/>
    <w:rsid w:val="00C919E5"/>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C919E5"/>
    <w:rPr>
      <w:b/>
      <w:bCs/>
    </w:rPr>
  </w:style>
  <w:style w:type="paragraph" w:styleId="Subtitle">
    <w:name w:val="Subtitle"/>
    <w:basedOn w:val="LO-normal1"/>
    <w:next w:val="LO-normal1"/>
    <w:qFormat/>
    <w:pPr>
      <w:keepNext/>
      <w:keepLines/>
      <w:spacing w:before="360" w:after="80" w:line="240" w:lineRule="auto"/>
    </w:pPr>
    <w:rPr>
      <w:rFonts w:ascii="Georgia" w:eastAsia="Georgia" w:hAnsi="Georgia" w:cs="Georgia"/>
      <w:i/>
      <w:color w:val="666666"/>
      <w:sz w:val="48"/>
      <w:szCs w:val="48"/>
    </w:rPr>
  </w:style>
  <w:style w:type="table" w:customStyle="1" w:styleId="TableNormal1">
    <w:name w:val="Table Normal1"/>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100noticias.com.ni/alerta/98718-nina-miskita-herida-comunida-indigena/" TargetMode="External"/><Relationship Id="rId13" Type="http://schemas.openxmlformats.org/officeDocument/2006/relationships/hyperlink" Target="https://100noticias.com.ni/alerta/98718-nina-miskita-herida-comunida-indigena/" TargetMode="External"/><Relationship Id="rId3" Type="http://schemas.openxmlformats.org/officeDocument/2006/relationships/hyperlink" Target="http://www.corteidh.or.cr/docs/medidas/miskitu_se_02.pd" TargetMode="External"/><Relationship Id="rId7" Type="http://schemas.openxmlformats.org/officeDocument/2006/relationships/hyperlink" Target="https://100noticias.com.ni/alerta/98718-nina-miskita-herida-comunida-indigena/" TargetMode="External"/><Relationship Id="rId12" Type="http://schemas.openxmlformats.org/officeDocument/2006/relationships/hyperlink" Target="https://100noticias.com.ni/alerta/98718-nina-miskita-herida-comunida-indigena/" TargetMode="External"/><Relationship Id="rId2" Type="http://schemas.openxmlformats.org/officeDocument/2006/relationships/hyperlink" Target="http://www.corteidh.or.cr/docs/medidas/miskitu_se_01.pdf" TargetMode="External"/><Relationship Id="rId1" Type="http://schemas.openxmlformats.org/officeDocument/2006/relationships/hyperlink" Target="http://www.oas.org/es/cidh/decisiones/cautelares.asp" TargetMode="External"/><Relationship Id="rId6" Type="http://schemas.openxmlformats.org/officeDocument/2006/relationships/hyperlink" Target="https://100noticias.com.ni/alerta/98718-nina-miskita-herida-comunida-indigena/" TargetMode="External"/><Relationship Id="rId11" Type="http://schemas.openxmlformats.org/officeDocument/2006/relationships/hyperlink" Target="https://100noticias.com.ni/alerta/98718-nina-miskita-herida-comunida-indigena/" TargetMode="External"/><Relationship Id="rId5" Type="http://schemas.openxmlformats.org/officeDocument/2006/relationships/hyperlink" Target="https://100noticias.com.ni/alerta/98718-nina-miskita-herida-comunida-indigena/" TargetMode="External"/><Relationship Id="rId15" Type="http://schemas.openxmlformats.org/officeDocument/2006/relationships/hyperlink" Target="https://obreradelatecla.com/no-politizar-la-ayuda-para-los-damnificados-de-eta-y-iota-el-llamado-desde-cejudhcan/" TargetMode="External"/><Relationship Id="rId10" Type="http://schemas.openxmlformats.org/officeDocument/2006/relationships/hyperlink" Target="https://100noticias.com.ni/alerta/98718-nina-miskita-herida-comunida-indigena/" TargetMode="External"/><Relationship Id="rId4" Type="http://schemas.openxmlformats.org/officeDocument/2006/relationships/hyperlink" Target="https://100noticias.com.ni/alerta/98718-nina-miskita-herida-comunida-indigena/" TargetMode="External"/><Relationship Id="rId9" Type="http://schemas.openxmlformats.org/officeDocument/2006/relationships/hyperlink" Target="https://100noticias.com.ni/alerta/98718-nina-miskita-herida-comunida-indigena/" TargetMode="External"/><Relationship Id="rId14" Type="http://schemas.openxmlformats.org/officeDocument/2006/relationships/hyperlink" Target="https://apnews.com/article/f27f3969646a08eac16ee7bce43c0927"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roundtripDataSignature="AMtx7mhMP97+7nVzfeTRZB/ga9BLFpFmlQ==">AMUW2mU+IIV8AHiAd/aZiyeWMQ/2O7v8OWwZesHo6hrHtG+xSeJzkuqUDi0GlLYfcocVIZu0KAytXHhZGzOQsAbHX7rjf/oow4/9w9ZHtlrMySf+C2CstkIzmQL9rgkfPCd98ZT0/F2XM7K83nZwU6j1dGmiT9nI3CGC3n602nxy0JtWN+vzOLDMoGJ7V0m+QN/eHCwsbVdgYnMgCyg2xJXzv056D60RYxkJlggWG73GJ91fgAqeToR/ZSV6LJIruomc59Lr74CRfU+SBd4Du3JMcjAM+2oFv5G4P5Vlxq27Jn3OfVinezgZ4VSgTPHrQenlxbVnkXllxWKd86TGR9H0Quq2Xo1fcagTEKLO2EozOAprdDifGP78zYpqKoTM3KLkqmITNJfd5zEJHUouiDn/Wila4H9YFc0T0E4bbwI5fk8avhS5SMhWRZZkBn3vRIirQrhpRorRI+NNIsfEDJO/gA6dW0twdx9Kobs3jplIPCabiQeUpgJ7QD8zv0/aUN24p2EtZDJpWXLt/mwnNG1iHmdTbgPZ5qFGwq21Ra5+NzSog6N87pgdfIB2UTxD9Ch/DZcMli7z6ysBUXriVjtvdb+VewFc9c8dh5hALZhQlPBXs8I9ULGp40thRP6RTmruYVh7fJXSTWaeeDj9O0LKT+0r9sOj8Ytd6EDeLnylmmMM/8nKXW6Ic9rcLLDOEWPY+j3vcGjYuINTpckLZYvKD9/9nvVpHY3F+vTPWdHpFRowdJARZw9apUDnWak6CrCiFCIl4FFUQQL+K6IJrExhlZVslGkovjdmbT7g5GzmyI1wj33q1UcW0hZf2xcRTBmRRmdhYkuLjuzPwQoHaFIcRY3SJ+cv9g0Ofbpo5hfVY+aF0VWhGK6Hrhy6qv2PFqHhU0Ne9DxIw7m99iwi7K/2KH3uOPf0uPpWgk3Iwg23XblSKojLo1d6xsk5Fsr1pioWei80END+FsGYIQnG3U1/NPx5pQwZ2RiTwj9et5YGUjZ8Xu1sO3zVnFzR/Y+R6gCrDBDIMQm5kJ3gQo4vfaMWuccjDBTaEQH+UkEY/8YnPVJPl5O+6BH4W7ULXpnNQSMNhKggmylFhenTp5FZ3aNMAVmmJvjCwY/VKYuK02Frphq/zGU6dcSNoYn5lwIMUwXkok3I75l+OdaRolyrX2Twktn1Rs0KcPY5snFCifDsYxJWea6K4tNOl0ONz6F1rVZ9XTRemiqx5FYcU2rPjp7ezIMpen+N2oJpKFzc2UunvfvixcVNWh/4F151d5Hwl5yPirlPpA76azcA3LJdJXeKcRXrkCyrqr28B9IqgDq8CH1m0PQ72GvxD8/EiCLC1G1bCZ2a6ZFrvxmsFUpPNa7wLCTp4UZZYXW5P0FDWJ05aAArTe+LOmXYbdB/2sb3h9udV38qpiE+poaRW8YAns+YC2eRibq0kIh4mZqkKRNUtqKYa5JLcSV3/PUt7/OJurzLaliXiRAwECvIjmzo9wsAIAH5U6IMOsgueMnHVe7D/5YpWKtkud+HxWLufChkXptNHp9pe8V0VcSFTJp/2485R5rHiDIdpCQADv8oeNFtPEG8LH93odGyMhKnXz7WxrOOjt4pbgfuA0u7J415DZW6LRZo5j8zvSaM73DIm4wic5UKIgUsCr1OVVoYfNqkRlqr/zHT7nrdI9/66ShW8cxzja5ipyVpO89FnzSHYoz5mLQgUp92lCrZNeyZ/UmDhFSzGsNUBxxAAaeecx9nF/wcf/sVDtwq4CcPWZsH4ocjEbLI2VOA2lnslka7KxBxdXXFfxzNuDbCSc9xBWEvr/k2tEFF2l5sra8WtYCrdmFsiZypl4THnr0fbyyecykuJmJeGShz3MepIeCpz8fpGvnjwo9OxezYEHijr4gj88m3tXIvpc3vJJODP19pEKH18kwmUOhnrZlzwcSZkOfAFdeM6NxVFski+TEdPVXv0hiOVVont1rWGEaMyDWX2drhQy70oWl+6cOkxXTwXYQ9X57to0blUjmpG/3DGDeLCSeZ8u3NHfit+EHPqsrn2IWyVHGvtmXHE+O2Z5l1R7x0TOodfPq2wmXMUdw0eHLJGzODtv6kLAp0xYQ7WAG2ROC8zXZMIpsq7E1PCpUWKc3/5oYqH1q5rRsTbiv+YVUost45RBdxbQ+gIGXlMdQXnqqTVQQLAcUgSJ5x9lyksqTCW4AUMPJ60sUcD2neS3jLcB1N50ZofIZpFPA+1BNWeAmjdJy4ZR5IbywgEDA0lqrkqFVE3xBe0SEUtvnnuNnvpnXG9snmOc6BbeRvIYokDJ2DvYRmOTacE96EsuePMFKfK5vhqOSGHXKEJP71VIaASnkGlVjQXQv4Az0eJZ3wcs3AOouhQtfLiCVC0FjIyhNO8qmrqVkNRWXbzMkQUlzVmLYtm39PsFiJbKwuUxRviu/HaF+P5XvtW1TCOAZDfFF41KjvWhFwyeP724GEAnCQGDY6ukbox1jpIQMRjzLGhkYBPxVoMftQGZPbtFHFusjO3JBWVRnJaDFE6fobhRH7biIlmzAZs3rbTmsYlT5vydf4uVjYH4dK/lQ/xcVWZegO9+oS4yKLinpnwxi3a8+u5Ade4QSda5J6YC9ygOvHlOdAx7r6np2ntiYj24T4BYjnJhvK1WtGX35j1yVet5wr/uu0aZNcQELYcORhMGYVpmAq6RqSL26WQN3jx0YNFQJalg5kfQETIuSsB6XBs89VfySe+UeGgFFtN31k5falqVGmAv+36sGRyCRhbUI8PkAWJBahbsQVKQIqANFRjzo+0MmCpIpgPm5F6IBzwwAS5XZuT6AXGz2LkBH2fKqSwgDKOUe8cvIquxgZslwPfIhRftn8d0FUXfLN0zzWQn77w71QOsvHz/J5fHCEspPHtlB4t/dq+jGVj0f2trQasM8e9hyvMz3P8zpQ/nJk5hwyFKyGKtqVy1rqg42P+++Fczuhs0dufTr8mkUj8xX3/yFqwq2SKvI0O0ZPNWraK0exE0bXzUniATJWb2AQzUMNa/2tDzXwAARlyuWwEAbfw/qO5Tm5xTtPMHmVE991f9sf/biZ4O5fapJtAegjUHYsCXJYxIRkEO+bW01VvDesCFGVE12nZB03E6N1uTvPzeLmiq4epGQGydrBZ3EQ0c75Kwek1Oq+ixpDpPOz6asEV/+yUHe20pN2FluxsRExD8OiRmDMToh7GZqDDS8Fbzw5EfCMM/QnOJkF4Bs2LcbA431WwKb2at5QWPSWENbuQAiitx75/acqsrzKNiRa0FNsOkd9WhqXhf02bgw0xIOQ3EiiGATkrWGtx/jSZk/Wpd2DkkLIRgbB8hnRP7UQ8T5etJ60i9mFx5FD+cqDQowqNqu52htKN1Cn7CKBkkc7hZ0UHz613+kCagRZo9EZ9dvKT3ZiFXMckaFCCSa8QTL0tSPnHdQz1WiBMDxz68doUgg73bY8xpq77GdmmDqSOByErQUfRg1xJL68gtovjBeidhOqKIRmd0I94e3q3NJ2wTBIbLh4oJ13I5j7PfIichhpwxUj3s91KMHaMOfUrSYTKUOycPWPawuNUKMnOWqKANShAp3sIFClnenooR4OWaa5/oab86WuyXJl95OcRBIl8bTwXe5vsNYgKTo9QH8KfRiuDeDbsQMHss2Qcxx4TCiDWp9dHSgtIyuCLlElBn80jcUnjciu946jeeThfm/2em3UOg7oQ99qTh12ddD2PqorBVj8xYSk6wHcqXXykzp0dX5jv0pfBP4vBWL8odVLHX565TtlJER/xU/gIoAlcZIzevAs4+CtpaM0xBRl0FPH/ZiVKJzxksUakU5SDvYCvg8EOUbNYjnOhwZsQlrLzlwTfa/tWjR4VqxYFQt7S/t3s1G18ccwXxHzl+jwaTHxfuHF5zs1CQkVkjCkIoK7gPTi413IhUQ7sbWwggU3PD8vaWI5ia6c1Ks245ydZ443kv2UQS5MeCipsg762DMxHp23lWNSHgbgVMo0cy6yehQV4zpFOMmg+7Cxr30cDc1BrmDQXTHtrYCFsK5bmgrCsZPcT6gbzFwvAsfb+/I+ZgTjIb65oFROtfgiOR03ElGYFWinwFXztoTiEeQdH813qXFa40FVKkUoA13PgoXPHX0zUVYj6yCBuva7Zg/jVLioyQX9MbKq7QJML0erImvkjxVT8ueyw9uBbNCeHrI/KLcypH6nJ5gA4DbfbsZ4qBYbd9efSgy8J9rA6hex3QmbhaUEoWRcj9wE0FOlngd0aagUxTiObE85Rz7tsiEpwYbJDXv7HpSATGDFJw60Ii48s/SonmoEuSGL4h+FTqqT2sRiLpXEQCHU4VVAQFH5fx+hKQIT+WiQ13+GB2dHUQPtlnxO2du/IsUKjb9+nvYbFIiV7XORu13EhYHGGYUSLx0bP7PdkyMyGRfILnU22lS7K3bCiIfhhEKqkr5Uz5DgY9QE6rN2R7vEU1Me2uQ1ShpcIx9cbYU1iKj+aVKMEwgi7wH7T/3iaEniQe5lHGJaAy5fr52e233x5qeomYzz8giQ+4wmP1iV0oGzy9JfeQ/Bij2OKcgirAY1i5G1bfyXK2OfUuCs/xqh7SUVgYb0GwQJ5RpBoWcrn28yL5uTqIk6JI2pAm6/++FwBmMCoauoRl1BwgxH96bHfriZ/cwIqFCTCv1kceblrH8gcGxxVXamNjbKJ7BMPBXgWs7rcm6l8qNUY/Q4KaM3Ng/xkIq9yk4OxMAj4Oyz/ligU97VLy16BmhN7zPOKKETL3LrzmP8dU56XMdGXNcOAG9HwFB+lDaNTVl0f0pbuqtIps/0OgcQ9lyUz08rRBTkExDzdYVy0BN83lrJI1t+KZYDljVOsYhA0jIiwaTCNVmWCxSVeuSpGBQAATqgGg9I6YDq2brfjCWND7/GCkuE3bIjlj917TA62vEnLxP7xItLh3UVN3e0w+w6nYurOEMIHR3pTZRrHE0NnGCNFZquKvJk+E2GYTCxdXv24UOiMdu+gVJdLDOPwy8pFnBWogl7YYok3SliBY0pX9yE1rIXc5MLwXUcmzR6HuRadbOkaaBGrwVCDFHVrG1s+Bi0yjX364PzNY8P3by6ofhRyTkmodT6WLpt0iOXtb4DnBcdrQM58g4eZ7sTa7fACQzPyWwmBcbMQQneUNADNvhAJ0jF/loZ/qy8j+clrkHpdcNXy2Xt/IBYq7qNKZr3CK4ma46fjEhzgvzpHTiQ24n6efncvnrg8ZPjdIuKLPddnRaIWy0JX/06NK09lpkyFKF/aCvam9d8D/kYNzlQnNmTNjpM/D1pcDSiW5rgturQ+qLQ4HO2GM4QFysqLl40ZYxnmIwk547y2q7RhXv0bhP+kn6z9v7R137f4cfpLM/4P1SuWQ4ncboyFtJnnJtDOf02i+HbRc6KmzmkhToFE2xn/zmwjQ1A32L8tJmXxek/E2xzswKB54gzTzXAHo0ZhTrPih5SxuBJDIbr+UoGopLGIcWF2oyJF8iVeU9RpIWlB7ELiTBAcQ+m2jB7Bl35c3w8LkKPB1tUy26ET3v9H1QwedE8/3jaSlA6QRSUbn4lhFysgEAGOlkc7GD0gEOy628/Qtln+s2yxkYKusdjuY9JH4A/LXjqMJ1IDKdc1HCJ+KrOCZ1hr94610NVdp18VwPqztiB7TKdugvYfD3GMKvGrpmHlRWTy2UDqBs0AQ+9hfP6l6hl9oosSRRd+FdMMVXIiZcyYPgBaXY+vCDkVmO25HNJeNdl8lyy3v5ezR/AzXPjAN5ecmtGbiiJj8TgaBC1YE81aVAy3r+yFczg8O7YYSPqOCAZpmSTBD1sGcEjubdZ348rxgNA/PkmY2xi4ypuC8h8bsaU/Y/k5lrPK+T2PcO29K+g/TYu22UmU4xytXoaGdOWeu83665qEUOiyJmD908HrJvyWQLEFB+nUa9OTqoi78JUL5I19EO/xoIJSSolOCxkr3jFBZi+IQSo67K3rLvBZgyiJJGA12HCAl+PO5+pxyljV3O/M5ZUs0E3zk4sowDdh5n+xw4zMxaDWHbs3UR6yZZ2cnsVOjiIQTsrS2MVItxM9yQOWm9qvQIuwh4kR7btzYqklmxrJXYMpZv0TSiG+3Z+DVcYAPU3uYaQPjXVccfDwhOWr0WAoA+Pv6GxQtB/Zd/bG6O9iJ3I7SoUd2kDbP6EX3DRlnN3GosgIWfzRVjPEGHNaoDXrGzKViLu1W6s1RFWHrEfUA4k9Aa7SiyzxXvV2QE65vDhtHS2EjKJ9eWx5639USYGhccnEcAD58PdyGc2+xFwD1AIUVMsY+KuvXT0iR0I4Zo1uPUFwVEDreo9rQgCwbI6/ZtDiddFJcEyju6EFQ8uRcLrSprslRfofN/hy1uzyxsGEnPbedEFrnNY3ba4tt/YM67Q17Kl7Y5Vgi2iTFhXHD9yaeIW97c4ymdICC1fwsiYUxAXB+IFAolhZYAmK2WUbJwnVLJxTG59IIw1OPpUK1fgn0VbwmB31il0CbdvEO+hihRX9fjoZFq6TtRog2+e1XOE5GGMOmRFCZPaoEyhJLtj44WYC1eaQNOlDMJM0jrK9ahP5+4Ay4Te3CDabtEu1erFhNyx86yILoqpjH+6kHGGqXqLKGrvYNlx68XkoVLcdQCKJFQi9nJksA6cnSzLWTrIzamcia0I0l+GcDNOHM5r76ITKloHAgWcZUSyw5nqX2Y4V8jr45e4Rdxmbt8blC0z24y3Z7i6L3Ugbd1yk/YhdUQSLp2Z2Hsdd5k+Uf3KAHV2rt+8Oq6P66i8wRDQJgtFUvoSHj/NHQycM4gA7maq4EwnsUNxqqLpUxFK/we6LZHkzRLZPaHvv9WCuMUqPyIgoWWXxxwO87jxWlKlYMuBRNI7T+1ydiHy1eCqa7wT/Jvr6x9rTQrXVPCngsfuECJdaC+xXEv8YO/DnjjuJAkWnkKcYbHxnNWd+ENu2rPM1ku86WzjcrfoBKXb2MpxPhmkDkMqbpn9uP7NM4GR4F17Y8Kz9R9ykBEddWqPrz1R1lZOgrY4PWiCwQPVXVuzYYjApO8KCqtThw5eAwC3+8fKDIQdKo8u6G/8w8d+8037WIw8ZrKXON4XLNFqYzrV/Mmgjn7jd2mx0Hl91o1hEbq8M6F1qCdHBlZYDPzMO10Y2qBYp+ya2IohrPXI1/58/TgqpZPd1a121CKfQC4AmD3si71eZ/hZbA8dhxpOqmqV8ooNm0l0Df/4DsuOaaP3OC4/XdqAlTiwgzz+QAchOSG9qgE3BpzMp5x8s+Hnia+oefMFvkFdUo8TY5EjQSoeK72p7df6DtUlaaEDQQBxboetUE7M2KvKeyZm5tWMPJJt44i8JrB7kOH1LBD9FlcjEhzcnsJnuibd4bVqkuK2Gs4Z6GRFqmRcGOfAYmBbwyKl6tjri+aa4075Ot3P+Ec/2k+tH1w+GhXJM9ueGc2rJmePx+g1Ki63jFZBSI7c8hLPcFbSyfrCS0Fdy1kbFvQt1fzsTwmScpeCOtk3ms8e7MGJrosfggvK5liI5fPdfTA14QRsZJV2I2hlJY9bxg5dDI3K3W99pKVr2GASqGcp5kPvyQP7OsepfFp1AGqbthGZ/D1AQzg8U4o1FUJAFkIYWWP9BMve2/HpBHZ2e8Ma8KFURV21jJEjDOa09T0z4uW7hzDUuxXZCzw3W8Jx5KXk36WgwWjdyiiMuv5svETEblYh/2OZDCwyO9USkDUUvOqIUAOzp9Dc9YNXKSndl63gjFE5Fb+qQT1Q/YYKU/zikE3hkFUDf0O/bMJBNmaBwOPFMpTm+binlR2bzyc606ds7/6Vbr68HlYjOQomJbk+soHNs1/14Ke9DkbeLjr6slTmgFqtgqVCu5Ud7tPsuFzZt4aM2GhLHUnDA5QeHsIgF/XKNvs6uqOdAu8P3YB39B+jQjzTdFtPqc/VCkDQ6JMWW1wPw1iN1Z7h7NMJSY6b0jNFYpYG19KSoeH6UZ0eOXXUKLEcYqIWRdlk6X+mtcCerOxnJfnGdW7YaNYEKLI0TUnbTGjAOIDVARRnkEZai811NhAXQAhKDkUqmZE85xu8SIfG8x9Hl6FOExOKCNW9BwvL4HsZf6SguCO7yvSJbfPFLGTRXF0d1qD3W45jNjVDXvag16EaNnIvNWLkVGXqQwYuW2+ItJlMSr5N9JwSTGyzHZ+siMZ/hg7ul3Xi+q+256/kZM3lDfrt5As+AE8Aoh4PcSz5qtjG9qQTB0SaMWhVWDzsz+sAZypnauWDqeLCMy6DZasCKdmgyAr3uKVNeba/u/JkXVKfn1gPaeDnhyaf5eb/nkBzKbhDSRBoUv/72pNwFiS6sPfYugXB0RTed9EG80WO3Ylv3STvoMa38Rmh+F4E2PtT+onldFucJZgPahggJ7Ih1pGFiZ6z3eJab4siGGdPoHmerZNIsfzlimpSRAHycQ5Cwcx3iQKAposmWAKCtKE8djoefYAx7sXmqJrsIi77ukCMtFc2Jsm66LkabdEAbGWQYsJpdcBXKO0wqo1wk67H0x9+ew9S+r1kc2BDP1mmobydmugZUlNhJ1xvadDUm8TY45Ra/yQzRnc9Qw/RYHgNT8odgdHr1ugwUMVoys4ijp0yFCJLm0FrX2oUXsPgJQV2rX1Q0ajZIXw+MAZAy7p6BNQCvVFaRQCiLDrQ4fBKPaICdDQj6QoorD7TWoFdA20D5xiOy8h/yRz/D0i8iEB4Gce6XlJ4qyu/8mFqZDD7MDZ6kgF0sXf8b62Hykklyu7g4zmuHzJYTwqh62bS1ZIw+MDWdtwjEafRV6Ei2X7X7dLrTeoMZTSrMZs5X+wWc8QxLKL9jS22gA4mZPWgm4i+3qhxCqftCNGcFXge4y6YWyFYhN/GNtkJbhY4XrTefzU9yYc0HBucKDMeOK24ffZaT2WhIYOZOma9itXUeYgdjtcGuI2c5av9Gd7LBUw2XVVdYJ2vQQF+sg0ZavFosA/PKWUq2JAxj5WMwEl9UkPzoMjlm0oMerxuYgeqEn5o4rr6PbFCXWdctdXw4fUY/+Wzo6aovyNeqqnfnIyWrA3ObJcuDNkT9q8nyRYFruP1Kw7nv2yFxgNSWnrwW/tQku27/dqYSvH+JONYI8WQ8SAkBl8rcP6O/QFO9HlzH9y01InB0FpfEV3nZ6wb0limmPa89bbhso6RaGX5qpCEar9Prco0inQQFFvzjD7Akapml1f/Z8TnFxVxmuANLVBaM+SLuBC3ySGxVHIwj+pgvlcuLyFREuO755XACUN2XREmYgt8urFSSzvyyrVg2COffGsk0OoAl0HcurjA0XWB8xEY8QJJyp/O/BBPM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80B4FA55-CB24-4447-B21E-4DDA62BBF48F}"/>
</file>

<file path=customXml/itemProps3.xml><?xml version="1.0" encoding="utf-8"?>
<ds:datastoreItem xmlns:ds="http://schemas.openxmlformats.org/officeDocument/2006/customXml" ds:itemID="{F24BF1DB-8523-4D65-8FB1-F542DF66F19B}"/>
</file>

<file path=customXml/itemProps4.xml><?xml version="1.0" encoding="utf-8"?>
<ds:datastoreItem xmlns:ds="http://schemas.openxmlformats.org/officeDocument/2006/customXml" ds:itemID="{7F745680-7893-4E67-99B3-7B6BF5D1D129}"/>
</file>

<file path=docProps/app.xml><?xml version="1.0" encoding="utf-8"?>
<Properties xmlns="http://schemas.openxmlformats.org/officeDocument/2006/extended-properties" xmlns:vt="http://schemas.openxmlformats.org/officeDocument/2006/docPropsVTypes">
  <Template>Normal.dotm</Template>
  <TotalTime>1</TotalTime>
  <Pages>15</Pages>
  <Words>5354</Words>
  <Characters>30519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dc:description/>
  <cp:lastModifiedBy>REYNAUD Céline</cp:lastModifiedBy>
  <cp:revision>2</cp:revision>
  <dcterms:created xsi:type="dcterms:W3CDTF">2021-08-31T20:19:00Z</dcterms:created>
  <dcterms:modified xsi:type="dcterms:W3CDTF">2021-08-31T20:19:00Z</dcterms:modified>
  <dc:language>es-NI</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