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0E581" w14:textId="3B5287EE" w:rsidR="0000739D" w:rsidRPr="00EE1CB6" w:rsidRDefault="0000739D" w:rsidP="0000739D">
      <w:pPr>
        <w:tabs>
          <w:tab w:val="left" w:pos="4111"/>
        </w:tabs>
        <w:rPr>
          <w:sz w:val="22"/>
          <w:szCs w:val="22"/>
        </w:rPr>
      </w:pPr>
      <w:r>
        <w:rPr>
          <w:sz w:val="22"/>
          <w:szCs w:val="22"/>
        </w:rPr>
        <w:t xml:space="preserve">To: </w:t>
      </w:r>
      <w:r w:rsidRPr="00EE1CB6">
        <w:rPr>
          <w:sz w:val="22"/>
          <w:szCs w:val="22"/>
        </w:rPr>
        <w:t xml:space="preserve">Members of the Committee on the Elimination of Discrimination against Women </w:t>
      </w:r>
    </w:p>
    <w:p w14:paraId="5EBE09E0" w14:textId="563DCA57" w:rsidR="00A956F4" w:rsidRPr="00C11FE1" w:rsidRDefault="0000739D" w:rsidP="00A956F4">
      <w:pPr>
        <w:tabs>
          <w:tab w:val="left" w:pos="4111"/>
        </w:tabs>
        <w:spacing w:line="200" w:lineRule="atLeast"/>
        <w:jc w:val="center"/>
        <w:rPr>
          <w:b/>
          <w:bCs/>
          <w:sz w:val="26"/>
          <w:szCs w:val="26"/>
        </w:rPr>
      </w:pPr>
      <w:r w:rsidRPr="00A956F4">
        <w:rPr>
          <w:b/>
          <w:bCs/>
          <w:sz w:val="24"/>
        </w:rPr>
        <w:t>Shado</w:t>
      </w:r>
      <w:r w:rsidRPr="00C11FE1">
        <w:rPr>
          <w:b/>
          <w:bCs/>
          <w:sz w:val="26"/>
          <w:szCs w:val="26"/>
        </w:rPr>
        <w:t>w Report of Working Women’s Network</w:t>
      </w:r>
    </w:p>
    <w:p w14:paraId="62463111" w14:textId="117F6122" w:rsidR="0000739D" w:rsidRPr="00A956F4" w:rsidRDefault="0000739D" w:rsidP="00A956F4">
      <w:pPr>
        <w:tabs>
          <w:tab w:val="left" w:pos="4111"/>
        </w:tabs>
        <w:spacing w:line="200" w:lineRule="atLeast"/>
        <w:jc w:val="center"/>
        <w:rPr>
          <w:b/>
          <w:bCs/>
          <w:sz w:val="24"/>
        </w:rPr>
      </w:pPr>
      <w:r w:rsidRPr="00C11FE1">
        <w:rPr>
          <w:b/>
          <w:bCs/>
          <w:sz w:val="26"/>
          <w:szCs w:val="26"/>
        </w:rPr>
        <w:t>on the Situation of Worki</w:t>
      </w:r>
      <w:r w:rsidRPr="00A956F4">
        <w:rPr>
          <w:b/>
          <w:bCs/>
          <w:sz w:val="24"/>
        </w:rPr>
        <w:t>ng Women</w:t>
      </w:r>
    </w:p>
    <w:p w14:paraId="31EE5AFD" w14:textId="10E7B7DC" w:rsidR="008D235E" w:rsidRPr="00A956F4" w:rsidRDefault="008D235E">
      <w:pPr>
        <w:rPr>
          <w:sz w:val="24"/>
        </w:rPr>
      </w:pPr>
    </w:p>
    <w:p w14:paraId="1CF12767" w14:textId="528CEB62" w:rsidR="00A956F4" w:rsidRPr="00C317B6" w:rsidRDefault="00A956F4" w:rsidP="00A956F4">
      <w:pPr>
        <w:tabs>
          <w:tab w:val="left" w:pos="4111"/>
        </w:tabs>
        <w:rPr>
          <w:sz w:val="22"/>
          <w:szCs w:val="22"/>
        </w:rPr>
      </w:pPr>
      <w:r w:rsidRPr="00C317B6">
        <w:rPr>
          <w:sz w:val="22"/>
          <w:szCs w:val="22"/>
        </w:rPr>
        <w:t>Working Women’s Network</w:t>
      </w:r>
      <w:r w:rsidRPr="00C317B6">
        <w:rPr>
          <w:rFonts w:hint="eastAsia"/>
          <w:sz w:val="22"/>
          <w:szCs w:val="22"/>
        </w:rPr>
        <w:t>（WWN）</w:t>
      </w:r>
      <w:r>
        <w:rPr>
          <w:rStyle w:val="a5"/>
          <w:sz w:val="22"/>
          <w:szCs w:val="22"/>
        </w:rPr>
        <w:footnoteReference w:customMarkFollows="1" w:id="1"/>
        <w:t>*</w:t>
      </w:r>
      <w:r w:rsidRPr="00C317B6">
        <w:rPr>
          <w:sz w:val="22"/>
          <w:szCs w:val="22"/>
        </w:rPr>
        <w:t xml:space="preserve">is sending herewith its shadow report on the situation of working women in Japan. </w:t>
      </w:r>
      <w:r w:rsidR="00C11FE1">
        <w:rPr>
          <w:sz w:val="22"/>
          <w:szCs w:val="22"/>
        </w:rPr>
        <w:t>Our focus is on the wage gap</w:t>
      </w:r>
      <w:r w:rsidR="005159EC">
        <w:rPr>
          <w:sz w:val="22"/>
          <w:szCs w:val="22"/>
        </w:rPr>
        <w:t xml:space="preserve"> which</w:t>
      </w:r>
      <w:r w:rsidR="00C56963">
        <w:rPr>
          <w:sz w:val="22"/>
          <w:szCs w:val="22"/>
        </w:rPr>
        <w:t xml:space="preserve"> has not narrowed much since the last consideration of the periodic report (73% to 74.8%</w:t>
      </w:r>
      <w:r w:rsidR="00C56963">
        <w:rPr>
          <w:rFonts w:hint="eastAsia"/>
          <w:sz w:val="22"/>
          <w:szCs w:val="22"/>
        </w:rPr>
        <w:t>)</w:t>
      </w:r>
      <w:r w:rsidR="00C56963">
        <w:rPr>
          <w:sz w:val="22"/>
          <w:szCs w:val="22"/>
        </w:rPr>
        <w:t>. We would like to specifically raise the issue of indirect discrimination, the principles of equal pay for equal work and for work of equal value, and the concentration of women in lower paid sectors and categories.</w:t>
      </w:r>
      <w:r w:rsidR="00C56963">
        <w:rPr>
          <w:rFonts w:hint="eastAsia"/>
          <w:sz w:val="22"/>
          <w:szCs w:val="22"/>
        </w:rPr>
        <w:t xml:space="preserve"> </w:t>
      </w:r>
    </w:p>
    <w:p w14:paraId="2485231A" w14:textId="77777777" w:rsidR="00A956F4" w:rsidRDefault="00A956F4"/>
    <w:p w14:paraId="7AFE34DC" w14:textId="40E3E5E7" w:rsidR="00503485" w:rsidRPr="00C56963" w:rsidRDefault="00060686">
      <w:pPr>
        <w:rPr>
          <w:b/>
          <w:bCs/>
          <w:sz w:val="22"/>
          <w:szCs w:val="22"/>
        </w:rPr>
      </w:pPr>
      <w:r w:rsidRPr="00C56963">
        <w:rPr>
          <w:b/>
          <w:bCs/>
          <w:sz w:val="22"/>
          <w:szCs w:val="22"/>
        </w:rPr>
        <w:t>Prohibition of Indirect Discrimination</w:t>
      </w:r>
    </w:p>
    <w:p w14:paraId="4E843421" w14:textId="2F79B678" w:rsidR="00060686" w:rsidRDefault="00060686">
      <w:r>
        <w:t>We ask the Committee to recommend the following:</w:t>
      </w:r>
    </w:p>
    <w:p w14:paraId="0F8592F4" w14:textId="421B4FA7" w:rsidR="00060686" w:rsidRDefault="00060686">
      <w:r>
        <w:t>* explicit stipulation that the prohibition of indirect discrimination is not limited to the three cases provided for in the Ministerial Order</w:t>
      </w:r>
      <w:r w:rsidR="003073DB">
        <w:t xml:space="preserve"> under the Equal Employment Opportunity Act</w:t>
      </w:r>
      <w:r>
        <w:t>.</w:t>
      </w:r>
    </w:p>
    <w:p w14:paraId="6B59D576" w14:textId="78D7B36D" w:rsidR="00060686" w:rsidRDefault="00060686">
      <w:r>
        <w:t xml:space="preserve">* </w:t>
      </w:r>
      <w:r w:rsidR="009F6F1F">
        <w:t xml:space="preserve">raise awareness of parliamentarians, judiciary and the business sector on the prohibition of indirect discrimination </w:t>
      </w:r>
      <w:r>
        <w:t xml:space="preserve"> </w:t>
      </w:r>
    </w:p>
    <w:p w14:paraId="060B4CD8" w14:textId="7A8FB1D6" w:rsidR="009F6F1F" w:rsidRDefault="009F6F1F"/>
    <w:p w14:paraId="75A667DC" w14:textId="246BD659" w:rsidR="009F6F1F" w:rsidRDefault="009F6F1F" w:rsidP="003073DB">
      <w:pPr>
        <w:ind w:firstLineChars="100" w:firstLine="210"/>
      </w:pPr>
      <w:r>
        <w:rPr>
          <w:rFonts w:hint="eastAsia"/>
        </w:rPr>
        <w:t>T</w:t>
      </w:r>
      <w:r>
        <w:t>he Committee has recommended that Japan include the definition of discrimination including indirect discrimination in the domestic laws as well as conduct campaigns to raise awareness on indirect discriminations aimed at inter alia, parliamentarians, the judiciary and the legal profession in general in its Concluding Recommendations in 2003.</w:t>
      </w:r>
      <w:r>
        <w:rPr>
          <w:rStyle w:val="a5"/>
        </w:rPr>
        <w:footnoteReference w:id="2"/>
      </w:r>
      <w:r>
        <w:t xml:space="preserve"> In 2006, the Equal Employment Opportunity Act was amended to </w:t>
      </w:r>
      <w:r w:rsidR="00D20D81">
        <w:t xml:space="preserve">cover indirect discrimination, but only three cases provided for in the Order of the Ministry of Health, Labor and Welfare would be prohibited under the Act: weight and height requirement at the time of recruitment and hiring, mobility requirement at the time of recruitment, hiring, promotion or changes in jobs, or requirement of having experienced transfers at the time of promotion. </w:t>
      </w:r>
      <w:r w:rsidR="000B5D1A">
        <w:t xml:space="preserve">The Ministry website explains that other cases may be determined as being unlawful indirect discrimination by the </w:t>
      </w:r>
      <w:r w:rsidR="000B5D1A">
        <w:lastRenderedPageBreak/>
        <w:t>courts, but these would not be a violation of the Equal Employment Opportunity Act</w:t>
      </w:r>
      <w:r w:rsidR="000B5D1A">
        <w:rPr>
          <w:rStyle w:val="a5"/>
        </w:rPr>
        <w:footnoteReference w:id="3"/>
      </w:r>
      <w:r w:rsidR="000B5D1A">
        <w:t xml:space="preserve">. </w:t>
      </w:r>
    </w:p>
    <w:p w14:paraId="580AD2D2" w14:textId="3752D8B5" w:rsidR="000B5D1A" w:rsidRDefault="000B5D1A" w:rsidP="003073DB">
      <w:pPr>
        <w:ind w:firstLineChars="100" w:firstLine="210"/>
      </w:pPr>
      <w:r>
        <w:rPr>
          <w:rFonts w:hint="eastAsia"/>
        </w:rPr>
        <w:t>I</w:t>
      </w:r>
      <w:r>
        <w:t>n 2024, after 18 years since the inclusion of indirect discrimination in the Act, the court recognized a case of indirect discrimination and awarded compensation to the plaintiff. But it was not considered to be a violation of the Equal Employment Opportunity Act</w:t>
      </w:r>
      <w:r w:rsidR="0014031C">
        <w:rPr>
          <w:rStyle w:val="a5"/>
        </w:rPr>
        <w:footnoteReference w:id="4"/>
      </w:r>
      <w:r>
        <w:t>. The Periodic Report of Japan states that the Equal Employment Opportunity Act “</w:t>
      </w:r>
      <w:r w:rsidRPr="000B5D1A">
        <w:t>prohibits any forms of direct or indirect discrimination between women and men in the area of employment</w:t>
      </w:r>
      <w:r w:rsidR="00213A3F">
        <w:rPr>
          <w:rStyle w:val="a5"/>
        </w:rPr>
        <w:footnoteReference w:id="5"/>
      </w:r>
      <w:r>
        <w:t>” but the prohibition of indirect discrimination is limited.</w:t>
      </w:r>
    </w:p>
    <w:p w14:paraId="6846BBD0" w14:textId="7CA0046F" w:rsidR="000B5D1A" w:rsidRDefault="000B5D1A"/>
    <w:p w14:paraId="21D7096B" w14:textId="04F1C30B" w:rsidR="000B5D1A" w:rsidRDefault="000B5D1A">
      <w:r w:rsidRPr="00C56963">
        <w:rPr>
          <w:rFonts w:hint="eastAsia"/>
          <w:b/>
          <w:bCs/>
        </w:rPr>
        <w:t>A</w:t>
      </w:r>
      <w:r w:rsidRPr="00C56963">
        <w:rPr>
          <w:b/>
          <w:bCs/>
        </w:rPr>
        <w:t>GC Greentech Gender Discrimination Cas</w:t>
      </w:r>
      <w:r w:rsidRPr="003073DB">
        <w:rPr>
          <w:b/>
          <w:bCs/>
        </w:rPr>
        <w:t>e</w:t>
      </w:r>
      <w:r w:rsidR="003073DB">
        <w:rPr>
          <w:rStyle w:val="a5"/>
          <w:b/>
          <w:bCs/>
        </w:rPr>
        <w:footnoteReference w:id="6"/>
      </w:r>
    </w:p>
    <w:p w14:paraId="7A5606D2" w14:textId="0112E59D" w:rsidR="000B5D1A" w:rsidRDefault="00384DD2" w:rsidP="001D64D5">
      <w:pPr>
        <w:ind w:firstLineChars="100" w:firstLine="210"/>
      </w:pPr>
      <w:r>
        <w:t xml:space="preserve">AGC Greentech </w:t>
      </w:r>
      <w:r w:rsidR="003073DB">
        <w:t>uses</w:t>
      </w:r>
      <w:r w:rsidR="004D2392">
        <w:t xml:space="preserve"> a career track </w:t>
      </w:r>
      <w:r w:rsidR="003073DB">
        <w:t xml:space="preserve">employment </w:t>
      </w:r>
      <w:r w:rsidR="004D2392">
        <w:t xml:space="preserve">system consisting of a main career track and a clerical track. In August 2020, </w:t>
      </w:r>
      <w:r w:rsidR="001D7FC7">
        <w:t xml:space="preserve">at the time the plaintiff filed suit, </w:t>
      </w:r>
      <w:r w:rsidR="004D2392">
        <w:t xml:space="preserve">all but one employee in the main career track were male, and all but one employee in the clerical track were female. The company provided rent assistance, paying 80% of the rent to main career track employees, while paying a far lower housing allowance to those in the clerical track. The difference </w:t>
      </w:r>
      <w:r w:rsidR="001D7FC7">
        <w:t xml:space="preserve">would be twenty-four times as large. The plaintiff had also covered the work her superior in the main career track was doing after he left, </w:t>
      </w:r>
      <w:r w:rsidR="0097005A">
        <w:t>and a male clerical track worker who was hired after the plaintiff was graded far higher than her, and earning far more than she did.</w:t>
      </w:r>
    </w:p>
    <w:p w14:paraId="0D4F41DE" w14:textId="5FC2AE45" w:rsidR="006B3D22" w:rsidRDefault="0097005A" w:rsidP="001D64D5">
      <w:pPr>
        <w:ind w:firstLineChars="100" w:firstLine="210"/>
      </w:pPr>
      <w:r>
        <w:rPr>
          <w:rFonts w:hint="eastAsia"/>
        </w:rPr>
        <w:t>T</w:t>
      </w:r>
      <w:r>
        <w:t>he plaintiff filed suit in August 2020, claiming that the non-application of the rent support s</w:t>
      </w:r>
      <w:r w:rsidR="001D64D5">
        <w:t>cheme</w:t>
      </w:r>
      <w:r>
        <w:t xml:space="preserve"> to clerical (female) workers was a violation of the Equal Employment Opportunity Act, and that the wage gap between her and the male clerical track worker was a violation of the Labor Standards Act. In May 2024, the Tokyo District Court held that providing rent </w:t>
      </w:r>
      <w:r>
        <w:lastRenderedPageBreak/>
        <w:t>support to</w:t>
      </w:r>
      <w:r w:rsidR="001D64D5">
        <w:t xml:space="preserve"> the main </w:t>
      </w:r>
      <w:r>
        <w:t>career track employees and excluding clerical track employees from the scheme was in fact operating the rent support scheme as an employee welfare measure applicable only</w:t>
      </w:r>
      <w:r w:rsidR="001D64D5">
        <w:t xml:space="preserve"> to </w:t>
      </w:r>
      <w:r>
        <w:t xml:space="preserve">male employees to the disadvantage of female employees for no reasonable reasons, constituting indirect discrimination in the light of the objectives of the Equal Employment Opportunity Act, which is to ensure equal treatment for men and women in the field of employment. The Court did not </w:t>
      </w:r>
      <w:r w:rsidR="006B3D22">
        <w:t xml:space="preserve">recognize the gender </w:t>
      </w:r>
      <w:r w:rsidR="001D64D5">
        <w:t xml:space="preserve">wage </w:t>
      </w:r>
      <w:r w:rsidR="006B3D22">
        <w:t>gap between the plaintiff and the male clerical track worker, recognizing the discretion of the employer.</w:t>
      </w:r>
    </w:p>
    <w:p w14:paraId="44838A83" w14:textId="77777777" w:rsidR="006B3D22" w:rsidRPr="001D64D5" w:rsidRDefault="006B3D22"/>
    <w:p w14:paraId="113A31E0" w14:textId="032EF2C9" w:rsidR="006B3D22" w:rsidRPr="00C56963" w:rsidRDefault="006B3D22">
      <w:pPr>
        <w:rPr>
          <w:b/>
          <w:bCs/>
          <w:sz w:val="22"/>
          <w:szCs w:val="22"/>
        </w:rPr>
      </w:pPr>
      <w:r w:rsidRPr="00C56963">
        <w:rPr>
          <w:b/>
          <w:bCs/>
          <w:sz w:val="22"/>
          <w:szCs w:val="22"/>
        </w:rPr>
        <w:t>Principle</w:t>
      </w:r>
      <w:r w:rsidR="00C56963" w:rsidRPr="00C56963">
        <w:rPr>
          <w:b/>
          <w:bCs/>
          <w:sz w:val="22"/>
          <w:szCs w:val="22"/>
        </w:rPr>
        <w:t>s</w:t>
      </w:r>
      <w:r w:rsidRPr="00C56963">
        <w:rPr>
          <w:b/>
          <w:bCs/>
          <w:sz w:val="22"/>
          <w:szCs w:val="22"/>
        </w:rPr>
        <w:t xml:space="preserve"> of Equal Pay for Equal Work, Equal Pay for Work of Equal Value</w:t>
      </w:r>
    </w:p>
    <w:p w14:paraId="1540165A" w14:textId="77777777" w:rsidR="0069234F" w:rsidRDefault="0069234F">
      <w:r>
        <w:t xml:space="preserve">We ask the Committee to recommend the following: </w:t>
      </w:r>
    </w:p>
    <w:p w14:paraId="1632B878" w14:textId="77777777" w:rsidR="004A5106" w:rsidRDefault="004A5106">
      <w:r>
        <w:t>*ensure that the principles of equal pay for equal work and equal pay for work of equal value will be applied using job comparisons based on international standards in determining the gender wage gap</w:t>
      </w:r>
    </w:p>
    <w:p w14:paraId="2C1E6099" w14:textId="77777777" w:rsidR="004A5106" w:rsidRDefault="004A5106"/>
    <w:p w14:paraId="3D6B6BFD" w14:textId="4393F037" w:rsidR="0097005A" w:rsidRDefault="004A5106" w:rsidP="001D64D5">
      <w:pPr>
        <w:ind w:firstLineChars="100" w:firstLine="210"/>
      </w:pPr>
      <w:r>
        <w:t>The Committee has raised its concern on t</w:t>
      </w:r>
      <w:r w:rsidRPr="004A5106">
        <w:t xml:space="preserve">he </w:t>
      </w:r>
      <w:r>
        <w:t>“</w:t>
      </w:r>
      <w:r w:rsidRPr="004A5106">
        <w:t>widening gender pay gap, which is partly attributable to the inadequate enforcement of the principle of equal pay for work of equal value</w:t>
      </w:r>
      <w:r>
        <w:rPr>
          <w:rStyle w:val="a5"/>
        </w:rPr>
        <w:footnoteReference w:id="7"/>
      </w:r>
      <w:r>
        <w:t>”</w:t>
      </w:r>
      <w:r w:rsidR="0097005A">
        <w:rPr>
          <w:rFonts w:hint="eastAsia"/>
        </w:rPr>
        <w:t xml:space="preserve"> </w:t>
      </w:r>
      <w:r>
        <w:t>in its Concluding Recommendations in 2016. The gender wage gap remains wide</w:t>
      </w:r>
      <w:r>
        <w:rPr>
          <w:rStyle w:val="a5"/>
        </w:rPr>
        <w:footnoteReference w:id="8"/>
      </w:r>
      <w:r>
        <w:t>, and the large proportion of low paid non-regular workers among female workers</w:t>
      </w:r>
      <w:r>
        <w:rPr>
          <w:rStyle w:val="a5"/>
        </w:rPr>
        <w:footnoteReference w:id="9"/>
      </w:r>
      <w:r>
        <w:t xml:space="preserve"> is a contributing factor. In 2023, female non-regular workers earned 72.2% of female regular workers, and the gap is wider among larger companies (66.9%)</w:t>
      </w:r>
      <w:r>
        <w:rPr>
          <w:rStyle w:val="a5"/>
        </w:rPr>
        <w:footnoteReference w:id="10"/>
      </w:r>
      <w:r>
        <w:t>. In recent years</w:t>
      </w:r>
      <w:r w:rsidR="0074209F">
        <w:t xml:space="preserve">, there have been cases of female non-regular workers taking their employers to court for lower wages compared to regular workers, but as the cases below show, their claims regarding basic pay are dismissed, even when they are doing “almost the same” work. The cases are reduced to whether they should be paid bonuses or other allowances, and in many cases, even these are </w:t>
      </w:r>
      <w:r w:rsidR="0074209F">
        <w:lastRenderedPageBreak/>
        <w:t>denied.</w:t>
      </w:r>
    </w:p>
    <w:p w14:paraId="1D73516A" w14:textId="5655BDDD" w:rsidR="0074209F" w:rsidRDefault="0074209F"/>
    <w:p w14:paraId="3261ABD7" w14:textId="598D2058" w:rsidR="0074209F" w:rsidRPr="00C56963" w:rsidRDefault="0074209F">
      <w:pPr>
        <w:rPr>
          <w:b/>
          <w:bCs/>
        </w:rPr>
      </w:pPr>
      <w:r w:rsidRPr="00C56963">
        <w:rPr>
          <w:rFonts w:hint="eastAsia"/>
          <w:b/>
          <w:bCs/>
        </w:rPr>
        <w:t>O</w:t>
      </w:r>
      <w:r w:rsidRPr="00C56963">
        <w:rPr>
          <w:b/>
          <w:bCs/>
        </w:rPr>
        <w:t>saka Medical and Pharmaceutical University</w:t>
      </w:r>
      <w:r w:rsidR="00C56963" w:rsidRPr="00C56963">
        <w:rPr>
          <w:b/>
          <w:bCs/>
        </w:rPr>
        <w:t xml:space="preserve"> Case</w:t>
      </w:r>
      <w:r w:rsidR="001D64D5">
        <w:rPr>
          <w:rStyle w:val="a5"/>
          <w:b/>
          <w:bCs/>
        </w:rPr>
        <w:footnoteReference w:id="11"/>
      </w:r>
    </w:p>
    <w:p w14:paraId="7E4314A4" w14:textId="7629528B" w:rsidR="0074209F" w:rsidRDefault="0074209F" w:rsidP="001D64D5">
      <w:pPr>
        <w:ind w:firstLineChars="100" w:firstLine="210"/>
      </w:pPr>
      <w:r>
        <w:t xml:space="preserve">In a case in which a part-time worker doing the same work for same hours </w:t>
      </w:r>
      <w:r w:rsidR="001D64D5">
        <w:t xml:space="preserve">as full-time workers </w:t>
      </w:r>
      <w:r w:rsidR="00986233">
        <w:t xml:space="preserve">claimed discriminatory treatment regarding wages and bonus, the Supreme Court held on October 13, 2020 that non-payment of bonus to part-time workers was not unreasonable. The plaintiff managed the schedules of faculty and staff at the university, </w:t>
      </w:r>
      <w:r w:rsidR="00EB11FD">
        <w:t xml:space="preserve">accounting and equipment of the classrooms as well as </w:t>
      </w:r>
      <w:r w:rsidR="00986233">
        <w:t>prepared documents,</w:t>
      </w:r>
      <w:r w:rsidR="00EB11FD">
        <w:t xml:space="preserve"> and in the lower court, a witness stated that she was doing almost the same work as other regular workers. But the plaintiff was not paid the twice annual bonuses paid to regular workers, and her annual pay was 55% of that of regular workers. The Osaka Appeals Court had decided that paying no bonus to non-regular workers was unreasonable, but the Supreme Court overturned the decision, saying </w:t>
      </w:r>
      <w:r w:rsidR="00264262">
        <w:t>non-payment was reasonable, due to differences in regular and non-regular workers work, such as</w:t>
      </w:r>
      <w:r w:rsidR="00EB11FD">
        <w:t xml:space="preserve"> </w:t>
      </w:r>
      <w:r w:rsidR="00264262">
        <w:t xml:space="preserve">that </w:t>
      </w:r>
      <w:r w:rsidR="00EB11FD">
        <w:t xml:space="preserve">regular workers had the possibility of </w:t>
      </w:r>
      <w:r w:rsidR="00264262">
        <w:t>having their assignment changed, while this happened to non-regular workers only in exceptional cases.</w:t>
      </w:r>
    </w:p>
    <w:p w14:paraId="575B01BE" w14:textId="595EB8DA" w:rsidR="00264262" w:rsidRDefault="00264262"/>
    <w:p w14:paraId="2D75F1D8" w14:textId="44DFADA1" w:rsidR="00CD26A3" w:rsidRDefault="00264262" w:rsidP="001D64D5">
      <w:pPr>
        <w:ind w:firstLineChars="100" w:firstLine="210"/>
      </w:pPr>
      <w:r>
        <w:rPr>
          <w:rFonts w:hint="eastAsia"/>
        </w:rPr>
        <w:t>O</w:t>
      </w:r>
      <w:r>
        <w:t xml:space="preserve">n the same day the Supreme Court issued a judgement in a separate case of non-payment of severance pay to </w:t>
      </w:r>
      <w:r w:rsidR="00CD26A3">
        <w:t>fixed</w:t>
      </w:r>
      <w:r>
        <w:t>-term contract workers</w:t>
      </w:r>
      <w:r w:rsidR="001D64D5">
        <w:rPr>
          <w:rStyle w:val="a5"/>
        </w:rPr>
        <w:footnoteReference w:id="12"/>
      </w:r>
      <w:r>
        <w:t xml:space="preserve">. The Court recognized that the work they did was generally the same as regular workers, but the latter were sometimes working as area managers managing several shops, and therefore </w:t>
      </w:r>
      <w:r w:rsidR="001D64D5">
        <w:t xml:space="preserve">the work was </w:t>
      </w:r>
      <w:r>
        <w:t xml:space="preserve">not the same as the </w:t>
      </w:r>
      <w:r w:rsidR="00CD26A3">
        <w:t>fixed</w:t>
      </w:r>
      <w:r>
        <w:t>-term workers, and</w:t>
      </w:r>
      <w:r w:rsidR="00CD26A3">
        <w:t xml:space="preserve"> overturned the decision of the Tokyo Appeals Court ordering payment of severance pay amounting to 25% of th</w:t>
      </w:r>
      <w:r w:rsidR="001D64D5">
        <w:t>ose</w:t>
      </w:r>
      <w:r w:rsidR="00CD26A3">
        <w:t xml:space="preserve"> received by regular workers, holding that non-payment was not unreasonable. The plaintiffs of the cases were working in kiosks in subway stations under contracts for one year or less, which were renewed for about ten years, until they were 65.</w:t>
      </w:r>
    </w:p>
    <w:p w14:paraId="07E7DDC2" w14:textId="6533153F" w:rsidR="00CD26A3" w:rsidRDefault="00CD26A3"/>
    <w:p w14:paraId="73C2ED72" w14:textId="491AA5CA" w:rsidR="00CD26A3" w:rsidRDefault="00CD26A3" w:rsidP="001D64D5">
      <w:pPr>
        <w:ind w:firstLineChars="100" w:firstLine="210"/>
      </w:pPr>
      <w:r>
        <w:rPr>
          <w:rFonts w:hint="eastAsia"/>
        </w:rPr>
        <w:t>O</w:t>
      </w:r>
      <w:r>
        <w:t>n April 26, 2024, the Morioka District Court dismissed a claim by a fixed-term contract worker</w:t>
      </w:r>
      <w:r w:rsidR="00FA343E">
        <w:t xml:space="preserve"> who continued to work renewing </w:t>
      </w:r>
      <w:r w:rsidR="00772994">
        <w:t xml:space="preserve">her one-year contracts, for difference in basic pay with regular workers and non-payment of bonuses. The Court applied the same reasoning as in the above Osaka Medical and Pharmaceutical </w:t>
      </w:r>
      <w:r w:rsidR="001D64D5">
        <w:t xml:space="preserve">University </w:t>
      </w:r>
      <w:r w:rsidR="00772994">
        <w:t xml:space="preserve">case, and held that because for regular workers there was a possibility that their assignments may change, and they were expected to be employed for a longer term, the </w:t>
      </w:r>
      <w:r w:rsidR="00C5575A">
        <w:t xml:space="preserve">pay </w:t>
      </w:r>
      <w:r w:rsidR="00772994">
        <w:t>difference and non-payment w</w:t>
      </w:r>
      <w:r w:rsidR="00C5575A">
        <w:t>ere</w:t>
      </w:r>
      <w:r w:rsidR="00772994">
        <w:t xml:space="preserve"> not unreasonable.</w:t>
      </w:r>
    </w:p>
    <w:p w14:paraId="302A052E" w14:textId="571586C8" w:rsidR="00772994" w:rsidRPr="00C5575A" w:rsidRDefault="00772994"/>
    <w:p w14:paraId="6FE09506" w14:textId="3F315835" w:rsidR="00772994" w:rsidRPr="00C56963" w:rsidRDefault="00772994">
      <w:pPr>
        <w:rPr>
          <w:b/>
          <w:bCs/>
          <w:sz w:val="22"/>
          <w:szCs w:val="22"/>
        </w:rPr>
      </w:pPr>
      <w:r w:rsidRPr="00C56963">
        <w:rPr>
          <w:b/>
          <w:bCs/>
          <w:sz w:val="22"/>
          <w:szCs w:val="22"/>
        </w:rPr>
        <w:lastRenderedPageBreak/>
        <w:t xml:space="preserve">The Concentration of Women in Lower Paid </w:t>
      </w:r>
      <w:r w:rsidR="00D41579" w:rsidRPr="00C56963">
        <w:rPr>
          <w:b/>
          <w:bCs/>
          <w:sz w:val="22"/>
          <w:szCs w:val="22"/>
        </w:rPr>
        <w:t>Sectors</w:t>
      </w:r>
    </w:p>
    <w:p w14:paraId="15FEE2A4" w14:textId="77777777" w:rsidR="00D41579" w:rsidRDefault="00D41579">
      <w:r>
        <w:t>We ask the Committee to recommend the following:</w:t>
      </w:r>
    </w:p>
    <w:p w14:paraId="215DB6F3" w14:textId="72F89C0A" w:rsidR="002907F0" w:rsidRDefault="00D41579">
      <w:r>
        <w:t xml:space="preserve">*companies which are required to publish the differences in pay between men and women under the </w:t>
      </w:r>
      <w:r w:rsidRPr="00D41579">
        <w:t>Act on Promotion of Women's Participation and Advancement in the Workplace</w:t>
      </w:r>
      <w:r>
        <w:t xml:space="preserve">, and whose pay differences exceeded certain levels, should be required to publish corrective measures, including plans to reduce the differences and </w:t>
      </w:r>
      <w:r w:rsidR="00C5575A">
        <w:t xml:space="preserve">the government should </w:t>
      </w:r>
      <w:r>
        <w:t xml:space="preserve">provide national guidance and incentives on the implementation of the measures. </w:t>
      </w:r>
      <w:r>
        <w:rPr>
          <w:rFonts w:hint="eastAsia"/>
        </w:rPr>
        <w:t xml:space="preserve"> </w:t>
      </w:r>
    </w:p>
    <w:p w14:paraId="46871EB9" w14:textId="77777777" w:rsidR="009D262B" w:rsidRDefault="009D262B"/>
    <w:p w14:paraId="225FC0D0" w14:textId="2DDFBBA2" w:rsidR="009548D7" w:rsidRPr="009548D7" w:rsidRDefault="002907F0" w:rsidP="00F95B24">
      <w:pPr>
        <w:ind w:firstLineChars="100" w:firstLine="210"/>
      </w:pPr>
      <w:r>
        <w:rPr>
          <w:rFonts w:hint="eastAsia"/>
        </w:rPr>
        <w:t>I</w:t>
      </w:r>
      <w:r>
        <w:t xml:space="preserve">n its Concluding Recommendations in 2016, the Committee </w:t>
      </w:r>
      <w:r w:rsidR="009548D7">
        <w:t>expressed its concern on the “c</w:t>
      </w:r>
      <w:r w:rsidR="009548D7" w:rsidRPr="009548D7">
        <w:t xml:space="preserve">ontinued horizontal and vertical segregation in the labor market and </w:t>
      </w:r>
      <w:r w:rsidR="009548D7">
        <w:t xml:space="preserve">the concentration </w:t>
      </w:r>
      <w:r w:rsidR="009548D7" w:rsidRPr="009548D7">
        <w:t>of women in low-paid sectors of employment</w:t>
      </w:r>
      <w:r w:rsidR="009548D7">
        <w:rPr>
          <w:rStyle w:val="a5"/>
        </w:rPr>
        <w:footnoteReference w:id="13"/>
      </w:r>
      <w:r w:rsidR="009548D7">
        <w:t xml:space="preserve">.” </w:t>
      </w:r>
      <w:r w:rsidR="00FD60A5" w:rsidRPr="00FD60A5">
        <w:t>In July 202</w:t>
      </w:r>
      <w:r w:rsidR="00F95B24">
        <w:t>2</w:t>
      </w:r>
      <w:r w:rsidR="00FD60A5" w:rsidRPr="00FD60A5">
        <w:t xml:space="preserve">, </w:t>
      </w:r>
      <w:r w:rsidR="00F95B24">
        <w:t xml:space="preserve">the </w:t>
      </w:r>
      <w:r w:rsidR="00F95B24" w:rsidRPr="00D41579">
        <w:t>Act on Promotion of Women's Participation and Advancement in the Workplace</w:t>
      </w:r>
      <w:r w:rsidR="00F95B24" w:rsidRPr="00FD60A5">
        <w:t xml:space="preserve"> </w:t>
      </w:r>
      <w:r w:rsidR="00F95B24">
        <w:t xml:space="preserve">was </w:t>
      </w:r>
      <w:r w:rsidR="00F95B24">
        <w:t xml:space="preserve">amended </w:t>
      </w:r>
      <w:r w:rsidR="00F95B24">
        <w:t xml:space="preserve">to require </w:t>
      </w:r>
      <w:r w:rsidR="00FD60A5" w:rsidRPr="00FD60A5">
        <w:t xml:space="preserve">companies </w:t>
      </w:r>
      <w:r w:rsidR="00F95B24">
        <w:t xml:space="preserve">with 301 or more employees to </w:t>
      </w:r>
      <w:r w:rsidR="00FD60A5" w:rsidRPr="00FD60A5">
        <w:t xml:space="preserve">publish </w:t>
      </w:r>
      <w:r w:rsidR="00110B52">
        <w:t>the pay gap between men and women</w:t>
      </w:r>
      <w:r w:rsidR="00F95B24">
        <w:t>.</w:t>
      </w:r>
      <w:r w:rsidR="00110B52">
        <w:t xml:space="preserve"> </w:t>
      </w:r>
      <w:r w:rsidR="00F95B24">
        <w:t xml:space="preserve">Those data began to be published around </w:t>
      </w:r>
      <w:r w:rsidR="00110B52">
        <w:t>July 2023,</w:t>
      </w:r>
      <w:r w:rsidR="00FD60A5" w:rsidRPr="00FD60A5">
        <w:t xml:space="preserve"> and as of January 2024, a 75.2% difference between male and female </w:t>
      </w:r>
      <w:r w:rsidR="00110B52">
        <w:t>regular</w:t>
      </w:r>
      <w:r w:rsidR="00FD60A5" w:rsidRPr="00FD60A5">
        <w:t xml:space="preserve"> workers and a 69.5% difference between all workers was</w:t>
      </w:r>
      <w:r w:rsidR="00110B52">
        <w:t xml:space="preserve"> found</w:t>
      </w:r>
      <w:r w:rsidR="00FD60A5" w:rsidRPr="00FD60A5">
        <w:t xml:space="preserve"> across all comp</w:t>
      </w:r>
      <w:r w:rsidR="00110B52">
        <w:t>anies that published their pay gaps, making these gaps visible</w:t>
      </w:r>
      <w:r w:rsidR="00110B52">
        <w:rPr>
          <w:rStyle w:val="a5"/>
        </w:rPr>
        <w:footnoteReference w:id="14"/>
      </w:r>
      <w:r w:rsidR="00110B52">
        <w:t xml:space="preserve">. What also became visible, was that women were concentrated in low paying categories, including career tracks, jobs, or non-regular employment. </w:t>
      </w:r>
      <w:r w:rsidR="00B353BE">
        <w:t>It also indicated that gaps were wider among larger companies. The proportion of women in management positions, also made public under the Act were small. Yet the Act does not require the companies to take any steps to address the gaps.</w:t>
      </w:r>
    </w:p>
    <w:p w14:paraId="726F2AB7" w14:textId="4E74C0AE" w:rsidR="002907F0" w:rsidRPr="002907F0" w:rsidRDefault="002907F0"/>
    <w:p w14:paraId="21E67371" w14:textId="2D11974B" w:rsidR="00264262" w:rsidRPr="00C56963" w:rsidRDefault="00B353BE">
      <w:pPr>
        <w:rPr>
          <w:b/>
          <w:bCs/>
        </w:rPr>
      </w:pPr>
      <w:r w:rsidRPr="00C56963">
        <w:rPr>
          <w:rFonts w:hint="eastAsia"/>
          <w:b/>
          <w:bCs/>
        </w:rPr>
        <w:t>T</w:t>
      </w:r>
      <w:r w:rsidRPr="00C56963">
        <w:rPr>
          <w:b/>
          <w:bCs/>
        </w:rPr>
        <w:t>owa Industrial Case</w:t>
      </w:r>
      <w:r w:rsidR="00C5575A">
        <w:rPr>
          <w:rStyle w:val="a5"/>
          <w:b/>
          <w:bCs/>
        </w:rPr>
        <w:footnoteReference w:id="15"/>
      </w:r>
    </w:p>
    <w:p w14:paraId="4B043EBA" w14:textId="24FE72FB" w:rsidR="00DD7A1B" w:rsidRDefault="00B353BE" w:rsidP="00C5575A">
      <w:pPr>
        <w:ind w:firstLineChars="100" w:firstLine="210"/>
      </w:pPr>
      <w:r w:rsidRPr="00B353BE">
        <w:t xml:space="preserve">When Towa introduced a </w:t>
      </w:r>
      <w:r>
        <w:t>track</w:t>
      </w:r>
      <w:r w:rsidRPr="00B353BE">
        <w:t xml:space="preserve">-based personnel system in 2002, the </w:t>
      </w:r>
      <w:r w:rsidR="00A27EE0">
        <w:t>plaintiff</w:t>
      </w:r>
      <w:r w:rsidRPr="00B353BE">
        <w:t xml:space="preserve">, the only woman in a seven-person design department </w:t>
      </w:r>
      <w:r>
        <w:t xml:space="preserve">who was </w:t>
      </w:r>
      <w:r w:rsidRPr="00B353BE">
        <w:t xml:space="preserve">doing the same job as </w:t>
      </w:r>
      <w:r>
        <w:t xml:space="preserve">the </w:t>
      </w:r>
      <w:r w:rsidRPr="00B353BE">
        <w:t xml:space="preserve">men, was assigned to a </w:t>
      </w:r>
      <w:r>
        <w:t>clerical track</w:t>
      </w:r>
      <w:r w:rsidRPr="00B353BE">
        <w:t xml:space="preserve"> because she was a woman.</w:t>
      </w:r>
      <w:r>
        <w:t xml:space="preserve"> </w:t>
      </w:r>
      <w:r w:rsidRPr="00B353BE">
        <w:t xml:space="preserve">As a result, </w:t>
      </w:r>
      <w:r w:rsidR="00DD7A1B">
        <w:t>even though she was doing</w:t>
      </w:r>
      <w:r w:rsidRPr="00B353BE">
        <w:t xml:space="preserve"> the same work, </w:t>
      </w:r>
      <w:r w:rsidR="00DD7A1B">
        <w:t xml:space="preserve">she did not receive </w:t>
      </w:r>
      <w:r w:rsidRPr="00B353BE">
        <w:t>the design engineering allowance of 55</w:t>
      </w:r>
      <w:r w:rsidR="00DD7A1B">
        <w:t>,</w:t>
      </w:r>
      <w:r w:rsidRPr="00B353BE">
        <w:t xml:space="preserve">000 yen per month and </w:t>
      </w:r>
      <w:r w:rsidR="00DD7A1B">
        <w:t xml:space="preserve">she was paid </w:t>
      </w:r>
      <w:r w:rsidRPr="00B353BE">
        <w:t xml:space="preserve">the lower wages of </w:t>
      </w:r>
      <w:r w:rsidR="00DD7A1B">
        <w:t xml:space="preserve">a clerical track </w:t>
      </w:r>
      <w:r w:rsidRPr="00B353BE">
        <w:t>employe</w:t>
      </w:r>
      <w:r w:rsidR="00DD7A1B">
        <w:t>e</w:t>
      </w:r>
      <w:r w:rsidRPr="00B353BE">
        <w:t xml:space="preserve">, </w:t>
      </w:r>
      <w:r w:rsidR="00DD7A1B">
        <w:t xml:space="preserve">leading to a </w:t>
      </w:r>
      <w:r w:rsidRPr="00B353BE">
        <w:t xml:space="preserve">wage gap with </w:t>
      </w:r>
      <w:r w:rsidR="00DD7A1B">
        <w:t xml:space="preserve">those in </w:t>
      </w:r>
      <w:r w:rsidRPr="00B353BE">
        <w:t>career-track positions</w:t>
      </w:r>
      <w:r w:rsidR="00DD7A1B">
        <w:t xml:space="preserve">. She brought the employer to court in 2011 and in 2015, the Kanazawa District Court held that the distinction between career track and the clerical track was in fact a distinction between men and women, and that the company was in fact applying </w:t>
      </w:r>
      <w:r w:rsidR="00DD7A1B">
        <w:lastRenderedPageBreak/>
        <w:t xml:space="preserve">a separate pay schedule for men and women in violation of Article 4 of the Labor Standards Act. It ordered the employer to pay her the difference between what she was paid and </w:t>
      </w:r>
      <w:r w:rsidR="00C5575A">
        <w:t>what she would have received in</w:t>
      </w:r>
      <w:r w:rsidR="00DD7A1B">
        <w:t xml:space="preserve"> </w:t>
      </w:r>
      <w:r w:rsidR="00C5575A">
        <w:t>a</w:t>
      </w:r>
      <w:r w:rsidR="00DD7A1B">
        <w:t xml:space="preserve"> career-track position.</w:t>
      </w:r>
    </w:p>
    <w:p w14:paraId="6AA41F73" w14:textId="4C3BBE3E" w:rsidR="00B353BE" w:rsidRDefault="00DC1370" w:rsidP="00C5575A">
      <w:pPr>
        <w:ind w:firstLineChars="100" w:firstLine="210"/>
      </w:pPr>
      <w:r>
        <w:t xml:space="preserve">However, </w:t>
      </w:r>
      <w:r w:rsidR="00A27EE0">
        <w:t>the gap that was recognized by the court consisted only of the age-related pay, and not of pay related to performance. Also because of the application of the statute of limitations, the compensation covered only three years of the ten claimed by the plaintiff.</w:t>
      </w:r>
      <w:r w:rsidR="00DD7A1B">
        <w:rPr>
          <w:rFonts w:hint="eastAsia"/>
        </w:rPr>
        <w:t xml:space="preserve"> </w:t>
      </w:r>
      <w:r w:rsidR="00A27EE0">
        <w:t xml:space="preserve">She appealed, but the Appeals Court </w:t>
      </w:r>
      <w:r w:rsidR="00411377">
        <w:t xml:space="preserve">reasoned that promotion was based on the evaluation by the company, based on its discretion, and her promotion to chief in the clerical track would not necessarily mean she would have been promoted if she had been in the career track and did not recognized her claims. The Supreme Court </w:t>
      </w:r>
      <w:r w:rsidR="00C5575A">
        <w:t>rejected</w:t>
      </w:r>
      <w:r w:rsidR="00411377">
        <w:t xml:space="preserve"> her appeal.</w:t>
      </w:r>
    </w:p>
    <w:p w14:paraId="022392F8" w14:textId="5CE82295" w:rsidR="00411377" w:rsidRDefault="00411377" w:rsidP="00C5575A">
      <w:pPr>
        <w:ind w:firstLineChars="100" w:firstLine="210"/>
      </w:pPr>
      <w:r>
        <w:rPr>
          <w:rFonts w:hint="eastAsia"/>
        </w:rPr>
        <w:t>T</w:t>
      </w:r>
      <w:r>
        <w:t>he court failed to evaluate her job, and did not assess the gender bias within the discretion of the employer. This ‘discretion’ has become a major obstacle in narrowing the gender wage gap.</w:t>
      </w:r>
    </w:p>
    <w:p w14:paraId="50838BF0" w14:textId="619C5FE9" w:rsidR="00411377" w:rsidRDefault="00411377"/>
    <w:p w14:paraId="471852CC" w14:textId="2D0E9BBA" w:rsidR="00411377" w:rsidRPr="00C56963" w:rsidRDefault="00411377">
      <w:pPr>
        <w:rPr>
          <w:b/>
          <w:bCs/>
        </w:rPr>
      </w:pPr>
      <w:r w:rsidRPr="00C56963">
        <w:rPr>
          <w:rFonts w:hint="eastAsia"/>
          <w:b/>
          <w:bCs/>
        </w:rPr>
        <w:t>C</w:t>
      </w:r>
      <w:r w:rsidRPr="00C56963">
        <w:rPr>
          <w:b/>
          <w:bCs/>
        </w:rPr>
        <w:t>hugoku Electric Power Case</w:t>
      </w:r>
      <w:r w:rsidR="00C5575A">
        <w:rPr>
          <w:rStyle w:val="a5"/>
          <w:b/>
          <w:bCs/>
        </w:rPr>
        <w:footnoteReference w:id="16"/>
      </w:r>
    </w:p>
    <w:p w14:paraId="6202F921" w14:textId="0AC9958D" w:rsidR="00411377" w:rsidRDefault="009C1646" w:rsidP="00311D64">
      <w:pPr>
        <w:ind w:firstLineChars="100" w:firstLine="210"/>
      </w:pPr>
      <w:r w:rsidRPr="009C1646">
        <w:t xml:space="preserve">A </w:t>
      </w:r>
      <w:r w:rsidR="00F60997">
        <w:t xml:space="preserve">woman working for </w:t>
      </w:r>
      <w:r w:rsidRPr="009C1646">
        <w:t>Chugoku Electric Power Company</w:t>
      </w:r>
      <w:r w:rsidR="00244FEF" w:rsidRPr="009C1646">
        <w:t xml:space="preserve"> wished to be promoted and develop and demonstrate her abilities in the same way as her male peers,</w:t>
      </w:r>
      <w:r w:rsidR="00244FEF" w:rsidRPr="00244FEF">
        <w:t xml:space="preserve"> </w:t>
      </w:r>
      <w:r w:rsidR="00244FEF" w:rsidRPr="009C1646">
        <w:t xml:space="preserve">but this did not happen </w:t>
      </w:r>
      <w:r w:rsidR="00244FEF">
        <w:t xml:space="preserve">despite her outstanding performance </w:t>
      </w:r>
      <w:r w:rsidR="00244FEF" w:rsidRPr="009C1646">
        <w:t xml:space="preserve">and she </w:t>
      </w:r>
      <w:r w:rsidR="00244FEF">
        <w:t xml:space="preserve">was not promoted for </w:t>
      </w:r>
      <w:r w:rsidR="00244FEF" w:rsidRPr="009C1646">
        <w:t>30 years</w:t>
      </w:r>
      <w:r w:rsidR="00244FEF">
        <w:t xml:space="preserve">, so she </w:t>
      </w:r>
      <w:r w:rsidRPr="009C1646">
        <w:t xml:space="preserve">filed a complaint for gender discrimination against </w:t>
      </w:r>
      <w:r w:rsidR="00244FEF">
        <w:t>her employer. In comparing</w:t>
      </w:r>
      <w:r w:rsidRPr="009C1646">
        <w:t xml:space="preserve"> the actual wages </w:t>
      </w:r>
      <w:r w:rsidR="00F850BA">
        <w:t xml:space="preserve">and positions </w:t>
      </w:r>
      <w:r w:rsidRPr="009C1646">
        <w:t xml:space="preserve">of male and female </w:t>
      </w:r>
      <w:r w:rsidR="00244FEF">
        <w:t>clerical</w:t>
      </w:r>
      <w:r w:rsidRPr="009C1646">
        <w:t xml:space="preserve"> staff with the same educational background as the plaintiffs </w:t>
      </w:r>
      <w:r w:rsidR="00244FEF">
        <w:t>indicated</w:t>
      </w:r>
      <w:r w:rsidRPr="009C1646">
        <w:t xml:space="preserve"> clear</w:t>
      </w:r>
      <w:r w:rsidR="00244FEF">
        <w:t>ly</w:t>
      </w:r>
      <w:r w:rsidRPr="009C1646">
        <w:t xml:space="preserve"> that female employees were</w:t>
      </w:r>
      <w:r w:rsidR="00244FEF">
        <w:t xml:space="preserve"> given “lower ratings.”</w:t>
      </w:r>
    </w:p>
    <w:p w14:paraId="2E5BCE57" w14:textId="53DD5A24" w:rsidR="009C1646" w:rsidRDefault="009C1646" w:rsidP="00311D64">
      <w:pPr>
        <w:ind w:firstLineChars="100" w:firstLine="210"/>
      </w:pPr>
      <w:r w:rsidRPr="009C1646">
        <w:t xml:space="preserve">The </w:t>
      </w:r>
      <w:r w:rsidR="00244FEF">
        <w:t xml:space="preserve">court </w:t>
      </w:r>
      <w:r w:rsidRPr="009C1646">
        <w:t xml:space="preserve">decision </w:t>
      </w:r>
      <w:r w:rsidR="00244FEF">
        <w:t>recognized that there was</w:t>
      </w:r>
      <w:r w:rsidRPr="009C1646">
        <w:t xml:space="preserve"> </w:t>
      </w:r>
      <w:r w:rsidR="00244FEF">
        <w:t xml:space="preserve">a </w:t>
      </w:r>
      <w:r w:rsidRPr="009C1646">
        <w:t xml:space="preserve">disparity in terms of </w:t>
      </w:r>
      <w:r w:rsidR="00244FEF">
        <w:t>promotion</w:t>
      </w:r>
      <w:r w:rsidRPr="009C1646">
        <w:t xml:space="preserve"> and wages. However, </w:t>
      </w:r>
      <w:r w:rsidR="00244FEF">
        <w:t>t</w:t>
      </w:r>
      <w:r w:rsidRPr="009C1646">
        <w:t xml:space="preserve">he court </w:t>
      </w:r>
      <w:r w:rsidR="00244FEF">
        <w:t>found no discrimination</w:t>
      </w:r>
      <w:r w:rsidRPr="009C1646">
        <w:t xml:space="preserve"> against women on the grounds that </w:t>
      </w:r>
      <w:r w:rsidR="00244FEF">
        <w:t xml:space="preserve">there were </w:t>
      </w:r>
      <w:r w:rsidR="00244FEF" w:rsidRPr="009C1646">
        <w:t xml:space="preserve">some men </w:t>
      </w:r>
      <w:r w:rsidR="00244FEF">
        <w:t>who took longer</w:t>
      </w:r>
      <w:r w:rsidR="00244FEF" w:rsidRPr="009C1646">
        <w:t xml:space="preserve"> </w:t>
      </w:r>
      <w:r w:rsidR="00244FEF">
        <w:t>to be</w:t>
      </w:r>
      <w:r w:rsidR="00244FEF" w:rsidRPr="009C1646">
        <w:t xml:space="preserve"> promoted, and there was no clear separation between men and women as a stratum</w:t>
      </w:r>
      <w:r w:rsidR="00244FEF">
        <w:t>;</w:t>
      </w:r>
      <w:r w:rsidR="00244FEF" w:rsidRPr="009C1646">
        <w:t xml:space="preserve"> </w:t>
      </w:r>
      <w:r w:rsidR="00244FEF">
        <w:t xml:space="preserve">that </w:t>
      </w:r>
      <w:r w:rsidRPr="009C1646">
        <w:t>women</w:t>
      </w:r>
      <w:r w:rsidR="00244FEF">
        <w:t xml:space="preserve"> </w:t>
      </w:r>
      <w:r w:rsidRPr="009C1646">
        <w:t>tend</w:t>
      </w:r>
      <w:r w:rsidR="00244FEF">
        <w:t>ed</w:t>
      </w:r>
      <w:r w:rsidRPr="009C1646">
        <w:t xml:space="preserve"> to shy away from assuming management positions, and that the personnel performance evaluation system does not clearly distinguish between men and women, </w:t>
      </w:r>
      <w:r w:rsidR="00244FEF">
        <w:t xml:space="preserve">and the disparity was the </w:t>
      </w:r>
      <w:r w:rsidRPr="009C1646">
        <w:t>result</w:t>
      </w:r>
      <w:r w:rsidR="00244FEF">
        <w:t xml:space="preserve"> of the evaluation</w:t>
      </w:r>
      <w:r w:rsidRPr="009C1646">
        <w:t>.</w:t>
      </w:r>
    </w:p>
    <w:p w14:paraId="3D6A7E29" w14:textId="48B2790C" w:rsidR="00D41579" w:rsidRPr="00060686" w:rsidRDefault="003C106B" w:rsidP="009D262B">
      <w:pPr>
        <w:ind w:firstLineChars="100" w:firstLine="210"/>
        <w:rPr>
          <w:rFonts w:hint="eastAsia"/>
        </w:rPr>
      </w:pPr>
      <w:r>
        <w:t xml:space="preserve">The fact </w:t>
      </w:r>
      <w:r w:rsidR="009C1646" w:rsidRPr="009C1646">
        <w:t xml:space="preserve">is that </w:t>
      </w:r>
      <w:r>
        <w:t xml:space="preserve">in the company, </w:t>
      </w:r>
      <w:r w:rsidR="009C1646" w:rsidRPr="009C1646">
        <w:t xml:space="preserve">the overwhelming majority of women </w:t>
      </w:r>
      <w:r w:rsidR="00311D64">
        <w:t xml:space="preserve">take much longer to be </w:t>
      </w:r>
      <w:r w:rsidR="009C1646" w:rsidRPr="009C1646">
        <w:t xml:space="preserve">promoted than men. One problem is that many of the evaluation items in the personnel evaluation process are not based directly on gender, but </w:t>
      </w:r>
      <w:r>
        <w:t>may have disadvantageous effect</w:t>
      </w:r>
      <w:r w:rsidR="009C1646" w:rsidRPr="009C1646">
        <w:t xml:space="preserve"> o</w:t>
      </w:r>
      <w:r>
        <w:t>n</w:t>
      </w:r>
      <w:r w:rsidR="009C1646" w:rsidRPr="009C1646">
        <w:t xml:space="preserve"> </w:t>
      </w:r>
      <w:r>
        <w:t xml:space="preserve">the results for </w:t>
      </w:r>
      <w:r w:rsidR="009C1646" w:rsidRPr="009C1646">
        <w:t xml:space="preserve">women. </w:t>
      </w:r>
      <w:r>
        <w:t>A</w:t>
      </w:r>
      <w:r w:rsidR="00311D64">
        <w:t xml:space="preserve"> statistics</w:t>
      </w:r>
      <w:r>
        <w:t xml:space="preserve"> expert analyzed t</w:t>
      </w:r>
      <w:r w:rsidR="009C1646" w:rsidRPr="009C1646">
        <w:t xml:space="preserve">he distribution of </w:t>
      </w:r>
      <w:r>
        <w:t>positions</w:t>
      </w:r>
      <w:r w:rsidR="009C1646" w:rsidRPr="009C1646">
        <w:t xml:space="preserve"> and wages between men and women submitted an opinion </w:t>
      </w:r>
      <w:r>
        <w:t xml:space="preserve">to the court </w:t>
      </w:r>
      <w:r w:rsidR="009C1646" w:rsidRPr="009C1646">
        <w:t>that "the disparity cannot be described as accidental by any means and that there is a significant gender gap</w:t>
      </w:r>
      <w:r>
        <w:t xml:space="preserve"> </w:t>
      </w:r>
      <w:r w:rsidR="00311D64">
        <w:t xml:space="preserve">in positions </w:t>
      </w:r>
      <w:r>
        <w:t>and wages.</w:t>
      </w:r>
      <w:r w:rsidR="009C1646" w:rsidRPr="009C1646">
        <w:t>"</w:t>
      </w:r>
    </w:p>
    <w:sectPr w:rsidR="00D41579" w:rsidRPr="00060686" w:rsidSect="00882B10">
      <w:pgSz w:w="11900" w:h="16840"/>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2225AF" w14:textId="77777777" w:rsidR="00157946" w:rsidRDefault="00157946" w:rsidP="009F6F1F">
      <w:r>
        <w:separator/>
      </w:r>
    </w:p>
  </w:endnote>
  <w:endnote w:type="continuationSeparator" w:id="0">
    <w:p w14:paraId="4DC2DBE9" w14:textId="77777777" w:rsidR="00157946" w:rsidRDefault="00157946" w:rsidP="009F6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2FDA4" w14:textId="77777777" w:rsidR="00157946" w:rsidRDefault="00157946" w:rsidP="009F6F1F">
      <w:r>
        <w:separator/>
      </w:r>
    </w:p>
  </w:footnote>
  <w:footnote w:type="continuationSeparator" w:id="0">
    <w:p w14:paraId="204BABAF" w14:textId="77777777" w:rsidR="00157946" w:rsidRDefault="00157946" w:rsidP="009F6F1F">
      <w:r>
        <w:continuationSeparator/>
      </w:r>
    </w:p>
  </w:footnote>
  <w:footnote w:id="1">
    <w:p w14:paraId="6A815C6D" w14:textId="77777777" w:rsidR="00A956F4" w:rsidRPr="00DF26AD" w:rsidRDefault="00A956F4" w:rsidP="00A956F4">
      <w:pPr>
        <w:pStyle w:val="a3"/>
        <w:jc w:val="both"/>
        <w:rPr>
          <w:sz w:val="20"/>
          <w:szCs w:val="20"/>
        </w:rPr>
      </w:pPr>
      <w:r w:rsidRPr="00DF26AD">
        <w:rPr>
          <w:rStyle w:val="a5"/>
          <w:sz w:val="20"/>
          <w:szCs w:val="20"/>
        </w:rPr>
        <w:t>*</w:t>
      </w:r>
      <w:r w:rsidRPr="00DF26AD">
        <w:rPr>
          <w:sz w:val="20"/>
          <w:szCs w:val="20"/>
        </w:rPr>
        <w:t xml:space="preserve"> WWN was established in 1995 to support the plaintiffs of the Sumitomo court case</w:t>
      </w:r>
      <w:r w:rsidRPr="00DF26AD">
        <w:rPr>
          <w:rFonts w:hint="eastAsia"/>
          <w:sz w:val="20"/>
          <w:szCs w:val="20"/>
        </w:rPr>
        <w:t>s</w:t>
      </w:r>
      <w:r w:rsidRPr="00DF26AD">
        <w:rPr>
          <w:sz w:val="20"/>
          <w:szCs w:val="20"/>
        </w:rPr>
        <w:t xml:space="preserve"> on gender wage discrimination. </w:t>
      </w:r>
      <w:r>
        <w:rPr>
          <w:sz w:val="20"/>
          <w:szCs w:val="20"/>
        </w:rPr>
        <w:t>S</w:t>
      </w:r>
      <w:r w:rsidRPr="00DF26AD">
        <w:rPr>
          <w:sz w:val="20"/>
          <w:szCs w:val="20"/>
        </w:rPr>
        <w:t>ince then, we worked to contribute to the improvement of the status of working women</w:t>
      </w:r>
      <w:r>
        <w:rPr>
          <w:sz w:val="20"/>
          <w:szCs w:val="20"/>
        </w:rPr>
        <w:t xml:space="preserve">. </w:t>
      </w:r>
      <w:r w:rsidRPr="00DF26AD">
        <w:rPr>
          <w:sz w:val="20"/>
          <w:szCs w:val="20"/>
        </w:rPr>
        <w:t>WWN has continued to support women bringing cases to court such as those on wage discrimination, discrimination in promotion, termination of contracts and sexual harassment.</w:t>
      </w:r>
    </w:p>
    <w:p w14:paraId="7FC3C2C5" w14:textId="77777777" w:rsidR="00A956F4" w:rsidRPr="00D9243B" w:rsidRDefault="00A956F4" w:rsidP="00A956F4">
      <w:pPr>
        <w:pStyle w:val="a3"/>
        <w:jc w:val="both"/>
        <w:rPr>
          <w:sz w:val="20"/>
          <w:szCs w:val="20"/>
        </w:rPr>
      </w:pPr>
      <w:proofErr w:type="spellStart"/>
      <w:r>
        <w:rPr>
          <w:sz w:val="20"/>
          <w:szCs w:val="20"/>
        </w:rPr>
        <w:t>Kinuko</w:t>
      </w:r>
      <w:proofErr w:type="spellEnd"/>
      <w:r>
        <w:rPr>
          <w:sz w:val="20"/>
          <w:szCs w:val="20"/>
        </w:rPr>
        <w:t xml:space="preserve"> Ishida, Katsumi Nishimura, Co-</w:t>
      </w:r>
      <w:r w:rsidRPr="00DF26AD">
        <w:rPr>
          <w:sz w:val="20"/>
          <w:szCs w:val="20"/>
        </w:rPr>
        <w:t>Representative</w:t>
      </w:r>
      <w:r>
        <w:rPr>
          <w:sz w:val="20"/>
          <w:szCs w:val="20"/>
        </w:rPr>
        <w:t>s</w:t>
      </w:r>
      <w:r w:rsidRPr="00DF26AD">
        <w:rPr>
          <w:sz w:val="20"/>
          <w:szCs w:val="20"/>
        </w:rPr>
        <w:t>,</w:t>
      </w:r>
      <w:r>
        <w:rPr>
          <w:sz w:val="20"/>
          <w:szCs w:val="20"/>
        </w:rPr>
        <w:t xml:space="preserve"> </w:t>
      </w:r>
      <w:r w:rsidRPr="00DF26AD">
        <w:rPr>
          <w:rFonts w:hint="eastAsia"/>
          <w:sz w:val="20"/>
          <w:szCs w:val="20"/>
        </w:rPr>
        <w:t xml:space="preserve">URL: http://www-net.org  </w:t>
      </w:r>
      <w:r w:rsidRPr="00EE1CB6">
        <w:rPr>
          <w:rFonts w:hint="eastAsia"/>
          <w:sz w:val="22"/>
          <w:szCs w:val="22"/>
        </w:rPr>
        <w:t xml:space="preserve">                                   </w:t>
      </w:r>
      <w:r>
        <w:rPr>
          <w:rFonts w:hint="eastAsia"/>
          <w:sz w:val="22"/>
          <w:szCs w:val="22"/>
        </w:rPr>
        <w:t xml:space="preserve">　　</w:t>
      </w:r>
    </w:p>
  </w:footnote>
  <w:footnote w:id="2">
    <w:p w14:paraId="424F6834" w14:textId="77777777" w:rsidR="00545A91" w:rsidRDefault="00545A91">
      <w:pPr>
        <w:pStyle w:val="a3"/>
        <w:rPr>
          <w:rFonts w:hint="eastAsia"/>
        </w:rPr>
      </w:pPr>
    </w:p>
    <w:p w14:paraId="4AFAE2F7" w14:textId="392E5A6A" w:rsidR="009F6F1F" w:rsidRDefault="009F6F1F">
      <w:pPr>
        <w:pStyle w:val="a3"/>
      </w:pPr>
      <w:r>
        <w:rPr>
          <w:rStyle w:val="a5"/>
        </w:rPr>
        <w:footnoteRef/>
      </w:r>
      <w:r>
        <w:t xml:space="preserve"> A/58/38 para. 358.</w:t>
      </w:r>
    </w:p>
  </w:footnote>
  <w:footnote w:id="3">
    <w:p w14:paraId="5D72D562" w14:textId="7DB34A43" w:rsidR="000B5D1A" w:rsidRPr="000B5D1A" w:rsidRDefault="000B5D1A">
      <w:pPr>
        <w:pStyle w:val="a3"/>
        <w:rPr>
          <w:color w:val="0563C1" w:themeColor="hyperlink"/>
          <w:u w:val="single"/>
        </w:rPr>
      </w:pPr>
      <w:r>
        <w:rPr>
          <w:rStyle w:val="a5"/>
        </w:rPr>
        <w:footnoteRef/>
      </w:r>
      <w:r>
        <w:t xml:space="preserve"> </w:t>
      </w:r>
      <w:r>
        <w:rPr>
          <w:rFonts w:hint="eastAsia"/>
        </w:rPr>
        <w:t>M</w:t>
      </w:r>
      <w:r>
        <w:t xml:space="preserve">inistry of Health, Labor and Welfare </w:t>
      </w:r>
      <w:hyperlink r:id="rId1" w:history="1">
        <w:r w:rsidRPr="004651B2">
          <w:rPr>
            <w:rStyle w:val="a6"/>
          </w:rPr>
          <w:t>https://www.mhlw.go.jp/general/seido/koyou/danjokintou/dl/danjyokoyou_h.pdf</w:t>
        </w:r>
      </w:hyperlink>
      <w:r w:rsidRPr="000B5D1A">
        <w:rPr>
          <w:rStyle w:val="a6"/>
          <w:u w:val="none"/>
        </w:rPr>
        <w:t xml:space="preserve"> </w:t>
      </w:r>
      <w:r w:rsidRPr="000B5D1A">
        <w:rPr>
          <w:rStyle w:val="a6"/>
          <w:color w:val="auto"/>
          <w:u w:val="none"/>
        </w:rPr>
        <w:t>(</w:t>
      </w:r>
      <w:r>
        <w:rPr>
          <w:rStyle w:val="a6"/>
          <w:color w:val="auto"/>
          <w:u w:val="none"/>
        </w:rPr>
        <w:t>Japanese).</w:t>
      </w:r>
    </w:p>
  </w:footnote>
  <w:footnote w:id="4">
    <w:p w14:paraId="00505A98" w14:textId="79BCE89D" w:rsidR="0014031C" w:rsidRPr="0014031C" w:rsidRDefault="0014031C">
      <w:pPr>
        <w:pStyle w:val="a3"/>
      </w:pPr>
      <w:r>
        <w:rPr>
          <w:rStyle w:val="a5"/>
        </w:rPr>
        <w:footnoteRef/>
      </w:r>
      <w:r>
        <w:t xml:space="preserve"> Article 7 of the Equal Employment Opportunity Act stipulates, “(</w:t>
      </w:r>
      <w:r w:rsidRPr="0014031C">
        <w:t>A</w:t>
      </w:r>
      <w:r>
        <w:t>)</w:t>
      </w:r>
      <w:r w:rsidRPr="0014031C">
        <w:t xml:space="preserve">n employer must not take measures which concern the recruitment and employment of workers or any of the matters listed in the items of the preceding Article, and based on criteria other than the worker's sex, which are specified by Order of the Ministry of Health, </w:t>
      </w:r>
      <w:proofErr w:type="spellStart"/>
      <w:r w:rsidRPr="0014031C">
        <w:t>Labour</w:t>
      </w:r>
      <w:proofErr w:type="spellEnd"/>
      <w:r w:rsidRPr="0014031C">
        <w:t xml:space="preserve"> and Welfare as measures that may substantially cause discrimination on the grounds of the worker's sex in consideration of the ratio of men and women who satisfy the criteria and other circumstances, except in cases where there is a legitimate reason to take those measures, such as cases where those measures are specifically required for the purpose of performing the business in light of the nature of the business, or cases where those measures are specifically required for the purpose of employment management in light of the status of business operations.</w:t>
      </w:r>
      <w:r>
        <w:t>”</w:t>
      </w:r>
    </w:p>
  </w:footnote>
  <w:footnote w:id="5">
    <w:p w14:paraId="4DAF65EC" w14:textId="48129185" w:rsidR="00213A3F" w:rsidRDefault="00213A3F">
      <w:pPr>
        <w:pStyle w:val="a3"/>
      </w:pPr>
      <w:r>
        <w:rPr>
          <w:rStyle w:val="a5"/>
        </w:rPr>
        <w:footnoteRef/>
      </w:r>
      <w:r>
        <w:t xml:space="preserve"> Ninth Periodic Report</w:t>
      </w:r>
      <w:r>
        <w:rPr>
          <w:rFonts w:hint="eastAsia"/>
        </w:rPr>
        <w:t xml:space="preserve"> </w:t>
      </w:r>
      <w:r>
        <w:t>on the Implementation of the Convention on the</w:t>
      </w:r>
      <w:r>
        <w:rPr>
          <w:rFonts w:hint="eastAsia"/>
        </w:rPr>
        <w:t xml:space="preserve"> </w:t>
      </w:r>
      <w:r>
        <w:t>Elimination of All Forms of Discrimination against Women, para. 5.</w:t>
      </w:r>
    </w:p>
  </w:footnote>
  <w:footnote w:id="6">
    <w:p w14:paraId="49D438DD" w14:textId="1E7A137C" w:rsidR="003073DB" w:rsidRDefault="003073DB">
      <w:pPr>
        <w:pStyle w:val="a3"/>
      </w:pPr>
      <w:r>
        <w:rPr>
          <w:rStyle w:val="a5"/>
        </w:rPr>
        <w:footnoteRef/>
      </w:r>
      <w:r>
        <w:t xml:space="preserve"> Tokyo District Court, May 13, 2024.</w:t>
      </w:r>
    </w:p>
  </w:footnote>
  <w:footnote w:id="7">
    <w:p w14:paraId="157CD44E" w14:textId="196F9D2A" w:rsidR="004A5106" w:rsidRDefault="004A5106">
      <w:pPr>
        <w:pStyle w:val="a3"/>
      </w:pPr>
      <w:r>
        <w:rPr>
          <w:rStyle w:val="a5"/>
        </w:rPr>
        <w:footnoteRef/>
      </w:r>
      <w:r>
        <w:t xml:space="preserve"> </w:t>
      </w:r>
      <w:r w:rsidRPr="004A5106">
        <w:t>CEDAW/C/JPN/CO/7-8, para. 34 (a).</w:t>
      </w:r>
    </w:p>
  </w:footnote>
  <w:footnote w:id="8">
    <w:p w14:paraId="56D6E3D1" w14:textId="6663C822" w:rsidR="004A5106" w:rsidRDefault="004A5106">
      <w:pPr>
        <w:pStyle w:val="a3"/>
      </w:pPr>
      <w:r>
        <w:rPr>
          <w:rStyle w:val="a5"/>
        </w:rPr>
        <w:footnoteRef/>
      </w:r>
      <w:r>
        <w:t xml:space="preserve"> </w:t>
      </w:r>
      <w:r w:rsidRPr="004A5106">
        <w:t xml:space="preserve">According to the 2024 White Paper on Gender Equality, women in general earned 74.8% of men’s pay, while female regular workers earned 77.5% of their male counterparts’ in 2023. (Gender Equality Bureau, Cabinet Office, </w:t>
      </w:r>
      <w:hyperlink r:id="rId2" w:history="1">
        <w:r w:rsidRPr="003C2D18">
          <w:rPr>
            <w:rStyle w:val="a6"/>
          </w:rPr>
          <w:t>https://www.gender.go.jp/about_danjo/whitepaper/r06/zentai/html/zuhyo/zuhyo02-04.html</w:t>
        </w:r>
      </w:hyperlink>
      <w:r>
        <w:t xml:space="preserve"> </w:t>
      </w:r>
      <w:r w:rsidRPr="004A5106">
        <w:t>)</w:t>
      </w:r>
      <w:r>
        <w:t>(Japanese).</w:t>
      </w:r>
    </w:p>
  </w:footnote>
  <w:footnote w:id="9">
    <w:p w14:paraId="2176890F" w14:textId="7B5DABB5" w:rsidR="004A5106" w:rsidRDefault="004A5106">
      <w:pPr>
        <w:pStyle w:val="a3"/>
      </w:pPr>
      <w:r>
        <w:rPr>
          <w:rStyle w:val="a5"/>
        </w:rPr>
        <w:footnoteRef/>
      </w:r>
      <w:r>
        <w:t xml:space="preserve"> </w:t>
      </w:r>
      <w:r w:rsidRPr="004A5106">
        <w:t xml:space="preserve">In 2021, 53.6% of women in employment was in non-regular employment, White Paper on Gender Equality 2022, </w:t>
      </w:r>
      <w:hyperlink r:id="rId3" w:history="1">
        <w:r w:rsidRPr="003C2D18">
          <w:rPr>
            <w:rStyle w:val="a6"/>
          </w:rPr>
          <w:t>https://www.gender.go.jp/about_danjo/whitepaper/r04/zentai/html/zuhyo/zuhyo02-07.html</w:t>
        </w:r>
      </w:hyperlink>
      <w:r>
        <w:t xml:space="preserve"> (Japanese).</w:t>
      </w:r>
    </w:p>
  </w:footnote>
  <w:footnote w:id="10">
    <w:p w14:paraId="2D6B2D7E" w14:textId="7BF50BCA" w:rsidR="004A5106" w:rsidRDefault="004A5106">
      <w:pPr>
        <w:pStyle w:val="a3"/>
      </w:pPr>
      <w:r>
        <w:rPr>
          <w:rStyle w:val="a5"/>
        </w:rPr>
        <w:footnoteRef/>
      </w:r>
      <w:r>
        <w:t xml:space="preserve"> 2023 Basic Survey on Wage Structure, </w:t>
      </w:r>
      <w:hyperlink r:id="rId4" w:history="1">
        <w:r w:rsidRPr="003C2D18">
          <w:rPr>
            <w:rStyle w:val="a6"/>
          </w:rPr>
          <w:t>https://www.mhlw.go.jp/toukei/itiran/roudou/chingin/kouzou/z2023/dl/06.pdf</w:t>
        </w:r>
      </w:hyperlink>
      <w:r>
        <w:t xml:space="preserve"> (Japanese). </w:t>
      </w:r>
    </w:p>
  </w:footnote>
  <w:footnote w:id="11">
    <w:p w14:paraId="161EC47C" w14:textId="0EAD43F0" w:rsidR="001D64D5" w:rsidRDefault="001D64D5">
      <w:pPr>
        <w:pStyle w:val="a3"/>
      </w:pPr>
      <w:r>
        <w:rPr>
          <w:rStyle w:val="a5"/>
        </w:rPr>
        <w:footnoteRef/>
      </w:r>
      <w:r>
        <w:t xml:space="preserve"> Supreme Court, October 13, 2020.</w:t>
      </w:r>
    </w:p>
  </w:footnote>
  <w:footnote w:id="12">
    <w:p w14:paraId="75E92482" w14:textId="6FEE2B19" w:rsidR="001D64D5" w:rsidRDefault="001D64D5">
      <w:pPr>
        <w:pStyle w:val="a3"/>
      </w:pPr>
      <w:r>
        <w:rPr>
          <w:rStyle w:val="a5"/>
        </w:rPr>
        <w:footnoteRef/>
      </w:r>
      <w:r>
        <w:t xml:space="preserve"> Metro Commerce Case, Supreme Court, October 13, 2020.</w:t>
      </w:r>
    </w:p>
  </w:footnote>
  <w:footnote w:id="13">
    <w:p w14:paraId="52AB4222" w14:textId="3DF7E387" w:rsidR="009548D7" w:rsidRDefault="009548D7">
      <w:pPr>
        <w:pStyle w:val="a3"/>
      </w:pPr>
      <w:r>
        <w:rPr>
          <w:rStyle w:val="a5"/>
        </w:rPr>
        <w:footnoteRef/>
      </w:r>
      <w:r>
        <w:t xml:space="preserve"> CEDAW/C/JPN/CO/7-8, para. 34 (b).</w:t>
      </w:r>
    </w:p>
  </w:footnote>
  <w:footnote w:id="14">
    <w:p w14:paraId="63CA6495" w14:textId="638FE459" w:rsidR="00110B52" w:rsidRDefault="00110B52">
      <w:pPr>
        <w:pStyle w:val="a3"/>
      </w:pPr>
      <w:r>
        <w:rPr>
          <w:rStyle w:val="a5"/>
        </w:rPr>
        <w:footnoteRef/>
      </w:r>
      <w:r>
        <w:t xml:space="preserve"> Ministry of Health, Labor and Welfare, </w:t>
      </w:r>
      <w:hyperlink r:id="rId5" w:history="1">
        <w:r w:rsidRPr="000A6652">
          <w:rPr>
            <w:rStyle w:val="a6"/>
          </w:rPr>
          <w:t>https://www.mhlw.go.jp/content/11909000/001250078.pdf</w:t>
        </w:r>
      </w:hyperlink>
      <w:r>
        <w:t xml:space="preserve"> (Japanese).</w:t>
      </w:r>
    </w:p>
  </w:footnote>
  <w:footnote w:id="15">
    <w:p w14:paraId="16E5EB58" w14:textId="3A793CBD" w:rsidR="00C5575A" w:rsidRDefault="00C5575A">
      <w:pPr>
        <w:pStyle w:val="a3"/>
      </w:pPr>
      <w:r>
        <w:rPr>
          <w:rStyle w:val="a5"/>
        </w:rPr>
        <w:footnoteRef/>
      </w:r>
      <w:r>
        <w:t xml:space="preserve"> Kanazawa District Court, March 26, 2015, Nagoya Appeals Court, Kanazawa Branch, April 27, 2016 (appeal rejected by the Supreme Court, May 17, 2017).</w:t>
      </w:r>
    </w:p>
  </w:footnote>
  <w:footnote w:id="16">
    <w:p w14:paraId="2479068A" w14:textId="1DD1C543" w:rsidR="00C5575A" w:rsidRDefault="00C5575A">
      <w:pPr>
        <w:pStyle w:val="a3"/>
      </w:pPr>
      <w:r>
        <w:rPr>
          <w:rStyle w:val="a5"/>
        </w:rPr>
        <w:footnoteRef/>
      </w:r>
      <w:r>
        <w:t xml:space="preserve"> Hiroshima District Court, March 17, 2011, Hiroshima Appeals Court, July 13, 2013 (appeal </w:t>
      </w:r>
      <w:r w:rsidR="00311D64">
        <w:t>rejected by the</w:t>
      </w:r>
      <w:r>
        <w:t xml:space="preserve"> Supreme </w:t>
      </w:r>
      <w:r w:rsidR="00311D64">
        <w:t>Court, March 10, 2015).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686"/>
    <w:rsid w:val="0000739D"/>
    <w:rsid w:val="00060686"/>
    <w:rsid w:val="00062B31"/>
    <w:rsid w:val="000A7154"/>
    <w:rsid w:val="000B5D1A"/>
    <w:rsid w:val="00110B52"/>
    <w:rsid w:val="0014031C"/>
    <w:rsid w:val="00157946"/>
    <w:rsid w:val="001D64D5"/>
    <w:rsid w:val="001D7FC7"/>
    <w:rsid w:val="00213A3F"/>
    <w:rsid w:val="00244FEF"/>
    <w:rsid w:val="00264262"/>
    <w:rsid w:val="002907F0"/>
    <w:rsid w:val="003073DB"/>
    <w:rsid w:val="00311D64"/>
    <w:rsid w:val="00384DD2"/>
    <w:rsid w:val="003C106B"/>
    <w:rsid w:val="00411377"/>
    <w:rsid w:val="0043577D"/>
    <w:rsid w:val="004A5106"/>
    <w:rsid w:val="004D2392"/>
    <w:rsid w:val="004D6C9E"/>
    <w:rsid w:val="00503485"/>
    <w:rsid w:val="005159EC"/>
    <w:rsid w:val="00545A91"/>
    <w:rsid w:val="005E7A8F"/>
    <w:rsid w:val="0069234F"/>
    <w:rsid w:val="006B3D22"/>
    <w:rsid w:val="0074209F"/>
    <w:rsid w:val="00772994"/>
    <w:rsid w:val="00882B10"/>
    <w:rsid w:val="008D235E"/>
    <w:rsid w:val="009548D7"/>
    <w:rsid w:val="0097005A"/>
    <w:rsid w:val="00986233"/>
    <w:rsid w:val="0098659A"/>
    <w:rsid w:val="009C1646"/>
    <w:rsid w:val="009D262B"/>
    <w:rsid w:val="009F6F1F"/>
    <w:rsid w:val="00A27EE0"/>
    <w:rsid w:val="00A956F4"/>
    <w:rsid w:val="00B353BE"/>
    <w:rsid w:val="00BC5D60"/>
    <w:rsid w:val="00C11FE1"/>
    <w:rsid w:val="00C5575A"/>
    <w:rsid w:val="00C56963"/>
    <w:rsid w:val="00C95493"/>
    <w:rsid w:val="00CD26A3"/>
    <w:rsid w:val="00D20D81"/>
    <w:rsid w:val="00D41579"/>
    <w:rsid w:val="00DC1370"/>
    <w:rsid w:val="00DD7A1B"/>
    <w:rsid w:val="00EB11FD"/>
    <w:rsid w:val="00F00620"/>
    <w:rsid w:val="00F60997"/>
    <w:rsid w:val="00F6271D"/>
    <w:rsid w:val="00F757D6"/>
    <w:rsid w:val="00F850BA"/>
    <w:rsid w:val="00F95B24"/>
    <w:rsid w:val="00FA343E"/>
    <w:rsid w:val="00FD60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63F3894"/>
  <w15:chartTrackingRefBased/>
  <w15:docId w15:val="{8CB1CACB-D4BF-4042-A72F-92E885413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9F6F1F"/>
    <w:pPr>
      <w:snapToGrid w:val="0"/>
      <w:jc w:val="left"/>
    </w:pPr>
  </w:style>
  <w:style w:type="character" w:customStyle="1" w:styleId="a4">
    <w:name w:val="脚注文字列 (文字)"/>
    <w:basedOn w:val="a0"/>
    <w:link w:val="a3"/>
    <w:uiPriority w:val="99"/>
    <w:rsid w:val="009F6F1F"/>
  </w:style>
  <w:style w:type="character" w:styleId="a5">
    <w:name w:val="footnote reference"/>
    <w:basedOn w:val="a0"/>
    <w:uiPriority w:val="99"/>
    <w:unhideWhenUsed/>
    <w:rsid w:val="009F6F1F"/>
    <w:rPr>
      <w:vertAlign w:val="superscript"/>
    </w:rPr>
  </w:style>
  <w:style w:type="character" w:styleId="a6">
    <w:name w:val="Hyperlink"/>
    <w:basedOn w:val="a0"/>
    <w:uiPriority w:val="99"/>
    <w:unhideWhenUsed/>
    <w:rsid w:val="000B5D1A"/>
    <w:rPr>
      <w:color w:val="0563C1" w:themeColor="hyperlink"/>
      <w:u w:val="single"/>
    </w:rPr>
  </w:style>
  <w:style w:type="character" w:styleId="a7">
    <w:name w:val="FollowedHyperlink"/>
    <w:basedOn w:val="a0"/>
    <w:uiPriority w:val="99"/>
    <w:semiHidden/>
    <w:unhideWhenUsed/>
    <w:rsid w:val="000B5D1A"/>
    <w:rPr>
      <w:color w:val="954F72" w:themeColor="followedHyperlink"/>
      <w:u w:val="single"/>
    </w:rPr>
  </w:style>
  <w:style w:type="character" w:styleId="a8">
    <w:name w:val="Unresolved Mention"/>
    <w:basedOn w:val="a0"/>
    <w:uiPriority w:val="99"/>
    <w:semiHidden/>
    <w:unhideWhenUsed/>
    <w:rsid w:val="004A51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gender.go.jp/about_danjo/whitepaper/r04/zentai/html/zuhyo/zuhyo02-07.html" TargetMode="External"/><Relationship Id="rId2" Type="http://schemas.openxmlformats.org/officeDocument/2006/relationships/hyperlink" Target="https://www.gender.go.jp/about_danjo/whitepaper/r06/zentai/html/zuhyo/zuhyo02-04.html" TargetMode="External"/><Relationship Id="rId1" Type="http://schemas.openxmlformats.org/officeDocument/2006/relationships/hyperlink" Target="https://www.mhlw.go.jp/general/seido/koyou/danjokintou/dl/danjyokoyou_h.pdf" TargetMode="External"/><Relationship Id="rId5" Type="http://schemas.openxmlformats.org/officeDocument/2006/relationships/hyperlink" Target="https://www.mhlw.go.jp/content/11909000/001250078.pdf" TargetMode="External"/><Relationship Id="rId4" Type="http://schemas.openxmlformats.org/officeDocument/2006/relationships/hyperlink" Target="https://www.mhlw.go.jp/toukei/itiran/roudou/chingin/kouzou/z2023/dl/06.pd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A1E472-CDF6-4CA0-BA1B-D08E05C556BD}"/>
</file>

<file path=customXml/itemProps2.xml><?xml version="1.0" encoding="utf-8"?>
<ds:datastoreItem xmlns:ds="http://schemas.openxmlformats.org/officeDocument/2006/customXml" ds:itemID="{EDF7FD57-78A7-457C-A03F-F2500D4F3C58}"/>
</file>

<file path=docProps/app.xml><?xml version="1.0" encoding="utf-8"?>
<Properties xmlns="http://schemas.openxmlformats.org/officeDocument/2006/extended-properties" xmlns:vt="http://schemas.openxmlformats.org/officeDocument/2006/docPropsVTypes">
  <Template>Normal.dotm</Template>
  <TotalTime>229</TotalTime>
  <Pages>6</Pages>
  <Words>1920</Words>
  <Characters>10946</Characters>
  <Application>Microsoft Office Word</Application>
  <DocSecurity>0</DocSecurity>
  <Lines>91</Lines>
  <Paragraphs>25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Okada J</dc:creator>
  <cp:keywords/>
  <dc:description/>
  <cp:lastModifiedBy>Okada J</cp:lastModifiedBy>
  <cp:revision>19</cp:revision>
  <dcterms:created xsi:type="dcterms:W3CDTF">2024-08-22T07:32:00Z</dcterms:created>
  <dcterms:modified xsi:type="dcterms:W3CDTF">2024-08-30T08:04:00Z</dcterms:modified>
</cp:coreProperties>
</file>