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0938" w14:textId="041E69B1" w:rsidR="00093521" w:rsidRPr="008C3DCD" w:rsidRDefault="009D6206" w:rsidP="00093521">
      <w:pPr>
        <w:pStyle w:val="HChG"/>
        <w:rPr>
          <w:lang w:val="en-US"/>
        </w:rPr>
      </w:pPr>
      <w:r>
        <w:rPr>
          <w:lang w:val="en-US"/>
        </w:rPr>
        <w:tab/>
      </w:r>
      <w:r>
        <w:rPr>
          <w:lang w:val="en-US"/>
        </w:rPr>
        <w:tab/>
      </w:r>
      <w:r w:rsidR="0021358A" w:rsidRPr="008C3DCD">
        <w:rPr>
          <w:lang w:val="en-US"/>
        </w:rPr>
        <w:t>Annex 1</w:t>
      </w:r>
    </w:p>
    <w:p w14:paraId="30988AFE" w14:textId="33112CD4" w:rsidR="0021358A" w:rsidRPr="008C3DCD" w:rsidRDefault="00093521" w:rsidP="00093521">
      <w:pPr>
        <w:pStyle w:val="HChG"/>
        <w:rPr>
          <w:lang w:val="en-US"/>
        </w:rPr>
      </w:pPr>
      <w:r w:rsidRPr="008C3DCD">
        <w:rPr>
          <w:lang w:val="en-US"/>
        </w:rPr>
        <w:tab/>
      </w:r>
      <w:r w:rsidRPr="008C3DCD">
        <w:rPr>
          <w:lang w:val="en-US"/>
        </w:rPr>
        <w:tab/>
      </w:r>
      <w:r w:rsidR="0021358A" w:rsidRPr="008C3DCD">
        <w:rPr>
          <w:lang w:val="en-US"/>
        </w:rPr>
        <w:t>Provisions on Notification to Crime Victims</w:t>
      </w:r>
    </w:p>
    <w:p w14:paraId="2B44B0F9" w14:textId="77777777" w:rsidR="004A546A" w:rsidRPr="0021358A" w:rsidRDefault="004A546A" w:rsidP="004A546A">
      <w:pPr>
        <w:pStyle w:val="SingleTxtG"/>
        <w:rPr>
          <w:lang w:val="en-US"/>
        </w:rPr>
      </w:pPr>
      <w:r w:rsidRPr="0021358A">
        <w:rPr>
          <w:b/>
          <w:bCs/>
          <w:lang w:val="en-US"/>
        </w:rPr>
        <w:t xml:space="preserve">&lt; Criminal Procedure Act &gt; </w:t>
      </w:r>
    </w:p>
    <w:p w14:paraId="05461821" w14:textId="77777777" w:rsidR="004A546A" w:rsidRPr="0021358A" w:rsidRDefault="004A546A" w:rsidP="004A546A">
      <w:pPr>
        <w:pStyle w:val="SingleTxtG"/>
        <w:rPr>
          <w:lang w:val="en-US"/>
        </w:rPr>
      </w:pPr>
      <w:r w:rsidRPr="0021358A">
        <w:rPr>
          <w:b/>
          <w:bCs/>
          <w:lang w:val="en-US"/>
        </w:rPr>
        <w:t>Article 258 (Disposition to Complainant)</w:t>
      </w:r>
      <w:r w:rsidRPr="0021358A">
        <w:rPr>
          <w:lang w:val="en-US"/>
        </w:rPr>
        <w:t xml:space="preserve"> (1) If, in a case in which a criminal complaint or accusation has been lodged, the prosecutor has decided to or not to institute a public prosecution, withdrawn public prosecution, or sent the case to a prosecutor of another prosecutors’ office pursuant to Article 256, the prosecutor shall inform the complainant or accuser in writing, of the gist thereof, within seven days after such disposition has been made.</w:t>
      </w:r>
    </w:p>
    <w:p w14:paraId="6D184B07" w14:textId="77777777" w:rsidR="004A546A" w:rsidRPr="0021358A" w:rsidRDefault="004A546A" w:rsidP="004A546A">
      <w:pPr>
        <w:pStyle w:val="SingleTxtG"/>
        <w:rPr>
          <w:lang w:val="en-US"/>
        </w:rPr>
      </w:pPr>
      <w:r w:rsidRPr="0021358A">
        <w:rPr>
          <w:lang w:val="en-US"/>
        </w:rPr>
        <w:t xml:space="preserve">(2) Where a prosecutor has decided not to institute a public prosecution or taken a disposition pursuant to Article 256, he/she shall promptly inform the criminal suspect of the gist thereof. </w:t>
      </w:r>
    </w:p>
    <w:p w14:paraId="58034FB7" w14:textId="77777777" w:rsidR="004A546A" w:rsidRPr="0021358A" w:rsidRDefault="004A546A" w:rsidP="004A546A">
      <w:pPr>
        <w:pStyle w:val="SingleTxtG"/>
        <w:rPr>
          <w:lang w:val="en-US"/>
        </w:rPr>
      </w:pPr>
      <w:r w:rsidRPr="0021358A">
        <w:rPr>
          <w:b/>
          <w:bCs/>
          <w:lang w:val="en-US"/>
        </w:rPr>
        <w:t>Article 259 (Notice not to Institute Public Prosecution to Complainant)</w:t>
      </w:r>
      <w:r w:rsidRPr="0021358A">
        <w:rPr>
          <w:lang w:val="en-US"/>
        </w:rPr>
        <w:t xml:space="preserve"> With respect to a case in which criminal complaint, accusation, or demand has been lodged, if a disposition not to institute a public prosecution has been made, the prosecutor shall, upon request of the complainant or accuser, promptly inform such complainant or accuser of the reasons therefor in writing within seven days.</w:t>
      </w:r>
    </w:p>
    <w:p w14:paraId="0C5ACE24" w14:textId="12160935" w:rsidR="004A546A" w:rsidRPr="008C3DCD" w:rsidRDefault="004A546A" w:rsidP="004A546A">
      <w:pPr>
        <w:pStyle w:val="SingleTxtG"/>
        <w:rPr>
          <w:lang w:val="en-US" w:eastAsia="zh-CN"/>
        </w:rPr>
      </w:pPr>
      <w:r w:rsidRPr="008C3DCD">
        <w:rPr>
          <w:b/>
          <w:bCs/>
          <w:lang w:val="en-US"/>
        </w:rPr>
        <w:t>Article 259-2 (Notice to Victims)</w:t>
      </w:r>
      <w:r w:rsidRPr="008C3DCD">
        <w:rPr>
          <w:lang w:val="en-US"/>
        </w:rPr>
        <w:t xml:space="preserve"> A prosecutor shall, promptly upon receiving an application from a victim of a crime or his/her legal representative (including a victim's spouse, lineal relative, and sibling, if the victim is dead), notify the applicant of whether the indictment has been instituted for the crime, the time and place of trial, the result of trial, and the facts about detention such as whether the criminal suspect or the criminal defendant is detained or released.</w:t>
      </w:r>
    </w:p>
    <w:p w14:paraId="11C01714" w14:textId="77777777" w:rsidR="004A546A" w:rsidRPr="008C3DCD" w:rsidRDefault="004A546A" w:rsidP="004A546A">
      <w:pPr>
        <w:rPr>
          <w:rFonts w:eastAsiaTheme="minorHAnsi"/>
          <w:lang w:val="en-US" w:eastAsia="zh-CN"/>
        </w:rPr>
      </w:pPr>
    </w:p>
    <w:p w14:paraId="2D836A4B" w14:textId="77777777" w:rsidR="004A546A" w:rsidRPr="008C3DCD" w:rsidRDefault="004A546A" w:rsidP="004A546A">
      <w:pPr>
        <w:rPr>
          <w:rFonts w:eastAsiaTheme="minorHAnsi"/>
          <w:lang w:val="en-US" w:eastAsia="zh-CN"/>
        </w:rPr>
      </w:pPr>
    </w:p>
    <w:p w14:paraId="5A99F5F8" w14:textId="6D05A6E7" w:rsidR="004A546A" w:rsidRPr="008C3DCD" w:rsidRDefault="004A546A">
      <w:pPr>
        <w:suppressAutoHyphens w:val="0"/>
        <w:spacing w:after="200" w:line="276" w:lineRule="auto"/>
        <w:rPr>
          <w:rFonts w:eastAsiaTheme="minorHAnsi"/>
          <w:lang w:val="en-US" w:eastAsia="zh-CN"/>
        </w:rPr>
      </w:pPr>
      <w:r w:rsidRPr="008C3DCD">
        <w:rPr>
          <w:rFonts w:eastAsiaTheme="minorHAnsi"/>
          <w:lang w:val="en-US" w:eastAsia="zh-CN"/>
        </w:rPr>
        <w:br w:type="page"/>
      </w:r>
    </w:p>
    <w:p w14:paraId="2F9C0EB8" w14:textId="77777777" w:rsidR="00280723" w:rsidRPr="008C3DCD" w:rsidRDefault="00280723" w:rsidP="009D6206">
      <w:pPr>
        <w:pStyle w:val="HChG"/>
        <w:rPr>
          <w:lang w:val="en-US"/>
        </w:rPr>
      </w:pPr>
      <w:r w:rsidRPr="008C3DCD">
        <w:rPr>
          <w:lang w:val="en-US"/>
        </w:rPr>
        <w:lastRenderedPageBreak/>
        <w:tab/>
      </w:r>
      <w:r w:rsidRPr="008C3DCD">
        <w:rPr>
          <w:lang w:val="en-US"/>
        </w:rPr>
        <w:tab/>
      </w:r>
      <w:r w:rsidR="0021358A" w:rsidRPr="008C3DCD">
        <w:rPr>
          <w:lang w:val="en-US"/>
        </w:rPr>
        <w:t>Annex 2</w:t>
      </w:r>
    </w:p>
    <w:p w14:paraId="662149DB" w14:textId="01BE50A2" w:rsidR="0021358A" w:rsidRPr="008C3DCD" w:rsidRDefault="00280723" w:rsidP="00280723">
      <w:pPr>
        <w:pStyle w:val="HChG"/>
        <w:rPr>
          <w:lang w:val="en-US"/>
        </w:rPr>
      </w:pPr>
      <w:r w:rsidRPr="008C3DCD">
        <w:rPr>
          <w:lang w:val="en-US"/>
        </w:rPr>
        <w:tab/>
      </w:r>
      <w:r w:rsidRPr="008C3DCD">
        <w:rPr>
          <w:lang w:val="en-US"/>
        </w:rPr>
        <w:tab/>
      </w:r>
      <w:r w:rsidR="0021358A" w:rsidRPr="008C3DCD">
        <w:rPr>
          <w:lang w:val="en-US"/>
        </w:rPr>
        <w:t>Provisions on the Right of Crime Victims to Make Statements in Judicial Proceedings</w:t>
      </w:r>
    </w:p>
    <w:p w14:paraId="1C44C79A" w14:textId="77777777" w:rsidR="00280723" w:rsidRPr="0021358A" w:rsidRDefault="00280723" w:rsidP="00280723">
      <w:pPr>
        <w:pStyle w:val="SingleTxtG"/>
        <w:rPr>
          <w:lang w:val="en-US"/>
        </w:rPr>
      </w:pPr>
      <w:r w:rsidRPr="0021358A">
        <w:rPr>
          <w:b/>
          <w:bCs/>
          <w:lang w:val="en-US"/>
        </w:rPr>
        <w:t xml:space="preserve">&lt; Constitution &gt; </w:t>
      </w:r>
    </w:p>
    <w:p w14:paraId="066A2582" w14:textId="15AA13B3" w:rsidR="00280723" w:rsidRPr="008C3DCD" w:rsidRDefault="00280723" w:rsidP="00280723">
      <w:pPr>
        <w:pStyle w:val="SingleTxtG"/>
        <w:rPr>
          <w:lang w:val="en-US"/>
        </w:rPr>
      </w:pPr>
      <w:r w:rsidRPr="008C3DCD">
        <w:rPr>
          <w:b/>
          <w:bCs/>
          <w:lang w:val="en-US"/>
        </w:rPr>
        <w:t xml:space="preserve">Article 27 </w:t>
      </w:r>
      <w:r w:rsidRPr="008C3DCD">
        <w:rPr>
          <w:lang w:val="en-US"/>
        </w:rPr>
        <w:t>(5) A victim of a crime shall be entitled to make a statement during the proceedings of the trial of the case involved as under the conditions prescribed by Act.</w:t>
      </w:r>
    </w:p>
    <w:p w14:paraId="7FC8561C" w14:textId="77777777" w:rsidR="00280723" w:rsidRPr="008C3DCD" w:rsidRDefault="00280723" w:rsidP="00280723">
      <w:pPr>
        <w:pStyle w:val="SingleTxtG"/>
        <w:rPr>
          <w:lang w:val="en-US" w:eastAsia="zh-CN"/>
        </w:rPr>
      </w:pPr>
    </w:p>
    <w:p w14:paraId="2242881F" w14:textId="77777777" w:rsidR="00280723" w:rsidRPr="0021358A" w:rsidRDefault="00280723" w:rsidP="00280723">
      <w:pPr>
        <w:pStyle w:val="SingleTxtG"/>
        <w:rPr>
          <w:lang w:val="en-US"/>
        </w:rPr>
      </w:pPr>
      <w:r w:rsidRPr="0021358A">
        <w:rPr>
          <w:b/>
          <w:bCs/>
          <w:lang w:val="en-US"/>
        </w:rPr>
        <w:t xml:space="preserve">&lt; Criminal Procedure Act &gt; </w:t>
      </w:r>
    </w:p>
    <w:p w14:paraId="6D6CD75D" w14:textId="77777777" w:rsidR="00280723" w:rsidRPr="0021358A" w:rsidRDefault="00280723" w:rsidP="00280723">
      <w:pPr>
        <w:pStyle w:val="SingleTxtG"/>
        <w:rPr>
          <w:lang w:val="en-US"/>
        </w:rPr>
      </w:pPr>
      <w:r w:rsidRPr="0021358A">
        <w:rPr>
          <w:b/>
          <w:bCs/>
          <w:lang w:val="en-US"/>
        </w:rPr>
        <w:t>Article 294-2 (Right of Victim to Make Statements)</w:t>
      </w:r>
      <w:r w:rsidRPr="0021358A">
        <w:rPr>
          <w:lang w:val="en-US"/>
        </w:rPr>
        <w:t xml:space="preserve"> (1) Upon receipt of a petition from a victim of a crime or his/her legal representative (including his/her spouse, lineal relative, and sibling, if the victim is dead; hereafter referred to as "victim" in this Article), the court shall admit such victim as witness for examination. (omitted)</w:t>
      </w:r>
    </w:p>
    <w:p w14:paraId="638FE49F" w14:textId="038EFD48" w:rsidR="00280723" w:rsidRPr="008C3DCD" w:rsidRDefault="00280723" w:rsidP="00280723">
      <w:pPr>
        <w:pStyle w:val="SingleTxtG"/>
        <w:rPr>
          <w:b/>
          <w:bCs/>
          <w:lang w:val="en-US"/>
        </w:rPr>
      </w:pPr>
      <w:r w:rsidRPr="0021358A">
        <w:rPr>
          <w:lang w:val="en-US"/>
        </w:rPr>
        <w:t xml:space="preserve">(2) Whenever the court examines a victim pursuant to paragraph (1), it shall give the victim </w:t>
      </w:r>
      <w:r w:rsidRPr="0021358A">
        <w:rPr>
          <w:b/>
          <w:bCs/>
          <w:lang w:val="en-US"/>
        </w:rPr>
        <w:t>an opportunity to make a statement</w:t>
      </w:r>
      <w:r w:rsidRPr="0021358A">
        <w:rPr>
          <w:lang w:val="en-US"/>
        </w:rPr>
        <w:t xml:space="preserve"> </w:t>
      </w:r>
      <w:r w:rsidRPr="0021358A">
        <w:rPr>
          <w:b/>
          <w:bCs/>
          <w:lang w:val="en-US"/>
        </w:rPr>
        <w:t xml:space="preserve">on </w:t>
      </w:r>
      <w:r w:rsidRPr="0021358A">
        <w:rPr>
          <w:lang w:val="en-US"/>
        </w:rPr>
        <w:t xml:space="preserve">the degree and result of damage, his/her opinion concerning punishment of the criminal defendant, and </w:t>
      </w:r>
      <w:r w:rsidRPr="0021358A">
        <w:rPr>
          <w:b/>
          <w:bCs/>
          <w:lang w:val="en-US"/>
        </w:rPr>
        <w:t>other matters relating to the relevant case.</w:t>
      </w:r>
    </w:p>
    <w:p w14:paraId="0395EFE2" w14:textId="77777777" w:rsidR="00280723" w:rsidRPr="008C3DCD" w:rsidRDefault="00280723" w:rsidP="00280723">
      <w:pPr>
        <w:pStyle w:val="SingleTxtG"/>
        <w:rPr>
          <w:b/>
          <w:bCs/>
          <w:lang w:val="en-US"/>
        </w:rPr>
      </w:pPr>
    </w:p>
    <w:p w14:paraId="06F03D74" w14:textId="77777777" w:rsidR="00280723" w:rsidRPr="0021358A" w:rsidRDefault="00280723" w:rsidP="00280723">
      <w:pPr>
        <w:pStyle w:val="SingleTxtG"/>
        <w:rPr>
          <w:lang w:val="en-US"/>
        </w:rPr>
      </w:pPr>
      <w:r w:rsidRPr="0021358A">
        <w:rPr>
          <w:b/>
          <w:bCs/>
          <w:lang w:val="en-US"/>
        </w:rPr>
        <w:t xml:space="preserve">&lt; Regulations on Criminal Procedure &gt; </w:t>
      </w:r>
    </w:p>
    <w:p w14:paraId="49724A61" w14:textId="77777777" w:rsidR="00280723" w:rsidRPr="0021358A" w:rsidRDefault="00280723" w:rsidP="00280723">
      <w:pPr>
        <w:pStyle w:val="SingleTxtG"/>
        <w:rPr>
          <w:lang w:val="en-US"/>
        </w:rPr>
      </w:pPr>
      <w:r w:rsidRPr="0021358A">
        <w:rPr>
          <w:b/>
          <w:bCs/>
          <w:lang w:val="en-US"/>
        </w:rPr>
        <w:t xml:space="preserve">Article 134-10 (Statement of Opinion by Victims, etc.) </w:t>
      </w:r>
      <w:r w:rsidRPr="0021358A">
        <w:rPr>
          <w:lang w:val="en-US"/>
        </w:rPr>
        <w:t xml:space="preserve">(1) The court may, when deemed necessary, either </w:t>
      </w:r>
      <w:r w:rsidRPr="0021358A">
        <w:rPr>
          <w:b/>
          <w:bCs/>
          <w:lang w:val="en-US"/>
        </w:rPr>
        <w:t>ex officio</w:t>
      </w:r>
      <w:r w:rsidRPr="0021358A">
        <w:rPr>
          <w:lang w:val="en-US"/>
        </w:rPr>
        <w:t xml:space="preserve"> or upon the </w:t>
      </w:r>
      <w:r w:rsidRPr="0021358A">
        <w:rPr>
          <w:b/>
          <w:bCs/>
          <w:lang w:val="en-US"/>
        </w:rPr>
        <w:t xml:space="preserve">request </w:t>
      </w:r>
      <w:r w:rsidRPr="0021358A">
        <w:rPr>
          <w:lang w:val="en-US"/>
        </w:rPr>
        <w:t xml:space="preserve">of the victim, etc. as prescribed in Article 294-2(1) of the Criminal Procedure Act, have the victim, etc. appear at the trial to </w:t>
      </w:r>
      <w:r w:rsidRPr="0021358A">
        <w:rPr>
          <w:b/>
          <w:bCs/>
          <w:lang w:val="en-US"/>
        </w:rPr>
        <w:t>make a statement on matters</w:t>
      </w:r>
      <w:r w:rsidRPr="0021358A">
        <w:rPr>
          <w:lang w:val="en-US"/>
        </w:rPr>
        <w:t xml:space="preserve"> prescribed in Article 294-2(2) </w:t>
      </w:r>
      <w:r w:rsidRPr="0021358A">
        <w:rPr>
          <w:b/>
          <w:bCs/>
          <w:lang w:val="en-US"/>
        </w:rPr>
        <w:t>that do not pertain to the determination of the criminal facts, without examination as a witness</w:t>
      </w:r>
      <w:r w:rsidRPr="0021358A">
        <w:rPr>
          <w:lang w:val="en-US"/>
        </w:rPr>
        <w:t>.</w:t>
      </w:r>
    </w:p>
    <w:p w14:paraId="409C50C4" w14:textId="77777777" w:rsidR="00280723" w:rsidRPr="0021358A" w:rsidRDefault="00280723" w:rsidP="00280723">
      <w:pPr>
        <w:pStyle w:val="SingleTxtG"/>
        <w:rPr>
          <w:lang w:val="en-US"/>
        </w:rPr>
      </w:pPr>
      <w:r w:rsidRPr="0021358A">
        <w:rPr>
          <w:lang w:val="en-US"/>
        </w:rPr>
        <w:t>(2) (omitted)</w:t>
      </w:r>
    </w:p>
    <w:p w14:paraId="47D34DC3" w14:textId="77777777" w:rsidR="00280723" w:rsidRPr="0021358A" w:rsidRDefault="00280723" w:rsidP="00280723">
      <w:pPr>
        <w:pStyle w:val="SingleTxtG"/>
        <w:rPr>
          <w:lang w:val="en-US"/>
        </w:rPr>
      </w:pPr>
      <w:r w:rsidRPr="0021358A">
        <w:rPr>
          <w:lang w:val="en-US"/>
        </w:rPr>
        <w:t>(3) The presiding judge may ask questions to the victim, etc. or request clarification to make the intention of the statement clear.</w:t>
      </w:r>
    </w:p>
    <w:p w14:paraId="105B1486" w14:textId="77777777" w:rsidR="00280723" w:rsidRPr="0021358A" w:rsidRDefault="00280723" w:rsidP="00280723">
      <w:pPr>
        <w:pStyle w:val="SingleTxtG"/>
        <w:rPr>
          <w:lang w:val="en-US"/>
        </w:rPr>
      </w:pPr>
      <w:r w:rsidRPr="0021358A">
        <w:rPr>
          <w:lang w:val="en-US"/>
        </w:rPr>
        <w:t>(4) (omitted)</w:t>
      </w:r>
    </w:p>
    <w:p w14:paraId="112F14A0" w14:textId="77777777" w:rsidR="00280723" w:rsidRPr="0021358A" w:rsidRDefault="00280723" w:rsidP="00280723">
      <w:pPr>
        <w:pStyle w:val="SingleTxtG"/>
        <w:rPr>
          <w:lang w:val="en-US"/>
        </w:rPr>
      </w:pPr>
      <w:r w:rsidRPr="0021358A">
        <w:rPr>
          <w:lang w:val="en-US"/>
        </w:rPr>
        <w:t>(5) The prosecutor, defendant or defense counsel may, after the statement of the victim, etc., request the presiding judge for permission to ask questions to clarify the content of the statement.</w:t>
      </w:r>
    </w:p>
    <w:p w14:paraId="5636FD97" w14:textId="77777777" w:rsidR="00280723" w:rsidRPr="0021358A" w:rsidRDefault="00280723" w:rsidP="00280723">
      <w:pPr>
        <w:pStyle w:val="SingleTxtG"/>
        <w:rPr>
          <w:lang w:val="en-US"/>
        </w:rPr>
      </w:pPr>
      <w:r w:rsidRPr="0021358A">
        <w:rPr>
          <w:lang w:val="en-US"/>
        </w:rPr>
        <w:t xml:space="preserve">(6) The presiding judge may </w:t>
      </w:r>
      <w:r w:rsidRPr="0021358A">
        <w:rPr>
          <w:b/>
          <w:bCs/>
          <w:lang w:val="en-US"/>
        </w:rPr>
        <w:t xml:space="preserve">restrict </w:t>
      </w:r>
      <w:r w:rsidRPr="0021358A">
        <w:rPr>
          <w:lang w:val="en-US"/>
        </w:rPr>
        <w:t>the statement of opinion or the questioning of the victim, etc. by the prosecutor, defendant, or defense counsel in the following cases:</w:t>
      </w:r>
    </w:p>
    <w:p w14:paraId="16AB5DEE" w14:textId="77777777" w:rsidR="00280723" w:rsidRPr="0021358A" w:rsidRDefault="00280723" w:rsidP="00280723">
      <w:pPr>
        <w:pStyle w:val="SingleTxtG"/>
        <w:rPr>
          <w:lang w:val="en-US"/>
        </w:rPr>
      </w:pPr>
      <w:r w:rsidRPr="0021358A">
        <w:rPr>
          <w:lang w:val="en-US"/>
        </w:rPr>
        <w:t xml:space="preserve">1. When it is deemed that the victim, etc. or the victim's attorney has already sufficiently stated their opinion on the case and there is no need for </w:t>
      </w:r>
      <w:proofErr w:type="gramStart"/>
      <w:r w:rsidRPr="0021358A">
        <w:rPr>
          <w:lang w:val="en-US"/>
        </w:rPr>
        <w:t>repetition;</w:t>
      </w:r>
      <w:proofErr w:type="gramEnd"/>
    </w:p>
    <w:p w14:paraId="473F1F4B" w14:textId="77777777" w:rsidR="00280723" w:rsidRPr="0021358A" w:rsidRDefault="00280723" w:rsidP="00280723">
      <w:pPr>
        <w:pStyle w:val="SingleTxtG"/>
        <w:rPr>
          <w:lang w:val="en-US"/>
        </w:rPr>
      </w:pPr>
      <w:r w:rsidRPr="0021358A">
        <w:rPr>
          <w:lang w:val="en-US"/>
        </w:rPr>
        <w:t xml:space="preserve">2. When the opinion statement or questions are likely to significantly delay the trial </w:t>
      </w:r>
      <w:proofErr w:type="gramStart"/>
      <w:r w:rsidRPr="0021358A">
        <w:rPr>
          <w:lang w:val="en-US"/>
        </w:rPr>
        <w:t>proceedings;</w:t>
      </w:r>
      <w:proofErr w:type="gramEnd"/>
      <w:r w:rsidRPr="0021358A">
        <w:rPr>
          <w:lang w:val="en-US"/>
        </w:rPr>
        <w:t xml:space="preserve"> </w:t>
      </w:r>
    </w:p>
    <w:p w14:paraId="5BA0640D" w14:textId="77777777" w:rsidR="00280723" w:rsidRPr="0021358A" w:rsidRDefault="00280723" w:rsidP="00280723">
      <w:pPr>
        <w:pStyle w:val="SingleTxtG"/>
        <w:rPr>
          <w:lang w:val="en-US"/>
        </w:rPr>
      </w:pPr>
      <w:r w:rsidRPr="0021358A">
        <w:rPr>
          <w:lang w:val="en-US"/>
        </w:rPr>
        <w:t>3. When the opinion statement or questions are deemed unrelated to the case; or</w:t>
      </w:r>
    </w:p>
    <w:p w14:paraId="332B1E77" w14:textId="77777777" w:rsidR="00280723" w:rsidRPr="0021358A" w:rsidRDefault="00280723" w:rsidP="00280723">
      <w:pPr>
        <w:pStyle w:val="SingleTxtG"/>
        <w:rPr>
          <w:lang w:val="en-US"/>
        </w:rPr>
      </w:pPr>
      <w:r w:rsidRPr="0021358A">
        <w:rPr>
          <w:lang w:val="en-US"/>
        </w:rPr>
        <w:t>4. When the content pertains to the determination of criminal facts or is otherwise deemed inappropriate as a statement of opinion by the victim, etc.</w:t>
      </w:r>
    </w:p>
    <w:p w14:paraId="183C899C" w14:textId="77777777" w:rsidR="00280723" w:rsidRPr="0021358A" w:rsidRDefault="00280723" w:rsidP="00280723">
      <w:pPr>
        <w:pStyle w:val="SingleTxtG"/>
        <w:rPr>
          <w:lang w:val="en-US"/>
        </w:rPr>
      </w:pPr>
      <w:r w:rsidRPr="0021358A">
        <w:rPr>
          <w:b/>
          <w:bCs/>
          <w:lang w:val="en-US"/>
        </w:rPr>
        <w:t xml:space="preserve">Article 134-11 (Submission of Written Opinion in Lieu of Oral Statement) </w:t>
      </w:r>
      <w:r w:rsidRPr="0021358A">
        <w:rPr>
          <w:lang w:val="en-US"/>
        </w:rPr>
        <w:t xml:space="preserve">(1) The presiding judge may, considering the progress of the trial or other circumstances, allow the victim, etc. to </w:t>
      </w:r>
      <w:r w:rsidRPr="0021358A">
        <w:rPr>
          <w:b/>
          <w:bCs/>
          <w:lang w:val="en-US"/>
        </w:rPr>
        <w:t>submit a written document containing their opinion in lieu of an oral statement</w:t>
      </w:r>
      <w:r w:rsidRPr="0021358A">
        <w:rPr>
          <w:lang w:val="en-US"/>
        </w:rPr>
        <w:t xml:space="preserve"> under Article 134-10, paragraph 1.</w:t>
      </w:r>
    </w:p>
    <w:p w14:paraId="6577D8FF" w14:textId="77777777" w:rsidR="00280723" w:rsidRPr="008C3DCD" w:rsidRDefault="00280723" w:rsidP="00280723">
      <w:pPr>
        <w:pStyle w:val="SingleTxtG"/>
        <w:rPr>
          <w:lang w:val="en-US"/>
        </w:rPr>
      </w:pPr>
      <w:r w:rsidRPr="0021358A">
        <w:rPr>
          <w:lang w:val="en-US"/>
        </w:rPr>
        <w:t>(2) (omitted)</w:t>
      </w:r>
    </w:p>
    <w:p w14:paraId="4F94C030" w14:textId="189DCF1A" w:rsidR="00280723" w:rsidRDefault="00280723" w:rsidP="00280723">
      <w:pPr>
        <w:pStyle w:val="SingleTxtG"/>
        <w:rPr>
          <w:lang w:val="en-US"/>
        </w:rPr>
      </w:pPr>
      <w:r w:rsidRPr="0021358A">
        <w:rPr>
          <w:lang w:val="en-US"/>
        </w:rPr>
        <w:lastRenderedPageBreak/>
        <w:t>(3) When a written opinion is submitted under paragraph 1, the presiding judge shall clarify its intent at the trial. In such cases, the presiding judge may read the written statement aloud or summarize its contents if deemed appropriate.</w:t>
      </w:r>
    </w:p>
    <w:p w14:paraId="64BD6993" w14:textId="51882B41" w:rsidR="009D6206" w:rsidRDefault="009D6206">
      <w:pPr>
        <w:suppressAutoHyphens w:val="0"/>
        <w:spacing w:after="200" w:line="276" w:lineRule="auto"/>
        <w:rPr>
          <w:rFonts w:eastAsiaTheme="minorHAnsi"/>
          <w:lang w:val="en-US"/>
        </w:rPr>
      </w:pPr>
      <w:r>
        <w:rPr>
          <w:lang w:val="en-US"/>
        </w:rPr>
        <w:br w:type="page"/>
      </w:r>
    </w:p>
    <w:p w14:paraId="705F8F8A" w14:textId="487DFA6A" w:rsidR="009D6206" w:rsidRDefault="009D6206" w:rsidP="009D6206">
      <w:pPr>
        <w:pStyle w:val="HChG"/>
        <w:rPr>
          <w:lang w:val="en-US"/>
        </w:rPr>
      </w:pPr>
      <w:r>
        <w:rPr>
          <w:lang w:val="en-US"/>
        </w:rPr>
        <w:lastRenderedPageBreak/>
        <w:tab/>
      </w:r>
      <w:r>
        <w:rPr>
          <w:lang w:val="en-US"/>
        </w:rPr>
        <w:tab/>
      </w:r>
      <w:r>
        <w:rPr>
          <w:lang w:val="en-US"/>
        </w:rPr>
        <w:t xml:space="preserve">Annex 3 </w:t>
      </w:r>
    </w:p>
    <w:p w14:paraId="6C06D18B" w14:textId="550A2385" w:rsidR="009D6206" w:rsidRPr="006C0E1E" w:rsidRDefault="009D6206" w:rsidP="009D6206">
      <w:pPr>
        <w:pStyle w:val="HChG"/>
        <w:ind w:firstLine="0"/>
        <w:rPr>
          <w:lang w:val="en-US"/>
        </w:rPr>
      </w:pPr>
      <w:r w:rsidRPr="006C0E1E">
        <w:rPr>
          <w:lang w:val="en-US"/>
        </w:rPr>
        <w:t xml:space="preserve">Comparison before and after the introduction of </w:t>
      </w:r>
      <w:proofErr w:type="gramStart"/>
      <w:r w:rsidRPr="006C0E1E">
        <w:rPr>
          <w:lang w:val="en-US"/>
        </w:rPr>
        <w:t>open-type</w:t>
      </w:r>
      <w:proofErr w:type="gramEnd"/>
      <w:r w:rsidRPr="006C0E1E">
        <w:rPr>
          <w:lang w:val="en-US"/>
        </w:rPr>
        <w:t xml:space="preserve"> </w:t>
      </w:r>
      <w:r w:rsidRPr="006C0E1E">
        <w:rPr>
          <w:noProof/>
          <w:lang w:val="en-US"/>
        </w:rPr>
        <w:drawing>
          <wp:anchor distT="0" distB="0" distL="114300" distR="114300" simplePos="0" relativeHeight="251659264" behindDoc="0" locked="0" layoutInCell="1" allowOverlap="1" wp14:anchorId="7EA06757" wp14:editId="3C4989EA">
            <wp:simplePos x="0" y="0"/>
            <wp:positionH relativeFrom="column">
              <wp:posOffset>718820</wp:posOffset>
            </wp:positionH>
            <wp:positionV relativeFrom="line">
              <wp:posOffset>361315</wp:posOffset>
            </wp:positionV>
            <wp:extent cx="4697730" cy="1994535"/>
            <wp:effectExtent l="0" t="0" r="7620" b="5715"/>
            <wp:wrapTopAndBottom/>
            <wp:docPr id="1526285789" name="Picture 8" descr="A blurry image of a room with glass w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08519" name="Picture 8" descr="A blurry image of a room with glass walls&#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r="50027"/>
                    <a:stretch/>
                  </pic:blipFill>
                  <pic:spPr bwMode="auto">
                    <a:xfrm>
                      <a:off x="0" y="0"/>
                      <a:ext cx="4697730" cy="1994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0E1E">
        <w:rPr>
          <w:lang w:val="en-US"/>
        </w:rPr>
        <w:t>protective Facilities</w:t>
      </w:r>
    </w:p>
    <w:p w14:paraId="5CA1A9F2" w14:textId="77777777" w:rsidR="009D6206" w:rsidRDefault="009D6206" w:rsidP="009D6206">
      <w:pPr>
        <w:pStyle w:val="SingleTxtG"/>
        <w:rPr>
          <w:b/>
          <w:bCs/>
          <w:highlight w:val="yellow"/>
          <w:lang w:val="en-US"/>
        </w:rPr>
      </w:pPr>
      <w:r w:rsidRPr="00DD656F">
        <w:rPr>
          <w:lang w:val="en-US"/>
        </w:rPr>
        <w:t>▲ Protection room before the removal of iron bars</w:t>
      </w:r>
    </w:p>
    <w:p w14:paraId="41018AD8" w14:textId="77777777" w:rsidR="009D6206" w:rsidRDefault="009D6206" w:rsidP="009D6206">
      <w:pPr>
        <w:pStyle w:val="SingleTxtG"/>
        <w:ind w:left="0"/>
        <w:rPr>
          <w:lang w:val="en-US"/>
        </w:rPr>
      </w:pPr>
      <w:r w:rsidRPr="008C3DCD">
        <w:rPr>
          <w:noProof/>
          <w:highlight w:val="yellow"/>
          <w:lang w:val="en-US"/>
        </w:rPr>
        <w:drawing>
          <wp:anchor distT="0" distB="0" distL="114300" distR="114300" simplePos="0" relativeHeight="251660288" behindDoc="0" locked="0" layoutInCell="1" allowOverlap="1" wp14:anchorId="01606179" wp14:editId="6987FDFA">
            <wp:simplePos x="0" y="0"/>
            <wp:positionH relativeFrom="column">
              <wp:posOffset>718185</wp:posOffset>
            </wp:positionH>
            <wp:positionV relativeFrom="line">
              <wp:posOffset>365760</wp:posOffset>
            </wp:positionV>
            <wp:extent cx="4697095" cy="2036445"/>
            <wp:effectExtent l="0" t="0" r="8255" b="1905"/>
            <wp:wrapTopAndBottom/>
            <wp:docPr id="198094519" name="Picture 8" descr="A blurry image of a room with glass w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08519" name="Picture 8" descr="A blurry image of a room with glass walls&#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51069"/>
                    <a:stretch/>
                  </pic:blipFill>
                  <pic:spPr bwMode="auto">
                    <a:xfrm>
                      <a:off x="0" y="0"/>
                      <a:ext cx="4697095" cy="203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3869D1" w14:textId="77777777" w:rsidR="009D6206" w:rsidRDefault="009D6206" w:rsidP="009D6206">
      <w:pPr>
        <w:pStyle w:val="SingleTxtG"/>
        <w:rPr>
          <w:lang w:val="en-US"/>
        </w:rPr>
      </w:pPr>
      <w:r w:rsidRPr="00415357">
        <w:rPr>
          <w:lang w:val="en-US"/>
        </w:rPr>
        <w:t>▲ Open-type protection room after the removal of iron bars</w:t>
      </w:r>
    </w:p>
    <w:p w14:paraId="56405F99" w14:textId="77777777" w:rsidR="009D6206" w:rsidRPr="00770252" w:rsidRDefault="009D6206" w:rsidP="009D6206">
      <w:pPr>
        <w:rPr>
          <w:lang w:val="en-US"/>
        </w:rPr>
      </w:pPr>
    </w:p>
    <w:p w14:paraId="6FF04A4E" w14:textId="77777777" w:rsidR="009D6206" w:rsidRPr="0021358A" w:rsidRDefault="009D6206" w:rsidP="00280723">
      <w:pPr>
        <w:pStyle w:val="SingleTxtG"/>
        <w:rPr>
          <w:lang w:val="en-US"/>
        </w:rPr>
      </w:pPr>
    </w:p>
    <w:sectPr w:rsidR="009D6206" w:rsidRPr="0021358A" w:rsidSect="005C06D4">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12E3F" w14:textId="77777777" w:rsidR="008B5182" w:rsidRDefault="008B5182" w:rsidP="00F95C08">
      <w:pPr>
        <w:spacing w:line="240" w:lineRule="auto"/>
      </w:pPr>
    </w:p>
  </w:endnote>
  <w:endnote w:type="continuationSeparator" w:id="0">
    <w:p w14:paraId="142838E4" w14:textId="77777777" w:rsidR="008B5182" w:rsidRPr="00AC3823" w:rsidRDefault="008B5182" w:rsidP="00AC3823">
      <w:pPr>
        <w:pStyle w:val="Footer"/>
      </w:pPr>
    </w:p>
  </w:endnote>
  <w:endnote w:type="continuationNotice" w:id="1">
    <w:p w14:paraId="3FDEFEE7" w14:textId="77777777" w:rsidR="008B5182" w:rsidRDefault="008B51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함초롬바탕">
    <w:altName w:val="Batang"/>
    <w:charset w:val="81"/>
    <w:family w:val="roman"/>
    <w:pitch w:val="variable"/>
    <w:sig w:usb0="F7002EFF" w:usb1="19DFFFFF" w:usb2="001BFDD7" w:usb3="00000000" w:csb0="001F01FF" w:csb1="00000000"/>
  </w:font>
  <w:font w:name="한컴돋움">
    <w:altName w:val="Batang"/>
    <w:panose1 w:val="00000000000000000000"/>
    <w:charset w:val="81"/>
    <w:family w:val="roman"/>
    <w:notTrueType/>
    <w:pitch w:val="default"/>
    <w:sig w:usb0="00000001" w:usb1="09060000" w:usb2="00000010" w:usb3="00000000" w:csb0="00080000" w:csb1="00000000"/>
  </w:font>
  <w:font w:name="-윤고딕330">
    <w:altName w:val="Batang"/>
    <w:panose1 w:val="00000000000000000000"/>
    <w:charset w:val="81"/>
    <w:family w:val="roman"/>
    <w:notTrueType/>
    <w:pitch w:val="default"/>
    <w:sig w:usb0="00000001" w:usb1="09060000" w:usb2="00000010" w:usb3="00000000" w:csb0="00080000" w:csb1="00000000"/>
  </w:font>
  <w:font w:name="-윤고딕320">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E4452" w14:textId="77777777" w:rsidR="006056E0" w:rsidRDefault="001266FE"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6637D3">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F672B"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4C2237">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B2C9F" w14:textId="77777777" w:rsidR="008F69EF" w:rsidRPr="006A2080" w:rsidRDefault="001266FE" w:rsidP="008F69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CAD5B18" wp14:editId="218C9F9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FC" w:rsidRPr="006A2080">
      <w:rPr>
        <w:sz w:val="20"/>
      </w:rPr>
      <w:t>GE.</w:t>
    </w:r>
    <w:r w:rsidR="00CB56FC" w:rsidRPr="006A2080">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4637B" w14:paraId="02EC7B78" w14:textId="77777777" w:rsidTr="004B66EA">
      <w:tc>
        <w:tcPr>
          <w:tcW w:w="1848" w:type="dxa"/>
          <w:vAlign w:val="bottom"/>
        </w:tcPr>
        <w:p w14:paraId="177B9752" w14:textId="77777777" w:rsidR="008F69EF" w:rsidRPr="008F69EF" w:rsidRDefault="001266FE"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val="fr-CH" w:eastAsia="fr-CH"/>
            </w:rPr>
            <w:drawing>
              <wp:inline distT="0" distB="0" distL="0" distR="0" wp14:anchorId="2AD3C8C3" wp14:editId="19C9B74F">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7B68EA2B" w14:textId="77777777"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p>
      </w:tc>
    </w:tr>
  </w:tbl>
  <w:p w14:paraId="45496A35" w14:textId="77777777" w:rsidR="006056E0" w:rsidRDefault="006056E0"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B2E51" w14:textId="77777777" w:rsidR="008B5182" w:rsidRPr="00AC3823" w:rsidRDefault="008B5182" w:rsidP="00AC3823">
      <w:pPr>
        <w:pStyle w:val="Footer"/>
        <w:tabs>
          <w:tab w:val="right" w:pos="2155"/>
        </w:tabs>
        <w:spacing w:after="80" w:line="240" w:lineRule="atLeast"/>
        <w:ind w:left="680"/>
        <w:rPr>
          <w:u w:val="single"/>
        </w:rPr>
      </w:pPr>
      <w:r>
        <w:rPr>
          <w:u w:val="single"/>
        </w:rPr>
        <w:tab/>
      </w:r>
    </w:p>
  </w:footnote>
  <w:footnote w:type="continuationSeparator" w:id="0">
    <w:p w14:paraId="117B31C9" w14:textId="77777777" w:rsidR="008B5182" w:rsidRPr="00AC3823" w:rsidRDefault="008B5182" w:rsidP="00AC3823">
      <w:pPr>
        <w:pStyle w:val="Footer"/>
        <w:tabs>
          <w:tab w:val="right" w:pos="2155"/>
        </w:tabs>
        <w:spacing w:after="80" w:line="240" w:lineRule="atLeast"/>
        <w:ind w:left="680"/>
        <w:rPr>
          <w:u w:val="single"/>
        </w:rPr>
      </w:pPr>
      <w:r>
        <w:rPr>
          <w:u w:val="single"/>
        </w:rPr>
        <w:tab/>
      </w:r>
    </w:p>
  </w:footnote>
  <w:footnote w:type="continuationNotice" w:id="1">
    <w:p w14:paraId="10985E9F" w14:textId="77777777" w:rsidR="008B5182" w:rsidRPr="00AC3823" w:rsidRDefault="008B518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6DA03" w14:textId="439331A3" w:rsidR="005B6BC9" w:rsidRDefault="005B6BC9" w:rsidP="005B6BC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537B6"/>
    <w:multiLevelType w:val="hybridMultilevel"/>
    <w:tmpl w:val="F00246EC"/>
    <w:lvl w:ilvl="0" w:tplc="20000001">
      <w:start w:val="1"/>
      <w:numFmt w:val="bullet"/>
      <w:lvlText w:val=""/>
      <w:lvlJc w:val="left"/>
      <w:pPr>
        <w:ind w:left="2214" w:hanging="360"/>
      </w:pPr>
      <w:rPr>
        <w:rFonts w:ascii="Symbol" w:hAnsi="Symbol" w:hint="default"/>
      </w:rPr>
    </w:lvl>
    <w:lvl w:ilvl="1" w:tplc="20000003" w:tentative="1">
      <w:start w:val="1"/>
      <w:numFmt w:val="bullet"/>
      <w:lvlText w:val="o"/>
      <w:lvlJc w:val="left"/>
      <w:pPr>
        <w:ind w:left="2934" w:hanging="360"/>
      </w:pPr>
      <w:rPr>
        <w:rFonts w:ascii="Courier New" w:hAnsi="Courier New" w:cs="Courier New" w:hint="default"/>
      </w:rPr>
    </w:lvl>
    <w:lvl w:ilvl="2" w:tplc="20000001">
      <w:start w:val="1"/>
      <w:numFmt w:val="bullet"/>
      <w:lvlText w:val=""/>
      <w:lvlJc w:val="left"/>
      <w:pPr>
        <w:ind w:left="3654" w:hanging="360"/>
      </w:pPr>
      <w:rPr>
        <w:rFonts w:ascii="Symbol" w:hAnsi="Symbol" w:hint="default"/>
      </w:rPr>
    </w:lvl>
    <w:lvl w:ilvl="3" w:tplc="20000001" w:tentative="1">
      <w:start w:val="1"/>
      <w:numFmt w:val="bullet"/>
      <w:lvlText w:val=""/>
      <w:lvlJc w:val="left"/>
      <w:pPr>
        <w:ind w:left="4374" w:hanging="360"/>
      </w:pPr>
      <w:rPr>
        <w:rFonts w:ascii="Symbol" w:hAnsi="Symbol" w:hint="default"/>
      </w:rPr>
    </w:lvl>
    <w:lvl w:ilvl="4" w:tplc="20000003" w:tentative="1">
      <w:start w:val="1"/>
      <w:numFmt w:val="bullet"/>
      <w:lvlText w:val="o"/>
      <w:lvlJc w:val="left"/>
      <w:pPr>
        <w:ind w:left="5094" w:hanging="360"/>
      </w:pPr>
      <w:rPr>
        <w:rFonts w:ascii="Courier New" w:hAnsi="Courier New" w:cs="Courier New" w:hint="default"/>
      </w:rPr>
    </w:lvl>
    <w:lvl w:ilvl="5" w:tplc="20000005" w:tentative="1">
      <w:start w:val="1"/>
      <w:numFmt w:val="bullet"/>
      <w:lvlText w:val=""/>
      <w:lvlJc w:val="left"/>
      <w:pPr>
        <w:ind w:left="5814" w:hanging="360"/>
      </w:pPr>
      <w:rPr>
        <w:rFonts w:ascii="Wingdings" w:hAnsi="Wingdings" w:hint="default"/>
      </w:rPr>
    </w:lvl>
    <w:lvl w:ilvl="6" w:tplc="20000001" w:tentative="1">
      <w:start w:val="1"/>
      <w:numFmt w:val="bullet"/>
      <w:lvlText w:val=""/>
      <w:lvlJc w:val="left"/>
      <w:pPr>
        <w:ind w:left="6534" w:hanging="360"/>
      </w:pPr>
      <w:rPr>
        <w:rFonts w:ascii="Symbol" w:hAnsi="Symbol" w:hint="default"/>
      </w:rPr>
    </w:lvl>
    <w:lvl w:ilvl="7" w:tplc="20000003" w:tentative="1">
      <w:start w:val="1"/>
      <w:numFmt w:val="bullet"/>
      <w:lvlText w:val="o"/>
      <w:lvlJc w:val="left"/>
      <w:pPr>
        <w:ind w:left="7254" w:hanging="360"/>
      </w:pPr>
      <w:rPr>
        <w:rFonts w:ascii="Courier New" w:hAnsi="Courier New" w:cs="Courier New" w:hint="default"/>
      </w:rPr>
    </w:lvl>
    <w:lvl w:ilvl="8" w:tplc="20000005" w:tentative="1">
      <w:start w:val="1"/>
      <w:numFmt w:val="bullet"/>
      <w:lvlText w:val=""/>
      <w:lvlJc w:val="left"/>
      <w:pPr>
        <w:ind w:left="7974" w:hanging="360"/>
      </w:pPr>
      <w:rPr>
        <w:rFonts w:ascii="Wingdings" w:hAnsi="Wingdings" w:hint="default"/>
      </w:rPr>
    </w:lvl>
  </w:abstractNum>
  <w:abstractNum w:abstractNumId="11" w15:restartNumberingAfterBreak="0">
    <w:nsid w:val="0D954887"/>
    <w:multiLevelType w:val="hybridMultilevel"/>
    <w:tmpl w:val="2B362816"/>
    <w:lvl w:ilvl="0" w:tplc="F8186B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8A7B34" w:tentative="1">
      <w:start w:val="1"/>
      <w:numFmt w:val="lowerLetter"/>
      <w:lvlText w:val="%2."/>
      <w:lvlJc w:val="left"/>
      <w:pPr>
        <w:tabs>
          <w:tab w:val="num" w:pos="1440"/>
        </w:tabs>
        <w:ind w:left="1440" w:hanging="360"/>
      </w:pPr>
    </w:lvl>
    <w:lvl w:ilvl="2" w:tplc="0870F840" w:tentative="1">
      <w:start w:val="1"/>
      <w:numFmt w:val="lowerRoman"/>
      <w:lvlText w:val="%3."/>
      <w:lvlJc w:val="right"/>
      <w:pPr>
        <w:tabs>
          <w:tab w:val="num" w:pos="2160"/>
        </w:tabs>
        <w:ind w:left="2160" w:hanging="180"/>
      </w:pPr>
    </w:lvl>
    <w:lvl w:ilvl="3" w:tplc="69D6C5AC" w:tentative="1">
      <w:start w:val="1"/>
      <w:numFmt w:val="decimal"/>
      <w:lvlText w:val="%4."/>
      <w:lvlJc w:val="left"/>
      <w:pPr>
        <w:tabs>
          <w:tab w:val="num" w:pos="2880"/>
        </w:tabs>
        <w:ind w:left="2880" w:hanging="360"/>
      </w:pPr>
    </w:lvl>
    <w:lvl w:ilvl="4" w:tplc="FBC42960" w:tentative="1">
      <w:start w:val="1"/>
      <w:numFmt w:val="lowerLetter"/>
      <w:lvlText w:val="%5."/>
      <w:lvlJc w:val="left"/>
      <w:pPr>
        <w:tabs>
          <w:tab w:val="num" w:pos="3600"/>
        </w:tabs>
        <w:ind w:left="3600" w:hanging="360"/>
      </w:pPr>
    </w:lvl>
    <w:lvl w:ilvl="5" w:tplc="CADCEAB6" w:tentative="1">
      <w:start w:val="1"/>
      <w:numFmt w:val="lowerRoman"/>
      <w:lvlText w:val="%6."/>
      <w:lvlJc w:val="right"/>
      <w:pPr>
        <w:tabs>
          <w:tab w:val="num" w:pos="4320"/>
        </w:tabs>
        <w:ind w:left="4320" w:hanging="180"/>
      </w:pPr>
    </w:lvl>
    <w:lvl w:ilvl="6" w:tplc="CEFC2188" w:tentative="1">
      <w:start w:val="1"/>
      <w:numFmt w:val="decimal"/>
      <w:lvlText w:val="%7."/>
      <w:lvlJc w:val="left"/>
      <w:pPr>
        <w:tabs>
          <w:tab w:val="num" w:pos="5040"/>
        </w:tabs>
        <w:ind w:left="5040" w:hanging="360"/>
      </w:pPr>
    </w:lvl>
    <w:lvl w:ilvl="7" w:tplc="A26EF6E6" w:tentative="1">
      <w:start w:val="1"/>
      <w:numFmt w:val="lowerLetter"/>
      <w:lvlText w:val="%8."/>
      <w:lvlJc w:val="left"/>
      <w:pPr>
        <w:tabs>
          <w:tab w:val="num" w:pos="5760"/>
        </w:tabs>
        <w:ind w:left="5760" w:hanging="360"/>
      </w:pPr>
    </w:lvl>
    <w:lvl w:ilvl="8" w:tplc="740C888A" w:tentative="1">
      <w:start w:val="1"/>
      <w:numFmt w:val="lowerRoman"/>
      <w:lvlText w:val="%9."/>
      <w:lvlJc w:val="right"/>
      <w:pPr>
        <w:tabs>
          <w:tab w:val="num" w:pos="6480"/>
        </w:tabs>
        <w:ind w:left="6480" w:hanging="180"/>
      </w:pPr>
    </w:lvl>
  </w:abstractNum>
  <w:abstractNum w:abstractNumId="12" w15:restartNumberingAfterBreak="0">
    <w:nsid w:val="1D8A77C7"/>
    <w:multiLevelType w:val="hybridMultilevel"/>
    <w:tmpl w:val="40EAD7FA"/>
    <w:lvl w:ilvl="0" w:tplc="2000000F">
      <w:start w:val="1"/>
      <w:numFmt w:val="decimal"/>
      <w:lvlText w:val="%1."/>
      <w:lvlJc w:val="left"/>
      <w:pPr>
        <w:ind w:left="1854" w:hanging="360"/>
      </w:pPr>
    </w:lvl>
    <w:lvl w:ilvl="1" w:tplc="20000019">
      <w:start w:val="1"/>
      <w:numFmt w:val="lowerLetter"/>
      <w:lvlText w:val="%2."/>
      <w:lvlJc w:val="left"/>
      <w:pPr>
        <w:ind w:left="2574" w:hanging="360"/>
      </w:pPr>
    </w:lvl>
    <w:lvl w:ilvl="2" w:tplc="4F6EB49C">
      <w:numFmt w:val="bullet"/>
      <w:lvlText w:val="-"/>
      <w:lvlJc w:val="left"/>
      <w:pPr>
        <w:ind w:left="3474" w:hanging="360"/>
      </w:pPr>
      <w:rPr>
        <w:rFonts w:ascii="Times New Roman" w:eastAsiaTheme="minorHAnsi" w:hAnsi="Times New Roman" w:cs="Times New Roman" w:hint="default"/>
      </w:r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3ACF4EB2"/>
    <w:multiLevelType w:val="hybridMultilevel"/>
    <w:tmpl w:val="CB6C816A"/>
    <w:lvl w:ilvl="0" w:tplc="1C8EB318">
      <w:start w:val="1"/>
      <w:numFmt w:val="bullet"/>
      <w:pStyle w:val="Bullet2G"/>
      <w:lvlText w:val="•"/>
      <w:lvlJc w:val="left"/>
      <w:pPr>
        <w:tabs>
          <w:tab w:val="num" w:pos="2268"/>
        </w:tabs>
        <w:ind w:left="2268" w:hanging="170"/>
      </w:pPr>
      <w:rPr>
        <w:rFonts w:ascii="Times New Roman" w:hAnsi="Times New Roman" w:cs="Times New Roman" w:hint="default"/>
      </w:rPr>
    </w:lvl>
    <w:lvl w:ilvl="1" w:tplc="524A5762" w:tentative="1">
      <w:start w:val="1"/>
      <w:numFmt w:val="bullet"/>
      <w:lvlText w:val="o"/>
      <w:lvlJc w:val="left"/>
      <w:pPr>
        <w:tabs>
          <w:tab w:val="num" w:pos="3708"/>
        </w:tabs>
        <w:ind w:left="3708" w:hanging="360"/>
      </w:pPr>
      <w:rPr>
        <w:rFonts w:ascii="Courier New" w:hAnsi="Courier New" w:hint="default"/>
      </w:rPr>
    </w:lvl>
    <w:lvl w:ilvl="2" w:tplc="C26C5C62" w:tentative="1">
      <w:start w:val="1"/>
      <w:numFmt w:val="bullet"/>
      <w:lvlText w:val=""/>
      <w:lvlJc w:val="left"/>
      <w:pPr>
        <w:tabs>
          <w:tab w:val="num" w:pos="4428"/>
        </w:tabs>
        <w:ind w:left="4428" w:hanging="360"/>
      </w:pPr>
      <w:rPr>
        <w:rFonts w:ascii="Wingdings" w:hAnsi="Wingdings" w:hint="default"/>
      </w:rPr>
    </w:lvl>
    <w:lvl w:ilvl="3" w:tplc="897E12B6" w:tentative="1">
      <w:start w:val="1"/>
      <w:numFmt w:val="bullet"/>
      <w:lvlText w:val=""/>
      <w:lvlJc w:val="left"/>
      <w:pPr>
        <w:tabs>
          <w:tab w:val="num" w:pos="5148"/>
        </w:tabs>
        <w:ind w:left="5148" w:hanging="360"/>
      </w:pPr>
      <w:rPr>
        <w:rFonts w:ascii="Symbol" w:hAnsi="Symbol" w:hint="default"/>
      </w:rPr>
    </w:lvl>
    <w:lvl w:ilvl="4" w:tplc="4510E5B6" w:tentative="1">
      <w:start w:val="1"/>
      <w:numFmt w:val="bullet"/>
      <w:lvlText w:val="o"/>
      <w:lvlJc w:val="left"/>
      <w:pPr>
        <w:tabs>
          <w:tab w:val="num" w:pos="5868"/>
        </w:tabs>
        <w:ind w:left="5868" w:hanging="360"/>
      </w:pPr>
      <w:rPr>
        <w:rFonts w:ascii="Courier New" w:hAnsi="Courier New" w:hint="default"/>
      </w:rPr>
    </w:lvl>
    <w:lvl w:ilvl="5" w:tplc="F4782DD8" w:tentative="1">
      <w:start w:val="1"/>
      <w:numFmt w:val="bullet"/>
      <w:lvlText w:val=""/>
      <w:lvlJc w:val="left"/>
      <w:pPr>
        <w:tabs>
          <w:tab w:val="num" w:pos="6588"/>
        </w:tabs>
        <w:ind w:left="6588" w:hanging="360"/>
      </w:pPr>
      <w:rPr>
        <w:rFonts w:ascii="Wingdings" w:hAnsi="Wingdings" w:hint="default"/>
      </w:rPr>
    </w:lvl>
    <w:lvl w:ilvl="6" w:tplc="2B2A4C44" w:tentative="1">
      <w:start w:val="1"/>
      <w:numFmt w:val="bullet"/>
      <w:lvlText w:val=""/>
      <w:lvlJc w:val="left"/>
      <w:pPr>
        <w:tabs>
          <w:tab w:val="num" w:pos="7308"/>
        </w:tabs>
        <w:ind w:left="7308" w:hanging="360"/>
      </w:pPr>
      <w:rPr>
        <w:rFonts w:ascii="Symbol" w:hAnsi="Symbol" w:hint="default"/>
      </w:rPr>
    </w:lvl>
    <w:lvl w:ilvl="7" w:tplc="5958DD64" w:tentative="1">
      <w:start w:val="1"/>
      <w:numFmt w:val="bullet"/>
      <w:lvlText w:val="o"/>
      <w:lvlJc w:val="left"/>
      <w:pPr>
        <w:tabs>
          <w:tab w:val="num" w:pos="8028"/>
        </w:tabs>
        <w:ind w:left="8028" w:hanging="360"/>
      </w:pPr>
      <w:rPr>
        <w:rFonts w:ascii="Courier New" w:hAnsi="Courier New" w:hint="default"/>
      </w:rPr>
    </w:lvl>
    <w:lvl w:ilvl="8" w:tplc="C76C0EC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1C7303E"/>
    <w:multiLevelType w:val="hybridMultilevel"/>
    <w:tmpl w:val="63DA35C4"/>
    <w:lvl w:ilvl="0" w:tplc="947A71CE">
      <w:start w:val="1"/>
      <w:numFmt w:val="decimal"/>
      <w:lvlText w:val="(%1)"/>
      <w:lvlJc w:val="left"/>
      <w:pPr>
        <w:ind w:left="1383" w:hanging="360"/>
      </w:pPr>
      <w:rPr>
        <w:rFonts w:hint="default"/>
      </w:rPr>
    </w:lvl>
    <w:lvl w:ilvl="1" w:tplc="20000019" w:tentative="1">
      <w:start w:val="1"/>
      <w:numFmt w:val="lowerLetter"/>
      <w:lvlText w:val="%2."/>
      <w:lvlJc w:val="left"/>
      <w:pPr>
        <w:ind w:left="2103" w:hanging="360"/>
      </w:pPr>
    </w:lvl>
    <w:lvl w:ilvl="2" w:tplc="2000001B" w:tentative="1">
      <w:start w:val="1"/>
      <w:numFmt w:val="lowerRoman"/>
      <w:lvlText w:val="%3."/>
      <w:lvlJc w:val="right"/>
      <w:pPr>
        <w:ind w:left="2823" w:hanging="180"/>
      </w:pPr>
    </w:lvl>
    <w:lvl w:ilvl="3" w:tplc="2000000F" w:tentative="1">
      <w:start w:val="1"/>
      <w:numFmt w:val="decimal"/>
      <w:lvlText w:val="%4."/>
      <w:lvlJc w:val="left"/>
      <w:pPr>
        <w:ind w:left="3543" w:hanging="360"/>
      </w:pPr>
    </w:lvl>
    <w:lvl w:ilvl="4" w:tplc="20000019" w:tentative="1">
      <w:start w:val="1"/>
      <w:numFmt w:val="lowerLetter"/>
      <w:lvlText w:val="%5."/>
      <w:lvlJc w:val="left"/>
      <w:pPr>
        <w:ind w:left="4263" w:hanging="360"/>
      </w:pPr>
    </w:lvl>
    <w:lvl w:ilvl="5" w:tplc="2000001B" w:tentative="1">
      <w:start w:val="1"/>
      <w:numFmt w:val="lowerRoman"/>
      <w:lvlText w:val="%6."/>
      <w:lvlJc w:val="right"/>
      <w:pPr>
        <w:ind w:left="4983" w:hanging="180"/>
      </w:pPr>
    </w:lvl>
    <w:lvl w:ilvl="6" w:tplc="2000000F" w:tentative="1">
      <w:start w:val="1"/>
      <w:numFmt w:val="decimal"/>
      <w:lvlText w:val="%7."/>
      <w:lvlJc w:val="left"/>
      <w:pPr>
        <w:ind w:left="5703" w:hanging="360"/>
      </w:pPr>
    </w:lvl>
    <w:lvl w:ilvl="7" w:tplc="20000019" w:tentative="1">
      <w:start w:val="1"/>
      <w:numFmt w:val="lowerLetter"/>
      <w:lvlText w:val="%8."/>
      <w:lvlJc w:val="left"/>
      <w:pPr>
        <w:ind w:left="6423" w:hanging="360"/>
      </w:pPr>
    </w:lvl>
    <w:lvl w:ilvl="8" w:tplc="2000001B" w:tentative="1">
      <w:start w:val="1"/>
      <w:numFmt w:val="lowerRoman"/>
      <w:lvlText w:val="%9."/>
      <w:lvlJc w:val="right"/>
      <w:pPr>
        <w:ind w:left="7143"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A86F69"/>
    <w:multiLevelType w:val="hybridMultilevel"/>
    <w:tmpl w:val="CDFCEC7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7" w15:restartNumberingAfterBreak="0">
    <w:nsid w:val="48D97A0F"/>
    <w:multiLevelType w:val="hybridMultilevel"/>
    <w:tmpl w:val="49BC1D68"/>
    <w:lvl w:ilvl="0" w:tplc="A93CDEAE">
      <w:start w:val="1"/>
      <w:numFmt w:val="decimal"/>
      <w:lvlText w:val="%1."/>
      <w:lvlJc w:val="left"/>
      <w:pPr>
        <w:ind w:left="397" w:hanging="397"/>
      </w:pPr>
      <w:rPr>
        <w:color w:val="auto"/>
        <w:sz w:val="24"/>
      </w:r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18" w15:restartNumberingAfterBreak="0">
    <w:nsid w:val="51E27F82"/>
    <w:multiLevelType w:val="hybridMultilevel"/>
    <w:tmpl w:val="39863F90"/>
    <w:lvl w:ilvl="0" w:tplc="260CECDC">
      <w:start w:val="1"/>
      <w:numFmt w:val="decimal"/>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EC10A23A">
      <w:start w:val="1"/>
      <w:numFmt w:val="bullet"/>
      <w:pStyle w:val="Bullet1G"/>
      <w:lvlText w:val="•"/>
      <w:lvlJc w:val="left"/>
      <w:pPr>
        <w:tabs>
          <w:tab w:val="num" w:pos="1701"/>
        </w:tabs>
        <w:ind w:left="1701" w:hanging="170"/>
      </w:pPr>
      <w:rPr>
        <w:rFonts w:ascii="Times New Roman" w:hAnsi="Times New Roman" w:cs="Times New Roman" w:hint="default"/>
      </w:rPr>
    </w:lvl>
    <w:lvl w:ilvl="1" w:tplc="0A00F94A" w:tentative="1">
      <w:start w:val="1"/>
      <w:numFmt w:val="bullet"/>
      <w:lvlText w:val="o"/>
      <w:lvlJc w:val="left"/>
      <w:pPr>
        <w:tabs>
          <w:tab w:val="num" w:pos="3141"/>
        </w:tabs>
        <w:ind w:left="3141" w:hanging="360"/>
      </w:pPr>
      <w:rPr>
        <w:rFonts w:ascii="Courier New" w:hAnsi="Courier New" w:hint="default"/>
      </w:rPr>
    </w:lvl>
    <w:lvl w:ilvl="2" w:tplc="19482820" w:tentative="1">
      <w:start w:val="1"/>
      <w:numFmt w:val="bullet"/>
      <w:lvlText w:val=""/>
      <w:lvlJc w:val="left"/>
      <w:pPr>
        <w:tabs>
          <w:tab w:val="num" w:pos="3861"/>
        </w:tabs>
        <w:ind w:left="3861" w:hanging="360"/>
      </w:pPr>
      <w:rPr>
        <w:rFonts w:ascii="Wingdings" w:hAnsi="Wingdings" w:hint="default"/>
      </w:rPr>
    </w:lvl>
    <w:lvl w:ilvl="3" w:tplc="BCE41AE0" w:tentative="1">
      <w:start w:val="1"/>
      <w:numFmt w:val="bullet"/>
      <w:lvlText w:val=""/>
      <w:lvlJc w:val="left"/>
      <w:pPr>
        <w:tabs>
          <w:tab w:val="num" w:pos="4581"/>
        </w:tabs>
        <w:ind w:left="4581" w:hanging="360"/>
      </w:pPr>
      <w:rPr>
        <w:rFonts w:ascii="Symbol" w:hAnsi="Symbol" w:hint="default"/>
      </w:rPr>
    </w:lvl>
    <w:lvl w:ilvl="4" w:tplc="5DA03BC8" w:tentative="1">
      <w:start w:val="1"/>
      <w:numFmt w:val="bullet"/>
      <w:lvlText w:val="o"/>
      <w:lvlJc w:val="left"/>
      <w:pPr>
        <w:tabs>
          <w:tab w:val="num" w:pos="5301"/>
        </w:tabs>
        <w:ind w:left="5301" w:hanging="360"/>
      </w:pPr>
      <w:rPr>
        <w:rFonts w:ascii="Courier New" w:hAnsi="Courier New" w:hint="default"/>
      </w:rPr>
    </w:lvl>
    <w:lvl w:ilvl="5" w:tplc="C8BC885A" w:tentative="1">
      <w:start w:val="1"/>
      <w:numFmt w:val="bullet"/>
      <w:lvlText w:val=""/>
      <w:lvlJc w:val="left"/>
      <w:pPr>
        <w:tabs>
          <w:tab w:val="num" w:pos="6021"/>
        </w:tabs>
        <w:ind w:left="6021" w:hanging="360"/>
      </w:pPr>
      <w:rPr>
        <w:rFonts w:ascii="Wingdings" w:hAnsi="Wingdings" w:hint="default"/>
      </w:rPr>
    </w:lvl>
    <w:lvl w:ilvl="6" w:tplc="8A5A29B6" w:tentative="1">
      <w:start w:val="1"/>
      <w:numFmt w:val="bullet"/>
      <w:lvlText w:val=""/>
      <w:lvlJc w:val="left"/>
      <w:pPr>
        <w:tabs>
          <w:tab w:val="num" w:pos="6741"/>
        </w:tabs>
        <w:ind w:left="6741" w:hanging="360"/>
      </w:pPr>
      <w:rPr>
        <w:rFonts w:ascii="Symbol" w:hAnsi="Symbol" w:hint="default"/>
      </w:rPr>
    </w:lvl>
    <w:lvl w:ilvl="7" w:tplc="7B563636" w:tentative="1">
      <w:start w:val="1"/>
      <w:numFmt w:val="bullet"/>
      <w:lvlText w:val="o"/>
      <w:lvlJc w:val="left"/>
      <w:pPr>
        <w:tabs>
          <w:tab w:val="num" w:pos="7461"/>
        </w:tabs>
        <w:ind w:left="7461" w:hanging="360"/>
      </w:pPr>
      <w:rPr>
        <w:rFonts w:ascii="Courier New" w:hAnsi="Courier New" w:hint="default"/>
      </w:rPr>
    </w:lvl>
    <w:lvl w:ilvl="8" w:tplc="398074F6"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8796803">
    <w:abstractNumId w:val="21"/>
  </w:num>
  <w:num w:numId="2" w16cid:durableId="82342256">
    <w:abstractNumId w:val="13"/>
  </w:num>
  <w:num w:numId="3" w16cid:durableId="937636082">
    <w:abstractNumId w:val="11"/>
  </w:num>
  <w:num w:numId="4" w16cid:durableId="807087749">
    <w:abstractNumId w:val="8"/>
  </w:num>
  <w:num w:numId="5" w16cid:durableId="1843399561">
    <w:abstractNumId w:val="3"/>
  </w:num>
  <w:num w:numId="6" w16cid:durableId="1880778930">
    <w:abstractNumId w:val="2"/>
  </w:num>
  <w:num w:numId="7" w16cid:durableId="2115439598">
    <w:abstractNumId w:val="1"/>
  </w:num>
  <w:num w:numId="8" w16cid:durableId="2124297775">
    <w:abstractNumId w:val="0"/>
  </w:num>
  <w:num w:numId="9" w16cid:durableId="1318340995">
    <w:abstractNumId w:val="9"/>
  </w:num>
  <w:num w:numId="10" w16cid:durableId="2012172638">
    <w:abstractNumId w:val="7"/>
  </w:num>
  <w:num w:numId="11" w16cid:durableId="952396627">
    <w:abstractNumId w:val="6"/>
  </w:num>
  <w:num w:numId="12" w16cid:durableId="1634870099">
    <w:abstractNumId w:val="5"/>
  </w:num>
  <w:num w:numId="13" w16cid:durableId="442386437">
    <w:abstractNumId w:val="4"/>
  </w:num>
  <w:num w:numId="14" w16cid:durableId="396243893">
    <w:abstractNumId w:val="21"/>
  </w:num>
  <w:num w:numId="15" w16cid:durableId="367418659">
    <w:abstractNumId w:val="13"/>
  </w:num>
  <w:num w:numId="16" w16cid:durableId="558171894">
    <w:abstractNumId w:val="11"/>
  </w:num>
  <w:num w:numId="17" w16cid:durableId="32267071">
    <w:abstractNumId w:val="15"/>
  </w:num>
  <w:num w:numId="18" w16cid:durableId="1341195317">
    <w:abstractNumId w:val="20"/>
  </w:num>
  <w:num w:numId="19" w16cid:durableId="1063521948">
    <w:abstractNumId w:val="19"/>
  </w:num>
  <w:num w:numId="20" w16cid:durableId="306978857">
    <w:abstractNumId w:val="22"/>
  </w:num>
  <w:num w:numId="21" w16cid:durableId="405882745">
    <w:abstractNumId w:val="17"/>
  </w:num>
  <w:num w:numId="22" w16cid:durableId="852064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1839025">
    <w:abstractNumId w:val="12"/>
  </w:num>
  <w:num w:numId="24" w16cid:durableId="520122862">
    <w:abstractNumId w:val="18"/>
  </w:num>
  <w:num w:numId="25" w16cid:durableId="1070159172">
    <w:abstractNumId w:val="14"/>
  </w:num>
  <w:num w:numId="26" w16cid:durableId="235895457">
    <w:abstractNumId w:val="16"/>
  </w:num>
  <w:num w:numId="27" w16cid:durableId="9796498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975"/>
    <w:rsid w:val="000047B1"/>
    <w:rsid w:val="00017F94"/>
    <w:rsid w:val="00020724"/>
    <w:rsid w:val="00023842"/>
    <w:rsid w:val="00030085"/>
    <w:rsid w:val="000334F9"/>
    <w:rsid w:val="0007796D"/>
    <w:rsid w:val="00093521"/>
    <w:rsid w:val="000A77C2"/>
    <w:rsid w:val="000B7790"/>
    <w:rsid w:val="000C390E"/>
    <w:rsid w:val="000C4A15"/>
    <w:rsid w:val="00111F2F"/>
    <w:rsid w:val="001266FE"/>
    <w:rsid w:val="0014365E"/>
    <w:rsid w:val="00150B53"/>
    <w:rsid w:val="00150DB2"/>
    <w:rsid w:val="00176178"/>
    <w:rsid w:val="001A60D4"/>
    <w:rsid w:val="001D2DBD"/>
    <w:rsid w:val="001E498C"/>
    <w:rsid w:val="001F525A"/>
    <w:rsid w:val="0020622A"/>
    <w:rsid w:val="0021358A"/>
    <w:rsid w:val="00223272"/>
    <w:rsid w:val="0024779E"/>
    <w:rsid w:val="00280723"/>
    <w:rsid w:val="002844AB"/>
    <w:rsid w:val="00291F1D"/>
    <w:rsid w:val="002955FE"/>
    <w:rsid w:val="002E04D8"/>
    <w:rsid w:val="002E5CC4"/>
    <w:rsid w:val="002F7ABE"/>
    <w:rsid w:val="00345A90"/>
    <w:rsid w:val="00353ED5"/>
    <w:rsid w:val="00354DC0"/>
    <w:rsid w:val="00384AB4"/>
    <w:rsid w:val="0039005B"/>
    <w:rsid w:val="00394A73"/>
    <w:rsid w:val="003B458B"/>
    <w:rsid w:val="003C05F3"/>
    <w:rsid w:val="003C5AB9"/>
    <w:rsid w:val="003D1AD0"/>
    <w:rsid w:val="003D42FB"/>
    <w:rsid w:val="0040591D"/>
    <w:rsid w:val="00415357"/>
    <w:rsid w:val="00432D6E"/>
    <w:rsid w:val="00433BC7"/>
    <w:rsid w:val="00440245"/>
    <w:rsid w:val="00446FE5"/>
    <w:rsid w:val="00447BE2"/>
    <w:rsid w:val="00450906"/>
    <w:rsid w:val="00452396"/>
    <w:rsid w:val="00465981"/>
    <w:rsid w:val="00482156"/>
    <w:rsid w:val="004A546A"/>
    <w:rsid w:val="004A5DA3"/>
    <w:rsid w:val="004C2237"/>
    <w:rsid w:val="004D0848"/>
    <w:rsid w:val="00506645"/>
    <w:rsid w:val="005505B7"/>
    <w:rsid w:val="00561712"/>
    <w:rsid w:val="00573585"/>
    <w:rsid w:val="00573BE5"/>
    <w:rsid w:val="00586ED3"/>
    <w:rsid w:val="00587B12"/>
    <w:rsid w:val="00596AA9"/>
    <w:rsid w:val="005A14CB"/>
    <w:rsid w:val="005B101E"/>
    <w:rsid w:val="005B43E7"/>
    <w:rsid w:val="005B6BC9"/>
    <w:rsid w:val="005C06D4"/>
    <w:rsid w:val="005C27F3"/>
    <w:rsid w:val="005D2B75"/>
    <w:rsid w:val="005E2DAA"/>
    <w:rsid w:val="005E6B63"/>
    <w:rsid w:val="006056E0"/>
    <w:rsid w:val="006146BE"/>
    <w:rsid w:val="00626F88"/>
    <w:rsid w:val="00645EA7"/>
    <w:rsid w:val="006637D3"/>
    <w:rsid w:val="00670DFB"/>
    <w:rsid w:val="00680996"/>
    <w:rsid w:val="006A2080"/>
    <w:rsid w:val="006B627B"/>
    <w:rsid w:val="006D059E"/>
    <w:rsid w:val="006F274D"/>
    <w:rsid w:val="00706E82"/>
    <w:rsid w:val="0071601D"/>
    <w:rsid w:val="0072392D"/>
    <w:rsid w:val="00740943"/>
    <w:rsid w:val="007470B2"/>
    <w:rsid w:val="00766CEC"/>
    <w:rsid w:val="0078345B"/>
    <w:rsid w:val="007836BE"/>
    <w:rsid w:val="007A62E6"/>
    <w:rsid w:val="007C08F8"/>
    <w:rsid w:val="007C2E4F"/>
    <w:rsid w:val="007E725A"/>
    <w:rsid w:val="00800FB0"/>
    <w:rsid w:val="0080684C"/>
    <w:rsid w:val="00813753"/>
    <w:rsid w:val="00815502"/>
    <w:rsid w:val="00831242"/>
    <w:rsid w:val="008429B1"/>
    <w:rsid w:val="00861053"/>
    <w:rsid w:val="00871C75"/>
    <w:rsid w:val="008776DC"/>
    <w:rsid w:val="00893239"/>
    <w:rsid w:val="0089616D"/>
    <w:rsid w:val="008B05DB"/>
    <w:rsid w:val="008B5182"/>
    <w:rsid w:val="008C3DCD"/>
    <w:rsid w:val="008C7952"/>
    <w:rsid w:val="008D3515"/>
    <w:rsid w:val="008E2BD2"/>
    <w:rsid w:val="008F5BB8"/>
    <w:rsid w:val="008F69EF"/>
    <w:rsid w:val="0094637B"/>
    <w:rsid w:val="00957790"/>
    <w:rsid w:val="009705C8"/>
    <w:rsid w:val="009A2960"/>
    <w:rsid w:val="009B57D9"/>
    <w:rsid w:val="009C66D5"/>
    <w:rsid w:val="009D2E6A"/>
    <w:rsid w:val="009D6206"/>
    <w:rsid w:val="009D6CA7"/>
    <w:rsid w:val="009D7F09"/>
    <w:rsid w:val="009F005D"/>
    <w:rsid w:val="00A0377D"/>
    <w:rsid w:val="00A12B44"/>
    <w:rsid w:val="00A12EB5"/>
    <w:rsid w:val="00A17804"/>
    <w:rsid w:val="00A319E9"/>
    <w:rsid w:val="00A422B0"/>
    <w:rsid w:val="00A65327"/>
    <w:rsid w:val="00A75EB9"/>
    <w:rsid w:val="00A80C6C"/>
    <w:rsid w:val="00A815AF"/>
    <w:rsid w:val="00A9083F"/>
    <w:rsid w:val="00AA3263"/>
    <w:rsid w:val="00AC3823"/>
    <w:rsid w:val="00AE0C84"/>
    <w:rsid w:val="00AE323C"/>
    <w:rsid w:val="00AE6147"/>
    <w:rsid w:val="00B00181"/>
    <w:rsid w:val="00B37F9C"/>
    <w:rsid w:val="00B41FDC"/>
    <w:rsid w:val="00B43C66"/>
    <w:rsid w:val="00B765F7"/>
    <w:rsid w:val="00B9024D"/>
    <w:rsid w:val="00B965CD"/>
    <w:rsid w:val="00BA07AB"/>
    <w:rsid w:val="00BA0CA9"/>
    <w:rsid w:val="00BA422F"/>
    <w:rsid w:val="00BB6B4B"/>
    <w:rsid w:val="00BE4745"/>
    <w:rsid w:val="00BF30B9"/>
    <w:rsid w:val="00BF3C2C"/>
    <w:rsid w:val="00C02897"/>
    <w:rsid w:val="00C04032"/>
    <w:rsid w:val="00C4255A"/>
    <w:rsid w:val="00CB56FC"/>
    <w:rsid w:val="00CB7397"/>
    <w:rsid w:val="00CC2887"/>
    <w:rsid w:val="00D14A77"/>
    <w:rsid w:val="00D2304A"/>
    <w:rsid w:val="00D300EC"/>
    <w:rsid w:val="00D3439C"/>
    <w:rsid w:val="00D34C86"/>
    <w:rsid w:val="00D35334"/>
    <w:rsid w:val="00DA22F4"/>
    <w:rsid w:val="00DB1831"/>
    <w:rsid w:val="00DC7450"/>
    <w:rsid w:val="00DD3BFD"/>
    <w:rsid w:val="00DD656F"/>
    <w:rsid w:val="00DE5958"/>
    <w:rsid w:val="00DF6678"/>
    <w:rsid w:val="00E22CF2"/>
    <w:rsid w:val="00E4369C"/>
    <w:rsid w:val="00E52D9F"/>
    <w:rsid w:val="00E5592D"/>
    <w:rsid w:val="00EB5CFF"/>
    <w:rsid w:val="00EC603E"/>
    <w:rsid w:val="00ED3F39"/>
    <w:rsid w:val="00ED5F12"/>
    <w:rsid w:val="00EF25C4"/>
    <w:rsid w:val="00F01808"/>
    <w:rsid w:val="00F164B0"/>
    <w:rsid w:val="00F25C0F"/>
    <w:rsid w:val="00F408E5"/>
    <w:rsid w:val="00F660DF"/>
    <w:rsid w:val="00F715D3"/>
    <w:rsid w:val="00F80094"/>
    <w:rsid w:val="00F95C08"/>
    <w:rsid w:val="00FB7FB7"/>
    <w:rsid w:val="00FC7F31"/>
    <w:rsid w:val="00FE4E9D"/>
    <w:rsid w:val="00FF05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6CA2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71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8429B1"/>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429B1"/>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429B1"/>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429B1"/>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429B1"/>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429B1"/>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3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Normal"/>
    <w:rsid w:val="0021358A"/>
    <w:pPr>
      <w:suppressAutoHyphens w:val="0"/>
      <w:spacing w:before="100" w:beforeAutospacing="1" w:after="100" w:afterAutospacing="1" w:line="240" w:lineRule="auto"/>
    </w:pPr>
    <w:rPr>
      <w:rFonts w:ascii="Gulim" w:eastAsia="Gulim" w:hAnsi="Gulim" w:cs="Gulim"/>
      <w:sz w:val="24"/>
      <w:szCs w:val="24"/>
      <w:lang w:val="en-US" w:eastAsia="ko-KR"/>
    </w:rPr>
  </w:style>
  <w:style w:type="paragraph" w:styleId="CommentText">
    <w:name w:val="annotation text"/>
    <w:basedOn w:val="Normal"/>
    <w:link w:val="CommentTextChar"/>
    <w:uiPriority w:val="99"/>
    <w:unhideWhenUsed/>
    <w:rsid w:val="0021358A"/>
    <w:pPr>
      <w:widowControl w:val="0"/>
      <w:suppressAutoHyphens w:val="0"/>
      <w:wordWrap w:val="0"/>
      <w:autoSpaceDE w:val="0"/>
      <w:autoSpaceDN w:val="0"/>
      <w:spacing w:after="160" w:line="256" w:lineRule="auto"/>
    </w:pPr>
    <w:rPr>
      <w:rFonts w:asciiTheme="minorHAnsi" w:eastAsiaTheme="minorEastAsia" w:hAnsiTheme="minorHAnsi" w:cstheme="minorBidi"/>
      <w:kern w:val="2"/>
      <w:szCs w:val="22"/>
      <w:lang w:val="en-US" w:eastAsia="ko-KR"/>
    </w:rPr>
  </w:style>
  <w:style w:type="character" w:customStyle="1" w:styleId="CommentTextChar">
    <w:name w:val="Comment Text Char"/>
    <w:basedOn w:val="DefaultParagraphFont"/>
    <w:link w:val="CommentText"/>
    <w:uiPriority w:val="99"/>
    <w:rsid w:val="0021358A"/>
    <w:rPr>
      <w:rFonts w:eastAsiaTheme="minorEastAsia"/>
      <w:kern w:val="2"/>
      <w:sz w:val="20"/>
      <w:lang w:val="en-US" w:eastAsia="ko-KR"/>
    </w:rPr>
  </w:style>
  <w:style w:type="paragraph" w:styleId="CommentSubject">
    <w:name w:val="annotation subject"/>
    <w:basedOn w:val="CommentText"/>
    <w:next w:val="CommentText"/>
    <w:link w:val="CommentSubjectChar"/>
    <w:uiPriority w:val="99"/>
    <w:semiHidden/>
    <w:unhideWhenUsed/>
    <w:rsid w:val="0021358A"/>
    <w:rPr>
      <w:b/>
      <w:bCs/>
    </w:rPr>
  </w:style>
  <w:style w:type="character" w:customStyle="1" w:styleId="CommentSubjectChar">
    <w:name w:val="Comment Subject Char"/>
    <w:basedOn w:val="CommentTextChar"/>
    <w:link w:val="CommentSubject"/>
    <w:uiPriority w:val="99"/>
    <w:semiHidden/>
    <w:rsid w:val="0021358A"/>
    <w:rPr>
      <w:rFonts w:eastAsiaTheme="minorEastAsia"/>
      <w:b/>
      <w:bCs/>
      <w:kern w:val="2"/>
      <w:sz w:val="20"/>
      <w:lang w:val="en-US" w:eastAsia="ko-KR"/>
    </w:rPr>
  </w:style>
  <w:style w:type="paragraph" w:styleId="ListParagraph">
    <w:name w:val="List Paragraph"/>
    <w:basedOn w:val="Normal"/>
    <w:uiPriority w:val="34"/>
    <w:qFormat/>
    <w:rsid w:val="0021358A"/>
    <w:pPr>
      <w:widowControl w:val="0"/>
      <w:suppressAutoHyphens w:val="0"/>
      <w:wordWrap w:val="0"/>
      <w:autoSpaceDE w:val="0"/>
      <w:autoSpaceDN w:val="0"/>
      <w:spacing w:after="160" w:line="256" w:lineRule="auto"/>
      <w:ind w:leftChars="400" w:left="800"/>
      <w:jc w:val="both"/>
    </w:pPr>
    <w:rPr>
      <w:rFonts w:asciiTheme="minorHAnsi" w:eastAsiaTheme="minorEastAsia" w:hAnsiTheme="minorHAnsi" w:cstheme="minorBidi"/>
      <w:kern w:val="2"/>
      <w:szCs w:val="22"/>
      <w:lang w:val="en-US" w:eastAsia="ko-KR"/>
    </w:rPr>
  </w:style>
  <w:style w:type="paragraph" w:customStyle="1" w:styleId="a">
    <w:name w:val="바탕글"/>
    <w:basedOn w:val="Normal"/>
    <w:rsid w:val="0021358A"/>
    <w:pPr>
      <w:widowControl w:val="0"/>
      <w:suppressAutoHyphens w:val="0"/>
      <w:wordWrap w:val="0"/>
      <w:autoSpaceDE w:val="0"/>
      <w:autoSpaceDN w:val="0"/>
      <w:spacing w:line="276" w:lineRule="auto"/>
      <w:jc w:val="both"/>
    </w:pPr>
    <w:rPr>
      <w:rFonts w:ascii="함초롬바탕" w:eastAsia="Gulim" w:hAnsi="Gulim" w:cs="Gulim"/>
      <w:color w:val="000000"/>
      <w:lang w:val="en-US" w:eastAsia="ko-KR"/>
    </w:rPr>
  </w:style>
  <w:style w:type="paragraph" w:customStyle="1" w:styleId="a0">
    <w:name w:val="숫자"/>
    <w:basedOn w:val="Normal"/>
    <w:rsid w:val="0021358A"/>
    <w:pPr>
      <w:widowControl w:val="0"/>
      <w:tabs>
        <w:tab w:val="left" w:pos="736"/>
      </w:tabs>
      <w:suppressAutoHyphens w:val="0"/>
      <w:wordWrap w:val="0"/>
      <w:autoSpaceDE w:val="0"/>
      <w:autoSpaceDN w:val="0"/>
      <w:spacing w:before="100" w:after="100" w:line="384" w:lineRule="auto"/>
    </w:pPr>
    <w:rPr>
      <w:rFonts w:ascii="한컴돋움" w:eastAsia="Gulim" w:hAnsi="Gulim" w:cs="Gulim"/>
      <w:color w:val="000000"/>
      <w:lang w:val="en-US" w:eastAsia="ko-KR"/>
    </w:rPr>
  </w:style>
  <w:style w:type="paragraph" w:customStyle="1" w:styleId="a1">
    <w:name w:val="#미다시"/>
    <w:basedOn w:val="Normal"/>
    <w:rsid w:val="0021358A"/>
    <w:pPr>
      <w:widowControl w:val="0"/>
      <w:suppressAutoHyphens w:val="0"/>
      <w:autoSpaceDE w:val="0"/>
      <w:autoSpaceDN w:val="0"/>
      <w:snapToGrid w:val="0"/>
      <w:spacing w:line="312" w:lineRule="auto"/>
      <w:jc w:val="center"/>
    </w:pPr>
    <w:rPr>
      <w:rFonts w:ascii="-윤고딕330" w:eastAsia="Gulim" w:hAnsi="Gulim" w:cs="Gulim"/>
      <w:color w:val="000000"/>
      <w:spacing w:val="-8"/>
      <w:w w:val="95"/>
      <w:sz w:val="18"/>
      <w:szCs w:val="18"/>
      <w:lang w:val="en-US" w:eastAsia="ko-KR"/>
    </w:rPr>
  </w:style>
  <w:style w:type="paragraph" w:customStyle="1" w:styleId="a2">
    <w:name w:val="#표_가운데"/>
    <w:basedOn w:val="Normal"/>
    <w:rsid w:val="0021358A"/>
    <w:pPr>
      <w:widowControl w:val="0"/>
      <w:suppressAutoHyphens w:val="0"/>
      <w:autoSpaceDE w:val="0"/>
      <w:autoSpaceDN w:val="0"/>
      <w:snapToGrid w:val="0"/>
      <w:spacing w:line="312" w:lineRule="auto"/>
      <w:jc w:val="center"/>
    </w:pPr>
    <w:rPr>
      <w:rFonts w:ascii="-윤고딕320" w:eastAsia="Gulim" w:hAnsi="Gulim" w:cs="Gulim"/>
      <w:color w:val="000000"/>
      <w:spacing w:val="-8"/>
      <w:w w:val="95"/>
      <w:sz w:val="18"/>
      <w:szCs w:val="18"/>
      <w:lang w:val="en-US" w:eastAsia="ko-KR"/>
    </w:rPr>
  </w:style>
  <w:style w:type="paragraph" w:customStyle="1" w:styleId="a3">
    <w:name w:val="각주"/>
    <w:basedOn w:val="Normal"/>
    <w:rsid w:val="0021358A"/>
    <w:pPr>
      <w:widowControl w:val="0"/>
      <w:suppressAutoHyphens w:val="0"/>
      <w:wordWrap w:val="0"/>
      <w:autoSpaceDE w:val="0"/>
      <w:autoSpaceDN w:val="0"/>
      <w:snapToGrid w:val="0"/>
      <w:spacing w:line="312" w:lineRule="auto"/>
      <w:ind w:left="524" w:hanging="262"/>
      <w:jc w:val="both"/>
    </w:pPr>
    <w:rPr>
      <w:rFonts w:ascii="함초롬바탕" w:eastAsia="Gulim" w:hAnsi="Gulim" w:cs="Gulim"/>
      <w:color w:val="000000"/>
      <w:sz w:val="18"/>
      <w:szCs w:val="18"/>
      <w:lang w:val="en-US" w:eastAsia="ko-KR"/>
    </w:rPr>
  </w:style>
  <w:style w:type="character" w:styleId="CommentReference">
    <w:name w:val="annotation reference"/>
    <w:basedOn w:val="DefaultParagraphFont"/>
    <w:uiPriority w:val="99"/>
    <w:semiHidden/>
    <w:unhideWhenUsed/>
    <w:rsid w:val="0021358A"/>
    <w:rPr>
      <w:sz w:val="18"/>
      <w:szCs w:val="18"/>
    </w:rPr>
  </w:style>
  <w:style w:type="table" w:styleId="GridTable1Light">
    <w:name w:val="Grid Table 1 Light"/>
    <w:basedOn w:val="TableNormal"/>
    <w:uiPriority w:val="46"/>
    <w:rsid w:val="00B965C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A9083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701">
      <w:bodyDiv w:val="1"/>
      <w:marLeft w:val="0"/>
      <w:marRight w:val="0"/>
      <w:marTop w:val="0"/>
      <w:marBottom w:val="0"/>
      <w:divBdr>
        <w:top w:val="none" w:sz="0" w:space="0" w:color="auto"/>
        <w:left w:val="none" w:sz="0" w:space="0" w:color="auto"/>
        <w:bottom w:val="none" w:sz="0" w:space="0" w:color="auto"/>
        <w:right w:val="none" w:sz="0" w:space="0" w:color="auto"/>
      </w:divBdr>
    </w:div>
    <w:div w:id="128672564">
      <w:bodyDiv w:val="1"/>
      <w:marLeft w:val="0"/>
      <w:marRight w:val="0"/>
      <w:marTop w:val="0"/>
      <w:marBottom w:val="0"/>
      <w:divBdr>
        <w:top w:val="none" w:sz="0" w:space="0" w:color="auto"/>
        <w:left w:val="none" w:sz="0" w:space="0" w:color="auto"/>
        <w:bottom w:val="none" w:sz="0" w:space="0" w:color="auto"/>
        <w:right w:val="none" w:sz="0" w:space="0" w:color="auto"/>
      </w:divBdr>
    </w:div>
    <w:div w:id="348020352">
      <w:bodyDiv w:val="1"/>
      <w:marLeft w:val="0"/>
      <w:marRight w:val="0"/>
      <w:marTop w:val="0"/>
      <w:marBottom w:val="0"/>
      <w:divBdr>
        <w:top w:val="none" w:sz="0" w:space="0" w:color="auto"/>
        <w:left w:val="none" w:sz="0" w:space="0" w:color="auto"/>
        <w:bottom w:val="none" w:sz="0" w:space="0" w:color="auto"/>
        <w:right w:val="none" w:sz="0" w:space="0" w:color="auto"/>
      </w:divBdr>
    </w:div>
    <w:div w:id="748499611">
      <w:bodyDiv w:val="1"/>
      <w:marLeft w:val="0"/>
      <w:marRight w:val="0"/>
      <w:marTop w:val="0"/>
      <w:marBottom w:val="0"/>
      <w:divBdr>
        <w:top w:val="none" w:sz="0" w:space="0" w:color="auto"/>
        <w:left w:val="none" w:sz="0" w:space="0" w:color="auto"/>
        <w:bottom w:val="none" w:sz="0" w:space="0" w:color="auto"/>
        <w:right w:val="none" w:sz="0" w:space="0" w:color="auto"/>
      </w:divBdr>
    </w:div>
    <w:div w:id="1157501999">
      <w:bodyDiv w:val="1"/>
      <w:marLeft w:val="0"/>
      <w:marRight w:val="0"/>
      <w:marTop w:val="0"/>
      <w:marBottom w:val="0"/>
      <w:divBdr>
        <w:top w:val="none" w:sz="0" w:space="0" w:color="auto"/>
        <w:left w:val="none" w:sz="0" w:space="0" w:color="auto"/>
        <w:bottom w:val="none" w:sz="0" w:space="0" w:color="auto"/>
        <w:right w:val="none" w:sz="0" w:space="0" w:color="auto"/>
      </w:divBdr>
    </w:div>
    <w:div w:id="213551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2025-05-22T11:25:31Z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FA0780-6214-42A8-AC5E-F961019D8B9B}">
  <ds:schemaRefs>
    <ds:schemaRef ds:uri="http://schemas.microsoft.com/office/2006/metadata/properties"/>
    <ds:schemaRef ds:uri="http://schemas.microsoft.com/office/infopath/2007/PartnerControls"/>
    <ds:schemaRef ds:uri="985ec44e-1bab-4c0b-9df0-6ba128686fc9"/>
    <ds:schemaRef ds:uri="8328ca42-2125-412e-803c-da962a6c2716"/>
    <ds:schemaRef ds:uri="11a6fe0c-d8de-4390-afb3-d9c7c54181f0"/>
  </ds:schemaRefs>
</ds:datastoreItem>
</file>

<file path=customXml/itemProps2.xml><?xml version="1.0" encoding="utf-8"?>
<ds:datastoreItem xmlns:ds="http://schemas.openxmlformats.org/officeDocument/2006/customXml" ds:itemID="{18DB5FEA-0408-48B9-B787-9E6FAD86A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450176-8F60-49B0-A277-8B0F6D06A0F1}">
  <ds:schemaRefs>
    <ds:schemaRef ds:uri="http://schemas.openxmlformats.org/officeDocument/2006/bibliography"/>
  </ds:schemaRefs>
</ds:datastoreItem>
</file>

<file path=customXml/itemProps4.xml><?xml version="1.0" encoding="utf-8"?>
<ds:datastoreItem xmlns:ds="http://schemas.openxmlformats.org/officeDocument/2006/customXml" ds:itemID="{73C58B89-4680-4F2C-9055-113ACDF6098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67</TotalTime>
  <Pages>4</Pages>
  <Words>717</Words>
  <Characters>4090</Characters>
  <Application>Microsoft Office Word</Application>
  <DocSecurity>0</DocSecurity>
  <Lines>34</Lines>
  <Paragraphs>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CED/C/KOR/1</vt:lpstr>
      <vt:lpstr/>
      <vt:lpstr/>
    </vt:vector>
  </TitlesOfParts>
  <Company>DCM</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CED/C/KOR/1</dc:title>
  <dc:creator>Gloria</dc:creator>
  <cp:lastModifiedBy>Perrine Deja</cp:lastModifiedBy>
  <cp:revision>13</cp:revision>
  <cp:lastPrinted>2017-04-21T12:16:00Z</cp:lastPrinted>
  <dcterms:created xsi:type="dcterms:W3CDTF">2025-06-03T08:42:00Z</dcterms:created>
  <dcterms:modified xsi:type="dcterms:W3CDTF">2025-07-08T12:41:00Z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the Republic of Korea</vt:lpwstr>
  </property>
  <property fmtid="{D5CDD505-2E9C-101B-9397-08002B2CF9AE}" pid="8" name="countw">
    <vt:lpwstr>the Republic of Korea</vt:lpwstr>
  </property>
  <property fmtid="{D5CDD505-2E9C-101B-9397-08002B2CF9AE}" pid="9" name="countwd">
    <vt:lpwstr>the Republic of Korea</vt:lpwstr>
  </property>
  <property fmtid="{D5CDD505-2E9C-101B-9397-08002B2CF9AE}" pid="10" name="date">
    <vt:lpwstr>23 May 2025</vt:lpwstr>
  </property>
  <property fmtid="{D5CDD505-2E9C-101B-9397-08002B2CF9AE}" pid="11" name="Date-Generated">
    <vt:filetime>2025-05-22T09:20:48Z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Para. 1</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155600</vt:r8>
  </property>
  <property fmtid="{D5CDD505-2E9C-101B-9397-08002B2CF9AE}" pid="21" name="Org">
    <vt:lpwstr>OHCHR</vt:lpwstr>
  </property>
  <property fmtid="{D5CDD505-2E9C-101B-9397-08002B2CF9AE}" pid="22" name="prep">
    <vt:lpwstr>initial report of the Republic of Korea</vt:lpwstr>
  </property>
  <property fmtid="{D5CDD505-2E9C-101B-9397-08002B2CF9AE}" pid="23" name="preps">
    <vt:lpwstr>initial report of the Republic of Korea</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C/KOR/1</vt:lpwstr>
  </property>
  <property fmtid="{D5CDD505-2E9C-101B-9397-08002B2CF9AE}" pid="32" name="symh">
    <vt:lpwstr>CED/C/KOR/1</vt:lpwstr>
  </property>
  <property fmtid="{D5CDD505-2E9C-101B-9397-08002B2CF9AE}" pid="33" name="Title">
    <vt:lpwstr>CED/C/KOR/1</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0x010100F3F3498CE0ABCF44AFA9CE6E5EEF9E2B</vt:lpwstr>
  </property>
</Properties>
</file>