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7880" w:rsidRDefault="007113CF" w:rsidP="005E7880">
      <w:pPr>
        <w:spacing w:line="276" w:lineRule="auto"/>
        <w:jc w:val="center"/>
        <w:rPr>
          <w:rFonts w:ascii="Arial" w:hAnsi="Arial" w:cs="Arial"/>
          <w:b/>
          <w:lang w:val="es-CR"/>
        </w:rPr>
      </w:pPr>
      <w:r>
        <w:rPr>
          <w:rFonts w:ascii="Arial" w:hAnsi="Arial" w:cs="Arial"/>
          <w:b/>
          <w:noProof/>
          <w:lang w:val="fr-CH" w:eastAsia="fr-CH"/>
        </w:rPr>
        <w:drawing>
          <wp:anchor distT="0" distB="0" distL="114935" distR="114935" simplePos="0" relativeHeight="251656704" behindDoc="1" locked="0" layoutInCell="1" allowOverlap="1">
            <wp:simplePos x="0" y="0"/>
            <wp:positionH relativeFrom="column">
              <wp:posOffset>2271395</wp:posOffset>
            </wp:positionH>
            <wp:positionV relativeFrom="paragraph">
              <wp:posOffset>128270</wp:posOffset>
            </wp:positionV>
            <wp:extent cx="1276350" cy="1400175"/>
            <wp:effectExtent l="19050" t="0" r="0" b="0"/>
            <wp:wrapNone/>
            <wp:docPr id="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8" cstate="print"/>
                    <a:srcRect/>
                    <a:stretch>
                      <a:fillRect/>
                    </a:stretch>
                  </pic:blipFill>
                  <pic:spPr bwMode="auto">
                    <a:xfrm>
                      <a:off x="0" y="0"/>
                      <a:ext cx="1276350" cy="1400175"/>
                    </a:xfrm>
                    <a:prstGeom prst="rect">
                      <a:avLst/>
                    </a:prstGeom>
                    <a:solidFill>
                      <a:srgbClr val="FFFFFF"/>
                    </a:solidFill>
                    <a:ln w="9525">
                      <a:noFill/>
                      <a:miter lim="800000"/>
                      <a:headEnd/>
                      <a:tailEnd/>
                    </a:ln>
                  </pic:spPr>
                </pic:pic>
              </a:graphicData>
            </a:graphic>
          </wp:anchor>
        </w:drawing>
      </w:r>
    </w:p>
    <w:p w:rsidR="005E7880" w:rsidRDefault="005E7880" w:rsidP="005E7880">
      <w:pPr>
        <w:tabs>
          <w:tab w:val="left" w:pos="3165"/>
          <w:tab w:val="center" w:pos="4819"/>
        </w:tabs>
        <w:spacing w:line="276" w:lineRule="auto"/>
        <w:rPr>
          <w:rFonts w:ascii="Arial" w:hAnsi="Arial" w:cs="Arial"/>
          <w:b/>
          <w:sz w:val="28"/>
          <w:szCs w:val="28"/>
          <w:lang w:val="es-CR"/>
        </w:rPr>
      </w:pPr>
    </w:p>
    <w:p w:rsidR="005E7880" w:rsidRDefault="005E7880" w:rsidP="005E7880">
      <w:pPr>
        <w:tabs>
          <w:tab w:val="left" w:pos="3165"/>
          <w:tab w:val="center" w:pos="4819"/>
        </w:tabs>
        <w:spacing w:line="276" w:lineRule="auto"/>
        <w:jc w:val="center"/>
        <w:rPr>
          <w:rFonts w:ascii="Arial" w:hAnsi="Arial" w:cs="Arial"/>
          <w:b/>
          <w:sz w:val="40"/>
          <w:szCs w:val="40"/>
          <w:lang w:val="es-CR"/>
        </w:rPr>
      </w:pPr>
    </w:p>
    <w:p w:rsidR="005E7880" w:rsidRDefault="005E7880" w:rsidP="005E7880">
      <w:pPr>
        <w:tabs>
          <w:tab w:val="left" w:pos="3165"/>
          <w:tab w:val="center" w:pos="4819"/>
        </w:tabs>
        <w:spacing w:line="276" w:lineRule="auto"/>
        <w:jc w:val="center"/>
        <w:rPr>
          <w:rFonts w:ascii="Arial" w:hAnsi="Arial" w:cs="Arial"/>
          <w:b/>
          <w:sz w:val="40"/>
          <w:szCs w:val="40"/>
          <w:lang w:val="es-CR"/>
        </w:rPr>
      </w:pPr>
    </w:p>
    <w:p w:rsidR="005E7880" w:rsidRDefault="005E7880" w:rsidP="005E7880">
      <w:pPr>
        <w:tabs>
          <w:tab w:val="left" w:pos="3165"/>
          <w:tab w:val="center" w:pos="4819"/>
        </w:tabs>
        <w:spacing w:line="276" w:lineRule="auto"/>
        <w:jc w:val="center"/>
        <w:rPr>
          <w:rFonts w:ascii="Arial" w:hAnsi="Arial" w:cs="Arial"/>
          <w:b/>
          <w:sz w:val="40"/>
          <w:szCs w:val="40"/>
          <w:lang w:val="es-CR"/>
        </w:rPr>
      </w:pPr>
    </w:p>
    <w:p w:rsidR="005E7880" w:rsidRPr="00B53A7A" w:rsidRDefault="005E7880" w:rsidP="005E7880">
      <w:pPr>
        <w:tabs>
          <w:tab w:val="left" w:pos="3165"/>
          <w:tab w:val="center" w:pos="4819"/>
        </w:tabs>
        <w:spacing w:line="276" w:lineRule="auto"/>
        <w:jc w:val="center"/>
        <w:rPr>
          <w:rFonts w:cs="Arial"/>
          <w:b/>
          <w:sz w:val="40"/>
          <w:szCs w:val="40"/>
          <w:lang w:val="es-CR"/>
        </w:rPr>
      </w:pPr>
      <w:r w:rsidRPr="00B53A7A">
        <w:rPr>
          <w:rFonts w:cs="Arial"/>
          <w:b/>
          <w:sz w:val="40"/>
          <w:szCs w:val="40"/>
          <w:lang w:val="es-CR"/>
        </w:rPr>
        <w:t>REPÚBLICA DE COSTA RICA</w:t>
      </w:r>
    </w:p>
    <w:p w:rsidR="000D21C3" w:rsidRDefault="000D21C3" w:rsidP="000D21C3">
      <w:pPr>
        <w:spacing w:after="0" w:line="240" w:lineRule="auto"/>
        <w:jc w:val="center"/>
        <w:rPr>
          <w:rFonts w:cs="Arial"/>
          <w:b/>
          <w:sz w:val="40"/>
          <w:szCs w:val="40"/>
          <w:lang w:val="es-CR"/>
        </w:rPr>
      </w:pPr>
    </w:p>
    <w:p w:rsidR="006172DB" w:rsidRPr="00B53A7A" w:rsidRDefault="005E7880" w:rsidP="000D21C3">
      <w:pPr>
        <w:spacing w:after="0" w:line="240" w:lineRule="auto"/>
        <w:jc w:val="center"/>
        <w:rPr>
          <w:rFonts w:cs="Arial"/>
          <w:b/>
          <w:sz w:val="40"/>
          <w:szCs w:val="40"/>
          <w:lang w:val="es-CR"/>
        </w:rPr>
      </w:pPr>
      <w:r w:rsidRPr="00B53A7A">
        <w:rPr>
          <w:rFonts w:cs="Arial"/>
          <w:b/>
          <w:sz w:val="40"/>
          <w:szCs w:val="40"/>
          <w:lang w:val="es-CR"/>
        </w:rPr>
        <w:t>RESPUESTAS</w:t>
      </w:r>
      <w:r w:rsidR="002941F1">
        <w:rPr>
          <w:rFonts w:cs="Arial"/>
          <w:b/>
          <w:sz w:val="40"/>
          <w:szCs w:val="40"/>
          <w:lang w:val="es-CR"/>
        </w:rPr>
        <w:t xml:space="preserve"> A LA</w:t>
      </w:r>
    </w:p>
    <w:p w:rsidR="005E7880" w:rsidRPr="00B53A7A" w:rsidRDefault="005E7880" w:rsidP="002941F1">
      <w:pPr>
        <w:spacing w:after="0" w:line="240" w:lineRule="auto"/>
        <w:jc w:val="center"/>
        <w:rPr>
          <w:rFonts w:cs="Arial"/>
          <w:b/>
          <w:sz w:val="40"/>
          <w:szCs w:val="40"/>
          <w:lang w:val="es-CR"/>
        </w:rPr>
      </w:pPr>
      <w:r w:rsidRPr="00B53A7A">
        <w:rPr>
          <w:rFonts w:cs="Arial"/>
          <w:b/>
          <w:sz w:val="40"/>
          <w:szCs w:val="40"/>
          <w:lang w:val="es-CR"/>
        </w:rPr>
        <w:t xml:space="preserve">LISTA </w:t>
      </w:r>
      <w:r w:rsidR="000D21C3">
        <w:rPr>
          <w:rFonts w:cs="Arial"/>
          <w:b/>
          <w:sz w:val="40"/>
          <w:szCs w:val="40"/>
          <w:lang w:val="es-CR"/>
        </w:rPr>
        <w:t xml:space="preserve">DE </w:t>
      </w:r>
      <w:r w:rsidRPr="00B53A7A">
        <w:rPr>
          <w:rFonts w:cs="Arial"/>
          <w:b/>
          <w:sz w:val="40"/>
          <w:szCs w:val="40"/>
          <w:lang w:val="es-CR"/>
        </w:rPr>
        <w:t>CUESTIONES RELATIVAS</w:t>
      </w:r>
    </w:p>
    <w:p w:rsidR="005E7880" w:rsidRPr="00B53A7A" w:rsidRDefault="005E7880" w:rsidP="002941F1">
      <w:pPr>
        <w:spacing w:after="0" w:line="240" w:lineRule="auto"/>
        <w:jc w:val="center"/>
        <w:rPr>
          <w:rFonts w:cs="Arial"/>
          <w:b/>
          <w:sz w:val="40"/>
          <w:szCs w:val="40"/>
          <w:lang w:val="es-CR"/>
        </w:rPr>
      </w:pPr>
      <w:r w:rsidRPr="00B53A7A">
        <w:rPr>
          <w:rFonts w:cs="Arial"/>
          <w:b/>
          <w:sz w:val="40"/>
          <w:szCs w:val="40"/>
          <w:lang w:val="es-CR"/>
        </w:rPr>
        <w:t>AL SEXTO INFORME PRESENTADO</w:t>
      </w:r>
    </w:p>
    <w:p w:rsidR="005E7880" w:rsidRPr="00B53A7A" w:rsidRDefault="005E7880" w:rsidP="002941F1">
      <w:pPr>
        <w:spacing w:after="0" w:line="240" w:lineRule="auto"/>
        <w:jc w:val="center"/>
        <w:rPr>
          <w:rFonts w:cs="Arial"/>
          <w:b/>
          <w:sz w:val="40"/>
          <w:szCs w:val="40"/>
          <w:lang w:val="es-CR"/>
        </w:rPr>
      </w:pPr>
      <w:r w:rsidRPr="00B53A7A">
        <w:rPr>
          <w:rFonts w:cs="Arial"/>
          <w:b/>
          <w:sz w:val="40"/>
          <w:szCs w:val="40"/>
          <w:lang w:val="es-CR"/>
        </w:rPr>
        <w:t xml:space="preserve">AL </w:t>
      </w:r>
    </w:p>
    <w:p w:rsidR="005E7880" w:rsidRDefault="005E7880" w:rsidP="002941F1">
      <w:pPr>
        <w:spacing w:after="0" w:line="240" w:lineRule="auto"/>
        <w:jc w:val="center"/>
        <w:rPr>
          <w:rFonts w:cs="Arial"/>
          <w:b/>
          <w:sz w:val="40"/>
          <w:szCs w:val="40"/>
          <w:lang w:val="es-CR"/>
        </w:rPr>
      </w:pPr>
      <w:r w:rsidRPr="00B53A7A">
        <w:rPr>
          <w:rFonts w:cs="Arial"/>
          <w:b/>
          <w:sz w:val="40"/>
          <w:szCs w:val="40"/>
          <w:lang w:val="es-CR"/>
        </w:rPr>
        <w:t xml:space="preserve"> COMITÉ DEL PACTO INTERNACIONAL SOBRE DERECHOS CIVILES Y POLÍTICOS</w:t>
      </w:r>
    </w:p>
    <w:p w:rsidR="000D21C3" w:rsidRDefault="000D21C3" w:rsidP="002941F1">
      <w:pPr>
        <w:spacing w:after="0" w:line="240" w:lineRule="auto"/>
        <w:jc w:val="center"/>
        <w:rPr>
          <w:rFonts w:cs="Arial"/>
          <w:b/>
          <w:sz w:val="40"/>
          <w:szCs w:val="40"/>
          <w:lang w:val="es-CR"/>
        </w:rPr>
      </w:pPr>
      <w:r>
        <w:rPr>
          <w:rFonts w:cs="Arial"/>
          <w:b/>
          <w:sz w:val="40"/>
          <w:szCs w:val="40"/>
          <w:lang w:val="es-CR"/>
        </w:rPr>
        <w:t>Y</w:t>
      </w:r>
    </w:p>
    <w:p w:rsidR="000D21C3" w:rsidRPr="00B53A7A" w:rsidRDefault="000D21C3" w:rsidP="000D21C3">
      <w:pPr>
        <w:spacing w:line="240" w:lineRule="auto"/>
        <w:jc w:val="center"/>
        <w:rPr>
          <w:rFonts w:cs="Arial"/>
          <w:b/>
          <w:sz w:val="40"/>
          <w:szCs w:val="40"/>
          <w:lang w:val="es-CR"/>
        </w:rPr>
      </w:pPr>
      <w:r>
        <w:rPr>
          <w:rFonts w:cs="Arial"/>
          <w:b/>
          <w:sz w:val="40"/>
          <w:szCs w:val="40"/>
          <w:lang w:val="es-CR"/>
        </w:rPr>
        <w:t>PREGUNTAS ADICIONALES PLANTEADAS DURANTE LA AUDIENCIA</w:t>
      </w:r>
    </w:p>
    <w:p w:rsidR="005E7880" w:rsidRPr="00B53A7A" w:rsidRDefault="005E7880" w:rsidP="005E7880">
      <w:pPr>
        <w:spacing w:line="276" w:lineRule="auto"/>
        <w:jc w:val="center"/>
        <w:rPr>
          <w:rFonts w:cs="Arial"/>
          <w:b/>
          <w:sz w:val="40"/>
          <w:szCs w:val="40"/>
          <w:lang w:val="es-CR"/>
        </w:rPr>
      </w:pPr>
    </w:p>
    <w:p w:rsidR="005E7880" w:rsidRDefault="005E7880" w:rsidP="005E7880">
      <w:pPr>
        <w:spacing w:line="276" w:lineRule="auto"/>
        <w:jc w:val="center"/>
        <w:rPr>
          <w:rFonts w:cs="Arial"/>
          <w:b/>
          <w:sz w:val="40"/>
          <w:szCs w:val="40"/>
          <w:lang w:val="es-CR"/>
        </w:rPr>
      </w:pPr>
    </w:p>
    <w:p w:rsidR="002941F1" w:rsidRDefault="002941F1" w:rsidP="005E7880">
      <w:pPr>
        <w:spacing w:line="276" w:lineRule="auto"/>
        <w:jc w:val="center"/>
        <w:rPr>
          <w:rFonts w:cs="Arial"/>
          <w:b/>
          <w:sz w:val="40"/>
          <w:szCs w:val="40"/>
          <w:lang w:val="es-CR"/>
        </w:rPr>
      </w:pPr>
    </w:p>
    <w:p w:rsidR="005E7880" w:rsidRPr="00B53A7A" w:rsidRDefault="005E7880" w:rsidP="005E7880">
      <w:pPr>
        <w:spacing w:line="276" w:lineRule="auto"/>
        <w:jc w:val="center"/>
        <w:rPr>
          <w:rFonts w:cs="Arial"/>
          <w:b/>
          <w:sz w:val="40"/>
          <w:szCs w:val="40"/>
          <w:lang w:val="es-CR"/>
        </w:rPr>
      </w:pPr>
    </w:p>
    <w:p w:rsidR="005E7880" w:rsidRPr="00B53A7A" w:rsidRDefault="005E7880" w:rsidP="005E7880">
      <w:pPr>
        <w:spacing w:line="276" w:lineRule="auto"/>
        <w:jc w:val="center"/>
        <w:rPr>
          <w:rFonts w:cs="Arial"/>
          <w:b/>
          <w:sz w:val="32"/>
          <w:szCs w:val="32"/>
          <w:lang w:val="es-CR"/>
        </w:rPr>
      </w:pPr>
      <w:r w:rsidRPr="00B53A7A">
        <w:rPr>
          <w:rFonts w:cs="Arial"/>
          <w:b/>
          <w:sz w:val="32"/>
          <w:szCs w:val="32"/>
          <w:lang w:val="es-CR"/>
        </w:rPr>
        <w:t>GINEBRA, 16 Y 17 DE MARZO, 2016</w:t>
      </w:r>
      <w:r w:rsidRPr="00B53A7A">
        <w:rPr>
          <w:rFonts w:cs="Arial"/>
          <w:b/>
          <w:sz w:val="32"/>
          <w:szCs w:val="32"/>
          <w:lang w:val="es-CR"/>
        </w:rPr>
        <w:br w:type="page"/>
      </w:r>
    </w:p>
    <w:p w:rsidR="005E7880" w:rsidRPr="00621D9F" w:rsidRDefault="007113CF" w:rsidP="005E7880">
      <w:pPr>
        <w:pStyle w:val="TOCHeading"/>
        <w:rPr>
          <w:lang w:val="es-CR"/>
        </w:rPr>
      </w:pPr>
      <w:r>
        <w:rPr>
          <w:rFonts w:eastAsia="Calibri"/>
          <w:noProof/>
          <w:lang w:val="fr-CH" w:eastAsia="fr-CH"/>
        </w:rPr>
        <w:lastRenderedPageBreak/>
        <w:drawing>
          <wp:anchor distT="0" distB="0" distL="114935" distR="114935" simplePos="0" relativeHeight="251655680" behindDoc="1" locked="0" layoutInCell="1" allowOverlap="1">
            <wp:simplePos x="0" y="0"/>
            <wp:positionH relativeFrom="column">
              <wp:posOffset>2633345</wp:posOffset>
            </wp:positionH>
            <wp:positionV relativeFrom="paragraph">
              <wp:posOffset>-22860</wp:posOffset>
            </wp:positionV>
            <wp:extent cx="581025" cy="636905"/>
            <wp:effectExtent l="19050" t="0" r="9525" b="0"/>
            <wp:wrapNone/>
            <wp:docPr id="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8" cstate="print"/>
                    <a:srcRect/>
                    <a:stretch>
                      <a:fillRect/>
                    </a:stretch>
                  </pic:blipFill>
                  <pic:spPr bwMode="auto">
                    <a:xfrm>
                      <a:off x="0" y="0"/>
                      <a:ext cx="581025" cy="636905"/>
                    </a:xfrm>
                    <a:prstGeom prst="rect">
                      <a:avLst/>
                    </a:prstGeom>
                    <a:solidFill>
                      <a:srgbClr val="FFFFFF"/>
                    </a:solidFill>
                    <a:ln w="9525">
                      <a:noFill/>
                      <a:miter lim="800000"/>
                      <a:headEnd/>
                      <a:tailEnd/>
                    </a:ln>
                  </pic:spPr>
                </pic:pic>
              </a:graphicData>
            </a:graphic>
          </wp:anchor>
        </w:drawing>
      </w:r>
    </w:p>
    <w:p w:rsidR="005E7880" w:rsidRPr="00621D9F" w:rsidRDefault="005E7880" w:rsidP="005E7880">
      <w:pPr>
        <w:pStyle w:val="TOCHeading"/>
        <w:spacing w:before="0"/>
        <w:jc w:val="center"/>
        <w:rPr>
          <w:color w:val="1F4E79"/>
          <w:lang w:val="es-CR"/>
        </w:rPr>
      </w:pPr>
    </w:p>
    <w:p w:rsidR="005E7880" w:rsidRPr="00621D9F" w:rsidRDefault="005E7880" w:rsidP="005E7880">
      <w:pPr>
        <w:pStyle w:val="TOCHeading"/>
        <w:spacing w:before="0"/>
        <w:jc w:val="center"/>
        <w:rPr>
          <w:color w:val="1F4E79"/>
          <w:lang w:val="es-CR"/>
        </w:rPr>
      </w:pPr>
    </w:p>
    <w:p w:rsidR="005E7880" w:rsidRPr="00621D9F" w:rsidRDefault="005E7880" w:rsidP="005E7880">
      <w:pPr>
        <w:pStyle w:val="TOCHeading"/>
        <w:spacing w:before="0"/>
        <w:jc w:val="center"/>
        <w:rPr>
          <w:rFonts w:ascii="Calibri" w:hAnsi="Calibri"/>
          <w:lang w:val="es-CR"/>
        </w:rPr>
      </w:pPr>
      <w:r w:rsidRPr="00621D9F">
        <w:rPr>
          <w:rFonts w:ascii="Calibri" w:hAnsi="Calibri"/>
          <w:color w:val="1F4E79"/>
          <w:lang w:val="es-CR"/>
        </w:rPr>
        <w:t>Tabla de Contenido</w:t>
      </w:r>
    </w:p>
    <w:p w:rsidR="00EF2326" w:rsidRDefault="006557E7">
      <w:pPr>
        <w:pStyle w:val="TOC1"/>
        <w:rPr>
          <w:rFonts w:asciiTheme="minorHAnsi" w:eastAsiaTheme="minorEastAsia" w:hAnsiTheme="minorHAnsi" w:cstheme="minorBidi"/>
          <w:noProof/>
          <w:lang w:val="fr-CH" w:eastAsia="fr-CH"/>
        </w:rPr>
      </w:pPr>
      <w:r w:rsidRPr="006557E7">
        <w:fldChar w:fldCharType="begin"/>
      </w:r>
      <w:r w:rsidR="005E7880" w:rsidRPr="001933BF">
        <w:instrText xml:space="preserve"> TOC \o "1-3" \h \z \u </w:instrText>
      </w:r>
      <w:r w:rsidRPr="006557E7">
        <w:fldChar w:fldCharType="separate"/>
      </w:r>
      <w:hyperlink w:anchor="_Toc446126599" w:history="1">
        <w:r w:rsidR="00EF2326" w:rsidRPr="00A203BE">
          <w:rPr>
            <w:rStyle w:val="Hyperlink"/>
            <w:rFonts w:ascii="Arial" w:hAnsi="Arial" w:cs="Arial"/>
            <w:b/>
            <w:noProof/>
          </w:rPr>
          <w:t>Intervención del señor Vicecanciller de la República</w:t>
        </w:r>
        <w:r w:rsidR="00EF2326">
          <w:rPr>
            <w:noProof/>
            <w:webHidden/>
          </w:rPr>
          <w:tab/>
        </w:r>
        <w:r>
          <w:rPr>
            <w:noProof/>
            <w:webHidden/>
          </w:rPr>
          <w:fldChar w:fldCharType="begin"/>
        </w:r>
        <w:r w:rsidR="00EF2326">
          <w:rPr>
            <w:noProof/>
            <w:webHidden/>
          </w:rPr>
          <w:instrText xml:space="preserve"> PAGEREF _Toc446126599 \h </w:instrText>
        </w:r>
        <w:r>
          <w:rPr>
            <w:noProof/>
            <w:webHidden/>
          </w:rPr>
        </w:r>
        <w:r>
          <w:rPr>
            <w:noProof/>
            <w:webHidden/>
          </w:rPr>
          <w:fldChar w:fldCharType="separate"/>
        </w:r>
        <w:r w:rsidR="00EF2326">
          <w:rPr>
            <w:noProof/>
            <w:webHidden/>
          </w:rPr>
          <w:t>11</w:t>
        </w:r>
        <w:r>
          <w:rPr>
            <w:noProof/>
            <w:webHidden/>
          </w:rPr>
          <w:fldChar w:fldCharType="end"/>
        </w:r>
      </w:hyperlink>
    </w:p>
    <w:p w:rsidR="00EF2326" w:rsidRDefault="006557E7">
      <w:pPr>
        <w:pStyle w:val="TOC3"/>
        <w:tabs>
          <w:tab w:val="right" w:leader="dot" w:pos="9487"/>
        </w:tabs>
        <w:rPr>
          <w:rFonts w:asciiTheme="minorHAnsi" w:eastAsiaTheme="minorEastAsia" w:hAnsiTheme="minorHAnsi" w:cstheme="minorBidi"/>
          <w:noProof/>
          <w:lang w:val="fr-CH" w:eastAsia="fr-CH"/>
        </w:rPr>
      </w:pPr>
      <w:hyperlink w:anchor="_Toc446126600" w:history="1">
        <w:r w:rsidR="00EF2326" w:rsidRPr="00A203BE">
          <w:rPr>
            <w:rStyle w:val="Hyperlink"/>
            <w:noProof/>
          </w:rPr>
          <w:t>Expansión de los derechos humanos y la institucionalidad</w:t>
        </w:r>
        <w:r w:rsidR="00EF2326">
          <w:rPr>
            <w:noProof/>
            <w:webHidden/>
          </w:rPr>
          <w:tab/>
        </w:r>
        <w:r>
          <w:rPr>
            <w:noProof/>
            <w:webHidden/>
          </w:rPr>
          <w:fldChar w:fldCharType="begin"/>
        </w:r>
        <w:r w:rsidR="00EF2326">
          <w:rPr>
            <w:noProof/>
            <w:webHidden/>
          </w:rPr>
          <w:instrText xml:space="preserve"> PAGEREF _Toc446126600 \h </w:instrText>
        </w:r>
        <w:r>
          <w:rPr>
            <w:noProof/>
            <w:webHidden/>
          </w:rPr>
        </w:r>
        <w:r>
          <w:rPr>
            <w:noProof/>
            <w:webHidden/>
          </w:rPr>
          <w:fldChar w:fldCharType="separate"/>
        </w:r>
        <w:r w:rsidR="00EF2326">
          <w:rPr>
            <w:noProof/>
            <w:webHidden/>
          </w:rPr>
          <w:t>11</w:t>
        </w:r>
        <w:r>
          <w:rPr>
            <w:noProof/>
            <w:webHidden/>
          </w:rPr>
          <w:fldChar w:fldCharType="end"/>
        </w:r>
      </w:hyperlink>
    </w:p>
    <w:p w:rsidR="00EF2326" w:rsidRDefault="006557E7">
      <w:pPr>
        <w:pStyle w:val="TOC3"/>
        <w:tabs>
          <w:tab w:val="right" w:leader="dot" w:pos="9487"/>
        </w:tabs>
        <w:rPr>
          <w:rFonts w:asciiTheme="minorHAnsi" w:eastAsiaTheme="minorEastAsia" w:hAnsiTheme="minorHAnsi" w:cstheme="minorBidi"/>
          <w:noProof/>
          <w:lang w:val="fr-CH" w:eastAsia="fr-CH"/>
        </w:rPr>
      </w:pPr>
      <w:hyperlink w:anchor="_Toc446126601" w:history="1">
        <w:r w:rsidR="00EF2326" w:rsidRPr="00A203BE">
          <w:rPr>
            <w:rStyle w:val="Hyperlink"/>
            <w:noProof/>
            <w:lang w:val="es-MX"/>
          </w:rPr>
          <w:t>Hacia una sociedad libre de discriminación</w:t>
        </w:r>
        <w:r w:rsidR="00EF2326">
          <w:rPr>
            <w:noProof/>
            <w:webHidden/>
          </w:rPr>
          <w:tab/>
        </w:r>
        <w:r>
          <w:rPr>
            <w:noProof/>
            <w:webHidden/>
          </w:rPr>
          <w:fldChar w:fldCharType="begin"/>
        </w:r>
        <w:r w:rsidR="00EF2326">
          <w:rPr>
            <w:noProof/>
            <w:webHidden/>
          </w:rPr>
          <w:instrText xml:space="preserve"> PAGEREF _Toc446126601 \h </w:instrText>
        </w:r>
        <w:r>
          <w:rPr>
            <w:noProof/>
            <w:webHidden/>
          </w:rPr>
        </w:r>
        <w:r>
          <w:rPr>
            <w:noProof/>
            <w:webHidden/>
          </w:rPr>
          <w:fldChar w:fldCharType="separate"/>
        </w:r>
        <w:r w:rsidR="00EF2326">
          <w:rPr>
            <w:noProof/>
            <w:webHidden/>
          </w:rPr>
          <w:t>14</w:t>
        </w:r>
        <w:r>
          <w:rPr>
            <w:noProof/>
            <w:webHidden/>
          </w:rPr>
          <w:fldChar w:fldCharType="end"/>
        </w:r>
      </w:hyperlink>
    </w:p>
    <w:p w:rsidR="00EF2326" w:rsidRDefault="006557E7">
      <w:pPr>
        <w:pStyle w:val="TOC3"/>
        <w:tabs>
          <w:tab w:val="right" w:leader="dot" w:pos="9487"/>
        </w:tabs>
        <w:rPr>
          <w:rFonts w:asciiTheme="minorHAnsi" w:eastAsiaTheme="minorEastAsia" w:hAnsiTheme="minorHAnsi" w:cstheme="minorBidi"/>
          <w:noProof/>
          <w:lang w:val="fr-CH" w:eastAsia="fr-CH"/>
        </w:rPr>
      </w:pPr>
      <w:hyperlink w:anchor="_Toc446126602" w:history="1">
        <w:r w:rsidR="00EF2326" w:rsidRPr="00A203BE">
          <w:rPr>
            <w:rStyle w:val="Hyperlink"/>
            <w:noProof/>
          </w:rPr>
          <w:t>Migrantes</w:t>
        </w:r>
        <w:r w:rsidR="00EF2326">
          <w:rPr>
            <w:noProof/>
            <w:webHidden/>
          </w:rPr>
          <w:tab/>
        </w:r>
        <w:r>
          <w:rPr>
            <w:noProof/>
            <w:webHidden/>
          </w:rPr>
          <w:fldChar w:fldCharType="begin"/>
        </w:r>
        <w:r w:rsidR="00EF2326">
          <w:rPr>
            <w:noProof/>
            <w:webHidden/>
          </w:rPr>
          <w:instrText xml:space="preserve"> PAGEREF _Toc446126602 \h </w:instrText>
        </w:r>
        <w:r>
          <w:rPr>
            <w:noProof/>
            <w:webHidden/>
          </w:rPr>
        </w:r>
        <w:r>
          <w:rPr>
            <w:noProof/>
            <w:webHidden/>
          </w:rPr>
          <w:fldChar w:fldCharType="separate"/>
        </w:r>
        <w:r w:rsidR="00EF2326">
          <w:rPr>
            <w:noProof/>
            <w:webHidden/>
          </w:rPr>
          <w:t>15</w:t>
        </w:r>
        <w:r>
          <w:rPr>
            <w:noProof/>
            <w:webHidden/>
          </w:rPr>
          <w:fldChar w:fldCharType="end"/>
        </w:r>
      </w:hyperlink>
    </w:p>
    <w:p w:rsidR="00EF2326" w:rsidRDefault="006557E7">
      <w:pPr>
        <w:pStyle w:val="TOC3"/>
        <w:tabs>
          <w:tab w:val="right" w:leader="dot" w:pos="9487"/>
        </w:tabs>
        <w:rPr>
          <w:rFonts w:asciiTheme="minorHAnsi" w:eastAsiaTheme="minorEastAsia" w:hAnsiTheme="minorHAnsi" w:cstheme="minorBidi"/>
          <w:noProof/>
          <w:lang w:val="fr-CH" w:eastAsia="fr-CH"/>
        </w:rPr>
      </w:pPr>
      <w:hyperlink w:anchor="_Toc446126603" w:history="1">
        <w:r w:rsidR="00EF2326" w:rsidRPr="00A203BE">
          <w:rPr>
            <w:rStyle w:val="Hyperlink"/>
            <w:noProof/>
          </w:rPr>
          <w:t>Pueblos Indígenas y el proceso de  consulta</w:t>
        </w:r>
        <w:r w:rsidR="00EF2326">
          <w:rPr>
            <w:noProof/>
            <w:webHidden/>
          </w:rPr>
          <w:tab/>
        </w:r>
        <w:r>
          <w:rPr>
            <w:noProof/>
            <w:webHidden/>
          </w:rPr>
          <w:fldChar w:fldCharType="begin"/>
        </w:r>
        <w:r w:rsidR="00EF2326">
          <w:rPr>
            <w:noProof/>
            <w:webHidden/>
          </w:rPr>
          <w:instrText xml:space="preserve"> PAGEREF _Toc446126603 \h </w:instrText>
        </w:r>
        <w:r>
          <w:rPr>
            <w:noProof/>
            <w:webHidden/>
          </w:rPr>
        </w:r>
        <w:r>
          <w:rPr>
            <w:noProof/>
            <w:webHidden/>
          </w:rPr>
          <w:fldChar w:fldCharType="separate"/>
        </w:r>
        <w:r w:rsidR="00EF2326">
          <w:rPr>
            <w:noProof/>
            <w:webHidden/>
          </w:rPr>
          <w:t>16</w:t>
        </w:r>
        <w:r>
          <w:rPr>
            <w:noProof/>
            <w:webHidden/>
          </w:rPr>
          <w:fldChar w:fldCharType="end"/>
        </w:r>
      </w:hyperlink>
    </w:p>
    <w:p w:rsidR="00EF2326" w:rsidRDefault="006557E7">
      <w:pPr>
        <w:pStyle w:val="TOC3"/>
        <w:tabs>
          <w:tab w:val="right" w:leader="dot" w:pos="9487"/>
        </w:tabs>
        <w:rPr>
          <w:rFonts w:asciiTheme="minorHAnsi" w:eastAsiaTheme="minorEastAsia" w:hAnsiTheme="minorHAnsi" w:cstheme="minorBidi"/>
          <w:noProof/>
          <w:lang w:val="fr-CH" w:eastAsia="fr-CH"/>
        </w:rPr>
      </w:pPr>
      <w:hyperlink w:anchor="_Toc446126604" w:history="1">
        <w:r w:rsidR="00EF2326" w:rsidRPr="00A203BE">
          <w:rPr>
            <w:rStyle w:val="Hyperlink"/>
            <w:noProof/>
          </w:rPr>
          <w:t>Sistema Penitenciario</w:t>
        </w:r>
        <w:r w:rsidR="00EF2326">
          <w:rPr>
            <w:noProof/>
            <w:webHidden/>
          </w:rPr>
          <w:tab/>
        </w:r>
        <w:r>
          <w:rPr>
            <w:noProof/>
            <w:webHidden/>
          </w:rPr>
          <w:fldChar w:fldCharType="begin"/>
        </w:r>
        <w:r w:rsidR="00EF2326">
          <w:rPr>
            <w:noProof/>
            <w:webHidden/>
          </w:rPr>
          <w:instrText xml:space="preserve"> PAGEREF _Toc446126604 \h </w:instrText>
        </w:r>
        <w:r>
          <w:rPr>
            <w:noProof/>
            <w:webHidden/>
          </w:rPr>
        </w:r>
        <w:r>
          <w:rPr>
            <w:noProof/>
            <w:webHidden/>
          </w:rPr>
          <w:fldChar w:fldCharType="separate"/>
        </w:r>
        <w:r w:rsidR="00EF2326">
          <w:rPr>
            <w:noProof/>
            <w:webHidden/>
          </w:rPr>
          <w:t>17</w:t>
        </w:r>
        <w:r>
          <w:rPr>
            <w:noProof/>
            <w:webHidden/>
          </w:rPr>
          <w:fldChar w:fldCharType="end"/>
        </w:r>
      </w:hyperlink>
    </w:p>
    <w:p w:rsidR="00EF2326" w:rsidRDefault="006557E7">
      <w:pPr>
        <w:pStyle w:val="TOC3"/>
        <w:tabs>
          <w:tab w:val="right" w:leader="dot" w:pos="9487"/>
        </w:tabs>
        <w:rPr>
          <w:rFonts w:asciiTheme="minorHAnsi" w:eastAsiaTheme="minorEastAsia" w:hAnsiTheme="minorHAnsi" w:cstheme="minorBidi"/>
          <w:noProof/>
          <w:lang w:val="fr-CH" w:eastAsia="fr-CH"/>
        </w:rPr>
      </w:pPr>
      <w:hyperlink w:anchor="_Toc446126605" w:history="1">
        <w:r w:rsidR="00EF2326" w:rsidRPr="00A203BE">
          <w:rPr>
            <w:rStyle w:val="Hyperlink"/>
            <w:noProof/>
          </w:rPr>
          <w:t>Otros temas relevantes</w:t>
        </w:r>
        <w:r w:rsidR="00EF2326">
          <w:rPr>
            <w:noProof/>
            <w:webHidden/>
          </w:rPr>
          <w:tab/>
        </w:r>
        <w:r>
          <w:rPr>
            <w:noProof/>
            <w:webHidden/>
          </w:rPr>
          <w:fldChar w:fldCharType="begin"/>
        </w:r>
        <w:r w:rsidR="00EF2326">
          <w:rPr>
            <w:noProof/>
            <w:webHidden/>
          </w:rPr>
          <w:instrText xml:space="preserve"> PAGEREF _Toc446126605 \h </w:instrText>
        </w:r>
        <w:r>
          <w:rPr>
            <w:noProof/>
            <w:webHidden/>
          </w:rPr>
        </w:r>
        <w:r>
          <w:rPr>
            <w:noProof/>
            <w:webHidden/>
          </w:rPr>
          <w:fldChar w:fldCharType="separate"/>
        </w:r>
        <w:r w:rsidR="00EF2326">
          <w:rPr>
            <w:noProof/>
            <w:webHidden/>
          </w:rPr>
          <w:t>19</w:t>
        </w:r>
        <w:r>
          <w:rPr>
            <w:noProof/>
            <w:webHidden/>
          </w:rPr>
          <w:fldChar w:fldCharType="end"/>
        </w:r>
      </w:hyperlink>
    </w:p>
    <w:p w:rsidR="00EF2326" w:rsidRDefault="006557E7">
      <w:pPr>
        <w:pStyle w:val="TOC1"/>
        <w:rPr>
          <w:rFonts w:asciiTheme="minorHAnsi" w:eastAsiaTheme="minorEastAsia" w:hAnsiTheme="minorHAnsi" w:cstheme="minorBidi"/>
          <w:noProof/>
          <w:lang w:val="fr-CH" w:eastAsia="fr-CH"/>
        </w:rPr>
      </w:pPr>
      <w:hyperlink w:anchor="_Toc446126606" w:history="1">
        <w:r w:rsidR="00EF2326" w:rsidRPr="00A203BE">
          <w:rPr>
            <w:rStyle w:val="Hyperlink"/>
            <w:rFonts w:ascii="Arial" w:hAnsi="Arial" w:cs="Arial"/>
            <w:b/>
            <w:noProof/>
          </w:rPr>
          <w:t>Marco constitucional y legislativo (arts. 1 y 2)</w:t>
        </w:r>
        <w:r w:rsidR="00EF2326">
          <w:rPr>
            <w:noProof/>
            <w:webHidden/>
          </w:rPr>
          <w:tab/>
        </w:r>
        <w:r>
          <w:rPr>
            <w:noProof/>
            <w:webHidden/>
          </w:rPr>
          <w:fldChar w:fldCharType="begin"/>
        </w:r>
        <w:r w:rsidR="00EF2326">
          <w:rPr>
            <w:noProof/>
            <w:webHidden/>
          </w:rPr>
          <w:instrText xml:space="preserve"> PAGEREF _Toc446126606 \h </w:instrText>
        </w:r>
        <w:r>
          <w:rPr>
            <w:noProof/>
            <w:webHidden/>
          </w:rPr>
        </w:r>
        <w:r>
          <w:rPr>
            <w:noProof/>
            <w:webHidden/>
          </w:rPr>
          <w:fldChar w:fldCharType="separate"/>
        </w:r>
        <w:r w:rsidR="00EF2326">
          <w:rPr>
            <w:noProof/>
            <w:webHidden/>
          </w:rPr>
          <w:t>20</w:t>
        </w:r>
        <w:r>
          <w:rPr>
            <w:noProof/>
            <w:webHidden/>
          </w:rPr>
          <w:fldChar w:fldCharType="end"/>
        </w:r>
      </w:hyperlink>
    </w:p>
    <w:p w:rsidR="00EF2326" w:rsidRDefault="006557E7">
      <w:pPr>
        <w:pStyle w:val="TOC2"/>
        <w:tabs>
          <w:tab w:val="left" w:pos="660"/>
          <w:tab w:val="right" w:leader="dot" w:pos="9487"/>
        </w:tabs>
        <w:rPr>
          <w:rFonts w:asciiTheme="minorHAnsi" w:eastAsiaTheme="minorEastAsia" w:hAnsiTheme="minorHAnsi" w:cstheme="minorBidi"/>
          <w:noProof/>
          <w:lang w:val="fr-CH" w:eastAsia="fr-CH"/>
        </w:rPr>
      </w:pPr>
      <w:hyperlink w:anchor="_Toc446126607" w:history="1">
        <w:r w:rsidR="00EF2326" w:rsidRPr="00A203BE">
          <w:rPr>
            <w:rStyle w:val="Hyperlink"/>
            <w:noProof/>
          </w:rPr>
          <w:t>1.</w:t>
        </w:r>
        <w:r w:rsidR="00EF2326">
          <w:rPr>
            <w:rFonts w:asciiTheme="minorHAnsi" w:eastAsiaTheme="minorEastAsia" w:hAnsiTheme="minorHAnsi" w:cstheme="minorBidi"/>
            <w:noProof/>
            <w:lang w:val="fr-CH" w:eastAsia="fr-CH"/>
          </w:rPr>
          <w:tab/>
        </w:r>
        <w:r w:rsidR="00EF2326" w:rsidRPr="00A203BE">
          <w:rPr>
            <w:rStyle w:val="Hyperlink"/>
            <w:noProof/>
          </w:rPr>
          <w:t>Sírvanse informar sobre la invocación y la aplicación de las disposiciones del Pacto ante los tribunales nacionales. Sírvanse describir el procedimiento vigente para los dictámenes adoptados por el Comité en aplicación del Protocolo Facultativo. Asimismo sírvanse informar sobre las actividades realizadas por la Comisión Interinstitucional para el seguimiento e implementación de las obligaciones internacionales en derechos humanos, en particular sobre los avances en la creación de una entidad permanente de consulta con la sociedad civil (CCPR/C/CRI/6, párrs. 2 a 4).</w:t>
        </w:r>
        <w:r w:rsidR="00EF2326">
          <w:rPr>
            <w:noProof/>
            <w:webHidden/>
          </w:rPr>
          <w:tab/>
        </w:r>
        <w:r>
          <w:rPr>
            <w:noProof/>
            <w:webHidden/>
          </w:rPr>
          <w:fldChar w:fldCharType="begin"/>
        </w:r>
        <w:r w:rsidR="00EF2326">
          <w:rPr>
            <w:noProof/>
            <w:webHidden/>
          </w:rPr>
          <w:instrText xml:space="preserve"> PAGEREF _Toc446126607 \h </w:instrText>
        </w:r>
        <w:r>
          <w:rPr>
            <w:noProof/>
            <w:webHidden/>
          </w:rPr>
        </w:r>
        <w:r>
          <w:rPr>
            <w:noProof/>
            <w:webHidden/>
          </w:rPr>
          <w:fldChar w:fldCharType="separate"/>
        </w:r>
        <w:r w:rsidR="00EF2326">
          <w:rPr>
            <w:noProof/>
            <w:webHidden/>
          </w:rPr>
          <w:t>20</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08" w:history="1">
        <w:r w:rsidR="00EF2326" w:rsidRPr="00A203BE">
          <w:rPr>
            <w:rStyle w:val="Hyperlink"/>
            <w:noProof/>
          </w:rPr>
          <w:t>a.</w:t>
        </w:r>
        <w:r w:rsidR="00EF2326">
          <w:rPr>
            <w:rFonts w:asciiTheme="minorHAnsi" w:eastAsiaTheme="minorEastAsia" w:hAnsiTheme="minorHAnsi" w:cstheme="minorBidi"/>
            <w:noProof/>
            <w:lang w:val="fr-CH" w:eastAsia="fr-CH"/>
          </w:rPr>
          <w:tab/>
        </w:r>
        <w:r w:rsidR="00EF2326" w:rsidRPr="00A203BE">
          <w:rPr>
            <w:rStyle w:val="Hyperlink"/>
            <w:noProof/>
          </w:rPr>
          <w:t>Invocación y aplicación disposiciones del Pacto</w:t>
        </w:r>
        <w:r w:rsidR="00EF2326">
          <w:rPr>
            <w:noProof/>
            <w:webHidden/>
          </w:rPr>
          <w:tab/>
        </w:r>
        <w:r>
          <w:rPr>
            <w:noProof/>
            <w:webHidden/>
          </w:rPr>
          <w:fldChar w:fldCharType="begin"/>
        </w:r>
        <w:r w:rsidR="00EF2326">
          <w:rPr>
            <w:noProof/>
            <w:webHidden/>
          </w:rPr>
          <w:instrText xml:space="preserve"> PAGEREF _Toc446126608 \h </w:instrText>
        </w:r>
        <w:r>
          <w:rPr>
            <w:noProof/>
            <w:webHidden/>
          </w:rPr>
        </w:r>
        <w:r>
          <w:rPr>
            <w:noProof/>
            <w:webHidden/>
          </w:rPr>
          <w:fldChar w:fldCharType="separate"/>
        </w:r>
        <w:r w:rsidR="00EF2326">
          <w:rPr>
            <w:noProof/>
            <w:webHidden/>
          </w:rPr>
          <w:t>20</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09" w:history="1">
        <w:r w:rsidR="00EF2326" w:rsidRPr="00A203BE">
          <w:rPr>
            <w:rStyle w:val="Hyperlink"/>
            <w:noProof/>
          </w:rPr>
          <w:t>b.</w:t>
        </w:r>
        <w:r w:rsidR="00EF2326">
          <w:rPr>
            <w:rFonts w:asciiTheme="minorHAnsi" w:eastAsiaTheme="minorEastAsia" w:hAnsiTheme="minorHAnsi" w:cstheme="minorBidi"/>
            <w:noProof/>
            <w:lang w:val="fr-CH" w:eastAsia="fr-CH"/>
          </w:rPr>
          <w:tab/>
        </w:r>
        <w:r w:rsidR="00EF2326" w:rsidRPr="00A203BE">
          <w:rPr>
            <w:rStyle w:val="Hyperlink"/>
            <w:noProof/>
          </w:rPr>
          <w:t>Procedimiento vigente para los dictámenes adoptados por el Comité en aplicación del Protocolo Facultativo</w:t>
        </w:r>
        <w:r w:rsidR="00EF2326">
          <w:rPr>
            <w:noProof/>
            <w:webHidden/>
          </w:rPr>
          <w:tab/>
        </w:r>
        <w:r>
          <w:rPr>
            <w:noProof/>
            <w:webHidden/>
          </w:rPr>
          <w:fldChar w:fldCharType="begin"/>
        </w:r>
        <w:r w:rsidR="00EF2326">
          <w:rPr>
            <w:noProof/>
            <w:webHidden/>
          </w:rPr>
          <w:instrText xml:space="preserve"> PAGEREF _Toc446126609 \h </w:instrText>
        </w:r>
        <w:r>
          <w:rPr>
            <w:noProof/>
            <w:webHidden/>
          </w:rPr>
        </w:r>
        <w:r>
          <w:rPr>
            <w:noProof/>
            <w:webHidden/>
          </w:rPr>
          <w:fldChar w:fldCharType="separate"/>
        </w:r>
        <w:r w:rsidR="00EF2326">
          <w:rPr>
            <w:noProof/>
            <w:webHidden/>
          </w:rPr>
          <w:t>25</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10" w:history="1">
        <w:r w:rsidR="00EF2326" w:rsidRPr="00A203BE">
          <w:rPr>
            <w:rStyle w:val="Hyperlink"/>
            <w:noProof/>
          </w:rPr>
          <w:t>c.</w:t>
        </w:r>
        <w:r w:rsidR="00EF2326">
          <w:rPr>
            <w:rFonts w:asciiTheme="minorHAnsi" w:eastAsiaTheme="minorEastAsia" w:hAnsiTheme="minorHAnsi" w:cstheme="minorBidi"/>
            <w:noProof/>
            <w:lang w:val="fr-CH" w:eastAsia="fr-CH"/>
          </w:rPr>
          <w:tab/>
        </w:r>
        <w:r w:rsidR="00EF2326" w:rsidRPr="00A203BE">
          <w:rPr>
            <w:rStyle w:val="Hyperlink"/>
            <w:noProof/>
          </w:rPr>
          <w:t>Actividades de la Comisión Interinstitucional para el seguimiento e implementación de las obligaciones internacionales en derechos humanos (entidad permanente de consulta con la sociedad civil).</w:t>
        </w:r>
        <w:r w:rsidR="00EF2326">
          <w:rPr>
            <w:noProof/>
            <w:webHidden/>
          </w:rPr>
          <w:tab/>
        </w:r>
        <w:r>
          <w:rPr>
            <w:noProof/>
            <w:webHidden/>
          </w:rPr>
          <w:fldChar w:fldCharType="begin"/>
        </w:r>
        <w:r w:rsidR="00EF2326">
          <w:rPr>
            <w:noProof/>
            <w:webHidden/>
          </w:rPr>
          <w:instrText xml:space="preserve"> PAGEREF _Toc446126610 \h </w:instrText>
        </w:r>
        <w:r>
          <w:rPr>
            <w:noProof/>
            <w:webHidden/>
          </w:rPr>
        </w:r>
        <w:r>
          <w:rPr>
            <w:noProof/>
            <w:webHidden/>
          </w:rPr>
          <w:fldChar w:fldCharType="separate"/>
        </w:r>
        <w:r w:rsidR="00EF2326">
          <w:rPr>
            <w:noProof/>
            <w:webHidden/>
          </w:rPr>
          <w:t>25</w:t>
        </w:r>
        <w:r>
          <w:rPr>
            <w:noProof/>
            <w:webHidden/>
          </w:rPr>
          <w:fldChar w:fldCharType="end"/>
        </w:r>
      </w:hyperlink>
    </w:p>
    <w:p w:rsidR="00EF2326" w:rsidRDefault="006557E7">
      <w:pPr>
        <w:pStyle w:val="TOC2"/>
        <w:tabs>
          <w:tab w:val="left" w:pos="660"/>
          <w:tab w:val="right" w:leader="dot" w:pos="9487"/>
        </w:tabs>
        <w:rPr>
          <w:rFonts w:asciiTheme="minorHAnsi" w:eastAsiaTheme="minorEastAsia" w:hAnsiTheme="minorHAnsi" w:cstheme="minorBidi"/>
          <w:noProof/>
          <w:lang w:val="fr-CH" w:eastAsia="fr-CH"/>
        </w:rPr>
      </w:pPr>
      <w:hyperlink w:anchor="_Toc446126611" w:history="1">
        <w:r w:rsidR="00EF2326" w:rsidRPr="00A203BE">
          <w:rPr>
            <w:rStyle w:val="Hyperlink"/>
            <w:noProof/>
          </w:rPr>
          <w:t>2.</w:t>
        </w:r>
        <w:r w:rsidR="00EF2326">
          <w:rPr>
            <w:rFonts w:asciiTheme="minorHAnsi" w:eastAsiaTheme="minorEastAsia" w:hAnsiTheme="minorHAnsi" w:cstheme="minorBidi"/>
            <w:noProof/>
            <w:lang w:val="fr-CH" w:eastAsia="fr-CH"/>
          </w:rPr>
          <w:tab/>
        </w:r>
        <w:r w:rsidR="00EF2326" w:rsidRPr="00A203BE">
          <w:rPr>
            <w:rStyle w:val="Hyperlink"/>
            <w:noProof/>
          </w:rPr>
          <w:t>Sírvanse informar sobre la financiación de la Defensoría de los Habitantes y sobre el proceso de selección del Defensor Adjunto y si este proceso cumple con los principios relativos al estatuto de las instituciones nacionales de promoción y protección de los derechos humanos (Principios de París) (resolución 48/134 de la Asamblea General, anexo)</w:t>
        </w:r>
        <w:r w:rsidR="00EF2326">
          <w:rPr>
            <w:noProof/>
            <w:webHidden/>
          </w:rPr>
          <w:tab/>
        </w:r>
        <w:r>
          <w:rPr>
            <w:noProof/>
            <w:webHidden/>
          </w:rPr>
          <w:fldChar w:fldCharType="begin"/>
        </w:r>
        <w:r w:rsidR="00EF2326">
          <w:rPr>
            <w:noProof/>
            <w:webHidden/>
          </w:rPr>
          <w:instrText xml:space="preserve"> PAGEREF _Toc446126611 \h </w:instrText>
        </w:r>
        <w:r>
          <w:rPr>
            <w:noProof/>
            <w:webHidden/>
          </w:rPr>
        </w:r>
        <w:r>
          <w:rPr>
            <w:noProof/>
            <w:webHidden/>
          </w:rPr>
          <w:fldChar w:fldCharType="separate"/>
        </w:r>
        <w:r w:rsidR="00EF2326">
          <w:rPr>
            <w:noProof/>
            <w:webHidden/>
          </w:rPr>
          <w:t>26</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12" w:history="1">
        <w:r w:rsidR="00EF2326" w:rsidRPr="00A203BE">
          <w:rPr>
            <w:rStyle w:val="Hyperlink"/>
            <w:noProof/>
          </w:rPr>
          <w:t>a.</w:t>
        </w:r>
        <w:r w:rsidR="00EF2326">
          <w:rPr>
            <w:rFonts w:asciiTheme="minorHAnsi" w:eastAsiaTheme="minorEastAsia" w:hAnsiTheme="minorHAnsi" w:cstheme="minorBidi"/>
            <w:noProof/>
            <w:lang w:val="fr-CH" w:eastAsia="fr-CH"/>
          </w:rPr>
          <w:tab/>
        </w:r>
        <w:r w:rsidR="00EF2326" w:rsidRPr="00A203BE">
          <w:rPr>
            <w:rStyle w:val="Hyperlink"/>
            <w:noProof/>
          </w:rPr>
          <w:t>Financiación de la Defensoría de los Habitantes</w:t>
        </w:r>
        <w:r w:rsidR="00EF2326">
          <w:rPr>
            <w:noProof/>
            <w:webHidden/>
          </w:rPr>
          <w:tab/>
        </w:r>
        <w:r>
          <w:rPr>
            <w:noProof/>
            <w:webHidden/>
          </w:rPr>
          <w:fldChar w:fldCharType="begin"/>
        </w:r>
        <w:r w:rsidR="00EF2326">
          <w:rPr>
            <w:noProof/>
            <w:webHidden/>
          </w:rPr>
          <w:instrText xml:space="preserve"> PAGEREF _Toc446126612 \h </w:instrText>
        </w:r>
        <w:r>
          <w:rPr>
            <w:noProof/>
            <w:webHidden/>
          </w:rPr>
        </w:r>
        <w:r>
          <w:rPr>
            <w:noProof/>
            <w:webHidden/>
          </w:rPr>
          <w:fldChar w:fldCharType="separate"/>
        </w:r>
        <w:r w:rsidR="00EF2326">
          <w:rPr>
            <w:noProof/>
            <w:webHidden/>
          </w:rPr>
          <w:t>26</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13" w:history="1">
        <w:r w:rsidR="00EF2326" w:rsidRPr="00A203BE">
          <w:rPr>
            <w:rStyle w:val="Hyperlink"/>
            <w:noProof/>
          </w:rPr>
          <w:t>b.</w:t>
        </w:r>
        <w:r w:rsidR="00EF2326">
          <w:rPr>
            <w:rFonts w:asciiTheme="minorHAnsi" w:eastAsiaTheme="minorEastAsia" w:hAnsiTheme="minorHAnsi" w:cstheme="minorBidi"/>
            <w:noProof/>
            <w:lang w:val="fr-CH" w:eastAsia="fr-CH"/>
          </w:rPr>
          <w:tab/>
        </w:r>
        <w:r w:rsidR="00EF2326" w:rsidRPr="00A203BE">
          <w:rPr>
            <w:rStyle w:val="Hyperlink"/>
            <w:noProof/>
          </w:rPr>
          <w:t>Proceso de selección del Defensor Adjunto. Conformidad con Principios de París.</w:t>
        </w:r>
        <w:r w:rsidR="00EF2326">
          <w:rPr>
            <w:noProof/>
            <w:webHidden/>
          </w:rPr>
          <w:tab/>
        </w:r>
        <w:r>
          <w:rPr>
            <w:noProof/>
            <w:webHidden/>
          </w:rPr>
          <w:fldChar w:fldCharType="begin"/>
        </w:r>
        <w:r w:rsidR="00EF2326">
          <w:rPr>
            <w:noProof/>
            <w:webHidden/>
          </w:rPr>
          <w:instrText xml:space="preserve"> PAGEREF _Toc446126613 \h </w:instrText>
        </w:r>
        <w:r>
          <w:rPr>
            <w:noProof/>
            <w:webHidden/>
          </w:rPr>
        </w:r>
        <w:r>
          <w:rPr>
            <w:noProof/>
            <w:webHidden/>
          </w:rPr>
          <w:fldChar w:fldCharType="separate"/>
        </w:r>
        <w:r w:rsidR="00EF2326">
          <w:rPr>
            <w:noProof/>
            <w:webHidden/>
          </w:rPr>
          <w:t>26</w:t>
        </w:r>
        <w:r>
          <w:rPr>
            <w:noProof/>
            <w:webHidden/>
          </w:rPr>
          <w:fldChar w:fldCharType="end"/>
        </w:r>
      </w:hyperlink>
    </w:p>
    <w:p w:rsidR="00EF2326" w:rsidRDefault="006557E7">
      <w:pPr>
        <w:pStyle w:val="TOC1"/>
        <w:rPr>
          <w:rFonts w:asciiTheme="minorHAnsi" w:eastAsiaTheme="minorEastAsia" w:hAnsiTheme="minorHAnsi" w:cstheme="minorBidi"/>
          <w:noProof/>
          <w:lang w:val="fr-CH" w:eastAsia="fr-CH"/>
        </w:rPr>
      </w:pPr>
      <w:hyperlink w:anchor="_Toc446126614" w:history="1">
        <w:r w:rsidR="00EF2326" w:rsidRPr="00A203BE">
          <w:rPr>
            <w:rStyle w:val="Hyperlink"/>
            <w:rFonts w:ascii="Arial" w:hAnsi="Arial" w:cs="Arial"/>
            <w:b/>
            <w:noProof/>
          </w:rPr>
          <w:t>No discriminación, igualdad de derechos entre hombres y mujeres (arts. 2, 3 y 26)</w:t>
        </w:r>
        <w:r w:rsidR="00EF2326">
          <w:rPr>
            <w:noProof/>
            <w:webHidden/>
          </w:rPr>
          <w:tab/>
        </w:r>
        <w:r>
          <w:rPr>
            <w:noProof/>
            <w:webHidden/>
          </w:rPr>
          <w:fldChar w:fldCharType="begin"/>
        </w:r>
        <w:r w:rsidR="00EF2326">
          <w:rPr>
            <w:noProof/>
            <w:webHidden/>
          </w:rPr>
          <w:instrText xml:space="preserve"> PAGEREF _Toc446126614 \h </w:instrText>
        </w:r>
        <w:r>
          <w:rPr>
            <w:noProof/>
            <w:webHidden/>
          </w:rPr>
        </w:r>
        <w:r>
          <w:rPr>
            <w:noProof/>
            <w:webHidden/>
          </w:rPr>
          <w:fldChar w:fldCharType="separate"/>
        </w:r>
        <w:r w:rsidR="00EF2326">
          <w:rPr>
            <w:noProof/>
            <w:webHidden/>
          </w:rPr>
          <w:t>27</w:t>
        </w:r>
        <w:r>
          <w:rPr>
            <w:noProof/>
            <w:webHidden/>
          </w:rPr>
          <w:fldChar w:fldCharType="end"/>
        </w:r>
      </w:hyperlink>
    </w:p>
    <w:p w:rsidR="00EF2326" w:rsidRDefault="006557E7">
      <w:pPr>
        <w:pStyle w:val="TOC2"/>
        <w:tabs>
          <w:tab w:val="left" w:pos="660"/>
          <w:tab w:val="right" w:leader="dot" w:pos="9487"/>
        </w:tabs>
        <w:rPr>
          <w:rFonts w:asciiTheme="minorHAnsi" w:eastAsiaTheme="minorEastAsia" w:hAnsiTheme="minorHAnsi" w:cstheme="minorBidi"/>
          <w:noProof/>
          <w:lang w:val="fr-CH" w:eastAsia="fr-CH"/>
        </w:rPr>
      </w:pPr>
      <w:hyperlink w:anchor="_Toc446126615" w:history="1">
        <w:r w:rsidR="00EF2326" w:rsidRPr="00A203BE">
          <w:rPr>
            <w:rStyle w:val="Hyperlink"/>
            <w:noProof/>
          </w:rPr>
          <w:t>3.</w:t>
        </w:r>
        <w:r w:rsidR="00EF2326">
          <w:rPr>
            <w:rFonts w:asciiTheme="minorHAnsi" w:eastAsiaTheme="minorEastAsia" w:hAnsiTheme="minorHAnsi" w:cstheme="minorBidi"/>
            <w:noProof/>
            <w:lang w:val="fr-CH" w:eastAsia="fr-CH"/>
          </w:rPr>
          <w:tab/>
        </w:r>
        <w:r w:rsidR="00EF2326" w:rsidRPr="00A203BE">
          <w:rPr>
            <w:rStyle w:val="Hyperlink"/>
            <w:noProof/>
          </w:rPr>
          <w:t xml:space="preserve">Sírvanse indicar las medidas adoptadas por el Estado parte en respuesta a la preocupación expresada por el Comité en sus anteriores observaciones finales (CCPR/CRI/CO/5, párr. 13) y proporcionar información sobre las medidas tomadas sobre la estigmatización a los nicaragüenses, los colombianos y los refugiados de esta última nacionalidad. Sírvanse, asimismo, indicar las medidas </w:t>
        </w:r>
        <w:r w:rsidR="00EF2326" w:rsidRPr="00A203BE">
          <w:rPr>
            <w:rStyle w:val="Hyperlink"/>
            <w:noProof/>
          </w:rPr>
          <w:lastRenderedPageBreak/>
          <w:t>tomadas para combatir el racismo estructural, la discriminación racial y la xenofobia, en particular los resultados de la Política Nacional para una Sociedad Libre de Racismo, Discriminación Racial y Xenofobia (CCPR/C/CRI/6, párrs. 72 y 73)</w:t>
        </w:r>
        <w:r w:rsidR="00EF2326">
          <w:rPr>
            <w:noProof/>
            <w:webHidden/>
          </w:rPr>
          <w:tab/>
        </w:r>
        <w:r>
          <w:rPr>
            <w:noProof/>
            <w:webHidden/>
          </w:rPr>
          <w:fldChar w:fldCharType="begin"/>
        </w:r>
        <w:r w:rsidR="00EF2326">
          <w:rPr>
            <w:noProof/>
            <w:webHidden/>
          </w:rPr>
          <w:instrText xml:space="preserve"> PAGEREF _Toc446126615 \h </w:instrText>
        </w:r>
        <w:r>
          <w:rPr>
            <w:noProof/>
            <w:webHidden/>
          </w:rPr>
        </w:r>
        <w:r>
          <w:rPr>
            <w:noProof/>
            <w:webHidden/>
          </w:rPr>
          <w:fldChar w:fldCharType="separate"/>
        </w:r>
        <w:r w:rsidR="00EF2326">
          <w:rPr>
            <w:noProof/>
            <w:webHidden/>
          </w:rPr>
          <w:t>27</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16" w:history="1">
        <w:r w:rsidR="00EF2326" w:rsidRPr="00A203BE">
          <w:rPr>
            <w:rStyle w:val="Hyperlink"/>
            <w:noProof/>
          </w:rPr>
          <w:t>a.</w:t>
        </w:r>
        <w:r w:rsidR="00EF2326">
          <w:rPr>
            <w:rFonts w:asciiTheme="minorHAnsi" w:eastAsiaTheme="minorEastAsia" w:hAnsiTheme="minorHAnsi" w:cstheme="minorBidi"/>
            <w:noProof/>
            <w:lang w:val="fr-CH" w:eastAsia="fr-CH"/>
          </w:rPr>
          <w:tab/>
        </w:r>
        <w:r w:rsidR="00EF2326" w:rsidRPr="00A203BE">
          <w:rPr>
            <w:rStyle w:val="Hyperlink"/>
            <w:noProof/>
          </w:rPr>
          <w:t>Medias adoptadas por el sobre estigmatización nicaragüenses, colombianos y refugiados de esta última nacionalidad.</w:t>
        </w:r>
        <w:r w:rsidR="00EF2326">
          <w:rPr>
            <w:noProof/>
            <w:webHidden/>
          </w:rPr>
          <w:tab/>
        </w:r>
        <w:r>
          <w:rPr>
            <w:noProof/>
            <w:webHidden/>
          </w:rPr>
          <w:fldChar w:fldCharType="begin"/>
        </w:r>
        <w:r w:rsidR="00EF2326">
          <w:rPr>
            <w:noProof/>
            <w:webHidden/>
          </w:rPr>
          <w:instrText xml:space="preserve"> PAGEREF _Toc446126616 \h </w:instrText>
        </w:r>
        <w:r>
          <w:rPr>
            <w:noProof/>
            <w:webHidden/>
          </w:rPr>
        </w:r>
        <w:r>
          <w:rPr>
            <w:noProof/>
            <w:webHidden/>
          </w:rPr>
          <w:fldChar w:fldCharType="separate"/>
        </w:r>
        <w:r w:rsidR="00EF2326">
          <w:rPr>
            <w:noProof/>
            <w:webHidden/>
          </w:rPr>
          <w:t>27</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17" w:history="1">
        <w:r w:rsidR="00EF2326" w:rsidRPr="00A203BE">
          <w:rPr>
            <w:rStyle w:val="Hyperlink"/>
            <w:noProof/>
          </w:rPr>
          <w:t>b.</w:t>
        </w:r>
        <w:r w:rsidR="00EF2326">
          <w:rPr>
            <w:rFonts w:asciiTheme="minorHAnsi" w:eastAsiaTheme="minorEastAsia" w:hAnsiTheme="minorHAnsi" w:cstheme="minorBidi"/>
            <w:noProof/>
            <w:lang w:val="fr-CH" w:eastAsia="fr-CH"/>
          </w:rPr>
          <w:tab/>
        </w:r>
        <w:r w:rsidR="00EF2326" w:rsidRPr="00A203BE">
          <w:rPr>
            <w:rStyle w:val="Hyperlink"/>
            <w:noProof/>
          </w:rPr>
          <w:t>Medidas adoptadas para combatir racismo estructural, la discriminación racial y la xenofobia. Resultados de la Política Nacional para una Sociedad Libre de Racismo, Discriminación Racial y Xenofobia.</w:t>
        </w:r>
        <w:r w:rsidR="00EF2326">
          <w:rPr>
            <w:noProof/>
            <w:webHidden/>
          </w:rPr>
          <w:tab/>
        </w:r>
        <w:r>
          <w:rPr>
            <w:noProof/>
            <w:webHidden/>
          </w:rPr>
          <w:fldChar w:fldCharType="begin"/>
        </w:r>
        <w:r w:rsidR="00EF2326">
          <w:rPr>
            <w:noProof/>
            <w:webHidden/>
          </w:rPr>
          <w:instrText xml:space="preserve"> PAGEREF _Toc446126617 \h </w:instrText>
        </w:r>
        <w:r>
          <w:rPr>
            <w:noProof/>
            <w:webHidden/>
          </w:rPr>
        </w:r>
        <w:r>
          <w:rPr>
            <w:noProof/>
            <w:webHidden/>
          </w:rPr>
          <w:fldChar w:fldCharType="separate"/>
        </w:r>
        <w:r w:rsidR="00EF2326">
          <w:rPr>
            <w:noProof/>
            <w:webHidden/>
          </w:rPr>
          <w:t>28</w:t>
        </w:r>
        <w:r>
          <w:rPr>
            <w:noProof/>
            <w:webHidden/>
          </w:rPr>
          <w:fldChar w:fldCharType="end"/>
        </w:r>
      </w:hyperlink>
    </w:p>
    <w:p w:rsidR="00EF2326" w:rsidRDefault="006557E7">
      <w:pPr>
        <w:pStyle w:val="TOC2"/>
        <w:tabs>
          <w:tab w:val="left" w:pos="660"/>
          <w:tab w:val="right" w:leader="dot" w:pos="9487"/>
        </w:tabs>
        <w:rPr>
          <w:rFonts w:asciiTheme="minorHAnsi" w:eastAsiaTheme="minorEastAsia" w:hAnsiTheme="minorHAnsi" w:cstheme="minorBidi"/>
          <w:noProof/>
          <w:lang w:val="fr-CH" w:eastAsia="fr-CH"/>
        </w:rPr>
      </w:pPr>
      <w:hyperlink w:anchor="_Toc446126618" w:history="1">
        <w:r w:rsidR="00EF2326" w:rsidRPr="00A203BE">
          <w:rPr>
            <w:rStyle w:val="Hyperlink"/>
            <w:noProof/>
          </w:rPr>
          <w:t>4.</w:t>
        </w:r>
        <w:r w:rsidR="00EF2326">
          <w:rPr>
            <w:rFonts w:asciiTheme="minorHAnsi" w:eastAsiaTheme="minorEastAsia" w:hAnsiTheme="minorHAnsi" w:cstheme="minorBidi"/>
            <w:noProof/>
            <w:lang w:val="fr-CH" w:eastAsia="fr-CH"/>
          </w:rPr>
          <w:tab/>
        </w:r>
        <w:r w:rsidR="00EF2326" w:rsidRPr="00A203BE">
          <w:rPr>
            <w:rStyle w:val="Hyperlink"/>
            <w:noProof/>
          </w:rPr>
          <w:t>Sírvanse informar acerca de las medidas adoptadas, incluyendo campañas de sensibilización, y su impacto, para prevenir y proporcionar una protección eficaz contra la violencia y la discriminación por motivos de orientación sexual o identidad de género. Sírvanse, asimismo, indicar si existe una disposición legislativa que prohíba explícitamente la discriminación por motivos de orientación sexual o identidad de género. Sírvanse acompañar información acerca del número de denuncias por actos de violencia contra personas lesbianas, gais, bisexuales y transgénero recibidas; las investigaciones llevadas a cabo y sus resultados, incluidas las condenas impuestas a los responsables; y las medidas de reparación otorgadas a la víctimas.</w:t>
        </w:r>
        <w:r w:rsidR="00EF2326">
          <w:rPr>
            <w:noProof/>
            <w:webHidden/>
          </w:rPr>
          <w:tab/>
        </w:r>
        <w:r>
          <w:rPr>
            <w:noProof/>
            <w:webHidden/>
          </w:rPr>
          <w:fldChar w:fldCharType="begin"/>
        </w:r>
        <w:r w:rsidR="00EF2326">
          <w:rPr>
            <w:noProof/>
            <w:webHidden/>
          </w:rPr>
          <w:instrText xml:space="preserve"> PAGEREF _Toc446126618 \h </w:instrText>
        </w:r>
        <w:r>
          <w:rPr>
            <w:noProof/>
            <w:webHidden/>
          </w:rPr>
        </w:r>
        <w:r>
          <w:rPr>
            <w:noProof/>
            <w:webHidden/>
          </w:rPr>
          <w:fldChar w:fldCharType="separate"/>
        </w:r>
        <w:r w:rsidR="00EF2326">
          <w:rPr>
            <w:noProof/>
            <w:webHidden/>
          </w:rPr>
          <w:t>29</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19" w:history="1">
        <w:r w:rsidR="00EF2326" w:rsidRPr="00A203BE">
          <w:rPr>
            <w:rStyle w:val="Hyperlink"/>
            <w:noProof/>
          </w:rPr>
          <w:t>a.</w:t>
        </w:r>
        <w:r w:rsidR="00EF2326">
          <w:rPr>
            <w:rFonts w:asciiTheme="minorHAnsi" w:eastAsiaTheme="minorEastAsia" w:hAnsiTheme="minorHAnsi" w:cstheme="minorBidi"/>
            <w:noProof/>
            <w:lang w:val="fr-CH" w:eastAsia="fr-CH"/>
          </w:rPr>
          <w:tab/>
        </w:r>
        <w:r w:rsidR="00EF2326" w:rsidRPr="00A203BE">
          <w:rPr>
            <w:rStyle w:val="Hyperlink"/>
            <w:noProof/>
          </w:rPr>
          <w:t>Medidas adoptadas para prevenir y proporcionar protección eficaz contra la violencia y la discriminación por motivos de orientación sexual o identidad de género.</w:t>
        </w:r>
        <w:r w:rsidR="00EF2326">
          <w:rPr>
            <w:noProof/>
            <w:webHidden/>
          </w:rPr>
          <w:tab/>
        </w:r>
        <w:r>
          <w:rPr>
            <w:noProof/>
            <w:webHidden/>
          </w:rPr>
          <w:fldChar w:fldCharType="begin"/>
        </w:r>
        <w:r w:rsidR="00EF2326">
          <w:rPr>
            <w:noProof/>
            <w:webHidden/>
          </w:rPr>
          <w:instrText xml:space="preserve"> PAGEREF _Toc446126619 \h </w:instrText>
        </w:r>
        <w:r>
          <w:rPr>
            <w:noProof/>
            <w:webHidden/>
          </w:rPr>
        </w:r>
        <w:r>
          <w:rPr>
            <w:noProof/>
            <w:webHidden/>
          </w:rPr>
          <w:fldChar w:fldCharType="separate"/>
        </w:r>
        <w:r w:rsidR="00EF2326">
          <w:rPr>
            <w:noProof/>
            <w:webHidden/>
          </w:rPr>
          <w:t>29</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20" w:history="1">
        <w:r w:rsidR="00EF2326" w:rsidRPr="00A203BE">
          <w:rPr>
            <w:rStyle w:val="Hyperlink"/>
            <w:noProof/>
          </w:rPr>
          <w:t>b.</w:t>
        </w:r>
        <w:r w:rsidR="00EF2326">
          <w:rPr>
            <w:rFonts w:asciiTheme="minorHAnsi" w:eastAsiaTheme="minorEastAsia" w:hAnsiTheme="minorHAnsi" w:cstheme="minorBidi"/>
            <w:noProof/>
            <w:lang w:val="fr-CH" w:eastAsia="fr-CH"/>
          </w:rPr>
          <w:tab/>
        </w:r>
        <w:r w:rsidR="00EF2326" w:rsidRPr="00A203BE">
          <w:rPr>
            <w:rStyle w:val="Hyperlink"/>
            <w:noProof/>
          </w:rPr>
          <w:t>Existencia o no de una disposición legislativa que prohíba explícitamente la discriminación por motivos orientación sexual o identidad de género.</w:t>
        </w:r>
        <w:r w:rsidR="00EF2326">
          <w:rPr>
            <w:noProof/>
            <w:webHidden/>
          </w:rPr>
          <w:tab/>
        </w:r>
        <w:r>
          <w:rPr>
            <w:noProof/>
            <w:webHidden/>
          </w:rPr>
          <w:fldChar w:fldCharType="begin"/>
        </w:r>
        <w:r w:rsidR="00EF2326">
          <w:rPr>
            <w:noProof/>
            <w:webHidden/>
          </w:rPr>
          <w:instrText xml:space="preserve"> PAGEREF _Toc446126620 \h </w:instrText>
        </w:r>
        <w:r>
          <w:rPr>
            <w:noProof/>
            <w:webHidden/>
          </w:rPr>
        </w:r>
        <w:r>
          <w:rPr>
            <w:noProof/>
            <w:webHidden/>
          </w:rPr>
          <w:fldChar w:fldCharType="separate"/>
        </w:r>
        <w:r w:rsidR="00EF2326">
          <w:rPr>
            <w:noProof/>
            <w:webHidden/>
          </w:rPr>
          <w:t>31</w:t>
        </w:r>
        <w:r>
          <w:rPr>
            <w:noProof/>
            <w:webHidden/>
          </w:rPr>
          <w:fldChar w:fldCharType="end"/>
        </w:r>
      </w:hyperlink>
    </w:p>
    <w:p w:rsidR="00EF2326" w:rsidRDefault="006557E7">
      <w:pPr>
        <w:pStyle w:val="TOC2"/>
        <w:tabs>
          <w:tab w:val="left" w:pos="660"/>
          <w:tab w:val="right" w:leader="dot" w:pos="9487"/>
        </w:tabs>
        <w:rPr>
          <w:rFonts w:asciiTheme="minorHAnsi" w:eastAsiaTheme="minorEastAsia" w:hAnsiTheme="minorHAnsi" w:cstheme="minorBidi"/>
          <w:noProof/>
          <w:lang w:val="fr-CH" w:eastAsia="fr-CH"/>
        </w:rPr>
      </w:pPr>
      <w:hyperlink w:anchor="_Toc446126621" w:history="1">
        <w:r w:rsidR="00EF2326" w:rsidRPr="00A203BE">
          <w:rPr>
            <w:rStyle w:val="Hyperlink"/>
            <w:noProof/>
          </w:rPr>
          <w:t>5.</w:t>
        </w:r>
        <w:r w:rsidR="00EF2326">
          <w:rPr>
            <w:rFonts w:asciiTheme="minorHAnsi" w:eastAsiaTheme="minorEastAsia" w:hAnsiTheme="minorHAnsi" w:cstheme="minorBidi"/>
            <w:noProof/>
            <w:lang w:val="fr-CH" w:eastAsia="fr-CH"/>
          </w:rPr>
          <w:tab/>
        </w:r>
        <w:r w:rsidR="00EF2326" w:rsidRPr="00A203BE">
          <w:rPr>
            <w:rStyle w:val="Hyperlink"/>
            <w:noProof/>
          </w:rPr>
          <w:t>Sírvanse indicar qué medidas concretas ha adoptado el Estado parte para luchar contra la discriminación de las mujeres en el ámbito laboral y, en particular, para eliminar la brecha salarial existente entre hombres y mujeres. Proporcionen datos estadísticos acerca de la participación de la mujer en el mercado laboral, tanto en el sector formal como informal, desglosados por grupos y niveles ocupacionales.</w:t>
        </w:r>
        <w:r w:rsidR="00EF2326">
          <w:rPr>
            <w:noProof/>
            <w:webHidden/>
          </w:rPr>
          <w:tab/>
        </w:r>
        <w:r>
          <w:rPr>
            <w:noProof/>
            <w:webHidden/>
          </w:rPr>
          <w:fldChar w:fldCharType="begin"/>
        </w:r>
        <w:r w:rsidR="00EF2326">
          <w:rPr>
            <w:noProof/>
            <w:webHidden/>
          </w:rPr>
          <w:instrText xml:space="preserve"> PAGEREF _Toc446126621 \h </w:instrText>
        </w:r>
        <w:r>
          <w:rPr>
            <w:noProof/>
            <w:webHidden/>
          </w:rPr>
        </w:r>
        <w:r>
          <w:rPr>
            <w:noProof/>
            <w:webHidden/>
          </w:rPr>
          <w:fldChar w:fldCharType="separate"/>
        </w:r>
        <w:r w:rsidR="00EF2326">
          <w:rPr>
            <w:noProof/>
            <w:webHidden/>
          </w:rPr>
          <w:t>32</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22" w:history="1">
        <w:r w:rsidR="00EF2326" w:rsidRPr="00A203BE">
          <w:rPr>
            <w:rStyle w:val="Hyperlink"/>
            <w:noProof/>
          </w:rPr>
          <w:t>a.</w:t>
        </w:r>
        <w:r w:rsidR="00EF2326">
          <w:rPr>
            <w:rFonts w:asciiTheme="minorHAnsi" w:eastAsiaTheme="minorEastAsia" w:hAnsiTheme="minorHAnsi" w:cstheme="minorBidi"/>
            <w:noProof/>
            <w:lang w:val="fr-CH" w:eastAsia="fr-CH"/>
          </w:rPr>
          <w:tab/>
        </w:r>
        <w:r w:rsidR="00EF2326" w:rsidRPr="00A203BE">
          <w:rPr>
            <w:rStyle w:val="Hyperlink"/>
            <w:noProof/>
          </w:rPr>
          <w:t>Medidas concretas para luchar contra la discriminación de las mujeres en el ámbito laboral, en particular, para eliminar la brecha salarial existente entre hombres y mujeres.</w:t>
        </w:r>
        <w:r w:rsidR="00EF2326">
          <w:rPr>
            <w:noProof/>
            <w:webHidden/>
          </w:rPr>
          <w:tab/>
        </w:r>
        <w:r>
          <w:rPr>
            <w:noProof/>
            <w:webHidden/>
          </w:rPr>
          <w:fldChar w:fldCharType="begin"/>
        </w:r>
        <w:r w:rsidR="00EF2326">
          <w:rPr>
            <w:noProof/>
            <w:webHidden/>
          </w:rPr>
          <w:instrText xml:space="preserve"> PAGEREF _Toc446126622 \h </w:instrText>
        </w:r>
        <w:r>
          <w:rPr>
            <w:noProof/>
            <w:webHidden/>
          </w:rPr>
        </w:r>
        <w:r>
          <w:rPr>
            <w:noProof/>
            <w:webHidden/>
          </w:rPr>
          <w:fldChar w:fldCharType="separate"/>
        </w:r>
        <w:r w:rsidR="00EF2326">
          <w:rPr>
            <w:noProof/>
            <w:webHidden/>
          </w:rPr>
          <w:t>32</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23" w:history="1">
        <w:r w:rsidR="00EF2326" w:rsidRPr="00A203BE">
          <w:rPr>
            <w:rStyle w:val="Hyperlink"/>
            <w:noProof/>
          </w:rPr>
          <w:t>b.</w:t>
        </w:r>
        <w:r w:rsidR="00EF2326">
          <w:rPr>
            <w:rFonts w:asciiTheme="minorHAnsi" w:eastAsiaTheme="minorEastAsia" w:hAnsiTheme="minorHAnsi" w:cstheme="minorBidi"/>
            <w:noProof/>
            <w:lang w:val="fr-CH" w:eastAsia="fr-CH"/>
          </w:rPr>
          <w:tab/>
        </w:r>
        <w:r w:rsidR="00EF2326" w:rsidRPr="00A203BE">
          <w:rPr>
            <w:rStyle w:val="Hyperlink"/>
            <w:noProof/>
          </w:rPr>
          <w:t>Datos estadísticos acerca de la participación de la mujer en el mercado laboral, tanto en el sector formal como informal, desglosados por grupos y niveles ocupacionales</w:t>
        </w:r>
        <w:r w:rsidR="00EF2326">
          <w:rPr>
            <w:noProof/>
            <w:webHidden/>
          </w:rPr>
          <w:tab/>
        </w:r>
        <w:r>
          <w:rPr>
            <w:noProof/>
            <w:webHidden/>
          </w:rPr>
          <w:fldChar w:fldCharType="begin"/>
        </w:r>
        <w:r w:rsidR="00EF2326">
          <w:rPr>
            <w:noProof/>
            <w:webHidden/>
          </w:rPr>
          <w:instrText xml:space="preserve"> PAGEREF _Toc446126623 \h </w:instrText>
        </w:r>
        <w:r>
          <w:rPr>
            <w:noProof/>
            <w:webHidden/>
          </w:rPr>
        </w:r>
        <w:r>
          <w:rPr>
            <w:noProof/>
            <w:webHidden/>
          </w:rPr>
          <w:fldChar w:fldCharType="separate"/>
        </w:r>
        <w:r w:rsidR="00EF2326">
          <w:rPr>
            <w:noProof/>
            <w:webHidden/>
          </w:rPr>
          <w:t>32</w:t>
        </w:r>
        <w:r>
          <w:rPr>
            <w:noProof/>
            <w:webHidden/>
          </w:rPr>
          <w:fldChar w:fldCharType="end"/>
        </w:r>
      </w:hyperlink>
    </w:p>
    <w:p w:rsidR="00EF2326" w:rsidRDefault="006557E7">
      <w:pPr>
        <w:pStyle w:val="TOC2"/>
        <w:tabs>
          <w:tab w:val="left" w:pos="660"/>
          <w:tab w:val="right" w:leader="dot" w:pos="9487"/>
        </w:tabs>
        <w:rPr>
          <w:rFonts w:asciiTheme="minorHAnsi" w:eastAsiaTheme="minorEastAsia" w:hAnsiTheme="minorHAnsi" w:cstheme="minorBidi"/>
          <w:noProof/>
          <w:lang w:val="fr-CH" w:eastAsia="fr-CH"/>
        </w:rPr>
      </w:pPr>
      <w:hyperlink w:anchor="_Toc446126624" w:history="1">
        <w:r w:rsidR="00EF2326" w:rsidRPr="00A203BE">
          <w:rPr>
            <w:rStyle w:val="Hyperlink"/>
            <w:noProof/>
          </w:rPr>
          <w:t>6.</w:t>
        </w:r>
        <w:r w:rsidR="00EF2326">
          <w:rPr>
            <w:rFonts w:asciiTheme="minorHAnsi" w:eastAsiaTheme="minorEastAsia" w:hAnsiTheme="minorHAnsi" w:cstheme="minorBidi"/>
            <w:noProof/>
            <w:lang w:val="fr-CH" w:eastAsia="fr-CH"/>
          </w:rPr>
          <w:tab/>
        </w:r>
        <w:r w:rsidR="00EF2326" w:rsidRPr="00A203BE">
          <w:rPr>
            <w:rStyle w:val="Hyperlink"/>
            <w:noProof/>
          </w:rPr>
          <w:t>Indiquen asimismo los resultados del sistema de cuotas para asegurar la representación de las mujeres en los puestos de toma de decisión, particularmente respecto a la participación de mujeres indígenas en la vida política.</w:t>
        </w:r>
        <w:r w:rsidR="00EF2326">
          <w:rPr>
            <w:noProof/>
            <w:webHidden/>
          </w:rPr>
          <w:tab/>
        </w:r>
        <w:r>
          <w:rPr>
            <w:noProof/>
            <w:webHidden/>
          </w:rPr>
          <w:fldChar w:fldCharType="begin"/>
        </w:r>
        <w:r w:rsidR="00EF2326">
          <w:rPr>
            <w:noProof/>
            <w:webHidden/>
          </w:rPr>
          <w:instrText xml:space="preserve"> PAGEREF _Toc446126624 \h </w:instrText>
        </w:r>
        <w:r>
          <w:rPr>
            <w:noProof/>
            <w:webHidden/>
          </w:rPr>
        </w:r>
        <w:r>
          <w:rPr>
            <w:noProof/>
            <w:webHidden/>
          </w:rPr>
          <w:fldChar w:fldCharType="separate"/>
        </w:r>
        <w:r w:rsidR="00EF2326">
          <w:rPr>
            <w:noProof/>
            <w:webHidden/>
          </w:rPr>
          <w:t>37</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25" w:history="1">
        <w:r w:rsidR="00EF2326" w:rsidRPr="00A203BE">
          <w:rPr>
            <w:rStyle w:val="Hyperlink"/>
            <w:noProof/>
          </w:rPr>
          <w:t>a.</w:t>
        </w:r>
        <w:r w:rsidR="00EF2326">
          <w:rPr>
            <w:rFonts w:asciiTheme="minorHAnsi" w:eastAsiaTheme="minorEastAsia" w:hAnsiTheme="minorHAnsi" w:cstheme="minorBidi"/>
            <w:noProof/>
            <w:lang w:val="fr-CH" w:eastAsia="fr-CH"/>
          </w:rPr>
          <w:tab/>
        </w:r>
        <w:r w:rsidR="00EF2326" w:rsidRPr="00A203BE">
          <w:rPr>
            <w:rStyle w:val="Hyperlink"/>
            <w:noProof/>
          </w:rPr>
          <w:t>No discriminación e igualdad de género.</w:t>
        </w:r>
        <w:r w:rsidR="00EF2326">
          <w:rPr>
            <w:noProof/>
            <w:webHidden/>
          </w:rPr>
          <w:tab/>
        </w:r>
        <w:r>
          <w:rPr>
            <w:noProof/>
            <w:webHidden/>
          </w:rPr>
          <w:fldChar w:fldCharType="begin"/>
        </w:r>
        <w:r w:rsidR="00EF2326">
          <w:rPr>
            <w:noProof/>
            <w:webHidden/>
          </w:rPr>
          <w:instrText xml:space="preserve"> PAGEREF _Toc446126625 \h </w:instrText>
        </w:r>
        <w:r>
          <w:rPr>
            <w:noProof/>
            <w:webHidden/>
          </w:rPr>
        </w:r>
        <w:r>
          <w:rPr>
            <w:noProof/>
            <w:webHidden/>
          </w:rPr>
          <w:fldChar w:fldCharType="separate"/>
        </w:r>
        <w:r w:rsidR="00EF2326">
          <w:rPr>
            <w:noProof/>
            <w:webHidden/>
          </w:rPr>
          <w:t>37</w:t>
        </w:r>
        <w:r>
          <w:rPr>
            <w:noProof/>
            <w:webHidden/>
          </w:rPr>
          <w:fldChar w:fldCharType="end"/>
        </w:r>
      </w:hyperlink>
    </w:p>
    <w:p w:rsidR="00EF2326" w:rsidRDefault="006557E7">
      <w:pPr>
        <w:pStyle w:val="TOC2"/>
        <w:tabs>
          <w:tab w:val="left" w:pos="660"/>
          <w:tab w:val="right" w:leader="dot" w:pos="9487"/>
        </w:tabs>
        <w:rPr>
          <w:rFonts w:asciiTheme="minorHAnsi" w:eastAsiaTheme="minorEastAsia" w:hAnsiTheme="minorHAnsi" w:cstheme="minorBidi"/>
          <w:noProof/>
          <w:lang w:val="fr-CH" w:eastAsia="fr-CH"/>
        </w:rPr>
      </w:pPr>
      <w:hyperlink w:anchor="_Toc446126626" w:history="1">
        <w:r w:rsidR="00EF2326" w:rsidRPr="00A203BE">
          <w:rPr>
            <w:rStyle w:val="Hyperlink"/>
            <w:noProof/>
          </w:rPr>
          <w:t>7.</w:t>
        </w:r>
        <w:r w:rsidR="00EF2326">
          <w:rPr>
            <w:rFonts w:asciiTheme="minorHAnsi" w:eastAsiaTheme="minorEastAsia" w:hAnsiTheme="minorHAnsi" w:cstheme="minorBidi"/>
            <w:noProof/>
            <w:lang w:val="fr-CH" w:eastAsia="fr-CH"/>
          </w:rPr>
          <w:tab/>
        </w:r>
        <w:r w:rsidR="00EF2326" w:rsidRPr="00A203BE">
          <w:rPr>
            <w:rStyle w:val="Hyperlink"/>
            <w:noProof/>
          </w:rPr>
          <w:t xml:space="preserve">Sírvanse proporcionar información detallada sobre las disposiciones legislativas y administrativas adoptadas para que  todas las personas infectadas con VIH/SIDA gocen de igualdad en el acceso al tratamiento, incluyendo las personas lesbianas, gais, bisexuales y transgénero, personas en situación de adicción y migrantes en condición irregular que están afectadas por el VIH/SIDA. Además, sírvanse </w:t>
        </w:r>
        <w:r w:rsidR="00EF2326" w:rsidRPr="00A203BE">
          <w:rPr>
            <w:rStyle w:val="Hyperlink"/>
            <w:noProof/>
          </w:rPr>
          <w:lastRenderedPageBreak/>
          <w:t>indicar qué otras medidas se están tomando para acabar con la estigmatización y la discriminación de las personas infectadas por el VIH/SIDA.</w:t>
        </w:r>
        <w:r w:rsidR="00EF2326">
          <w:rPr>
            <w:noProof/>
            <w:webHidden/>
          </w:rPr>
          <w:tab/>
        </w:r>
        <w:r>
          <w:rPr>
            <w:noProof/>
            <w:webHidden/>
          </w:rPr>
          <w:fldChar w:fldCharType="begin"/>
        </w:r>
        <w:r w:rsidR="00EF2326">
          <w:rPr>
            <w:noProof/>
            <w:webHidden/>
          </w:rPr>
          <w:instrText xml:space="preserve"> PAGEREF _Toc446126626 \h </w:instrText>
        </w:r>
        <w:r>
          <w:rPr>
            <w:noProof/>
            <w:webHidden/>
          </w:rPr>
        </w:r>
        <w:r>
          <w:rPr>
            <w:noProof/>
            <w:webHidden/>
          </w:rPr>
          <w:fldChar w:fldCharType="separate"/>
        </w:r>
        <w:r w:rsidR="00EF2326">
          <w:rPr>
            <w:noProof/>
            <w:webHidden/>
          </w:rPr>
          <w:t>38</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27" w:history="1">
        <w:r w:rsidR="00EF2326" w:rsidRPr="00A203BE">
          <w:rPr>
            <w:rStyle w:val="Hyperlink"/>
            <w:noProof/>
          </w:rPr>
          <w:t>a.</w:t>
        </w:r>
        <w:r w:rsidR="00EF2326">
          <w:rPr>
            <w:rFonts w:asciiTheme="minorHAnsi" w:eastAsiaTheme="minorEastAsia" w:hAnsiTheme="minorHAnsi" w:cstheme="minorBidi"/>
            <w:noProof/>
            <w:lang w:val="fr-CH" w:eastAsia="fr-CH"/>
          </w:rPr>
          <w:tab/>
        </w:r>
        <w:r w:rsidR="00EF2326" w:rsidRPr="00A203BE">
          <w:rPr>
            <w:rStyle w:val="Hyperlink"/>
            <w:noProof/>
          </w:rPr>
          <w:t>Disposiciones legislativas y administrativas para igualdad de acceso a tratamiento VIH/SIDA, incluyendo lesbianas, gais, bisexuales  y transgénero, personas en situación de adicción y migrantes en condición irregular.</w:t>
        </w:r>
        <w:r w:rsidR="00EF2326">
          <w:rPr>
            <w:noProof/>
            <w:webHidden/>
          </w:rPr>
          <w:tab/>
        </w:r>
        <w:r>
          <w:rPr>
            <w:noProof/>
            <w:webHidden/>
          </w:rPr>
          <w:fldChar w:fldCharType="begin"/>
        </w:r>
        <w:r w:rsidR="00EF2326">
          <w:rPr>
            <w:noProof/>
            <w:webHidden/>
          </w:rPr>
          <w:instrText xml:space="preserve"> PAGEREF _Toc446126627 \h </w:instrText>
        </w:r>
        <w:r>
          <w:rPr>
            <w:noProof/>
            <w:webHidden/>
          </w:rPr>
        </w:r>
        <w:r>
          <w:rPr>
            <w:noProof/>
            <w:webHidden/>
          </w:rPr>
          <w:fldChar w:fldCharType="separate"/>
        </w:r>
        <w:r w:rsidR="00EF2326">
          <w:rPr>
            <w:noProof/>
            <w:webHidden/>
          </w:rPr>
          <w:t>38</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28" w:history="1">
        <w:r w:rsidR="00EF2326" w:rsidRPr="00A203BE">
          <w:rPr>
            <w:rStyle w:val="Hyperlink"/>
            <w:noProof/>
          </w:rPr>
          <w:t>b.</w:t>
        </w:r>
        <w:r w:rsidR="00EF2326">
          <w:rPr>
            <w:rFonts w:asciiTheme="minorHAnsi" w:eastAsiaTheme="minorEastAsia" w:hAnsiTheme="minorHAnsi" w:cstheme="minorBidi"/>
            <w:noProof/>
            <w:lang w:val="fr-CH" w:eastAsia="fr-CH"/>
          </w:rPr>
          <w:tab/>
        </w:r>
        <w:r w:rsidR="00EF2326" w:rsidRPr="00A203BE">
          <w:rPr>
            <w:rStyle w:val="Hyperlink"/>
            <w:noProof/>
          </w:rPr>
          <w:t>Otras medidas para acabar con la estigmatización y la discriminación de las personas infectadas con VIH/SIDA.</w:t>
        </w:r>
        <w:r w:rsidR="00EF2326">
          <w:rPr>
            <w:noProof/>
            <w:webHidden/>
          </w:rPr>
          <w:tab/>
        </w:r>
        <w:r>
          <w:rPr>
            <w:noProof/>
            <w:webHidden/>
          </w:rPr>
          <w:fldChar w:fldCharType="begin"/>
        </w:r>
        <w:r w:rsidR="00EF2326">
          <w:rPr>
            <w:noProof/>
            <w:webHidden/>
          </w:rPr>
          <w:instrText xml:space="preserve"> PAGEREF _Toc446126628 \h </w:instrText>
        </w:r>
        <w:r>
          <w:rPr>
            <w:noProof/>
            <w:webHidden/>
          </w:rPr>
        </w:r>
        <w:r>
          <w:rPr>
            <w:noProof/>
            <w:webHidden/>
          </w:rPr>
          <w:fldChar w:fldCharType="separate"/>
        </w:r>
        <w:r w:rsidR="00EF2326">
          <w:rPr>
            <w:noProof/>
            <w:webHidden/>
          </w:rPr>
          <w:t>40</w:t>
        </w:r>
        <w:r>
          <w:rPr>
            <w:noProof/>
            <w:webHidden/>
          </w:rPr>
          <w:fldChar w:fldCharType="end"/>
        </w:r>
      </w:hyperlink>
    </w:p>
    <w:p w:rsidR="00EF2326" w:rsidRDefault="006557E7">
      <w:pPr>
        <w:pStyle w:val="TOC2"/>
        <w:tabs>
          <w:tab w:val="left" w:pos="660"/>
          <w:tab w:val="right" w:leader="dot" w:pos="9487"/>
        </w:tabs>
        <w:rPr>
          <w:rFonts w:asciiTheme="minorHAnsi" w:eastAsiaTheme="minorEastAsia" w:hAnsiTheme="minorHAnsi" w:cstheme="minorBidi"/>
          <w:noProof/>
          <w:lang w:val="fr-CH" w:eastAsia="fr-CH"/>
        </w:rPr>
      </w:pPr>
      <w:hyperlink w:anchor="_Toc446126629" w:history="1">
        <w:r w:rsidR="00EF2326" w:rsidRPr="00A203BE">
          <w:rPr>
            <w:rStyle w:val="Hyperlink"/>
            <w:noProof/>
          </w:rPr>
          <w:t>8.</w:t>
        </w:r>
        <w:r w:rsidR="00EF2326">
          <w:rPr>
            <w:rFonts w:asciiTheme="minorHAnsi" w:eastAsiaTheme="minorEastAsia" w:hAnsiTheme="minorHAnsi" w:cstheme="minorBidi"/>
            <w:noProof/>
            <w:lang w:val="fr-CH" w:eastAsia="fr-CH"/>
          </w:rPr>
          <w:tab/>
        </w:r>
        <w:r w:rsidR="00EF2326" w:rsidRPr="00A203BE">
          <w:rPr>
            <w:rStyle w:val="Hyperlink"/>
            <w:noProof/>
          </w:rPr>
          <w:t>Sírvanse aclarar si la legislación nacional reconoce la discriminación por motivo de discapacidad. Sírvanse, asimismo, proporcionar información sobre la práctica de esterilización forzada a personas con discapacidad e informe acerca de las medidas que se están adoptando para mejorar la situación de las personas con discapacidad, en particular las mujeres indígenas.</w:t>
        </w:r>
        <w:r w:rsidR="00EF2326">
          <w:rPr>
            <w:noProof/>
            <w:webHidden/>
          </w:rPr>
          <w:tab/>
        </w:r>
        <w:r>
          <w:rPr>
            <w:noProof/>
            <w:webHidden/>
          </w:rPr>
          <w:fldChar w:fldCharType="begin"/>
        </w:r>
        <w:r w:rsidR="00EF2326">
          <w:rPr>
            <w:noProof/>
            <w:webHidden/>
          </w:rPr>
          <w:instrText xml:space="preserve"> PAGEREF _Toc446126629 \h </w:instrText>
        </w:r>
        <w:r>
          <w:rPr>
            <w:noProof/>
            <w:webHidden/>
          </w:rPr>
        </w:r>
        <w:r>
          <w:rPr>
            <w:noProof/>
            <w:webHidden/>
          </w:rPr>
          <w:fldChar w:fldCharType="separate"/>
        </w:r>
        <w:r w:rsidR="00EF2326">
          <w:rPr>
            <w:noProof/>
            <w:webHidden/>
          </w:rPr>
          <w:t>40</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30" w:history="1">
        <w:r w:rsidR="00EF2326" w:rsidRPr="00A203BE">
          <w:rPr>
            <w:rStyle w:val="Hyperlink"/>
            <w:noProof/>
          </w:rPr>
          <w:t>a.</w:t>
        </w:r>
        <w:r w:rsidR="00EF2326">
          <w:rPr>
            <w:rFonts w:asciiTheme="minorHAnsi" w:eastAsiaTheme="minorEastAsia" w:hAnsiTheme="minorHAnsi" w:cstheme="minorBidi"/>
            <w:noProof/>
            <w:lang w:val="fr-CH" w:eastAsia="fr-CH"/>
          </w:rPr>
          <w:tab/>
        </w:r>
        <w:r w:rsidR="00EF2326" w:rsidRPr="00A203BE">
          <w:rPr>
            <w:rStyle w:val="Hyperlink"/>
            <w:noProof/>
          </w:rPr>
          <w:t>Legislación nacional reconoce la discriminación por motivo de discapacidad.</w:t>
        </w:r>
        <w:r w:rsidR="00EF2326">
          <w:rPr>
            <w:noProof/>
            <w:webHidden/>
          </w:rPr>
          <w:tab/>
        </w:r>
        <w:r>
          <w:rPr>
            <w:noProof/>
            <w:webHidden/>
          </w:rPr>
          <w:fldChar w:fldCharType="begin"/>
        </w:r>
        <w:r w:rsidR="00EF2326">
          <w:rPr>
            <w:noProof/>
            <w:webHidden/>
          </w:rPr>
          <w:instrText xml:space="preserve"> PAGEREF _Toc446126630 \h </w:instrText>
        </w:r>
        <w:r>
          <w:rPr>
            <w:noProof/>
            <w:webHidden/>
          </w:rPr>
        </w:r>
        <w:r>
          <w:rPr>
            <w:noProof/>
            <w:webHidden/>
          </w:rPr>
          <w:fldChar w:fldCharType="separate"/>
        </w:r>
        <w:r w:rsidR="00EF2326">
          <w:rPr>
            <w:noProof/>
            <w:webHidden/>
          </w:rPr>
          <w:t>40</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31" w:history="1">
        <w:r w:rsidR="00EF2326" w:rsidRPr="00A203BE">
          <w:rPr>
            <w:rStyle w:val="Hyperlink"/>
            <w:noProof/>
          </w:rPr>
          <w:t>b.</w:t>
        </w:r>
        <w:r w:rsidR="00EF2326">
          <w:rPr>
            <w:rFonts w:asciiTheme="minorHAnsi" w:eastAsiaTheme="minorEastAsia" w:hAnsiTheme="minorHAnsi" w:cstheme="minorBidi"/>
            <w:noProof/>
            <w:lang w:val="fr-CH" w:eastAsia="fr-CH"/>
          </w:rPr>
          <w:tab/>
        </w:r>
        <w:r w:rsidR="00EF2326" w:rsidRPr="00A203BE">
          <w:rPr>
            <w:rStyle w:val="Hyperlink"/>
            <w:noProof/>
          </w:rPr>
          <w:t>Esterilización forzada de personas con discapacidad.</w:t>
        </w:r>
        <w:r w:rsidR="00EF2326">
          <w:rPr>
            <w:noProof/>
            <w:webHidden/>
          </w:rPr>
          <w:tab/>
        </w:r>
        <w:r>
          <w:rPr>
            <w:noProof/>
            <w:webHidden/>
          </w:rPr>
          <w:fldChar w:fldCharType="begin"/>
        </w:r>
        <w:r w:rsidR="00EF2326">
          <w:rPr>
            <w:noProof/>
            <w:webHidden/>
          </w:rPr>
          <w:instrText xml:space="preserve"> PAGEREF _Toc446126631 \h </w:instrText>
        </w:r>
        <w:r>
          <w:rPr>
            <w:noProof/>
            <w:webHidden/>
          </w:rPr>
        </w:r>
        <w:r>
          <w:rPr>
            <w:noProof/>
            <w:webHidden/>
          </w:rPr>
          <w:fldChar w:fldCharType="separate"/>
        </w:r>
        <w:r w:rsidR="00EF2326">
          <w:rPr>
            <w:noProof/>
            <w:webHidden/>
          </w:rPr>
          <w:t>40</w:t>
        </w:r>
        <w:r>
          <w:rPr>
            <w:noProof/>
            <w:webHidden/>
          </w:rPr>
          <w:fldChar w:fldCharType="end"/>
        </w:r>
      </w:hyperlink>
    </w:p>
    <w:p w:rsidR="00EF2326" w:rsidRDefault="006557E7">
      <w:pPr>
        <w:pStyle w:val="TOC1"/>
        <w:rPr>
          <w:rFonts w:asciiTheme="minorHAnsi" w:eastAsiaTheme="minorEastAsia" w:hAnsiTheme="minorHAnsi" w:cstheme="minorBidi"/>
          <w:noProof/>
          <w:lang w:val="fr-CH" w:eastAsia="fr-CH"/>
        </w:rPr>
      </w:pPr>
      <w:hyperlink w:anchor="_Toc446126632" w:history="1">
        <w:r w:rsidR="00EF2326" w:rsidRPr="00A203BE">
          <w:rPr>
            <w:rStyle w:val="Hyperlink"/>
            <w:rFonts w:ascii="Arial" w:hAnsi="Arial" w:cs="Arial"/>
            <w:b/>
            <w:noProof/>
          </w:rPr>
          <w:t>Principio de no devolución (art.7)</w:t>
        </w:r>
        <w:r w:rsidR="00EF2326">
          <w:rPr>
            <w:noProof/>
            <w:webHidden/>
          </w:rPr>
          <w:tab/>
        </w:r>
        <w:r>
          <w:rPr>
            <w:noProof/>
            <w:webHidden/>
          </w:rPr>
          <w:fldChar w:fldCharType="begin"/>
        </w:r>
        <w:r w:rsidR="00EF2326">
          <w:rPr>
            <w:noProof/>
            <w:webHidden/>
          </w:rPr>
          <w:instrText xml:space="preserve"> PAGEREF _Toc446126632 \h </w:instrText>
        </w:r>
        <w:r>
          <w:rPr>
            <w:noProof/>
            <w:webHidden/>
          </w:rPr>
        </w:r>
        <w:r>
          <w:rPr>
            <w:noProof/>
            <w:webHidden/>
          </w:rPr>
          <w:fldChar w:fldCharType="separate"/>
        </w:r>
        <w:r w:rsidR="00EF2326">
          <w:rPr>
            <w:noProof/>
            <w:webHidden/>
          </w:rPr>
          <w:t>41</w:t>
        </w:r>
        <w:r>
          <w:rPr>
            <w:noProof/>
            <w:webHidden/>
          </w:rPr>
          <w:fldChar w:fldCharType="end"/>
        </w:r>
      </w:hyperlink>
    </w:p>
    <w:p w:rsidR="00EF2326" w:rsidRDefault="006557E7">
      <w:pPr>
        <w:pStyle w:val="TOC2"/>
        <w:tabs>
          <w:tab w:val="left" w:pos="660"/>
          <w:tab w:val="right" w:leader="dot" w:pos="9487"/>
        </w:tabs>
        <w:rPr>
          <w:rFonts w:asciiTheme="minorHAnsi" w:eastAsiaTheme="minorEastAsia" w:hAnsiTheme="minorHAnsi" w:cstheme="minorBidi"/>
          <w:noProof/>
          <w:lang w:val="fr-CH" w:eastAsia="fr-CH"/>
        </w:rPr>
      </w:pPr>
      <w:hyperlink w:anchor="_Toc446126633" w:history="1">
        <w:r w:rsidR="00EF2326" w:rsidRPr="00A203BE">
          <w:rPr>
            <w:rStyle w:val="Hyperlink"/>
            <w:noProof/>
          </w:rPr>
          <w:t>9.</w:t>
        </w:r>
        <w:r w:rsidR="00EF2326">
          <w:rPr>
            <w:rFonts w:asciiTheme="minorHAnsi" w:eastAsiaTheme="minorEastAsia" w:hAnsiTheme="minorHAnsi" w:cstheme="minorBidi"/>
            <w:noProof/>
            <w:lang w:val="fr-CH" w:eastAsia="fr-CH"/>
          </w:rPr>
          <w:tab/>
        </w:r>
        <w:r w:rsidR="00EF2326" w:rsidRPr="00A203BE">
          <w:rPr>
            <w:rStyle w:val="Hyperlink"/>
            <w:noProof/>
          </w:rPr>
          <w:t>Sírvanse proporcionar información sobre la implementación de la Ley de Migración y Extranjería, y si ésta obedece criterios claros para garantizar que los procesos para la determinación de la condición de refugiado se ajusten a las garantías correspondientes y no contravengan el principio de no devolución.</w:t>
        </w:r>
        <w:r w:rsidR="00EF2326">
          <w:rPr>
            <w:noProof/>
            <w:webHidden/>
          </w:rPr>
          <w:tab/>
        </w:r>
        <w:r>
          <w:rPr>
            <w:noProof/>
            <w:webHidden/>
          </w:rPr>
          <w:fldChar w:fldCharType="begin"/>
        </w:r>
        <w:r w:rsidR="00EF2326">
          <w:rPr>
            <w:noProof/>
            <w:webHidden/>
          </w:rPr>
          <w:instrText xml:space="preserve"> PAGEREF _Toc446126633 \h </w:instrText>
        </w:r>
        <w:r>
          <w:rPr>
            <w:noProof/>
            <w:webHidden/>
          </w:rPr>
        </w:r>
        <w:r>
          <w:rPr>
            <w:noProof/>
            <w:webHidden/>
          </w:rPr>
          <w:fldChar w:fldCharType="separate"/>
        </w:r>
        <w:r w:rsidR="00EF2326">
          <w:rPr>
            <w:noProof/>
            <w:webHidden/>
          </w:rPr>
          <w:t>41</w:t>
        </w:r>
        <w:r>
          <w:rPr>
            <w:noProof/>
            <w:webHidden/>
          </w:rPr>
          <w:fldChar w:fldCharType="end"/>
        </w:r>
      </w:hyperlink>
    </w:p>
    <w:p w:rsidR="00EF2326" w:rsidRDefault="006557E7">
      <w:pPr>
        <w:pStyle w:val="TOC1"/>
        <w:rPr>
          <w:rFonts w:asciiTheme="minorHAnsi" w:eastAsiaTheme="minorEastAsia" w:hAnsiTheme="minorHAnsi" w:cstheme="minorBidi"/>
          <w:noProof/>
          <w:lang w:val="fr-CH" w:eastAsia="fr-CH"/>
        </w:rPr>
      </w:pPr>
      <w:hyperlink w:anchor="_Toc446126634" w:history="1">
        <w:r w:rsidR="00EF2326" w:rsidRPr="00A203BE">
          <w:rPr>
            <w:rStyle w:val="Hyperlink"/>
            <w:rFonts w:ascii="Arial" w:hAnsi="Arial" w:cs="Arial"/>
            <w:b/>
            <w:noProof/>
          </w:rPr>
          <w:t>Aborto (arts. 6 y 7)</w:t>
        </w:r>
        <w:r w:rsidR="00EF2326">
          <w:rPr>
            <w:noProof/>
            <w:webHidden/>
          </w:rPr>
          <w:tab/>
        </w:r>
        <w:r>
          <w:rPr>
            <w:noProof/>
            <w:webHidden/>
          </w:rPr>
          <w:fldChar w:fldCharType="begin"/>
        </w:r>
        <w:r w:rsidR="00EF2326">
          <w:rPr>
            <w:noProof/>
            <w:webHidden/>
          </w:rPr>
          <w:instrText xml:space="preserve"> PAGEREF _Toc446126634 \h </w:instrText>
        </w:r>
        <w:r>
          <w:rPr>
            <w:noProof/>
            <w:webHidden/>
          </w:rPr>
        </w:r>
        <w:r>
          <w:rPr>
            <w:noProof/>
            <w:webHidden/>
          </w:rPr>
          <w:fldChar w:fldCharType="separate"/>
        </w:r>
        <w:r w:rsidR="00EF2326">
          <w:rPr>
            <w:noProof/>
            <w:webHidden/>
          </w:rPr>
          <w:t>41</w:t>
        </w:r>
        <w:r>
          <w:rPr>
            <w:noProof/>
            <w:webHidden/>
          </w:rPr>
          <w:fldChar w:fldCharType="end"/>
        </w:r>
      </w:hyperlink>
    </w:p>
    <w:p w:rsidR="00EF2326" w:rsidRDefault="006557E7">
      <w:pPr>
        <w:pStyle w:val="TOC2"/>
        <w:tabs>
          <w:tab w:val="left" w:pos="880"/>
          <w:tab w:val="right" w:leader="dot" w:pos="9487"/>
        </w:tabs>
        <w:rPr>
          <w:rFonts w:asciiTheme="minorHAnsi" w:eastAsiaTheme="minorEastAsia" w:hAnsiTheme="minorHAnsi" w:cstheme="minorBidi"/>
          <w:noProof/>
          <w:lang w:val="fr-CH" w:eastAsia="fr-CH"/>
        </w:rPr>
      </w:pPr>
      <w:hyperlink w:anchor="_Toc446126635" w:history="1">
        <w:r w:rsidR="00EF2326" w:rsidRPr="00A203BE">
          <w:rPr>
            <w:rStyle w:val="Hyperlink"/>
            <w:noProof/>
          </w:rPr>
          <w:t>10.</w:t>
        </w:r>
        <w:r w:rsidR="00EF2326">
          <w:rPr>
            <w:rFonts w:asciiTheme="minorHAnsi" w:eastAsiaTheme="minorEastAsia" w:hAnsiTheme="minorHAnsi" w:cstheme="minorBidi"/>
            <w:noProof/>
            <w:lang w:val="fr-CH" w:eastAsia="fr-CH"/>
          </w:rPr>
          <w:tab/>
        </w:r>
        <w:r w:rsidR="00EF2326" w:rsidRPr="00A203BE">
          <w:rPr>
            <w:rStyle w:val="Hyperlink"/>
            <w:noProof/>
          </w:rPr>
          <w:t>Sírvanse informar si se garantiza en la práctica el acceso al aborto en casos de violación y peligro a la vida de la madre. En particular, sírvanse proporcionar información sobre medidas tomadas para garantizar el acceso pronto y efectivo a los servicios médicos en los casos de aborto no punible, indicando cómo se garantiza este derecho en casos de objeción de conciencia del personal médico, y comenten la información proporcionada al Comité sobre la falta de protocolos para efectuar abortos terapéuticos cuando esté en peligro la vida o la salud de la madre. Sírvanse proporcionar información sobre las medidas adoptadas para informar adecuadamente a las mujeres sobre los métodos de contracepción y para evitar embarazos no deseados, así como para promover la educación sobre salud sexual y reproductiva de los adolescentes. Sírvanse proporcionar información sobre la prohibición de la fertilización in vitro y comenten sobre su compatibilidad con las disposiciones del Pacto.</w:t>
        </w:r>
        <w:r w:rsidR="00EF2326">
          <w:rPr>
            <w:noProof/>
            <w:webHidden/>
          </w:rPr>
          <w:tab/>
        </w:r>
        <w:r>
          <w:rPr>
            <w:noProof/>
            <w:webHidden/>
          </w:rPr>
          <w:fldChar w:fldCharType="begin"/>
        </w:r>
        <w:r w:rsidR="00EF2326">
          <w:rPr>
            <w:noProof/>
            <w:webHidden/>
          </w:rPr>
          <w:instrText xml:space="preserve"> PAGEREF _Toc446126635 \h </w:instrText>
        </w:r>
        <w:r>
          <w:rPr>
            <w:noProof/>
            <w:webHidden/>
          </w:rPr>
        </w:r>
        <w:r>
          <w:rPr>
            <w:noProof/>
            <w:webHidden/>
          </w:rPr>
          <w:fldChar w:fldCharType="separate"/>
        </w:r>
        <w:r w:rsidR="00EF2326">
          <w:rPr>
            <w:noProof/>
            <w:webHidden/>
          </w:rPr>
          <w:t>41</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36" w:history="1">
        <w:r w:rsidR="00EF2326" w:rsidRPr="00A203BE">
          <w:rPr>
            <w:rStyle w:val="Hyperlink"/>
            <w:noProof/>
          </w:rPr>
          <w:t>a.</w:t>
        </w:r>
        <w:r w:rsidR="00EF2326">
          <w:rPr>
            <w:rFonts w:asciiTheme="minorHAnsi" w:eastAsiaTheme="minorEastAsia" w:hAnsiTheme="minorHAnsi" w:cstheme="minorBidi"/>
            <w:noProof/>
            <w:lang w:val="fr-CH" w:eastAsia="fr-CH"/>
          </w:rPr>
          <w:tab/>
        </w:r>
        <w:r w:rsidR="00EF2326" w:rsidRPr="00A203BE">
          <w:rPr>
            <w:rStyle w:val="Hyperlink"/>
            <w:noProof/>
          </w:rPr>
          <w:t>¿Se garantiza en la práctica el aborto en casos de violación y peligro de la vida de la muerte?</w:t>
        </w:r>
        <w:r w:rsidR="00EF2326">
          <w:rPr>
            <w:noProof/>
            <w:webHidden/>
          </w:rPr>
          <w:tab/>
        </w:r>
        <w:r>
          <w:rPr>
            <w:noProof/>
            <w:webHidden/>
          </w:rPr>
          <w:fldChar w:fldCharType="begin"/>
        </w:r>
        <w:r w:rsidR="00EF2326">
          <w:rPr>
            <w:noProof/>
            <w:webHidden/>
          </w:rPr>
          <w:instrText xml:space="preserve"> PAGEREF _Toc446126636 \h </w:instrText>
        </w:r>
        <w:r>
          <w:rPr>
            <w:noProof/>
            <w:webHidden/>
          </w:rPr>
        </w:r>
        <w:r>
          <w:rPr>
            <w:noProof/>
            <w:webHidden/>
          </w:rPr>
          <w:fldChar w:fldCharType="separate"/>
        </w:r>
        <w:r w:rsidR="00EF2326">
          <w:rPr>
            <w:noProof/>
            <w:webHidden/>
          </w:rPr>
          <w:t>41</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37" w:history="1">
        <w:r w:rsidR="00EF2326" w:rsidRPr="00A203BE">
          <w:rPr>
            <w:rStyle w:val="Hyperlink"/>
            <w:noProof/>
          </w:rPr>
          <w:t>b.</w:t>
        </w:r>
        <w:r w:rsidR="00EF2326">
          <w:rPr>
            <w:rFonts w:asciiTheme="minorHAnsi" w:eastAsiaTheme="minorEastAsia" w:hAnsiTheme="minorHAnsi" w:cstheme="minorBidi"/>
            <w:noProof/>
            <w:lang w:val="fr-CH" w:eastAsia="fr-CH"/>
          </w:rPr>
          <w:tab/>
        </w:r>
        <w:r w:rsidR="00EF2326" w:rsidRPr="00A203BE">
          <w:rPr>
            <w:rStyle w:val="Hyperlink"/>
            <w:noProof/>
          </w:rPr>
          <w:t>Información sobre medidas para garantizar el acceso a servicio médicos en caso de aborto no punible, indicando cómo se garantiza ese derecho en los casos de objeción de conciencia del personal médico.</w:t>
        </w:r>
        <w:r w:rsidR="00EF2326">
          <w:rPr>
            <w:noProof/>
            <w:webHidden/>
          </w:rPr>
          <w:tab/>
        </w:r>
        <w:r>
          <w:rPr>
            <w:noProof/>
            <w:webHidden/>
          </w:rPr>
          <w:fldChar w:fldCharType="begin"/>
        </w:r>
        <w:r w:rsidR="00EF2326">
          <w:rPr>
            <w:noProof/>
            <w:webHidden/>
          </w:rPr>
          <w:instrText xml:space="preserve"> PAGEREF _Toc446126637 \h </w:instrText>
        </w:r>
        <w:r>
          <w:rPr>
            <w:noProof/>
            <w:webHidden/>
          </w:rPr>
        </w:r>
        <w:r>
          <w:rPr>
            <w:noProof/>
            <w:webHidden/>
          </w:rPr>
          <w:fldChar w:fldCharType="separate"/>
        </w:r>
        <w:r w:rsidR="00EF2326">
          <w:rPr>
            <w:noProof/>
            <w:webHidden/>
          </w:rPr>
          <w:t>41</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38" w:history="1">
        <w:r w:rsidR="00EF2326" w:rsidRPr="00A203BE">
          <w:rPr>
            <w:rStyle w:val="Hyperlink"/>
            <w:noProof/>
          </w:rPr>
          <w:t>c.</w:t>
        </w:r>
        <w:r w:rsidR="00EF2326">
          <w:rPr>
            <w:rFonts w:asciiTheme="minorHAnsi" w:eastAsiaTheme="minorEastAsia" w:hAnsiTheme="minorHAnsi" w:cstheme="minorBidi"/>
            <w:noProof/>
            <w:lang w:val="fr-CH" w:eastAsia="fr-CH"/>
          </w:rPr>
          <w:tab/>
        </w:r>
        <w:r w:rsidR="00EF2326" w:rsidRPr="00A203BE">
          <w:rPr>
            <w:rStyle w:val="Hyperlink"/>
            <w:noProof/>
          </w:rPr>
          <w:t>Falta de protocolos para efectuar abortos terapéuticos cuando esté en peligro la vida o salud de la madre.</w:t>
        </w:r>
        <w:r w:rsidR="00EF2326">
          <w:rPr>
            <w:noProof/>
            <w:webHidden/>
          </w:rPr>
          <w:tab/>
        </w:r>
        <w:r>
          <w:rPr>
            <w:noProof/>
            <w:webHidden/>
          </w:rPr>
          <w:fldChar w:fldCharType="begin"/>
        </w:r>
        <w:r w:rsidR="00EF2326">
          <w:rPr>
            <w:noProof/>
            <w:webHidden/>
          </w:rPr>
          <w:instrText xml:space="preserve"> PAGEREF _Toc446126638 \h </w:instrText>
        </w:r>
        <w:r>
          <w:rPr>
            <w:noProof/>
            <w:webHidden/>
          </w:rPr>
        </w:r>
        <w:r>
          <w:rPr>
            <w:noProof/>
            <w:webHidden/>
          </w:rPr>
          <w:fldChar w:fldCharType="separate"/>
        </w:r>
        <w:r w:rsidR="00EF2326">
          <w:rPr>
            <w:noProof/>
            <w:webHidden/>
          </w:rPr>
          <w:t>41</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39" w:history="1">
        <w:r w:rsidR="00EF2326" w:rsidRPr="00A203BE">
          <w:rPr>
            <w:rStyle w:val="Hyperlink"/>
            <w:noProof/>
          </w:rPr>
          <w:t>d.</w:t>
        </w:r>
        <w:r w:rsidR="00EF2326">
          <w:rPr>
            <w:rFonts w:asciiTheme="minorHAnsi" w:eastAsiaTheme="minorEastAsia" w:hAnsiTheme="minorHAnsi" w:cstheme="minorBidi"/>
            <w:noProof/>
            <w:lang w:val="fr-CH" w:eastAsia="fr-CH"/>
          </w:rPr>
          <w:tab/>
        </w:r>
        <w:r w:rsidR="00EF2326" w:rsidRPr="00A203BE">
          <w:rPr>
            <w:rStyle w:val="Hyperlink"/>
            <w:noProof/>
          </w:rPr>
          <w:t>Información sobre las medidas adoptadas para informar adecuadamente a las mujeres sobre los métodos de contracepción y para evitar embarazos no deseados, así como para promover la educación sobre salud sexual y reproductiva de los adolescentes</w:t>
        </w:r>
        <w:r w:rsidR="00EF2326">
          <w:rPr>
            <w:noProof/>
            <w:webHidden/>
          </w:rPr>
          <w:tab/>
        </w:r>
        <w:r>
          <w:rPr>
            <w:noProof/>
            <w:webHidden/>
          </w:rPr>
          <w:fldChar w:fldCharType="begin"/>
        </w:r>
        <w:r w:rsidR="00EF2326">
          <w:rPr>
            <w:noProof/>
            <w:webHidden/>
          </w:rPr>
          <w:instrText xml:space="preserve"> PAGEREF _Toc446126639 \h </w:instrText>
        </w:r>
        <w:r>
          <w:rPr>
            <w:noProof/>
            <w:webHidden/>
          </w:rPr>
        </w:r>
        <w:r>
          <w:rPr>
            <w:noProof/>
            <w:webHidden/>
          </w:rPr>
          <w:fldChar w:fldCharType="separate"/>
        </w:r>
        <w:r w:rsidR="00EF2326">
          <w:rPr>
            <w:noProof/>
            <w:webHidden/>
          </w:rPr>
          <w:t>43</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40" w:history="1">
        <w:r w:rsidR="00EF2326" w:rsidRPr="00A203BE">
          <w:rPr>
            <w:rStyle w:val="Hyperlink"/>
            <w:noProof/>
          </w:rPr>
          <w:t>e.</w:t>
        </w:r>
        <w:r w:rsidR="00EF2326">
          <w:rPr>
            <w:rFonts w:asciiTheme="minorHAnsi" w:eastAsiaTheme="minorEastAsia" w:hAnsiTheme="minorHAnsi" w:cstheme="minorBidi"/>
            <w:noProof/>
            <w:lang w:val="fr-CH" w:eastAsia="fr-CH"/>
          </w:rPr>
          <w:tab/>
        </w:r>
        <w:r w:rsidR="00EF2326" w:rsidRPr="00A203BE">
          <w:rPr>
            <w:rStyle w:val="Hyperlink"/>
            <w:noProof/>
          </w:rPr>
          <w:t xml:space="preserve">Información sobre la prohibición de la fertilización </w:t>
        </w:r>
        <w:r w:rsidR="00EF2326" w:rsidRPr="00A203BE">
          <w:rPr>
            <w:rStyle w:val="Hyperlink"/>
            <w:i/>
            <w:noProof/>
          </w:rPr>
          <w:t>in vitro</w:t>
        </w:r>
        <w:r w:rsidR="00EF2326" w:rsidRPr="00A203BE">
          <w:rPr>
            <w:rStyle w:val="Hyperlink"/>
            <w:noProof/>
          </w:rPr>
          <w:t xml:space="preserve"> y comenten sobre su compatibilidad con las disposiciones del Pacto</w:t>
        </w:r>
        <w:r w:rsidR="00EF2326">
          <w:rPr>
            <w:noProof/>
            <w:webHidden/>
          </w:rPr>
          <w:tab/>
        </w:r>
        <w:r>
          <w:rPr>
            <w:noProof/>
            <w:webHidden/>
          </w:rPr>
          <w:fldChar w:fldCharType="begin"/>
        </w:r>
        <w:r w:rsidR="00EF2326">
          <w:rPr>
            <w:noProof/>
            <w:webHidden/>
          </w:rPr>
          <w:instrText xml:space="preserve"> PAGEREF _Toc446126640 \h </w:instrText>
        </w:r>
        <w:r>
          <w:rPr>
            <w:noProof/>
            <w:webHidden/>
          </w:rPr>
        </w:r>
        <w:r>
          <w:rPr>
            <w:noProof/>
            <w:webHidden/>
          </w:rPr>
          <w:fldChar w:fldCharType="separate"/>
        </w:r>
        <w:r w:rsidR="00EF2326">
          <w:rPr>
            <w:noProof/>
            <w:webHidden/>
          </w:rPr>
          <w:t>44</w:t>
        </w:r>
        <w:r>
          <w:rPr>
            <w:noProof/>
            <w:webHidden/>
          </w:rPr>
          <w:fldChar w:fldCharType="end"/>
        </w:r>
      </w:hyperlink>
    </w:p>
    <w:p w:rsidR="00EF2326" w:rsidRDefault="006557E7">
      <w:pPr>
        <w:pStyle w:val="TOC1"/>
        <w:rPr>
          <w:rFonts w:asciiTheme="minorHAnsi" w:eastAsiaTheme="minorEastAsia" w:hAnsiTheme="minorHAnsi" w:cstheme="minorBidi"/>
          <w:noProof/>
          <w:lang w:val="fr-CH" w:eastAsia="fr-CH"/>
        </w:rPr>
      </w:pPr>
      <w:hyperlink w:anchor="_Toc446126641" w:history="1">
        <w:r w:rsidR="00EF2326" w:rsidRPr="00A203BE">
          <w:rPr>
            <w:rStyle w:val="Hyperlink"/>
            <w:rFonts w:ascii="Arial" w:hAnsi="Arial" w:cs="Arial"/>
            <w:b/>
            <w:noProof/>
          </w:rPr>
          <w:t>Violencia contra las mujeres (arts. 6 y 7)</w:t>
        </w:r>
        <w:r w:rsidR="00EF2326">
          <w:rPr>
            <w:noProof/>
            <w:webHidden/>
          </w:rPr>
          <w:tab/>
        </w:r>
        <w:r>
          <w:rPr>
            <w:noProof/>
            <w:webHidden/>
          </w:rPr>
          <w:fldChar w:fldCharType="begin"/>
        </w:r>
        <w:r w:rsidR="00EF2326">
          <w:rPr>
            <w:noProof/>
            <w:webHidden/>
          </w:rPr>
          <w:instrText xml:space="preserve"> PAGEREF _Toc446126641 \h </w:instrText>
        </w:r>
        <w:r>
          <w:rPr>
            <w:noProof/>
            <w:webHidden/>
          </w:rPr>
        </w:r>
        <w:r>
          <w:rPr>
            <w:noProof/>
            <w:webHidden/>
          </w:rPr>
          <w:fldChar w:fldCharType="separate"/>
        </w:r>
        <w:r w:rsidR="00EF2326">
          <w:rPr>
            <w:noProof/>
            <w:webHidden/>
          </w:rPr>
          <w:t>46</w:t>
        </w:r>
        <w:r>
          <w:rPr>
            <w:noProof/>
            <w:webHidden/>
          </w:rPr>
          <w:fldChar w:fldCharType="end"/>
        </w:r>
      </w:hyperlink>
    </w:p>
    <w:p w:rsidR="00EF2326" w:rsidRDefault="006557E7">
      <w:pPr>
        <w:pStyle w:val="TOC2"/>
        <w:tabs>
          <w:tab w:val="left" w:pos="880"/>
          <w:tab w:val="right" w:leader="dot" w:pos="9487"/>
        </w:tabs>
        <w:rPr>
          <w:rFonts w:asciiTheme="minorHAnsi" w:eastAsiaTheme="minorEastAsia" w:hAnsiTheme="minorHAnsi" w:cstheme="minorBidi"/>
          <w:noProof/>
          <w:lang w:val="fr-CH" w:eastAsia="fr-CH"/>
        </w:rPr>
      </w:pPr>
      <w:hyperlink w:anchor="_Toc446126642" w:history="1">
        <w:r w:rsidR="00EF2326" w:rsidRPr="00A203BE">
          <w:rPr>
            <w:rStyle w:val="Hyperlink"/>
            <w:noProof/>
          </w:rPr>
          <w:t>11.</w:t>
        </w:r>
        <w:r w:rsidR="00EF2326">
          <w:rPr>
            <w:rFonts w:asciiTheme="minorHAnsi" w:eastAsiaTheme="minorEastAsia" w:hAnsiTheme="minorHAnsi" w:cstheme="minorBidi"/>
            <w:noProof/>
            <w:lang w:val="fr-CH" w:eastAsia="fr-CH"/>
          </w:rPr>
          <w:tab/>
        </w:r>
        <w:r w:rsidR="00EF2326" w:rsidRPr="00A203BE">
          <w:rPr>
            <w:rStyle w:val="Hyperlink"/>
            <w:noProof/>
          </w:rPr>
          <w:t>Sírvanse proporcionar información sobre las medidas adoptadas para garantizar la investigación, enjuiciamiento y sanción de los casos de violencia de género, incluida la violencia sexual y la doméstica, así como una evaluación del resultado de dichas medidas. Sírvanse incluir datos estadísticos correspondientes al período examinado sobre el número de denuncias registradas en relación con las diversas formas de violencia contra la mujer; el número de sentencias condenatorias dictadas, incluidas las penas impuestas; las indemnizaciones concedidas a las víctimas; y el número de casas de acogida para víctimas de violencia. Sírvanse, asimismo, proporcionar información sobre las medidas tomadas para luchar contra la violencia de que son víctimas las mujeres, en particular en la provincia de Limón.</w:t>
        </w:r>
        <w:r w:rsidR="00EF2326">
          <w:rPr>
            <w:noProof/>
            <w:webHidden/>
          </w:rPr>
          <w:tab/>
        </w:r>
        <w:r>
          <w:rPr>
            <w:noProof/>
            <w:webHidden/>
          </w:rPr>
          <w:fldChar w:fldCharType="begin"/>
        </w:r>
        <w:r w:rsidR="00EF2326">
          <w:rPr>
            <w:noProof/>
            <w:webHidden/>
          </w:rPr>
          <w:instrText xml:space="preserve"> PAGEREF _Toc446126642 \h </w:instrText>
        </w:r>
        <w:r>
          <w:rPr>
            <w:noProof/>
            <w:webHidden/>
          </w:rPr>
        </w:r>
        <w:r>
          <w:rPr>
            <w:noProof/>
            <w:webHidden/>
          </w:rPr>
          <w:fldChar w:fldCharType="separate"/>
        </w:r>
        <w:r w:rsidR="00EF2326">
          <w:rPr>
            <w:noProof/>
            <w:webHidden/>
          </w:rPr>
          <w:t>46</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43" w:history="1">
        <w:r w:rsidR="00EF2326" w:rsidRPr="00A203BE">
          <w:rPr>
            <w:rStyle w:val="Hyperlink"/>
            <w:noProof/>
          </w:rPr>
          <w:t>a.</w:t>
        </w:r>
        <w:r w:rsidR="00EF2326">
          <w:rPr>
            <w:rFonts w:asciiTheme="minorHAnsi" w:eastAsiaTheme="minorEastAsia" w:hAnsiTheme="minorHAnsi" w:cstheme="minorBidi"/>
            <w:noProof/>
            <w:lang w:val="fr-CH" w:eastAsia="fr-CH"/>
          </w:rPr>
          <w:tab/>
        </w:r>
        <w:r w:rsidR="00EF2326" w:rsidRPr="00A203BE">
          <w:rPr>
            <w:rStyle w:val="Hyperlink"/>
            <w:noProof/>
          </w:rPr>
          <w:t>Medidas adoptadas para garantizar la investigación, enjuiciamiento y sanción de los casos de violencia de género, incluida la violencia sexual y la doméstica. Evaluación del resultado de dichas medidas.</w:t>
        </w:r>
        <w:r w:rsidR="00EF2326">
          <w:rPr>
            <w:noProof/>
            <w:webHidden/>
          </w:rPr>
          <w:tab/>
        </w:r>
        <w:r>
          <w:rPr>
            <w:noProof/>
            <w:webHidden/>
          </w:rPr>
          <w:fldChar w:fldCharType="begin"/>
        </w:r>
        <w:r w:rsidR="00EF2326">
          <w:rPr>
            <w:noProof/>
            <w:webHidden/>
          </w:rPr>
          <w:instrText xml:space="preserve"> PAGEREF _Toc446126643 \h </w:instrText>
        </w:r>
        <w:r>
          <w:rPr>
            <w:noProof/>
            <w:webHidden/>
          </w:rPr>
        </w:r>
        <w:r>
          <w:rPr>
            <w:noProof/>
            <w:webHidden/>
          </w:rPr>
          <w:fldChar w:fldCharType="separate"/>
        </w:r>
        <w:r w:rsidR="00EF2326">
          <w:rPr>
            <w:noProof/>
            <w:webHidden/>
          </w:rPr>
          <w:t>46</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44" w:history="1">
        <w:r w:rsidR="00EF2326" w:rsidRPr="00A203BE">
          <w:rPr>
            <w:rStyle w:val="Hyperlink"/>
            <w:noProof/>
          </w:rPr>
          <w:t>b.</w:t>
        </w:r>
        <w:r w:rsidR="00EF2326">
          <w:rPr>
            <w:rFonts w:asciiTheme="minorHAnsi" w:eastAsiaTheme="minorEastAsia" w:hAnsiTheme="minorHAnsi" w:cstheme="minorBidi"/>
            <w:noProof/>
            <w:lang w:val="fr-CH" w:eastAsia="fr-CH"/>
          </w:rPr>
          <w:tab/>
        </w:r>
        <w:r w:rsidR="00EF2326" w:rsidRPr="00A203BE">
          <w:rPr>
            <w:rStyle w:val="Hyperlink"/>
            <w:noProof/>
          </w:rPr>
          <w:t>Datos estadísticos correspondientes al período examinado sobre el número de denuncias registradas en relación con las diversas formas de violencia contra la mujer; el número de sentencias condenatorias dictadas, incluidas las penas impuestas; las indemnizaciones concedidas a las víctimas; y el número de casas de acogida para víctimas de violencia.</w:t>
        </w:r>
        <w:r w:rsidR="00EF2326">
          <w:rPr>
            <w:noProof/>
            <w:webHidden/>
          </w:rPr>
          <w:tab/>
        </w:r>
        <w:r>
          <w:rPr>
            <w:noProof/>
            <w:webHidden/>
          </w:rPr>
          <w:fldChar w:fldCharType="begin"/>
        </w:r>
        <w:r w:rsidR="00EF2326">
          <w:rPr>
            <w:noProof/>
            <w:webHidden/>
          </w:rPr>
          <w:instrText xml:space="preserve"> PAGEREF _Toc446126644 \h </w:instrText>
        </w:r>
        <w:r>
          <w:rPr>
            <w:noProof/>
            <w:webHidden/>
          </w:rPr>
        </w:r>
        <w:r>
          <w:rPr>
            <w:noProof/>
            <w:webHidden/>
          </w:rPr>
          <w:fldChar w:fldCharType="separate"/>
        </w:r>
        <w:r w:rsidR="00EF2326">
          <w:rPr>
            <w:noProof/>
            <w:webHidden/>
          </w:rPr>
          <w:t>46</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45" w:history="1">
        <w:r w:rsidR="00EF2326" w:rsidRPr="00A203BE">
          <w:rPr>
            <w:rStyle w:val="Hyperlink"/>
            <w:noProof/>
          </w:rPr>
          <w:t>c.</w:t>
        </w:r>
        <w:r w:rsidR="00EF2326">
          <w:rPr>
            <w:rFonts w:asciiTheme="minorHAnsi" w:eastAsiaTheme="minorEastAsia" w:hAnsiTheme="minorHAnsi" w:cstheme="minorBidi"/>
            <w:noProof/>
            <w:lang w:val="fr-CH" w:eastAsia="fr-CH"/>
          </w:rPr>
          <w:tab/>
        </w:r>
        <w:r w:rsidR="00EF2326" w:rsidRPr="00A203BE">
          <w:rPr>
            <w:rStyle w:val="Hyperlink"/>
            <w:noProof/>
          </w:rPr>
          <w:t>Información sobre las medidas tomadas para luchar contra la violencia de que son víctimas las mujeres, en particular en la provincia de Limón</w:t>
        </w:r>
        <w:r w:rsidR="00EF2326">
          <w:rPr>
            <w:noProof/>
            <w:webHidden/>
          </w:rPr>
          <w:tab/>
        </w:r>
        <w:r>
          <w:rPr>
            <w:noProof/>
            <w:webHidden/>
          </w:rPr>
          <w:fldChar w:fldCharType="begin"/>
        </w:r>
        <w:r w:rsidR="00EF2326">
          <w:rPr>
            <w:noProof/>
            <w:webHidden/>
          </w:rPr>
          <w:instrText xml:space="preserve"> PAGEREF _Toc446126645 \h </w:instrText>
        </w:r>
        <w:r>
          <w:rPr>
            <w:noProof/>
            <w:webHidden/>
          </w:rPr>
        </w:r>
        <w:r>
          <w:rPr>
            <w:noProof/>
            <w:webHidden/>
          </w:rPr>
          <w:fldChar w:fldCharType="separate"/>
        </w:r>
        <w:r w:rsidR="00EF2326">
          <w:rPr>
            <w:noProof/>
            <w:webHidden/>
          </w:rPr>
          <w:t>49</w:t>
        </w:r>
        <w:r>
          <w:rPr>
            <w:noProof/>
            <w:webHidden/>
          </w:rPr>
          <w:fldChar w:fldCharType="end"/>
        </w:r>
      </w:hyperlink>
    </w:p>
    <w:p w:rsidR="00EF2326" w:rsidRDefault="006557E7">
      <w:pPr>
        <w:pStyle w:val="TOC1"/>
        <w:rPr>
          <w:rFonts w:asciiTheme="minorHAnsi" w:eastAsiaTheme="minorEastAsia" w:hAnsiTheme="minorHAnsi" w:cstheme="minorBidi"/>
          <w:noProof/>
          <w:lang w:val="fr-CH" w:eastAsia="fr-CH"/>
        </w:rPr>
      </w:pPr>
      <w:hyperlink w:anchor="_Toc446126646" w:history="1">
        <w:r w:rsidR="00EF2326" w:rsidRPr="00A203BE">
          <w:rPr>
            <w:rStyle w:val="Hyperlink"/>
            <w:rFonts w:ascii="Arial" w:hAnsi="Arial" w:cs="Arial"/>
            <w:b/>
            <w:noProof/>
          </w:rPr>
          <w:t>Prohibición de la trata de personas (art.8)</w:t>
        </w:r>
        <w:r w:rsidR="00EF2326">
          <w:rPr>
            <w:noProof/>
            <w:webHidden/>
          </w:rPr>
          <w:tab/>
        </w:r>
        <w:r>
          <w:rPr>
            <w:noProof/>
            <w:webHidden/>
          </w:rPr>
          <w:fldChar w:fldCharType="begin"/>
        </w:r>
        <w:r w:rsidR="00EF2326">
          <w:rPr>
            <w:noProof/>
            <w:webHidden/>
          </w:rPr>
          <w:instrText xml:space="preserve"> PAGEREF _Toc446126646 \h </w:instrText>
        </w:r>
        <w:r>
          <w:rPr>
            <w:noProof/>
            <w:webHidden/>
          </w:rPr>
        </w:r>
        <w:r>
          <w:rPr>
            <w:noProof/>
            <w:webHidden/>
          </w:rPr>
          <w:fldChar w:fldCharType="separate"/>
        </w:r>
        <w:r w:rsidR="00EF2326">
          <w:rPr>
            <w:noProof/>
            <w:webHidden/>
          </w:rPr>
          <w:t>49</w:t>
        </w:r>
        <w:r>
          <w:rPr>
            <w:noProof/>
            <w:webHidden/>
          </w:rPr>
          <w:fldChar w:fldCharType="end"/>
        </w:r>
      </w:hyperlink>
    </w:p>
    <w:p w:rsidR="00EF2326" w:rsidRDefault="006557E7">
      <w:pPr>
        <w:pStyle w:val="TOC2"/>
        <w:tabs>
          <w:tab w:val="left" w:pos="880"/>
          <w:tab w:val="right" w:leader="dot" w:pos="9487"/>
        </w:tabs>
        <w:rPr>
          <w:rFonts w:asciiTheme="minorHAnsi" w:eastAsiaTheme="minorEastAsia" w:hAnsiTheme="minorHAnsi" w:cstheme="minorBidi"/>
          <w:noProof/>
          <w:lang w:val="fr-CH" w:eastAsia="fr-CH"/>
        </w:rPr>
      </w:pPr>
      <w:hyperlink w:anchor="_Toc446126647" w:history="1">
        <w:r w:rsidR="00EF2326" w:rsidRPr="00A203BE">
          <w:rPr>
            <w:rStyle w:val="Hyperlink"/>
            <w:noProof/>
          </w:rPr>
          <w:t>12.</w:t>
        </w:r>
        <w:r w:rsidR="00EF2326">
          <w:rPr>
            <w:rFonts w:asciiTheme="minorHAnsi" w:eastAsiaTheme="minorEastAsia" w:hAnsiTheme="minorHAnsi" w:cstheme="minorBidi"/>
            <w:noProof/>
            <w:lang w:val="fr-CH" w:eastAsia="fr-CH"/>
          </w:rPr>
          <w:tab/>
        </w:r>
        <w:r w:rsidR="00EF2326" w:rsidRPr="00A203BE">
          <w:rPr>
            <w:rStyle w:val="Hyperlink"/>
            <w:noProof/>
          </w:rPr>
          <w:t>Sírvanse provee los detalles sobre la implementación de la Ley contra la Trata de Personas y Creación de la Coalición Nacional contra el Tráfico Ilícito de Migrantes y la Trata de Personas (CONATT) (Ley núm. 9095) y el presupuesto asignado a la implementación de esta ley, incluyendo el Fondo Nacional contra la Trata de Personas y el Tráfico Ilícito de Migrantes (FONATT). En concreto, sírvanse proporcionar información sobre el progreso en la redacción del reglamento de la Ley núm. 9095 y especificar los mecanismos existentes para la recolección de datos, y de remisión e identificación de víctimas. A la luz de la información y estadísticas proporcionadas por el Estado parte sobre las investigaciones y número de condenas impuestas a los responsables (CCPR/C/CRI/6, párr. 46), sírvanse proporcionar información sobre los obstáculos para investigar y sancionar a los responsables por el delito de trata. Sírvanse, asimismo, proporcionar información estadística desde 2010, desglosada por sexo, edad y país de origen de la víctima, sobre a) las denuncias de trata recibidas; b) las penas impuestas a los responsables; c) las reparaciones otorgadas a las víctimas; d) seguimiento dado a víctimas extranjeras de trata repatriadas.</w:t>
        </w:r>
        <w:r w:rsidR="00EF2326">
          <w:rPr>
            <w:noProof/>
            <w:webHidden/>
          </w:rPr>
          <w:tab/>
        </w:r>
        <w:r>
          <w:rPr>
            <w:noProof/>
            <w:webHidden/>
          </w:rPr>
          <w:fldChar w:fldCharType="begin"/>
        </w:r>
        <w:r w:rsidR="00EF2326">
          <w:rPr>
            <w:noProof/>
            <w:webHidden/>
          </w:rPr>
          <w:instrText xml:space="preserve"> PAGEREF _Toc446126647 \h </w:instrText>
        </w:r>
        <w:r>
          <w:rPr>
            <w:noProof/>
            <w:webHidden/>
          </w:rPr>
        </w:r>
        <w:r>
          <w:rPr>
            <w:noProof/>
            <w:webHidden/>
          </w:rPr>
          <w:fldChar w:fldCharType="separate"/>
        </w:r>
        <w:r w:rsidR="00EF2326">
          <w:rPr>
            <w:noProof/>
            <w:webHidden/>
          </w:rPr>
          <w:t>49</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48" w:history="1">
        <w:r w:rsidR="00EF2326" w:rsidRPr="00A203BE">
          <w:rPr>
            <w:rStyle w:val="Hyperlink"/>
            <w:noProof/>
          </w:rPr>
          <w:t>a.</w:t>
        </w:r>
        <w:r w:rsidR="00EF2326">
          <w:rPr>
            <w:rFonts w:asciiTheme="minorHAnsi" w:eastAsiaTheme="minorEastAsia" w:hAnsiTheme="minorHAnsi" w:cstheme="minorBidi"/>
            <w:noProof/>
            <w:lang w:val="fr-CH" w:eastAsia="fr-CH"/>
          </w:rPr>
          <w:tab/>
        </w:r>
        <w:r w:rsidR="00EF2326" w:rsidRPr="00A203BE">
          <w:rPr>
            <w:rStyle w:val="Hyperlink"/>
            <w:noProof/>
          </w:rPr>
          <w:t>Implementación de la Ley contra la Trata de Personas y Creación de la Coalición Nacional contra el Tráfico Ilícito de Migrantes y la Trata de Personas (CONATT) (Ley núm. 9095) y el presupuesto asignado a la implementación de esta ley, incluyendo el Fondo Nacional contra la Trata de Personas y el Tráfico Ilícito de Migrantes (FONATT).</w:t>
        </w:r>
        <w:r w:rsidR="00EF2326">
          <w:rPr>
            <w:noProof/>
            <w:webHidden/>
          </w:rPr>
          <w:tab/>
        </w:r>
        <w:r>
          <w:rPr>
            <w:noProof/>
            <w:webHidden/>
          </w:rPr>
          <w:fldChar w:fldCharType="begin"/>
        </w:r>
        <w:r w:rsidR="00EF2326">
          <w:rPr>
            <w:noProof/>
            <w:webHidden/>
          </w:rPr>
          <w:instrText xml:space="preserve"> PAGEREF _Toc446126648 \h </w:instrText>
        </w:r>
        <w:r>
          <w:rPr>
            <w:noProof/>
            <w:webHidden/>
          </w:rPr>
        </w:r>
        <w:r>
          <w:rPr>
            <w:noProof/>
            <w:webHidden/>
          </w:rPr>
          <w:fldChar w:fldCharType="separate"/>
        </w:r>
        <w:r w:rsidR="00EF2326">
          <w:rPr>
            <w:noProof/>
            <w:webHidden/>
          </w:rPr>
          <w:t>50</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49" w:history="1">
        <w:r w:rsidR="00EF2326" w:rsidRPr="00A203BE">
          <w:rPr>
            <w:rStyle w:val="Hyperlink"/>
            <w:noProof/>
          </w:rPr>
          <w:t>b.</w:t>
        </w:r>
        <w:r w:rsidR="00EF2326">
          <w:rPr>
            <w:rFonts w:asciiTheme="minorHAnsi" w:eastAsiaTheme="minorEastAsia" w:hAnsiTheme="minorHAnsi" w:cstheme="minorBidi"/>
            <w:noProof/>
            <w:lang w:val="fr-CH" w:eastAsia="fr-CH"/>
          </w:rPr>
          <w:tab/>
        </w:r>
        <w:r w:rsidR="00EF2326" w:rsidRPr="00A203BE">
          <w:rPr>
            <w:rStyle w:val="Hyperlink"/>
            <w:noProof/>
          </w:rPr>
          <w:t>Progreso en la redacción del reglamento de la Ley núm. 9095 y especificar los mecanismos existentes para la recolección de datos, y de remisión e identificación de víctimas</w:t>
        </w:r>
        <w:r w:rsidR="00EF2326">
          <w:rPr>
            <w:noProof/>
            <w:webHidden/>
          </w:rPr>
          <w:tab/>
        </w:r>
        <w:r>
          <w:rPr>
            <w:noProof/>
            <w:webHidden/>
          </w:rPr>
          <w:fldChar w:fldCharType="begin"/>
        </w:r>
        <w:r w:rsidR="00EF2326">
          <w:rPr>
            <w:noProof/>
            <w:webHidden/>
          </w:rPr>
          <w:instrText xml:space="preserve"> PAGEREF _Toc446126649 \h </w:instrText>
        </w:r>
        <w:r>
          <w:rPr>
            <w:noProof/>
            <w:webHidden/>
          </w:rPr>
        </w:r>
        <w:r>
          <w:rPr>
            <w:noProof/>
            <w:webHidden/>
          </w:rPr>
          <w:fldChar w:fldCharType="separate"/>
        </w:r>
        <w:r w:rsidR="00EF2326">
          <w:rPr>
            <w:noProof/>
            <w:webHidden/>
          </w:rPr>
          <w:t>50</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50" w:history="1">
        <w:r w:rsidR="00EF2326" w:rsidRPr="00A203BE">
          <w:rPr>
            <w:rStyle w:val="Hyperlink"/>
            <w:noProof/>
          </w:rPr>
          <w:t>c.</w:t>
        </w:r>
        <w:r w:rsidR="00EF2326">
          <w:rPr>
            <w:rFonts w:asciiTheme="minorHAnsi" w:eastAsiaTheme="minorEastAsia" w:hAnsiTheme="minorHAnsi" w:cstheme="minorBidi"/>
            <w:noProof/>
            <w:lang w:val="fr-CH" w:eastAsia="fr-CH"/>
          </w:rPr>
          <w:tab/>
        </w:r>
        <w:r w:rsidR="00EF2326" w:rsidRPr="00A203BE">
          <w:rPr>
            <w:rStyle w:val="Hyperlink"/>
            <w:noProof/>
          </w:rPr>
          <w:t>Información sobre los obstáculos para investigar y sancionar a los responsables por el delito de trata.</w:t>
        </w:r>
        <w:r w:rsidR="00EF2326">
          <w:rPr>
            <w:noProof/>
            <w:webHidden/>
          </w:rPr>
          <w:tab/>
        </w:r>
        <w:r>
          <w:rPr>
            <w:noProof/>
            <w:webHidden/>
          </w:rPr>
          <w:fldChar w:fldCharType="begin"/>
        </w:r>
        <w:r w:rsidR="00EF2326">
          <w:rPr>
            <w:noProof/>
            <w:webHidden/>
          </w:rPr>
          <w:instrText xml:space="preserve"> PAGEREF _Toc446126650 \h </w:instrText>
        </w:r>
        <w:r>
          <w:rPr>
            <w:noProof/>
            <w:webHidden/>
          </w:rPr>
        </w:r>
        <w:r>
          <w:rPr>
            <w:noProof/>
            <w:webHidden/>
          </w:rPr>
          <w:fldChar w:fldCharType="separate"/>
        </w:r>
        <w:r w:rsidR="00EF2326">
          <w:rPr>
            <w:noProof/>
            <w:webHidden/>
          </w:rPr>
          <w:t>50</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51" w:history="1">
        <w:r w:rsidR="00EF2326" w:rsidRPr="00A203BE">
          <w:rPr>
            <w:rStyle w:val="Hyperlink"/>
            <w:noProof/>
          </w:rPr>
          <w:t>d.</w:t>
        </w:r>
        <w:r w:rsidR="00EF2326">
          <w:rPr>
            <w:rFonts w:asciiTheme="minorHAnsi" w:eastAsiaTheme="minorEastAsia" w:hAnsiTheme="minorHAnsi" w:cstheme="minorBidi"/>
            <w:noProof/>
            <w:lang w:val="fr-CH" w:eastAsia="fr-CH"/>
          </w:rPr>
          <w:tab/>
        </w:r>
        <w:r w:rsidR="00EF2326" w:rsidRPr="00A203BE">
          <w:rPr>
            <w:rStyle w:val="Hyperlink"/>
            <w:noProof/>
          </w:rPr>
          <w:t>Información estadística desde 2010, desglosada por sexo, edad y país de origen de la víctima, sobre a) las denuncias de trata recibidas; b) las penas impuestas a los responsables; c) las reparaciones otorgadas a las víctimas; d) seguimiento dado a víctimas extranjeras de trata repatriadas</w:t>
        </w:r>
        <w:r w:rsidR="00EF2326">
          <w:rPr>
            <w:noProof/>
            <w:webHidden/>
          </w:rPr>
          <w:tab/>
        </w:r>
        <w:r>
          <w:rPr>
            <w:noProof/>
            <w:webHidden/>
          </w:rPr>
          <w:fldChar w:fldCharType="begin"/>
        </w:r>
        <w:r w:rsidR="00EF2326">
          <w:rPr>
            <w:noProof/>
            <w:webHidden/>
          </w:rPr>
          <w:instrText xml:space="preserve"> PAGEREF _Toc446126651 \h </w:instrText>
        </w:r>
        <w:r>
          <w:rPr>
            <w:noProof/>
            <w:webHidden/>
          </w:rPr>
        </w:r>
        <w:r>
          <w:rPr>
            <w:noProof/>
            <w:webHidden/>
          </w:rPr>
          <w:fldChar w:fldCharType="separate"/>
        </w:r>
        <w:r w:rsidR="00EF2326">
          <w:rPr>
            <w:noProof/>
            <w:webHidden/>
          </w:rPr>
          <w:t>50</w:t>
        </w:r>
        <w:r>
          <w:rPr>
            <w:noProof/>
            <w:webHidden/>
          </w:rPr>
          <w:fldChar w:fldCharType="end"/>
        </w:r>
      </w:hyperlink>
    </w:p>
    <w:p w:rsidR="00EF2326" w:rsidRDefault="006557E7">
      <w:pPr>
        <w:pStyle w:val="TOC1"/>
        <w:rPr>
          <w:rFonts w:asciiTheme="minorHAnsi" w:eastAsiaTheme="minorEastAsia" w:hAnsiTheme="minorHAnsi" w:cstheme="minorBidi"/>
          <w:noProof/>
          <w:lang w:val="fr-CH" w:eastAsia="fr-CH"/>
        </w:rPr>
      </w:pPr>
      <w:hyperlink w:anchor="_Toc446126652" w:history="1">
        <w:r w:rsidR="00EF2326" w:rsidRPr="00A203BE">
          <w:rPr>
            <w:rStyle w:val="Hyperlink"/>
            <w:rFonts w:ascii="Arial" w:hAnsi="Arial" w:cs="Arial"/>
            <w:b/>
            <w:noProof/>
          </w:rPr>
          <w:t>Prohibición de la tortura y otros tratos crueles inhumanos o degradantes (arts. 6 y 7)</w:t>
        </w:r>
        <w:r w:rsidR="00EF2326">
          <w:rPr>
            <w:noProof/>
            <w:webHidden/>
          </w:rPr>
          <w:tab/>
        </w:r>
        <w:r>
          <w:rPr>
            <w:noProof/>
            <w:webHidden/>
          </w:rPr>
          <w:fldChar w:fldCharType="begin"/>
        </w:r>
        <w:r w:rsidR="00EF2326">
          <w:rPr>
            <w:noProof/>
            <w:webHidden/>
          </w:rPr>
          <w:instrText xml:space="preserve"> PAGEREF _Toc446126652 \h </w:instrText>
        </w:r>
        <w:r>
          <w:rPr>
            <w:noProof/>
            <w:webHidden/>
          </w:rPr>
        </w:r>
        <w:r>
          <w:rPr>
            <w:noProof/>
            <w:webHidden/>
          </w:rPr>
          <w:fldChar w:fldCharType="separate"/>
        </w:r>
        <w:r w:rsidR="00EF2326">
          <w:rPr>
            <w:noProof/>
            <w:webHidden/>
          </w:rPr>
          <w:t>51</w:t>
        </w:r>
        <w:r>
          <w:rPr>
            <w:noProof/>
            <w:webHidden/>
          </w:rPr>
          <w:fldChar w:fldCharType="end"/>
        </w:r>
      </w:hyperlink>
    </w:p>
    <w:p w:rsidR="00EF2326" w:rsidRDefault="006557E7">
      <w:pPr>
        <w:pStyle w:val="TOC2"/>
        <w:tabs>
          <w:tab w:val="left" w:pos="880"/>
          <w:tab w:val="right" w:leader="dot" w:pos="9487"/>
        </w:tabs>
        <w:rPr>
          <w:rFonts w:asciiTheme="minorHAnsi" w:eastAsiaTheme="minorEastAsia" w:hAnsiTheme="minorHAnsi" w:cstheme="minorBidi"/>
          <w:noProof/>
          <w:lang w:val="fr-CH" w:eastAsia="fr-CH"/>
        </w:rPr>
      </w:pPr>
      <w:hyperlink w:anchor="_Toc446126653" w:history="1">
        <w:r w:rsidR="00EF2326" w:rsidRPr="00A203BE">
          <w:rPr>
            <w:rStyle w:val="Hyperlink"/>
            <w:noProof/>
          </w:rPr>
          <w:t>13.</w:t>
        </w:r>
        <w:r w:rsidR="00EF2326">
          <w:rPr>
            <w:rFonts w:asciiTheme="minorHAnsi" w:eastAsiaTheme="minorEastAsia" w:hAnsiTheme="minorHAnsi" w:cstheme="minorBidi"/>
            <w:noProof/>
            <w:lang w:val="fr-CH" w:eastAsia="fr-CH"/>
          </w:rPr>
          <w:tab/>
        </w:r>
        <w:r w:rsidR="00EF2326" w:rsidRPr="00A203BE">
          <w:rPr>
            <w:rStyle w:val="Hyperlink"/>
            <w:noProof/>
          </w:rPr>
          <w:t>A la luz de la anteriores recomendaciones del Comité (CCPR/C/CRI/CO/5, párr. 8), facilítese información sobre las medidas tomadas para eliminar la detención en condiciones de incomunicación e información estadística sobre la aplicación de esta medida en los últimos siete años. Sírvanse asimismo proporcionar estadísticas, inclusive de los últimos siete años, sobre la tasa de mortalidad en los centros de detención de Costa Rica.</w:t>
        </w:r>
        <w:r w:rsidR="00EF2326">
          <w:rPr>
            <w:noProof/>
            <w:webHidden/>
          </w:rPr>
          <w:tab/>
        </w:r>
        <w:r>
          <w:rPr>
            <w:noProof/>
            <w:webHidden/>
          </w:rPr>
          <w:fldChar w:fldCharType="begin"/>
        </w:r>
        <w:r w:rsidR="00EF2326">
          <w:rPr>
            <w:noProof/>
            <w:webHidden/>
          </w:rPr>
          <w:instrText xml:space="preserve"> PAGEREF _Toc446126653 \h </w:instrText>
        </w:r>
        <w:r>
          <w:rPr>
            <w:noProof/>
            <w:webHidden/>
          </w:rPr>
        </w:r>
        <w:r>
          <w:rPr>
            <w:noProof/>
            <w:webHidden/>
          </w:rPr>
          <w:fldChar w:fldCharType="separate"/>
        </w:r>
        <w:r w:rsidR="00EF2326">
          <w:rPr>
            <w:noProof/>
            <w:webHidden/>
          </w:rPr>
          <w:t>51</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54" w:history="1">
        <w:r w:rsidR="00EF2326" w:rsidRPr="00A203BE">
          <w:rPr>
            <w:rStyle w:val="Hyperlink"/>
            <w:noProof/>
          </w:rPr>
          <w:t>a.</w:t>
        </w:r>
        <w:r w:rsidR="00EF2326">
          <w:rPr>
            <w:rFonts w:asciiTheme="minorHAnsi" w:eastAsiaTheme="minorEastAsia" w:hAnsiTheme="minorHAnsi" w:cstheme="minorBidi"/>
            <w:noProof/>
            <w:lang w:val="fr-CH" w:eastAsia="fr-CH"/>
          </w:rPr>
          <w:tab/>
        </w:r>
        <w:r w:rsidR="00EF2326" w:rsidRPr="00A203BE">
          <w:rPr>
            <w:rStyle w:val="Hyperlink"/>
            <w:noProof/>
          </w:rPr>
          <w:t>Información sobre las medidas tomadas para eliminar la detención en condiciones de incomunicación e información estadística sobre la aplicación de esta medida en los últimos siete años.</w:t>
        </w:r>
        <w:r w:rsidR="00EF2326">
          <w:rPr>
            <w:noProof/>
            <w:webHidden/>
          </w:rPr>
          <w:tab/>
        </w:r>
        <w:r>
          <w:rPr>
            <w:noProof/>
            <w:webHidden/>
          </w:rPr>
          <w:fldChar w:fldCharType="begin"/>
        </w:r>
        <w:r w:rsidR="00EF2326">
          <w:rPr>
            <w:noProof/>
            <w:webHidden/>
          </w:rPr>
          <w:instrText xml:space="preserve"> PAGEREF _Toc446126654 \h </w:instrText>
        </w:r>
        <w:r>
          <w:rPr>
            <w:noProof/>
            <w:webHidden/>
          </w:rPr>
        </w:r>
        <w:r>
          <w:rPr>
            <w:noProof/>
            <w:webHidden/>
          </w:rPr>
          <w:fldChar w:fldCharType="separate"/>
        </w:r>
        <w:r w:rsidR="00EF2326">
          <w:rPr>
            <w:noProof/>
            <w:webHidden/>
          </w:rPr>
          <w:t>51</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55" w:history="1">
        <w:r w:rsidR="00EF2326" w:rsidRPr="00A203BE">
          <w:rPr>
            <w:rStyle w:val="Hyperlink"/>
            <w:noProof/>
          </w:rPr>
          <w:t>b.</w:t>
        </w:r>
        <w:r w:rsidR="00EF2326">
          <w:rPr>
            <w:rFonts w:asciiTheme="minorHAnsi" w:eastAsiaTheme="minorEastAsia" w:hAnsiTheme="minorHAnsi" w:cstheme="minorBidi"/>
            <w:noProof/>
            <w:lang w:val="fr-CH" w:eastAsia="fr-CH"/>
          </w:rPr>
          <w:tab/>
        </w:r>
        <w:r w:rsidR="00EF2326" w:rsidRPr="00A203BE">
          <w:rPr>
            <w:rStyle w:val="Hyperlink"/>
            <w:noProof/>
          </w:rPr>
          <w:t>Estadísticas, inclusive de los últimos siete años, sobre la tasa de mortalidad en los centros de detención de Costa Rica.</w:t>
        </w:r>
        <w:r w:rsidR="00EF2326">
          <w:rPr>
            <w:noProof/>
            <w:webHidden/>
          </w:rPr>
          <w:tab/>
        </w:r>
        <w:r>
          <w:rPr>
            <w:noProof/>
            <w:webHidden/>
          </w:rPr>
          <w:fldChar w:fldCharType="begin"/>
        </w:r>
        <w:r w:rsidR="00EF2326">
          <w:rPr>
            <w:noProof/>
            <w:webHidden/>
          </w:rPr>
          <w:instrText xml:space="preserve"> PAGEREF _Toc446126655 \h </w:instrText>
        </w:r>
        <w:r>
          <w:rPr>
            <w:noProof/>
            <w:webHidden/>
          </w:rPr>
        </w:r>
        <w:r>
          <w:rPr>
            <w:noProof/>
            <w:webHidden/>
          </w:rPr>
          <w:fldChar w:fldCharType="separate"/>
        </w:r>
        <w:r w:rsidR="00EF2326">
          <w:rPr>
            <w:noProof/>
            <w:webHidden/>
          </w:rPr>
          <w:t>52</w:t>
        </w:r>
        <w:r>
          <w:rPr>
            <w:noProof/>
            <w:webHidden/>
          </w:rPr>
          <w:fldChar w:fldCharType="end"/>
        </w:r>
      </w:hyperlink>
    </w:p>
    <w:p w:rsidR="00EF2326" w:rsidRDefault="006557E7">
      <w:pPr>
        <w:pStyle w:val="TOC2"/>
        <w:tabs>
          <w:tab w:val="left" w:pos="880"/>
          <w:tab w:val="right" w:leader="dot" w:pos="9487"/>
        </w:tabs>
        <w:rPr>
          <w:rFonts w:asciiTheme="minorHAnsi" w:eastAsiaTheme="minorEastAsia" w:hAnsiTheme="minorHAnsi" w:cstheme="minorBidi"/>
          <w:noProof/>
          <w:lang w:val="fr-CH" w:eastAsia="fr-CH"/>
        </w:rPr>
      </w:pPr>
      <w:hyperlink w:anchor="_Toc446126656" w:history="1">
        <w:r w:rsidR="00EF2326" w:rsidRPr="00A203BE">
          <w:rPr>
            <w:rStyle w:val="Hyperlink"/>
            <w:noProof/>
          </w:rPr>
          <w:t>14.</w:t>
        </w:r>
        <w:r w:rsidR="00EF2326">
          <w:rPr>
            <w:rFonts w:asciiTheme="minorHAnsi" w:eastAsiaTheme="minorEastAsia" w:hAnsiTheme="minorHAnsi" w:cstheme="minorBidi"/>
            <w:noProof/>
            <w:lang w:val="fr-CH" w:eastAsia="fr-CH"/>
          </w:rPr>
          <w:tab/>
        </w:r>
        <w:r w:rsidR="00EF2326" w:rsidRPr="00A203BE">
          <w:rPr>
            <w:rStyle w:val="Hyperlink"/>
            <w:noProof/>
          </w:rPr>
          <w:t>Sírvanse proporcionar información sobre las medidas para prevenir, investigar y sancionar las violaciones de derechos humanos cometidas por agentes del orden en centros de detención. En concreto, sírvanse proporcionar datos estadísticos desde 2010 sobre el número de denuncias de violaciones de derechos humanos recibidas en contra de miembros de la Policía, especialmente las relacionadas con tortura y malos tratos y el número de enjuiciamientos, indicando el tipo penal, y las sanciones penales y disciplinarias impuestas.</w:t>
        </w:r>
        <w:r w:rsidR="00EF2326">
          <w:rPr>
            <w:noProof/>
            <w:webHidden/>
          </w:rPr>
          <w:tab/>
        </w:r>
        <w:r>
          <w:rPr>
            <w:noProof/>
            <w:webHidden/>
          </w:rPr>
          <w:fldChar w:fldCharType="begin"/>
        </w:r>
        <w:r w:rsidR="00EF2326">
          <w:rPr>
            <w:noProof/>
            <w:webHidden/>
          </w:rPr>
          <w:instrText xml:space="preserve"> PAGEREF _Toc446126656 \h </w:instrText>
        </w:r>
        <w:r>
          <w:rPr>
            <w:noProof/>
            <w:webHidden/>
          </w:rPr>
        </w:r>
        <w:r>
          <w:rPr>
            <w:noProof/>
            <w:webHidden/>
          </w:rPr>
          <w:fldChar w:fldCharType="separate"/>
        </w:r>
        <w:r w:rsidR="00EF2326">
          <w:rPr>
            <w:noProof/>
            <w:webHidden/>
          </w:rPr>
          <w:t>53</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57" w:history="1">
        <w:r w:rsidR="00EF2326" w:rsidRPr="00A203BE">
          <w:rPr>
            <w:rStyle w:val="Hyperlink"/>
            <w:noProof/>
          </w:rPr>
          <w:t>a.</w:t>
        </w:r>
        <w:r w:rsidR="00EF2326">
          <w:rPr>
            <w:rFonts w:asciiTheme="minorHAnsi" w:eastAsiaTheme="minorEastAsia" w:hAnsiTheme="minorHAnsi" w:cstheme="minorBidi"/>
            <w:noProof/>
            <w:lang w:val="fr-CH" w:eastAsia="fr-CH"/>
          </w:rPr>
          <w:tab/>
        </w:r>
        <w:r w:rsidR="00EF2326" w:rsidRPr="00A203BE">
          <w:rPr>
            <w:rStyle w:val="Hyperlink"/>
            <w:noProof/>
          </w:rPr>
          <w:t>Información sobre las medidas para prevenir, investigar y sancionar las violaciones de derechos humanos cometidas por agentes del orden en centros de detención</w:t>
        </w:r>
        <w:r w:rsidR="00EF2326">
          <w:rPr>
            <w:noProof/>
            <w:webHidden/>
          </w:rPr>
          <w:tab/>
        </w:r>
        <w:r>
          <w:rPr>
            <w:noProof/>
            <w:webHidden/>
          </w:rPr>
          <w:fldChar w:fldCharType="begin"/>
        </w:r>
        <w:r w:rsidR="00EF2326">
          <w:rPr>
            <w:noProof/>
            <w:webHidden/>
          </w:rPr>
          <w:instrText xml:space="preserve"> PAGEREF _Toc446126657 \h </w:instrText>
        </w:r>
        <w:r>
          <w:rPr>
            <w:noProof/>
            <w:webHidden/>
          </w:rPr>
        </w:r>
        <w:r>
          <w:rPr>
            <w:noProof/>
            <w:webHidden/>
          </w:rPr>
          <w:fldChar w:fldCharType="separate"/>
        </w:r>
        <w:r w:rsidR="00EF2326">
          <w:rPr>
            <w:noProof/>
            <w:webHidden/>
          </w:rPr>
          <w:t>53</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58" w:history="1">
        <w:r w:rsidR="00EF2326" w:rsidRPr="00A203BE">
          <w:rPr>
            <w:rStyle w:val="Hyperlink"/>
            <w:noProof/>
          </w:rPr>
          <w:t>b.</w:t>
        </w:r>
        <w:r w:rsidR="00EF2326">
          <w:rPr>
            <w:rFonts w:asciiTheme="minorHAnsi" w:eastAsiaTheme="minorEastAsia" w:hAnsiTheme="minorHAnsi" w:cstheme="minorBidi"/>
            <w:noProof/>
            <w:lang w:val="fr-CH" w:eastAsia="fr-CH"/>
          </w:rPr>
          <w:tab/>
        </w:r>
        <w:r w:rsidR="00EF2326" w:rsidRPr="00A203BE">
          <w:rPr>
            <w:rStyle w:val="Hyperlink"/>
            <w:noProof/>
          </w:rPr>
          <w:t>Datos estadísticos desde 2010 sobre el número de denuncias de violaciones de derechos humanos recibidas en contra de miembros de la Policía, especialmente las relacionadas con tortura y malos tratos y el número de enjuiciamientos, indicando el tipo penal, y las sanciones penales y disciplinarias impuestas</w:t>
        </w:r>
        <w:r w:rsidR="00EF2326">
          <w:rPr>
            <w:noProof/>
            <w:webHidden/>
          </w:rPr>
          <w:tab/>
        </w:r>
        <w:r>
          <w:rPr>
            <w:noProof/>
            <w:webHidden/>
          </w:rPr>
          <w:fldChar w:fldCharType="begin"/>
        </w:r>
        <w:r w:rsidR="00EF2326">
          <w:rPr>
            <w:noProof/>
            <w:webHidden/>
          </w:rPr>
          <w:instrText xml:space="preserve"> PAGEREF _Toc446126658 \h </w:instrText>
        </w:r>
        <w:r>
          <w:rPr>
            <w:noProof/>
            <w:webHidden/>
          </w:rPr>
        </w:r>
        <w:r>
          <w:rPr>
            <w:noProof/>
            <w:webHidden/>
          </w:rPr>
          <w:fldChar w:fldCharType="separate"/>
        </w:r>
        <w:r w:rsidR="00EF2326">
          <w:rPr>
            <w:noProof/>
            <w:webHidden/>
          </w:rPr>
          <w:t>54</w:t>
        </w:r>
        <w:r>
          <w:rPr>
            <w:noProof/>
            <w:webHidden/>
          </w:rPr>
          <w:fldChar w:fldCharType="end"/>
        </w:r>
      </w:hyperlink>
    </w:p>
    <w:p w:rsidR="00EF2326" w:rsidRDefault="006557E7">
      <w:pPr>
        <w:pStyle w:val="TOC1"/>
        <w:rPr>
          <w:rFonts w:asciiTheme="minorHAnsi" w:eastAsiaTheme="minorEastAsia" w:hAnsiTheme="minorHAnsi" w:cstheme="minorBidi"/>
          <w:noProof/>
          <w:lang w:val="fr-CH" w:eastAsia="fr-CH"/>
        </w:rPr>
      </w:pPr>
      <w:hyperlink w:anchor="_Toc446126659" w:history="1">
        <w:r w:rsidR="00EF2326" w:rsidRPr="00A203BE">
          <w:rPr>
            <w:rStyle w:val="Hyperlink"/>
            <w:rFonts w:ascii="Arial" w:hAnsi="Arial" w:cs="Arial"/>
            <w:b/>
            <w:noProof/>
          </w:rPr>
          <w:t>Derecho a la libertad y seguridad personal, derechos de las personas privadas de libertad y juicio justo y garantías procesales (arts. 9, 10 y 14)</w:t>
        </w:r>
        <w:r w:rsidR="00EF2326">
          <w:rPr>
            <w:noProof/>
            <w:webHidden/>
          </w:rPr>
          <w:tab/>
        </w:r>
        <w:r>
          <w:rPr>
            <w:noProof/>
            <w:webHidden/>
          </w:rPr>
          <w:fldChar w:fldCharType="begin"/>
        </w:r>
        <w:r w:rsidR="00EF2326">
          <w:rPr>
            <w:noProof/>
            <w:webHidden/>
          </w:rPr>
          <w:instrText xml:space="preserve"> PAGEREF _Toc446126659 \h </w:instrText>
        </w:r>
        <w:r>
          <w:rPr>
            <w:noProof/>
            <w:webHidden/>
          </w:rPr>
        </w:r>
        <w:r>
          <w:rPr>
            <w:noProof/>
            <w:webHidden/>
          </w:rPr>
          <w:fldChar w:fldCharType="separate"/>
        </w:r>
        <w:r w:rsidR="00EF2326">
          <w:rPr>
            <w:noProof/>
            <w:webHidden/>
          </w:rPr>
          <w:t>54</w:t>
        </w:r>
        <w:r>
          <w:rPr>
            <w:noProof/>
            <w:webHidden/>
          </w:rPr>
          <w:fldChar w:fldCharType="end"/>
        </w:r>
      </w:hyperlink>
    </w:p>
    <w:p w:rsidR="00EF2326" w:rsidRDefault="006557E7">
      <w:pPr>
        <w:pStyle w:val="TOC2"/>
        <w:tabs>
          <w:tab w:val="left" w:pos="880"/>
          <w:tab w:val="right" w:leader="dot" w:pos="9487"/>
        </w:tabs>
        <w:rPr>
          <w:rFonts w:asciiTheme="minorHAnsi" w:eastAsiaTheme="minorEastAsia" w:hAnsiTheme="minorHAnsi" w:cstheme="minorBidi"/>
          <w:noProof/>
          <w:lang w:val="fr-CH" w:eastAsia="fr-CH"/>
        </w:rPr>
      </w:pPr>
      <w:hyperlink w:anchor="_Toc446126660" w:history="1">
        <w:r w:rsidR="00EF2326" w:rsidRPr="00A203BE">
          <w:rPr>
            <w:rStyle w:val="Hyperlink"/>
            <w:noProof/>
          </w:rPr>
          <w:t>15.</w:t>
        </w:r>
        <w:r w:rsidR="00EF2326">
          <w:rPr>
            <w:rFonts w:asciiTheme="minorHAnsi" w:eastAsiaTheme="minorEastAsia" w:hAnsiTheme="minorHAnsi" w:cstheme="minorBidi"/>
            <w:noProof/>
            <w:lang w:val="fr-CH" w:eastAsia="fr-CH"/>
          </w:rPr>
          <w:tab/>
        </w:r>
        <w:r w:rsidR="00EF2326" w:rsidRPr="00A203BE">
          <w:rPr>
            <w:rStyle w:val="Hyperlink"/>
            <w:noProof/>
          </w:rPr>
          <w:t>Con referencia a la información proporcionada por el Estado parte en su informe (CCPR/C/CRI/6, párrs. 10 a 36) y a la luz de las anteriores recomendaciones  del Comité (CCPR/C/CRI/CO/5, párr. 9) sírvanse proporcionar:</w:t>
        </w:r>
        <w:r w:rsidR="00EF2326">
          <w:rPr>
            <w:noProof/>
            <w:webHidden/>
          </w:rPr>
          <w:tab/>
        </w:r>
        <w:r>
          <w:rPr>
            <w:noProof/>
            <w:webHidden/>
          </w:rPr>
          <w:fldChar w:fldCharType="begin"/>
        </w:r>
        <w:r w:rsidR="00EF2326">
          <w:rPr>
            <w:noProof/>
            <w:webHidden/>
          </w:rPr>
          <w:instrText xml:space="preserve"> PAGEREF _Toc446126660 \h </w:instrText>
        </w:r>
        <w:r>
          <w:rPr>
            <w:noProof/>
            <w:webHidden/>
          </w:rPr>
        </w:r>
        <w:r>
          <w:rPr>
            <w:noProof/>
            <w:webHidden/>
          </w:rPr>
          <w:fldChar w:fldCharType="separate"/>
        </w:r>
        <w:r w:rsidR="00EF2326">
          <w:rPr>
            <w:noProof/>
            <w:webHidden/>
          </w:rPr>
          <w:t>54</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61" w:history="1">
        <w:r w:rsidR="00EF2326" w:rsidRPr="00A203BE">
          <w:rPr>
            <w:rStyle w:val="Hyperlink"/>
            <w:noProof/>
          </w:rPr>
          <w:t>a.</w:t>
        </w:r>
        <w:r w:rsidR="00EF2326">
          <w:rPr>
            <w:rFonts w:asciiTheme="minorHAnsi" w:eastAsiaTheme="minorEastAsia" w:hAnsiTheme="minorHAnsi" w:cstheme="minorBidi"/>
            <w:noProof/>
            <w:lang w:val="fr-CH" w:eastAsia="fr-CH"/>
          </w:rPr>
          <w:tab/>
        </w:r>
        <w:r w:rsidR="00EF2326" w:rsidRPr="00A203BE">
          <w:rPr>
            <w:rStyle w:val="Hyperlink"/>
            <w:noProof/>
          </w:rPr>
          <w:t>Información actualizada sobre el número de personas que se encuentran en prisión preventiva y sobre la ampliación de los supuestos de aplicación de la prisión preventiva en la Ley de Protección a Víctimas, Testigos y Demás Sujetos Intervinientes en el Proceso Penal y la adición del artículo 239 bis del Código Procesal.</w:t>
        </w:r>
        <w:r w:rsidR="00EF2326">
          <w:rPr>
            <w:noProof/>
            <w:webHidden/>
          </w:rPr>
          <w:tab/>
        </w:r>
        <w:r>
          <w:rPr>
            <w:noProof/>
            <w:webHidden/>
          </w:rPr>
          <w:fldChar w:fldCharType="begin"/>
        </w:r>
        <w:r w:rsidR="00EF2326">
          <w:rPr>
            <w:noProof/>
            <w:webHidden/>
          </w:rPr>
          <w:instrText xml:space="preserve"> PAGEREF _Toc446126661 \h </w:instrText>
        </w:r>
        <w:r>
          <w:rPr>
            <w:noProof/>
            <w:webHidden/>
          </w:rPr>
        </w:r>
        <w:r>
          <w:rPr>
            <w:noProof/>
            <w:webHidden/>
          </w:rPr>
          <w:fldChar w:fldCharType="separate"/>
        </w:r>
        <w:r w:rsidR="00EF2326">
          <w:rPr>
            <w:noProof/>
            <w:webHidden/>
          </w:rPr>
          <w:t>54</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62" w:history="1">
        <w:r w:rsidR="00EF2326" w:rsidRPr="00A203BE">
          <w:rPr>
            <w:rStyle w:val="Hyperlink"/>
            <w:noProof/>
          </w:rPr>
          <w:t>b.</w:t>
        </w:r>
        <w:r w:rsidR="00EF2326">
          <w:rPr>
            <w:rFonts w:asciiTheme="minorHAnsi" w:eastAsiaTheme="minorEastAsia" w:hAnsiTheme="minorHAnsi" w:cstheme="minorBidi"/>
            <w:noProof/>
            <w:lang w:val="fr-CH" w:eastAsia="fr-CH"/>
          </w:rPr>
          <w:tab/>
        </w:r>
        <w:r w:rsidR="00EF2326" w:rsidRPr="00A203BE">
          <w:rPr>
            <w:rStyle w:val="Hyperlink"/>
            <w:noProof/>
          </w:rPr>
          <w:t>Información actualizada sobre el número de reclusos que cumplen condena, así como el índice de ocupación de todos los centros de detención.</w:t>
        </w:r>
        <w:r w:rsidR="00EF2326">
          <w:rPr>
            <w:noProof/>
            <w:webHidden/>
          </w:rPr>
          <w:tab/>
        </w:r>
        <w:r>
          <w:rPr>
            <w:noProof/>
            <w:webHidden/>
          </w:rPr>
          <w:fldChar w:fldCharType="begin"/>
        </w:r>
        <w:r w:rsidR="00EF2326">
          <w:rPr>
            <w:noProof/>
            <w:webHidden/>
          </w:rPr>
          <w:instrText xml:space="preserve"> PAGEREF _Toc446126662 \h </w:instrText>
        </w:r>
        <w:r>
          <w:rPr>
            <w:noProof/>
            <w:webHidden/>
          </w:rPr>
        </w:r>
        <w:r>
          <w:rPr>
            <w:noProof/>
            <w:webHidden/>
          </w:rPr>
          <w:fldChar w:fldCharType="separate"/>
        </w:r>
        <w:r w:rsidR="00EF2326">
          <w:rPr>
            <w:noProof/>
            <w:webHidden/>
          </w:rPr>
          <w:t>55</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63" w:history="1">
        <w:r w:rsidR="00EF2326" w:rsidRPr="00A203BE">
          <w:rPr>
            <w:rStyle w:val="Hyperlink"/>
            <w:noProof/>
          </w:rPr>
          <w:t>c.</w:t>
        </w:r>
        <w:r w:rsidR="00EF2326">
          <w:rPr>
            <w:rFonts w:asciiTheme="minorHAnsi" w:eastAsiaTheme="minorEastAsia" w:hAnsiTheme="minorHAnsi" w:cstheme="minorBidi"/>
            <w:noProof/>
            <w:lang w:val="fr-CH" w:eastAsia="fr-CH"/>
          </w:rPr>
          <w:tab/>
        </w:r>
        <w:r w:rsidR="00EF2326" w:rsidRPr="00A203BE">
          <w:rPr>
            <w:rStyle w:val="Hyperlink"/>
            <w:noProof/>
          </w:rPr>
          <w:t>Información sobre los protocolos existentes para preparar y garantizar la puesta en libertad en fecha establecida de los reclusos que han cumplido su condena.</w:t>
        </w:r>
        <w:r w:rsidR="00EF2326">
          <w:rPr>
            <w:noProof/>
            <w:webHidden/>
          </w:rPr>
          <w:tab/>
        </w:r>
        <w:r>
          <w:rPr>
            <w:noProof/>
            <w:webHidden/>
          </w:rPr>
          <w:fldChar w:fldCharType="begin"/>
        </w:r>
        <w:r w:rsidR="00EF2326">
          <w:rPr>
            <w:noProof/>
            <w:webHidden/>
          </w:rPr>
          <w:instrText xml:space="preserve"> PAGEREF _Toc446126663 \h </w:instrText>
        </w:r>
        <w:r>
          <w:rPr>
            <w:noProof/>
            <w:webHidden/>
          </w:rPr>
        </w:r>
        <w:r>
          <w:rPr>
            <w:noProof/>
            <w:webHidden/>
          </w:rPr>
          <w:fldChar w:fldCharType="separate"/>
        </w:r>
        <w:r w:rsidR="00EF2326">
          <w:rPr>
            <w:noProof/>
            <w:webHidden/>
          </w:rPr>
          <w:t>55</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64" w:history="1">
        <w:r w:rsidR="00EF2326" w:rsidRPr="00A203BE">
          <w:rPr>
            <w:rStyle w:val="Hyperlink"/>
            <w:noProof/>
          </w:rPr>
          <w:t>d.</w:t>
        </w:r>
        <w:r w:rsidR="00EF2326">
          <w:rPr>
            <w:rFonts w:asciiTheme="minorHAnsi" w:eastAsiaTheme="minorEastAsia" w:hAnsiTheme="minorHAnsi" w:cstheme="minorBidi"/>
            <w:noProof/>
            <w:lang w:val="fr-CH" w:eastAsia="fr-CH"/>
          </w:rPr>
          <w:tab/>
        </w:r>
        <w:r w:rsidR="00EF2326" w:rsidRPr="00A203BE">
          <w:rPr>
            <w:rStyle w:val="Hyperlink"/>
            <w:noProof/>
          </w:rPr>
          <w:t>Información sobre los progresos realizados para reducir los niveles de ocupación en los centros de detención, es particular el proyecto de construcción de 2.700 espacios nuevos para ubicar a personas privadas de libertad.</w:t>
        </w:r>
        <w:r w:rsidR="00EF2326">
          <w:rPr>
            <w:noProof/>
            <w:webHidden/>
          </w:rPr>
          <w:tab/>
        </w:r>
        <w:r>
          <w:rPr>
            <w:noProof/>
            <w:webHidden/>
          </w:rPr>
          <w:fldChar w:fldCharType="begin"/>
        </w:r>
        <w:r w:rsidR="00EF2326">
          <w:rPr>
            <w:noProof/>
            <w:webHidden/>
          </w:rPr>
          <w:instrText xml:space="preserve"> PAGEREF _Toc446126664 \h </w:instrText>
        </w:r>
        <w:r>
          <w:rPr>
            <w:noProof/>
            <w:webHidden/>
          </w:rPr>
        </w:r>
        <w:r>
          <w:rPr>
            <w:noProof/>
            <w:webHidden/>
          </w:rPr>
          <w:fldChar w:fldCharType="separate"/>
        </w:r>
        <w:r w:rsidR="00EF2326">
          <w:rPr>
            <w:noProof/>
            <w:webHidden/>
          </w:rPr>
          <w:t>56</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65" w:history="1">
        <w:r w:rsidR="00EF2326" w:rsidRPr="00A203BE">
          <w:rPr>
            <w:rStyle w:val="Hyperlink"/>
            <w:noProof/>
          </w:rPr>
          <w:t>e.</w:t>
        </w:r>
        <w:r w:rsidR="00EF2326">
          <w:rPr>
            <w:rFonts w:asciiTheme="minorHAnsi" w:eastAsiaTheme="minorEastAsia" w:hAnsiTheme="minorHAnsi" w:cstheme="minorBidi"/>
            <w:noProof/>
            <w:lang w:val="fr-CH" w:eastAsia="fr-CH"/>
          </w:rPr>
          <w:tab/>
        </w:r>
        <w:r w:rsidR="00EF2326" w:rsidRPr="00A203BE">
          <w:rPr>
            <w:rStyle w:val="Hyperlink"/>
            <w:noProof/>
          </w:rPr>
          <w:t>Información sobre la aplicación de medidas y penas alternativas a la privación de libertad, en particular los resultados de la aplicación del al Circular 02-2014, aprobada por la Dirección General y el Instituto Nacional de Criminología, para reforzar el proceso de desinstitucionalización.</w:t>
        </w:r>
        <w:r w:rsidR="00EF2326">
          <w:rPr>
            <w:noProof/>
            <w:webHidden/>
          </w:rPr>
          <w:tab/>
        </w:r>
        <w:r>
          <w:rPr>
            <w:noProof/>
            <w:webHidden/>
          </w:rPr>
          <w:fldChar w:fldCharType="begin"/>
        </w:r>
        <w:r w:rsidR="00EF2326">
          <w:rPr>
            <w:noProof/>
            <w:webHidden/>
          </w:rPr>
          <w:instrText xml:space="preserve"> PAGEREF _Toc446126665 \h </w:instrText>
        </w:r>
        <w:r>
          <w:rPr>
            <w:noProof/>
            <w:webHidden/>
          </w:rPr>
        </w:r>
        <w:r>
          <w:rPr>
            <w:noProof/>
            <w:webHidden/>
          </w:rPr>
          <w:fldChar w:fldCharType="separate"/>
        </w:r>
        <w:r w:rsidR="00EF2326">
          <w:rPr>
            <w:noProof/>
            <w:webHidden/>
          </w:rPr>
          <w:t>57</w:t>
        </w:r>
        <w:r>
          <w:rPr>
            <w:noProof/>
            <w:webHidden/>
          </w:rPr>
          <w:fldChar w:fldCharType="end"/>
        </w:r>
      </w:hyperlink>
    </w:p>
    <w:p w:rsidR="00EF2326" w:rsidRDefault="006557E7">
      <w:pPr>
        <w:pStyle w:val="TOC2"/>
        <w:tabs>
          <w:tab w:val="left" w:pos="880"/>
          <w:tab w:val="right" w:leader="dot" w:pos="9487"/>
        </w:tabs>
        <w:rPr>
          <w:rFonts w:asciiTheme="minorHAnsi" w:eastAsiaTheme="minorEastAsia" w:hAnsiTheme="minorHAnsi" w:cstheme="minorBidi"/>
          <w:noProof/>
          <w:lang w:val="fr-CH" w:eastAsia="fr-CH"/>
        </w:rPr>
      </w:pPr>
      <w:hyperlink w:anchor="_Toc446126666" w:history="1">
        <w:r w:rsidR="00EF2326" w:rsidRPr="00A203BE">
          <w:rPr>
            <w:rStyle w:val="Hyperlink"/>
            <w:noProof/>
          </w:rPr>
          <w:t>16.</w:t>
        </w:r>
        <w:r w:rsidR="00EF2326">
          <w:rPr>
            <w:rFonts w:asciiTheme="minorHAnsi" w:eastAsiaTheme="minorEastAsia" w:hAnsiTheme="minorHAnsi" w:cstheme="minorBidi"/>
            <w:noProof/>
            <w:lang w:val="fr-CH" w:eastAsia="fr-CH"/>
          </w:rPr>
          <w:tab/>
        </w:r>
        <w:r w:rsidR="00EF2326" w:rsidRPr="00A203BE">
          <w:rPr>
            <w:rStyle w:val="Hyperlink"/>
            <w:noProof/>
          </w:rPr>
          <w:t>Sírvanse proporcionar información sobre las condiciones del Centro de Aprehensión Temporal para Extranjeros en Condición Irregular (CATECI) y si éstas se ajustan a las normas internacionales. En particular, sírvanse indicar las medidas tomadas para reducir el hacinamiento. Sírvanse aclarar si la legislación nacional establece un límite para la duración de la detención administrativa de extranjeros.</w:t>
        </w:r>
        <w:r w:rsidR="00EF2326">
          <w:rPr>
            <w:noProof/>
            <w:webHidden/>
          </w:rPr>
          <w:tab/>
        </w:r>
        <w:r>
          <w:rPr>
            <w:noProof/>
            <w:webHidden/>
          </w:rPr>
          <w:fldChar w:fldCharType="begin"/>
        </w:r>
        <w:r w:rsidR="00EF2326">
          <w:rPr>
            <w:noProof/>
            <w:webHidden/>
          </w:rPr>
          <w:instrText xml:space="preserve"> PAGEREF _Toc446126666 \h </w:instrText>
        </w:r>
        <w:r>
          <w:rPr>
            <w:noProof/>
            <w:webHidden/>
          </w:rPr>
        </w:r>
        <w:r>
          <w:rPr>
            <w:noProof/>
            <w:webHidden/>
          </w:rPr>
          <w:fldChar w:fldCharType="separate"/>
        </w:r>
        <w:r w:rsidR="00EF2326">
          <w:rPr>
            <w:noProof/>
            <w:webHidden/>
          </w:rPr>
          <w:t>60</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67" w:history="1">
        <w:r w:rsidR="00EF2326" w:rsidRPr="00A203BE">
          <w:rPr>
            <w:rStyle w:val="Hyperlink"/>
            <w:noProof/>
          </w:rPr>
          <w:t>a.</w:t>
        </w:r>
        <w:r w:rsidR="00EF2326">
          <w:rPr>
            <w:rFonts w:asciiTheme="minorHAnsi" w:eastAsiaTheme="minorEastAsia" w:hAnsiTheme="minorHAnsi" w:cstheme="minorBidi"/>
            <w:noProof/>
            <w:lang w:val="fr-CH" w:eastAsia="fr-CH"/>
          </w:rPr>
          <w:tab/>
        </w:r>
        <w:r w:rsidR="00EF2326" w:rsidRPr="00A203BE">
          <w:rPr>
            <w:rStyle w:val="Hyperlink"/>
            <w:noProof/>
          </w:rPr>
          <w:t>Medidas tomadas para reducir el hacinamiento</w:t>
        </w:r>
        <w:r w:rsidR="00EF2326">
          <w:rPr>
            <w:noProof/>
            <w:webHidden/>
          </w:rPr>
          <w:tab/>
        </w:r>
        <w:r>
          <w:rPr>
            <w:noProof/>
            <w:webHidden/>
          </w:rPr>
          <w:fldChar w:fldCharType="begin"/>
        </w:r>
        <w:r w:rsidR="00EF2326">
          <w:rPr>
            <w:noProof/>
            <w:webHidden/>
          </w:rPr>
          <w:instrText xml:space="preserve"> PAGEREF _Toc446126667 \h </w:instrText>
        </w:r>
        <w:r>
          <w:rPr>
            <w:noProof/>
            <w:webHidden/>
          </w:rPr>
        </w:r>
        <w:r>
          <w:rPr>
            <w:noProof/>
            <w:webHidden/>
          </w:rPr>
          <w:fldChar w:fldCharType="separate"/>
        </w:r>
        <w:r w:rsidR="00EF2326">
          <w:rPr>
            <w:noProof/>
            <w:webHidden/>
          </w:rPr>
          <w:t>60</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68" w:history="1">
        <w:r w:rsidR="00EF2326" w:rsidRPr="00A203BE">
          <w:rPr>
            <w:rStyle w:val="Hyperlink"/>
            <w:noProof/>
          </w:rPr>
          <w:t>b.</w:t>
        </w:r>
        <w:r w:rsidR="00EF2326">
          <w:rPr>
            <w:rFonts w:asciiTheme="minorHAnsi" w:eastAsiaTheme="minorEastAsia" w:hAnsiTheme="minorHAnsi" w:cstheme="minorBidi"/>
            <w:noProof/>
            <w:lang w:val="fr-CH" w:eastAsia="fr-CH"/>
          </w:rPr>
          <w:tab/>
        </w:r>
        <w:r w:rsidR="00EF2326" w:rsidRPr="00A203BE">
          <w:rPr>
            <w:rStyle w:val="Hyperlink"/>
            <w:noProof/>
          </w:rPr>
          <w:t>Límite para la duración de la detención administrativa de extranjeros</w:t>
        </w:r>
        <w:r w:rsidR="00EF2326">
          <w:rPr>
            <w:noProof/>
            <w:webHidden/>
          </w:rPr>
          <w:tab/>
        </w:r>
        <w:r>
          <w:rPr>
            <w:noProof/>
            <w:webHidden/>
          </w:rPr>
          <w:fldChar w:fldCharType="begin"/>
        </w:r>
        <w:r w:rsidR="00EF2326">
          <w:rPr>
            <w:noProof/>
            <w:webHidden/>
          </w:rPr>
          <w:instrText xml:space="preserve"> PAGEREF _Toc446126668 \h </w:instrText>
        </w:r>
        <w:r>
          <w:rPr>
            <w:noProof/>
            <w:webHidden/>
          </w:rPr>
        </w:r>
        <w:r>
          <w:rPr>
            <w:noProof/>
            <w:webHidden/>
          </w:rPr>
          <w:fldChar w:fldCharType="separate"/>
        </w:r>
        <w:r w:rsidR="00EF2326">
          <w:rPr>
            <w:noProof/>
            <w:webHidden/>
          </w:rPr>
          <w:t>61</w:t>
        </w:r>
        <w:r>
          <w:rPr>
            <w:noProof/>
            <w:webHidden/>
          </w:rPr>
          <w:fldChar w:fldCharType="end"/>
        </w:r>
      </w:hyperlink>
    </w:p>
    <w:p w:rsidR="00EF2326" w:rsidRDefault="006557E7">
      <w:pPr>
        <w:pStyle w:val="TOC2"/>
        <w:tabs>
          <w:tab w:val="left" w:pos="880"/>
          <w:tab w:val="right" w:leader="dot" w:pos="9487"/>
        </w:tabs>
        <w:rPr>
          <w:rFonts w:asciiTheme="minorHAnsi" w:eastAsiaTheme="minorEastAsia" w:hAnsiTheme="minorHAnsi" w:cstheme="minorBidi"/>
          <w:noProof/>
          <w:lang w:val="fr-CH" w:eastAsia="fr-CH"/>
        </w:rPr>
      </w:pPr>
      <w:hyperlink w:anchor="_Toc446126669" w:history="1">
        <w:r w:rsidR="00EF2326" w:rsidRPr="00A203BE">
          <w:rPr>
            <w:rStyle w:val="Hyperlink"/>
            <w:noProof/>
          </w:rPr>
          <w:t>17.</w:t>
        </w:r>
        <w:r w:rsidR="00EF2326">
          <w:rPr>
            <w:rFonts w:asciiTheme="minorHAnsi" w:eastAsiaTheme="minorEastAsia" w:hAnsiTheme="minorHAnsi" w:cstheme="minorBidi"/>
            <w:noProof/>
            <w:lang w:val="fr-CH" w:eastAsia="fr-CH"/>
          </w:rPr>
          <w:tab/>
        </w:r>
        <w:r w:rsidR="00EF2326" w:rsidRPr="00A203BE">
          <w:rPr>
            <w:rStyle w:val="Hyperlink"/>
            <w:noProof/>
          </w:rPr>
          <w:t>Sírvanse proporcionar información sobre las medidas tomadas por el Estado para prevenir dilaciones indebidas en los procesos judiciales, de acuerdo con el artículo 14 del Pacto.</w:t>
        </w:r>
        <w:r w:rsidR="00EF2326">
          <w:rPr>
            <w:noProof/>
            <w:webHidden/>
          </w:rPr>
          <w:tab/>
        </w:r>
        <w:r>
          <w:rPr>
            <w:noProof/>
            <w:webHidden/>
          </w:rPr>
          <w:fldChar w:fldCharType="begin"/>
        </w:r>
        <w:r w:rsidR="00EF2326">
          <w:rPr>
            <w:noProof/>
            <w:webHidden/>
          </w:rPr>
          <w:instrText xml:space="preserve"> PAGEREF _Toc446126669 \h </w:instrText>
        </w:r>
        <w:r>
          <w:rPr>
            <w:noProof/>
            <w:webHidden/>
          </w:rPr>
        </w:r>
        <w:r>
          <w:rPr>
            <w:noProof/>
            <w:webHidden/>
          </w:rPr>
          <w:fldChar w:fldCharType="separate"/>
        </w:r>
        <w:r w:rsidR="00EF2326">
          <w:rPr>
            <w:noProof/>
            <w:webHidden/>
          </w:rPr>
          <w:t>62</w:t>
        </w:r>
        <w:r>
          <w:rPr>
            <w:noProof/>
            <w:webHidden/>
          </w:rPr>
          <w:fldChar w:fldCharType="end"/>
        </w:r>
      </w:hyperlink>
    </w:p>
    <w:p w:rsidR="00EF2326" w:rsidRDefault="006557E7">
      <w:pPr>
        <w:pStyle w:val="TOC1"/>
        <w:rPr>
          <w:rFonts w:asciiTheme="minorHAnsi" w:eastAsiaTheme="minorEastAsia" w:hAnsiTheme="minorHAnsi" w:cstheme="minorBidi"/>
          <w:noProof/>
          <w:lang w:val="fr-CH" w:eastAsia="fr-CH"/>
        </w:rPr>
      </w:pPr>
      <w:hyperlink w:anchor="_Toc446126670" w:history="1">
        <w:r w:rsidR="00EF2326" w:rsidRPr="00A203BE">
          <w:rPr>
            <w:rStyle w:val="Hyperlink"/>
            <w:rFonts w:ascii="Arial" w:hAnsi="Arial" w:cs="Arial"/>
            <w:b/>
            <w:noProof/>
          </w:rPr>
          <w:t>Libertad de pensamiento, conciencia y religión (arts. 2,18,23 y 26)</w:t>
        </w:r>
        <w:r w:rsidR="00EF2326">
          <w:rPr>
            <w:noProof/>
            <w:webHidden/>
          </w:rPr>
          <w:tab/>
        </w:r>
        <w:r>
          <w:rPr>
            <w:noProof/>
            <w:webHidden/>
          </w:rPr>
          <w:fldChar w:fldCharType="begin"/>
        </w:r>
        <w:r w:rsidR="00EF2326">
          <w:rPr>
            <w:noProof/>
            <w:webHidden/>
          </w:rPr>
          <w:instrText xml:space="preserve"> PAGEREF _Toc446126670 \h </w:instrText>
        </w:r>
        <w:r>
          <w:rPr>
            <w:noProof/>
            <w:webHidden/>
          </w:rPr>
        </w:r>
        <w:r>
          <w:rPr>
            <w:noProof/>
            <w:webHidden/>
          </w:rPr>
          <w:fldChar w:fldCharType="separate"/>
        </w:r>
        <w:r w:rsidR="00EF2326">
          <w:rPr>
            <w:noProof/>
            <w:webHidden/>
          </w:rPr>
          <w:t>64</w:t>
        </w:r>
        <w:r>
          <w:rPr>
            <w:noProof/>
            <w:webHidden/>
          </w:rPr>
          <w:fldChar w:fldCharType="end"/>
        </w:r>
      </w:hyperlink>
    </w:p>
    <w:p w:rsidR="00EF2326" w:rsidRDefault="006557E7">
      <w:pPr>
        <w:pStyle w:val="TOC2"/>
        <w:tabs>
          <w:tab w:val="left" w:pos="880"/>
          <w:tab w:val="right" w:leader="dot" w:pos="9487"/>
        </w:tabs>
        <w:rPr>
          <w:rFonts w:asciiTheme="minorHAnsi" w:eastAsiaTheme="minorEastAsia" w:hAnsiTheme="minorHAnsi" w:cstheme="minorBidi"/>
          <w:noProof/>
          <w:lang w:val="fr-CH" w:eastAsia="fr-CH"/>
        </w:rPr>
      </w:pPr>
      <w:hyperlink w:anchor="_Toc446126671" w:history="1">
        <w:r w:rsidR="00EF2326" w:rsidRPr="00A203BE">
          <w:rPr>
            <w:rStyle w:val="Hyperlink"/>
            <w:noProof/>
          </w:rPr>
          <w:t>18.</w:t>
        </w:r>
        <w:r w:rsidR="00EF2326">
          <w:rPr>
            <w:rFonts w:asciiTheme="minorHAnsi" w:eastAsiaTheme="minorEastAsia" w:hAnsiTheme="minorHAnsi" w:cstheme="minorBidi"/>
            <w:noProof/>
            <w:lang w:val="fr-CH" w:eastAsia="fr-CH"/>
          </w:rPr>
          <w:tab/>
        </w:r>
        <w:r w:rsidR="00EF2326" w:rsidRPr="00A203BE">
          <w:rPr>
            <w:rStyle w:val="Hyperlink"/>
            <w:noProof/>
          </w:rPr>
          <w:t>Sírvanse informar qué medidas han sido tomadas para armonizar la legislación del Estado parte con el Pacto y garantizar el principio de no discriminación entre religiones, tal y como lo recomendó el Comité en sus anteriores observaciones finales (CCPR/C/CRI/CO/5, párr. 10). Asimismo, sírvanse explicar las diferencias en el reconocimiento de los efectos legales de los matrimonios religiosos en el Estado parte.</w:t>
        </w:r>
        <w:r w:rsidR="00EF2326">
          <w:rPr>
            <w:noProof/>
            <w:webHidden/>
          </w:rPr>
          <w:tab/>
        </w:r>
        <w:r>
          <w:rPr>
            <w:noProof/>
            <w:webHidden/>
          </w:rPr>
          <w:fldChar w:fldCharType="begin"/>
        </w:r>
        <w:r w:rsidR="00EF2326">
          <w:rPr>
            <w:noProof/>
            <w:webHidden/>
          </w:rPr>
          <w:instrText xml:space="preserve"> PAGEREF _Toc446126671 \h </w:instrText>
        </w:r>
        <w:r>
          <w:rPr>
            <w:noProof/>
            <w:webHidden/>
          </w:rPr>
        </w:r>
        <w:r>
          <w:rPr>
            <w:noProof/>
            <w:webHidden/>
          </w:rPr>
          <w:fldChar w:fldCharType="separate"/>
        </w:r>
        <w:r w:rsidR="00EF2326">
          <w:rPr>
            <w:noProof/>
            <w:webHidden/>
          </w:rPr>
          <w:t>64</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72" w:history="1">
        <w:r w:rsidR="00EF2326" w:rsidRPr="00A203BE">
          <w:rPr>
            <w:rStyle w:val="Hyperlink"/>
            <w:noProof/>
          </w:rPr>
          <w:t>a.</w:t>
        </w:r>
        <w:r w:rsidR="00EF2326">
          <w:rPr>
            <w:rFonts w:asciiTheme="minorHAnsi" w:eastAsiaTheme="minorEastAsia" w:hAnsiTheme="minorHAnsi" w:cstheme="minorBidi"/>
            <w:noProof/>
            <w:lang w:val="fr-CH" w:eastAsia="fr-CH"/>
          </w:rPr>
          <w:tab/>
        </w:r>
        <w:r w:rsidR="00EF2326" w:rsidRPr="00A203BE">
          <w:rPr>
            <w:rStyle w:val="Hyperlink"/>
            <w:noProof/>
          </w:rPr>
          <w:t>Medidas tomadas para armonizar la legislación del Estado parte con el Pacto y garantizar el principio de no discriminación entre religiones.</w:t>
        </w:r>
        <w:r w:rsidR="00EF2326">
          <w:rPr>
            <w:noProof/>
            <w:webHidden/>
          </w:rPr>
          <w:tab/>
        </w:r>
        <w:r>
          <w:rPr>
            <w:noProof/>
            <w:webHidden/>
          </w:rPr>
          <w:fldChar w:fldCharType="begin"/>
        </w:r>
        <w:r w:rsidR="00EF2326">
          <w:rPr>
            <w:noProof/>
            <w:webHidden/>
          </w:rPr>
          <w:instrText xml:space="preserve"> PAGEREF _Toc446126672 \h </w:instrText>
        </w:r>
        <w:r>
          <w:rPr>
            <w:noProof/>
            <w:webHidden/>
          </w:rPr>
        </w:r>
        <w:r>
          <w:rPr>
            <w:noProof/>
            <w:webHidden/>
          </w:rPr>
          <w:fldChar w:fldCharType="separate"/>
        </w:r>
        <w:r w:rsidR="00EF2326">
          <w:rPr>
            <w:noProof/>
            <w:webHidden/>
          </w:rPr>
          <w:t>64</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73" w:history="1">
        <w:r w:rsidR="00EF2326" w:rsidRPr="00A203BE">
          <w:rPr>
            <w:rStyle w:val="Hyperlink"/>
            <w:noProof/>
          </w:rPr>
          <w:t>b.</w:t>
        </w:r>
        <w:r w:rsidR="00EF2326">
          <w:rPr>
            <w:rFonts w:asciiTheme="minorHAnsi" w:eastAsiaTheme="minorEastAsia" w:hAnsiTheme="minorHAnsi" w:cstheme="minorBidi"/>
            <w:noProof/>
            <w:lang w:val="fr-CH" w:eastAsia="fr-CH"/>
          </w:rPr>
          <w:tab/>
        </w:r>
        <w:r w:rsidR="00EF2326" w:rsidRPr="00A203BE">
          <w:rPr>
            <w:rStyle w:val="Hyperlink"/>
            <w:noProof/>
          </w:rPr>
          <w:t>Diferencias en reconocimiento de los efectos legales de los matrimonios religiosos</w:t>
        </w:r>
        <w:r w:rsidR="00EF2326">
          <w:rPr>
            <w:noProof/>
            <w:webHidden/>
          </w:rPr>
          <w:tab/>
        </w:r>
        <w:r>
          <w:rPr>
            <w:noProof/>
            <w:webHidden/>
          </w:rPr>
          <w:fldChar w:fldCharType="begin"/>
        </w:r>
        <w:r w:rsidR="00EF2326">
          <w:rPr>
            <w:noProof/>
            <w:webHidden/>
          </w:rPr>
          <w:instrText xml:space="preserve"> PAGEREF _Toc446126673 \h </w:instrText>
        </w:r>
        <w:r>
          <w:rPr>
            <w:noProof/>
            <w:webHidden/>
          </w:rPr>
        </w:r>
        <w:r>
          <w:rPr>
            <w:noProof/>
            <w:webHidden/>
          </w:rPr>
          <w:fldChar w:fldCharType="separate"/>
        </w:r>
        <w:r w:rsidR="00EF2326">
          <w:rPr>
            <w:noProof/>
            <w:webHidden/>
          </w:rPr>
          <w:t>65</w:t>
        </w:r>
        <w:r>
          <w:rPr>
            <w:noProof/>
            <w:webHidden/>
          </w:rPr>
          <w:fldChar w:fldCharType="end"/>
        </w:r>
      </w:hyperlink>
    </w:p>
    <w:p w:rsidR="00EF2326" w:rsidRDefault="006557E7">
      <w:pPr>
        <w:pStyle w:val="TOC1"/>
        <w:rPr>
          <w:rFonts w:asciiTheme="minorHAnsi" w:eastAsiaTheme="minorEastAsia" w:hAnsiTheme="minorHAnsi" w:cstheme="minorBidi"/>
          <w:noProof/>
          <w:lang w:val="fr-CH" w:eastAsia="fr-CH"/>
        </w:rPr>
      </w:pPr>
      <w:hyperlink w:anchor="_Toc446126674" w:history="1">
        <w:r w:rsidR="00EF2326" w:rsidRPr="00A203BE">
          <w:rPr>
            <w:rStyle w:val="Hyperlink"/>
            <w:rFonts w:ascii="Arial" w:hAnsi="Arial" w:cs="Arial"/>
            <w:b/>
            <w:noProof/>
          </w:rPr>
          <w:t>Libertad de opinión y expresión (Art. 19)</w:t>
        </w:r>
        <w:r w:rsidR="00EF2326">
          <w:rPr>
            <w:noProof/>
            <w:webHidden/>
          </w:rPr>
          <w:tab/>
        </w:r>
        <w:r>
          <w:rPr>
            <w:noProof/>
            <w:webHidden/>
          </w:rPr>
          <w:fldChar w:fldCharType="begin"/>
        </w:r>
        <w:r w:rsidR="00EF2326">
          <w:rPr>
            <w:noProof/>
            <w:webHidden/>
          </w:rPr>
          <w:instrText xml:space="preserve"> PAGEREF _Toc446126674 \h </w:instrText>
        </w:r>
        <w:r>
          <w:rPr>
            <w:noProof/>
            <w:webHidden/>
          </w:rPr>
        </w:r>
        <w:r>
          <w:rPr>
            <w:noProof/>
            <w:webHidden/>
          </w:rPr>
          <w:fldChar w:fldCharType="separate"/>
        </w:r>
        <w:r w:rsidR="00EF2326">
          <w:rPr>
            <w:noProof/>
            <w:webHidden/>
          </w:rPr>
          <w:t>65</w:t>
        </w:r>
        <w:r>
          <w:rPr>
            <w:noProof/>
            <w:webHidden/>
          </w:rPr>
          <w:fldChar w:fldCharType="end"/>
        </w:r>
      </w:hyperlink>
    </w:p>
    <w:p w:rsidR="00EF2326" w:rsidRDefault="006557E7">
      <w:pPr>
        <w:pStyle w:val="TOC2"/>
        <w:tabs>
          <w:tab w:val="left" w:pos="880"/>
          <w:tab w:val="right" w:leader="dot" w:pos="9487"/>
        </w:tabs>
        <w:rPr>
          <w:rFonts w:asciiTheme="minorHAnsi" w:eastAsiaTheme="minorEastAsia" w:hAnsiTheme="minorHAnsi" w:cstheme="minorBidi"/>
          <w:noProof/>
          <w:lang w:val="fr-CH" w:eastAsia="fr-CH"/>
        </w:rPr>
      </w:pPr>
      <w:hyperlink w:anchor="_Toc446126675" w:history="1">
        <w:r w:rsidR="00EF2326" w:rsidRPr="00A203BE">
          <w:rPr>
            <w:rStyle w:val="Hyperlink"/>
            <w:noProof/>
          </w:rPr>
          <w:t>19.</w:t>
        </w:r>
        <w:r w:rsidR="00EF2326">
          <w:rPr>
            <w:rFonts w:asciiTheme="minorHAnsi" w:eastAsiaTheme="minorEastAsia" w:hAnsiTheme="minorHAnsi" w:cstheme="minorBidi"/>
            <w:noProof/>
            <w:lang w:val="fr-CH" w:eastAsia="fr-CH"/>
          </w:rPr>
          <w:tab/>
        </w:r>
        <w:r w:rsidR="00EF2326" w:rsidRPr="00A203BE">
          <w:rPr>
            <w:rStyle w:val="Hyperlink"/>
            <w:noProof/>
          </w:rPr>
          <w:t>Sírvanse proporcionar información sobre las medidas tomadas, incluidas medidas legislativas, para eliminar las limitaciones legislativas al ejercicio de la actividad periodística en Costa Rica, tal y como recomendó el Comité en sus anteriores observaciones finales (CCPR/C/CRI/CO/5, párr. 11). Sírvanse proporcionar información sobre la Ley de Delitos Informáticos, que entró en vigor en abril de 2013, y comenten sobre su compatibilidad con las disposiciones del Pacto. Indíquese el número y los motivos legales de los procesos penales incoados durante el período examinado contra periodistas. Sírvanse asimismo proporcionar información estadística sobre la investigación, enjuiciamiento y sanción a los responsables de atentados y amenazas en contra de periodistas, así como indemnización a las víctimas.</w:t>
        </w:r>
        <w:r w:rsidR="00EF2326">
          <w:rPr>
            <w:noProof/>
            <w:webHidden/>
          </w:rPr>
          <w:tab/>
        </w:r>
        <w:r>
          <w:rPr>
            <w:noProof/>
            <w:webHidden/>
          </w:rPr>
          <w:fldChar w:fldCharType="begin"/>
        </w:r>
        <w:r w:rsidR="00EF2326">
          <w:rPr>
            <w:noProof/>
            <w:webHidden/>
          </w:rPr>
          <w:instrText xml:space="preserve"> PAGEREF _Toc446126675 \h </w:instrText>
        </w:r>
        <w:r>
          <w:rPr>
            <w:noProof/>
            <w:webHidden/>
          </w:rPr>
        </w:r>
        <w:r>
          <w:rPr>
            <w:noProof/>
            <w:webHidden/>
          </w:rPr>
          <w:fldChar w:fldCharType="separate"/>
        </w:r>
        <w:r w:rsidR="00EF2326">
          <w:rPr>
            <w:noProof/>
            <w:webHidden/>
          </w:rPr>
          <w:t>65</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76" w:history="1">
        <w:r w:rsidR="00EF2326" w:rsidRPr="00A203BE">
          <w:rPr>
            <w:rStyle w:val="Hyperlink"/>
            <w:noProof/>
          </w:rPr>
          <w:t>a.</w:t>
        </w:r>
        <w:r w:rsidR="00EF2326">
          <w:rPr>
            <w:rFonts w:asciiTheme="minorHAnsi" w:eastAsiaTheme="minorEastAsia" w:hAnsiTheme="minorHAnsi" w:cstheme="minorBidi"/>
            <w:noProof/>
            <w:lang w:val="fr-CH" w:eastAsia="fr-CH"/>
          </w:rPr>
          <w:tab/>
        </w:r>
        <w:r w:rsidR="00EF2326" w:rsidRPr="00A203BE">
          <w:rPr>
            <w:rStyle w:val="Hyperlink"/>
            <w:noProof/>
          </w:rPr>
          <w:t>Medidas tomadas para eliminar las limitaciones legislativas al ejercicio de la actividad periodística en Costa Rica.</w:t>
        </w:r>
        <w:r w:rsidR="00EF2326">
          <w:rPr>
            <w:noProof/>
            <w:webHidden/>
          </w:rPr>
          <w:tab/>
        </w:r>
        <w:r>
          <w:rPr>
            <w:noProof/>
            <w:webHidden/>
          </w:rPr>
          <w:fldChar w:fldCharType="begin"/>
        </w:r>
        <w:r w:rsidR="00EF2326">
          <w:rPr>
            <w:noProof/>
            <w:webHidden/>
          </w:rPr>
          <w:instrText xml:space="preserve"> PAGEREF _Toc446126676 \h </w:instrText>
        </w:r>
        <w:r>
          <w:rPr>
            <w:noProof/>
            <w:webHidden/>
          </w:rPr>
        </w:r>
        <w:r>
          <w:rPr>
            <w:noProof/>
            <w:webHidden/>
          </w:rPr>
          <w:fldChar w:fldCharType="separate"/>
        </w:r>
        <w:r w:rsidR="00EF2326">
          <w:rPr>
            <w:noProof/>
            <w:webHidden/>
          </w:rPr>
          <w:t>66</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77" w:history="1">
        <w:r w:rsidR="00EF2326" w:rsidRPr="00A203BE">
          <w:rPr>
            <w:rStyle w:val="Hyperlink"/>
            <w:noProof/>
          </w:rPr>
          <w:t>b.</w:t>
        </w:r>
        <w:r w:rsidR="00EF2326">
          <w:rPr>
            <w:rFonts w:asciiTheme="minorHAnsi" w:eastAsiaTheme="minorEastAsia" w:hAnsiTheme="minorHAnsi" w:cstheme="minorBidi"/>
            <w:noProof/>
            <w:lang w:val="fr-CH" w:eastAsia="fr-CH"/>
          </w:rPr>
          <w:tab/>
        </w:r>
        <w:r w:rsidR="00EF2326" w:rsidRPr="00A203BE">
          <w:rPr>
            <w:rStyle w:val="Hyperlink"/>
            <w:noProof/>
          </w:rPr>
          <w:t>información sobre la Ley de Delitos Informáticos, que entró en vigor en abril de 2013, y comenten sobre su compatibilidad con las disposiciones del Pacto</w:t>
        </w:r>
        <w:r w:rsidR="00EF2326">
          <w:rPr>
            <w:noProof/>
            <w:webHidden/>
          </w:rPr>
          <w:tab/>
        </w:r>
        <w:r>
          <w:rPr>
            <w:noProof/>
            <w:webHidden/>
          </w:rPr>
          <w:fldChar w:fldCharType="begin"/>
        </w:r>
        <w:r w:rsidR="00EF2326">
          <w:rPr>
            <w:noProof/>
            <w:webHidden/>
          </w:rPr>
          <w:instrText xml:space="preserve"> PAGEREF _Toc446126677 \h </w:instrText>
        </w:r>
        <w:r>
          <w:rPr>
            <w:noProof/>
            <w:webHidden/>
          </w:rPr>
        </w:r>
        <w:r>
          <w:rPr>
            <w:noProof/>
            <w:webHidden/>
          </w:rPr>
          <w:fldChar w:fldCharType="separate"/>
        </w:r>
        <w:r w:rsidR="00EF2326">
          <w:rPr>
            <w:noProof/>
            <w:webHidden/>
          </w:rPr>
          <w:t>68</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78" w:history="1">
        <w:r w:rsidR="00EF2326" w:rsidRPr="00A203BE">
          <w:rPr>
            <w:rStyle w:val="Hyperlink"/>
            <w:noProof/>
          </w:rPr>
          <w:t>c.</w:t>
        </w:r>
        <w:r w:rsidR="00EF2326">
          <w:rPr>
            <w:rFonts w:asciiTheme="minorHAnsi" w:eastAsiaTheme="minorEastAsia" w:hAnsiTheme="minorHAnsi" w:cstheme="minorBidi"/>
            <w:noProof/>
            <w:lang w:val="fr-CH" w:eastAsia="fr-CH"/>
          </w:rPr>
          <w:tab/>
        </w:r>
        <w:r w:rsidR="00EF2326" w:rsidRPr="00A203BE">
          <w:rPr>
            <w:rStyle w:val="Hyperlink"/>
            <w:noProof/>
          </w:rPr>
          <w:t>Número y los motivos legales de los procesos penales incoados durante el período examinado contra periodistas.</w:t>
        </w:r>
        <w:r w:rsidR="00EF2326">
          <w:rPr>
            <w:noProof/>
            <w:webHidden/>
          </w:rPr>
          <w:tab/>
        </w:r>
        <w:r>
          <w:rPr>
            <w:noProof/>
            <w:webHidden/>
          </w:rPr>
          <w:fldChar w:fldCharType="begin"/>
        </w:r>
        <w:r w:rsidR="00EF2326">
          <w:rPr>
            <w:noProof/>
            <w:webHidden/>
          </w:rPr>
          <w:instrText xml:space="preserve"> PAGEREF _Toc446126678 \h </w:instrText>
        </w:r>
        <w:r>
          <w:rPr>
            <w:noProof/>
            <w:webHidden/>
          </w:rPr>
        </w:r>
        <w:r>
          <w:rPr>
            <w:noProof/>
            <w:webHidden/>
          </w:rPr>
          <w:fldChar w:fldCharType="separate"/>
        </w:r>
        <w:r w:rsidR="00EF2326">
          <w:rPr>
            <w:noProof/>
            <w:webHidden/>
          </w:rPr>
          <w:t>69</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79" w:history="1">
        <w:r w:rsidR="00EF2326" w:rsidRPr="00A203BE">
          <w:rPr>
            <w:rStyle w:val="Hyperlink"/>
            <w:noProof/>
          </w:rPr>
          <w:t>d.</w:t>
        </w:r>
        <w:r w:rsidR="00EF2326">
          <w:rPr>
            <w:rFonts w:asciiTheme="minorHAnsi" w:eastAsiaTheme="minorEastAsia" w:hAnsiTheme="minorHAnsi" w:cstheme="minorBidi"/>
            <w:noProof/>
            <w:lang w:val="fr-CH" w:eastAsia="fr-CH"/>
          </w:rPr>
          <w:tab/>
        </w:r>
        <w:r w:rsidR="00EF2326" w:rsidRPr="00A203BE">
          <w:rPr>
            <w:rStyle w:val="Hyperlink"/>
            <w:noProof/>
          </w:rPr>
          <w:t>Información estadística sobre investigación, enjuiciamiento y sanción a los responsables de amenazas/atentados contra periodistas e indemnización a las víctimas.</w:t>
        </w:r>
        <w:r w:rsidR="00EF2326">
          <w:rPr>
            <w:noProof/>
            <w:webHidden/>
          </w:rPr>
          <w:tab/>
        </w:r>
        <w:r>
          <w:rPr>
            <w:noProof/>
            <w:webHidden/>
          </w:rPr>
          <w:fldChar w:fldCharType="begin"/>
        </w:r>
        <w:r w:rsidR="00EF2326">
          <w:rPr>
            <w:noProof/>
            <w:webHidden/>
          </w:rPr>
          <w:instrText xml:space="preserve"> PAGEREF _Toc446126679 \h </w:instrText>
        </w:r>
        <w:r>
          <w:rPr>
            <w:noProof/>
            <w:webHidden/>
          </w:rPr>
        </w:r>
        <w:r>
          <w:rPr>
            <w:noProof/>
            <w:webHidden/>
          </w:rPr>
          <w:fldChar w:fldCharType="separate"/>
        </w:r>
        <w:r w:rsidR="00EF2326">
          <w:rPr>
            <w:noProof/>
            <w:webHidden/>
          </w:rPr>
          <w:t>69</w:t>
        </w:r>
        <w:r>
          <w:rPr>
            <w:noProof/>
            <w:webHidden/>
          </w:rPr>
          <w:fldChar w:fldCharType="end"/>
        </w:r>
      </w:hyperlink>
    </w:p>
    <w:p w:rsidR="00EF2326" w:rsidRDefault="006557E7">
      <w:pPr>
        <w:pStyle w:val="TOC1"/>
        <w:rPr>
          <w:rFonts w:asciiTheme="minorHAnsi" w:eastAsiaTheme="minorEastAsia" w:hAnsiTheme="minorHAnsi" w:cstheme="minorBidi"/>
          <w:noProof/>
          <w:lang w:val="fr-CH" w:eastAsia="fr-CH"/>
        </w:rPr>
      </w:pPr>
      <w:hyperlink w:anchor="_Toc446126680" w:history="1">
        <w:r w:rsidR="00EF2326" w:rsidRPr="00A203BE">
          <w:rPr>
            <w:rStyle w:val="Hyperlink"/>
            <w:rFonts w:ascii="Arial" w:hAnsi="Arial" w:cs="Arial"/>
            <w:b/>
            <w:noProof/>
          </w:rPr>
          <w:t>Medidas para la protección de los menores (arts. 7, 10, 14 y 24)</w:t>
        </w:r>
        <w:r w:rsidR="00EF2326">
          <w:rPr>
            <w:noProof/>
            <w:webHidden/>
          </w:rPr>
          <w:tab/>
        </w:r>
        <w:r>
          <w:rPr>
            <w:noProof/>
            <w:webHidden/>
          </w:rPr>
          <w:fldChar w:fldCharType="begin"/>
        </w:r>
        <w:r w:rsidR="00EF2326">
          <w:rPr>
            <w:noProof/>
            <w:webHidden/>
          </w:rPr>
          <w:instrText xml:space="preserve"> PAGEREF _Toc446126680 \h </w:instrText>
        </w:r>
        <w:r>
          <w:rPr>
            <w:noProof/>
            <w:webHidden/>
          </w:rPr>
        </w:r>
        <w:r>
          <w:rPr>
            <w:noProof/>
            <w:webHidden/>
          </w:rPr>
          <w:fldChar w:fldCharType="separate"/>
        </w:r>
        <w:r w:rsidR="00EF2326">
          <w:rPr>
            <w:noProof/>
            <w:webHidden/>
          </w:rPr>
          <w:t>69</w:t>
        </w:r>
        <w:r>
          <w:rPr>
            <w:noProof/>
            <w:webHidden/>
          </w:rPr>
          <w:fldChar w:fldCharType="end"/>
        </w:r>
      </w:hyperlink>
    </w:p>
    <w:p w:rsidR="00EF2326" w:rsidRDefault="006557E7">
      <w:pPr>
        <w:pStyle w:val="TOC2"/>
        <w:tabs>
          <w:tab w:val="left" w:pos="880"/>
          <w:tab w:val="right" w:leader="dot" w:pos="9487"/>
        </w:tabs>
        <w:rPr>
          <w:rFonts w:asciiTheme="minorHAnsi" w:eastAsiaTheme="minorEastAsia" w:hAnsiTheme="minorHAnsi" w:cstheme="minorBidi"/>
          <w:noProof/>
          <w:lang w:val="fr-CH" w:eastAsia="fr-CH"/>
        </w:rPr>
      </w:pPr>
      <w:hyperlink w:anchor="_Toc446126681" w:history="1">
        <w:r w:rsidR="00EF2326" w:rsidRPr="00A203BE">
          <w:rPr>
            <w:rStyle w:val="Hyperlink"/>
            <w:noProof/>
          </w:rPr>
          <w:t>20.</w:t>
        </w:r>
        <w:r w:rsidR="00EF2326">
          <w:rPr>
            <w:rFonts w:asciiTheme="minorHAnsi" w:eastAsiaTheme="minorEastAsia" w:hAnsiTheme="minorHAnsi" w:cstheme="minorBidi"/>
            <w:noProof/>
            <w:lang w:val="fr-CH" w:eastAsia="fr-CH"/>
          </w:rPr>
          <w:tab/>
        </w:r>
        <w:r w:rsidR="00EF2326" w:rsidRPr="00A203BE">
          <w:rPr>
            <w:rStyle w:val="Hyperlink"/>
            <w:noProof/>
          </w:rPr>
          <w:t>Sírvanse indicar la proporción de niños y niñas que trabajan de manera formal o informal en la economía, incluidos menores en situación de calle. Sírvanse, asimismo, proporcionar información sobre los resultados de los programas y planes adoptados, incluyendo las medidas adoptadas por el Sistema Nacional de Protección Integral de los Derechos de la Niñez y las Adolescencia, para impedir que los menores estén expuestos a la explotación sexual así como a las peores formas de trabajo infantil, en particular en el servicio doméstico y actividades agrícolas peligrosas.</w:t>
        </w:r>
        <w:r w:rsidR="00EF2326">
          <w:rPr>
            <w:noProof/>
            <w:webHidden/>
          </w:rPr>
          <w:tab/>
        </w:r>
        <w:r>
          <w:rPr>
            <w:noProof/>
            <w:webHidden/>
          </w:rPr>
          <w:fldChar w:fldCharType="begin"/>
        </w:r>
        <w:r w:rsidR="00EF2326">
          <w:rPr>
            <w:noProof/>
            <w:webHidden/>
          </w:rPr>
          <w:instrText xml:space="preserve"> PAGEREF _Toc446126681 \h </w:instrText>
        </w:r>
        <w:r>
          <w:rPr>
            <w:noProof/>
            <w:webHidden/>
          </w:rPr>
        </w:r>
        <w:r>
          <w:rPr>
            <w:noProof/>
            <w:webHidden/>
          </w:rPr>
          <w:fldChar w:fldCharType="separate"/>
        </w:r>
        <w:r w:rsidR="00EF2326">
          <w:rPr>
            <w:noProof/>
            <w:webHidden/>
          </w:rPr>
          <w:t>69</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82" w:history="1">
        <w:r w:rsidR="00EF2326" w:rsidRPr="00A203BE">
          <w:rPr>
            <w:rStyle w:val="Hyperlink"/>
            <w:noProof/>
          </w:rPr>
          <w:t>a.</w:t>
        </w:r>
        <w:r w:rsidR="00EF2326">
          <w:rPr>
            <w:rFonts w:asciiTheme="minorHAnsi" w:eastAsiaTheme="minorEastAsia" w:hAnsiTheme="minorHAnsi" w:cstheme="minorBidi"/>
            <w:noProof/>
            <w:lang w:val="fr-CH" w:eastAsia="fr-CH"/>
          </w:rPr>
          <w:tab/>
        </w:r>
        <w:r w:rsidR="00EF2326" w:rsidRPr="00A203BE">
          <w:rPr>
            <w:rStyle w:val="Hyperlink"/>
            <w:noProof/>
          </w:rPr>
          <w:t>Proporción de niños y niñas que trabajan de manera formal o informal en la economía, incluidos menores en situación de calle</w:t>
        </w:r>
        <w:r w:rsidR="00EF2326">
          <w:rPr>
            <w:noProof/>
            <w:webHidden/>
          </w:rPr>
          <w:tab/>
        </w:r>
        <w:r>
          <w:rPr>
            <w:noProof/>
            <w:webHidden/>
          </w:rPr>
          <w:fldChar w:fldCharType="begin"/>
        </w:r>
        <w:r w:rsidR="00EF2326">
          <w:rPr>
            <w:noProof/>
            <w:webHidden/>
          </w:rPr>
          <w:instrText xml:space="preserve"> PAGEREF _Toc446126682 \h </w:instrText>
        </w:r>
        <w:r>
          <w:rPr>
            <w:noProof/>
            <w:webHidden/>
          </w:rPr>
        </w:r>
        <w:r>
          <w:rPr>
            <w:noProof/>
            <w:webHidden/>
          </w:rPr>
          <w:fldChar w:fldCharType="separate"/>
        </w:r>
        <w:r w:rsidR="00EF2326">
          <w:rPr>
            <w:noProof/>
            <w:webHidden/>
          </w:rPr>
          <w:t>70</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83" w:history="1">
        <w:r w:rsidR="00EF2326" w:rsidRPr="00A203BE">
          <w:rPr>
            <w:rStyle w:val="Hyperlink"/>
            <w:noProof/>
          </w:rPr>
          <w:t>b.</w:t>
        </w:r>
        <w:r w:rsidR="00EF2326">
          <w:rPr>
            <w:rFonts w:asciiTheme="minorHAnsi" w:eastAsiaTheme="minorEastAsia" w:hAnsiTheme="minorHAnsi" w:cstheme="minorBidi"/>
            <w:noProof/>
            <w:lang w:val="fr-CH" w:eastAsia="fr-CH"/>
          </w:rPr>
          <w:tab/>
        </w:r>
        <w:r w:rsidR="00EF2326" w:rsidRPr="00A203BE">
          <w:rPr>
            <w:rStyle w:val="Hyperlink"/>
            <w:noProof/>
          </w:rPr>
          <w:t>Resultados de programas y planes para impedir que menores estén expuestos a explotación sexual y peores formas de trabajo infantil.</w:t>
        </w:r>
        <w:r w:rsidR="00EF2326">
          <w:rPr>
            <w:noProof/>
            <w:webHidden/>
          </w:rPr>
          <w:tab/>
        </w:r>
        <w:r>
          <w:rPr>
            <w:noProof/>
            <w:webHidden/>
          </w:rPr>
          <w:fldChar w:fldCharType="begin"/>
        </w:r>
        <w:r w:rsidR="00EF2326">
          <w:rPr>
            <w:noProof/>
            <w:webHidden/>
          </w:rPr>
          <w:instrText xml:space="preserve"> PAGEREF _Toc446126683 \h </w:instrText>
        </w:r>
        <w:r>
          <w:rPr>
            <w:noProof/>
            <w:webHidden/>
          </w:rPr>
        </w:r>
        <w:r>
          <w:rPr>
            <w:noProof/>
            <w:webHidden/>
          </w:rPr>
          <w:fldChar w:fldCharType="separate"/>
        </w:r>
        <w:r w:rsidR="00EF2326">
          <w:rPr>
            <w:noProof/>
            <w:webHidden/>
          </w:rPr>
          <w:t>71</w:t>
        </w:r>
        <w:r>
          <w:rPr>
            <w:noProof/>
            <w:webHidden/>
          </w:rPr>
          <w:fldChar w:fldCharType="end"/>
        </w:r>
      </w:hyperlink>
    </w:p>
    <w:p w:rsidR="00EF2326" w:rsidRDefault="006557E7">
      <w:pPr>
        <w:pStyle w:val="TOC2"/>
        <w:tabs>
          <w:tab w:val="left" w:pos="880"/>
          <w:tab w:val="right" w:leader="dot" w:pos="9487"/>
        </w:tabs>
        <w:rPr>
          <w:rFonts w:asciiTheme="minorHAnsi" w:eastAsiaTheme="minorEastAsia" w:hAnsiTheme="minorHAnsi" w:cstheme="minorBidi"/>
          <w:noProof/>
          <w:lang w:val="fr-CH" w:eastAsia="fr-CH"/>
        </w:rPr>
      </w:pPr>
      <w:hyperlink w:anchor="_Toc446126684" w:history="1">
        <w:r w:rsidR="00EF2326" w:rsidRPr="00A203BE">
          <w:rPr>
            <w:rStyle w:val="Hyperlink"/>
            <w:noProof/>
          </w:rPr>
          <w:t>21.</w:t>
        </w:r>
        <w:r w:rsidR="00EF2326">
          <w:rPr>
            <w:rFonts w:asciiTheme="minorHAnsi" w:eastAsiaTheme="minorEastAsia" w:hAnsiTheme="minorHAnsi" w:cstheme="minorBidi"/>
            <w:noProof/>
            <w:lang w:val="fr-CH" w:eastAsia="fr-CH"/>
          </w:rPr>
          <w:tab/>
        </w:r>
        <w:r w:rsidR="00EF2326" w:rsidRPr="00A203BE">
          <w:rPr>
            <w:rStyle w:val="Hyperlink"/>
            <w:noProof/>
          </w:rPr>
          <w:t>Sírvanse proporcionar información sobre las medidas para garantizar la inscripción de los nacimientos de todos los niños y las niñas nacidos en el territorio del Estado parte, particularmente los niños indígenas y migrantes. Al respecto, sírvanse acompañar información estadística.</w:t>
        </w:r>
        <w:r w:rsidR="00EF2326">
          <w:rPr>
            <w:noProof/>
            <w:webHidden/>
          </w:rPr>
          <w:tab/>
        </w:r>
        <w:r>
          <w:rPr>
            <w:noProof/>
            <w:webHidden/>
          </w:rPr>
          <w:fldChar w:fldCharType="begin"/>
        </w:r>
        <w:r w:rsidR="00EF2326">
          <w:rPr>
            <w:noProof/>
            <w:webHidden/>
          </w:rPr>
          <w:instrText xml:space="preserve"> PAGEREF _Toc446126684 \h </w:instrText>
        </w:r>
        <w:r>
          <w:rPr>
            <w:noProof/>
            <w:webHidden/>
          </w:rPr>
        </w:r>
        <w:r>
          <w:rPr>
            <w:noProof/>
            <w:webHidden/>
          </w:rPr>
          <w:fldChar w:fldCharType="separate"/>
        </w:r>
        <w:r w:rsidR="00EF2326">
          <w:rPr>
            <w:noProof/>
            <w:webHidden/>
          </w:rPr>
          <w:t>72</w:t>
        </w:r>
        <w:r>
          <w:rPr>
            <w:noProof/>
            <w:webHidden/>
          </w:rPr>
          <w:fldChar w:fldCharType="end"/>
        </w:r>
      </w:hyperlink>
    </w:p>
    <w:p w:rsidR="00EF2326" w:rsidRDefault="006557E7">
      <w:pPr>
        <w:pStyle w:val="TOC2"/>
        <w:tabs>
          <w:tab w:val="left" w:pos="880"/>
          <w:tab w:val="right" w:leader="dot" w:pos="9487"/>
        </w:tabs>
        <w:rPr>
          <w:rFonts w:asciiTheme="minorHAnsi" w:eastAsiaTheme="minorEastAsia" w:hAnsiTheme="minorHAnsi" w:cstheme="minorBidi"/>
          <w:noProof/>
          <w:lang w:val="fr-CH" w:eastAsia="fr-CH"/>
        </w:rPr>
      </w:pPr>
      <w:hyperlink w:anchor="_Toc446126685" w:history="1">
        <w:r w:rsidR="00EF2326" w:rsidRPr="00A203BE">
          <w:rPr>
            <w:rStyle w:val="Hyperlink"/>
            <w:noProof/>
          </w:rPr>
          <w:t>22.</w:t>
        </w:r>
        <w:r w:rsidR="00EF2326">
          <w:rPr>
            <w:rFonts w:asciiTheme="minorHAnsi" w:eastAsiaTheme="minorEastAsia" w:hAnsiTheme="minorHAnsi" w:cstheme="minorBidi"/>
            <w:noProof/>
            <w:lang w:val="fr-CH" w:eastAsia="fr-CH"/>
          </w:rPr>
          <w:tab/>
        </w:r>
        <w:r w:rsidR="00EF2326" w:rsidRPr="00A203BE">
          <w:rPr>
            <w:rStyle w:val="Hyperlink"/>
            <w:noProof/>
          </w:rPr>
          <w:t>Sírvanse proporcionar información sobre medidas para:</w:t>
        </w:r>
        <w:r w:rsidR="00EF2326">
          <w:rPr>
            <w:noProof/>
            <w:webHidden/>
          </w:rPr>
          <w:tab/>
        </w:r>
        <w:r>
          <w:rPr>
            <w:noProof/>
            <w:webHidden/>
          </w:rPr>
          <w:fldChar w:fldCharType="begin"/>
        </w:r>
        <w:r w:rsidR="00EF2326">
          <w:rPr>
            <w:noProof/>
            <w:webHidden/>
          </w:rPr>
          <w:instrText xml:space="preserve"> PAGEREF _Toc446126685 \h </w:instrText>
        </w:r>
        <w:r>
          <w:rPr>
            <w:noProof/>
            <w:webHidden/>
          </w:rPr>
        </w:r>
        <w:r>
          <w:rPr>
            <w:noProof/>
            <w:webHidden/>
          </w:rPr>
          <w:fldChar w:fldCharType="separate"/>
        </w:r>
        <w:r w:rsidR="00EF2326">
          <w:rPr>
            <w:noProof/>
            <w:webHidden/>
          </w:rPr>
          <w:t>73</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86" w:history="1">
        <w:r w:rsidR="00EF2326" w:rsidRPr="00A203BE">
          <w:rPr>
            <w:rStyle w:val="Hyperlink"/>
            <w:noProof/>
          </w:rPr>
          <w:t>a.</w:t>
        </w:r>
        <w:r w:rsidR="00EF2326">
          <w:rPr>
            <w:rFonts w:asciiTheme="minorHAnsi" w:eastAsiaTheme="minorEastAsia" w:hAnsiTheme="minorHAnsi" w:cstheme="minorBidi"/>
            <w:noProof/>
            <w:lang w:val="fr-CH" w:eastAsia="fr-CH"/>
          </w:rPr>
          <w:tab/>
        </w:r>
        <w:r w:rsidR="00EF2326" w:rsidRPr="00A203BE">
          <w:rPr>
            <w:rStyle w:val="Hyperlink"/>
            <w:noProof/>
          </w:rPr>
          <w:t>Velar por que los menores en conflicto con la ley sean acogidos en centros apropiados que faciliten su reinserción.</w:t>
        </w:r>
        <w:r w:rsidR="00EF2326">
          <w:rPr>
            <w:noProof/>
            <w:webHidden/>
          </w:rPr>
          <w:tab/>
        </w:r>
        <w:r>
          <w:rPr>
            <w:noProof/>
            <w:webHidden/>
          </w:rPr>
          <w:fldChar w:fldCharType="begin"/>
        </w:r>
        <w:r w:rsidR="00EF2326">
          <w:rPr>
            <w:noProof/>
            <w:webHidden/>
          </w:rPr>
          <w:instrText xml:space="preserve"> PAGEREF _Toc446126686 \h </w:instrText>
        </w:r>
        <w:r>
          <w:rPr>
            <w:noProof/>
            <w:webHidden/>
          </w:rPr>
        </w:r>
        <w:r>
          <w:rPr>
            <w:noProof/>
            <w:webHidden/>
          </w:rPr>
          <w:fldChar w:fldCharType="separate"/>
        </w:r>
        <w:r w:rsidR="00EF2326">
          <w:rPr>
            <w:noProof/>
            <w:webHidden/>
          </w:rPr>
          <w:t>73</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87" w:history="1">
        <w:r w:rsidR="00EF2326" w:rsidRPr="00A203BE">
          <w:rPr>
            <w:rStyle w:val="Hyperlink"/>
            <w:noProof/>
          </w:rPr>
          <w:t>b.</w:t>
        </w:r>
        <w:r w:rsidR="00EF2326">
          <w:rPr>
            <w:rFonts w:asciiTheme="minorHAnsi" w:eastAsiaTheme="minorEastAsia" w:hAnsiTheme="minorHAnsi" w:cstheme="minorBidi"/>
            <w:noProof/>
            <w:lang w:val="fr-CH" w:eastAsia="fr-CH"/>
          </w:rPr>
          <w:tab/>
        </w:r>
        <w:r w:rsidR="00EF2326" w:rsidRPr="00A203BE">
          <w:rPr>
            <w:rStyle w:val="Hyperlink"/>
            <w:noProof/>
          </w:rPr>
          <w:t>Utilizar la detención o el encarcelamiento de menores como medidas de último recurso y por el menor tiempo posible.</w:t>
        </w:r>
        <w:r w:rsidR="00EF2326">
          <w:rPr>
            <w:noProof/>
            <w:webHidden/>
          </w:rPr>
          <w:tab/>
        </w:r>
        <w:r>
          <w:rPr>
            <w:noProof/>
            <w:webHidden/>
          </w:rPr>
          <w:fldChar w:fldCharType="begin"/>
        </w:r>
        <w:r w:rsidR="00EF2326">
          <w:rPr>
            <w:noProof/>
            <w:webHidden/>
          </w:rPr>
          <w:instrText xml:space="preserve"> PAGEREF _Toc446126687 \h </w:instrText>
        </w:r>
        <w:r>
          <w:rPr>
            <w:noProof/>
            <w:webHidden/>
          </w:rPr>
        </w:r>
        <w:r>
          <w:rPr>
            <w:noProof/>
            <w:webHidden/>
          </w:rPr>
          <w:fldChar w:fldCharType="separate"/>
        </w:r>
        <w:r w:rsidR="00EF2326">
          <w:rPr>
            <w:noProof/>
            <w:webHidden/>
          </w:rPr>
          <w:t>74</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88" w:history="1">
        <w:r w:rsidR="00EF2326" w:rsidRPr="00A203BE">
          <w:rPr>
            <w:rStyle w:val="Hyperlink"/>
            <w:noProof/>
          </w:rPr>
          <w:t>c.</w:t>
        </w:r>
        <w:r w:rsidR="00EF2326">
          <w:rPr>
            <w:rFonts w:asciiTheme="minorHAnsi" w:eastAsiaTheme="minorEastAsia" w:hAnsiTheme="minorHAnsi" w:cstheme="minorBidi"/>
            <w:noProof/>
            <w:lang w:val="fr-CH" w:eastAsia="fr-CH"/>
          </w:rPr>
          <w:tab/>
        </w:r>
        <w:r w:rsidR="00EF2326" w:rsidRPr="00A203BE">
          <w:rPr>
            <w:rStyle w:val="Hyperlink"/>
            <w:noProof/>
          </w:rPr>
          <w:t>Garantizar a los menores en conflicto con la ley el derecho a ser escuchados en los procedimientos penales que les conciernen, así como el derecho a asistencia jurídica apropiada.</w:t>
        </w:r>
        <w:r w:rsidR="00EF2326">
          <w:rPr>
            <w:noProof/>
            <w:webHidden/>
          </w:rPr>
          <w:tab/>
        </w:r>
        <w:r>
          <w:rPr>
            <w:noProof/>
            <w:webHidden/>
          </w:rPr>
          <w:fldChar w:fldCharType="begin"/>
        </w:r>
        <w:r w:rsidR="00EF2326">
          <w:rPr>
            <w:noProof/>
            <w:webHidden/>
          </w:rPr>
          <w:instrText xml:space="preserve"> PAGEREF _Toc446126688 \h </w:instrText>
        </w:r>
        <w:r>
          <w:rPr>
            <w:noProof/>
            <w:webHidden/>
          </w:rPr>
        </w:r>
        <w:r>
          <w:rPr>
            <w:noProof/>
            <w:webHidden/>
          </w:rPr>
          <w:fldChar w:fldCharType="separate"/>
        </w:r>
        <w:r w:rsidR="00EF2326">
          <w:rPr>
            <w:noProof/>
            <w:webHidden/>
          </w:rPr>
          <w:t>74</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89" w:history="1">
        <w:r w:rsidR="00EF2326" w:rsidRPr="00A203BE">
          <w:rPr>
            <w:rStyle w:val="Hyperlink"/>
            <w:noProof/>
          </w:rPr>
          <w:t>d.</w:t>
        </w:r>
        <w:r w:rsidR="00EF2326">
          <w:rPr>
            <w:rFonts w:asciiTheme="minorHAnsi" w:eastAsiaTheme="minorEastAsia" w:hAnsiTheme="minorHAnsi" w:cstheme="minorBidi"/>
            <w:noProof/>
            <w:lang w:val="fr-CH" w:eastAsia="fr-CH"/>
          </w:rPr>
          <w:tab/>
        </w:r>
        <w:r w:rsidR="00EF2326" w:rsidRPr="00A203BE">
          <w:rPr>
            <w:rStyle w:val="Hyperlink"/>
            <w:noProof/>
          </w:rPr>
          <w:t>Sírvanse, asimismo, informar si el Estado parte cuenta con un mecanismo independiente encargado de supervisar que en los centros de reclusión de menores se respeten los derechos consagrados en el Pacto.</w:t>
        </w:r>
        <w:r w:rsidR="00EF2326">
          <w:rPr>
            <w:noProof/>
            <w:webHidden/>
          </w:rPr>
          <w:tab/>
        </w:r>
        <w:r>
          <w:rPr>
            <w:noProof/>
            <w:webHidden/>
          </w:rPr>
          <w:fldChar w:fldCharType="begin"/>
        </w:r>
        <w:r w:rsidR="00EF2326">
          <w:rPr>
            <w:noProof/>
            <w:webHidden/>
          </w:rPr>
          <w:instrText xml:space="preserve"> PAGEREF _Toc446126689 \h </w:instrText>
        </w:r>
        <w:r>
          <w:rPr>
            <w:noProof/>
            <w:webHidden/>
          </w:rPr>
        </w:r>
        <w:r>
          <w:rPr>
            <w:noProof/>
            <w:webHidden/>
          </w:rPr>
          <w:fldChar w:fldCharType="separate"/>
        </w:r>
        <w:r w:rsidR="00EF2326">
          <w:rPr>
            <w:noProof/>
            <w:webHidden/>
          </w:rPr>
          <w:t>74</w:t>
        </w:r>
        <w:r>
          <w:rPr>
            <w:noProof/>
            <w:webHidden/>
          </w:rPr>
          <w:fldChar w:fldCharType="end"/>
        </w:r>
      </w:hyperlink>
    </w:p>
    <w:p w:rsidR="00EF2326" w:rsidRDefault="006557E7">
      <w:pPr>
        <w:pStyle w:val="TOC1"/>
        <w:rPr>
          <w:rFonts w:asciiTheme="minorHAnsi" w:eastAsiaTheme="minorEastAsia" w:hAnsiTheme="minorHAnsi" w:cstheme="minorBidi"/>
          <w:noProof/>
          <w:lang w:val="fr-CH" w:eastAsia="fr-CH"/>
        </w:rPr>
      </w:pPr>
      <w:hyperlink w:anchor="_Toc446126690" w:history="1">
        <w:r w:rsidR="00EF2326" w:rsidRPr="00A203BE">
          <w:rPr>
            <w:rStyle w:val="Hyperlink"/>
            <w:rFonts w:ascii="Arial" w:hAnsi="Arial" w:cs="Arial"/>
            <w:b/>
            <w:noProof/>
          </w:rPr>
          <w:t>Igualdad y no discriminación y protección de los derechos de las personas pertenecientes a minorías étnicas (arts. 2,26 y 27)</w:t>
        </w:r>
        <w:r w:rsidR="00EF2326">
          <w:rPr>
            <w:noProof/>
            <w:webHidden/>
          </w:rPr>
          <w:tab/>
        </w:r>
        <w:r>
          <w:rPr>
            <w:noProof/>
            <w:webHidden/>
          </w:rPr>
          <w:fldChar w:fldCharType="begin"/>
        </w:r>
        <w:r w:rsidR="00EF2326">
          <w:rPr>
            <w:noProof/>
            <w:webHidden/>
          </w:rPr>
          <w:instrText xml:space="preserve"> PAGEREF _Toc446126690 \h </w:instrText>
        </w:r>
        <w:r>
          <w:rPr>
            <w:noProof/>
            <w:webHidden/>
          </w:rPr>
        </w:r>
        <w:r>
          <w:rPr>
            <w:noProof/>
            <w:webHidden/>
          </w:rPr>
          <w:fldChar w:fldCharType="separate"/>
        </w:r>
        <w:r w:rsidR="00EF2326">
          <w:rPr>
            <w:noProof/>
            <w:webHidden/>
          </w:rPr>
          <w:t>75</w:t>
        </w:r>
        <w:r>
          <w:rPr>
            <w:noProof/>
            <w:webHidden/>
          </w:rPr>
          <w:fldChar w:fldCharType="end"/>
        </w:r>
      </w:hyperlink>
    </w:p>
    <w:p w:rsidR="00EF2326" w:rsidRDefault="006557E7">
      <w:pPr>
        <w:pStyle w:val="TOC2"/>
        <w:tabs>
          <w:tab w:val="left" w:pos="880"/>
          <w:tab w:val="right" w:leader="dot" w:pos="9487"/>
        </w:tabs>
        <w:rPr>
          <w:rFonts w:asciiTheme="minorHAnsi" w:eastAsiaTheme="minorEastAsia" w:hAnsiTheme="minorHAnsi" w:cstheme="minorBidi"/>
          <w:noProof/>
          <w:lang w:val="fr-CH" w:eastAsia="fr-CH"/>
        </w:rPr>
      </w:pPr>
      <w:hyperlink w:anchor="_Toc446126691" w:history="1">
        <w:r w:rsidR="00EF2326" w:rsidRPr="00A203BE">
          <w:rPr>
            <w:rStyle w:val="Hyperlink"/>
            <w:noProof/>
          </w:rPr>
          <w:t>23.</w:t>
        </w:r>
        <w:r w:rsidR="00EF2326">
          <w:rPr>
            <w:rFonts w:asciiTheme="minorHAnsi" w:eastAsiaTheme="minorEastAsia" w:hAnsiTheme="minorHAnsi" w:cstheme="minorBidi"/>
            <w:noProof/>
            <w:lang w:val="fr-CH" w:eastAsia="fr-CH"/>
          </w:rPr>
          <w:tab/>
        </w:r>
        <w:r w:rsidR="00EF2326" w:rsidRPr="00A203BE">
          <w:rPr>
            <w:rStyle w:val="Hyperlink"/>
            <w:noProof/>
          </w:rPr>
          <w:t>Sírvanse proporcionar información sobre los mecanismos o procesos de consulta existentes de los pueblos indígenas acerca de medidas legislativas o administrativas que puedan tener algún tipo de incidencia sobre sus derechos y proporcionar ejemplos de consultas que se hayan realizado durante el período en estudio. Asimismo, sírvanse facilitar información sobre el contenido y fase de tramitación en que se encuentra el proyecto de ley de desarrollo autónomo de los pueblos indígenas.</w:t>
        </w:r>
        <w:r w:rsidR="00EF2326">
          <w:rPr>
            <w:noProof/>
            <w:webHidden/>
          </w:rPr>
          <w:tab/>
        </w:r>
        <w:r>
          <w:rPr>
            <w:noProof/>
            <w:webHidden/>
          </w:rPr>
          <w:fldChar w:fldCharType="begin"/>
        </w:r>
        <w:r w:rsidR="00EF2326">
          <w:rPr>
            <w:noProof/>
            <w:webHidden/>
          </w:rPr>
          <w:instrText xml:space="preserve"> PAGEREF _Toc446126691 \h </w:instrText>
        </w:r>
        <w:r>
          <w:rPr>
            <w:noProof/>
            <w:webHidden/>
          </w:rPr>
        </w:r>
        <w:r>
          <w:rPr>
            <w:noProof/>
            <w:webHidden/>
          </w:rPr>
          <w:fldChar w:fldCharType="separate"/>
        </w:r>
        <w:r w:rsidR="00EF2326">
          <w:rPr>
            <w:noProof/>
            <w:webHidden/>
          </w:rPr>
          <w:t>75</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92" w:history="1">
        <w:r w:rsidR="00EF2326" w:rsidRPr="00A203BE">
          <w:rPr>
            <w:rStyle w:val="Hyperlink"/>
            <w:noProof/>
          </w:rPr>
          <w:t>a.</w:t>
        </w:r>
        <w:r w:rsidR="00EF2326">
          <w:rPr>
            <w:rFonts w:asciiTheme="minorHAnsi" w:eastAsiaTheme="minorEastAsia" w:hAnsiTheme="minorHAnsi" w:cstheme="minorBidi"/>
            <w:noProof/>
            <w:lang w:val="fr-CH" w:eastAsia="fr-CH"/>
          </w:rPr>
          <w:tab/>
        </w:r>
        <w:r w:rsidR="00EF2326" w:rsidRPr="00A203BE">
          <w:rPr>
            <w:rStyle w:val="Hyperlink"/>
            <w:noProof/>
          </w:rPr>
          <w:t>Mecanismos o procesos de consulta existentes de los pueblos indígenas acerca de medidas legislativas o administrativas que puedan tener algún tipo de incidencia sobre sus derechos y proporcionar ejemplos de consultas que se hayan realizado durante el período en estudio.</w:t>
        </w:r>
        <w:r w:rsidR="00EF2326">
          <w:rPr>
            <w:noProof/>
            <w:webHidden/>
          </w:rPr>
          <w:tab/>
        </w:r>
        <w:r>
          <w:rPr>
            <w:noProof/>
            <w:webHidden/>
          </w:rPr>
          <w:fldChar w:fldCharType="begin"/>
        </w:r>
        <w:r w:rsidR="00EF2326">
          <w:rPr>
            <w:noProof/>
            <w:webHidden/>
          </w:rPr>
          <w:instrText xml:space="preserve"> PAGEREF _Toc446126692 \h </w:instrText>
        </w:r>
        <w:r>
          <w:rPr>
            <w:noProof/>
            <w:webHidden/>
          </w:rPr>
        </w:r>
        <w:r>
          <w:rPr>
            <w:noProof/>
            <w:webHidden/>
          </w:rPr>
          <w:fldChar w:fldCharType="separate"/>
        </w:r>
        <w:r w:rsidR="00EF2326">
          <w:rPr>
            <w:noProof/>
            <w:webHidden/>
          </w:rPr>
          <w:t>75</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93" w:history="1">
        <w:r w:rsidR="00EF2326" w:rsidRPr="00A203BE">
          <w:rPr>
            <w:rStyle w:val="Hyperlink"/>
            <w:noProof/>
          </w:rPr>
          <w:t>b.</w:t>
        </w:r>
        <w:r w:rsidR="00EF2326">
          <w:rPr>
            <w:rFonts w:asciiTheme="minorHAnsi" w:eastAsiaTheme="minorEastAsia" w:hAnsiTheme="minorHAnsi" w:cstheme="minorBidi"/>
            <w:noProof/>
            <w:lang w:val="fr-CH" w:eastAsia="fr-CH"/>
          </w:rPr>
          <w:tab/>
        </w:r>
        <w:r w:rsidR="00EF2326" w:rsidRPr="00A203BE">
          <w:rPr>
            <w:rStyle w:val="Hyperlink"/>
            <w:noProof/>
          </w:rPr>
          <w:t>Información sobre el contenido y fase de tramitación en que se encuentra el proyecto de ley de desarrollo autónomo de los pueblos indígenas</w:t>
        </w:r>
        <w:r w:rsidR="00EF2326">
          <w:rPr>
            <w:noProof/>
            <w:webHidden/>
          </w:rPr>
          <w:tab/>
        </w:r>
        <w:r>
          <w:rPr>
            <w:noProof/>
            <w:webHidden/>
          </w:rPr>
          <w:fldChar w:fldCharType="begin"/>
        </w:r>
        <w:r w:rsidR="00EF2326">
          <w:rPr>
            <w:noProof/>
            <w:webHidden/>
          </w:rPr>
          <w:instrText xml:space="preserve"> PAGEREF _Toc446126693 \h </w:instrText>
        </w:r>
        <w:r>
          <w:rPr>
            <w:noProof/>
            <w:webHidden/>
          </w:rPr>
        </w:r>
        <w:r>
          <w:rPr>
            <w:noProof/>
            <w:webHidden/>
          </w:rPr>
          <w:fldChar w:fldCharType="separate"/>
        </w:r>
        <w:r w:rsidR="00EF2326">
          <w:rPr>
            <w:noProof/>
            <w:webHidden/>
          </w:rPr>
          <w:t>76</w:t>
        </w:r>
        <w:r>
          <w:rPr>
            <w:noProof/>
            <w:webHidden/>
          </w:rPr>
          <w:fldChar w:fldCharType="end"/>
        </w:r>
      </w:hyperlink>
    </w:p>
    <w:p w:rsidR="00EF2326" w:rsidRDefault="006557E7">
      <w:pPr>
        <w:pStyle w:val="TOC2"/>
        <w:tabs>
          <w:tab w:val="left" w:pos="880"/>
          <w:tab w:val="right" w:leader="dot" w:pos="9487"/>
        </w:tabs>
        <w:rPr>
          <w:rFonts w:asciiTheme="minorHAnsi" w:eastAsiaTheme="minorEastAsia" w:hAnsiTheme="minorHAnsi" w:cstheme="minorBidi"/>
          <w:noProof/>
          <w:lang w:val="fr-CH" w:eastAsia="fr-CH"/>
        </w:rPr>
      </w:pPr>
      <w:hyperlink w:anchor="_Toc446126694" w:history="1">
        <w:r w:rsidR="00EF2326" w:rsidRPr="00A203BE">
          <w:rPr>
            <w:rStyle w:val="Hyperlink"/>
            <w:noProof/>
          </w:rPr>
          <w:t>24.</w:t>
        </w:r>
        <w:r w:rsidR="00EF2326">
          <w:rPr>
            <w:rFonts w:asciiTheme="minorHAnsi" w:eastAsiaTheme="minorEastAsia" w:hAnsiTheme="minorHAnsi" w:cstheme="minorBidi"/>
            <w:noProof/>
            <w:lang w:val="fr-CH" w:eastAsia="fr-CH"/>
          </w:rPr>
          <w:tab/>
        </w:r>
        <w:r w:rsidR="00EF2326" w:rsidRPr="00A203BE">
          <w:rPr>
            <w:rStyle w:val="Hyperlink"/>
            <w:noProof/>
          </w:rPr>
          <w:t>Indiquen las medias que ha adoptado el Estado parte para combatir la discriminación de afrodescendientes y las comunidades indígenas, especialmente con respecto al acceso a la educación, vivienda y empleo. Sírvanse, asimismo, comentar la información según la cual los territorios indígenas, otorgados por vía de derechos ejecutivos desde 1956, se encuentran habitados mayoritariamente por personas no indígenas.</w:t>
        </w:r>
        <w:r w:rsidR="00EF2326">
          <w:rPr>
            <w:noProof/>
            <w:webHidden/>
          </w:rPr>
          <w:tab/>
        </w:r>
        <w:r>
          <w:rPr>
            <w:noProof/>
            <w:webHidden/>
          </w:rPr>
          <w:fldChar w:fldCharType="begin"/>
        </w:r>
        <w:r w:rsidR="00EF2326">
          <w:rPr>
            <w:noProof/>
            <w:webHidden/>
          </w:rPr>
          <w:instrText xml:space="preserve"> PAGEREF _Toc446126694 \h </w:instrText>
        </w:r>
        <w:r>
          <w:rPr>
            <w:noProof/>
            <w:webHidden/>
          </w:rPr>
        </w:r>
        <w:r>
          <w:rPr>
            <w:noProof/>
            <w:webHidden/>
          </w:rPr>
          <w:fldChar w:fldCharType="separate"/>
        </w:r>
        <w:r w:rsidR="00EF2326">
          <w:rPr>
            <w:noProof/>
            <w:webHidden/>
          </w:rPr>
          <w:t>76</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95" w:history="1">
        <w:r w:rsidR="00EF2326" w:rsidRPr="00A203BE">
          <w:rPr>
            <w:rStyle w:val="Hyperlink"/>
            <w:noProof/>
          </w:rPr>
          <w:t>a.</w:t>
        </w:r>
        <w:r w:rsidR="00EF2326">
          <w:rPr>
            <w:rFonts w:asciiTheme="minorHAnsi" w:eastAsiaTheme="minorEastAsia" w:hAnsiTheme="minorHAnsi" w:cstheme="minorBidi"/>
            <w:noProof/>
            <w:lang w:val="fr-CH" w:eastAsia="fr-CH"/>
          </w:rPr>
          <w:tab/>
        </w:r>
        <w:r w:rsidR="00EF2326" w:rsidRPr="00A203BE">
          <w:rPr>
            <w:rStyle w:val="Hyperlink"/>
            <w:noProof/>
          </w:rPr>
          <w:t>Medidas que ha adoptado el Estado parte para combatir la discriminación de afrodescendientes y las comunidades indígenas, especialmente con respecto al acceso a la educación, vivienda y empleo</w:t>
        </w:r>
        <w:r w:rsidR="00EF2326">
          <w:rPr>
            <w:noProof/>
            <w:webHidden/>
          </w:rPr>
          <w:tab/>
        </w:r>
        <w:r>
          <w:rPr>
            <w:noProof/>
            <w:webHidden/>
          </w:rPr>
          <w:fldChar w:fldCharType="begin"/>
        </w:r>
        <w:r w:rsidR="00EF2326">
          <w:rPr>
            <w:noProof/>
            <w:webHidden/>
          </w:rPr>
          <w:instrText xml:space="preserve"> PAGEREF _Toc446126695 \h </w:instrText>
        </w:r>
        <w:r>
          <w:rPr>
            <w:noProof/>
            <w:webHidden/>
          </w:rPr>
        </w:r>
        <w:r>
          <w:rPr>
            <w:noProof/>
            <w:webHidden/>
          </w:rPr>
          <w:fldChar w:fldCharType="separate"/>
        </w:r>
        <w:r w:rsidR="00EF2326">
          <w:rPr>
            <w:noProof/>
            <w:webHidden/>
          </w:rPr>
          <w:t>76</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696" w:history="1">
        <w:r w:rsidR="00EF2326" w:rsidRPr="00A203BE">
          <w:rPr>
            <w:rStyle w:val="Hyperlink"/>
            <w:noProof/>
          </w:rPr>
          <w:t>b.</w:t>
        </w:r>
        <w:r w:rsidR="00EF2326">
          <w:rPr>
            <w:rFonts w:asciiTheme="minorHAnsi" w:eastAsiaTheme="minorEastAsia" w:hAnsiTheme="minorHAnsi" w:cstheme="minorBidi"/>
            <w:noProof/>
            <w:lang w:val="fr-CH" w:eastAsia="fr-CH"/>
          </w:rPr>
          <w:tab/>
        </w:r>
        <w:r w:rsidR="00EF2326" w:rsidRPr="00A203BE">
          <w:rPr>
            <w:rStyle w:val="Hyperlink"/>
            <w:noProof/>
          </w:rPr>
          <w:t>Comentar información según la cual los territorios indígenas, otorgados por vía de derechos ejecutivos desde 1956, se encuentran habitados mayoritariamente por personas no indígenas.</w:t>
        </w:r>
        <w:r w:rsidR="00EF2326">
          <w:rPr>
            <w:noProof/>
            <w:webHidden/>
          </w:rPr>
          <w:tab/>
        </w:r>
        <w:r>
          <w:rPr>
            <w:noProof/>
            <w:webHidden/>
          </w:rPr>
          <w:fldChar w:fldCharType="begin"/>
        </w:r>
        <w:r w:rsidR="00EF2326">
          <w:rPr>
            <w:noProof/>
            <w:webHidden/>
          </w:rPr>
          <w:instrText xml:space="preserve"> PAGEREF _Toc446126696 \h </w:instrText>
        </w:r>
        <w:r>
          <w:rPr>
            <w:noProof/>
            <w:webHidden/>
          </w:rPr>
        </w:r>
        <w:r>
          <w:rPr>
            <w:noProof/>
            <w:webHidden/>
          </w:rPr>
          <w:fldChar w:fldCharType="separate"/>
        </w:r>
        <w:r w:rsidR="00EF2326">
          <w:rPr>
            <w:noProof/>
            <w:webHidden/>
          </w:rPr>
          <w:t>80</w:t>
        </w:r>
        <w:r>
          <w:rPr>
            <w:noProof/>
            <w:webHidden/>
          </w:rPr>
          <w:fldChar w:fldCharType="end"/>
        </w:r>
      </w:hyperlink>
    </w:p>
    <w:p w:rsidR="00EF2326" w:rsidRDefault="006557E7">
      <w:pPr>
        <w:pStyle w:val="TOC3"/>
        <w:tabs>
          <w:tab w:val="right" w:leader="dot" w:pos="9487"/>
        </w:tabs>
        <w:rPr>
          <w:rFonts w:asciiTheme="minorHAnsi" w:eastAsiaTheme="minorEastAsia" w:hAnsiTheme="minorHAnsi" w:cstheme="minorBidi"/>
          <w:noProof/>
          <w:lang w:val="fr-CH" w:eastAsia="fr-CH"/>
        </w:rPr>
      </w:pPr>
      <w:hyperlink w:anchor="_Toc446126697" w:history="1">
        <w:r w:rsidR="00EF2326" w:rsidRPr="00A203BE">
          <w:rPr>
            <w:rStyle w:val="Hyperlink"/>
            <w:noProof/>
          </w:rPr>
          <w:t>SITUACIÓN DE TERRITORIOS HABITADOS POR NO INDÍGENAS</w:t>
        </w:r>
        <w:r w:rsidR="00EF2326">
          <w:rPr>
            <w:noProof/>
            <w:webHidden/>
          </w:rPr>
          <w:tab/>
        </w:r>
        <w:r>
          <w:rPr>
            <w:noProof/>
            <w:webHidden/>
          </w:rPr>
          <w:fldChar w:fldCharType="begin"/>
        </w:r>
        <w:r w:rsidR="00EF2326">
          <w:rPr>
            <w:noProof/>
            <w:webHidden/>
          </w:rPr>
          <w:instrText xml:space="preserve"> PAGEREF _Toc446126697 \h </w:instrText>
        </w:r>
        <w:r>
          <w:rPr>
            <w:noProof/>
            <w:webHidden/>
          </w:rPr>
        </w:r>
        <w:r>
          <w:rPr>
            <w:noProof/>
            <w:webHidden/>
          </w:rPr>
          <w:fldChar w:fldCharType="separate"/>
        </w:r>
        <w:r w:rsidR="00EF2326">
          <w:rPr>
            <w:noProof/>
            <w:webHidden/>
          </w:rPr>
          <w:t>80</w:t>
        </w:r>
        <w:r>
          <w:rPr>
            <w:noProof/>
            <w:webHidden/>
          </w:rPr>
          <w:fldChar w:fldCharType="end"/>
        </w:r>
      </w:hyperlink>
    </w:p>
    <w:p w:rsidR="00EF2326" w:rsidRDefault="006557E7">
      <w:pPr>
        <w:pStyle w:val="TOC3"/>
        <w:tabs>
          <w:tab w:val="right" w:leader="dot" w:pos="9487"/>
        </w:tabs>
        <w:rPr>
          <w:rFonts w:asciiTheme="minorHAnsi" w:eastAsiaTheme="minorEastAsia" w:hAnsiTheme="minorHAnsi" w:cstheme="minorBidi"/>
          <w:noProof/>
          <w:lang w:val="fr-CH" w:eastAsia="fr-CH"/>
        </w:rPr>
      </w:pPr>
      <w:hyperlink w:anchor="_Toc446126698" w:history="1">
        <w:r w:rsidR="00EF2326" w:rsidRPr="00A203BE">
          <w:rPr>
            <w:rStyle w:val="Hyperlink"/>
            <w:noProof/>
          </w:rPr>
          <w:t>SITUACIÓN EN EL TERRITORIO INDÍGENA DE SALITRE</w:t>
        </w:r>
        <w:r w:rsidR="00EF2326">
          <w:rPr>
            <w:noProof/>
            <w:webHidden/>
          </w:rPr>
          <w:tab/>
        </w:r>
        <w:r>
          <w:rPr>
            <w:noProof/>
            <w:webHidden/>
          </w:rPr>
          <w:fldChar w:fldCharType="begin"/>
        </w:r>
        <w:r w:rsidR="00EF2326">
          <w:rPr>
            <w:noProof/>
            <w:webHidden/>
          </w:rPr>
          <w:instrText xml:space="preserve"> PAGEREF _Toc446126698 \h </w:instrText>
        </w:r>
        <w:r>
          <w:rPr>
            <w:noProof/>
            <w:webHidden/>
          </w:rPr>
        </w:r>
        <w:r>
          <w:rPr>
            <w:noProof/>
            <w:webHidden/>
          </w:rPr>
          <w:fldChar w:fldCharType="separate"/>
        </w:r>
        <w:r w:rsidR="00EF2326">
          <w:rPr>
            <w:noProof/>
            <w:webHidden/>
          </w:rPr>
          <w:t>81</w:t>
        </w:r>
        <w:r>
          <w:rPr>
            <w:noProof/>
            <w:webHidden/>
          </w:rPr>
          <w:fldChar w:fldCharType="end"/>
        </w:r>
      </w:hyperlink>
    </w:p>
    <w:p w:rsidR="00EF2326" w:rsidRDefault="006557E7">
      <w:pPr>
        <w:pStyle w:val="TOC3"/>
        <w:tabs>
          <w:tab w:val="right" w:leader="dot" w:pos="9487"/>
        </w:tabs>
        <w:rPr>
          <w:rFonts w:asciiTheme="minorHAnsi" w:eastAsiaTheme="minorEastAsia" w:hAnsiTheme="minorHAnsi" w:cstheme="minorBidi"/>
          <w:noProof/>
          <w:lang w:val="fr-CH" w:eastAsia="fr-CH"/>
        </w:rPr>
      </w:pPr>
      <w:hyperlink w:anchor="_Toc446126699" w:history="1">
        <w:r w:rsidR="00EF2326" w:rsidRPr="00A203BE">
          <w:rPr>
            <w:rStyle w:val="Hyperlink"/>
            <w:noProof/>
          </w:rPr>
          <w:t>GOBIERNO COORDINA ATENCIÓN INTEGRAL DE POBLACIÓN INDÍGENA DE ALTO TELIRE</w:t>
        </w:r>
        <w:r w:rsidR="00EF2326">
          <w:rPr>
            <w:noProof/>
            <w:webHidden/>
          </w:rPr>
          <w:tab/>
        </w:r>
        <w:r>
          <w:rPr>
            <w:noProof/>
            <w:webHidden/>
          </w:rPr>
          <w:fldChar w:fldCharType="begin"/>
        </w:r>
        <w:r w:rsidR="00EF2326">
          <w:rPr>
            <w:noProof/>
            <w:webHidden/>
          </w:rPr>
          <w:instrText xml:space="preserve"> PAGEREF _Toc446126699 \h </w:instrText>
        </w:r>
        <w:r>
          <w:rPr>
            <w:noProof/>
            <w:webHidden/>
          </w:rPr>
        </w:r>
        <w:r>
          <w:rPr>
            <w:noProof/>
            <w:webHidden/>
          </w:rPr>
          <w:fldChar w:fldCharType="separate"/>
        </w:r>
        <w:r w:rsidR="00EF2326">
          <w:rPr>
            <w:noProof/>
            <w:webHidden/>
          </w:rPr>
          <w:t>81</w:t>
        </w:r>
        <w:r>
          <w:rPr>
            <w:noProof/>
            <w:webHidden/>
          </w:rPr>
          <w:fldChar w:fldCharType="end"/>
        </w:r>
      </w:hyperlink>
    </w:p>
    <w:p w:rsidR="00EF2326" w:rsidRDefault="006557E7">
      <w:pPr>
        <w:pStyle w:val="TOC1"/>
        <w:rPr>
          <w:rFonts w:asciiTheme="minorHAnsi" w:eastAsiaTheme="minorEastAsia" w:hAnsiTheme="minorHAnsi" w:cstheme="minorBidi"/>
          <w:noProof/>
          <w:lang w:val="fr-CH" w:eastAsia="fr-CH"/>
        </w:rPr>
      </w:pPr>
      <w:hyperlink w:anchor="_Toc446126700" w:history="1">
        <w:r w:rsidR="00EF2326" w:rsidRPr="00A203BE">
          <w:rPr>
            <w:rStyle w:val="Hyperlink"/>
            <w:rFonts w:ascii="Arial" w:hAnsi="Arial" w:cs="Arial"/>
            <w:b/>
            <w:noProof/>
          </w:rPr>
          <w:t>Divulgación de información sobre el Pacto y sus Protocolos Facultativos (art.2)</w:t>
        </w:r>
        <w:r w:rsidR="00EF2326">
          <w:rPr>
            <w:noProof/>
            <w:webHidden/>
          </w:rPr>
          <w:tab/>
        </w:r>
        <w:r>
          <w:rPr>
            <w:noProof/>
            <w:webHidden/>
          </w:rPr>
          <w:fldChar w:fldCharType="begin"/>
        </w:r>
        <w:r w:rsidR="00EF2326">
          <w:rPr>
            <w:noProof/>
            <w:webHidden/>
          </w:rPr>
          <w:instrText xml:space="preserve"> PAGEREF _Toc446126700 \h </w:instrText>
        </w:r>
        <w:r>
          <w:rPr>
            <w:noProof/>
            <w:webHidden/>
          </w:rPr>
        </w:r>
        <w:r>
          <w:rPr>
            <w:noProof/>
            <w:webHidden/>
          </w:rPr>
          <w:fldChar w:fldCharType="separate"/>
        </w:r>
        <w:r w:rsidR="00EF2326">
          <w:rPr>
            <w:noProof/>
            <w:webHidden/>
          </w:rPr>
          <w:t>82</w:t>
        </w:r>
        <w:r>
          <w:rPr>
            <w:noProof/>
            <w:webHidden/>
          </w:rPr>
          <w:fldChar w:fldCharType="end"/>
        </w:r>
      </w:hyperlink>
    </w:p>
    <w:p w:rsidR="00EF2326" w:rsidRDefault="006557E7">
      <w:pPr>
        <w:pStyle w:val="TOC2"/>
        <w:tabs>
          <w:tab w:val="left" w:pos="880"/>
          <w:tab w:val="right" w:leader="dot" w:pos="9487"/>
        </w:tabs>
        <w:rPr>
          <w:rFonts w:asciiTheme="minorHAnsi" w:eastAsiaTheme="minorEastAsia" w:hAnsiTheme="minorHAnsi" w:cstheme="minorBidi"/>
          <w:noProof/>
          <w:lang w:val="fr-CH" w:eastAsia="fr-CH"/>
        </w:rPr>
      </w:pPr>
      <w:hyperlink w:anchor="_Toc446126701" w:history="1">
        <w:r w:rsidR="00EF2326" w:rsidRPr="00A203BE">
          <w:rPr>
            <w:rStyle w:val="Hyperlink"/>
            <w:noProof/>
          </w:rPr>
          <w:t>25.</w:t>
        </w:r>
        <w:r w:rsidR="00EF2326">
          <w:rPr>
            <w:rFonts w:asciiTheme="minorHAnsi" w:eastAsiaTheme="minorEastAsia" w:hAnsiTheme="minorHAnsi" w:cstheme="minorBidi"/>
            <w:noProof/>
            <w:lang w:val="fr-CH" w:eastAsia="fr-CH"/>
          </w:rPr>
          <w:tab/>
        </w:r>
        <w:r w:rsidR="00EF2326" w:rsidRPr="00A203BE">
          <w:rPr>
            <w:rStyle w:val="Hyperlink"/>
            <w:noProof/>
          </w:rPr>
          <w:t>Sírvanse informar acerca de las medidas adoptadas para difundir información sobre el Pacto y sus Protocolos Facultativos, la presentación del informe del Estado parte, y su próxima examen por el Comité. Sírvanse proporcionar también información más detallada sobre la participación de los representantes de grupos étnicos y minoritarios, la sociedad civil, las organizaciones no gubernamentales y la institución nacional de derechos humanos en el proceso de preparación del informe.</w:t>
        </w:r>
        <w:r w:rsidR="00EF2326">
          <w:rPr>
            <w:noProof/>
            <w:webHidden/>
          </w:rPr>
          <w:tab/>
        </w:r>
        <w:r>
          <w:rPr>
            <w:noProof/>
            <w:webHidden/>
          </w:rPr>
          <w:fldChar w:fldCharType="begin"/>
        </w:r>
        <w:r w:rsidR="00EF2326">
          <w:rPr>
            <w:noProof/>
            <w:webHidden/>
          </w:rPr>
          <w:instrText xml:space="preserve"> PAGEREF _Toc446126701 \h </w:instrText>
        </w:r>
        <w:r>
          <w:rPr>
            <w:noProof/>
            <w:webHidden/>
          </w:rPr>
        </w:r>
        <w:r>
          <w:rPr>
            <w:noProof/>
            <w:webHidden/>
          </w:rPr>
          <w:fldChar w:fldCharType="separate"/>
        </w:r>
        <w:r w:rsidR="00EF2326">
          <w:rPr>
            <w:noProof/>
            <w:webHidden/>
          </w:rPr>
          <w:t>82</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702" w:history="1">
        <w:r w:rsidR="00EF2326" w:rsidRPr="00A203BE">
          <w:rPr>
            <w:rStyle w:val="Hyperlink"/>
            <w:noProof/>
          </w:rPr>
          <w:t>a.</w:t>
        </w:r>
        <w:r w:rsidR="00EF2326">
          <w:rPr>
            <w:rFonts w:asciiTheme="minorHAnsi" w:eastAsiaTheme="minorEastAsia" w:hAnsiTheme="minorHAnsi" w:cstheme="minorBidi"/>
            <w:noProof/>
            <w:lang w:val="fr-CH" w:eastAsia="fr-CH"/>
          </w:rPr>
          <w:tab/>
        </w:r>
        <w:r w:rsidR="00EF2326" w:rsidRPr="00A203BE">
          <w:rPr>
            <w:rStyle w:val="Hyperlink"/>
            <w:noProof/>
          </w:rPr>
          <w:t>Medidas adoptadas para difundir información sobre el Pacto y sus Protocolos Facultativos, la presentación del informe del Estado parte, y su próxima examen por el Comité</w:t>
        </w:r>
        <w:r w:rsidR="00EF2326">
          <w:rPr>
            <w:noProof/>
            <w:webHidden/>
          </w:rPr>
          <w:tab/>
        </w:r>
        <w:r>
          <w:rPr>
            <w:noProof/>
            <w:webHidden/>
          </w:rPr>
          <w:fldChar w:fldCharType="begin"/>
        </w:r>
        <w:r w:rsidR="00EF2326">
          <w:rPr>
            <w:noProof/>
            <w:webHidden/>
          </w:rPr>
          <w:instrText xml:space="preserve"> PAGEREF _Toc446126702 \h </w:instrText>
        </w:r>
        <w:r>
          <w:rPr>
            <w:noProof/>
            <w:webHidden/>
          </w:rPr>
        </w:r>
        <w:r>
          <w:rPr>
            <w:noProof/>
            <w:webHidden/>
          </w:rPr>
          <w:fldChar w:fldCharType="separate"/>
        </w:r>
        <w:r w:rsidR="00EF2326">
          <w:rPr>
            <w:noProof/>
            <w:webHidden/>
          </w:rPr>
          <w:t>82</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703" w:history="1">
        <w:r w:rsidR="00EF2326" w:rsidRPr="00A203BE">
          <w:rPr>
            <w:rStyle w:val="Hyperlink"/>
            <w:noProof/>
          </w:rPr>
          <w:t>b.</w:t>
        </w:r>
        <w:r w:rsidR="00EF2326">
          <w:rPr>
            <w:rFonts w:asciiTheme="minorHAnsi" w:eastAsiaTheme="minorEastAsia" w:hAnsiTheme="minorHAnsi" w:cstheme="minorBidi"/>
            <w:noProof/>
            <w:lang w:val="fr-CH" w:eastAsia="fr-CH"/>
          </w:rPr>
          <w:tab/>
        </w:r>
        <w:r w:rsidR="00EF2326" w:rsidRPr="00A203BE">
          <w:rPr>
            <w:rStyle w:val="Hyperlink"/>
            <w:noProof/>
          </w:rPr>
          <w:t>Información detallada sobre la participación de los representantes de grupos étnicos y minoritarios, la sociedad civil, las organizaciones no gubernamentales y la institución nacional de derechos humanos en el proceso de preparación del informe.</w:t>
        </w:r>
        <w:r w:rsidR="00EF2326">
          <w:rPr>
            <w:noProof/>
            <w:webHidden/>
          </w:rPr>
          <w:tab/>
        </w:r>
        <w:r>
          <w:rPr>
            <w:noProof/>
            <w:webHidden/>
          </w:rPr>
          <w:fldChar w:fldCharType="begin"/>
        </w:r>
        <w:r w:rsidR="00EF2326">
          <w:rPr>
            <w:noProof/>
            <w:webHidden/>
          </w:rPr>
          <w:instrText xml:space="preserve"> PAGEREF _Toc446126703 \h </w:instrText>
        </w:r>
        <w:r>
          <w:rPr>
            <w:noProof/>
            <w:webHidden/>
          </w:rPr>
        </w:r>
        <w:r>
          <w:rPr>
            <w:noProof/>
            <w:webHidden/>
          </w:rPr>
          <w:fldChar w:fldCharType="separate"/>
        </w:r>
        <w:r w:rsidR="00EF2326">
          <w:rPr>
            <w:noProof/>
            <w:webHidden/>
          </w:rPr>
          <w:t>83</w:t>
        </w:r>
        <w:r>
          <w:rPr>
            <w:noProof/>
            <w:webHidden/>
          </w:rPr>
          <w:fldChar w:fldCharType="end"/>
        </w:r>
      </w:hyperlink>
    </w:p>
    <w:p w:rsidR="00EF2326" w:rsidRDefault="006557E7">
      <w:pPr>
        <w:pStyle w:val="TOC1"/>
        <w:rPr>
          <w:rFonts w:asciiTheme="minorHAnsi" w:eastAsiaTheme="minorEastAsia" w:hAnsiTheme="minorHAnsi" w:cstheme="minorBidi"/>
          <w:noProof/>
          <w:lang w:val="fr-CH" w:eastAsia="fr-CH"/>
        </w:rPr>
      </w:pPr>
      <w:hyperlink w:anchor="_Toc446126704" w:history="1">
        <w:r w:rsidR="00EF2326" w:rsidRPr="00A203BE">
          <w:rPr>
            <w:rStyle w:val="Hyperlink"/>
            <w:rFonts w:ascii="Arial" w:hAnsi="Arial" w:cs="Arial"/>
            <w:b/>
            <w:noProof/>
          </w:rPr>
          <w:t>Otros temas planteados durante la presentación del informe y el diálogo con el Comité el 16 y 17 de marzo de 2016.</w:t>
        </w:r>
        <w:r w:rsidR="00EF2326">
          <w:rPr>
            <w:noProof/>
            <w:webHidden/>
          </w:rPr>
          <w:tab/>
        </w:r>
        <w:r>
          <w:rPr>
            <w:noProof/>
            <w:webHidden/>
          </w:rPr>
          <w:fldChar w:fldCharType="begin"/>
        </w:r>
        <w:r w:rsidR="00EF2326">
          <w:rPr>
            <w:noProof/>
            <w:webHidden/>
          </w:rPr>
          <w:instrText xml:space="preserve"> PAGEREF _Toc446126704 \h </w:instrText>
        </w:r>
        <w:r>
          <w:rPr>
            <w:noProof/>
            <w:webHidden/>
          </w:rPr>
        </w:r>
        <w:r>
          <w:rPr>
            <w:noProof/>
            <w:webHidden/>
          </w:rPr>
          <w:fldChar w:fldCharType="separate"/>
        </w:r>
        <w:r w:rsidR="00EF2326">
          <w:rPr>
            <w:noProof/>
            <w:webHidden/>
          </w:rPr>
          <w:t>83</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705" w:history="1">
        <w:r w:rsidR="00EF2326" w:rsidRPr="00A203BE">
          <w:rPr>
            <w:rStyle w:val="Hyperlink"/>
            <w:noProof/>
          </w:rPr>
          <w:t>a.</w:t>
        </w:r>
        <w:r w:rsidR="00EF2326">
          <w:rPr>
            <w:rFonts w:asciiTheme="minorHAnsi" w:eastAsiaTheme="minorEastAsia" w:hAnsiTheme="minorHAnsi" w:cstheme="minorBidi"/>
            <w:noProof/>
            <w:lang w:val="fr-CH" w:eastAsia="fr-CH"/>
          </w:rPr>
          <w:tab/>
        </w:r>
        <w:r w:rsidR="00EF2326" w:rsidRPr="00A203BE">
          <w:rPr>
            <w:rStyle w:val="Hyperlink"/>
            <w:noProof/>
          </w:rPr>
          <w:t>Comediante nicaragüense</w:t>
        </w:r>
        <w:r w:rsidR="00EF2326">
          <w:rPr>
            <w:noProof/>
            <w:webHidden/>
          </w:rPr>
          <w:tab/>
        </w:r>
        <w:r>
          <w:rPr>
            <w:noProof/>
            <w:webHidden/>
          </w:rPr>
          <w:fldChar w:fldCharType="begin"/>
        </w:r>
        <w:r w:rsidR="00EF2326">
          <w:rPr>
            <w:noProof/>
            <w:webHidden/>
          </w:rPr>
          <w:instrText xml:space="preserve"> PAGEREF _Toc446126705 \h </w:instrText>
        </w:r>
        <w:r>
          <w:rPr>
            <w:noProof/>
            <w:webHidden/>
          </w:rPr>
        </w:r>
        <w:r>
          <w:rPr>
            <w:noProof/>
            <w:webHidden/>
          </w:rPr>
          <w:fldChar w:fldCharType="separate"/>
        </w:r>
        <w:r w:rsidR="00EF2326">
          <w:rPr>
            <w:noProof/>
            <w:webHidden/>
          </w:rPr>
          <w:t>83</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706" w:history="1">
        <w:r w:rsidR="00EF2326" w:rsidRPr="00A203BE">
          <w:rPr>
            <w:rStyle w:val="Hyperlink"/>
            <w:noProof/>
          </w:rPr>
          <w:t>b.</w:t>
        </w:r>
        <w:r w:rsidR="00EF2326">
          <w:rPr>
            <w:rFonts w:asciiTheme="minorHAnsi" w:eastAsiaTheme="minorEastAsia" w:hAnsiTheme="minorHAnsi" w:cstheme="minorBidi"/>
            <w:noProof/>
            <w:lang w:val="fr-CH" w:eastAsia="fr-CH"/>
          </w:rPr>
          <w:tab/>
        </w:r>
        <w:r w:rsidR="00EF2326" w:rsidRPr="00A203BE">
          <w:rPr>
            <w:rStyle w:val="Hyperlink"/>
            <w:noProof/>
          </w:rPr>
          <w:t>Violencia obstétrica</w:t>
        </w:r>
        <w:r w:rsidR="00EF2326">
          <w:rPr>
            <w:noProof/>
            <w:webHidden/>
          </w:rPr>
          <w:tab/>
        </w:r>
        <w:r>
          <w:rPr>
            <w:noProof/>
            <w:webHidden/>
          </w:rPr>
          <w:fldChar w:fldCharType="begin"/>
        </w:r>
        <w:r w:rsidR="00EF2326">
          <w:rPr>
            <w:noProof/>
            <w:webHidden/>
          </w:rPr>
          <w:instrText xml:space="preserve"> PAGEREF _Toc446126706 \h </w:instrText>
        </w:r>
        <w:r>
          <w:rPr>
            <w:noProof/>
            <w:webHidden/>
          </w:rPr>
        </w:r>
        <w:r>
          <w:rPr>
            <w:noProof/>
            <w:webHidden/>
          </w:rPr>
          <w:fldChar w:fldCharType="separate"/>
        </w:r>
        <w:r w:rsidR="00EF2326">
          <w:rPr>
            <w:noProof/>
            <w:webHidden/>
          </w:rPr>
          <w:t>84</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707" w:history="1">
        <w:r w:rsidR="00EF2326" w:rsidRPr="00A203BE">
          <w:rPr>
            <w:rStyle w:val="Hyperlink"/>
            <w:noProof/>
          </w:rPr>
          <w:t>c.</w:t>
        </w:r>
        <w:r w:rsidR="00EF2326">
          <w:rPr>
            <w:rFonts w:asciiTheme="minorHAnsi" w:eastAsiaTheme="minorEastAsia" w:hAnsiTheme="minorHAnsi" w:cstheme="minorBidi"/>
            <w:noProof/>
            <w:lang w:val="fr-CH" w:eastAsia="fr-CH"/>
          </w:rPr>
          <w:tab/>
        </w:r>
        <w:r w:rsidR="00EF2326" w:rsidRPr="00A203BE">
          <w:rPr>
            <w:rStyle w:val="Hyperlink"/>
            <w:noProof/>
          </w:rPr>
          <w:t>Diversidad-Ley de la Persona Joven</w:t>
        </w:r>
        <w:r w:rsidR="00EF2326">
          <w:rPr>
            <w:noProof/>
            <w:webHidden/>
          </w:rPr>
          <w:tab/>
        </w:r>
        <w:r>
          <w:rPr>
            <w:noProof/>
            <w:webHidden/>
          </w:rPr>
          <w:fldChar w:fldCharType="begin"/>
        </w:r>
        <w:r w:rsidR="00EF2326">
          <w:rPr>
            <w:noProof/>
            <w:webHidden/>
          </w:rPr>
          <w:instrText xml:space="preserve"> PAGEREF _Toc446126707 \h </w:instrText>
        </w:r>
        <w:r>
          <w:rPr>
            <w:noProof/>
            <w:webHidden/>
          </w:rPr>
        </w:r>
        <w:r>
          <w:rPr>
            <w:noProof/>
            <w:webHidden/>
          </w:rPr>
          <w:fldChar w:fldCharType="separate"/>
        </w:r>
        <w:r w:rsidR="00EF2326">
          <w:rPr>
            <w:noProof/>
            <w:webHidden/>
          </w:rPr>
          <w:t>85</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708" w:history="1">
        <w:r w:rsidR="00EF2326" w:rsidRPr="00A203BE">
          <w:rPr>
            <w:rStyle w:val="Hyperlink"/>
            <w:noProof/>
          </w:rPr>
          <w:t>d.</w:t>
        </w:r>
        <w:r w:rsidR="00EF2326">
          <w:rPr>
            <w:rFonts w:asciiTheme="minorHAnsi" w:eastAsiaTheme="minorEastAsia" w:hAnsiTheme="minorHAnsi" w:cstheme="minorBidi"/>
            <w:noProof/>
            <w:lang w:val="fr-CH" w:eastAsia="fr-CH"/>
          </w:rPr>
          <w:tab/>
        </w:r>
        <w:r w:rsidR="00EF2326" w:rsidRPr="00A203BE">
          <w:rPr>
            <w:rStyle w:val="Hyperlink"/>
            <w:noProof/>
          </w:rPr>
          <w:t>Cibercriminalidad y delitos informáticos -adecuación al PIDCP</w:t>
        </w:r>
        <w:r w:rsidR="00EF2326">
          <w:rPr>
            <w:noProof/>
            <w:webHidden/>
          </w:rPr>
          <w:tab/>
        </w:r>
        <w:r>
          <w:rPr>
            <w:noProof/>
            <w:webHidden/>
          </w:rPr>
          <w:fldChar w:fldCharType="begin"/>
        </w:r>
        <w:r w:rsidR="00EF2326">
          <w:rPr>
            <w:noProof/>
            <w:webHidden/>
          </w:rPr>
          <w:instrText xml:space="preserve"> PAGEREF _Toc446126708 \h </w:instrText>
        </w:r>
        <w:r>
          <w:rPr>
            <w:noProof/>
            <w:webHidden/>
          </w:rPr>
        </w:r>
        <w:r>
          <w:rPr>
            <w:noProof/>
            <w:webHidden/>
          </w:rPr>
          <w:fldChar w:fldCharType="separate"/>
        </w:r>
        <w:r w:rsidR="00EF2326">
          <w:rPr>
            <w:noProof/>
            <w:webHidden/>
          </w:rPr>
          <w:t>85</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709" w:history="1">
        <w:r w:rsidR="00EF2326" w:rsidRPr="00A203BE">
          <w:rPr>
            <w:rStyle w:val="Hyperlink"/>
            <w:noProof/>
          </w:rPr>
          <w:t>e.</w:t>
        </w:r>
        <w:r w:rsidR="00EF2326">
          <w:rPr>
            <w:rFonts w:asciiTheme="minorHAnsi" w:eastAsiaTheme="minorEastAsia" w:hAnsiTheme="minorHAnsi" w:cstheme="minorBidi"/>
            <w:noProof/>
            <w:lang w:val="fr-CH" w:eastAsia="fr-CH"/>
          </w:rPr>
          <w:tab/>
        </w:r>
        <w:r w:rsidR="00EF2326" w:rsidRPr="00A203BE">
          <w:rPr>
            <w:rStyle w:val="Hyperlink"/>
            <w:noProof/>
          </w:rPr>
          <w:t>Sanciones a los delitos informáticos contra menores</w:t>
        </w:r>
        <w:r w:rsidR="00EF2326">
          <w:rPr>
            <w:noProof/>
            <w:webHidden/>
          </w:rPr>
          <w:tab/>
        </w:r>
        <w:r>
          <w:rPr>
            <w:noProof/>
            <w:webHidden/>
          </w:rPr>
          <w:fldChar w:fldCharType="begin"/>
        </w:r>
        <w:r w:rsidR="00EF2326">
          <w:rPr>
            <w:noProof/>
            <w:webHidden/>
          </w:rPr>
          <w:instrText xml:space="preserve"> PAGEREF _Toc446126709 \h </w:instrText>
        </w:r>
        <w:r>
          <w:rPr>
            <w:noProof/>
            <w:webHidden/>
          </w:rPr>
        </w:r>
        <w:r>
          <w:rPr>
            <w:noProof/>
            <w:webHidden/>
          </w:rPr>
          <w:fldChar w:fldCharType="separate"/>
        </w:r>
        <w:r w:rsidR="00EF2326">
          <w:rPr>
            <w:noProof/>
            <w:webHidden/>
          </w:rPr>
          <w:t>86</w:t>
        </w:r>
        <w:r>
          <w:rPr>
            <w:noProof/>
            <w:webHidden/>
          </w:rPr>
          <w:fldChar w:fldCharType="end"/>
        </w:r>
      </w:hyperlink>
    </w:p>
    <w:p w:rsidR="00EF2326" w:rsidRDefault="006557E7">
      <w:pPr>
        <w:pStyle w:val="TOC3"/>
        <w:tabs>
          <w:tab w:val="left" w:pos="880"/>
          <w:tab w:val="right" w:leader="dot" w:pos="9487"/>
        </w:tabs>
        <w:rPr>
          <w:rFonts w:asciiTheme="minorHAnsi" w:eastAsiaTheme="minorEastAsia" w:hAnsiTheme="minorHAnsi" w:cstheme="minorBidi"/>
          <w:noProof/>
          <w:lang w:val="fr-CH" w:eastAsia="fr-CH"/>
        </w:rPr>
      </w:pPr>
      <w:hyperlink w:anchor="_Toc446126710" w:history="1">
        <w:r w:rsidR="00EF2326" w:rsidRPr="00A203BE">
          <w:rPr>
            <w:rStyle w:val="Hyperlink"/>
            <w:noProof/>
          </w:rPr>
          <w:t>f.</w:t>
        </w:r>
        <w:r w:rsidR="00EF2326">
          <w:rPr>
            <w:rFonts w:asciiTheme="minorHAnsi" w:eastAsiaTheme="minorEastAsia" w:hAnsiTheme="minorHAnsi" w:cstheme="minorBidi"/>
            <w:noProof/>
            <w:lang w:val="fr-CH" w:eastAsia="fr-CH"/>
          </w:rPr>
          <w:tab/>
        </w:r>
        <w:r w:rsidR="00EF2326" w:rsidRPr="00A203BE">
          <w:rPr>
            <w:rStyle w:val="Hyperlink"/>
            <w:noProof/>
          </w:rPr>
          <w:t>Caso del Juez Carlos Manuel Sánchez Miranda</w:t>
        </w:r>
        <w:r w:rsidR="00EF2326">
          <w:rPr>
            <w:noProof/>
            <w:webHidden/>
          </w:rPr>
          <w:tab/>
        </w:r>
        <w:r>
          <w:rPr>
            <w:noProof/>
            <w:webHidden/>
          </w:rPr>
          <w:fldChar w:fldCharType="begin"/>
        </w:r>
        <w:r w:rsidR="00EF2326">
          <w:rPr>
            <w:noProof/>
            <w:webHidden/>
          </w:rPr>
          <w:instrText xml:space="preserve"> PAGEREF _Toc446126710 \h </w:instrText>
        </w:r>
        <w:r>
          <w:rPr>
            <w:noProof/>
            <w:webHidden/>
          </w:rPr>
        </w:r>
        <w:r>
          <w:rPr>
            <w:noProof/>
            <w:webHidden/>
          </w:rPr>
          <w:fldChar w:fldCharType="separate"/>
        </w:r>
        <w:r w:rsidR="00EF2326">
          <w:rPr>
            <w:noProof/>
            <w:webHidden/>
          </w:rPr>
          <w:t>87</w:t>
        </w:r>
        <w:r>
          <w:rPr>
            <w:noProof/>
            <w:webHidden/>
          </w:rPr>
          <w:fldChar w:fldCharType="end"/>
        </w:r>
      </w:hyperlink>
    </w:p>
    <w:p w:rsidR="00EF2326" w:rsidRDefault="006557E7">
      <w:pPr>
        <w:pStyle w:val="TOC1"/>
        <w:rPr>
          <w:rFonts w:asciiTheme="minorHAnsi" w:eastAsiaTheme="minorEastAsia" w:hAnsiTheme="minorHAnsi" w:cstheme="minorBidi"/>
          <w:noProof/>
          <w:lang w:val="fr-CH" w:eastAsia="fr-CH"/>
        </w:rPr>
      </w:pPr>
      <w:hyperlink w:anchor="_Toc446126711" w:history="1">
        <w:r w:rsidR="00EF2326" w:rsidRPr="00A203BE">
          <w:rPr>
            <w:rStyle w:val="Hyperlink"/>
            <w:rFonts w:ascii="Arial" w:hAnsi="Arial" w:cs="Arial"/>
            <w:b/>
            <w:noProof/>
          </w:rPr>
          <w:t>Conclusiones del señor Vice-Canciller de la República</w:t>
        </w:r>
        <w:r w:rsidR="00EF2326">
          <w:rPr>
            <w:noProof/>
            <w:webHidden/>
          </w:rPr>
          <w:tab/>
        </w:r>
        <w:r>
          <w:rPr>
            <w:noProof/>
            <w:webHidden/>
          </w:rPr>
          <w:fldChar w:fldCharType="begin"/>
        </w:r>
        <w:r w:rsidR="00EF2326">
          <w:rPr>
            <w:noProof/>
            <w:webHidden/>
          </w:rPr>
          <w:instrText xml:space="preserve"> PAGEREF _Toc446126711 \h </w:instrText>
        </w:r>
        <w:r>
          <w:rPr>
            <w:noProof/>
            <w:webHidden/>
          </w:rPr>
        </w:r>
        <w:r>
          <w:rPr>
            <w:noProof/>
            <w:webHidden/>
          </w:rPr>
          <w:fldChar w:fldCharType="separate"/>
        </w:r>
        <w:r w:rsidR="00EF2326">
          <w:rPr>
            <w:noProof/>
            <w:webHidden/>
          </w:rPr>
          <w:t>88</w:t>
        </w:r>
        <w:r>
          <w:rPr>
            <w:noProof/>
            <w:webHidden/>
          </w:rPr>
          <w:fldChar w:fldCharType="end"/>
        </w:r>
      </w:hyperlink>
    </w:p>
    <w:p w:rsidR="005E7880" w:rsidRDefault="006557E7" w:rsidP="005E7880">
      <w:pPr>
        <w:rPr>
          <w:lang w:val="fr-FR"/>
        </w:rPr>
      </w:pPr>
      <w:r w:rsidRPr="001933BF">
        <w:rPr>
          <w:lang w:val="fr-FR"/>
        </w:rPr>
        <w:fldChar w:fldCharType="end"/>
      </w:r>
    </w:p>
    <w:p w:rsidR="005E7880" w:rsidRPr="00DB3DD2" w:rsidRDefault="005E7880" w:rsidP="005E7880">
      <w:pPr>
        <w:spacing w:line="276" w:lineRule="auto"/>
        <w:jc w:val="center"/>
        <w:rPr>
          <w:rFonts w:ascii="Arial" w:hAnsi="Arial" w:cs="Arial"/>
          <w:b/>
          <w:lang w:val="fr-FR"/>
        </w:rPr>
      </w:pPr>
    </w:p>
    <w:p w:rsidR="00937CFA" w:rsidRDefault="00937CFA" w:rsidP="008645E0">
      <w:pPr>
        <w:rPr>
          <w:rFonts w:ascii="Arial" w:hAnsi="Arial" w:cs="Arial"/>
          <w:b/>
          <w:lang w:val="es-CR"/>
        </w:rPr>
      </w:pPr>
      <w:r>
        <w:rPr>
          <w:rFonts w:ascii="Arial" w:hAnsi="Arial" w:cs="Arial"/>
          <w:b/>
          <w:lang w:val="es-CR"/>
        </w:rPr>
        <w:br w:type="page"/>
      </w:r>
    </w:p>
    <w:p w:rsidR="00937CFA" w:rsidRPr="0019240D" w:rsidRDefault="007113CF" w:rsidP="00AA73AD">
      <w:pPr>
        <w:spacing w:line="240" w:lineRule="auto"/>
        <w:jc w:val="center"/>
        <w:rPr>
          <w:b/>
          <w:color w:val="000000"/>
          <w:lang w:val="es-MX"/>
        </w:rPr>
      </w:pPr>
      <w:r>
        <w:rPr>
          <w:noProof/>
          <w:color w:val="000000"/>
          <w:lang w:val="fr-CH" w:eastAsia="fr-CH"/>
        </w:rPr>
        <w:lastRenderedPageBreak/>
        <w:drawing>
          <wp:anchor distT="0" distB="0" distL="114935" distR="114935" simplePos="0" relativeHeight="251658752" behindDoc="1" locked="0" layoutInCell="1" allowOverlap="1">
            <wp:simplePos x="0" y="0"/>
            <wp:positionH relativeFrom="column">
              <wp:posOffset>2818765</wp:posOffset>
            </wp:positionH>
            <wp:positionV relativeFrom="paragraph">
              <wp:posOffset>-224155</wp:posOffset>
            </wp:positionV>
            <wp:extent cx="528320" cy="571500"/>
            <wp:effectExtent l="19050" t="0" r="5080" b="0"/>
            <wp:wrapNone/>
            <wp:docPr id="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8" cstate="print"/>
                    <a:srcRect/>
                    <a:stretch>
                      <a:fillRect/>
                    </a:stretch>
                  </pic:blipFill>
                  <pic:spPr bwMode="auto">
                    <a:xfrm>
                      <a:off x="0" y="0"/>
                      <a:ext cx="528320" cy="571500"/>
                    </a:xfrm>
                    <a:prstGeom prst="rect">
                      <a:avLst/>
                    </a:prstGeom>
                    <a:solidFill>
                      <a:srgbClr val="FFFFFF"/>
                    </a:solidFill>
                    <a:ln w="9525">
                      <a:noFill/>
                      <a:miter lim="800000"/>
                      <a:headEnd/>
                      <a:tailEnd/>
                    </a:ln>
                  </pic:spPr>
                </pic:pic>
              </a:graphicData>
            </a:graphic>
          </wp:anchor>
        </w:drawing>
      </w:r>
    </w:p>
    <w:p w:rsidR="00937CFA" w:rsidRPr="0019240D" w:rsidRDefault="00937CFA" w:rsidP="00937CFA">
      <w:pPr>
        <w:spacing w:line="240" w:lineRule="auto"/>
        <w:jc w:val="both"/>
        <w:rPr>
          <w:b/>
          <w:color w:val="000000"/>
          <w:lang w:val="es-MX"/>
        </w:rPr>
      </w:pPr>
    </w:p>
    <w:p w:rsidR="00937CFA" w:rsidRPr="00F561A3" w:rsidRDefault="00937CFA" w:rsidP="008820F2">
      <w:pPr>
        <w:pStyle w:val="Heading1"/>
        <w:ind w:left="142"/>
        <w:rPr>
          <w:rFonts w:ascii="Arial" w:hAnsi="Arial" w:cs="Arial"/>
          <w:b/>
          <w:sz w:val="36"/>
          <w:szCs w:val="36"/>
        </w:rPr>
      </w:pPr>
      <w:bookmarkStart w:id="0" w:name="_Toc446126599"/>
      <w:r w:rsidRPr="00F561A3">
        <w:rPr>
          <w:rFonts w:ascii="Arial" w:hAnsi="Arial" w:cs="Arial"/>
          <w:b/>
          <w:sz w:val="36"/>
          <w:szCs w:val="36"/>
        </w:rPr>
        <w:t>Intervención del señor Vice</w:t>
      </w:r>
      <w:r w:rsidR="00F561A3">
        <w:rPr>
          <w:rFonts w:ascii="Arial" w:hAnsi="Arial" w:cs="Arial"/>
          <w:b/>
          <w:sz w:val="36"/>
          <w:szCs w:val="36"/>
        </w:rPr>
        <w:t>c</w:t>
      </w:r>
      <w:r w:rsidRPr="00F561A3">
        <w:rPr>
          <w:rFonts w:ascii="Arial" w:hAnsi="Arial" w:cs="Arial"/>
          <w:b/>
          <w:sz w:val="36"/>
          <w:szCs w:val="36"/>
        </w:rPr>
        <w:t>anciller de la República</w:t>
      </w:r>
      <w:bookmarkEnd w:id="0"/>
    </w:p>
    <w:p w:rsidR="00937CFA" w:rsidRPr="00F561A3" w:rsidRDefault="00937CFA" w:rsidP="00937CFA">
      <w:pPr>
        <w:spacing w:line="240" w:lineRule="auto"/>
        <w:jc w:val="center"/>
        <w:rPr>
          <w:b/>
          <w:color w:val="000000"/>
          <w:sz w:val="32"/>
          <w:szCs w:val="32"/>
          <w:lang w:val="es-MX"/>
        </w:rPr>
      </w:pPr>
      <w:r w:rsidRPr="00F561A3">
        <w:rPr>
          <w:b/>
          <w:color w:val="000000"/>
          <w:sz w:val="32"/>
          <w:szCs w:val="32"/>
          <w:lang w:val="es-MX"/>
        </w:rPr>
        <w:t>Sr. Alejandro Solano Ortiz</w:t>
      </w:r>
    </w:p>
    <w:p w:rsidR="00937CFA" w:rsidRPr="0019240D" w:rsidRDefault="00937CFA" w:rsidP="00AF16A5">
      <w:pPr>
        <w:spacing w:after="0" w:line="240" w:lineRule="auto"/>
        <w:jc w:val="center"/>
        <w:rPr>
          <w:b/>
          <w:color w:val="000000"/>
          <w:lang w:val="es-MX"/>
        </w:rPr>
      </w:pPr>
      <w:r w:rsidRPr="0019240D">
        <w:rPr>
          <w:b/>
          <w:color w:val="000000"/>
          <w:lang w:val="es-MX"/>
        </w:rPr>
        <w:t xml:space="preserve">Sexto Informe Periódico de Costa Rica </w:t>
      </w:r>
    </w:p>
    <w:p w:rsidR="00937CFA" w:rsidRPr="0019240D" w:rsidRDefault="00937CFA" w:rsidP="00AF16A5">
      <w:pPr>
        <w:spacing w:after="0" w:line="240" w:lineRule="auto"/>
        <w:jc w:val="center"/>
        <w:rPr>
          <w:b/>
          <w:color w:val="000000"/>
          <w:lang w:val="es-MX"/>
        </w:rPr>
      </w:pPr>
      <w:r w:rsidRPr="0019240D">
        <w:rPr>
          <w:b/>
          <w:color w:val="000000"/>
          <w:lang w:val="es-MX"/>
        </w:rPr>
        <w:t xml:space="preserve">sobre el cumplimiento del Pacto Internacional </w:t>
      </w:r>
    </w:p>
    <w:p w:rsidR="00937CFA" w:rsidRPr="0019240D" w:rsidRDefault="00937CFA" w:rsidP="00AF16A5">
      <w:pPr>
        <w:spacing w:after="0" w:line="240" w:lineRule="auto"/>
        <w:jc w:val="center"/>
        <w:rPr>
          <w:b/>
          <w:color w:val="000000"/>
          <w:lang w:val="es-MX"/>
        </w:rPr>
      </w:pPr>
      <w:r w:rsidRPr="0019240D">
        <w:rPr>
          <w:b/>
          <w:color w:val="000000"/>
          <w:lang w:val="es-MX"/>
        </w:rPr>
        <w:t>de Derechos Civiles y Políticos</w:t>
      </w:r>
    </w:p>
    <w:p w:rsidR="00937CFA" w:rsidRPr="0019240D" w:rsidRDefault="00937CFA" w:rsidP="00AF16A5">
      <w:pPr>
        <w:spacing w:after="0" w:line="240" w:lineRule="auto"/>
        <w:jc w:val="center"/>
        <w:rPr>
          <w:b/>
          <w:color w:val="000000"/>
          <w:lang w:val="es-MX"/>
        </w:rPr>
      </w:pPr>
      <w:r w:rsidRPr="0019240D">
        <w:rPr>
          <w:b/>
          <w:color w:val="000000"/>
          <w:lang w:val="es-MX"/>
        </w:rPr>
        <w:t>Comité de Derechos Humanos</w:t>
      </w:r>
    </w:p>
    <w:p w:rsidR="00937CFA" w:rsidRPr="0019240D" w:rsidRDefault="00937CFA" w:rsidP="00AF16A5">
      <w:pPr>
        <w:spacing w:after="0" w:line="240" w:lineRule="auto"/>
        <w:jc w:val="center"/>
        <w:rPr>
          <w:b/>
          <w:color w:val="000000"/>
          <w:lang w:val="es-MX"/>
        </w:rPr>
      </w:pPr>
      <w:r w:rsidRPr="0019240D">
        <w:rPr>
          <w:b/>
          <w:color w:val="000000"/>
          <w:lang w:val="es-MX"/>
        </w:rPr>
        <w:t>Ginebra, Suiza</w:t>
      </w:r>
      <w:r w:rsidR="00AF16A5">
        <w:rPr>
          <w:b/>
          <w:color w:val="000000"/>
          <w:lang w:val="es-MX"/>
        </w:rPr>
        <w:t xml:space="preserve"> 16 de</w:t>
      </w:r>
      <w:r w:rsidRPr="0019240D">
        <w:rPr>
          <w:b/>
          <w:color w:val="000000"/>
          <w:lang w:val="es-MX"/>
        </w:rPr>
        <w:t xml:space="preserve"> marzo</w:t>
      </w:r>
      <w:r w:rsidR="00AF16A5">
        <w:rPr>
          <w:b/>
          <w:color w:val="000000"/>
          <w:lang w:val="es-MX"/>
        </w:rPr>
        <w:t>,</w:t>
      </w:r>
      <w:r w:rsidRPr="0019240D">
        <w:rPr>
          <w:b/>
          <w:color w:val="000000"/>
          <w:lang w:val="es-MX"/>
        </w:rPr>
        <w:t xml:space="preserve"> 2016</w:t>
      </w:r>
    </w:p>
    <w:p w:rsidR="00937CFA" w:rsidRPr="0019240D" w:rsidRDefault="00937CFA" w:rsidP="00AF16A5">
      <w:pPr>
        <w:spacing w:after="0" w:line="240" w:lineRule="auto"/>
        <w:jc w:val="both"/>
        <w:rPr>
          <w:color w:val="000000"/>
        </w:rPr>
      </w:pPr>
    </w:p>
    <w:p w:rsidR="00937CFA" w:rsidRPr="0019240D" w:rsidRDefault="00937CFA" w:rsidP="00937CFA">
      <w:pPr>
        <w:spacing w:line="240" w:lineRule="auto"/>
        <w:jc w:val="both"/>
        <w:rPr>
          <w:color w:val="000000"/>
        </w:rPr>
      </w:pPr>
      <w:r w:rsidRPr="0019240D">
        <w:rPr>
          <w:color w:val="000000"/>
        </w:rPr>
        <w:t>Señor Presidente,</w:t>
      </w:r>
    </w:p>
    <w:p w:rsidR="00937CFA" w:rsidRPr="0019240D" w:rsidRDefault="00937CFA" w:rsidP="00937CFA">
      <w:pPr>
        <w:spacing w:line="240" w:lineRule="auto"/>
        <w:jc w:val="both"/>
        <w:rPr>
          <w:color w:val="000000"/>
          <w:lang w:val="es-CR"/>
        </w:rPr>
      </w:pPr>
      <w:r w:rsidRPr="0019240D">
        <w:rPr>
          <w:color w:val="000000"/>
        </w:rPr>
        <w:t>Antes de iniciar permítame presentar a los miembros de la delegación</w:t>
      </w:r>
      <w:r w:rsidRPr="0019240D">
        <w:rPr>
          <w:color w:val="000000"/>
          <w:lang w:val="es-CR"/>
        </w:rPr>
        <w:t>:</w:t>
      </w:r>
    </w:p>
    <w:p w:rsidR="00937CFA" w:rsidRPr="0019240D" w:rsidRDefault="00937CFA" w:rsidP="00AF16A5">
      <w:pPr>
        <w:spacing w:after="0" w:line="240" w:lineRule="auto"/>
        <w:jc w:val="both"/>
        <w:rPr>
          <w:color w:val="000000"/>
        </w:rPr>
      </w:pPr>
      <w:r w:rsidRPr="0019240D">
        <w:rPr>
          <w:color w:val="000000"/>
        </w:rPr>
        <w:t xml:space="preserve">La señora Embajadora </w:t>
      </w:r>
      <w:proofErr w:type="spellStart"/>
      <w:r w:rsidRPr="0019240D">
        <w:rPr>
          <w:color w:val="000000"/>
        </w:rPr>
        <w:t>Elayne</w:t>
      </w:r>
      <w:proofErr w:type="spellEnd"/>
      <w:r w:rsidRPr="0019240D">
        <w:rPr>
          <w:color w:val="000000"/>
        </w:rPr>
        <w:t xml:space="preserve"> </w:t>
      </w:r>
      <w:proofErr w:type="spellStart"/>
      <w:r w:rsidRPr="0019240D">
        <w:rPr>
          <w:color w:val="000000"/>
        </w:rPr>
        <w:t>Whyte</w:t>
      </w:r>
      <w:proofErr w:type="spellEnd"/>
    </w:p>
    <w:p w:rsidR="00937CFA" w:rsidRPr="0019240D" w:rsidRDefault="00937CFA" w:rsidP="00AF16A5">
      <w:pPr>
        <w:spacing w:after="0" w:line="240" w:lineRule="auto"/>
        <w:jc w:val="both"/>
        <w:rPr>
          <w:color w:val="000000"/>
        </w:rPr>
      </w:pPr>
      <w:r w:rsidRPr="0019240D">
        <w:rPr>
          <w:color w:val="000000"/>
        </w:rPr>
        <w:t>La señora Diputada Silvia Sánchez, del principal Partido de Oposición</w:t>
      </w:r>
    </w:p>
    <w:p w:rsidR="00937CFA" w:rsidRPr="0019240D" w:rsidRDefault="00937CFA" w:rsidP="00AF16A5">
      <w:pPr>
        <w:spacing w:after="0" w:line="240" w:lineRule="auto"/>
        <w:jc w:val="both"/>
        <w:rPr>
          <w:color w:val="000000"/>
        </w:rPr>
      </w:pPr>
      <w:r w:rsidRPr="0019240D">
        <w:rPr>
          <w:color w:val="000000"/>
        </w:rPr>
        <w:t xml:space="preserve">El Asesor Legal de la Casa Presidencial Dr. </w:t>
      </w:r>
      <w:proofErr w:type="spellStart"/>
      <w:r w:rsidRPr="0019240D">
        <w:rPr>
          <w:color w:val="000000"/>
        </w:rPr>
        <w:t>Marv</w:t>
      </w:r>
      <w:r>
        <w:rPr>
          <w:color w:val="000000"/>
        </w:rPr>
        <w:t>i</w:t>
      </w:r>
      <w:r w:rsidRPr="0019240D">
        <w:rPr>
          <w:color w:val="000000"/>
        </w:rPr>
        <w:t>n</w:t>
      </w:r>
      <w:proofErr w:type="spellEnd"/>
      <w:r w:rsidRPr="0019240D">
        <w:rPr>
          <w:color w:val="000000"/>
        </w:rPr>
        <w:t xml:space="preserve"> Carvajal</w:t>
      </w:r>
    </w:p>
    <w:p w:rsidR="00937CFA" w:rsidRPr="0019240D" w:rsidRDefault="00937CFA" w:rsidP="00AF16A5">
      <w:pPr>
        <w:spacing w:after="0" w:line="240" w:lineRule="auto"/>
        <w:jc w:val="both"/>
        <w:rPr>
          <w:color w:val="000000"/>
        </w:rPr>
      </w:pPr>
      <w:r w:rsidRPr="0019240D">
        <w:rPr>
          <w:color w:val="000000"/>
        </w:rPr>
        <w:t>El Sr. Christian Guillermet, Director Adjunto de Política Exterior</w:t>
      </w:r>
    </w:p>
    <w:p w:rsidR="00937CFA" w:rsidRPr="0019240D" w:rsidRDefault="00937CFA" w:rsidP="00AF16A5">
      <w:pPr>
        <w:spacing w:after="0" w:line="240" w:lineRule="auto"/>
        <w:jc w:val="both"/>
        <w:rPr>
          <w:color w:val="000000"/>
        </w:rPr>
      </w:pPr>
      <w:r w:rsidRPr="0019240D">
        <w:rPr>
          <w:color w:val="000000"/>
        </w:rPr>
        <w:t>La Sra. Adriana Murillo, funcionaria de la Cancillería y</w:t>
      </w:r>
    </w:p>
    <w:p w:rsidR="00937CFA" w:rsidRPr="0019240D" w:rsidRDefault="00937CFA" w:rsidP="00AF16A5">
      <w:pPr>
        <w:spacing w:after="0" w:line="240" w:lineRule="auto"/>
        <w:jc w:val="both"/>
        <w:rPr>
          <w:color w:val="000000"/>
        </w:rPr>
      </w:pPr>
      <w:r w:rsidRPr="0019240D">
        <w:rPr>
          <w:color w:val="000000"/>
        </w:rPr>
        <w:t>Los miembros de la Misión Permanente</w:t>
      </w:r>
    </w:p>
    <w:p w:rsidR="00937CFA" w:rsidRPr="0019240D" w:rsidRDefault="00937CFA" w:rsidP="00AF16A5">
      <w:pPr>
        <w:spacing w:after="0" w:line="240" w:lineRule="auto"/>
        <w:jc w:val="both"/>
        <w:rPr>
          <w:color w:val="000000"/>
        </w:rPr>
      </w:pPr>
    </w:p>
    <w:p w:rsidR="00937CFA" w:rsidRPr="0019240D" w:rsidRDefault="00937CFA" w:rsidP="00937CFA">
      <w:pPr>
        <w:spacing w:line="240" w:lineRule="auto"/>
        <w:jc w:val="both"/>
        <w:rPr>
          <w:color w:val="000000"/>
        </w:rPr>
      </w:pPr>
      <w:r w:rsidRPr="0019240D">
        <w:rPr>
          <w:color w:val="000000"/>
        </w:rPr>
        <w:t>Señor Presidente,</w:t>
      </w:r>
    </w:p>
    <w:p w:rsidR="00937CFA" w:rsidRPr="0019240D" w:rsidRDefault="00937CFA" w:rsidP="00937CFA">
      <w:pPr>
        <w:spacing w:line="240" w:lineRule="auto"/>
        <w:jc w:val="both"/>
      </w:pPr>
      <w:r w:rsidRPr="0019240D">
        <w:rPr>
          <w:color w:val="000000"/>
        </w:rPr>
        <w:t xml:space="preserve">Para Costa Rica es un honor comparecer ante el Comité de Derechos Humanos y presentar su </w:t>
      </w:r>
      <w:r w:rsidRPr="0019240D">
        <w:rPr>
          <w:color w:val="000000"/>
          <w:lang w:val="es-MX"/>
        </w:rPr>
        <w:t xml:space="preserve">Sexto Informe Periódico sobre el cumplimiento del Pacto Internacional de Derechos Civiles y Políticos, en el </w:t>
      </w:r>
      <w:r w:rsidRPr="0019240D">
        <w:rPr>
          <w:color w:val="333333"/>
          <w:shd w:val="clear" w:color="auto" w:fill="FFFFFF"/>
        </w:rPr>
        <w:t xml:space="preserve">50º aniversario de la adopción de este Pacto, que Costa Rica fue el primer país del mundo en ratificar en 1968.  </w:t>
      </w:r>
      <w:r w:rsidRPr="0019240D">
        <w:t>Nuestro país apoya firmemente los mecanismos de los derechos humanos e impulsó activamente el fortalecimiento de los órganos de tratados de las Naciones Unidas en el reciente proceso intergubernamental.  Además, tuvimos el honor de acoger hace pocos meses en San José</w:t>
      </w:r>
      <w:r w:rsidR="00621D9F">
        <w:t>, la reunión de Presidentes de Ó</w:t>
      </w:r>
      <w:r w:rsidRPr="0019240D">
        <w:t xml:space="preserve">rganos de Tratados, la primera que se celebraba en nuestro continente.  Gracias por la confianza depositada en Costa Rica para su realización. </w:t>
      </w:r>
    </w:p>
    <w:p w:rsidR="00EF2326" w:rsidRDefault="00EF2326" w:rsidP="00E97709">
      <w:pPr>
        <w:pStyle w:val="Heading3"/>
      </w:pPr>
    </w:p>
    <w:p w:rsidR="00937CFA" w:rsidRPr="0019240D" w:rsidRDefault="00EF2326" w:rsidP="00E97709">
      <w:pPr>
        <w:pStyle w:val="Heading3"/>
      </w:pPr>
      <w:bookmarkStart w:id="1" w:name="_Toc446126600"/>
      <w:r>
        <w:t>Expansión de los derechos humanos y la institucionalidad</w:t>
      </w:r>
      <w:bookmarkEnd w:id="1"/>
      <w:r>
        <w:t xml:space="preserve"> </w:t>
      </w:r>
    </w:p>
    <w:p w:rsidR="00937CFA" w:rsidRPr="0019240D" w:rsidRDefault="00937CFA" w:rsidP="00937CFA">
      <w:pPr>
        <w:spacing w:line="240" w:lineRule="auto"/>
        <w:jc w:val="both"/>
        <w:rPr>
          <w:color w:val="333333"/>
          <w:shd w:val="clear" w:color="auto" w:fill="FFFFFF"/>
        </w:rPr>
      </w:pPr>
      <w:r w:rsidRPr="0019240D">
        <w:t>Costa Rica es una democracia consolidada con 17 Gobiernos consecutivos electos democráticamente desde 1949, la democracia más sólida, estable y antigua del continente.</w:t>
      </w:r>
      <w:r w:rsidRPr="0019240D">
        <w:rPr>
          <w:color w:val="333333"/>
          <w:shd w:val="clear" w:color="auto" w:fill="FFFFFF"/>
        </w:rPr>
        <w:t xml:space="preserve"> </w:t>
      </w:r>
      <w:r w:rsidRPr="0019240D">
        <w:rPr>
          <w:lang w:val="es-CR"/>
        </w:rPr>
        <w:t xml:space="preserve">El  sistema </w:t>
      </w:r>
      <w:proofErr w:type="spellStart"/>
      <w:r w:rsidRPr="0019240D">
        <w:rPr>
          <w:lang w:val="es-CR"/>
        </w:rPr>
        <w:t>jur</w:t>
      </w:r>
      <w:r w:rsidRPr="0019240D">
        <w:rPr>
          <w:lang w:val="es-ES_tradnl"/>
        </w:rPr>
        <w:t>ídico</w:t>
      </w:r>
      <w:proofErr w:type="spellEnd"/>
      <w:r w:rsidRPr="0019240D">
        <w:rPr>
          <w:lang w:val="es-ES_tradnl"/>
        </w:rPr>
        <w:t xml:space="preserve"> e institucional de Costa Rica es absolutamente garantista de los derechos humanos y nuestros textos constitucionales históricamente han contenido amplias disposiciones sobre derechos civiles y políticos. Más allá de esto, </w:t>
      </w:r>
      <w:r w:rsidRPr="0019240D">
        <w:rPr>
          <w:lang w:val="es-CR"/>
        </w:rPr>
        <w:t xml:space="preserve">la promoción, protección y respeto de los derechos humanos ha sido una vocación constante de nuestra identidad y vida nacional y la </w:t>
      </w:r>
      <w:r w:rsidRPr="0019240D">
        <w:t xml:space="preserve">ampliación y profundización de nuestra democracia es un proceso permanente y abierto. </w:t>
      </w:r>
    </w:p>
    <w:p w:rsidR="00937CFA" w:rsidRPr="0019240D" w:rsidRDefault="00937CFA" w:rsidP="00937CFA">
      <w:pPr>
        <w:spacing w:line="240" w:lineRule="auto"/>
        <w:ind w:right="-238"/>
        <w:jc w:val="both"/>
      </w:pPr>
      <w:r w:rsidRPr="0019240D">
        <w:t xml:space="preserve">Un ejemplo reciente de expansión de los niveles de protección al más alto nivel, es </w:t>
      </w:r>
      <w:r w:rsidRPr="0019240D">
        <w:rPr>
          <w:color w:val="000000"/>
          <w:lang w:val="es-MX"/>
        </w:rPr>
        <w:t xml:space="preserve">la reforma </w:t>
      </w:r>
      <w:r w:rsidRPr="0019240D">
        <w:rPr>
          <w:lang w:val="es-CR" w:eastAsia="es-CR"/>
        </w:rPr>
        <w:t>del artículo 1° de la Constitución Política</w:t>
      </w:r>
      <w:r w:rsidRPr="0019240D">
        <w:t xml:space="preserve">, en </w:t>
      </w:r>
      <w:r w:rsidRPr="0019240D">
        <w:rPr>
          <w:color w:val="000000"/>
          <w:lang w:val="es-MX"/>
        </w:rPr>
        <w:t>agosto de 2015,</w:t>
      </w:r>
      <w:r w:rsidRPr="0019240D">
        <w:rPr>
          <w:lang w:val="es-CR" w:eastAsia="es-CR"/>
        </w:rPr>
        <w:t xml:space="preserve"> </w:t>
      </w:r>
      <w:r w:rsidRPr="0019240D">
        <w:t xml:space="preserve">el cual establece ahora el carácter multiétnico y </w:t>
      </w:r>
      <w:proofErr w:type="spellStart"/>
      <w:r w:rsidRPr="0019240D">
        <w:t>pluricultural</w:t>
      </w:r>
      <w:proofErr w:type="spellEnd"/>
      <w:r w:rsidRPr="0019240D">
        <w:t xml:space="preserve"> de Costa Rica. Textualmente ahora el artículo reza: </w:t>
      </w:r>
    </w:p>
    <w:p w:rsidR="00937CFA" w:rsidRPr="0019240D" w:rsidRDefault="00937CFA" w:rsidP="00937CFA">
      <w:pPr>
        <w:spacing w:line="240" w:lineRule="auto"/>
        <w:ind w:right="-238"/>
        <w:jc w:val="both"/>
      </w:pPr>
      <w:r w:rsidRPr="0019240D">
        <w:lastRenderedPageBreak/>
        <w:t>“</w:t>
      </w:r>
      <w:r w:rsidRPr="0019240D">
        <w:rPr>
          <w:i/>
        </w:rPr>
        <w:t xml:space="preserve">Artículo 1: Costa Rica es una República democrática, libre, independiente, multiétnica y </w:t>
      </w:r>
      <w:proofErr w:type="spellStart"/>
      <w:r w:rsidRPr="0019240D">
        <w:rPr>
          <w:i/>
        </w:rPr>
        <w:t>pluricultural</w:t>
      </w:r>
      <w:proofErr w:type="spellEnd"/>
      <w:r w:rsidRPr="0019240D">
        <w:t>”.</w:t>
      </w:r>
    </w:p>
    <w:p w:rsidR="00937CFA" w:rsidRPr="0019240D" w:rsidRDefault="00937CFA" w:rsidP="00937CFA">
      <w:pPr>
        <w:spacing w:line="240" w:lineRule="auto"/>
        <w:jc w:val="both"/>
      </w:pPr>
      <w:r w:rsidRPr="0019240D">
        <w:t>Con la aprobación de esta reforma, el país sienta una piedra angular para seguir construyendo una sociedad diversa e inclusiva, que promueve la igualdad de oportunidades y de trato, así como las posibilidades de participación en la vida pública y social para todas las personas y grupos con independencia de su identidad cultural, étnico-racial, religiosa o lingüística.</w:t>
      </w:r>
    </w:p>
    <w:p w:rsidR="00937CFA" w:rsidRPr="0019240D" w:rsidRDefault="00937CFA" w:rsidP="00937CFA">
      <w:pPr>
        <w:spacing w:line="240" w:lineRule="auto"/>
        <w:ind w:right="-340"/>
        <w:jc w:val="both"/>
      </w:pPr>
      <w:r w:rsidRPr="0019240D">
        <w:t>Pero el Estado costarricense, además de reconocer las libertades públicas y los derechos fundamentales, es un agente activo en la provisión de los mecanismos necesarios para que éstos tengan una proyección en las políticas públicas, constituyéndose en límites programáticos al ejercicio del poder. Esta expansión de la ciudadanía es acompañada por un reforzamiento del andamiaje de las instituciones del Estado democrático de derecho, el fortalecimiento del control de constitucionalidad y los controles legales y administrativos sobre la acción pública.</w:t>
      </w:r>
    </w:p>
    <w:p w:rsidR="00937CFA" w:rsidRPr="0019240D" w:rsidRDefault="00937CFA" w:rsidP="00937CFA">
      <w:pPr>
        <w:spacing w:line="240" w:lineRule="auto"/>
        <w:ind w:right="-340"/>
        <w:jc w:val="both"/>
        <w:rPr>
          <w:lang w:val="es-CR"/>
        </w:rPr>
      </w:pPr>
      <w:r w:rsidRPr="0019240D">
        <w:rPr>
          <w:lang w:val="es-CR"/>
        </w:rPr>
        <w:t xml:space="preserve">Nuestra Constitución Política otorga a los instrumentos internacionales sobre Derechos Humanos fuerza normativa constitucional. Además, nuestra jurisprudencia constitucional reconoce a esos instrumentos un valor supra-constitucional, en la medida en que otorguen mayores derechos o garantías a las personas. Los instrumentos internacionales sobre Derechos Humanos son entonces fuente directa de derecho interno y se aplican directamente, prevaleciendo sobre cualquier regulación que los contradiga o restrinja y es posible utilizar todos los recursos judiciales y administrativos disponibles para reparar violaciones a sus disposiciones. Para velar por este principio de supremacía constitucional, fue creada en 1989 la Sala Constitucional de la Corte Suprema de Justicia, con la facultad de declarar la nulidad de los actos y normas que atenten contra las disposiciones constitucionales y los derechos reconocidos por los convenios internacionales y a su vez hacer efectivos los derechos constitucionales  y de los instrumentos internacionales. </w:t>
      </w:r>
    </w:p>
    <w:p w:rsidR="00937CFA" w:rsidRPr="0019240D" w:rsidRDefault="00937CFA" w:rsidP="00937CFA">
      <w:pPr>
        <w:spacing w:line="240" w:lineRule="auto"/>
        <w:ind w:right="-238"/>
        <w:jc w:val="both"/>
        <w:rPr>
          <w:lang w:val="es-ES_tradnl"/>
        </w:rPr>
      </w:pPr>
      <w:r w:rsidRPr="0019240D">
        <w:rPr>
          <w:lang w:val="es-ES_tradnl"/>
        </w:rPr>
        <w:t>La invocación expresa de las normas del PIDCP se ha desarrollado en los ámbitos jurisdiccional y administrativo, pero además, y resalto,  dado que el catálogo de derechos reconocidos por la Constitución Política de 1949 es análogo a lo regulado por el Pacto, aunque aprobado por el Estado casi dos décadas antes de la adopción de ese instrumento,</w:t>
      </w:r>
      <w:r w:rsidRPr="0019240D">
        <w:rPr>
          <w:b/>
          <w:lang w:val="es-ES_tradnl"/>
        </w:rPr>
        <w:t xml:space="preserve"> </w:t>
      </w:r>
      <w:r w:rsidRPr="0019240D">
        <w:rPr>
          <w:lang w:val="es-ES_tradnl"/>
        </w:rPr>
        <w:t>cada vez que una sentencia de un tribunal interpreta y aplica un derecho reconocido constitucionalmente, al mismo tiempo hace valer las disposiciones del Pacto.</w:t>
      </w:r>
    </w:p>
    <w:p w:rsidR="00937CFA" w:rsidRPr="0019240D" w:rsidRDefault="00937CFA" w:rsidP="00937CFA">
      <w:pPr>
        <w:spacing w:line="240" w:lineRule="auto"/>
        <w:ind w:right="-340"/>
        <w:jc w:val="both"/>
        <w:rPr>
          <w:lang w:val="es-CR"/>
        </w:rPr>
      </w:pPr>
      <w:r w:rsidRPr="0019240D">
        <w:rPr>
          <w:lang w:val="es-CR"/>
        </w:rPr>
        <w:t xml:space="preserve">Desde 1993 Costa Rica cuenta también con una institución nacional de Derechos Humanos, denominada la Defensoría de los Habitantes de la República, como órgano contralor que forma parte del Poder Legislativo, pero tiene absoluta independencia política y operativa, de acuerdo con los “Principios de París”. Su mandato es velar porque los derechos e intereses de los habitantes, incluidas las personas no nacionales, siempre estén protegidos, además cumple el papel de Mecanismo Nacional para la Prevención de la Tortura y de Mecanismo Nacional de Supervisión de la Convención sobre los Derechos de las Personas con Discapacidad. La Defensoría se ha convertido en un robusto instrumento en la institucionalidad y la práctica cotidiana de Derechos Humanos, fácilmente accesible a todas las personas. </w:t>
      </w:r>
    </w:p>
    <w:p w:rsidR="00937CFA" w:rsidRPr="0019240D" w:rsidRDefault="00937CFA" w:rsidP="00AA73AD">
      <w:pPr>
        <w:spacing w:after="0" w:line="240" w:lineRule="auto"/>
        <w:ind w:right="-340"/>
        <w:jc w:val="both"/>
      </w:pPr>
      <w:r w:rsidRPr="0019240D">
        <w:t>También existen, entre otras instituciones, la Contraloría General de la República, la Autoridad Reguladora de los Servicios Públicos y la Superintendencias de Telecomunicaciones y Entidades Financieras.</w:t>
      </w:r>
    </w:p>
    <w:p w:rsidR="00937CFA" w:rsidRDefault="00937CFA" w:rsidP="00AA73AD">
      <w:pPr>
        <w:pStyle w:val="yiv1018153416msonormal"/>
        <w:spacing w:after="0" w:afterAutospacing="0"/>
        <w:ind w:right="-238"/>
        <w:jc w:val="both"/>
        <w:rPr>
          <w:rStyle w:val="Strong"/>
          <w:rFonts w:ascii="Calibri" w:hAnsi="Calibri"/>
          <w:sz w:val="22"/>
          <w:szCs w:val="22"/>
          <w:lang w:val="es-ES"/>
        </w:rPr>
      </w:pPr>
      <w:r w:rsidRPr="0019240D">
        <w:rPr>
          <w:rFonts w:ascii="Calibri" w:hAnsi="Calibri"/>
          <w:sz w:val="22"/>
          <w:szCs w:val="22"/>
          <w:lang w:val="es-CR"/>
        </w:rPr>
        <w:t>Todo este andamiaje institucional y social, que facilita la vigencia de los Derechos Humanos en Costa Rica, fue reforzado con la creación, el 30 de septiembre de 2011, de la Comisión Interinstitucional para el Seguimiento e Implementación de las Obligaciones Internacionales de Derechos Humanos (CIIDDHH).  El objetivo de la Comisión es coordinar la implementación, en el ámbito nacional, de las obligaciones internacionales de Derechos Humanos, y su puesta en marcha ha</w:t>
      </w:r>
      <w:r w:rsidRPr="0019240D">
        <w:rPr>
          <w:rStyle w:val="Strong"/>
          <w:rFonts w:ascii="Calibri" w:hAnsi="Calibri"/>
          <w:sz w:val="22"/>
          <w:szCs w:val="22"/>
          <w:lang w:val="es-ES"/>
        </w:rPr>
        <w:t xml:space="preserve"> facilitado una mejor y más fluida coordinación entre las instituciones estatales.</w:t>
      </w:r>
    </w:p>
    <w:p w:rsidR="00621D9F" w:rsidRDefault="00621D9F" w:rsidP="00AA73AD">
      <w:pPr>
        <w:pStyle w:val="yiv1018153416msonormal"/>
        <w:spacing w:after="0" w:afterAutospacing="0"/>
        <w:ind w:right="-238"/>
        <w:jc w:val="both"/>
        <w:rPr>
          <w:rStyle w:val="Strong"/>
          <w:rFonts w:ascii="Calibri" w:hAnsi="Calibri"/>
          <w:sz w:val="22"/>
          <w:szCs w:val="22"/>
          <w:lang w:val="es-ES"/>
        </w:rPr>
      </w:pPr>
    </w:p>
    <w:p w:rsidR="00937CFA" w:rsidRDefault="00937CFA" w:rsidP="00937CFA">
      <w:pPr>
        <w:spacing w:line="240" w:lineRule="auto"/>
        <w:ind w:right="-340"/>
        <w:jc w:val="both"/>
        <w:rPr>
          <w:rFonts w:cs="Arial"/>
          <w:lang w:val="es-CR"/>
        </w:rPr>
      </w:pPr>
      <w:r w:rsidRPr="0019240D">
        <w:rPr>
          <w:lang w:val="es-CR"/>
        </w:rPr>
        <w:t xml:space="preserve">Dicha Comisión cuenta, además, con un Comité Asesor y un Ente Permanente de Consulta con la sociedad civil. </w:t>
      </w:r>
      <w:r w:rsidRPr="0019240D">
        <w:rPr>
          <w:rFonts w:cs="Arial"/>
          <w:lang w:val="es-CR"/>
        </w:rPr>
        <w:t>Se ha desarrollado un proceso de diálogo con la sociedad civil en el contexto general de la elaboración de informes y en la construcción de la Política Nacional para una sociedad libre de racismo, discriminación racial y xenofobia, uno de los primeros logros de la Comisión. Este diálogo ha facilitado la reflexión institucional sobre la efectividad y eficacia del trabajo que se llevaba a cabo y su intrínseca relación con el ejercicio de los derechos humanos para las personas en nuestro país. Además de las consultas específicas, se creó un mecanismo para que el Ente de Consulta designe dos representantes para que asistan continuament</w:t>
      </w:r>
      <w:r w:rsidR="00621D9F">
        <w:rPr>
          <w:rFonts w:cs="Arial"/>
          <w:lang w:val="es-CR"/>
        </w:rPr>
        <w:t>e a las sesiones de la Comisión y se logre</w:t>
      </w:r>
      <w:r w:rsidRPr="0019240D">
        <w:rPr>
          <w:rFonts w:cs="Arial"/>
          <w:lang w:val="es-CR"/>
        </w:rPr>
        <w:t xml:space="preserve"> una participación más activa. </w:t>
      </w:r>
    </w:p>
    <w:p w:rsidR="00621D9F" w:rsidRPr="0019240D" w:rsidRDefault="00621D9F" w:rsidP="00937CFA">
      <w:pPr>
        <w:spacing w:line="240" w:lineRule="auto"/>
        <w:ind w:right="-340"/>
        <w:jc w:val="both"/>
        <w:rPr>
          <w:rFonts w:cs="Arial"/>
          <w:lang w:val="es-CR"/>
        </w:rPr>
      </w:pPr>
    </w:p>
    <w:p w:rsidR="00937CFA" w:rsidRPr="00621D9F" w:rsidRDefault="00937CFA" w:rsidP="00AA73AD">
      <w:pPr>
        <w:spacing w:after="0" w:line="240" w:lineRule="auto"/>
        <w:ind w:right="-340"/>
        <w:jc w:val="both"/>
        <w:rPr>
          <w:rStyle w:val="Strong"/>
          <w:b w:val="0"/>
        </w:rPr>
      </w:pPr>
      <w:r w:rsidRPr="00621D9F">
        <w:rPr>
          <w:rStyle w:val="Strong"/>
          <w:b w:val="0"/>
        </w:rPr>
        <w:t xml:space="preserve">Estamos conscientes de la necesidad de fortalecer el trabajo de la Comisión y su interacción con la sociedad civil en los procesos de discusión, elaboración de informes y definición de acciones sobre derechos humanos. Pero hay que destacar que, desde la presentación del último informe, hemos dado importantes pasos en esa dirección, pasando de una situación en que muchas veces los informes eran elaborados por un solo funcionario o un consultor, a la generación de procesos interinstitucionales y de diálogo con la sociedad civil. En este momento, contamos con el apoyo de la oficina regional del Alto Comisionado para fortalecer la Comisión y su Ente de Consulta.  </w:t>
      </w:r>
    </w:p>
    <w:p w:rsidR="00937CFA" w:rsidRPr="00621D9F" w:rsidRDefault="00937CFA" w:rsidP="00AA73AD">
      <w:pPr>
        <w:spacing w:after="0" w:line="240" w:lineRule="auto"/>
        <w:ind w:right="-340"/>
        <w:jc w:val="both"/>
        <w:rPr>
          <w:rStyle w:val="Strong"/>
          <w:b w:val="0"/>
        </w:rPr>
      </w:pPr>
    </w:p>
    <w:p w:rsidR="00937CFA" w:rsidRPr="00621D9F" w:rsidRDefault="00937CFA" w:rsidP="00937CFA">
      <w:pPr>
        <w:spacing w:line="240" w:lineRule="auto"/>
        <w:ind w:right="-340"/>
        <w:jc w:val="both"/>
        <w:rPr>
          <w:b/>
          <w:bCs/>
        </w:rPr>
      </w:pPr>
      <w:r w:rsidRPr="00621D9F">
        <w:rPr>
          <w:rStyle w:val="Strong"/>
          <w:b w:val="0"/>
        </w:rPr>
        <w:t xml:space="preserve">Además, estamos formalizando la solicitud de cooperación con la Oficina del Alto Comisionado para formar parte del proyecto piloto para el desarrollo del </w:t>
      </w:r>
      <w:proofErr w:type="spellStart"/>
      <w:r w:rsidRPr="00621D9F">
        <w:rPr>
          <w:rStyle w:val="Strong"/>
          <w:b w:val="0"/>
        </w:rPr>
        <w:t>Indice</w:t>
      </w:r>
      <w:proofErr w:type="spellEnd"/>
      <w:r w:rsidRPr="00621D9F">
        <w:rPr>
          <w:rStyle w:val="Strong"/>
          <w:b w:val="0"/>
        </w:rPr>
        <w:t xml:space="preserve"> de Observaciones y Recomendaciones de los </w:t>
      </w:r>
      <w:proofErr w:type="spellStart"/>
      <w:r w:rsidRPr="00621D9F">
        <w:rPr>
          <w:rStyle w:val="Strong"/>
          <w:b w:val="0"/>
        </w:rPr>
        <w:t>Organos</w:t>
      </w:r>
      <w:proofErr w:type="spellEnd"/>
      <w:r w:rsidRPr="00621D9F">
        <w:rPr>
          <w:rStyle w:val="Strong"/>
          <w:b w:val="0"/>
        </w:rPr>
        <w:t xml:space="preserve"> de Tratados, herramienta muy útil desarrollada por la Oficina del Alto Comisionado para dar seguimiento y generar mayores capacidades de las instituciones para la preparación de los informes  nacionales de cumplimiento.</w:t>
      </w:r>
    </w:p>
    <w:p w:rsidR="00937CFA" w:rsidRPr="0019240D" w:rsidRDefault="00937CFA" w:rsidP="00937CFA">
      <w:pPr>
        <w:spacing w:line="240" w:lineRule="auto"/>
        <w:ind w:right="-340"/>
        <w:jc w:val="both"/>
        <w:rPr>
          <w:lang w:val="es-CR"/>
        </w:rPr>
      </w:pPr>
      <w:r w:rsidRPr="0019240D">
        <w:rPr>
          <w:lang w:val="es-ES_tradnl"/>
        </w:rPr>
        <w:t xml:space="preserve">El Poder Judicial costarricense constituye una sólida garantía institucional de los derechos humanos. Este órgano está revestido constitucionalmente de los principios de independencia funcional, especialidad e </w:t>
      </w:r>
      <w:proofErr w:type="spellStart"/>
      <w:r w:rsidRPr="0019240D">
        <w:rPr>
          <w:lang w:val="es-ES_tradnl"/>
        </w:rPr>
        <w:t>indelegabilidad</w:t>
      </w:r>
      <w:proofErr w:type="spellEnd"/>
      <w:r w:rsidRPr="0019240D">
        <w:rPr>
          <w:lang w:val="es-ES_tradnl"/>
        </w:rPr>
        <w:t xml:space="preserve">. Opera en el marco de las relaciones de frenos y contrapesos que caracterizan a los poderes del Estado. Se trata de una institución consolidada, cuya actuación garantiza el acceso efectivo a la justicia y contribuye significativamente al logro de la paz social. </w:t>
      </w:r>
    </w:p>
    <w:p w:rsidR="00937CFA" w:rsidRPr="0019240D" w:rsidRDefault="00937CFA" w:rsidP="00937CFA">
      <w:pPr>
        <w:spacing w:line="240" w:lineRule="auto"/>
        <w:ind w:right="-340"/>
        <w:jc w:val="both"/>
      </w:pPr>
      <w:r w:rsidRPr="0019240D">
        <w:t>En cuanto a la promoción y garantía de la justicia pronta y cumplida,  se han dado importantes avances recientes. En materia laboral, me complace compartir con ustedes el hito histórico de la aprobación de la Ley de  Reforma Procesal Laboral el 25 de enero de 2016. Costa Rica, fiel a su tradición civilista y garantista, dio un paso trascendental, desde la aprobación hace 73 años, del Código de Trabajo en 1943. Esta Ley, resultado de un gran acuerdo nacional, es prueba de un país que cree en el poder del diálogo social y en los acuerdos entre los diferentes sectores económicos, jurídicos, laborales e institucionales.</w:t>
      </w:r>
    </w:p>
    <w:p w:rsidR="00937CFA" w:rsidRPr="0019240D" w:rsidRDefault="00937CFA" w:rsidP="00937CFA">
      <w:pPr>
        <w:spacing w:line="240" w:lineRule="auto"/>
        <w:ind w:right="-340"/>
        <w:jc w:val="both"/>
      </w:pPr>
      <w:r w:rsidRPr="0019240D">
        <w:t>La Ley prohíbe toda discriminación en el trabajo, por razones de edad, etnia, sexo, religión, raza, orientación sexual, estado civil, opinión política, ascendencia nacional, origen social, filiación, discapacidad, afiliación sindical y situación económica. Adicionalmente, contribuye a remediar mediante la introducción de la oralidad, la lentitud en la atención de casos laborales. Vino a mejorar, entre otros aspectos, la solución de conflictos colectivos de carácter económico y social y del procedimiento de conciliación y arbitraje; la calificación de los movimientos huelguísticos y de paro; el juzgamiento de las infracciones a la leyes de trabajo o de previsión social, y del régimen laboral de los servidores del Estado y sus instituciones. Además, garantiza que todas las personas trabajadoras se desempeñen en igualdad de condiciones.</w:t>
      </w:r>
    </w:p>
    <w:p w:rsidR="00937CFA" w:rsidRPr="0019240D" w:rsidRDefault="00937CFA" w:rsidP="00937CFA">
      <w:pPr>
        <w:spacing w:line="240" w:lineRule="auto"/>
        <w:ind w:right="-340"/>
        <w:jc w:val="both"/>
      </w:pPr>
      <w:r w:rsidRPr="0019240D">
        <w:lastRenderedPageBreak/>
        <w:t xml:space="preserve">El pasado 1° de diciembre del 2015 también , se aprobó el nuevo Código Procesal Civil, sancionado el 2 de febrero de ese año.  Esta normativa procura mejorar la celeridad y eficiencia de los procedimientos comerciales y civiles, adoptando un proceso predominantemente oral, en lugar del sistema escrito que tradicionalmente se utilizaba en nuestra jurisdicción. Los procesos civiles se </w:t>
      </w:r>
      <w:proofErr w:type="spellStart"/>
      <w:r w:rsidRPr="0019240D">
        <w:t>hab</w:t>
      </w:r>
      <w:r w:rsidRPr="0019240D">
        <w:rPr>
          <w:lang w:val="es-ES_tradnl"/>
        </w:rPr>
        <w:t>ían</w:t>
      </w:r>
      <w:proofErr w:type="spellEnd"/>
      <w:r w:rsidRPr="0019240D">
        <w:t xml:space="preserve"> caracterizado por su lentitud y resultaban excesivamente formalistas, ineficaces y costosos. La incorporación de la oralidad busca entonces garantizar a todos los ciudadanos en condiciones de igualdad y sin ninguna discriminación, el acceso a la administración de justicia civil y a obtener una pronta y oportuna respuesta. Además el nuevo Código es norma supletoria de todos los demás procesos jurisdiccionales, por lo que sus efectos positivos impactarán a todo el sistema judicial.</w:t>
      </w:r>
    </w:p>
    <w:p w:rsidR="00937CFA" w:rsidRPr="0019240D" w:rsidRDefault="00937CFA" w:rsidP="00937CFA">
      <w:pPr>
        <w:spacing w:line="240" w:lineRule="auto"/>
        <w:ind w:right="-340"/>
        <w:jc w:val="both"/>
      </w:pPr>
      <w:r w:rsidRPr="0019240D">
        <w:t>Podemos concluir que en los últimos años se ha gestado en Costa Rica una reforma democrática del Estado que produjo apreciables avances en dos dimensiones: una mayor capacidad para la subordinación de los gobernantes a la ley, mediante el desarrollo del sistema de controles al poder público, y una fuerte ampliación de la base de reconocimiento y garantías de los derechos humanos. Lo que distingue el proceso de reforma y fortalecimiento del Estado en Costa Rica, es el énfasis en la creación y fortalecimiento de instituciones administrativas y un redimensionamiento de poder, hacia la esfera del control judicial y administrativo y de los mecanismos para el control del ejercicio del poder y la protección de los derechos humanos.</w:t>
      </w:r>
    </w:p>
    <w:p w:rsidR="00937CFA" w:rsidRPr="0019240D" w:rsidRDefault="00937CFA" w:rsidP="00937CFA">
      <w:pPr>
        <w:spacing w:line="240" w:lineRule="auto"/>
        <w:jc w:val="both"/>
        <w:rPr>
          <w:color w:val="000000"/>
          <w:lang w:val="es-MX"/>
        </w:rPr>
      </w:pPr>
      <w:r w:rsidRPr="0019240D">
        <w:rPr>
          <w:color w:val="000000"/>
          <w:lang w:val="es-MX"/>
        </w:rPr>
        <w:t xml:space="preserve">Señor Presidente, </w:t>
      </w:r>
    </w:p>
    <w:p w:rsidR="00937CFA" w:rsidRDefault="00EF2326" w:rsidP="00E97709">
      <w:pPr>
        <w:pStyle w:val="Heading3"/>
        <w:rPr>
          <w:lang w:val="es-MX"/>
        </w:rPr>
      </w:pPr>
      <w:bookmarkStart w:id="2" w:name="_Toc446126601"/>
      <w:r>
        <w:rPr>
          <w:lang w:val="es-MX"/>
        </w:rPr>
        <w:t>Hacia una sociedad libre de discriminación</w:t>
      </w:r>
      <w:bookmarkEnd w:id="2"/>
      <w:r>
        <w:rPr>
          <w:lang w:val="es-MX"/>
        </w:rPr>
        <w:t xml:space="preserve"> </w:t>
      </w:r>
    </w:p>
    <w:p w:rsidR="00EF2326" w:rsidRPr="00EF2326" w:rsidRDefault="00EF2326" w:rsidP="00EF2326">
      <w:pPr>
        <w:rPr>
          <w:lang w:val="es-MX"/>
        </w:rPr>
      </w:pPr>
    </w:p>
    <w:p w:rsidR="00937CFA" w:rsidRPr="0019240D" w:rsidRDefault="00937CFA" w:rsidP="00937CFA">
      <w:pPr>
        <w:spacing w:line="240" w:lineRule="auto"/>
        <w:jc w:val="both"/>
        <w:rPr>
          <w:rFonts w:cs="Arial"/>
          <w:lang w:eastAsia="es-CR"/>
        </w:rPr>
      </w:pPr>
      <w:r w:rsidRPr="0019240D">
        <w:rPr>
          <w:color w:val="000000"/>
          <w:lang w:val="es-MX"/>
        </w:rPr>
        <w:t>El Estado costarricense ha reconocido la deuda histórica frente a poblaciones y grupos que han sido, y siguen siendo, objeto de marginación y prejuicios sociales.  Además ha reconocido la existencia de discriminación estructural. Para abordar esta situación, además de las reformas normativas, l</w:t>
      </w:r>
      <w:r w:rsidRPr="0019240D">
        <w:rPr>
          <w:rFonts w:cs="Arial"/>
          <w:lang w:eastAsia="es-CR"/>
        </w:rPr>
        <w:t xml:space="preserve">a Política </w:t>
      </w:r>
      <w:r w:rsidRPr="0019240D">
        <w:rPr>
          <w:rFonts w:cs="Arial"/>
          <w:lang w:val="es-CR"/>
        </w:rPr>
        <w:t xml:space="preserve">Nacional para una sociedad libre de racismo, discriminación racial y xenofobia y su Plan de Acción, ha orientado a que en las </w:t>
      </w:r>
      <w:r w:rsidRPr="0019240D">
        <w:rPr>
          <w:rFonts w:cs="Arial"/>
          <w:lang w:eastAsia="es-CR"/>
        </w:rPr>
        <w:t xml:space="preserve"> instituciones públicas, y en el Estado en general, se deban generar procesos de sensibilización, conocimiento, reconocimiento, toma de decisiones y acciones institucionales más articuladas y consistentes con las obligaciones de derechos humanos del país, que respondan de manera adecuada y con enfoques de acuerdo con las particularidades, características y el contexto histórico de cada una de las poblaciones a las que va dirigida. </w:t>
      </w:r>
    </w:p>
    <w:p w:rsidR="00937CFA" w:rsidRPr="0019240D" w:rsidRDefault="00937CFA" w:rsidP="00937CFA">
      <w:pPr>
        <w:spacing w:line="240" w:lineRule="auto"/>
        <w:jc w:val="both"/>
        <w:rPr>
          <w:rFonts w:cs="Arial"/>
        </w:rPr>
      </w:pPr>
      <w:r w:rsidRPr="0019240D">
        <w:rPr>
          <w:rFonts w:cs="Arial"/>
          <w:lang w:eastAsia="es-CR"/>
        </w:rPr>
        <w:t xml:space="preserve">Específicamente, </w:t>
      </w:r>
      <w:r w:rsidRPr="0019240D">
        <w:rPr>
          <w:rFonts w:cs="Arial"/>
        </w:rPr>
        <w:t xml:space="preserve">el Plan de Acción desarrolla las acciones en siete ejes: fortalecimiento institucional; derechos civiles y políticos; derecho a la educación y a la cultura; derecho a la salud y seguridad social; derecho al trabajo y derechos económicos; derecho a una buena calidad y nivel de vida adecuado; y  derecho a un medio ambiente de calidad y a la territorialidad. </w:t>
      </w:r>
    </w:p>
    <w:p w:rsidR="00937CFA" w:rsidRPr="0019240D" w:rsidRDefault="00937CFA" w:rsidP="00937CFA">
      <w:pPr>
        <w:spacing w:line="240" w:lineRule="auto"/>
        <w:jc w:val="both"/>
        <w:rPr>
          <w:rFonts w:cs="Arial"/>
          <w:lang w:eastAsia="es-CR"/>
        </w:rPr>
      </w:pPr>
      <w:r w:rsidRPr="0019240D">
        <w:rPr>
          <w:rFonts w:cs="Arial"/>
          <w:color w:val="000000"/>
          <w:lang w:eastAsia="es-CR"/>
        </w:rPr>
        <w:t>La discriminación y el racismo en algunos casos responde a prácticas heredadas en la cultura nacional que no se han cuestionado y en otras, a omisiones al no reconocer la necesidad de desagregar datos y desarrollar políticas públicas específicas para los diferentes sectores de población. </w:t>
      </w:r>
      <w:r w:rsidRPr="0019240D">
        <w:rPr>
          <w:rFonts w:cs="Arial"/>
          <w:lang w:eastAsia="es-CR"/>
        </w:rPr>
        <w:t xml:space="preserve"> </w:t>
      </w:r>
      <w:r w:rsidRPr="0019240D">
        <w:rPr>
          <w:rFonts w:cs="Arial"/>
          <w:color w:val="000000"/>
          <w:lang w:eastAsia="es-CR"/>
        </w:rPr>
        <w:t xml:space="preserve">La política ha sido un instrumento para crear conciencia sobre esta realidad y fortalecer la acción estatal en la materia. </w:t>
      </w:r>
      <w:r w:rsidRPr="0019240D">
        <w:rPr>
          <w:rFonts w:cs="Arial"/>
          <w:lang w:eastAsia="es-CR"/>
        </w:rPr>
        <w:t>Debemos mencionar que desde antes de la Política, las instituciones ya abordaban estos temas, sin embargo, es con la Política que se articulan las acciones interinstitucionales.</w:t>
      </w:r>
    </w:p>
    <w:p w:rsidR="00937CFA" w:rsidRPr="0019240D" w:rsidRDefault="00937CFA" w:rsidP="00937CFA">
      <w:pPr>
        <w:spacing w:line="240" w:lineRule="auto"/>
        <w:jc w:val="both"/>
        <w:rPr>
          <w:rFonts w:cs="Arial"/>
          <w:color w:val="000000"/>
          <w:lang w:eastAsia="es-CR"/>
        </w:rPr>
      </w:pPr>
      <w:r w:rsidRPr="0019240D">
        <w:rPr>
          <w:rFonts w:cs="Arial"/>
          <w:i/>
          <w:lang w:eastAsia="es-CR"/>
        </w:rPr>
        <w:t>Sobre los</w:t>
      </w:r>
      <w:r w:rsidRPr="0019240D">
        <w:rPr>
          <w:rFonts w:cs="Arial"/>
          <w:b/>
          <w:i/>
          <w:lang w:eastAsia="es-CR"/>
        </w:rPr>
        <w:t xml:space="preserve"> </w:t>
      </w:r>
      <w:proofErr w:type="spellStart"/>
      <w:r w:rsidRPr="0019240D">
        <w:rPr>
          <w:rFonts w:cs="Arial"/>
          <w:b/>
          <w:i/>
          <w:lang w:eastAsia="es-CR"/>
        </w:rPr>
        <w:t>Afrodescendientes</w:t>
      </w:r>
      <w:proofErr w:type="spellEnd"/>
      <w:r w:rsidRPr="0019240D">
        <w:rPr>
          <w:rFonts w:cs="Arial"/>
          <w:b/>
          <w:i/>
          <w:lang w:eastAsia="es-CR"/>
        </w:rPr>
        <w:t xml:space="preserve">, </w:t>
      </w:r>
      <w:r w:rsidRPr="0019240D">
        <w:rPr>
          <w:rFonts w:cs="Arial"/>
          <w:i/>
          <w:lang w:eastAsia="es-CR"/>
        </w:rPr>
        <w:t>me permito indicar como complemento a la información plasmada en el informe, que</w:t>
      </w:r>
      <w:r w:rsidRPr="0019240D">
        <w:rPr>
          <w:rFonts w:cs="Arial"/>
          <w:b/>
          <w:i/>
          <w:lang w:eastAsia="es-CR"/>
        </w:rPr>
        <w:t xml:space="preserve"> </w:t>
      </w:r>
      <w:r w:rsidRPr="0019240D">
        <w:rPr>
          <w:rFonts w:cs="Arial"/>
          <w:color w:val="000000"/>
          <w:lang w:eastAsia="es-CR"/>
        </w:rPr>
        <w:t xml:space="preserve">para el avance en esta materia  ha sido fundamental </w:t>
      </w:r>
      <w:r w:rsidRPr="0019240D">
        <w:rPr>
          <w:rFonts w:cs="Arial"/>
        </w:rPr>
        <w:t xml:space="preserve">el Decreto número 388-35-RE de enero del 2015, que crea el Despacho del Comisionado Presidencial para Asuntos de la </w:t>
      </w:r>
      <w:proofErr w:type="spellStart"/>
      <w:r w:rsidRPr="0019240D">
        <w:rPr>
          <w:rFonts w:cs="Arial"/>
        </w:rPr>
        <w:t>Afrodescendencia</w:t>
      </w:r>
      <w:proofErr w:type="spellEnd"/>
      <w:r w:rsidRPr="0019240D">
        <w:rPr>
          <w:rFonts w:cs="Arial"/>
        </w:rPr>
        <w:t xml:space="preserve"> y el Plan Nacional </w:t>
      </w:r>
      <w:r w:rsidRPr="0019240D">
        <w:rPr>
          <w:rFonts w:cs="Arial"/>
          <w:color w:val="000000"/>
          <w:lang w:eastAsia="es-CR"/>
        </w:rPr>
        <w:t xml:space="preserve">para </w:t>
      </w:r>
      <w:proofErr w:type="spellStart"/>
      <w:r w:rsidRPr="0019240D">
        <w:rPr>
          <w:rFonts w:cs="Arial"/>
          <w:color w:val="000000"/>
          <w:lang w:eastAsia="es-CR"/>
        </w:rPr>
        <w:t>Afrodescendientes</w:t>
      </w:r>
      <w:proofErr w:type="spellEnd"/>
      <w:r w:rsidRPr="0019240D">
        <w:rPr>
          <w:rFonts w:cs="Arial"/>
          <w:color w:val="000000"/>
          <w:lang w:eastAsia="es-CR"/>
        </w:rPr>
        <w:t xml:space="preserve"> 2015-2018, que contempla aspectos que tienen que ver con la </w:t>
      </w:r>
      <w:r w:rsidRPr="0019240D">
        <w:rPr>
          <w:rFonts w:cs="Arial"/>
          <w:color w:val="000000"/>
          <w:lang w:eastAsia="es-CR"/>
        </w:rPr>
        <w:lastRenderedPageBreak/>
        <w:t xml:space="preserve">discriminación estructural y ya ha comenzado a rendir sus primeros frutos, a través de la implementación y desarrollo de acciones públicas y la coordinación interinstitucional para la construcción de una agenda propositiva e inclusiva de la población </w:t>
      </w:r>
      <w:proofErr w:type="spellStart"/>
      <w:r w:rsidRPr="0019240D">
        <w:rPr>
          <w:rFonts w:cs="Arial"/>
          <w:color w:val="000000"/>
          <w:lang w:eastAsia="es-CR"/>
        </w:rPr>
        <w:t>afrodescendiente</w:t>
      </w:r>
      <w:proofErr w:type="spellEnd"/>
      <w:r w:rsidRPr="0019240D">
        <w:rPr>
          <w:rFonts w:cs="Arial"/>
          <w:color w:val="000000"/>
          <w:lang w:eastAsia="es-CR"/>
        </w:rPr>
        <w:t xml:space="preserve">. </w:t>
      </w:r>
    </w:p>
    <w:p w:rsidR="00937CFA" w:rsidRPr="0019240D" w:rsidRDefault="00937CFA" w:rsidP="00E97709">
      <w:pPr>
        <w:pStyle w:val="Heading3"/>
      </w:pPr>
      <w:bookmarkStart w:id="3" w:name="_Toc446126602"/>
      <w:r w:rsidRPr="0019240D">
        <w:t>Migrantes</w:t>
      </w:r>
      <w:bookmarkEnd w:id="3"/>
    </w:p>
    <w:p w:rsidR="00937CFA" w:rsidRPr="0019240D" w:rsidRDefault="00937CFA" w:rsidP="00937CFA">
      <w:pPr>
        <w:spacing w:line="240" w:lineRule="auto"/>
        <w:ind w:right="-238"/>
        <w:jc w:val="both"/>
        <w:rPr>
          <w:rFonts w:cs="Arial"/>
          <w:bCs/>
          <w:iCs/>
        </w:rPr>
      </w:pPr>
      <w:r w:rsidRPr="0019240D">
        <w:rPr>
          <w:rFonts w:cs="Arial"/>
        </w:rPr>
        <w:t>En relación con las poblaciones migrante y refugiadas, como país respetuoso de los derechos humanos, Costa Rica ha dirigido</w:t>
      </w:r>
      <w:r w:rsidRPr="0019240D">
        <w:rPr>
          <w:rFonts w:cs="Arial"/>
          <w:bCs/>
          <w:iCs/>
        </w:rPr>
        <w:t xml:space="preserve"> sus esfuerzos para gestionar los flujos migratorios y procurar una adecuada integración de estas poblaciones y la población nacional. La </w:t>
      </w:r>
      <w:r w:rsidRPr="0019240D">
        <w:rPr>
          <w:rFonts w:cs="Arial"/>
        </w:rPr>
        <w:t xml:space="preserve">Ley General de Migración N° </w:t>
      </w:r>
      <w:r w:rsidRPr="0019240D">
        <w:rPr>
          <w:rFonts w:cs="Arial"/>
          <w:bCs/>
        </w:rPr>
        <w:t xml:space="preserve">8764, que entró en vigencia el 1° de marzo del año 2010, tiene un enfoque humanista e integra los </w:t>
      </w:r>
      <w:r w:rsidRPr="0019240D">
        <w:rPr>
          <w:rFonts w:cs="Arial"/>
          <w:bCs/>
          <w:iCs/>
        </w:rPr>
        <w:t xml:space="preserve">principios de igualdad, equidad, no discriminación e interculturalidad. La Dirección General de Migración y Extranjería tiene una Dirección de Integración y Desarrollo Humano, que es la encargada del desarrollo, implementación y promoción de la política de integración. </w:t>
      </w:r>
      <w:r w:rsidRPr="0019240D">
        <w:rPr>
          <w:color w:val="000000"/>
        </w:rPr>
        <w:t>Su objetivo es dimensionar el impacto de las migraciones en Costa Rica, desde el punto de vista social, económico y cultural, incluyendo en este último el aporte de las personas migrantes al crecimiento productivo del país y  la generación de remesas hacia el exterior.  </w:t>
      </w:r>
    </w:p>
    <w:p w:rsidR="00937CFA" w:rsidRPr="0019240D" w:rsidRDefault="00937CFA" w:rsidP="00937CFA">
      <w:pPr>
        <w:spacing w:line="240" w:lineRule="auto"/>
        <w:jc w:val="both"/>
        <w:rPr>
          <w:color w:val="000000"/>
          <w:lang w:val="es-MX"/>
        </w:rPr>
      </w:pPr>
      <w:r w:rsidRPr="0019240D">
        <w:rPr>
          <w:color w:val="000000"/>
          <w:lang w:val="es-MX"/>
        </w:rPr>
        <w:t xml:space="preserve">Estos principios, no son letra muerta en una ley, sino que se aplican a los casos concretos, aún en situaciones difíciles como aquellas que debe enfrentar un país en desarrollo que es país de origen, pero sobre todo, de tránsito y destino. </w:t>
      </w:r>
    </w:p>
    <w:p w:rsidR="00937CFA" w:rsidRPr="0019240D" w:rsidRDefault="00937CFA" w:rsidP="00937CFA">
      <w:pPr>
        <w:spacing w:line="240" w:lineRule="auto"/>
        <w:jc w:val="both"/>
        <w:rPr>
          <w:b/>
          <w:i/>
          <w:color w:val="000000"/>
        </w:rPr>
      </w:pPr>
      <w:r w:rsidRPr="0019240D">
        <w:rPr>
          <w:color w:val="000000"/>
        </w:rPr>
        <w:t xml:space="preserve"> </w:t>
      </w:r>
      <w:r w:rsidRPr="0019240D">
        <w:rPr>
          <w:i/>
          <w:color w:val="000000"/>
        </w:rPr>
        <w:t>Permítanme referirme al</w:t>
      </w:r>
      <w:r w:rsidRPr="0019240D">
        <w:rPr>
          <w:b/>
          <w:i/>
          <w:color w:val="000000"/>
        </w:rPr>
        <w:t xml:space="preserve"> caso de los migrantes cubanos.</w:t>
      </w:r>
    </w:p>
    <w:p w:rsidR="00937CFA" w:rsidRPr="0019240D" w:rsidRDefault="00937CFA" w:rsidP="00937CFA">
      <w:pPr>
        <w:spacing w:line="240" w:lineRule="auto"/>
        <w:jc w:val="both"/>
        <w:rPr>
          <w:color w:val="000000"/>
        </w:rPr>
      </w:pPr>
      <w:r w:rsidRPr="0019240D">
        <w:rPr>
          <w:color w:val="000000"/>
        </w:rPr>
        <w:t xml:space="preserve">En noviembre pasado el país desarticuló una red dedicada al tráfico de personas.  Esta detención reveló una dolorosa realidad del drama humano de miles de personas que cruzaban a diario el territorio nacional. El país decidió emitir una visa temporal en tránsito para asegurar su movilidad segura y ordenada por Costa Rica, pero un número importante de ellas, de nacionalidad cubana, no pudo continuar su camino ante la decisión de un vecino país de cerrar sus fronteras y expulsar de su territorio con el uso de la fuerza a cientos de estos migrantes, cuyo objetivo es llegar a los Estados Unidos y ser beneficiaria de las normativas migratorias que este país tiene en vigencia desde hace más de 25 años. </w:t>
      </w:r>
    </w:p>
    <w:p w:rsidR="00937CFA" w:rsidRPr="0019240D" w:rsidRDefault="00937CFA" w:rsidP="00937CFA">
      <w:pPr>
        <w:spacing w:line="240" w:lineRule="auto"/>
        <w:jc w:val="both"/>
        <w:rPr>
          <w:color w:val="000000"/>
        </w:rPr>
      </w:pPr>
      <w:r w:rsidRPr="0019240D">
        <w:rPr>
          <w:color w:val="000000"/>
        </w:rPr>
        <w:t>Conforme pasaban los días, el número de ciudadanos cubanos atascados en nuestro país fue creciendo, hombres, mujeres, niños de todas las edades, adultos mayores y personas con discapacidad habían  enfrentado el riesgo de cruzar varios países del sur y llegar a Costa Rica, donde su travesía se interrumpía.  El país, con sus propios recursos inicialmente y luego con donaciones limitadas, asumió dos compromisos consecuentes con sus políticas de derechos humanos</w:t>
      </w:r>
      <w:r w:rsidRPr="0019240D">
        <w:rPr>
          <w:color w:val="000000"/>
          <w:lang w:val="es-CR"/>
        </w:rPr>
        <w:t>:</w:t>
      </w:r>
      <w:r w:rsidRPr="0019240D">
        <w:rPr>
          <w:color w:val="000000"/>
        </w:rPr>
        <w:t xml:space="preserve"> asegurar la manutención y el trato humanitario para estos miles de cubanos, en tanto la gestión diplomática de la Cancillería se ponía en toda la dinámica para buscar una salida a este problema. Se atendieron 7812 personas migrantes que se encontraban alojados en 44 albergues a lo largo y ancho del territorio nacional.</w:t>
      </w:r>
    </w:p>
    <w:p w:rsidR="00937CFA" w:rsidRPr="0019240D" w:rsidRDefault="00937CFA" w:rsidP="00937CFA">
      <w:pPr>
        <w:spacing w:line="240" w:lineRule="auto"/>
        <w:jc w:val="both"/>
        <w:rPr>
          <w:color w:val="000000"/>
        </w:rPr>
      </w:pPr>
      <w:r w:rsidRPr="0019240D">
        <w:rPr>
          <w:color w:val="000000"/>
        </w:rPr>
        <w:t xml:space="preserve">Entre tanto, el país buscaba soluciones diplomáticas con diversos países de la región pero no había, en estos primeros estadios, la voluntad política para abordar el tema, lo que lleva al señor Presidente de la República, Luis Guillermo Solís, a anunciar el retiro temporal en la participación de los órganos políticos del Sistema de Integración Centroamericana y anunciar posteriormente que el país también cerraba sus fronteras a los migrantes cubanos ante la incapacidad del país de dar una respuesta humanitaria adecuada. </w:t>
      </w:r>
    </w:p>
    <w:p w:rsidR="00937CFA" w:rsidRPr="0019240D" w:rsidRDefault="00937CFA" w:rsidP="00937CFA">
      <w:pPr>
        <w:spacing w:line="240" w:lineRule="auto"/>
        <w:jc w:val="both"/>
        <w:rPr>
          <w:color w:val="000000"/>
        </w:rPr>
      </w:pPr>
      <w:r w:rsidRPr="0019240D">
        <w:rPr>
          <w:color w:val="000000"/>
        </w:rPr>
        <w:t>Conforme avanzaron las semanas se fue  acordando el establecimiento de pasos de tránsito, inicialmente con vuelos a El Salvador y ruta terrestre por Guatemala y México y en los dos últimos meses, con vuelos directos a México, lo que permitió movilizar  un total de 4817 personas.  El resto de la lista con visa de tránsito, lamentablemente decidieron seguir a pesar de todos los peligros con la ayuda de coyotes ( traficantes de personas ).</w:t>
      </w:r>
    </w:p>
    <w:p w:rsidR="00937CFA" w:rsidRPr="0019240D" w:rsidRDefault="00937CFA" w:rsidP="00937CFA">
      <w:pPr>
        <w:spacing w:line="240" w:lineRule="auto"/>
        <w:jc w:val="both"/>
        <w:rPr>
          <w:color w:val="000000"/>
        </w:rPr>
      </w:pPr>
      <w:r w:rsidRPr="0019240D">
        <w:rPr>
          <w:color w:val="000000"/>
        </w:rPr>
        <w:lastRenderedPageBreak/>
        <w:t>El día de hoy 15 de marzo el país puede anunciar al mundo que ha concluido con éxito una operación casi única en la cual un país facilita, con la cooperación de otros gobiernos, el tránsito seguro y ordenado de una migración económica.  Hoy miles de migrantes cubanos ya están en territorio de los Estados Unidos acogidos a la existencia de normas que facilitan su ingreso incondicional a ese país. Costa Rica reafirma su compromiso en la definición de políticas  para los migrantes que no solo garanticen su propia seguridad, en un marco de migraciones seguras y ordenadas, sino que consoliden una lucha directa contra las redes de personas, uno de los negocios ilícitos más lucrativos del mundo.</w:t>
      </w:r>
    </w:p>
    <w:p w:rsidR="00937CFA" w:rsidRPr="0019240D" w:rsidRDefault="00937CFA" w:rsidP="00E97709">
      <w:pPr>
        <w:pStyle w:val="Heading3"/>
        <w:rPr>
          <w:lang w:val="es-CR"/>
        </w:rPr>
      </w:pPr>
      <w:bookmarkStart w:id="4" w:name="_Toc446126603"/>
      <w:r w:rsidRPr="0019240D">
        <w:t>Pueblos Indígenas y el proceso de  consulta</w:t>
      </w:r>
      <w:bookmarkEnd w:id="4"/>
    </w:p>
    <w:p w:rsidR="00937CFA" w:rsidRPr="0019240D" w:rsidRDefault="00937CFA" w:rsidP="00937CFA">
      <w:pPr>
        <w:spacing w:line="240" w:lineRule="auto"/>
        <w:jc w:val="both"/>
      </w:pPr>
      <w:r w:rsidRPr="0019240D">
        <w:t xml:space="preserve">El Estado costarricense realiza una atención prioritaria, coordinada y sistemática con miras a proteger los derechos de los pueblos indígenas. Este trabajo tiene un enfoque de derechos humanos, de respeto a sus cosmovisiones,  tradiciones y costumbres, así como de pleno acatamiento a los instrumentos de derechos humanos con los que el país se ha comprometido a cumplir, incluyendo el </w:t>
      </w:r>
      <w:r w:rsidRPr="0019240D">
        <w:rPr>
          <w:iCs/>
          <w:lang w:val="es-CR"/>
        </w:rPr>
        <w:t>Convenio 169 sobre Pueblos Indígenas y Tribales en Países Independientes de la OIT y la  Declaración de las Naciones Unidas sobre los derechos de los pueblos indígenas.</w:t>
      </w:r>
    </w:p>
    <w:p w:rsidR="00937CFA" w:rsidRPr="0019240D" w:rsidRDefault="00937CFA" w:rsidP="00937CFA">
      <w:pPr>
        <w:spacing w:line="240" w:lineRule="auto"/>
        <w:jc w:val="both"/>
      </w:pPr>
      <w:r w:rsidRPr="0019240D">
        <w:t xml:space="preserve">Para atender la situación de los pueblos indígenas, el Gobierno ha designado al Despacho del </w:t>
      </w:r>
      <w:proofErr w:type="spellStart"/>
      <w:r w:rsidRPr="0019240D">
        <w:t>Viceministerio</w:t>
      </w:r>
      <w:proofErr w:type="spellEnd"/>
      <w:r w:rsidRPr="0019240D">
        <w:t xml:space="preserve"> de la Presidencia en Asuntos Políticos y Diálogo Ciudadano y ha encargado a un asesor indígena de la etnia </w:t>
      </w:r>
      <w:proofErr w:type="spellStart"/>
      <w:r w:rsidRPr="0019240D">
        <w:t>maleku</w:t>
      </w:r>
      <w:proofErr w:type="spellEnd"/>
      <w:r w:rsidRPr="0019240D">
        <w:t xml:space="preserve"> el seguimiento de las acciones y la coordinación del trabajo con los pueblos indígenas. Personal de este despacho ha visitado personalmente a cerca de 20 territorios indígenas con quienes se han desarrollado múltiples reuniones para atender diversos temas que los pueblos indígenas plantean.</w:t>
      </w:r>
    </w:p>
    <w:p w:rsidR="00937CFA" w:rsidRPr="0019240D" w:rsidRDefault="00937CFA" w:rsidP="00937CFA">
      <w:pPr>
        <w:spacing w:line="240" w:lineRule="auto"/>
        <w:jc w:val="both"/>
      </w:pPr>
      <w:r w:rsidRPr="0019240D">
        <w:t xml:space="preserve">En la visión que se impulsa, un factor esencial en la implementación de los derechos lo constituye la construcción conjunta de propuestas con los pueblos indígenas. Las acciones que el Gobierno desarrolla para atender las demandas indígenas son fruto del acuerdo con sus instituciones representativas. </w:t>
      </w:r>
    </w:p>
    <w:p w:rsidR="00937CFA" w:rsidRPr="0019240D" w:rsidRDefault="00937CFA" w:rsidP="00937CFA">
      <w:pPr>
        <w:spacing w:line="240" w:lineRule="auto"/>
        <w:jc w:val="both"/>
      </w:pPr>
      <w:r w:rsidRPr="0019240D">
        <w:t>No obstante, se han enfrentado algunos retos importantes, pues Costa Rica ha carecido históricamente de un mecanismo o protocolo para aplicar las disposiciones sobre el deber de celebrar consultas con los pueblos indígenas, y se ha acudido a procedimientos de consultas ad hoc con niveles desiguales de éxito. Algunos de los factores que han incidido en esos retos, son dificultades estructurales en el tema de representación indígena, dado que ninguno de los mecanismos más amplios que existen en el país son reconocidos como representativos por los distintos pueblos indígenas. Esta situación ha implicado también problemas de interlocución entre las instituciones estatales y los pueblos indígenas, en particular cuando se trata de asuntos de interés general de todos los pueblos indígenas representados en el país.</w:t>
      </w:r>
    </w:p>
    <w:p w:rsidR="00937CFA" w:rsidRPr="0019240D" w:rsidRDefault="00937CFA" w:rsidP="00937CFA">
      <w:pPr>
        <w:spacing w:line="240" w:lineRule="auto"/>
        <w:jc w:val="both"/>
      </w:pPr>
      <w:r w:rsidRPr="0019240D">
        <w:rPr>
          <w:iCs/>
          <w:lang w:val="es-CR"/>
        </w:rPr>
        <w:t>El gobierno entiende que para superar esta situación, debe desarrollarse un proceso, que incluye también la creación de capacidades en los pueblos indígenas. En consecuencia, se ha iniciado un proceso de diálogo y de formulación de un mecanismo de consulta a los pueblos indígenas de las medidas legislativas y administrativas que les afecten. Este proceso incorporó las recomendaciones del anterior Relator Especial James Anaya, que visitó el país en varias ocasiones y</w:t>
      </w:r>
      <w:r w:rsidRPr="0019240D">
        <w:t xml:space="preserve"> ha sido acompañado por el Sistema de Naciones Unidas en el país, el Instituto de Derechos Humanos y la Defensoría de los Habitantes de la República en su calidad de observadora.  </w:t>
      </w:r>
    </w:p>
    <w:p w:rsidR="00937CFA" w:rsidRPr="0019240D" w:rsidRDefault="00937CFA" w:rsidP="00937CFA">
      <w:pPr>
        <w:spacing w:line="240" w:lineRule="auto"/>
        <w:jc w:val="both"/>
        <w:rPr>
          <w:color w:val="000000"/>
          <w:lang w:val="es-MX"/>
        </w:rPr>
      </w:pPr>
      <w:r w:rsidRPr="0019240D">
        <w:rPr>
          <w:color w:val="000000"/>
          <w:lang w:val="es-MX"/>
        </w:rPr>
        <w:t xml:space="preserve">Me complace mencionar que durante la sesión inaugural de la 31° Sesión del Consejo de Derechos Humanos, la Administradora General del programa de las Naciones Unidas para el Desarrollo, Helen Clark, mencionó a Costa Rica como ejemplo positivo de la colaboración de los Estados miembros con el Sistema Universal de Derechos Humanos. Apuntó el apoyo que el PNUD ha brindado al establecimiento de este mecanismo intercultural de diálogo entre el gobierno y los líderes de los pueblos indígenas, reconociendo </w:t>
      </w:r>
      <w:r w:rsidRPr="0019240D">
        <w:rPr>
          <w:color w:val="000000"/>
          <w:lang w:val="es-MX"/>
        </w:rPr>
        <w:lastRenderedPageBreak/>
        <w:t>que el gobierno abre espacios para la participación ciudadana en la definición de políticas públicas sobre temas trascendentales para el desarrollo de Costa Rica. Nos enorgullece el reconocimiento y apoyo de la comunicad internacional y, sobre todo, la obtención de resultados tangibles que son tomados como ejemplo a nivel mundial.</w:t>
      </w:r>
    </w:p>
    <w:p w:rsidR="00937CFA" w:rsidRPr="0019240D" w:rsidRDefault="00937CFA" w:rsidP="00937CFA">
      <w:pPr>
        <w:spacing w:line="240" w:lineRule="auto"/>
        <w:jc w:val="both"/>
        <w:rPr>
          <w:color w:val="000000"/>
          <w:lang w:val="es-US"/>
        </w:rPr>
      </w:pPr>
      <w:r w:rsidRPr="0019240D">
        <w:rPr>
          <w:iCs/>
          <w:lang w:val="es-CR"/>
        </w:rPr>
        <w:t xml:space="preserve">En ese sentido, informo con agrado que tan sólo hace dos días, el 14 de marzo, fue publicada la Directriz Presidencial </w:t>
      </w:r>
      <w:r w:rsidRPr="0019240D">
        <w:rPr>
          <w:color w:val="000000"/>
          <w:lang w:val="es-US"/>
        </w:rPr>
        <w:t xml:space="preserve">N° 042-MP, </w:t>
      </w:r>
      <w:r w:rsidRPr="0019240D">
        <w:rPr>
          <w:iCs/>
          <w:lang w:val="es-CR"/>
        </w:rPr>
        <w:t xml:space="preserve">dirigida al sector público, para la “CONSTRUCCION DEL MECANISMO DE CONSULTA A PUEBLOS INDÍGENAS”. En la directriz se señala la obligación de consultar a los pueblos indígenas </w:t>
      </w:r>
      <w:r w:rsidRPr="0019240D">
        <w:rPr>
          <w:color w:val="000000"/>
          <w:lang w:val="es-US"/>
        </w:rPr>
        <w:t>de forma libre, previa e informada, mediante procedimientos apropiados y a través de sus instituciones representativas, cada vez que se prevean medidas susceptibles de afectarles directamente.  Se establece, además, la autoridad pública a cargo del proceso, se ordena a las instituciones incorporarse en el proceso y se crea una Comisión Interinstitucional. Se regula también la forma en que se realizará la convocatoria a los pueblos indígenas, pública y de amplio alcance y tomando en cuenta la diversidad lingüística en cada pueblo y factores geográficos</w:t>
      </w:r>
      <w:r w:rsidRPr="0019240D">
        <w:rPr>
          <w:color w:val="000000"/>
          <w:lang w:val="es-CR"/>
        </w:rPr>
        <w:t>; as</w:t>
      </w:r>
      <w:r w:rsidRPr="0019240D">
        <w:rPr>
          <w:color w:val="000000"/>
          <w:lang w:val="es-ES_tradnl"/>
        </w:rPr>
        <w:t>í como</w:t>
      </w:r>
      <w:r w:rsidRPr="0019240D">
        <w:rPr>
          <w:color w:val="000000"/>
          <w:lang w:val="es-US"/>
        </w:rPr>
        <w:t xml:space="preserve"> los principios rectores del proceso, la garantía de  suministro de información detallada y completa y las disposiciones para registrarse en el proceso. Se establece que la metodología será definida en conjunto con los pueblos indígenas y que se incluirán acciones afirmativas con miras a garantizar la participación efectiva de las mujeres, las personas jóvenes, las personas con discapacidad y los adultos mayores. Finalmente, esta directriz establece los objetivos de los primeros encuentros territoriales e indica que las etapas posteriores del proceso se acordarán en conjunto con los pueblos indígenas.</w:t>
      </w:r>
    </w:p>
    <w:p w:rsidR="00937CFA" w:rsidRPr="0019240D" w:rsidRDefault="00937CFA" w:rsidP="00937CFA">
      <w:pPr>
        <w:spacing w:line="240" w:lineRule="auto"/>
        <w:ind w:right="-238"/>
        <w:jc w:val="both"/>
        <w:rPr>
          <w:rFonts w:cs="Tahoma"/>
        </w:rPr>
      </w:pPr>
      <w:r w:rsidRPr="0019240D">
        <w:rPr>
          <w:rFonts w:cs="Tahoma"/>
          <w:bCs/>
          <w:iCs/>
        </w:rPr>
        <w:t xml:space="preserve">Adicionalmente, informo que en </w:t>
      </w:r>
      <w:r w:rsidRPr="0019240D">
        <w:rPr>
          <w:rFonts w:cs="Tahoma"/>
        </w:rPr>
        <w:t xml:space="preserve">este momento, se está gestionando además, una consulta específica  relacionada a la administración del acueducto del territorio indígena de </w:t>
      </w:r>
      <w:proofErr w:type="spellStart"/>
      <w:r w:rsidRPr="0019240D">
        <w:rPr>
          <w:rFonts w:cs="Tahoma"/>
        </w:rPr>
        <w:t>Térraba</w:t>
      </w:r>
      <w:proofErr w:type="spellEnd"/>
      <w:r w:rsidRPr="0019240D">
        <w:rPr>
          <w:rFonts w:cs="Tahoma"/>
        </w:rPr>
        <w:t xml:space="preserve">, implementada por el Instituto Costarricense de Acueductos y Alcantarillados en el sur del país y que deberá definir el tipo de administración del acueducto según lo que los habitantes del territorio indígena determinen. Recientemente, el Tribunal Supremo de Elecciones ha terminado de depurar el padrón de personas indígenas en ese territorio y se estima que en aproximadamente dos meses inicie el proceso con los talleres comunitarios en esta materia. </w:t>
      </w:r>
    </w:p>
    <w:p w:rsidR="00937CFA" w:rsidRPr="0019240D" w:rsidRDefault="00EF2326" w:rsidP="00E97709">
      <w:pPr>
        <w:pStyle w:val="Heading3"/>
      </w:pPr>
      <w:bookmarkStart w:id="5" w:name="_Toc446126604"/>
      <w:r>
        <w:t>Sistema Penitenciario</w:t>
      </w:r>
      <w:bookmarkEnd w:id="5"/>
      <w:r>
        <w:t xml:space="preserve"> </w:t>
      </w:r>
    </w:p>
    <w:p w:rsidR="00937CFA" w:rsidRPr="0019240D" w:rsidRDefault="00937CFA" w:rsidP="00937CFA">
      <w:pPr>
        <w:spacing w:line="240" w:lineRule="auto"/>
        <w:jc w:val="both"/>
        <w:rPr>
          <w:rFonts w:cs="Arial"/>
          <w:noProof/>
          <w:lang w:eastAsia="es-CR"/>
        </w:rPr>
      </w:pPr>
      <w:r w:rsidRPr="0019240D">
        <w:rPr>
          <w:rFonts w:cs="Arial"/>
          <w:noProof/>
          <w:lang w:eastAsia="es-CR"/>
        </w:rPr>
        <w:t xml:space="preserve">Respecto  de los derechos humanos de las personas privadas de libertad, el gobierno de la República ha otorgado una alta prioridad al tema y se han realizado modificaciones estructurales para el mejoramiento de las condiciones de cumplimiento de la pena. </w:t>
      </w:r>
    </w:p>
    <w:p w:rsidR="00937CFA" w:rsidRPr="0019240D" w:rsidRDefault="00937CFA" w:rsidP="00937CFA">
      <w:pPr>
        <w:spacing w:line="240" w:lineRule="auto"/>
        <w:jc w:val="both"/>
        <w:rPr>
          <w:rFonts w:cs="Arial"/>
          <w:noProof/>
          <w:lang w:eastAsia="es-CR"/>
        </w:rPr>
      </w:pPr>
      <w:r w:rsidRPr="0019240D">
        <w:rPr>
          <w:rFonts w:cs="Arial"/>
          <w:noProof/>
          <w:lang w:eastAsia="es-CR"/>
        </w:rPr>
        <w:t>Es importante indicar  que el Plan Nacional de Desarrollo de la República de Costa Rica 2015-2018, menciona que “Disminuir el hacinamiento penitenciario” es un objetivo estratégico del sector seguridad ciudadana y justicia, y se establece la meta de reducir al 20% el hacinamiento en centros penitenciarios.</w:t>
      </w:r>
    </w:p>
    <w:p w:rsidR="00937CFA" w:rsidRPr="0019240D" w:rsidRDefault="00937CFA" w:rsidP="00937CFA">
      <w:pPr>
        <w:spacing w:line="240" w:lineRule="auto"/>
        <w:jc w:val="both"/>
        <w:rPr>
          <w:rFonts w:cs="Tahoma"/>
          <w:lang w:eastAsia="es-CR"/>
        </w:rPr>
      </w:pPr>
      <w:r w:rsidRPr="0019240D">
        <w:rPr>
          <w:rFonts w:cs="Arial"/>
          <w:noProof/>
          <w:lang w:eastAsia="es-CR"/>
        </w:rPr>
        <w:t xml:space="preserve">Sobre las medidas y penas alternativas a la privación de libertad, se han emitido una serie de circulares, la última la número 2-2016, que recién entró en vigencia. En estas circulares del Instituto Nacional de Criminología, </w:t>
      </w:r>
      <w:r w:rsidRPr="0019240D">
        <w:rPr>
          <w:rFonts w:cs="Tahoma"/>
          <w:lang w:eastAsia="es-CR"/>
        </w:rPr>
        <w:t xml:space="preserve">se ordena la redistribución de la población privada de libertad en el Programa </w:t>
      </w:r>
      <w:proofErr w:type="spellStart"/>
      <w:r w:rsidRPr="0019240D">
        <w:rPr>
          <w:rFonts w:cs="Tahoma"/>
          <w:lang w:eastAsia="es-CR"/>
        </w:rPr>
        <w:t>semi</w:t>
      </w:r>
      <w:proofErr w:type="spellEnd"/>
      <w:r w:rsidRPr="0019240D">
        <w:rPr>
          <w:rFonts w:cs="Tahoma"/>
          <w:lang w:eastAsia="es-CR"/>
        </w:rPr>
        <w:t>-institucional para reducir el problema de hacinamiento crítico y asegurar el respeto a los Derechos Fundamentales de las personas privadas de libertad.</w:t>
      </w:r>
    </w:p>
    <w:p w:rsidR="00937CFA" w:rsidRPr="0019240D" w:rsidRDefault="00937CFA" w:rsidP="00937CFA">
      <w:pPr>
        <w:spacing w:line="240" w:lineRule="auto"/>
        <w:jc w:val="both"/>
        <w:rPr>
          <w:rFonts w:cs="Arial"/>
          <w:noProof/>
          <w:lang w:eastAsia="es-CR"/>
        </w:rPr>
      </w:pPr>
      <w:r w:rsidRPr="0019240D">
        <w:rPr>
          <w:rFonts w:cs="Arial"/>
          <w:noProof/>
          <w:lang w:eastAsia="es-CR"/>
        </w:rPr>
        <w:t xml:space="preserve">Los directores de los Centros del programa de atención institucional, indicarían las  personas que podrían ser consideradas para ser ubicadas en el programa de atención semi-institucional, haciendo constar -de conformidad con la información que existe en los expedientes del centro y en el sistema de información de la administración penitenciaria-, que las personas privadas de libertad cumplen ciertos requisitos, </w:t>
      </w:r>
      <w:r w:rsidRPr="0019240D">
        <w:rPr>
          <w:rFonts w:cs="Arial"/>
          <w:noProof/>
          <w:lang w:eastAsia="es-CR"/>
        </w:rPr>
        <w:lastRenderedPageBreak/>
        <w:t xml:space="preserve">como por ejemplo, que sean personas de baja o mínima contención con adecuadas relaciones convivenciales y sin sanciones disciplinarias durante el último año, entre otros. </w:t>
      </w:r>
    </w:p>
    <w:p w:rsidR="00937CFA" w:rsidRPr="0019240D" w:rsidRDefault="00937CFA" w:rsidP="00937CFA">
      <w:pPr>
        <w:spacing w:line="240" w:lineRule="auto"/>
        <w:jc w:val="both"/>
        <w:rPr>
          <w:rFonts w:cs="Arial"/>
          <w:noProof/>
          <w:lang w:eastAsia="es-CR"/>
        </w:rPr>
      </w:pPr>
      <w:r w:rsidRPr="0019240D">
        <w:rPr>
          <w:rFonts w:cs="Arial"/>
          <w:noProof/>
          <w:lang w:eastAsia="es-CR"/>
        </w:rPr>
        <w:t xml:space="preserve">La </w:t>
      </w:r>
      <w:r w:rsidRPr="0019240D">
        <w:rPr>
          <w:rFonts w:cs="Arial"/>
          <w:noProof/>
          <w:lang w:val="es-ES_tradnl" w:eastAsia="es-CR"/>
        </w:rPr>
        <w:t xml:space="preserve">ultima </w:t>
      </w:r>
      <w:r w:rsidRPr="0019240D">
        <w:rPr>
          <w:rFonts w:cs="Arial"/>
          <w:noProof/>
          <w:lang w:eastAsia="es-CR"/>
        </w:rPr>
        <w:t xml:space="preserve">circular vigente introduce además otros conceptos novedosos y se permite que, incluso desde el momento de su ingreso, sean valoradas de manera extraordinaria las personas privadas de libertad sentenciadas a penas de prisión, quienes (tomándoles en cuenta los descuentos) cumplan su pena en siete años o menos; tambien aquellas personas que no cumplan su condena dentro de ese plazo, podrán ser valoradas extraordinariamente si ya han superado el tercio de la pena (sin tomar en cuenta los descuentos). En estos casos, se debe acreditar que al momento en que recae la sentencia condenatoria, la persona privada de libertad reúne condiciones que le permitan desenvolverse en el Programa Semi-Institucional, entre ellas: hábitos ocupacionales, deseos de superación, conducta adecuada mientras se mantuvo en libertad desde la fecha del delito hasta el momento de la firmeza de la sentencia, así como comprehensión de las condiciones sociales y personales que le llevaron a prisión. </w:t>
      </w:r>
    </w:p>
    <w:p w:rsidR="00937CFA" w:rsidRPr="0019240D" w:rsidRDefault="00937CFA" w:rsidP="00937CFA">
      <w:pPr>
        <w:spacing w:line="240" w:lineRule="auto"/>
        <w:jc w:val="both"/>
        <w:rPr>
          <w:rFonts w:cs="Arial"/>
          <w:noProof/>
          <w:lang w:eastAsia="es-CR"/>
        </w:rPr>
      </w:pPr>
      <w:r w:rsidRPr="0019240D">
        <w:rPr>
          <w:rFonts w:cs="Arial"/>
          <w:noProof/>
          <w:lang w:eastAsia="es-CR"/>
        </w:rPr>
        <w:t>No se aplican estas medidas a las personas  que figuren, como imputadas en alguna causa penal pendiente o sentenciadas a prisión, por conductas delictivas asociadas al crimen organizado, tráfico internacional de drogas, tráfico ilícito de órganos, trata de personas, tráfico internacional de armas de fuego y material nuclear, legitimación de capitales, terrorismo, homicidios simples o calificados, violencia sexual calificada, agravada o contra personas menores de edad, aquellos casos de violencia intrafamiliar en los que se hubiese atentado contra la vida de la víctima, y los siguientes delitos contra la función pública: cohecho propio, corrupción agravada, corrupción de jueces, malversación, concusión, prevaricato y peculado”.</w:t>
      </w:r>
    </w:p>
    <w:p w:rsidR="00937CFA" w:rsidRPr="0019240D" w:rsidRDefault="00937CFA" w:rsidP="00937CFA">
      <w:pPr>
        <w:spacing w:line="240" w:lineRule="auto"/>
        <w:jc w:val="both"/>
        <w:rPr>
          <w:rFonts w:cs="Arial"/>
          <w:noProof/>
          <w:lang w:eastAsia="es-CR"/>
        </w:rPr>
      </w:pPr>
      <w:r w:rsidRPr="0019240D">
        <w:rPr>
          <w:rFonts w:cs="Arial"/>
          <w:noProof/>
          <w:lang w:eastAsia="es-CR"/>
        </w:rPr>
        <w:t>El impacto inicial de estas medidas, permitió reducir el hacinamiento penitenciario, de 55% en el segundo semestre del 2014, al 45% de hacinamiento actual, sin contar aún con nuevos espacios de dormitorio para la reclusión.</w:t>
      </w:r>
    </w:p>
    <w:p w:rsidR="00937CFA" w:rsidRPr="0019240D" w:rsidRDefault="00937CFA" w:rsidP="00937CFA">
      <w:pPr>
        <w:spacing w:before="120" w:after="120" w:line="240" w:lineRule="auto"/>
        <w:jc w:val="both"/>
        <w:rPr>
          <w:rFonts w:cs="Arial"/>
          <w:noProof/>
          <w:lang w:val="es-ES_tradnl" w:eastAsia="es-CR"/>
        </w:rPr>
      </w:pPr>
      <w:r w:rsidRPr="0019240D">
        <w:rPr>
          <w:rFonts w:cs="Arial"/>
          <w:noProof/>
          <w:lang w:eastAsia="es-CR"/>
        </w:rPr>
        <w:t>En esa visión respetuosa de los derechos humanos que el gobierno ha venido impulsando, se considera que la construcción de más centros penitenciarios no es una solución exitosa a largo plazo para reducir la sobrepoblación. Se requiere de una estrategia integral para asegurar que el encarcelamiento sea utilizado como último recurso y no como primera y principal solución</w:t>
      </w:r>
      <w:r w:rsidRPr="0019240D">
        <w:rPr>
          <w:rFonts w:cs="Arial"/>
          <w:noProof/>
          <w:lang w:val="es-CR" w:eastAsia="es-CR"/>
        </w:rPr>
        <w:t>;</w:t>
      </w:r>
      <w:r w:rsidRPr="0019240D">
        <w:rPr>
          <w:rFonts w:cs="Arial"/>
          <w:noProof/>
          <w:lang w:eastAsia="es-CR"/>
        </w:rPr>
        <w:t xml:space="preserve"> incluída la prisión preventiva que, de acuerdo con nuestra normativa procesal penal (artículos 238 y 239) debe aplicarse </w:t>
      </w:r>
      <w:r w:rsidRPr="0019240D">
        <w:rPr>
          <w:rFonts w:cs="Arial"/>
          <w:noProof/>
          <w:lang w:val="es-ES_tradnl" w:eastAsia="es-CR"/>
        </w:rPr>
        <w:t xml:space="preserve">únicamente bajo criterios estrictos (resolución fundada en los límits indispensables para asegurar el descubrimiento de la verdad y la actuación de la ley y cuando concurran las circunstancias que se establecen expresamente). </w:t>
      </w:r>
      <w:r w:rsidRPr="0019240D">
        <w:rPr>
          <w:rFonts w:cs="Arial"/>
          <w:noProof/>
          <w:lang w:eastAsia="es-CR"/>
        </w:rPr>
        <w:t xml:space="preserve">Esto implica promover un uso prudente de la justicia penal y de la prisión  y el debido involucramiento de todos los sectores públicos, privados y de la sociedad a todos los niveles. Las estrategias deben ser sostenibles, permitir la reinserción social y que contribuyan a la prevención de la reincidencia. Es necesario aplicar medidas de prevención del delito e invertir en educación. </w:t>
      </w:r>
    </w:p>
    <w:p w:rsidR="00937CFA" w:rsidRPr="0019240D" w:rsidRDefault="00937CFA" w:rsidP="00937CFA">
      <w:pPr>
        <w:spacing w:line="240" w:lineRule="auto"/>
        <w:jc w:val="both"/>
        <w:rPr>
          <w:rFonts w:cs="Arial"/>
          <w:noProof/>
          <w:lang w:eastAsia="es-CR"/>
        </w:rPr>
      </w:pPr>
      <w:r w:rsidRPr="0019240D">
        <w:rPr>
          <w:rFonts w:cs="Arial"/>
          <w:noProof/>
          <w:lang w:eastAsia="es-CR"/>
        </w:rPr>
        <w:t xml:space="preserve">Sin embargo, siendo este un proceso que toma su tiempo, y que frecuentemente enfrenta oposición de sectores políticos y de la sociedad, como los hemos enfrentado ya con las medidas adoptadas, se deben atender las necesidades inmediatas de las personas privadas de libertad. En ese sentido, informamos que  la construcción de centros penitenciarios para la atención integral al privado de libertad, empezarán la fase de implementación en 2016, después de haber concluido las fases de viabilidad y tramitología. </w:t>
      </w:r>
    </w:p>
    <w:p w:rsidR="00937CFA" w:rsidRPr="0019240D" w:rsidRDefault="00937CFA" w:rsidP="00937CFA">
      <w:pPr>
        <w:spacing w:line="240" w:lineRule="auto"/>
        <w:jc w:val="both"/>
        <w:rPr>
          <w:color w:val="000000"/>
          <w:lang w:val="es-MX"/>
        </w:rPr>
      </w:pPr>
      <w:r w:rsidRPr="0019240D">
        <w:rPr>
          <w:color w:val="000000"/>
          <w:lang w:val="es-MX"/>
        </w:rPr>
        <w:t xml:space="preserve">Queremos destacar que el mes pasado, el país recibió la visita del Comisionado James </w:t>
      </w:r>
      <w:proofErr w:type="spellStart"/>
      <w:r w:rsidRPr="0019240D">
        <w:rPr>
          <w:color w:val="000000"/>
          <w:lang w:val="es-MX"/>
        </w:rPr>
        <w:t>Cavallaro</w:t>
      </w:r>
      <w:proofErr w:type="spellEnd"/>
      <w:r w:rsidRPr="0019240D">
        <w:rPr>
          <w:color w:val="000000"/>
          <w:lang w:val="es-MX"/>
        </w:rPr>
        <w:t xml:space="preserve">, Relator sobre los Derechos de las Personas Privadas de Libertad de la Comisión Interamericana de Derechos Humanos, con quien se ha mantenido un diálogo permanente, y una agenda constructiva. El Comisionado reconoció el esfuerzo que el gobierno costarricense ha venido realizando en el sistema penitenciario, </w:t>
      </w:r>
      <w:r w:rsidRPr="0019240D">
        <w:rPr>
          <w:color w:val="000000"/>
          <w:lang w:val="es-MX"/>
        </w:rPr>
        <w:lastRenderedPageBreak/>
        <w:t xml:space="preserve">consciente  que no es un tema fácil de abordar y el cual encuentra resistencia interna de diversos sectores. </w:t>
      </w:r>
    </w:p>
    <w:p w:rsidR="00937CFA" w:rsidRPr="0019240D" w:rsidRDefault="00621D9F" w:rsidP="00E97709">
      <w:pPr>
        <w:pStyle w:val="Heading3"/>
      </w:pPr>
      <w:bookmarkStart w:id="6" w:name="_Toc446126605"/>
      <w:r>
        <w:t>O</w:t>
      </w:r>
      <w:r w:rsidR="00EF2326">
        <w:t>tros temas relevantes</w:t>
      </w:r>
      <w:bookmarkEnd w:id="6"/>
      <w:r w:rsidR="00EF2326">
        <w:t xml:space="preserve"> </w:t>
      </w:r>
    </w:p>
    <w:p w:rsidR="00937CFA" w:rsidRPr="0019240D" w:rsidRDefault="00937CFA" w:rsidP="00937CFA">
      <w:pPr>
        <w:spacing w:line="240" w:lineRule="auto"/>
        <w:jc w:val="both"/>
        <w:rPr>
          <w:rFonts w:cs="Arial"/>
          <w:noProof/>
          <w:lang w:val="es-CR" w:eastAsia="es-CR"/>
        </w:rPr>
      </w:pPr>
      <w:r w:rsidRPr="0019240D">
        <w:rPr>
          <w:rFonts w:cs="Arial"/>
          <w:noProof/>
          <w:lang w:eastAsia="es-CR"/>
        </w:rPr>
        <w:t xml:space="preserve">Otro tema importante que quisiera mencionar, y que puede ser ampliado posteriormente, es el referido al reconocimiento de los derechos de la población sexualmente diversa. El gobierno de la República está comprometido con la promoción, protección y realización de los derechos humanos de las personas LGBTI y se han tomado recientemente varias medidas concretas como la declaratoria del 17 de mayo como  </w:t>
      </w:r>
      <w:r w:rsidRPr="0019240D">
        <w:rPr>
          <w:rFonts w:cs="Arial"/>
          <w:noProof/>
          <w:lang w:val="es-CR" w:eastAsia="es-CR"/>
        </w:rPr>
        <w:t>“D</w:t>
      </w:r>
      <w:r w:rsidRPr="0019240D">
        <w:rPr>
          <w:rFonts w:cs="Arial"/>
          <w:noProof/>
          <w:lang w:val="es-ES_tradnl" w:eastAsia="es-CR"/>
        </w:rPr>
        <w:t>ía Internacional contra la Homofobia, la Lesbofobia y la Transfobia</w:t>
      </w:r>
      <w:r w:rsidRPr="0019240D">
        <w:rPr>
          <w:rFonts w:cs="Arial"/>
          <w:noProof/>
          <w:lang w:val="es-CR" w:eastAsia="es-CR"/>
        </w:rPr>
        <w:t>” y la creación de comisiones institucionales para promover la sensibilidad institucional.</w:t>
      </w:r>
    </w:p>
    <w:p w:rsidR="00937CFA" w:rsidRPr="0019240D" w:rsidRDefault="00937CFA" w:rsidP="00937CFA">
      <w:pPr>
        <w:spacing w:line="240" w:lineRule="auto"/>
        <w:jc w:val="both"/>
        <w:rPr>
          <w:rFonts w:cs="Arial"/>
          <w:noProof/>
          <w:lang w:val="es-ES_tradnl" w:eastAsia="es-CR"/>
        </w:rPr>
      </w:pPr>
      <w:r w:rsidRPr="0019240D">
        <w:rPr>
          <w:rFonts w:cs="Arial"/>
          <w:noProof/>
          <w:lang w:eastAsia="es-CR"/>
        </w:rPr>
        <w:t>Finalmente, hago mención al</w:t>
      </w:r>
      <w:r w:rsidRPr="0019240D">
        <w:rPr>
          <w:rFonts w:cs="Arial"/>
          <w:noProof/>
          <w:lang w:val="es-ES_tradnl" w:eastAsia="es-CR"/>
        </w:rPr>
        <w:t xml:space="preserve"> tema de la Fertilización in vitro, tema que fue conocido por la Corte Interamericana de Derechos Humanos y en el que el proceso de diálogo y creación de consensos con los diferentes actores nacionales ha sido muy complejo, aspecto que dificultó inicialmente el cumplimiento de la sentencia pese a los constantes esfuerzos del gobierno de la República. Hoy, informamos complacidos que e</w:t>
      </w:r>
      <w:r w:rsidRPr="0019240D">
        <w:t xml:space="preserve">l pasado 26 de febrero, la Corte Interamericana de Derechos Humanos emitió la Resolución de supervisión de cumplimiento de sentencia, sobre el Caso </w:t>
      </w:r>
      <w:proofErr w:type="spellStart"/>
      <w:r w:rsidRPr="0019240D">
        <w:t>Artavia</w:t>
      </w:r>
      <w:proofErr w:type="spellEnd"/>
      <w:r w:rsidRPr="0019240D">
        <w:t xml:space="preserve"> Murillo y otros (“Fecundación in Vitro”) vs. Costa Rica y resolvió que se debía mantener vigente el Decreto Ejecutivo No. 39210-MP-S del 11 de setiembre de 2015 “Autorización para la realización de la técnica de reproducción asistida de fecundación in vitro y transferencia embrionaria.” Por lo anterior, en Costa Rica ya no está prohibida esa técnica.</w:t>
      </w:r>
      <w:r w:rsidRPr="0019240D">
        <w:rPr>
          <w:rFonts w:cs="Arial"/>
          <w:noProof/>
          <w:lang w:val="es-ES_tradnl" w:eastAsia="es-CR"/>
        </w:rPr>
        <w:t xml:space="preserve"> </w:t>
      </w:r>
    </w:p>
    <w:p w:rsidR="00937CFA" w:rsidRPr="0019240D" w:rsidRDefault="00937CFA" w:rsidP="00937CFA">
      <w:pPr>
        <w:spacing w:line="240" w:lineRule="auto"/>
        <w:jc w:val="both"/>
        <w:rPr>
          <w:rFonts w:cs="Arial"/>
          <w:noProof/>
          <w:lang w:val="es-ES_tradnl" w:eastAsia="es-CR"/>
        </w:rPr>
      </w:pPr>
      <w:r w:rsidRPr="0019240D">
        <w:rPr>
          <w:rFonts w:cs="Arial"/>
          <w:noProof/>
          <w:lang w:val="es-ES_tradnl" w:eastAsia="es-CR"/>
        </w:rPr>
        <w:t>La delegación queda en toda disposición para ampliar sobre los temas abordados en esta presentación o las respuestas presentadas por escrito y para responder a las consultas que tengan los expertos del Comité.</w:t>
      </w:r>
    </w:p>
    <w:p w:rsidR="00937CFA" w:rsidRPr="0019240D" w:rsidRDefault="00937CFA" w:rsidP="00937CFA">
      <w:pPr>
        <w:spacing w:line="240" w:lineRule="auto"/>
        <w:jc w:val="both"/>
        <w:rPr>
          <w:rFonts w:cs="Arial"/>
          <w:noProof/>
          <w:lang w:val="es-ES_tradnl" w:eastAsia="es-CR"/>
        </w:rPr>
      </w:pPr>
      <w:r w:rsidRPr="0019240D">
        <w:rPr>
          <w:rFonts w:cs="Arial"/>
          <w:noProof/>
          <w:lang w:val="es-ES_tradnl" w:eastAsia="es-CR"/>
        </w:rPr>
        <w:t>Muchas gracias.</w:t>
      </w:r>
    </w:p>
    <w:p w:rsidR="005E7880" w:rsidRDefault="005E7880">
      <w:pPr>
        <w:rPr>
          <w:rFonts w:ascii="Arial" w:hAnsi="Arial" w:cs="Arial"/>
          <w:b/>
          <w:lang w:val="es-CR"/>
        </w:rPr>
      </w:pPr>
    </w:p>
    <w:p w:rsidR="001A4665" w:rsidRDefault="001A4665" w:rsidP="009E09AF">
      <w:pPr>
        <w:spacing w:line="276" w:lineRule="auto"/>
        <w:jc w:val="center"/>
        <w:rPr>
          <w:rFonts w:ascii="Arial" w:hAnsi="Arial" w:cs="Arial"/>
          <w:b/>
          <w:lang w:val="es-CR"/>
        </w:rPr>
      </w:pPr>
    </w:p>
    <w:p w:rsidR="001A4665" w:rsidRDefault="001A4665" w:rsidP="009E09AF">
      <w:pPr>
        <w:spacing w:line="276" w:lineRule="auto"/>
        <w:jc w:val="center"/>
        <w:rPr>
          <w:rFonts w:ascii="Arial" w:hAnsi="Arial" w:cs="Arial"/>
          <w:b/>
          <w:lang w:val="es-CR"/>
        </w:rPr>
      </w:pPr>
    </w:p>
    <w:p w:rsidR="00E84FFC" w:rsidRDefault="00E84FFC">
      <w:pPr>
        <w:rPr>
          <w:rFonts w:ascii="Arial" w:hAnsi="Arial" w:cs="Arial"/>
          <w:b/>
          <w:lang w:val="es-CR"/>
        </w:rPr>
      </w:pPr>
      <w:r>
        <w:rPr>
          <w:rFonts w:ascii="Arial" w:hAnsi="Arial" w:cs="Arial"/>
          <w:b/>
          <w:lang w:val="es-CR"/>
        </w:rPr>
        <w:br w:type="page"/>
      </w:r>
    </w:p>
    <w:p w:rsidR="001A4665" w:rsidRDefault="001A4665" w:rsidP="009E09AF">
      <w:pPr>
        <w:spacing w:line="276" w:lineRule="auto"/>
        <w:jc w:val="center"/>
        <w:rPr>
          <w:rFonts w:ascii="Arial" w:hAnsi="Arial" w:cs="Arial"/>
          <w:b/>
          <w:lang w:val="es-CR"/>
        </w:rPr>
      </w:pPr>
    </w:p>
    <w:p w:rsidR="001A4665" w:rsidRDefault="007113CF" w:rsidP="009E09AF">
      <w:pPr>
        <w:spacing w:line="276" w:lineRule="auto"/>
        <w:jc w:val="center"/>
        <w:rPr>
          <w:rFonts w:ascii="Arial" w:hAnsi="Arial" w:cs="Arial"/>
          <w:b/>
          <w:lang w:val="es-CR"/>
        </w:rPr>
      </w:pPr>
      <w:r>
        <w:rPr>
          <w:rFonts w:ascii="Arial" w:hAnsi="Arial" w:cs="Arial"/>
          <w:b/>
          <w:noProof/>
          <w:lang w:val="fr-CH" w:eastAsia="fr-CH"/>
        </w:rPr>
        <w:drawing>
          <wp:anchor distT="0" distB="0" distL="114935" distR="114935" simplePos="0" relativeHeight="251657728" behindDoc="1" locked="0" layoutInCell="1" allowOverlap="1">
            <wp:simplePos x="0" y="0"/>
            <wp:positionH relativeFrom="column">
              <wp:posOffset>2547620</wp:posOffset>
            </wp:positionH>
            <wp:positionV relativeFrom="paragraph">
              <wp:posOffset>-367030</wp:posOffset>
            </wp:positionV>
            <wp:extent cx="590550" cy="647700"/>
            <wp:effectExtent l="19050" t="0" r="0" b="0"/>
            <wp:wrapNone/>
            <wp:docPr id="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8" cstate="print"/>
                    <a:srcRect/>
                    <a:stretch>
                      <a:fillRect/>
                    </a:stretch>
                  </pic:blipFill>
                  <pic:spPr bwMode="auto">
                    <a:xfrm>
                      <a:off x="0" y="0"/>
                      <a:ext cx="590550" cy="647700"/>
                    </a:xfrm>
                    <a:prstGeom prst="rect">
                      <a:avLst/>
                    </a:prstGeom>
                    <a:solidFill>
                      <a:srgbClr val="FFFFFF"/>
                    </a:solidFill>
                    <a:ln w="9525">
                      <a:noFill/>
                      <a:miter lim="800000"/>
                      <a:headEnd/>
                      <a:tailEnd/>
                    </a:ln>
                  </pic:spPr>
                </pic:pic>
              </a:graphicData>
            </a:graphic>
          </wp:anchor>
        </w:drawing>
      </w:r>
    </w:p>
    <w:p w:rsidR="001413D6" w:rsidRPr="00704A87" w:rsidRDefault="001413D6" w:rsidP="008820F2">
      <w:pPr>
        <w:pStyle w:val="Heading1"/>
        <w:ind w:left="142"/>
        <w:rPr>
          <w:rFonts w:ascii="Arial" w:hAnsi="Arial" w:cs="Arial"/>
          <w:b/>
          <w:sz w:val="36"/>
          <w:szCs w:val="36"/>
        </w:rPr>
      </w:pPr>
      <w:bookmarkStart w:id="7" w:name="_Toc446126606"/>
      <w:r w:rsidRPr="00704A87">
        <w:rPr>
          <w:rFonts w:ascii="Arial" w:hAnsi="Arial" w:cs="Arial"/>
          <w:b/>
          <w:sz w:val="36"/>
          <w:szCs w:val="36"/>
        </w:rPr>
        <w:t>Marco constitucional y legislativo (arts. 1 y 2)</w:t>
      </w:r>
      <w:bookmarkEnd w:id="7"/>
    </w:p>
    <w:p w:rsidR="00C31B03" w:rsidRPr="00C31B03" w:rsidRDefault="00C31B03" w:rsidP="00967059">
      <w:pPr>
        <w:pStyle w:val="Heading2"/>
        <w:numPr>
          <w:ilvl w:val="0"/>
          <w:numId w:val="10"/>
        </w:numPr>
        <w:rPr>
          <w:sz w:val="24"/>
          <w:szCs w:val="24"/>
        </w:rPr>
      </w:pPr>
      <w:bookmarkStart w:id="8" w:name="_Toc446126607"/>
      <w:r w:rsidRPr="00C31B03">
        <w:rPr>
          <w:sz w:val="24"/>
          <w:szCs w:val="24"/>
        </w:rPr>
        <w:t xml:space="preserve">Sírvanse informar sobre la invocación y la aplicación de las disposiciones del Pacto ante los tribunales nacionales. Sírvanse describir el procedimiento vigente para los dictámenes adoptados por el Comité en aplicación del Protocolo Facultativo. Asimismo, sírvanse informar sobre las actividades realizadas por la Comisión Interinstitucional para el seguimiento e implementación de las obligaciones internacionales en derechos humanos, en particular sobre los avances en la creación de una entidad permanente de consulta con la sociedad civil (CCPR/C/CRI/6, </w:t>
      </w:r>
      <w:proofErr w:type="spellStart"/>
      <w:r w:rsidRPr="00C31B03">
        <w:rPr>
          <w:sz w:val="24"/>
          <w:szCs w:val="24"/>
        </w:rPr>
        <w:t>párrs</w:t>
      </w:r>
      <w:proofErr w:type="spellEnd"/>
      <w:r w:rsidRPr="00C31B03">
        <w:rPr>
          <w:sz w:val="24"/>
          <w:szCs w:val="24"/>
        </w:rPr>
        <w:t>. 2 a 4).</w:t>
      </w:r>
      <w:bookmarkEnd w:id="8"/>
    </w:p>
    <w:p w:rsidR="0037461B" w:rsidRDefault="0037461B" w:rsidP="00967059">
      <w:pPr>
        <w:pStyle w:val="Heading3"/>
        <w:numPr>
          <w:ilvl w:val="1"/>
          <w:numId w:val="8"/>
        </w:numPr>
        <w:rPr>
          <w:color w:val="1F4E79"/>
        </w:rPr>
      </w:pPr>
      <w:bookmarkStart w:id="9" w:name="_Toc446126608"/>
      <w:r w:rsidRPr="00C31B03">
        <w:rPr>
          <w:color w:val="1F4E79"/>
        </w:rPr>
        <w:t>Invocación y aplicación disposiciones del Pacto</w:t>
      </w:r>
      <w:bookmarkEnd w:id="9"/>
    </w:p>
    <w:p w:rsidR="004D089C" w:rsidRPr="004D089C" w:rsidRDefault="004D089C" w:rsidP="004D089C"/>
    <w:p w:rsidR="00C31B03" w:rsidRDefault="004D089C" w:rsidP="00EF2326">
      <w:r>
        <w:t>Véase intervención inicial.</w:t>
      </w:r>
      <w:r w:rsidR="00EF2326">
        <w:t xml:space="preserve"> Además, s</w:t>
      </w:r>
      <w:r>
        <w:t>e presentan los siguientes ejemplos de sentencias concretas:</w:t>
      </w:r>
    </w:p>
    <w:p w:rsidR="004D089C" w:rsidRPr="00A6130B" w:rsidRDefault="004D089C" w:rsidP="00C856B0">
      <w:pPr>
        <w:spacing w:after="0" w:line="240" w:lineRule="auto"/>
      </w:pPr>
    </w:p>
    <w:tbl>
      <w:tblPr>
        <w:tblW w:w="0" w:type="auto"/>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Look w:val="04A0"/>
      </w:tblPr>
      <w:tblGrid>
        <w:gridCol w:w="1923"/>
        <w:gridCol w:w="2100"/>
        <w:gridCol w:w="2346"/>
        <w:gridCol w:w="3344"/>
      </w:tblGrid>
      <w:tr w:rsidR="00C80A1E" w:rsidRPr="00DC50DD" w:rsidTr="00DC50DD">
        <w:tc>
          <w:tcPr>
            <w:tcW w:w="12996" w:type="dxa"/>
            <w:gridSpan w:val="4"/>
            <w:tcBorders>
              <w:top w:val="single" w:sz="4" w:space="0" w:color="5B9BD5"/>
              <w:left w:val="single" w:sz="4" w:space="0" w:color="5B9BD5"/>
              <w:bottom w:val="single" w:sz="4" w:space="0" w:color="5B9BD5"/>
              <w:right w:val="single" w:sz="4" w:space="0" w:color="5B9BD5"/>
            </w:tcBorders>
            <w:shd w:val="clear" w:color="auto" w:fill="5B9BD5"/>
          </w:tcPr>
          <w:p w:rsidR="00C80A1E" w:rsidRPr="00DC50DD" w:rsidRDefault="00C80A1E" w:rsidP="00C856B0">
            <w:pPr>
              <w:spacing w:after="0" w:line="240" w:lineRule="auto"/>
              <w:jc w:val="center"/>
              <w:rPr>
                <w:b/>
                <w:bCs/>
                <w:color w:val="FFFFFF"/>
                <w:lang w:val="es-CR"/>
              </w:rPr>
            </w:pPr>
            <w:r w:rsidRPr="00DC50DD">
              <w:rPr>
                <w:b/>
                <w:bCs/>
                <w:color w:val="FFFFFF"/>
                <w:sz w:val="28"/>
                <w:lang w:val="es-CR"/>
              </w:rPr>
              <w:t>APLICACIÓN DEL PACTO POR PARTE DE LA JUSTICIA ORDINARIA</w:t>
            </w:r>
          </w:p>
        </w:tc>
      </w:tr>
      <w:tr w:rsidR="00C856B0" w:rsidRPr="00DC50DD" w:rsidTr="00DC50DD">
        <w:tc>
          <w:tcPr>
            <w:tcW w:w="2830" w:type="dxa"/>
            <w:shd w:val="clear" w:color="auto" w:fill="DEEAF6"/>
          </w:tcPr>
          <w:p w:rsidR="00C80A1E" w:rsidRPr="00DC50DD" w:rsidRDefault="00C80A1E" w:rsidP="00DC50DD">
            <w:pPr>
              <w:spacing w:after="0" w:line="240" w:lineRule="auto"/>
              <w:jc w:val="center"/>
              <w:rPr>
                <w:b/>
                <w:bCs/>
                <w:sz w:val="24"/>
                <w:lang w:val="es-CR"/>
              </w:rPr>
            </w:pPr>
            <w:r w:rsidRPr="00DC50DD">
              <w:rPr>
                <w:b/>
                <w:bCs/>
                <w:sz w:val="24"/>
                <w:lang w:val="es-CR"/>
              </w:rPr>
              <w:t>DATOS DE LA SENTENCIA</w:t>
            </w:r>
          </w:p>
        </w:tc>
        <w:tc>
          <w:tcPr>
            <w:tcW w:w="2977" w:type="dxa"/>
            <w:shd w:val="clear" w:color="auto" w:fill="DEEAF6"/>
          </w:tcPr>
          <w:p w:rsidR="00C80A1E" w:rsidRPr="00DC50DD" w:rsidRDefault="00C80A1E" w:rsidP="00DC50DD">
            <w:pPr>
              <w:spacing w:after="0" w:line="240" w:lineRule="auto"/>
              <w:jc w:val="center"/>
              <w:rPr>
                <w:b/>
                <w:sz w:val="24"/>
                <w:lang w:val="es-CR"/>
              </w:rPr>
            </w:pPr>
            <w:r w:rsidRPr="00DC50DD">
              <w:rPr>
                <w:b/>
                <w:sz w:val="24"/>
                <w:lang w:val="es-CR"/>
              </w:rPr>
              <w:t>TRIBUNAL QUE LA EMITIÓ</w:t>
            </w:r>
          </w:p>
        </w:tc>
        <w:tc>
          <w:tcPr>
            <w:tcW w:w="2835" w:type="dxa"/>
            <w:shd w:val="clear" w:color="auto" w:fill="DEEAF6"/>
          </w:tcPr>
          <w:p w:rsidR="00C80A1E" w:rsidRPr="00DC50DD" w:rsidRDefault="00C80A1E" w:rsidP="00DC50DD">
            <w:pPr>
              <w:spacing w:after="0" w:line="240" w:lineRule="auto"/>
              <w:jc w:val="center"/>
              <w:rPr>
                <w:b/>
                <w:sz w:val="24"/>
                <w:lang w:val="es-CR"/>
              </w:rPr>
            </w:pPr>
            <w:r w:rsidRPr="00DC50DD">
              <w:rPr>
                <w:b/>
                <w:sz w:val="24"/>
                <w:lang w:val="es-CR"/>
              </w:rPr>
              <w:t>TIPO DE PROCESO</w:t>
            </w:r>
          </w:p>
        </w:tc>
        <w:tc>
          <w:tcPr>
            <w:tcW w:w="4354" w:type="dxa"/>
            <w:shd w:val="clear" w:color="auto" w:fill="DEEAF6"/>
          </w:tcPr>
          <w:p w:rsidR="00C80A1E" w:rsidRPr="00DC50DD" w:rsidRDefault="00C80A1E" w:rsidP="00DC50DD">
            <w:pPr>
              <w:spacing w:after="0" w:line="240" w:lineRule="auto"/>
              <w:jc w:val="center"/>
              <w:rPr>
                <w:b/>
                <w:sz w:val="24"/>
                <w:lang w:val="es-CR"/>
              </w:rPr>
            </w:pPr>
            <w:r w:rsidRPr="00DC50DD">
              <w:rPr>
                <w:b/>
                <w:sz w:val="24"/>
                <w:lang w:val="es-CR"/>
              </w:rPr>
              <w:t>RESUMEN</w:t>
            </w:r>
          </w:p>
        </w:tc>
      </w:tr>
      <w:tr w:rsidR="00C856B0" w:rsidRPr="00DC50DD" w:rsidTr="00DC50DD">
        <w:tc>
          <w:tcPr>
            <w:tcW w:w="2830" w:type="dxa"/>
          </w:tcPr>
          <w:p w:rsidR="00C80A1E" w:rsidRPr="00DC50DD" w:rsidRDefault="00C80A1E" w:rsidP="00DC50DD">
            <w:pPr>
              <w:spacing w:after="0" w:line="240" w:lineRule="auto"/>
              <w:jc w:val="center"/>
              <w:rPr>
                <w:b/>
                <w:bCs/>
                <w:lang w:val="es-CR"/>
              </w:rPr>
            </w:pPr>
            <w:r w:rsidRPr="00DC50DD">
              <w:rPr>
                <w:b/>
                <w:bCs/>
                <w:lang w:val="es-CR"/>
              </w:rPr>
              <w:t>N.° 2013-10744 de 13 de agosto de 2003</w:t>
            </w:r>
          </w:p>
          <w:p w:rsidR="00C80A1E" w:rsidRPr="00DC50DD" w:rsidRDefault="00C80A1E" w:rsidP="00DC50DD">
            <w:pPr>
              <w:spacing w:after="0" w:line="240" w:lineRule="auto"/>
              <w:jc w:val="center"/>
              <w:rPr>
                <w:b/>
                <w:bCs/>
                <w:lang w:val="es-CR"/>
              </w:rPr>
            </w:pPr>
            <w:r w:rsidRPr="00DC50DD">
              <w:rPr>
                <w:b/>
                <w:bCs/>
                <w:lang w:val="es-CR"/>
              </w:rPr>
              <w:t>N.° 2015-06109 del 30 de abril de 2015</w:t>
            </w:r>
          </w:p>
          <w:p w:rsidR="00C80A1E" w:rsidRPr="00DC50DD" w:rsidRDefault="00C80A1E" w:rsidP="00DC50DD">
            <w:pPr>
              <w:spacing w:after="0" w:line="240" w:lineRule="auto"/>
              <w:jc w:val="center"/>
              <w:rPr>
                <w:b/>
                <w:bCs/>
                <w:lang w:val="es-CR"/>
              </w:rPr>
            </w:pPr>
            <w:r w:rsidRPr="00DC50DD">
              <w:rPr>
                <w:b/>
                <w:bCs/>
                <w:lang w:val="es-CR"/>
              </w:rPr>
              <w:t>N.° 2015-06458 del 8 de mayo de 2015</w:t>
            </w:r>
          </w:p>
          <w:p w:rsidR="00C80A1E" w:rsidRPr="00DC50DD" w:rsidRDefault="00C80A1E" w:rsidP="00DC50DD">
            <w:pPr>
              <w:spacing w:after="0" w:line="240" w:lineRule="auto"/>
              <w:jc w:val="center"/>
              <w:rPr>
                <w:b/>
                <w:bCs/>
                <w:lang w:val="es-CR"/>
              </w:rPr>
            </w:pPr>
            <w:r w:rsidRPr="00DC50DD">
              <w:rPr>
                <w:b/>
                <w:bCs/>
                <w:lang w:val="es-CR"/>
              </w:rPr>
              <w:t>N.° 2015-10171 del 7 de julio de 2015</w:t>
            </w:r>
          </w:p>
          <w:p w:rsidR="00C80A1E" w:rsidRPr="00DC50DD" w:rsidRDefault="00C80A1E" w:rsidP="00DC50DD">
            <w:pPr>
              <w:spacing w:after="0" w:line="240" w:lineRule="auto"/>
              <w:jc w:val="center"/>
              <w:rPr>
                <w:b/>
                <w:bCs/>
                <w:lang w:val="es-CR"/>
              </w:rPr>
            </w:pPr>
          </w:p>
        </w:tc>
        <w:tc>
          <w:tcPr>
            <w:tcW w:w="2977" w:type="dxa"/>
          </w:tcPr>
          <w:p w:rsidR="00C80A1E" w:rsidRPr="00DC50DD" w:rsidRDefault="00C80A1E" w:rsidP="00DC50DD">
            <w:pPr>
              <w:spacing w:after="0" w:line="240" w:lineRule="auto"/>
              <w:jc w:val="center"/>
              <w:rPr>
                <w:lang w:val="es-CR"/>
              </w:rPr>
            </w:pPr>
            <w:r w:rsidRPr="00DC50DD">
              <w:rPr>
                <w:lang w:val="es-CR"/>
              </w:rPr>
              <w:t>Sala Constitucional de la Corte Suprema de Justicia</w:t>
            </w:r>
          </w:p>
          <w:p w:rsidR="00C80A1E" w:rsidRPr="00DC50DD" w:rsidRDefault="00C80A1E" w:rsidP="00DC50DD">
            <w:pPr>
              <w:spacing w:after="0" w:line="240" w:lineRule="auto"/>
              <w:jc w:val="center"/>
              <w:rPr>
                <w:lang w:val="es-CR"/>
              </w:rPr>
            </w:pPr>
          </w:p>
        </w:tc>
        <w:tc>
          <w:tcPr>
            <w:tcW w:w="2835" w:type="dxa"/>
          </w:tcPr>
          <w:p w:rsidR="00C80A1E" w:rsidRPr="00DC50DD" w:rsidRDefault="00C80A1E" w:rsidP="00DC50DD">
            <w:pPr>
              <w:spacing w:after="0" w:line="240" w:lineRule="auto"/>
              <w:jc w:val="center"/>
              <w:rPr>
                <w:lang w:val="es-CR"/>
              </w:rPr>
            </w:pPr>
            <w:r w:rsidRPr="00DC50DD">
              <w:rPr>
                <w:lang w:val="es-CR"/>
              </w:rPr>
              <w:t>Recurso de hábeas corpus</w:t>
            </w:r>
          </w:p>
          <w:p w:rsidR="00C80A1E" w:rsidRPr="00DC50DD" w:rsidRDefault="00C80A1E" w:rsidP="00DC50DD">
            <w:pPr>
              <w:spacing w:after="0" w:line="240" w:lineRule="auto"/>
              <w:jc w:val="center"/>
              <w:rPr>
                <w:lang w:val="es-CR"/>
              </w:rPr>
            </w:pPr>
          </w:p>
        </w:tc>
        <w:tc>
          <w:tcPr>
            <w:tcW w:w="4354" w:type="dxa"/>
          </w:tcPr>
          <w:p w:rsidR="00C80A1E" w:rsidRPr="00DC50DD" w:rsidRDefault="00C80A1E" w:rsidP="00DC50DD">
            <w:pPr>
              <w:spacing w:after="0" w:line="240" w:lineRule="auto"/>
              <w:jc w:val="both"/>
              <w:rPr>
                <w:lang w:val="es-CR"/>
              </w:rPr>
            </w:pPr>
            <w:r w:rsidRPr="00DC50DD">
              <w:rPr>
                <w:lang w:val="es-CR"/>
              </w:rPr>
              <w:t xml:space="preserve">De forma reiterada en estas sentencias, la Sala Constitucional contempló el artículo 6.1 del Pacto de Derechos Civiles y Políticos “El derecho a la vida es inherente a la persona humana. Este derecho estará protegido por la ley. Nadie podrá ser privado de la vida arbitrariamente”.  Sostiene que “este último instrumento contempla una norma especial en relación al trato de las personas privadas de libertad  al disponer en su artículo 10.1 que “Toda persona privada de libertad será tratada humanamente y con el respeto debido a la dignidad inherente al ser humano”. El análisis de la Sala se encamina a que “todas las actuaciones de la Administración Penitenciaria debe </w:t>
            </w:r>
            <w:r w:rsidRPr="00DC50DD">
              <w:rPr>
                <w:lang w:val="es-CR"/>
              </w:rPr>
              <w:lastRenderedPageBreak/>
              <w:t>estar regida por el más absoluto respeto a la dignidad de las personas, quienes, por diversas circunstancias de la vida se encuentran actualmente bajo la tutela del sistema penal, pero que no por ello pierden su condición de seres humanos (…)”</w:t>
            </w:r>
          </w:p>
          <w:p w:rsidR="00C80A1E" w:rsidRPr="00DC50DD" w:rsidRDefault="00C80A1E" w:rsidP="00DC50DD">
            <w:pPr>
              <w:spacing w:after="0" w:line="240" w:lineRule="auto"/>
              <w:rPr>
                <w:lang w:val="es-CR"/>
              </w:rPr>
            </w:pPr>
          </w:p>
        </w:tc>
      </w:tr>
      <w:tr w:rsidR="00C856B0" w:rsidRPr="00DC50DD" w:rsidTr="00DC50DD">
        <w:tc>
          <w:tcPr>
            <w:tcW w:w="2830" w:type="dxa"/>
            <w:shd w:val="clear" w:color="auto" w:fill="DEEAF6"/>
          </w:tcPr>
          <w:p w:rsidR="00C80A1E" w:rsidRPr="00DC50DD" w:rsidRDefault="00C80A1E" w:rsidP="00DC50DD">
            <w:pPr>
              <w:spacing w:after="0" w:line="240" w:lineRule="auto"/>
              <w:jc w:val="center"/>
              <w:rPr>
                <w:b/>
                <w:bCs/>
                <w:lang w:val="es-CR"/>
              </w:rPr>
            </w:pPr>
            <w:r w:rsidRPr="00DC50DD">
              <w:rPr>
                <w:b/>
                <w:bCs/>
                <w:color w:val="010101"/>
                <w:lang w:val="es-CR"/>
              </w:rPr>
              <w:lastRenderedPageBreak/>
              <w:t>N.° 2014-01166 del 29 de enero de 2014</w:t>
            </w:r>
          </w:p>
        </w:tc>
        <w:tc>
          <w:tcPr>
            <w:tcW w:w="2977" w:type="dxa"/>
            <w:shd w:val="clear" w:color="auto" w:fill="DEEAF6"/>
          </w:tcPr>
          <w:p w:rsidR="00C80A1E" w:rsidRPr="00DC50DD" w:rsidRDefault="00C80A1E" w:rsidP="00DC50DD">
            <w:pPr>
              <w:spacing w:after="0" w:line="240" w:lineRule="auto"/>
              <w:jc w:val="center"/>
              <w:rPr>
                <w:lang w:val="es-CR"/>
              </w:rPr>
            </w:pPr>
            <w:r w:rsidRPr="00DC50DD">
              <w:rPr>
                <w:lang w:val="es-CR"/>
              </w:rPr>
              <w:t>Sala Constitucional de la Corte Suprema de Justicia</w:t>
            </w:r>
          </w:p>
        </w:tc>
        <w:tc>
          <w:tcPr>
            <w:tcW w:w="2835" w:type="dxa"/>
            <w:shd w:val="clear" w:color="auto" w:fill="DEEAF6"/>
          </w:tcPr>
          <w:p w:rsidR="00C80A1E" w:rsidRPr="00DC50DD" w:rsidRDefault="00C80A1E" w:rsidP="00DC50DD">
            <w:pPr>
              <w:spacing w:after="0" w:line="240" w:lineRule="auto"/>
              <w:jc w:val="center"/>
              <w:rPr>
                <w:lang w:val="es-CR"/>
              </w:rPr>
            </w:pPr>
            <w:r w:rsidRPr="00DC50DD">
              <w:rPr>
                <w:lang w:val="es-CR"/>
              </w:rPr>
              <w:t>Acción de inconstitucionalidad</w:t>
            </w:r>
          </w:p>
        </w:tc>
        <w:tc>
          <w:tcPr>
            <w:tcW w:w="4354" w:type="dxa"/>
            <w:shd w:val="clear" w:color="auto" w:fill="DEEAF6"/>
          </w:tcPr>
          <w:p w:rsidR="00C80A1E" w:rsidRPr="00DC50DD" w:rsidRDefault="00C80A1E" w:rsidP="00DC50DD">
            <w:pPr>
              <w:spacing w:after="0" w:line="240" w:lineRule="auto"/>
              <w:jc w:val="both"/>
              <w:rPr>
                <w:lang w:val="es-CR"/>
              </w:rPr>
            </w:pPr>
            <w:r w:rsidRPr="00DC50DD">
              <w:rPr>
                <w:lang w:val="es-CR"/>
              </w:rPr>
              <w:t xml:space="preserve">Se impugnó parte del </w:t>
            </w:r>
            <w:r w:rsidRPr="00DC50DD">
              <w:rPr>
                <w:color w:val="000000"/>
                <w:lang w:val="es-CR"/>
              </w:rPr>
              <w:t>Reglamento para el Otorgamiento de Permiso Sanitario de Funcionamiento de los Casinos de Juego. La Sala contempla el artículo 24 del PIDCP. El derecho de todo niño de recibir las medidas de protección que su condición de menor requiere.</w:t>
            </w:r>
            <w:r w:rsidRPr="00DC50DD">
              <w:rPr>
                <w:rStyle w:val="apple-converted-space"/>
                <w:color w:val="000000"/>
                <w:lang w:val="es-CR"/>
              </w:rPr>
              <w:t> </w:t>
            </w:r>
            <w:r w:rsidRPr="00DC50DD">
              <w:rPr>
                <w:color w:val="000000"/>
                <w:lang w:val="es-CR"/>
              </w:rPr>
              <w:t xml:space="preserve"> Se analiza el artículo 10 del Reglamento de Casinos de Juego, que en la parte considerativa se señala, explícitamente, que el establecimiento del referido horario para el funcionamiento de los casinos procura “</w:t>
            </w:r>
            <w:r w:rsidRPr="00DC50DD">
              <w:rPr>
                <w:i/>
                <w:iCs/>
                <w:color w:val="000000"/>
                <w:lang w:val="es-CR"/>
              </w:rPr>
              <w:t>disminuir la posibilidad de que menores de edad tengan acceso a estos establecimientos</w:t>
            </w:r>
            <w:r w:rsidRPr="00DC50DD">
              <w:rPr>
                <w:color w:val="000000"/>
                <w:lang w:val="es-CR"/>
              </w:rPr>
              <w:t>”. Lo que se relaciona, a su vez, con la protección a los menores frente a los riesgos asociados con la actividad de casino, entre los que destaca la amenaza de la adicción al juego (ludopatía).</w:t>
            </w:r>
          </w:p>
        </w:tc>
      </w:tr>
      <w:tr w:rsidR="00C856B0" w:rsidRPr="00DC50DD" w:rsidTr="00DC50DD">
        <w:tc>
          <w:tcPr>
            <w:tcW w:w="2830" w:type="dxa"/>
          </w:tcPr>
          <w:p w:rsidR="00C80A1E" w:rsidRPr="00DC50DD" w:rsidRDefault="00C80A1E" w:rsidP="00DC50DD">
            <w:pPr>
              <w:spacing w:after="0" w:line="240" w:lineRule="auto"/>
              <w:jc w:val="center"/>
              <w:rPr>
                <w:b/>
                <w:bCs/>
                <w:lang w:val="es-CR"/>
              </w:rPr>
            </w:pPr>
            <w:r w:rsidRPr="00DC50DD">
              <w:rPr>
                <w:b/>
                <w:bCs/>
                <w:color w:val="010101"/>
                <w:lang w:val="es-CR"/>
              </w:rPr>
              <w:t>N.° 2011-08716 del 29 de junio de 2011</w:t>
            </w:r>
          </w:p>
        </w:tc>
        <w:tc>
          <w:tcPr>
            <w:tcW w:w="2977" w:type="dxa"/>
          </w:tcPr>
          <w:p w:rsidR="00C80A1E" w:rsidRPr="00DC50DD" w:rsidRDefault="00C80A1E" w:rsidP="00DC50DD">
            <w:pPr>
              <w:spacing w:after="0" w:line="240" w:lineRule="auto"/>
              <w:jc w:val="center"/>
              <w:rPr>
                <w:lang w:val="es-CR"/>
              </w:rPr>
            </w:pPr>
            <w:r w:rsidRPr="00DC50DD">
              <w:rPr>
                <w:lang w:val="es-CR"/>
              </w:rPr>
              <w:t>Sala Constitucional de la Corte Suprema de Justicia</w:t>
            </w:r>
          </w:p>
        </w:tc>
        <w:tc>
          <w:tcPr>
            <w:tcW w:w="2835" w:type="dxa"/>
          </w:tcPr>
          <w:p w:rsidR="00C80A1E" w:rsidRPr="00DC50DD" w:rsidRDefault="00C80A1E" w:rsidP="00DC50DD">
            <w:pPr>
              <w:spacing w:after="0" w:line="240" w:lineRule="auto"/>
              <w:jc w:val="center"/>
              <w:rPr>
                <w:lang w:val="es-CR"/>
              </w:rPr>
            </w:pPr>
            <w:r w:rsidRPr="00DC50DD">
              <w:rPr>
                <w:lang w:val="es-CR"/>
              </w:rPr>
              <w:t>Acción de inconstitucionalidad</w:t>
            </w:r>
          </w:p>
        </w:tc>
        <w:tc>
          <w:tcPr>
            <w:tcW w:w="4354" w:type="dxa"/>
          </w:tcPr>
          <w:p w:rsidR="00C80A1E" w:rsidRPr="00DC50DD" w:rsidRDefault="00C80A1E" w:rsidP="00DC50DD">
            <w:pPr>
              <w:spacing w:after="0" w:line="240" w:lineRule="auto"/>
              <w:jc w:val="both"/>
              <w:rPr>
                <w:color w:val="000000"/>
                <w:lang w:val="es-CR"/>
              </w:rPr>
            </w:pPr>
            <w:r w:rsidRPr="00DC50DD">
              <w:rPr>
                <w:lang w:val="es-CR"/>
              </w:rPr>
              <w:t xml:space="preserve">Se impugnó el artículo 24 de la Ley de Pensiones Alimentarias. </w:t>
            </w:r>
            <w:r w:rsidRPr="00DC50DD">
              <w:rPr>
                <w:color w:val="000000"/>
                <w:lang w:val="es-CR"/>
              </w:rPr>
              <w:t xml:space="preserve">El Tribunal Constitucional hace referencia al artículo 23 del PIDCP y lo relaciona con el artículo 51 de la Constitución. La obligación a cargo del Estado, de implementar y ejecutar, políticas sociales, económicas y de desarrollo, destinadas a atender y satisfacer las necesidades especiales que grupos de personas tienen en virtud del Estado de vulnerabilidad </w:t>
            </w:r>
            <w:r w:rsidRPr="00DC50DD">
              <w:rPr>
                <w:color w:val="000000"/>
                <w:lang w:val="es-CR"/>
              </w:rPr>
              <w:lastRenderedPageBreak/>
              <w:t xml:space="preserve">en el que se encuentran (tales como la familia, a la madre, al niño, al anciano y al enfermo desvalido), y de esta forma lograr su integración e igualdad de oportunidades dentro del contexto social. El caso concreto analizó el tema de la libertad personal y su relación con los adultos mayores en caso de apremio corporal. </w:t>
            </w:r>
          </w:p>
        </w:tc>
      </w:tr>
      <w:tr w:rsidR="00C856B0" w:rsidRPr="00DC50DD" w:rsidTr="00DC50DD">
        <w:tc>
          <w:tcPr>
            <w:tcW w:w="2830" w:type="dxa"/>
            <w:shd w:val="clear" w:color="auto" w:fill="DEEAF6"/>
          </w:tcPr>
          <w:p w:rsidR="00C80A1E" w:rsidRPr="00DC50DD" w:rsidRDefault="00C80A1E" w:rsidP="00DC50DD">
            <w:pPr>
              <w:spacing w:after="0" w:line="240" w:lineRule="auto"/>
              <w:jc w:val="center"/>
              <w:rPr>
                <w:b/>
                <w:bCs/>
                <w:lang w:val="es-CR"/>
              </w:rPr>
            </w:pPr>
            <w:r w:rsidRPr="00DC50DD">
              <w:rPr>
                <w:b/>
                <w:bCs/>
                <w:color w:val="010101"/>
                <w:lang w:val="es-CR"/>
              </w:rPr>
              <w:lastRenderedPageBreak/>
              <w:t xml:space="preserve">N.° </w:t>
            </w:r>
            <w:r w:rsidRPr="00DC50DD">
              <w:rPr>
                <w:b/>
                <w:bCs/>
                <w:color w:val="000000"/>
                <w:spacing w:val="-5"/>
                <w:lang w:val="es-CR"/>
              </w:rPr>
              <w:t>2013-13889 del 18 de octubre de 2013</w:t>
            </w:r>
          </w:p>
        </w:tc>
        <w:tc>
          <w:tcPr>
            <w:tcW w:w="2977" w:type="dxa"/>
            <w:shd w:val="clear" w:color="auto" w:fill="DEEAF6"/>
          </w:tcPr>
          <w:p w:rsidR="00C80A1E" w:rsidRPr="00DC50DD" w:rsidRDefault="00C80A1E" w:rsidP="00DC50DD">
            <w:pPr>
              <w:spacing w:after="0" w:line="240" w:lineRule="auto"/>
              <w:jc w:val="center"/>
              <w:rPr>
                <w:lang w:val="es-CR"/>
              </w:rPr>
            </w:pPr>
            <w:r w:rsidRPr="00DC50DD">
              <w:rPr>
                <w:lang w:val="es-CR"/>
              </w:rPr>
              <w:t>Sala Constitucional de la Corte Suprema de Justicia</w:t>
            </w:r>
          </w:p>
        </w:tc>
        <w:tc>
          <w:tcPr>
            <w:tcW w:w="2835" w:type="dxa"/>
            <w:shd w:val="clear" w:color="auto" w:fill="DEEAF6"/>
          </w:tcPr>
          <w:p w:rsidR="00C80A1E" w:rsidRPr="00DC50DD" w:rsidRDefault="00C80A1E" w:rsidP="00DC50DD">
            <w:pPr>
              <w:spacing w:after="0" w:line="240" w:lineRule="auto"/>
              <w:jc w:val="center"/>
              <w:rPr>
                <w:lang w:val="es-CR"/>
              </w:rPr>
            </w:pPr>
            <w:r w:rsidRPr="00DC50DD">
              <w:rPr>
                <w:lang w:val="es-CR"/>
              </w:rPr>
              <w:t>Consulta facultativa judicial</w:t>
            </w:r>
          </w:p>
        </w:tc>
        <w:tc>
          <w:tcPr>
            <w:tcW w:w="4354" w:type="dxa"/>
            <w:shd w:val="clear" w:color="auto" w:fill="DEEAF6"/>
          </w:tcPr>
          <w:p w:rsidR="00C80A1E" w:rsidRPr="00DC50DD" w:rsidRDefault="00C80A1E" w:rsidP="00DC50DD">
            <w:pPr>
              <w:spacing w:after="0" w:line="240" w:lineRule="auto"/>
              <w:jc w:val="both"/>
              <w:rPr>
                <w:color w:val="000000"/>
                <w:lang w:val="es-CR"/>
              </w:rPr>
            </w:pPr>
            <w:r w:rsidRPr="00DC50DD">
              <w:rPr>
                <w:color w:val="000000"/>
                <w:w w:val="106"/>
                <w:lang w:val="es-CR"/>
              </w:rPr>
              <w:t>Se consultó sobre</w:t>
            </w:r>
            <w:r w:rsidRPr="00DC50DD">
              <w:rPr>
                <w:color w:val="000000"/>
                <w:spacing w:val="-2"/>
                <w:lang w:val="es-CR"/>
              </w:rPr>
              <w:t xml:space="preserve"> artículo 384 del Código de Procedimientos Penal de 1973 </w:t>
            </w:r>
            <w:r w:rsidRPr="00DC50DD">
              <w:rPr>
                <w:color w:val="000000"/>
                <w:w w:val="111"/>
                <w:lang w:val="es-CR"/>
              </w:rPr>
              <w:t xml:space="preserve">no se le concedió al </w:t>
            </w:r>
            <w:r w:rsidRPr="00DC50DD">
              <w:rPr>
                <w:color w:val="000000"/>
                <w:w w:val="111"/>
                <w:lang w:val="es-CR"/>
              </w:rPr>
              <w:br/>
            </w:r>
            <w:r w:rsidRPr="00DC50DD">
              <w:rPr>
                <w:color w:val="000000"/>
                <w:spacing w:val="-2"/>
                <w:lang w:val="es-CR"/>
              </w:rPr>
              <w:t>encartado ni a su defensor, la oportunidad de interrogar a dichos testigos</w:t>
            </w:r>
            <w:r w:rsidRPr="00DC50DD">
              <w:rPr>
                <w:color w:val="000000"/>
                <w:lang w:val="es-CR"/>
              </w:rPr>
              <w:t>.</w:t>
            </w:r>
          </w:p>
          <w:p w:rsidR="00C80A1E" w:rsidRPr="00DC50DD" w:rsidRDefault="00C80A1E" w:rsidP="00DC50DD">
            <w:pPr>
              <w:spacing w:after="0" w:line="240" w:lineRule="auto"/>
              <w:jc w:val="both"/>
              <w:rPr>
                <w:color w:val="000000"/>
                <w:spacing w:val="-1"/>
                <w:lang w:val="es-CR"/>
              </w:rPr>
            </w:pPr>
            <w:r w:rsidRPr="00DC50DD">
              <w:rPr>
                <w:color w:val="000000"/>
                <w:lang w:val="es-CR"/>
              </w:rPr>
              <w:t xml:space="preserve">En este caso, la parte consultante invoca directamente el numeral </w:t>
            </w:r>
            <w:r w:rsidRPr="00DC50DD">
              <w:rPr>
                <w:color w:val="000000"/>
                <w:spacing w:val="-2"/>
                <w:lang w:val="es-CR"/>
              </w:rPr>
              <w:t>14.3 e) del PIDCP y su relación con el artículo consultado. Este ordinal establece</w:t>
            </w:r>
            <w:r w:rsidRPr="00DC50DD">
              <w:rPr>
                <w:color w:val="000000"/>
                <w:spacing w:val="-1"/>
                <w:lang w:val="es-CR"/>
              </w:rPr>
              <w:t xml:space="preserve"> que toda persona </w:t>
            </w:r>
            <w:r w:rsidRPr="00DC50DD">
              <w:rPr>
                <w:color w:val="000000"/>
                <w:spacing w:val="-1"/>
                <w:lang w:val="es-CR"/>
              </w:rPr>
              <w:br/>
            </w:r>
            <w:r w:rsidRPr="00DC50DD">
              <w:rPr>
                <w:color w:val="000000"/>
                <w:spacing w:val="-4"/>
                <w:lang w:val="es-CR"/>
              </w:rPr>
              <w:t xml:space="preserve">acusada de un delito tendrá derecho a interrogar o hacer interrogar a los testigos de </w:t>
            </w:r>
            <w:r w:rsidRPr="00DC50DD">
              <w:rPr>
                <w:color w:val="000000"/>
                <w:w w:val="104"/>
                <w:lang w:val="es-CR"/>
              </w:rPr>
              <w:t>cargo y a obtener la comparecencia de los trigos de descargo.</w:t>
            </w:r>
            <w:r w:rsidRPr="00DC50DD">
              <w:rPr>
                <w:color w:val="000000"/>
                <w:spacing w:val="-1"/>
                <w:lang w:val="es-CR"/>
              </w:rPr>
              <w:t xml:space="preserve"> </w:t>
            </w:r>
          </w:p>
          <w:p w:rsidR="00C80A1E" w:rsidRPr="00DC50DD" w:rsidRDefault="00C80A1E" w:rsidP="00DC50DD">
            <w:pPr>
              <w:spacing w:after="0" w:line="240" w:lineRule="auto"/>
              <w:jc w:val="both"/>
              <w:rPr>
                <w:color w:val="000000"/>
                <w:spacing w:val="-1"/>
                <w:lang w:val="es-CR"/>
              </w:rPr>
            </w:pPr>
            <w:r w:rsidRPr="00DC50DD">
              <w:rPr>
                <w:color w:val="000000"/>
                <w:lang w:val="es-CR"/>
              </w:rPr>
              <w:t xml:space="preserve">La Sala explicó que la igualdad de trato que establecen </w:t>
            </w:r>
            <w:r w:rsidRPr="00DC50DD">
              <w:rPr>
                <w:color w:val="000000"/>
                <w:lang w:val="es-CR"/>
              </w:rPr>
              <w:br/>
              <w:t>el PIDCP</w:t>
            </w:r>
            <w:r w:rsidRPr="00DC50DD">
              <w:rPr>
                <w:color w:val="000000"/>
                <w:w w:val="103"/>
                <w:lang w:val="es-CR"/>
              </w:rPr>
              <w:t xml:space="preserve">, se garantizan al permitir igual </w:t>
            </w:r>
            <w:r w:rsidRPr="00DC50DD">
              <w:rPr>
                <w:color w:val="000000"/>
                <w:w w:val="104"/>
                <w:lang w:val="es-CR"/>
              </w:rPr>
              <w:t xml:space="preserve">acceso y actividad a todas las partes en los actos procesales de la </w:t>
            </w:r>
            <w:bookmarkStart w:id="10" w:name="Pg13"/>
            <w:bookmarkEnd w:id="10"/>
            <w:r w:rsidRPr="00DC50DD">
              <w:rPr>
                <w:color w:val="000000"/>
                <w:lang w:val="es-CR"/>
              </w:rPr>
              <w:t xml:space="preserve">causa, de presentación de testigos y de interrogatorio a todos los que se </w:t>
            </w:r>
            <w:r w:rsidRPr="00DC50DD">
              <w:rPr>
                <w:color w:val="000000"/>
                <w:lang w:val="es-CR"/>
              </w:rPr>
              <w:br/>
              <w:t>presenten. La Sala concluyó que el numeral sometido a análisis no violentaba el PIDCP.</w:t>
            </w:r>
          </w:p>
        </w:tc>
      </w:tr>
      <w:tr w:rsidR="00C856B0" w:rsidRPr="00DC50DD" w:rsidTr="00DC50DD">
        <w:tc>
          <w:tcPr>
            <w:tcW w:w="2830" w:type="dxa"/>
          </w:tcPr>
          <w:p w:rsidR="00C80A1E" w:rsidRPr="00DC50DD" w:rsidRDefault="00C80A1E" w:rsidP="00DC50DD">
            <w:pPr>
              <w:spacing w:after="0" w:line="240" w:lineRule="auto"/>
              <w:jc w:val="center"/>
              <w:rPr>
                <w:b/>
                <w:bCs/>
                <w:lang w:val="es-CR"/>
              </w:rPr>
            </w:pPr>
            <w:r w:rsidRPr="00DC50DD">
              <w:rPr>
                <w:b/>
                <w:bCs/>
                <w:lang w:val="es-CR"/>
              </w:rPr>
              <w:t>N.° 1993-005171 de las 14:30 horas del 19 de octubre de 1993</w:t>
            </w:r>
          </w:p>
        </w:tc>
        <w:tc>
          <w:tcPr>
            <w:tcW w:w="2977" w:type="dxa"/>
          </w:tcPr>
          <w:p w:rsidR="00C80A1E" w:rsidRPr="00DC50DD" w:rsidRDefault="00C80A1E" w:rsidP="00DC50DD">
            <w:pPr>
              <w:spacing w:after="0" w:line="240" w:lineRule="auto"/>
              <w:jc w:val="center"/>
              <w:rPr>
                <w:lang w:val="es-CR"/>
              </w:rPr>
            </w:pPr>
            <w:r w:rsidRPr="00DC50DD">
              <w:rPr>
                <w:lang w:val="es-CR"/>
              </w:rPr>
              <w:t>Sala Constitucional de la Corte Suprema de Justicia</w:t>
            </w:r>
          </w:p>
        </w:tc>
        <w:tc>
          <w:tcPr>
            <w:tcW w:w="2835" w:type="dxa"/>
          </w:tcPr>
          <w:p w:rsidR="00C80A1E" w:rsidRPr="00DC50DD" w:rsidRDefault="00C80A1E" w:rsidP="00DC50DD">
            <w:pPr>
              <w:spacing w:after="0" w:line="240" w:lineRule="auto"/>
              <w:jc w:val="center"/>
              <w:rPr>
                <w:lang w:val="es-CR"/>
              </w:rPr>
            </w:pPr>
            <w:r w:rsidRPr="00DC50DD">
              <w:rPr>
                <w:lang w:val="es-CR"/>
              </w:rPr>
              <w:t>Acción de Inconstitucionalidad</w:t>
            </w:r>
          </w:p>
        </w:tc>
        <w:tc>
          <w:tcPr>
            <w:tcW w:w="4354" w:type="dxa"/>
          </w:tcPr>
          <w:p w:rsidR="00C80A1E" w:rsidRPr="00DC50DD" w:rsidRDefault="00C80A1E" w:rsidP="00DC50DD">
            <w:pPr>
              <w:spacing w:after="0" w:line="240" w:lineRule="auto"/>
              <w:jc w:val="both"/>
              <w:rPr>
                <w:lang w:val="es-CR"/>
              </w:rPr>
            </w:pPr>
            <w:r w:rsidRPr="00DC50DD">
              <w:rPr>
                <w:lang w:val="es-CR"/>
              </w:rPr>
              <w:t>Invocó el artículo 14 inciso 2) del Pacto para defender el principio de presunción de inocencia en una acción de inconstitucional en contra del artículo 90 del Código Tributario que establecía causales para presumir un fraude.</w:t>
            </w:r>
          </w:p>
        </w:tc>
      </w:tr>
      <w:tr w:rsidR="00C856B0" w:rsidRPr="00DC50DD" w:rsidTr="00DC50DD">
        <w:tc>
          <w:tcPr>
            <w:tcW w:w="2830" w:type="dxa"/>
            <w:shd w:val="clear" w:color="auto" w:fill="DEEAF6"/>
          </w:tcPr>
          <w:p w:rsidR="00C80A1E" w:rsidRPr="00DC50DD" w:rsidRDefault="00C80A1E" w:rsidP="00DC50DD">
            <w:pPr>
              <w:spacing w:after="0" w:line="240" w:lineRule="auto"/>
              <w:jc w:val="center"/>
              <w:rPr>
                <w:b/>
                <w:bCs/>
                <w:lang w:val="es-CR"/>
              </w:rPr>
            </w:pPr>
            <w:r w:rsidRPr="00DC50DD">
              <w:rPr>
                <w:b/>
                <w:bCs/>
                <w:lang w:val="es-CR"/>
              </w:rPr>
              <w:t xml:space="preserve">N.° 2008-011623 de las 10:16 horas </w:t>
            </w:r>
            <w:r w:rsidRPr="00DC50DD">
              <w:rPr>
                <w:b/>
                <w:bCs/>
                <w:lang w:val="es-CR"/>
              </w:rPr>
              <w:lastRenderedPageBreak/>
              <w:t>del 25 de julio de 2008</w:t>
            </w:r>
          </w:p>
        </w:tc>
        <w:tc>
          <w:tcPr>
            <w:tcW w:w="2977" w:type="dxa"/>
            <w:shd w:val="clear" w:color="auto" w:fill="DEEAF6"/>
          </w:tcPr>
          <w:p w:rsidR="00C80A1E" w:rsidRPr="00DC50DD" w:rsidRDefault="00C80A1E" w:rsidP="00DC50DD">
            <w:pPr>
              <w:spacing w:after="0" w:line="240" w:lineRule="auto"/>
              <w:jc w:val="center"/>
              <w:rPr>
                <w:lang w:val="es-CR"/>
              </w:rPr>
            </w:pPr>
            <w:r w:rsidRPr="00DC50DD">
              <w:rPr>
                <w:lang w:val="es-CR"/>
              </w:rPr>
              <w:lastRenderedPageBreak/>
              <w:t xml:space="preserve">Sala Constitucional de la Corte Suprema </w:t>
            </w:r>
            <w:r w:rsidRPr="00DC50DD">
              <w:rPr>
                <w:lang w:val="es-CR"/>
              </w:rPr>
              <w:lastRenderedPageBreak/>
              <w:t>de Justicia</w:t>
            </w:r>
          </w:p>
        </w:tc>
        <w:tc>
          <w:tcPr>
            <w:tcW w:w="2835" w:type="dxa"/>
            <w:shd w:val="clear" w:color="auto" w:fill="DEEAF6"/>
          </w:tcPr>
          <w:p w:rsidR="00C80A1E" w:rsidRPr="00DC50DD" w:rsidRDefault="00C80A1E" w:rsidP="00DC50DD">
            <w:pPr>
              <w:spacing w:after="0" w:line="240" w:lineRule="auto"/>
              <w:jc w:val="center"/>
              <w:rPr>
                <w:lang w:val="es-CR"/>
              </w:rPr>
            </w:pPr>
            <w:r w:rsidRPr="00DC50DD">
              <w:rPr>
                <w:lang w:val="es-CR"/>
              </w:rPr>
              <w:lastRenderedPageBreak/>
              <w:t>Acción de Inconstitucionalidad</w:t>
            </w:r>
          </w:p>
        </w:tc>
        <w:tc>
          <w:tcPr>
            <w:tcW w:w="4354" w:type="dxa"/>
            <w:shd w:val="clear" w:color="auto" w:fill="DEEAF6"/>
          </w:tcPr>
          <w:p w:rsidR="00C80A1E" w:rsidRPr="00DC50DD" w:rsidRDefault="00C80A1E" w:rsidP="00DC50DD">
            <w:pPr>
              <w:spacing w:after="0" w:line="240" w:lineRule="auto"/>
              <w:jc w:val="both"/>
              <w:rPr>
                <w:lang w:val="es-CR"/>
              </w:rPr>
            </w:pPr>
            <w:r w:rsidRPr="00DC50DD">
              <w:rPr>
                <w:lang w:val="es-CR"/>
              </w:rPr>
              <w:t xml:space="preserve">En una acción de inconstitucionalidad contra un tipo </w:t>
            </w:r>
            <w:r w:rsidRPr="00DC50DD">
              <w:rPr>
                <w:lang w:val="es-CR"/>
              </w:rPr>
              <w:lastRenderedPageBreak/>
              <w:t>penal en blanco, considerado por el recurrente, utiliza el artículo 15 del Pacto para defender el significado del principio de legalidad criminal.</w:t>
            </w:r>
          </w:p>
        </w:tc>
      </w:tr>
      <w:tr w:rsidR="00C856B0" w:rsidRPr="00DC50DD" w:rsidTr="00DC50DD">
        <w:tc>
          <w:tcPr>
            <w:tcW w:w="2830" w:type="dxa"/>
          </w:tcPr>
          <w:p w:rsidR="00C80A1E" w:rsidRPr="00DC50DD" w:rsidRDefault="00C80A1E" w:rsidP="00DC50DD">
            <w:pPr>
              <w:spacing w:after="0" w:line="240" w:lineRule="auto"/>
              <w:jc w:val="center"/>
              <w:rPr>
                <w:b/>
                <w:bCs/>
                <w:lang w:val="es-CR"/>
              </w:rPr>
            </w:pPr>
            <w:r w:rsidRPr="00DC50DD">
              <w:rPr>
                <w:b/>
                <w:bCs/>
                <w:lang w:val="es-CR"/>
              </w:rPr>
              <w:lastRenderedPageBreak/>
              <w:t>N.° 2009-014019 de las 14:37 horas del 1 de setiembre de 2009</w:t>
            </w:r>
          </w:p>
        </w:tc>
        <w:tc>
          <w:tcPr>
            <w:tcW w:w="2977" w:type="dxa"/>
          </w:tcPr>
          <w:p w:rsidR="00C80A1E" w:rsidRPr="00DC50DD" w:rsidRDefault="00C80A1E" w:rsidP="00DC50DD">
            <w:pPr>
              <w:spacing w:after="0" w:line="240" w:lineRule="auto"/>
              <w:jc w:val="center"/>
              <w:rPr>
                <w:lang w:val="es-CR"/>
              </w:rPr>
            </w:pPr>
            <w:r w:rsidRPr="00DC50DD">
              <w:rPr>
                <w:lang w:val="es-CR"/>
              </w:rPr>
              <w:t>Sala Constitucional de la Corte Suprema de Justicia</w:t>
            </w:r>
          </w:p>
        </w:tc>
        <w:tc>
          <w:tcPr>
            <w:tcW w:w="2835" w:type="dxa"/>
          </w:tcPr>
          <w:p w:rsidR="00C80A1E" w:rsidRPr="00DC50DD" w:rsidRDefault="00C80A1E" w:rsidP="00DC50DD">
            <w:pPr>
              <w:spacing w:after="0" w:line="240" w:lineRule="auto"/>
              <w:jc w:val="center"/>
              <w:rPr>
                <w:lang w:val="es-CR"/>
              </w:rPr>
            </w:pPr>
            <w:r w:rsidRPr="00DC50DD">
              <w:rPr>
                <w:lang w:val="es-CR"/>
              </w:rPr>
              <w:t>Acción de Inconstitucionalidad</w:t>
            </w:r>
          </w:p>
        </w:tc>
        <w:tc>
          <w:tcPr>
            <w:tcW w:w="4354" w:type="dxa"/>
          </w:tcPr>
          <w:p w:rsidR="00C80A1E" w:rsidRPr="00DC50DD" w:rsidRDefault="00C80A1E" w:rsidP="00DC50DD">
            <w:pPr>
              <w:spacing w:after="0" w:line="240" w:lineRule="auto"/>
              <w:jc w:val="both"/>
              <w:rPr>
                <w:lang w:val="es-CR"/>
              </w:rPr>
            </w:pPr>
            <w:r w:rsidRPr="00DC50DD">
              <w:rPr>
                <w:lang w:val="es-CR"/>
              </w:rPr>
              <w:t>Ante una acción de inconstitucionalidad contra el Código Procesal Penal, donde se mencionaba una presunta violación al principio de igualdad entre imputado y víctima, la Sala invoca el artículo 14 del Pacto, referido al derecho de acceso a la justicia, para hacer ver que la posición de imputado y víctima no son equiparables en el proceso penal.</w:t>
            </w:r>
          </w:p>
        </w:tc>
      </w:tr>
      <w:tr w:rsidR="00C856B0" w:rsidRPr="00DC50DD" w:rsidTr="00DC50DD">
        <w:tc>
          <w:tcPr>
            <w:tcW w:w="2830" w:type="dxa"/>
            <w:shd w:val="clear" w:color="auto" w:fill="DEEAF6"/>
          </w:tcPr>
          <w:p w:rsidR="00C80A1E" w:rsidRPr="00DC50DD" w:rsidRDefault="00C80A1E" w:rsidP="00DC50DD">
            <w:pPr>
              <w:spacing w:after="0" w:line="240" w:lineRule="auto"/>
              <w:jc w:val="center"/>
              <w:rPr>
                <w:b/>
                <w:bCs/>
                <w:lang w:val="es-CR"/>
              </w:rPr>
            </w:pPr>
            <w:r w:rsidRPr="00DC50DD">
              <w:rPr>
                <w:b/>
                <w:bCs/>
                <w:lang w:val="es-CR"/>
              </w:rPr>
              <w:t>N.° 2008-7548 de las 05:37 horas del 30 de abril del 2008, Expediente No. 07-005291-0007-CO</w:t>
            </w:r>
          </w:p>
        </w:tc>
        <w:tc>
          <w:tcPr>
            <w:tcW w:w="2977" w:type="dxa"/>
            <w:shd w:val="clear" w:color="auto" w:fill="DEEAF6"/>
          </w:tcPr>
          <w:p w:rsidR="00C80A1E" w:rsidRPr="00DC50DD" w:rsidRDefault="00C80A1E" w:rsidP="00DC50DD">
            <w:pPr>
              <w:spacing w:after="0" w:line="240" w:lineRule="auto"/>
              <w:jc w:val="center"/>
              <w:rPr>
                <w:lang w:val="es-CR"/>
              </w:rPr>
            </w:pPr>
            <w:r w:rsidRPr="00DC50DD">
              <w:rPr>
                <w:lang w:val="es-CR"/>
              </w:rPr>
              <w:t>Sala Constitucional de la Corte Suprema de Justicia</w:t>
            </w:r>
          </w:p>
        </w:tc>
        <w:tc>
          <w:tcPr>
            <w:tcW w:w="2835" w:type="dxa"/>
            <w:shd w:val="clear" w:color="auto" w:fill="DEEAF6"/>
          </w:tcPr>
          <w:p w:rsidR="00C80A1E" w:rsidRPr="00DC50DD" w:rsidRDefault="00C80A1E" w:rsidP="00DC50DD">
            <w:pPr>
              <w:spacing w:after="0" w:line="240" w:lineRule="auto"/>
              <w:jc w:val="center"/>
              <w:rPr>
                <w:lang w:val="es-CR"/>
              </w:rPr>
            </w:pPr>
            <w:r w:rsidRPr="00DC50DD">
              <w:rPr>
                <w:lang w:val="es-CR"/>
              </w:rPr>
              <w:t>Recurso de Amparo</w:t>
            </w:r>
          </w:p>
        </w:tc>
        <w:tc>
          <w:tcPr>
            <w:tcW w:w="4354" w:type="dxa"/>
            <w:shd w:val="clear" w:color="auto" w:fill="DEEAF6"/>
          </w:tcPr>
          <w:p w:rsidR="00C80A1E" w:rsidRPr="00DC50DD" w:rsidRDefault="00C80A1E" w:rsidP="00DC50DD">
            <w:pPr>
              <w:spacing w:after="0" w:line="240" w:lineRule="auto"/>
              <w:jc w:val="both"/>
              <w:rPr>
                <w:lang w:val="es-CR"/>
              </w:rPr>
            </w:pPr>
            <w:r w:rsidRPr="00DC50DD">
              <w:rPr>
                <w:lang w:val="es-CR"/>
              </w:rPr>
              <w:t>En relación al secreto de las fuentes de información, como derecho fundamento de los periodistas, el Tribunal Constitucional aplica el artículo 19.2 del Pacto y el artículo 13.1 de la Convención Americana, para extraer el derecho al secreto de los periodistas con respecto a sus fuentes de información, como derecho instrumental del derecho a difundir y recibir información.</w:t>
            </w:r>
          </w:p>
        </w:tc>
      </w:tr>
      <w:tr w:rsidR="00C856B0" w:rsidRPr="00DC50DD" w:rsidTr="00DC50DD">
        <w:tc>
          <w:tcPr>
            <w:tcW w:w="2830" w:type="dxa"/>
          </w:tcPr>
          <w:p w:rsidR="00C80A1E" w:rsidRPr="00DC50DD" w:rsidRDefault="00C80A1E" w:rsidP="00DC50DD">
            <w:pPr>
              <w:spacing w:after="0" w:line="240" w:lineRule="auto"/>
              <w:jc w:val="center"/>
              <w:rPr>
                <w:b/>
                <w:bCs/>
                <w:lang w:val="es-CR"/>
              </w:rPr>
            </w:pPr>
            <w:r w:rsidRPr="00DC50DD">
              <w:rPr>
                <w:b/>
                <w:bCs/>
                <w:lang w:val="es-CR"/>
              </w:rPr>
              <w:t>N.° 2001-000438 de las 09:30 horas del 03 de agosto de 2001</w:t>
            </w:r>
          </w:p>
        </w:tc>
        <w:tc>
          <w:tcPr>
            <w:tcW w:w="2977" w:type="dxa"/>
          </w:tcPr>
          <w:p w:rsidR="00C80A1E" w:rsidRPr="00DC50DD" w:rsidRDefault="00C80A1E" w:rsidP="00DC50DD">
            <w:pPr>
              <w:spacing w:after="0" w:line="240" w:lineRule="auto"/>
              <w:jc w:val="center"/>
              <w:rPr>
                <w:lang w:val="es-CR"/>
              </w:rPr>
            </w:pPr>
            <w:r w:rsidRPr="00DC50DD">
              <w:rPr>
                <w:lang w:val="es-CR"/>
              </w:rPr>
              <w:t>Sala Segunda de la Corte Suprema de Justicia</w:t>
            </w:r>
          </w:p>
        </w:tc>
        <w:tc>
          <w:tcPr>
            <w:tcW w:w="2835" w:type="dxa"/>
          </w:tcPr>
          <w:p w:rsidR="00C80A1E" w:rsidRPr="00DC50DD" w:rsidRDefault="00C80A1E" w:rsidP="00DC50DD">
            <w:pPr>
              <w:spacing w:after="0" w:line="240" w:lineRule="auto"/>
              <w:jc w:val="center"/>
              <w:rPr>
                <w:lang w:val="es-CR"/>
              </w:rPr>
            </w:pPr>
            <w:r w:rsidRPr="00DC50DD">
              <w:rPr>
                <w:lang w:val="es-CR"/>
              </w:rPr>
              <w:t>Proceso ordinario laboral</w:t>
            </w:r>
          </w:p>
        </w:tc>
        <w:tc>
          <w:tcPr>
            <w:tcW w:w="4354" w:type="dxa"/>
          </w:tcPr>
          <w:p w:rsidR="00C80A1E" w:rsidRPr="00DC50DD" w:rsidRDefault="00C80A1E" w:rsidP="00DC50DD">
            <w:pPr>
              <w:spacing w:after="0" w:line="240" w:lineRule="auto"/>
              <w:jc w:val="both"/>
              <w:rPr>
                <w:lang w:val="es-CR"/>
              </w:rPr>
            </w:pPr>
            <w:r w:rsidRPr="00DC50DD">
              <w:rPr>
                <w:lang w:val="es-CR"/>
              </w:rPr>
              <w:t>En un caso de despido por embarazo, relacionan el artículo 24 del Pacto, referido a la protección especial al niño, para construir, con otros cuerpos normativos, el alcance a nivel internacional que tiene esta regulación.</w:t>
            </w:r>
          </w:p>
        </w:tc>
      </w:tr>
      <w:tr w:rsidR="00C856B0" w:rsidRPr="00DC50DD" w:rsidTr="00DC50DD">
        <w:tc>
          <w:tcPr>
            <w:tcW w:w="2830" w:type="dxa"/>
            <w:shd w:val="clear" w:color="auto" w:fill="DEEAF6"/>
          </w:tcPr>
          <w:p w:rsidR="00C80A1E" w:rsidRPr="00DC50DD" w:rsidRDefault="00C80A1E" w:rsidP="00DC50DD">
            <w:pPr>
              <w:spacing w:after="0" w:line="240" w:lineRule="auto"/>
              <w:jc w:val="center"/>
              <w:rPr>
                <w:b/>
                <w:bCs/>
                <w:lang w:val="es-CR"/>
              </w:rPr>
            </w:pPr>
            <w:r w:rsidRPr="00DC50DD">
              <w:rPr>
                <w:b/>
                <w:bCs/>
                <w:lang w:val="es-CR"/>
              </w:rPr>
              <w:t>N.° 2013-01579 de las 11:05 horas, Expediente: 08-000078-0006-PE</w:t>
            </w:r>
          </w:p>
        </w:tc>
        <w:tc>
          <w:tcPr>
            <w:tcW w:w="2977" w:type="dxa"/>
            <w:shd w:val="clear" w:color="auto" w:fill="DEEAF6"/>
          </w:tcPr>
          <w:p w:rsidR="00C80A1E" w:rsidRPr="00DC50DD" w:rsidRDefault="00C80A1E" w:rsidP="00DC50DD">
            <w:pPr>
              <w:spacing w:after="0" w:line="240" w:lineRule="auto"/>
              <w:jc w:val="center"/>
              <w:rPr>
                <w:lang w:val="es-CR"/>
              </w:rPr>
            </w:pPr>
            <w:r w:rsidRPr="00DC50DD">
              <w:rPr>
                <w:lang w:val="es-CR"/>
              </w:rPr>
              <w:t>Sala Tercera de la Corte Suprema de Justicia</w:t>
            </w:r>
          </w:p>
        </w:tc>
        <w:tc>
          <w:tcPr>
            <w:tcW w:w="2835" w:type="dxa"/>
            <w:shd w:val="clear" w:color="auto" w:fill="DEEAF6"/>
          </w:tcPr>
          <w:p w:rsidR="00C80A1E" w:rsidRPr="00DC50DD" w:rsidRDefault="00C80A1E" w:rsidP="00DC50DD">
            <w:pPr>
              <w:spacing w:after="0" w:line="240" w:lineRule="auto"/>
              <w:jc w:val="center"/>
              <w:rPr>
                <w:lang w:val="es-CR"/>
              </w:rPr>
            </w:pPr>
            <w:r w:rsidRPr="00DC50DD">
              <w:rPr>
                <w:lang w:val="es-CR"/>
              </w:rPr>
              <w:t>Procedimiento de revisión</w:t>
            </w:r>
          </w:p>
        </w:tc>
        <w:tc>
          <w:tcPr>
            <w:tcW w:w="4354" w:type="dxa"/>
            <w:shd w:val="clear" w:color="auto" w:fill="DEEAF6"/>
          </w:tcPr>
          <w:p w:rsidR="00C80A1E" w:rsidRPr="00DC50DD" w:rsidRDefault="00C80A1E" w:rsidP="00DC50DD">
            <w:pPr>
              <w:spacing w:after="0" w:line="240" w:lineRule="auto"/>
              <w:jc w:val="both"/>
              <w:rPr>
                <w:lang w:val="es-CR"/>
              </w:rPr>
            </w:pPr>
            <w:r w:rsidRPr="00DC50DD">
              <w:rPr>
                <w:lang w:val="es-CR"/>
              </w:rPr>
              <w:t xml:space="preserve">Se invoca el artículo 14 inciso 1) del Pacto para declarar con lugar recurso planteado, en relación a una violación al debido proceso por infracción al principio de imparcialidad ya que las juezas participaron en varias etapas del proceso penal, por lo que se ordena una nueva integración de la Sala Tercera para resolver los </w:t>
            </w:r>
            <w:r w:rsidRPr="00DC50DD">
              <w:rPr>
                <w:lang w:val="es-CR"/>
              </w:rPr>
              <w:lastRenderedPageBreak/>
              <w:t xml:space="preserve">recursos de casación formulados. </w:t>
            </w:r>
          </w:p>
        </w:tc>
      </w:tr>
      <w:tr w:rsidR="00C856B0" w:rsidRPr="00DC50DD" w:rsidTr="00DC50DD">
        <w:tc>
          <w:tcPr>
            <w:tcW w:w="2830" w:type="dxa"/>
          </w:tcPr>
          <w:p w:rsidR="00C80A1E" w:rsidRPr="00DC50DD" w:rsidRDefault="00C80A1E" w:rsidP="00DC50DD">
            <w:pPr>
              <w:spacing w:after="0" w:line="240" w:lineRule="auto"/>
              <w:jc w:val="center"/>
              <w:rPr>
                <w:b/>
                <w:bCs/>
                <w:lang w:val="es-CR"/>
              </w:rPr>
            </w:pPr>
            <w:r w:rsidRPr="00DC50DD">
              <w:rPr>
                <w:b/>
                <w:bCs/>
                <w:lang w:val="es-CR"/>
              </w:rPr>
              <w:lastRenderedPageBreak/>
              <w:t>N.° 2013-00120 de las 15:30 horas del 20 de diciembre de 2003.</w:t>
            </w:r>
          </w:p>
        </w:tc>
        <w:tc>
          <w:tcPr>
            <w:tcW w:w="2977" w:type="dxa"/>
          </w:tcPr>
          <w:p w:rsidR="00C80A1E" w:rsidRPr="00DC50DD" w:rsidRDefault="00C80A1E" w:rsidP="00DC50DD">
            <w:pPr>
              <w:spacing w:after="0" w:line="240" w:lineRule="auto"/>
              <w:jc w:val="center"/>
              <w:rPr>
                <w:lang w:val="es-CR"/>
              </w:rPr>
            </w:pPr>
            <w:r w:rsidRPr="00DC50DD">
              <w:rPr>
                <w:lang w:val="es-CR"/>
              </w:rPr>
              <w:t>Tribunal Contencioso Administrativo</w:t>
            </w:r>
          </w:p>
        </w:tc>
        <w:tc>
          <w:tcPr>
            <w:tcW w:w="2835" w:type="dxa"/>
          </w:tcPr>
          <w:p w:rsidR="00C80A1E" w:rsidRPr="00DC50DD" w:rsidRDefault="00C80A1E" w:rsidP="00DC50DD">
            <w:pPr>
              <w:spacing w:after="0" w:line="240" w:lineRule="auto"/>
              <w:jc w:val="center"/>
              <w:rPr>
                <w:lang w:val="es-CR"/>
              </w:rPr>
            </w:pPr>
            <w:r w:rsidRPr="00DC50DD">
              <w:rPr>
                <w:lang w:val="es-CR"/>
              </w:rPr>
              <w:t>Proceso de conocimiento</w:t>
            </w:r>
          </w:p>
        </w:tc>
        <w:tc>
          <w:tcPr>
            <w:tcW w:w="4354" w:type="dxa"/>
          </w:tcPr>
          <w:p w:rsidR="00C80A1E" w:rsidRPr="00DC50DD" w:rsidRDefault="00C80A1E" w:rsidP="00DC50DD">
            <w:pPr>
              <w:spacing w:after="0" w:line="240" w:lineRule="auto"/>
              <w:jc w:val="both"/>
              <w:rPr>
                <w:lang w:val="es-CR"/>
              </w:rPr>
            </w:pPr>
            <w:r w:rsidRPr="00DC50DD">
              <w:rPr>
                <w:lang w:val="es-CR"/>
              </w:rPr>
              <w:t>Caso donde se cuestiona la desregularización de requisitos para que la CCSS acceda a medicamentos para tratar temas oncológicos, lo que se presume pone en peligro la salud de la colectividad y que no fue consultado a órganos competentes. En este contexto, utiliza los artículos 6 y 7 del Pacto para, en conjunto con otros, derivan del derecho a la vida, el derecho a la salud humana y así, es un tema de interés público que debió ser consultado y, al no haberse realizado, se anula.</w:t>
            </w:r>
          </w:p>
        </w:tc>
      </w:tr>
      <w:tr w:rsidR="00C856B0" w:rsidRPr="00DC50DD" w:rsidTr="00DC50DD">
        <w:tc>
          <w:tcPr>
            <w:tcW w:w="2830" w:type="dxa"/>
            <w:shd w:val="clear" w:color="auto" w:fill="DEEAF6"/>
          </w:tcPr>
          <w:p w:rsidR="00C80A1E" w:rsidRPr="00DC50DD" w:rsidRDefault="00C80A1E" w:rsidP="00DC50DD">
            <w:pPr>
              <w:spacing w:after="0" w:line="240" w:lineRule="auto"/>
              <w:jc w:val="center"/>
              <w:rPr>
                <w:b/>
                <w:bCs/>
                <w:lang w:val="es-CR"/>
              </w:rPr>
            </w:pPr>
            <w:r w:rsidRPr="00DC50DD">
              <w:rPr>
                <w:b/>
                <w:bCs/>
                <w:lang w:val="es-CR"/>
              </w:rPr>
              <w:t>N.° 2015-37 de las 10:05 horas del 14 de enero del 2015</w:t>
            </w:r>
          </w:p>
        </w:tc>
        <w:tc>
          <w:tcPr>
            <w:tcW w:w="2977" w:type="dxa"/>
            <w:shd w:val="clear" w:color="auto" w:fill="DEEAF6"/>
          </w:tcPr>
          <w:p w:rsidR="00C80A1E" w:rsidRPr="00DC50DD" w:rsidRDefault="00C80A1E" w:rsidP="00DC50DD">
            <w:pPr>
              <w:spacing w:after="0" w:line="240" w:lineRule="auto"/>
              <w:jc w:val="center"/>
              <w:rPr>
                <w:lang w:val="es-CR"/>
              </w:rPr>
            </w:pPr>
            <w:r w:rsidRPr="00DC50DD">
              <w:rPr>
                <w:lang w:val="es-CR"/>
              </w:rPr>
              <w:t>Tribunal de Apelación de Sentencia, II Circuito Judicial de San José</w:t>
            </w:r>
          </w:p>
        </w:tc>
        <w:tc>
          <w:tcPr>
            <w:tcW w:w="2835" w:type="dxa"/>
            <w:shd w:val="clear" w:color="auto" w:fill="DEEAF6"/>
          </w:tcPr>
          <w:p w:rsidR="00C80A1E" w:rsidRPr="00DC50DD" w:rsidRDefault="00C80A1E" w:rsidP="00DC50DD">
            <w:pPr>
              <w:spacing w:after="0" w:line="240" w:lineRule="auto"/>
              <w:jc w:val="center"/>
              <w:rPr>
                <w:lang w:val="es-CR"/>
              </w:rPr>
            </w:pPr>
            <w:r w:rsidRPr="00DC50DD">
              <w:rPr>
                <w:lang w:val="es-CR"/>
              </w:rPr>
              <w:t>Recurso de apelación</w:t>
            </w:r>
          </w:p>
        </w:tc>
        <w:tc>
          <w:tcPr>
            <w:tcW w:w="4354" w:type="dxa"/>
            <w:shd w:val="clear" w:color="auto" w:fill="DEEAF6"/>
          </w:tcPr>
          <w:p w:rsidR="00C80A1E" w:rsidRPr="00DC50DD" w:rsidRDefault="00C80A1E" w:rsidP="00DC50DD">
            <w:pPr>
              <w:spacing w:after="0" w:line="240" w:lineRule="auto"/>
              <w:jc w:val="both"/>
              <w:rPr>
                <w:lang w:val="es-CR"/>
              </w:rPr>
            </w:pPr>
            <w:r w:rsidRPr="00DC50DD">
              <w:rPr>
                <w:lang w:val="es-CR"/>
              </w:rPr>
              <w:t xml:space="preserve">Uso del artículo 15.1 del Pacto y el artículo 9 de la Convención Americana de Derechos Humanos, en conjunto con el artículo 1 y 2 del Código Penal, para fundamentar los alcances del principio de legalidad en relación a una errónea interpretación de las normas sustantivas al realizar la fundamentación de la prueba. </w:t>
            </w:r>
          </w:p>
        </w:tc>
      </w:tr>
      <w:tr w:rsidR="00C856B0" w:rsidRPr="00DC50DD" w:rsidTr="00DC50DD">
        <w:tc>
          <w:tcPr>
            <w:tcW w:w="2830" w:type="dxa"/>
          </w:tcPr>
          <w:p w:rsidR="00C80A1E" w:rsidRPr="00DC50DD" w:rsidRDefault="00C80A1E" w:rsidP="00DC50DD">
            <w:pPr>
              <w:spacing w:after="0" w:line="240" w:lineRule="auto"/>
              <w:jc w:val="center"/>
              <w:rPr>
                <w:b/>
                <w:bCs/>
                <w:lang w:val="es-CR"/>
              </w:rPr>
            </w:pPr>
            <w:r w:rsidRPr="00DC50DD">
              <w:rPr>
                <w:b/>
                <w:bCs/>
                <w:color w:val="010101"/>
                <w:lang w:val="es-CR"/>
              </w:rPr>
              <w:t xml:space="preserve">N.° </w:t>
            </w:r>
            <w:r w:rsidRPr="00DC50DD">
              <w:rPr>
                <w:b/>
                <w:bCs/>
                <w:lang w:val="es-CR"/>
              </w:rPr>
              <w:t>2002-0053 del 1° de febrero de 2002</w:t>
            </w:r>
          </w:p>
          <w:p w:rsidR="00C80A1E" w:rsidRPr="00DC50DD" w:rsidRDefault="00C80A1E" w:rsidP="00DC50DD">
            <w:pPr>
              <w:spacing w:after="0" w:line="240" w:lineRule="auto"/>
              <w:jc w:val="center"/>
              <w:rPr>
                <w:b/>
                <w:bCs/>
                <w:lang w:val="es-CR"/>
              </w:rPr>
            </w:pPr>
          </w:p>
          <w:p w:rsidR="00C80A1E" w:rsidRPr="00DC50DD" w:rsidRDefault="00C80A1E" w:rsidP="00DC50DD">
            <w:pPr>
              <w:spacing w:after="0" w:line="240" w:lineRule="auto"/>
              <w:jc w:val="center"/>
              <w:rPr>
                <w:b/>
                <w:bCs/>
                <w:lang w:val="es-CR"/>
              </w:rPr>
            </w:pPr>
            <w:r w:rsidRPr="00DC50DD">
              <w:rPr>
                <w:b/>
                <w:bCs/>
                <w:color w:val="010101"/>
                <w:lang w:val="es-CR"/>
              </w:rPr>
              <w:t xml:space="preserve">N.° </w:t>
            </w:r>
            <w:r w:rsidRPr="00DC50DD">
              <w:rPr>
                <w:b/>
                <w:bCs/>
                <w:lang w:val="es-CR"/>
              </w:rPr>
              <w:t>2003-01143 del 6 de noviembre de 2006</w:t>
            </w:r>
          </w:p>
          <w:p w:rsidR="00C80A1E" w:rsidRPr="00DC50DD" w:rsidRDefault="00C80A1E" w:rsidP="00DC50DD">
            <w:pPr>
              <w:spacing w:after="0" w:line="240" w:lineRule="auto"/>
              <w:jc w:val="center"/>
              <w:rPr>
                <w:b/>
                <w:bCs/>
                <w:lang w:val="es-CR"/>
              </w:rPr>
            </w:pPr>
          </w:p>
          <w:p w:rsidR="00C80A1E" w:rsidRPr="00DC50DD" w:rsidRDefault="00C80A1E" w:rsidP="00DC50DD">
            <w:pPr>
              <w:spacing w:after="0" w:line="240" w:lineRule="auto"/>
              <w:jc w:val="center"/>
              <w:rPr>
                <w:b/>
                <w:bCs/>
                <w:lang w:val="es-CR"/>
              </w:rPr>
            </w:pPr>
            <w:r w:rsidRPr="00DC50DD">
              <w:rPr>
                <w:b/>
                <w:bCs/>
                <w:color w:val="010101"/>
                <w:lang w:val="es-CR"/>
              </w:rPr>
              <w:t xml:space="preserve">N.° </w:t>
            </w:r>
            <w:r w:rsidRPr="00DC50DD">
              <w:rPr>
                <w:b/>
                <w:bCs/>
                <w:lang w:val="es-CR"/>
              </w:rPr>
              <w:t>2007-0179 del 16 de febrero de 2007</w:t>
            </w:r>
          </w:p>
          <w:p w:rsidR="00C80A1E" w:rsidRPr="00DC50DD" w:rsidRDefault="00C80A1E" w:rsidP="00DC50DD">
            <w:pPr>
              <w:spacing w:before="100" w:beforeAutospacing="1" w:after="100" w:afterAutospacing="1" w:line="240" w:lineRule="auto"/>
              <w:ind w:firstLine="567"/>
              <w:jc w:val="center"/>
              <w:rPr>
                <w:b/>
                <w:bCs/>
                <w:lang w:val="es-CR"/>
              </w:rPr>
            </w:pPr>
          </w:p>
        </w:tc>
        <w:tc>
          <w:tcPr>
            <w:tcW w:w="2977" w:type="dxa"/>
          </w:tcPr>
          <w:p w:rsidR="00C80A1E" w:rsidRPr="00DC50DD" w:rsidRDefault="00C80A1E" w:rsidP="00DC50DD">
            <w:pPr>
              <w:spacing w:after="0" w:line="240" w:lineRule="auto"/>
              <w:jc w:val="center"/>
              <w:rPr>
                <w:lang w:val="es-CR"/>
              </w:rPr>
            </w:pPr>
            <w:r w:rsidRPr="00DC50DD">
              <w:rPr>
                <w:lang w:val="es-CR"/>
              </w:rPr>
              <w:t>Tribunal de Casación Penal del II Circuito Judicial</w:t>
            </w:r>
          </w:p>
        </w:tc>
        <w:tc>
          <w:tcPr>
            <w:tcW w:w="2835" w:type="dxa"/>
          </w:tcPr>
          <w:p w:rsidR="00C80A1E" w:rsidRPr="00DC50DD" w:rsidRDefault="00C80A1E" w:rsidP="00DC50DD">
            <w:pPr>
              <w:spacing w:after="0" w:line="240" w:lineRule="auto"/>
              <w:jc w:val="center"/>
              <w:rPr>
                <w:lang w:val="es-CR"/>
              </w:rPr>
            </w:pPr>
            <w:r w:rsidRPr="00DC50DD">
              <w:rPr>
                <w:lang w:val="es-CR"/>
              </w:rPr>
              <w:t>Recurso de casación</w:t>
            </w:r>
          </w:p>
          <w:p w:rsidR="00C80A1E" w:rsidRPr="00DC50DD" w:rsidRDefault="00C80A1E" w:rsidP="00DC50DD">
            <w:pPr>
              <w:spacing w:after="0" w:line="240" w:lineRule="auto"/>
              <w:jc w:val="center"/>
              <w:rPr>
                <w:lang w:val="es-CR"/>
              </w:rPr>
            </w:pPr>
          </w:p>
        </w:tc>
        <w:tc>
          <w:tcPr>
            <w:tcW w:w="4354" w:type="dxa"/>
          </w:tcPr>
          <w:p w:rsidR="00C80A1E" w:rsidRPr="00DC50DD" w:rsidRDefault="00C80A1E" w:rsidP="00DC50DD">
            <w:pPr>
              <w:spacing w:after="0" w:line="240" w:lineRule="auto"/>
              <w:jc w:val="both"/>
              <w:rPr>
                <w:lang w:val="es-CR"/>
              </w:rPr>
            </w:pPr>
            <w:r w:rsidRPr="00DC50DD">
              <w:rPr>
                <w:lang w:val="es-CR"/>
              </w:rPr>
              <w:t xml:space="preserve">En estos votos, el Tribunal considera el artículo 10.3 del PIDCP, referente a la finalidad de la penal, particularmente en cuanto a que el régimen penitenciario debe estar destinado a la reforma y readaptación social de los penados. El objetivo de esta invocación es enfatizar en la necesidad de que los jueces sigan los lineamientos necesarios (pasos) para la determinación de la pena, tales como la proporcionalidad, la consideración de elementos objetivos y subjetivos, de forma que se cumpla el espíritu del régimen penitenciario. </w:t>
            </w:r>
          </w:p>
        </w:tc>
      </w:tr>
      <w:tr w:rsidR="00C856B0" w:rsidRPr="00DC50DD" w:rsidTr="00DC50DD">
        <w:tc>
          <w:tcPr>
            <w:tcW w:w="2830" w:type="dxa"/>
            <w:shd w:val="clear" w:color="auto" w:fill="DEEAF6"/>
          </w:tcPr>
          <w:p w:rsidR="00C80A1E" w:rsidRPr="00DC50DD" w:rsidRDefault="00C80A1E" w:rsidP="00DC50DD">
            <w:pPr>
              <w:spacing w:after="0" w:line="240" w:lineRule="auto"/>
              <w:jc w:val="center"/>
              <w:rPr>
                <w:b/>
                <w:bCs/>
                <w:lang w:val="es-CR"/>
              </w:rPr>
            </w:pPr>
            <w:r w:rsidRPr="00DC50DD">
              <w:rPr>
                <w:b/>
                <w:bCs/>
                <w:lang w:val="es-CR"/>
              </w:rPr>
              <w:t xml:space="preserve">N.° 2008- 000302 de las 09:10 horas </w:t>
            </w:r>
            <w:r w:rsidRPr="00DC50DD">
              <w:rPr>
                <w:b/>
                <w:bCs/>
                <w:lang w:val="es-CR"/>
              </w:rPr>
              <w:lastRenderedPageBreak/>
              <w:t>del 1 de diciembre de 2008</w:t>
            </w:r>
          </w:p>
        </w:tc>
        <w:tc>
          <w:tcPr>
            <w:tcW w:w="2977" w:type="dxa"/>
            <w:shd w:val="clear" w:color="auto" w:fill="DEEAF6"/>
          </w:tcPr>
          <w:p w:rsidR="00C80A1E" w:rsidRPr="00DC50DD" w:rsidRDefault="00C80A1E" w:rsidP="00DC50DD">
            <w:pPr>
              <w:spacing w:after="0" w:line="240" w:lineRule="auto"/>
              <w:jc w:val="center"/>
              <w:rPr>
                <w:lang w:val="es-CR"/>
              </w:rPr>
            </w:pPr>
            <w:r w:rsidRPr="00DC50DD">
              <w:rPr>
                <w:lang w:val="es-CR"/>
              </w:rPr>
              <w:lastRenderedPageBreak/>
              <w:t>Tribunal Segundo Civil</w:t>
            </w:r>
          </w:p>
        </w:tc>
        <w:tc>
          <w:tcPr>
            <w:tcW w:w="2835" w:type="dxa"/>
            <w:shd w:val="clear" w:color="auto" w:fill="DEEAF6"/>
          </w:tcPr>
          <w:p w:rsidR="00C80A1E" w:rsidRPr="00DC50DD" w:rsidRDefault="00C80A1E" w:rsidP="00DC50DD">
            <w:pPr>
              <w:spacing w:after="0" w:line="240" w:lineRule="auto"/>
              <w:jc w:val="center"/>
              <w:rPr>
                <w:lang w:val="es-CR"/>
              </w:rPr>
            </w:pPr>
            <w:r w:rsidRPr="00DC50DD">
              <w:rPr>
                <w:lang w:val="es-CR"/>
              </w:rPr>
              <w:t>Proceso ordinario</w:t>
            </w:r>
          </w:p>
        </w:tc>
        <w:tc>
          <w:tcPr>
            <w:tcW w:w="4354" w:type="dxa"/>
            <w:shd w:val="clear" w:color="auto" w:fill="DEEAF6"/>
          </w:tcPr>
          <w:p w:rsidR="00C80A1E" w:rsidRPr="00DC50DD" w:rsidRDefault="00C80A1E" w:rsidP="00DC50DD">
            <w:pPr>
              <w:spacing w:after="0" w:line="240" w:lineRule="auto"/>
              <w:jc w:val="both"/>
              <w:rPr>
                <w:lang w:val="es-CR"/>
              </w:rPr>
            </w:pPr>
            <w:r w:rsidRPr="00DC50DD">
              <w:rPr>
                <w:lang w:val="es-CR"/>
              </w:rPr>
              <w:t xml:space="preserve">Caso donde se argumenta que una mujer no debería recibir </w:t>
            </w:r>
            <w:r w:rsidRPr="00DC50DD">
              <w:rPr>
                <w:lang w:val="es-CR"/>
              </w:rPr>
              <w:lastRenderedPageBreak/>
              <w:t>resarcimiento civil por la muerte del hijo, en razón de que el esposo ya recibió ese resarcimiento en la vía penal. A partir del artículo 3 del Pacto, sobre la igualdad de género, se desprestigia la visión machista-patriarcal esgrimida y se dice que la mujer no depende del hombre de ninguna manera.</w:t>
            </w:r>
          </w:p>
        </w:tc>
      </w:tr>
    </w:tbl>
    <w:p w:rsidR="00543273" w:rsidRPr="00A6130B" w:rsidRDefault="00543273" w:rsidP="00A6130B">
      <w:pPr>
        <w:spacing w:line="240" w:lineRule="auto"/>
        <w:jc w:val="both"/>
        <w:rPr>
          <w:rFonts w:cs="Arial"/>
          <w:b/>
          <w:highlight w:val="yellow"/>
        </w:rPr>
      </w:pPr>
    </w:p>
    <w:p w:rsidR="00C31B03" w:rsidRDefault="00EA525B" w:rsidP="00967059">
      <w:pPr>
        <w:pStyle w:val="Heading3"/>
        <w:numPr>
          <w:ilvl w:val="1"/>
          <w:numId w:val="8"/>
        </w:numPr>
        <w:spacing w:line="240" w:lineRule="auto"/>
        <w:rPr>
          <w:rFonts w:ascii="Calibri" w:hAnsi="Calibri"/>
          <w:color w:val="1F4E79"/>
        </w:rPr>
      </w:pPr>
      <w:bookmarkStart w:id="11" w:name="_Toc446126609"/>
      <w:r w:rsidRPr="00A6130B">
        <w:rPr>
          <w:rFonts w:ascii="Calibri" w:hAnsi="Calibri"/>
          <w:color w:val="1F4E79"/>
        </w:rPr>
        <w:t>P</w:t>
      </w:r>
      <w:r w:rsidR="00C31B03" w:rsidRPr="00A6130B">
        <w:rPr>
          <w:rFonts w:ascii="Calibri" w:hAnsi="Calibri"/>
          <w:color w:val="1F4E79"/>
        </w:rPr>
        <w:t>rocedimiento vigente para los dictámenes adoptados por el Comité en aplicación del Protocolo Facultativo</w:t>
      </w:r>
      <w:bookmarkEnd w:id="11"/>
    </w:p>
    <w:p w:rsidR="00EF2326" w:rsidRDefault="00EF2326" w:rsidP="00B72294">
      <w:pPr>
        <w:rPr>
          <w:rFonts w:cs="Arial"/>
        </w:rPr>
      </w:pPr>
    </w:p>
    <w:p w:rsidR="00B72294" w:rsidRDefault="00B72294" w:rsidP="00B72294">
      <w:pPr>
        <w:rPr>
          <w:rFonts w:cs="Arial"/>
        </w:rPr>
      </w:pPr>
      <w:r>
        <w:rPr>
          <w:rFonts w:cs="Arial"/>
        </w:rPr>
        <w:t>Véase intervención inicial</w:t>
      </w:r>
    </w:p>
    <w:p w:rsidR="00EF2326" w:rsidRPr="00B72294" w:rsidRDefault="00EF2326" w:rsidP="00B72294"/>
    <w:p w:rsidR="001413D6" w:rsidRPr="00A6130B" w:rsidRDefault="001413D6" w:rsidP="00967059">
      <w:pPr>
        <w:pStyle w:val="Heading3"/>
        <w:numPr>
          <w:ilvl w:val="1"/>
          <w:numId w:val="8"/>
        </w:numPr>
        <w:spacing w:line="240" w:lineRule="auto"/>
        <w:rPr>
          <w:rFonts w:ascii="Calibri" w:hAnsi="Calibri"/>
          <w:color w:val="1F4E79"/>
        </w:rPr>
      </w:pPr>
      <w:bookmarkStart w:id="12" w:name="_Toc446126610"/>
      <w:r w:rsidRPr="00A6130B">
        <w:rPr>
          <w:rFonts w:ascii="Calibri" w:hAnsi="Calibri"/>
          <w:color w:val="1F4E79"/>
        </w:rPr>
        <w:t>Actividades de la Comisión Interinstitucional para el seguimiento e implementación de las obligaciones internacionales en derechos humanos (entidad permanente de consulta con la sociedad civil).</w:t>
      </w:r>
      <w:bookmarkEnd w:id="12"/>
    </w:p>
    <w:p w:rsidR="00EF2326" w:rsidRDefault="00EF2326" w:rsidP="00F956FE">
      <w:pPr>
        <w:spacing w:line="240" w:lineRule="auto"/>
        <w:rPr>
          <w:rFonts w:cs="Arial"/>
        </w:rPr>
      </w:pPr>
    </w:p>
    <w:p w:rsidR="00F956FE" w:rsidRDefault="004D089C" w:rsidP="00F956FE">
      <w:pPr>
        <w:spacing w:line="240" w:lineRule="auto"/>
        <w:rPr>
          <w:rFonts w:ascii="Arial" w:hAnsi="Arial" w:cs="Arial"/>
          <w:color w:val="000000"/>
        </w:rPr>
      </w:pPr>
      <w:r>
        <w:rPr>
          <w:rFonts w:cs="Arial"/>
        </w:rPr>
        <w:t xml:space="preserve">Véase intervención inicial sobre </w:t>
      </w:r>
      <w:r w:rsidRPr="0019240D">
        <w:rPr>
          <w:rFonts w:cs="Arial"/>
          <w:lang w:val="es-CR"/>
        </w:rPr>
        <w:t>Política Nacional para una sociedad libre de racismo, discriminación racial y xenofobia</w:t>
      </w:r>
      <w:r w:rsidR="00E8395E">
        <w:rPr>
          <w:rFonts w:cs="Arial"/>
          <w:lang w:val="es-CR"/>
        </w:rPr>
        <w:t xml:space="preserve"> y pregunta 25 b</w:t>
      </w:r>
      <w:r>
        <w:rPr>
          <w:rFonts w:cs="Arial"/>
          <w:lang w:val="es-CR"/>
        </w:rPr>
        <w:t>.</w:t>
      </w:r>
      <w:r w:rsidR="00F956FE" w:rsidRPr="00F956FE">
        <w:rPr>
          <w:rFonts w:ascii="Arial" w:hAnsi="Arial" w:cs="Arial"/>
          <w:color w:val="000000"/>
        </w:rPr>
        <w:t xml:space="preserve"> </w:t>
      </w:r>
    </w:p>
    <w:p w:rsidR="00F956FE" w:rsidRPr="00F956FE" w:rsidRDefault="00F956FE" w:rsidP="00F956FE">
      <w:pPr>
        <w:spacing w:line="240" w:lineRule="auto"/>
        <w:jc w:val="both"/>
        <w:rPr>
          <w:rFonts w:cs="Arial"/>
        </w:rPr>
      </w:pPr>
      <w:r w:rsidRPr="00F956FE">
        <w:rPr>
          <w:rFonts w:cs="Arial"/>
        </w:rPr>
        <w:t xml:space="preserve">Esta Comisión Interinstitucional elaboró la Política Nacional para una sociedad libre de racismo, discriminación racial y xenofobia 2014-2025 y su Plan de Acción, producto del compromiso voluntario de Costa Rica en la Conferencia Mundial contra el Racismo, la Discriminación Racial, la Xenofobia y las Formas Conexas de Intolerancia, celebrada en  </w:t>
      </w:r>
      <w:proofErr w:type="spellStart"/>
      <w:r w:rsidRPr="00F956FE">
        <w:rPr>
          <w:rFonts w:cs="Arial"/>
        </w:rPr>
        <w:t>Durban</w:t>
      </w:r>
      <w:proofErr w:type="spellEnd"/>
      <w:r w:rsidRPr="00F956FE">
        <w:rPr>
          <w:rFonts w:cs="Arial"/>
        </w:rPr>
        <w:t xml:space="preserve">, Sudáfrica en el año 2001 y las reiteradas recomendaciones de los órganos de tratados, por la situación de los pueblos indígenas y </w:t>
      </w:r>
      <w:proofErr w:type="spellStart"/>
      <w:r w:rsidRPr="00F956FE">
        <w:rPr>
          <w:rFonts w:cs="Arial"/>
        </w:rPr>
        <w:t>afrodescendientes</w:t>
      </w:r>
      <w:proofErr w:type="spellEnd"/>
      <w:r w:rsidRPr="00F956FE">
        <w:rPr>
          <w:rFonts w:cs="Arial"/>
        </w:rPr>
        <w:t>, sobre todo la situación de las mujeres de estas etnias, así como de los y las migrantes.</w:t>
      </w:r>
    </w:p>
    <w:p w:rsidR="00F956FE" w:rsidRPr="00F956FE" w:rsidRDefault="00F956FE" w:rsidP="00F956FE">
      <w:pPr>
        <w:spacing w:line="240" w:lineRule="auto"/>
        <w:jc w:val="both"/>
        <w:rPr>
          <w:rFonts w:cs="Arial"/>
        </w:rPr>
      </w:pPr>
      <w:r w:rsidRPr="00F956FE">
        <w:rPr>
          <w:rFonts w:cs="Arial"/>
          <w:lang w:val="es-CR"/>
        </w:rPr>
        <w:t>Durante el año 2015, la Comisión  sesionó en cinco ocasiones</w:t>
      </w:r>
      <w:r>
        <w:rPr>
          <w:rFonts w:cs="Arial"/>
          <w:lang w:val="es-CR"/>
        </w:rPr>
        <w:t>, además de múltiples intercambios vía electrónica</w:t>
      </w:r>
      <w:r w:rsidRPr="00F956FE">
        <w:rPr>
          <w:rFonts w:cs="Arial"/>
          <w:lang w:val="es-CR"/>
        </w:rPr>
        <w:t xml:space="preserve">. </w:t>
      </w:r>
      <w:r w:rsidRPr="00F956FE">
        <w:rPr>
          <w:rFonts w:cs="Arial"/>
        </w:rPr>
        <w:t xml:space="preserve">Tomando en cuenta la importancia de la continua capacitación, así como la integración de nuevos miembros,  durante el año  se impartió una inducción impartida por la Oficina Regional del Alto Comisionado de las Naciones Unidas para los Derechos Humanos sobre los sistemas de protección de los derechos humanos y sobre los mecanismos internacionales de protección (Órganos de Tratados, procedimientos especiales y el Examen Periódico Universal), así como en derechos de las personas adultas mayores. </w:t>
      </w:r>
    </w:p>
    <w:p w:rsidR="00F956FE" w:rsidRPr="00F956FE" w:rsidRDefault="00F956FE" w:rsidP="00F956FE">
      <w:pPr>
        <w:spacing w:line="240" w:lineRule="auto"/>
        <w:jc w:val="both"/>
        <w:rPr>
          <w:rFonts w:cs="Arial"/>
        </w:rPr>
      </w:pPr>
      <w:r w:rsidRPr="00F956FE">
        <w:rPr>
          <w:rFonts w:cs="Arial"/>
        </w:rPr>
        <w:t>Durante la Reunión de los Presidentes de los  Órganos de Tratados,  realizada en San José, Costa Rica en junio del 2015, los jerarcas y representantes designados de las instituciones que forman la CIIDDHH, tuvieron la oportunidad de intercambiar experiencias en un almuerzo de trabajo.</w:t>
      </w:r>
    </w:p>
    <w:p w:rsidR="00F956FE" w:rsidRPr="00F956FE" w:rsidRDefault="00F956FE" w:rsidP="00F956FE">
      <w:pPr>
        <w:spacing w:line="240" w:lineRule="auto"/>
        <w:jc w:val="both"/>
        <w:rPr>
          <w:rFonts w:cs="Arial"/>
        </w:rPr>
      </w:pPr>
      <w:r w:rsidRPr="00F956FE">
        <w:rPr>
          <w:rFonts w:cs="Arial"/>
        </w:rPr>
        <w:t xml:space="preserve">Desde finales del año pasado se trabaja en la propuesta de un proyecto para contar con una plataforma en línea que contenga una base de datos de fácil acceso, sobre derechos humanos del país. En este proyecto se cuenta con el apoyo de la Oficina Regional del Alto Comisionado de las Naciones Unidas para los Derechos Humanos. </w:t>
      </w:r>
    </w:p>
    <w:p w:rsidR="00860333" w:rsidRPr="00F956FE" w:rsidRDefault="00860333" w:rsidP="00860333">
      <w:pPr>
        <w:spacing w:line="240" w:lineRule="auto"/>
        <w:jc w:val="both"/>
        <w:rPr>
          <w:rFonts w:cs="Arial"/>
        </w:rPr>
      </w:pPr>
    </w:p>
    <w:p w:rsidR="00802CAE" w:rsidRPr="00A6130B" w:rsidRDefault="00802CAE" w:rsidP="00A6130B">
      <w:pPr>
        <w:spacing w:line="240" w:lineRule="auto"/>
        <w:rPr>
          <w:rFonts w:cs="Arial"/>
        </w:rPr>
      </w:pPr>
    </w:p>
    <w:p w:rsidR="00C31B03" w:rsidRPr="00A6130B" w:rsidRDefault="00C31B03" w:rsidP="00967059">
      <w:pPr>
        <w:pStyle w:val="Heading2"/>
        <w:numPr>
          <w:ilvl w:val="0"/>
          <w:numId w:val="10"/>
        </w:numPr>
        <w:rPr>
          <w:rFonts w:ascii="Calibri" w:hAnsi="Calibri"/>
          <w:sz w:val="24"/>
          <w:szCs w:val="24"/>
        </w:rPr>
      </w:pPr>
      <w:bookmarkStart w:id="13" w:name="_Toc446126611"/>
      <w:r w:rsidRPr="00A6130B">
        <w:rPr>
          <w:rFonts w:ascii="Calibri" w:hAnsi="Calibri"/>
          <w:sz w:val="24"/>
          <w:szCs w:val="24"/>
        </w:rPr>
        <w:t>Sírvanse informar sobre la financiación de la Defensoría de los Habitantes y sobre el proceso de selección del Defensor Adjunto y si este proceso</w:t>
      </w:r>
      <w:r w:rsidR="00C1138C" w:rsidRPr="00A6130B">
        <w:rPr>
          <w:rFonts w:ascii="Calibri" w:hAnsi="Calibri"/>
          <w:sz w:val="24"/>
          <w:szCs w:val="24"/>
        </w:rPr>
        <w:t xml:space="preserve"> cumple con los principios relativos al estatuto de las instituciones nacionales de promoción y protección de los derechos humanos (Principios de París) (resolución 48/134 de la Asamblea General, anexo)</w:t>
      </w:r>
      <w:bookmarkEnd w:id="13"/>
    </w:p>
    <w:p w:rsidR="00B11671" w:rsidRPr="00A6130B" w:rsidRDefault="00D76BE2" w:rsidP="00967059">
      <w:pPr>
        <w:pStyle w:val="Heading3"/>
        <w:numPr>
          <w:ilvl w:val="0"/>
          <w:numId w:val="9"/>
        </w:numPr>
        <w:spacing w:line="240" w:lineRule="auto"/>
        <w:rPr>
          <w:rFonts w:ascii="Calibri" w:hAnsi="Calibri"/>
          <w:color w:val="1F4E79"/>
        </w:rPr>
      </w:pPr>
      <w:bookmarkStart w:id="14" w:name="_Toc446126612"/>
      <w:r w:rsidRPr="00A6130B">
        <w:rPr>
          <w:rFonts w:ascii="Calibri" w:hAnsi="Calibri"/>
          <w:color w:val="1F4E79"/>
        </w:rPr>
        <w:t>Financiación de la Defensoría de los Habitantes</w:t>
      </w:r>
      <w:bookmarkEnd w:id="14"/>
    </w:p>
    <w:p w:rsidR="00060C07" w:rsidRPr="00A6130B" w:rsidRDefault="00060C07" w:rsidP="00A6130B">
      <w:pPr>
        <w:spacing w:line="240" w:lineRule="auto"/>
        <w:rPr>
          <w:rFonts w:cs="Arial"/>
        </w:rPr>
      </w:pPr>
    </w:p>
    <w:p w:rsidR="008E3BC4" w:rsidRPr="003B2A37" w:rsidRDefault="008E3BC4" w:rsidP="008E3BC4">
      <w:pPr>
        <w:pStyle w:val="NormalWeb"/>
        <w:spacing w:before="0" w:beforeAutospacing="0" w:after="0" w:afterAutospacing="0"/>
        <w:jc w:val="both"/>
        <w:rPr>
          <w:rFonts w:ascii="Calibri" w:eastAsia="Calibri" w:hAnsi="Calibri" w:cs="Arial"/>
          <w:color w:val="191919"/>
          <w:sz w:val="22"/>
          <w:szCs w:val="22"/>
          <w:lang w:val="es-ES_tradnl" w:eastAsia="en-US"/>
        </w:rPr>
      </w:pPr>
      <w:r w:rsidRPr="003B2A37">
        <w:rPr>
          <w:rFonts w:ascii="Calibri" w:eastAsia="Calibri" w:hAnsi="Calibri" w:cs="Arial"/>
          <w:color w:val="191919"/>
          <w:sz w:val="22"/>
          <w:szCs w:val="22"/>
          <w:lang w:val="es-ES_tradnl" w:eastAsia="en-US"/>
        </w:rPr>
        <w:t xml:space="preserve">El financiamiento de la Defensoría de los Habitantes de la República está asegurado en el presupuesto del Primer Poder de la República y, según los datos de la propia Defensoría en el Informe Alternativo Independiente, el financiamiento recibido por la institución ha tenido un incremento presupuestario en términos reales, del 7% (según colones constantes de 2006) y muestra un nivel mayor que el comportamiento de la inflación en el período 2010-2015, hecho que reviste de especial significado en una coyuntura de serias dificultades en las finanzas públicas del Estado. </w:t>
      </w:r>
      <w:r w:rsidR="003B2A37" w:rsidRPr="003B2A37">
        <w:rPr>
          <w:rFonts w:ascii="Calibri" w:eastAsia="Calibri" w:hAnsi="Calibri" w:cs="Arial"/>
          <w:color w:val="191919"/>
          <w:sz w:val="22"/>
          <w:szCs w:val="22"/>
          <w:lang w:val="es-ES_tradnl" w:eastAsia="en-US"/>
        </w:rPr>
        <w:t>En ese sentido, la propia Defensoría indicó, en la página 4 de su informe: “los recursos asignados a la Defensoría de los Habitantes no se han visto mermados con el paso del tiempo.”</w:t>
      </w:r>
    </w:p>
    <w:p w:rsidR="008E3BC4" w:rsidRPr="003B2A37" w:rsidRDefault="008E3BC4" w:rsidP="008E3BC4">
      <w:pPr>
        <w:pStyle w:val="NormalWeb"/>
        <w:spacing w:before="0" w:beforeAutospacing="0" w:after="0" w:afterAutospacing="0"/>
        <w:jc w:val="both"/>
        <w:rPr>
          <w:rFonts w:ascii="Calibri" w:eastAsia="Calibri" w:hAnsi="Calibri" w:cs="Arial"/>
          <w:color w:val="191919"/>
          <w:sz w:val="22"/>
          <w:szCs w:val="22"/>
          <w:lang w:val="es-ES_tradnl" w:eastAsia="en-US"/>
        </w:rPr>
      </w:pPr>
      <w:r w:rsidRPr="003B2A37">
        <w:rPr>
          <w:rFonts w:ascii="Calibri" w:eastAsia="Calibri" w:hAnsi="Calibri" w:cs="Arial"/>
          <w:color w:val="191919"/>
          <w:sz w:val="22"/>
          <w:szCs w:val="22"/>
          <w:lang w:val="es-ES_tradnl" w:eastAsia="en-US"/>
        </w:rPr>
        <w:t> </w:t>
      </w:r>
    </w:p>
    <w:p w:rsidR="008E3BC4" w:rsidRPr="003B2A37" w:rsidRDefault="003B2A37" w:rsidP="008E3BC4">
      <w:pPr>
        <w:pStyle w:val="NormalWeb"/>
        <w:spacing w:before="0" w:beforeAutospacing="0" w:after="0" w:afterAutospacing="0"/>
        <w:jc w:val="both"/>
        <w:rPr>
          <w:rFonts w:ascii="Calibri" w:eastAsia="Calibri" w:hAnsi="Calibri" w:cs="Arial"/>
          <w:color w:val="191919"/>
          <w:sz w:val="22"/>
          <w:szCs w:val="22"/>
          <w:lang w:val="es-ES_tradnl" w:eastAsia="en-US"/>
        </w:rPr>
      </w:pPr>
      <w:r w:rsidRPr="003B2A37">
        <w:rPr>
          <w:rFonts w:ascii="Calibri" w:eastAsia="Calibri" w:hAnsi="Calibri" w:cs="Arial"/>
          <w:color w:val="191919"/>
          <w:sz w:val="22"/>
          <w:szCs w:val="22"/>
          <w:lang w:val="es-ES_tradnl" w:eastAsia="en-US"/>
        </w:rPr>
        <w:t>Hay que tomar en cuenta además que, e</w:t>
      </w:r>
      <w:r w:rsidR="008E3BC4" w:rsidRPr="003B2A37">
        <w:rPr>
          <w:rFonts w:ascii="Calibri" w:eastAsia="Calibri" w:hAnsi="Calibri" w:cs="Arial"/>
          <w:color w:val="191919"/>
          <w:sz w:val="22"/>
          <w:szCs w:val="22"/>
          <w:lang w:val="es-ES_tradnl" w:eastAsia="en-US"/>
        </w:rPr>
        <w:t>n la actualidad, al tener</w:t>
      </w:r>
      <w:r w:rsidRPr="003B2A37">
        <w:rPr>
          <w:rFonts w:ascii="Calibri" w:eastAsia="Calibri" w:hAnsi="Calibri" w:cs="Arial"/>
          <w:color w:val="191919"/>
          <w:sz w:val="22"/>
          <w:szCs w:val="22"/>
          <w:lang w:val="es-ES_tradnl" w:eastAsia="en-US"/>
        </w:rPr>
        <w:t xml:space="preserve"> el país</w:t>
      </w:r>
      <w:r w:rsidR="008E3BC4" w:rsidRPr="003B2A37">
        <w:rPr>
          <w:rFonts w:ascii="Calibri" w:eastAsia="Calibri" w:hAnsi="Calibri" w:cs="Arial"/>
          <w:color w:val="191919"/>
          <w:sz w:val="22"/>
          <w:szCs w:val="22"/>
          <w:lang w:val="es-ES_tradnl" w:eastAsia="en-US"/>
        </w:rPr>
        <w:t xml:space="preserve"> un déficit fiscal del orden del  6,7% con respecto al Producto Interno Bruto, se han generado recortes presupuestarios en términos reales para todo el sector público centralizado</w:t>
      </w:r>
      <w:r w:rsidR="00EF2326">
        <w:rPr>
          <w:rFonts w:ascii="Calibri" w:eastAsia="Calibri" w:hAnsi="Calibri" w:cs="Arial"/>
          <w:color w:val="191919"/>
          <w:sz w:val="22"/>
          <w:szCs w:val="22"/>
          <w:lang w:val="es-ES_tradnl" w:eastAsia="en-US"/>
        </w:rPr>
        <w:t xml:space="preserve"> y la Defensoría de los Habitantes no se ha visto sometida a dichos recortes presupuestarios</w:t>
      </w:r>
      <w:r w:rsidRPr="003B2A37">
        <w:rPr>
          <w:rFonts w:ascii="Calibri" w:eastAsia="Calibri" w:hAnsi="Calibri" w:cs="Arial"/>
          <w:color w:val="191919"/>
          <w:sz w:val="22"/>
          <w:szCs w:val="22"/>
          <w:lang w:val="es-ES_tradnl" w:eastAsia="en-US"/>
        </w:rPr>
        <w:t>.</w:t>
      </w:r>
    </w:p>
    <w:p w:rsidR="00C1138C" w:rsidRPr="00A6130B" w:rsidRDefault="00C1138C" w:rsidP="00A6130B">
      <w:pPr>
        <w:spacing w:line="240" w:lineRule="auto"/>
        <w:rPr>
          <w:rFonts w:cs="Arial"/>
        </w:rPr>
      </w:pPr>
    </w:p>
    <w:p w:rsidR="00C1138C" w:rsidRPr="00A6130B" w:rsidRDefault="00C1138C" w:rsidP="00967059">
      <w:pPr>
        <w:pStyle w:val="Heading3"/>
        <w:numPr>
          <w:ilvl w:val="0"/>
          <w:numId w:val="9"/>
        </w:numPr>
        <w:spacing w:line="240" w:lineRule="auto"/>
        <w:rPr>
          <w:rFonts w:ascii="Calibri" w:hAnsi="Calibri"/>
          <w:color w:val="1F4E79"/>
        </w:rPr>
      </w:pPr>
      <w:bookmarkStart w:id="15" w:name="_Toc446126613"/>
      <w:r w:rsidRPr="00A6130B">
        <w:rPr>
          <w:rFonts w:ascii="Calibri" w:hAnsi="Calibri"/>
          <w:color w:val="1F4E79"/>
        </w:rPr>
        <w:t>Proceso de selección del Defensor Adjunto. Conformidad con Principios de París.</w:t>
      </w:r>
      <w:bookmarkEnd w:id="15"/>
    </w:p>
    <w:p w:rsidR="004E6174" w:rsidRPr="004E6174" w:rsidRDefault="004E6174" w:rsidP="00860333">
      <w:pPr>
        <w:spacing w:before="240" w:after="0" w:line="240" w:lineRule="auto"/>
        <w:jc w:val="both"/>
        <w:rPr>
          <w:rFonts w:cs="Arial"/>
        </w:rPr>
      </w:pPr>
      <w:r w:rsidRPr="004E6174">
        <w:rPr>
          <w:rFonts w:cs="Arial"/>
        </w:rPr>
        <w:t xml:space="preserve">Una vez designado por la Asamblea Legislativa el titular de defensoría de los Habitantes, siguiendo un procedimiento abierto y participativo,  </w:t>
      </w:r>
      <w:r>
        <w:rPr>
          <w:rFonts w:cs="Arial"/>
        </w:rPr>
        <w:t xml:space="preserve">y </w:t>
      </w:r>
      <w:r w:rsidRPr="004E6174">
        <w:rPr>
          <w:rFonts w:cs="Arial"/>
        </w:rPr>
        <w:t>en cumplimiento de sus atribuciones</w:t>
      </w:r>
      <w:r>
        <w:rPr>
          <w:rFonts w:cs="Arial"/>
        </w:rPr>
        <w:t>,</w:t>
      </w:r>
      <w:r w:rsidRPr="004E6174">
        <w:rPr>
          <w:rFonts w:cs="Arial"/>
        </w:rPr>
        <w:t xml:space="preserve"> propone una terna a la Asamblea Legislativa para el nombramiento del Defensor Adjunto, procedimiento establecido en la ley 7319. El Defensor Adjunto debe reunir los mismos requisitos exigidos para el titular. </w:t>
      </w:r>
      <w:r w:rsidR="00335D05">
        <w:rPr>
          <w:rFonts w:cs="Arial"/>
        </w:rPr>
        <w:t>Es decir, que aunque lo elige la Asamblea se garantiza la independencia frente a ella porque la terna es propuesta por el propio Defensor o Defensora titular.</w:t>
      </w:r>
    </w:p>
    <w:p w:rsidR="004E6174" w:rsidRPr="004E6174" w:rsidRDefault="004E6174" w:rsidP="00860333">
      <w:pPr>
        <w:spacing w:before="240" w:after="0" w:line="240" w:lineRule="auto"/>
        <w:jc w:val="both"/>
        <w:rPr>
          <w:rFonts w:cs="Arial"/>
        </w:rPr>
      </w:pPr>
      <w:r w:rsidRPr="004E6174">
        <w:rPr>
          <w:rFonts w:cs="Arial"/>
        </w:rPr>
        <w:t>El artículo 10.2 de Ley de la Defensoría de los Habitantes de la República, define al Defensor Adjunto como un "colaborador directo del Defensor de los Habitantes de la República", al que corresponden "las funciones que éste le asigne" y sustituirlo en sus ausencias temporales, por lo cual se entiende que el Defensor Adjunto es ante todo un colaborador inmediato del Defensor de los Habitantes, al que se subordin</w:t>
      </w:r>
      <w:r w:rsidR="00EF2326">
        <w:rPr>
          <w:rFonts w:cs="Arial"/>
        </w:rPr>
        <w:t>a jerárquicamente de modo pleno.</w:t>
      </w:r>
    </w:p>
    <w:p w:rsidR="001413D6" w:rsidRPr="008645E0" w:rsidRDefault="001413D6" w:rsidP="008820F2">
      <w:pPr>
        <w:pStyle w:val="Heading1"/>
        <w:ind w:left="142"/>
        <w:rPr>
          <w:rFonts w:ascii="Arial" w:hAnsi="Arial" w:cs="Arial"/>
          <w:b/>
          <w:sz w:val="36"/>
          <w:szCs w:val="36"/>
        </w:rPr>
      </w:pPr>
      <w:bookmarkStart w:id="16" w:name="_Toc446126614"/>
      <w:r w:rsidRPr="008645E0">
        <w:rPr>
          <w:rFonts w:ascii="Arial" w:hAnsi="Arial" w:cs="Arial"/>
          <w:b/>
          <w:sz w:val="36"/>
          <w:szCs w:val="36"/>
        </w:rPr>
        <w:lastRenderedPageBreak/>
        <w:t>No discriminación, igualdad de derechos entre hombres y mujeres (</w:t>
      </w:r>
      <w:r w:rsidR="000D4CB8" w:rsidRPr="008645E0">
        <w:rPr>
          <w:rFonts w:ascii="Arial" w:hAnsi="Arial" w:cs="Arial"/>
          <w:b/>
          <w:sz w:val="36"/>
          <w:szCs w:val="36"/>
        </w:rPr>
        <w:t>arts.</w:t>
      </w:r>
      <w:r w:rsidRPr="008645E0">
        <w:rPr>
          <w:rFonts w:ascii="Arial" w:hAnsi="Arial" w:cs="Arial"/>
          <w:b/>
          <w:sz w:val="36"/>
          <w:szCs w:val="36"/>
        </w:rPr>
        <w:t xml:space="preserve"> 2, 3 y 26)</w:t>
      </w:r>
      <w:bookmarkEnd w:id="16"/>
    </w:p>
    <w:p w:rsidR="00C1138C" w:rsidRPr="00A6130B" w:rsidRDefault="00C1138C" w:rsidP="00967059">
      <w:pPr>
        <w:pStyle w:val="Heading2"/>
        <w:numPr>
          <w:ilvl w:val="0"/>
          <w:numId w:val="10"/>
        </w:numPr>
        <w:rPr>
          <w:rFonts w:ascii="Calibri" w:hAnsi="Calibri"/>
          <w:sz w:val="24"/>
          <w:szCs w:val="24"/>
        </w:rPr>
      </w:pPr>
      <w:bookmarkStart w:id="17" w:name="_Toc446126615"/>
      <w:r w:rsidRPr="00A6130B">
        <w:rPr>
          <w:rFonts w:ascii="Calibri" w:hAnsi="Calibri"/>
          <w:sz w:val="24"/>
          <w:szCs w:val="24"/>
        </w:rPr>
        <w:t xml:space="preserve">Sírvanse indicar las medidas adoptadas por el Estado parte en respuesta a la preocupación expresada por el Comité en sus anteriores observaciones finales (CCPR/CRI/CO/5, párr. 13) y proporcionar información sobre las medidas tomadas sobre la estigmatización a los nicaragüenses, los colombianos y los refugiados de esta última nacionalidad. Sírvanse, asimismo, indicar las medidas tomadas para combatir el racismo estructural, la discriminación racial y la xenofobia, en particular los resultados de la Política Nacional para una Sociedad Libre de Racismo, Discriminación Racial y Xenofobia (CCPR/C/CRI/6, </w:t>
      </w:r>
      <w:proofErr w:type="spellStart"/>
      <w:r w:rsidRPr="00A6130B">
        <w:rPr>
          <w:rFonts w:ascii="Calibri" w:hAnsi="Calibri"/>
          <w:sz w:val="24"/>
          <w:szCs w:val="24"/>
        </w:rPr>
        <w:t>párrs</w:t>
      </w:r>
      <w:proofErr w:type="spellEnd"/>
      <w:r w:rsidRPr="00A6130B">
        <w:rPr>
          <w:rFonts w:ascii="Calibri" w:hAnsi="Calibri"/>
          <w:sz w:val="24"/>
          <w:szCs w:val="24"/>
        </w:rPr>
        <w:t>. 72 y 73)</w:t>
      </w:r>
      <w:bookmarkEnd w:id="17"/>
    </w:p>
    <w:p w:rsidR="001413D6" w:rsidRPr="00A6130B" w:rsidRDefault="001413D6" w:rsidP="00967059">
      <w:pPr>
        <w:pStyle w:val="Heading3"/>
        <w:numPr>
          <w:ilvl w:val="0"/>
          <w:numId w:val="11"/>
        </w:numPr>
        <w:spacing w:line="240" w:lineRule="auto"/>
        <w:rPr>
          <w:rFonts w:ascii="Calibri" w:hAnsi="Calibri"/>
          <w:color w:val="1F4E79"/>
        </w:rPr>
      </w:pPr>
      <w:bookmarkStart w:id="18" w:name="_Toc446126616"/>
      <w:r w:rsidRPr="00A6130B">
        <w:rPr>
          <w:rFonts w:ascii="Calibri" w:hAnsi="Calibri"/>
          <w:color w:val="1F4E79"/>
        </w:rPr>
        <w:t xml:space="preserve">Medias adoptadas por el sobre estigmatización nicaragüenses, colombianos y refugiados de </w:t>
      </w:r>
      <w:r w:rsidR="000921C3" w:rsidRPr="00A6130B">
        <w:rPr>
          <w:rFonts w:ascii="Calibri" w:hAnsi="Calibri"/>
          <w:color w:val="1F4E79"/>
        </w:rPr>
        <w:t xml:space="preserve">esta última </w:t>
      </w:r>
      <w:r w:rsidRPr="00A6130B">
        <w:rPr>
          <w:rFonts w:ascii="Calibri" w:hAnsi="Calibri"/>
          <w:color w:val="1F4E79"/>
        </w:rPr>
        <w:t>nacionalidad.</w:t>
      </w:r>
      <w:bookmarkEnd w:id="18"/>
    </w:p>
    <w:p w:rsidR="00F646A0" w:rsidRDefault="00F646A0" w:rsidP="00F646A0">
      <w:pPr>
        <w:spacing w:after="0" w:line="240" w:lineRule="auto"/>
        <w:jc w:val="both"/>
        <w:rPr>
          <w:rFonts w:cs="Arial"/>
          <w:color w:val="191919"/>
          <w:lang w:val="es-CR"/>
        </w:rPr>
      </w:pPr>
    </w:p>
    <w:p w:rsidR="003B2A37" w:rsidRPr="003B2A37" w:rsidRDefault="003B2A37" w:rsidP="003B2A37">
      <w:r>
        <w:rPr>
          <w:rFonts w:cs="Arial"/>
        </w:rPr>
        <w:t>Véase intervención inicial.</w:t>
      </w:r>
    </w:p>
    <w:p w:rsidR="003B2A37" w:rsidRPr="003B2A37" w:rsidRDefault="003B2A37" w:rsidP="003B2A37">
      <w:pPr>
        <w:spacing w:after="0" w:line="240" w:lineRule="auto"/>
        <w:jc w:val="both"/>
        <w:rPr>
          <w:rFonts w:cs="Arial"/>
          <w:color w:val="191919"/>
          <w:lang w:val="es-ES_tradnl"/>
        </w:rPr>
      </w:pPr>
      <w:r>
        <w:rPr>
          <w:rFonts w:cs="Arial"/>
          <w:color w:val="191919"/>
          <w:lang w:val="es-CR"/>
        </w:rPr>
        <w:t>E</w:t>
      </w:r>
      <w:r w:rsidRPr="003B2A37">
        <w:rPr>
          <w:rFonts w:cs="Arial"/>
          <w:color w:val="191919"/>
          <w:lang w:val="es-ES_tradnl"/>
        </w:rPr>
        <w:t>l país ha realizado grandes esfuerzos por regularizar a las personas extranjeras de conformidad con lo que establece la normativ</w:t>
      </w:r>
      <w:r>
        <w:rPr>
          <w:rFonts w:cs="Arial"/>
          <w:color w:val="191919"/>
          <w:lang w:val="es-ES_tradnl"/>
        </w:rPr>
        <w:t>a migratoria, igualmente brinda</w:t>
      </w:r>
      <w:r w:rsidRPr="003B2A37">
        <w:rPr>
          <w:rFonts w:cs="Arial"/>
          <w:color w:val="191919"/>
          <w:lang w:val="es-ES_tradnl"/>
        </w:rPr>
        <w:t xml:space="preserve"> protección a las personas solicitantes de refugio y refugiados. </w:t>
      </w:r>
    </w:p>
    <w:p w:rsidR="003B2A37" w:rsidRPr="003B2A37" w:rsidRDefault="003B2A37" w:rsidP="003B2A37">
      <w:pPr>
        <w:spacing w:after="0" w:line="240" w:lineRule="auto"/>
        <w:jc w:val="both"/>
        <w:rPr>
          <w:rFonts w:cs="Arial"/>
          <w:color w:val="191919"/>
          <w:lang w:val="es-ES_tradnl"/>
        </w:rPr>
      </w:pPr>
    </w:p>
    <w:p w:rsidR="003B2A37" w:rsidRPr="003B2A37" w:rsidRDefault="003B2A37" w:rsidP="003B2A37">
      <w:pPr>
        <w:spacing w:after="0" w:line="240" w:lineRule="auto"/>
        <w:jc w:val="both"/>
        <w:rPr>
          <w:rFonts w:cs="Arial"/>
          <w:color w:val="191919"/>
          <w:lang w:val="es-ES_tradnl"/>
        </w:rPr>
      </w:pPr>
      <w:r w:rsidRPr="003B2A37">
        <w:rPr>
          <w:rFonts w:cs="Arial"/>
          <w:color w:val="191919"/>
          <w:lang w:val="es-ES_tradnl"/>
        </w:rPr>
        <w:t>En este sentido</w:t>
      </w:r>
      <w:r>
        <w:rPr>
          <w:rFonts w:cs="Arial"/>
          <w:color w:val="191919"/>
          <w:lang w:val="es-ES_tradnl"/>
        </w:rPr>
        <w:t>,</w:t>
      </w:r>
      <w:r w:rsidRPr="003B2A37">
        <w:rPr>
          <w:rFonts w:cs="Arial"/>
          <w:color w:val="191919"/>
          <w:lang w:val="es-ES_tradnl"/>
        </w:rPr>
        <w:t xml:space="preserve"> se ha emitido una Política Migratoria Integral, por cuanto el abordaje del fenómeno migratorio no es responsabilidad de una sola institución, requiere de la articulación de esfuerzos, políticas y acciones públicas y privadas, para lograr una administración efectiva de los flujos migratorios. Esta política tiene tres ejes: servicios migratorios, integración y desarrollo, así como protección de derechos humanos y grupos vulnerables.</w:t>
      </w:r>
    </w:p>
    <w:p w:rsidR="003B2A37" w:rsidRPr="003B2A37" w:rsidRDefault="003B2A37" w:rsidP="003B2A37">
      <w:pPr>
        <w:spacing w:after="0" w:line="240" w:lineRule="auto"/>
        <w:jc w:val="both"/>
        <w:rPr>
          <w:rFonts w:cs="Arial"/>
          <w:color w:val="191919"/>
          <w:lang w:val="es-ES_tradnl"/>
        </w:rPr>
      </w:pPr>
    </w:p>
    <w:p w:rsidR="003B2A37" w:rsidRDefault="003B2A37" w:rsidP="003B2A37">
      <w:pPr>
        <w:spacing w:after="0" w:line="240" w:lineRule="auto"/>
        <w:jc w:val="both"/>
        <w:rPr>
          <w:rFonts w:cs="Arial"/>
          <w:color w:val="191919"/>
          <w:lang w:val="es-CR"/>
        </w:rPr>
      </w:pPr>
      <w:r w:rsidRPr="003B2A37">
        <w:rPr>
          <w:rFonts w:cs="Arial"/>
          <w:color w:val="191919"/>
          <w:lang w:val="es-ES_tradnl"/>
        </w:rPr>
        <w:t>Se formuló además, un Plan Nacional de Integración que busca el desarrollo de programas tendientes a apoyar la integración de la población migrante y refugiada, desde diversos ámbitos como salud y educación</w:t>
      </w:r>
    </w:p>
    <w:p w:rsidR="003B2A37" w:rsidRDefault="003B2A37" w:rsidP="00F646A0">
      <w:pPr>
        <w:spacing w:after="0" w:line="240" w:lineRule="auto"/>
        <w:jc w:val="both"/>
        <w:rPr>
          <w:rFonts w:cs="Arial"/>
          <w:color w:val="191919"/>
          <w:lang w:val="es-CR"/>
        </w:rPr>
      </w:pPr>
    </w:p>
    <w:p w:rsidR="00DD01A8" w:rsidRDefault="00CA2D1B" w:rsidP="00F646A0">
      <w:pPr>
        <w:spacing w:after="0" w:line="240" w:lineRule="auto"/>
        <w:jc w:val="both"/>
        <w:rPr>
          <w:rFonts w:cs="Arial"/>
          <w:color w:val="191919"/>
          <w:lang w:val="es-CR"/>
        </w:rPr>
      </w:pPr>
      <w:r w:rsidRPr="00A6130B">
        <w:rPr>
          <w:rFonts w:cs="Arial"/>
          <w:color w:val="191919"/>
          <w:lang w:val="es-CR"/>
        </w:rPr>
        <w:t xml:space="preserve">El Plan Nacional de Integración busca el desarrollo de programas tendientes a apoyar la integración y no discriminación de la población migrante y refugiada, desde diversos ámbitos como salud y educación, con iniciativas como los son: Vivir la integración, Modelo de Graduación, Integración Legal, desarrollo de campañas de sensibilización: ser Refugiado es como ser tico. </w:t>
      </w:r>
    </w:p>
    <w:p w:rsidR="00DD01A8" w:rsidRDefault="00DD01A8" w:rsidP="00F646A0">
      <w:pPr>
        <w:spacing w:after="0" w:line="240" w:lineRule="auto"/>
        <w:jc w:val="both"/>
        <w:rPr>
          <w:rFonts w:cs="Arial"/>
          <w:color w:val="191919"/>
          <w:lang w:val="es-CR"/>
        </w:rPr>
      </w:pPr>
    </w:p>
    <w:p w:rsidR="00DD01A8" w:rsidRPr="00DD01A8" w:rsidRDefault="00DD01A8" w:rsidP="00DD01A8">
      <w:pPr>
        <w:jc w:val="both"/>
        <w:rPr>
          <w:bCs/>
          <w:iCs/>
        </w:rPr>
      </w:pPr>
      <w:r w:rsidRPr="00E8395E">
        <w:rPr>
          <w:bCs/>
          <w:iCs/>
        </w:rPr>
        <w:t xml:space="preserve">Se desarrollan proyectos como por ejemplo Rutas de Integración. Esta iniciativa, que consta de información accesible en las Oficinas Regionales de Migración, así como de un video informativo, brinda orientación sobre los servicios públicos que brinda el Estado, y la facilitación y comprensión de trámites en cuatro grandes áreas como trámites migratorios, apoyo para la educación, deberes y derechos como trabajador y seguro social. </w:t>
      </w:r>
      <w:r w:rsidRPr="00E8395E">
        <w:t xml:space="preserve">Así mismo, la Dirección de Integración tiene un programa de denominado </w:t>
      </w:r>
      <w:r w:rsidR="00852373">
        <w:t>“</w:t>
      </w:r>
      <w:proofErr w:type="spellStart"/>
      <w:r w:rsidRPr="00E8395E">
        <w:t>migramóvil</w:t>
      </w:r>
      <w:proofErr w:type="spellEnd"/>
      <w:r w:rsidR="00852373">
        <w:t>”,</w:t>
      </w:r>
      <w:r w:rsidRPr="00E8395E">
        <w:t xml:space="preserve"> que le permite a la Dirección General de Migración acercarse a los usuarios nacionales y extranjeros, con lo cual se brinda mayor accesibilidad a los servicios migratorios</w:t>
      </w:r>
      <w:r w:rsidR="00852373">
        <w:t>.</w:t>
      </w:r>
      <w:r w:rsidRPr="00E8395E">
        <w:t xml:space="preserve"> </w:t>
      </w:r>
    </w:p>
    <w:p w:rsidR="00DD01A8" w:rsidRPr="00E8395E" w:rsidRDefault="00DD01A8" w:rsidP="00DD01A8">
      <w:pPr>
        <w:jc w:val="both"/>
      </w:pPr>
    </w:p>
    <w:p w:rsidR="00DD01A8" w:rsidRPr="00DD01A8" w:rsidRDefault="00DD01A8" w:rsidP="00852373">
      <w:pPr>
        <w:spacing w:after="0"/>
        <w:jc w:val="both"/>
      </w:pPr>
      <w:r w:rsidRPr="00E8395E">
        <w:lastRenderedPageBreak/>
        <w:t xml:space="preserve">La Dirección General de Migración y Extranjería difunde </w:t>
      </w:r>
      <w:r>
        <w:t xml:space="preserve">también </w:t>
      </w:r>
      <w:r w:rsidRPr="00E8395E">
        <w:t xml:space="preserve">los derechos de las personas migrantes a través de </w:t>
      </w:r>
      <w:r>
        <w:t>impresos y</w:t>
      </w:r>
      <w:r w:rsidRPr="00E8395E">
        <w:t xml:space="preserve"> anuncios publicitarios.  Además, se está trabajando, como parte del Plan de Acción de la Política Migratoria Integral para Costa Rica 2013-2023, actividades contra racismo, xenofobia y </w:t>
      </w:r>
      <w:r w:rsidRPr="00E8395E">
        <w:rPr>
          <w:i/>
        </w:rPr>
        <w:t xml:space="preserve"> </w:t>
      </w:r>
      <w:proofErr w:type="spellStart"/>
      <w:r w:rsidRPr="00E8395E">
        <w:rPr>
          <w:i/>
        </w:rPr>
        <w:t>bullying</w:t>
      </w:r>
      <w:proofErr w:type="spellEnd"/>
      <w:r w:rsidRPr="00E8395E">
        <w:rPr>
          <w:i/>
        </w:rPr>
        <w:t xml:space="preserve"> </w:t>
      </w:r>
      <w:r w:rsidRPr="00E8395E">
        <w:t>o acoso escolar, desde la escuela.</w:t>
      </w:r>
    </w:p>
    <w:p w:rsidR="00575982" w:rsidRPr="00DD01A8" w:rsidRDefault="00575982" w:rsidP="00852373">
      <w:pPr>
        <w:spacing w:after="0" w:line="240" w:lineRule="auto"/>
        <w:jc w:val="both"/>
        <w:rPr>
          <w:rFonts w:cs="Arial"/>
          <w:color w:val="191919"/>
        </w:rPr>
      </w:pPr>
    </w:p>
    <w:p w:rsidR="00CA2D1B" w:rsidRPr="008A4F81" w:rsidRDefault="00CA2D1B" w:rsidP="00852373">
      <w:pPr>
        <w:spacing w:after="0"/>
        <w:jc w:val="both"/>
        <w:rPr>
          <w:rFonts w:cs="Arial"/>
          <w:color w:val="191919"/>
          <w:lang w:val="es-ES_tradnl"/>
        </w:rPr>
      </w:pPr>
      <w:r w:rsidRPr="00A6130B">
        <w:rPr>
          <w:rFonts w:cs="Arial"/>
          <w:color w:val="191919"/>
          <w:lang w:val="es-CR"/>
        </w:rPr>
        <w:t xml:space="preserve">El estatus de refugiado es libre de condición laboral, pudiendo trabajar en cualquier rama de actividad tal y como lo hace un costarricense, además, si en el término de tres meses su solicitud no ha sido resuelta, se le otorga permiso laboral con el propósito de que la persona tenga acceso a un trabajo. </w:t>
      </w:r>
      <w:r w:rsidR="008A4F81">
        <w:rPr>
          <w:rFonts w:cs="Arial"/>
          <w:color w:val="191919"/>
          <w:lang w:val="es-ES_tradnl"/>
        </w:rPr>
        <w:t xml:space="preserve">Es importante aclarar que se documenta tanto al solicitante de refugio como al refugiado. Al solicitante una vez realizada la entrevista de elegibilidad de forma inmediata se le proporciona un carnet que los acredita e identifica mientras se les resuelve su solicitud. </w:t>
      </w:r>
      <w:r w:rsidRPr="00A6130B">
        <w:rPr>
          <w:rFonts w:cs="Arial"/>
          <w:color w:val="191919"/>
          <w:lang w:val="es-CR"/>
        </w:rPr>
        <w:t xml:space="preserve">El documento de acreditación no indica condición de refugiado o similar, para evitar cualquier tipo de reacciones negativas.  </w:t>
      </w:r>
    </w:p>
    <w:p w:rsidR="008A4F81" w:rsidRPr="008A4F81" w:rsidRDefault="008A4F81" w:rsidP="00852373">
      <w:pPr>
        <w:spacing w:after="0" w:line="240" w:lineRule="auto"/>
        <w:jc w:val="both"/>
        <w:rPr>
          <w:rFonts w:cs="Arial"/>
          <w:color w:val="191919"/>
          <w:lang w:val="es-ES_tradnl"/>
        </w:rPr>
      </w:pPr>
    </w:p>
    <w:p w:rsidR="00CA2D1B" w:rsidRDefault="00CA2D1B" w:rsidP="00852373">
      <w:pPr>
        <w:spacing w:after="0" w:line="240" w:lineRule="auto"/>
        <w:jc w:val="both"/>
        <w:rPr>
          <w:rFonts w:cs="Arial"/>
          <w:color w:val="191919"/>
          <w:lang w:val="es-CR"/>
        </w:rPr>
      </w:pPr>
      <w:r w:rsidRPr="00A6130B">
        <w:rPr>
          <w:rFonts w:cs="Arial"/>
          <w:color w:val="191919"/>
          <w:lang w:val="es-CR"/>
        </w:rPr>
        <w:t>En cuanto a la educación, la  Dirección General de Migración conjuntamente con el ACNUR, han firmado convenios con el INA, el MEP y el CONARE,  con el propósito de promover el acceso por parte de las personas refugiadas y solicitantes de refugio.</w:t>
      </w:r>
    </w:p>
    <w:p w:rsidR="00852373" w:rsidRDefault="00852373" w:rsidP="00852373">
      <w:pPr>
        <w:spacing w:after="0"/>
        <w:jc w:val="both"/>
        <w:rPr>
          <w:rFonts w:cs="Arial"/>
          <w:color w:val="191919"/>
          <w:lang w:val="es-ES_tradnl"/>
        </w:rPr>
      </w:pPr>
    </w:p>
    <w:p w:rsidR="008A4F81" w:rsidRDefault="000F439E" w:rsidP="00852373">
      <w:pPr>
        <w:spacing w:after="0"/>
        <w:jc w:val="both"/>
        <w:rPr>
          <w:rFonts w:cs="Arial"/>
          <w:color w:val="191919"/>
          <w:lang w:val="es-ES_tradnl"/>
        </w:rPr>
      </w:pPr>
      <w:proofErr w:type="spellStart"/>
      <w:r>
        <w:rPr>
          <w:rFonts w:cs="Arial"/>
          <w:color w:val="191919"/>
          <w:lang w:val="es-ES_tradnl"/>
        </w:rPr>
        <w:t>Así</w:t>
      </w:r>
      <w:r w:rsidR="008A4F81">
        <w:rPr>
          <w:rFonts w:cs="Arial"/>
          <w:color w:val="191919"/>
          <w:lang w:val="es-ES_tradnl"/>
        </w:rPr>
        <w:t>mismo</w:t>
      </w:r>
      <w:proofErr w:type="spellEnd"/>
      <w:r w:rsidR="008A4F81">
        <w:rPr>
          <w:rFonts w:cs="Arial"/>
          <w:color w:val="191919"/>
          <w:lang w:val="es-ES_tradnl"/>
        </w:rPr>
        <w:t xml:space="preserve">, es importante mencionar que el sector educación se beneficia del fondo social para presentar proyectos que beneficien a la población extranjera. </w:t>
      </w:r>
    </w:p>
    <w:p w:rsidR="000F439E" w:rsidRDefault="000F439E" w:rsidP="00852373">
      <w:pPr>
        <w:spacing w:after="0"/>
        <w:jc w:val="both"/>
        <w:rPr>
          <w:rFonts w:cs="Arial"/>
          <w:color w:val="191919"/>
          <w:lang w:val="es-ES_tradnl"/>
        </w:rPr>
      </w:pPr>
    </w:p>
    <w:p w:rsidR="000F439E" w:rsidRPr="00787021" w:rsidRDefault="000F439E" w:rsidP="000F439E">
      <w:pPr>
        <w:spacing w:line="240" w:lineRule="auto"/>
        <w:jc w:val="both"/>
        <w:rPr>
          <w:rFonts w:cs="Arial"/>
          <w:lang w:val="es-CR"/>
        </w:rPr>
      </w:pPr>
      <w:r w:rsidRPr="00787021">
        <w:rPr>
          <w:rFonts w:cs="Arial"/>
          <w:lang w:val="es-CR"/>
        </w:rPr>
        <w:t>Con el fin de promover el pleno ejercicio del derecho a la educación de las personas refugiadas y solicitantes de la condición de refugiado, a nivel de coordinación interinstitucional, el MEP suscribió lo siguiente:</w:t>
      </w:r>
    </w:p>
    <w:p w:rsidR="000F439E" w:rsidRPr="00787021" w:rsidRDefault="000F439E" w:rsidP="000F439E">
      <w:pPr>
        <w:numPr>
          <w:ilvl w:val="1"/>
          <w:numId w:val="44"/>
        </w:numPr>
        <w:spacing w:line="240" w:lineRule="auto"/>
        <w:jc w:val="both"/>
        <w:rPr>
          <w:rFonts w:cs="Arial"/>
          <w:lang w:val="es-CR"/>
        </w:rPr>
      </w:pPr>
      <w:r w:rsidRPr="00787021">
        <w:rPr>
          <w:rFonts w:cs="Arial"/>
          <w:lang w:val="es-CR"/>
        </w:rPr>
        <w:t xml:space="preserve">Convenio marco de cooperación entre el Ministerio de Educación Pública y la Oficina del Alto Comisionado de las Naciones Unidas para los Refugiados para promover la integración de las personas refugiadas, solicitantes de la condición de refugiado y apátridas al sistema educativo costarricense (2014). </w:t>
      </w:r>
    </w:p>
    <w:p w:rsidR="008A4F81" w:rsidRDefault="000F439E" w:rsidP="00D33224">
      <w:pPr>
        <w:numPr>
          <w:ilvl w:val="1"/>
          <w:numId w:val="44"/>
        </w:numPr>
        <w:spacing w:after="0" w:line="240" w:lineRule="auto"/>
        <w:jc w:val="both"/>
        <w:rPr>
          <w:rFonts w:cs="Arial"/>
          <w:lang w:val="es-CR"/>
        </w:rPr>
      </w:pPr>
      <w:r w:rsidRPr="00787021">
        <w:rPr>
          <w:rFonts w:cs="Arial"/>
          <w:lang w:val="es-CR"/>
        </w:rPr>
        <w:t>Convenio marco de cooperación entre el Instituto Nacional de Aprendizaje, el Ministerio de Educación Pública, la Dirección General de Migración y Extranjería, la Oficina del Alto Comisionado de las Naciones Unidas para los Refugiados y la Asociación de Consultores y Asesores Internacionales (2015).</w:t>
      </w:r>
    </w:p>
    <w:p w:rsidR="00D33224" w:rsidRPr="00D33224" w:rsidRDefault="00D33224" w:rsidP="00D33224">
      <w:pPr>
        <w:spacing w:after="0" w:line="240" w:lineRule="auto"/>
        <w:ind w:left="1080"/>
        <w:jc w:val="both"/>
        <w:rPr>
          <w:rFonts w:cs="Arial"/>
          <w:lang w:val="es-CR"/>
        </w:rPr>
      </w:pPr>
    </w:p>
    <w:p w:rsidR="000921C3" w:rsidRPr="00A6130B" w:rsidRDefault="000921C3" w:rsidP="00967059">
      <w:pPr>
        <w:pStyle w:val="Heading3"/>
        <w:numPr>
          <w:ilvl w:val="0"/>
          <w:numId w:val="11"/>
        </w:numPr>
        <w:spacing w:line="240" w:lineRule="auto"/>
        <w:rPr>
          <w:rFonts w:ascii="Calibri" w:hAnsi="Calibri"/>
          <w:color w:val="1F4E79"/>
        </w:rPr>
      </w:pPr>
      <w:bookmarkStart w:id="19" w:name="_Toc446126617"/>
      <w:r w:rsidRPr="00A6130B">
        <w:rPr>
          <w:rFonts w:ascii="Calibri" w:hAnsi="Calibri"/>
          <w:color w:val="1F4E79"/>
        </w:rPr>
        <w:t>Medi</w:t>
      </w:r>
      <w:r w:rsidR="00E93FC6">
        <w:rPr>
          <w:rFonts w:ascii="Calibri" w:hAnsi="Calibri"/>
          <w:color w:val="1F4E79"/>
        </w:rPr>
        <w:t>d</w:t>
      </w:r>
      <w:r w:rsidRPr="00A6130B">
        <w:rPr>
          <w:rFonts w:ascii="Calibri" w:hAnsi="Calibri"/>
          <w:color w:val="1F4E79"/>
        </w:rPr>
        <w:t>as adoptadas para combatir racismo estructural, la discriminación racial y la xenofobia. Resultados de la Política Nacional para una Sociedad Libre de Racismo, Discriminación Racial y Xenofobia.</w:t>
      </w:r>
      <w:bookmarkEnd w:id="19"/>
    </w:p>
    <w:p w:rsidR="008A4F81" w:rsidRDefault="008A4F81" w:rsidP="008A4F81">
      <w:pPr>
        <w:spacing w:after="0" w:line="240" w:lineRule="auto"/>
        <w:jc w:val="both"/>
        <w:rPr>
          <w:rFonts w:cs="Arial"/>
          <w:color w:val="191919"/>
          <w:lang w:val="es-CR"/>
        </w:rPr>
      </w:pPr>
    </w:p>
    <w:p w:rsidR="008A4F81" w:rsidRDefault="008A4F81" w:rsidP="008A4F81">
      <w:pPr>
        <w:rPr>
          <w:rFonts w:cs="Arial"/>
        </w:rPr>
      </w:pPr>
      <w:r>
        <w:rPr>
          <w:rFonts w:cs="Arial"/>
        </w:rPr>
        <w:t>Véase intervención inicial.</w:t>
      </w:r>
    </w:p>
    <w:p w:rsidR="00E8395E" w:rsidRPr="00E8395E" w:rsidRDefault="00E8395E" w:rsidP="00E8395E">
      <w:pPr>
        <w:jc w:val="both"/>
      </w:pPr>
      <w:r>
        <w:t>E</w:t>
      </w:r>
      <w:r w:rsidRPr="00E8395E">
        <w:t>l Plan de Acción</w:t>
      </w:r>
      <w:r>
        <w:t xml:space="preserve"> de la Política</w:t>
      </w:r>
      <w:r w:rsidRPr="00E8395E">
        <w:t xml:space="preserve"> desarrolla las acciones en siete ejes: fortalecimiento institucional; derechos civiles y políticos; derecho a la educación y a la cultura; derecho a la salud y seguridad social; derecho al trabajo y derechos económicos; derecho a una buena calidad y nivel de vida adecuado; y  derecho a un medio ambiente de calidad y a la territorialidad. </w:t>
      </w:r>
      <w:r>
        <w:t xml:space="preserve"> </w:t>
      </w:r>
      <w:r w:rsidRPr="00E8395E">
        <w:t xml:space="preserve">Cada una de las instituciones involucradas debe incluir en sus presupuestos anuales planes, proyectos y actividades que respondan a los lineamientos de la Política Nacional, y que se enmarcan en las acciones estratégicas que establece el Plan de Acción. </w:t>
      </w:r>
    </w:p>
    <w:p w:rsidR="00E8395E" w:rsidRPr="00E8395E" w:rsidRDefault="00E8395E" w:rsidP="00E8395E">
      <w:pPr>
        <w:jc w:val="both"/>
      </w:pPr>
      <w:r w:rsidRPr="00E8395E">
        <w:lastRenderedPageBreak/>
        <w:t xml:space="preserve">A raíz de la Política Nacional contra la discriminación, diversos órganos del Estado han estado estudiando el tema. El Poder Judicial, por ejemplo, aprobó en agosto de 2015 la </w:t>
      </w:r>
      <w:r w:rsidRPr="00E8395E">
        <w:rPr>
          <w:bCs/>
        </w:rPr>
        <w:t xml:space="preserve">Política Institucional para el Acceso a la Justicia de Personas </w:t>
      </w:r>
      <w:proofErr w:type="spellStart"/>
      <w:r w:rsidRPr="00E8395E">
        <w:rPr>
          <w:bCs/>
        </w:rPr>
        <w:t>Afrodescendientes</w:t>
      </w:r>
      <w:proofErr w:type="spellEnd"/>
      <w:r w:rsidRPr="00E8395E">
        <w:rPr>
          <w:bCs/>
        </w:rPr>
        <w:t xml:space="preserve"> del Poder Judicial y su Plan de Acción, </w:t>
      </w:r>
      <w:r w:rsidRPr="00E8395E">
        <w:t xml:space="preserve">que cuenta con protocolos de atención para los </w:t>
      </w:r>
      <w:proofErr w:type="spellStart"/>
      <w:r w:rsidRPr="00E8395E">
        <w:t>afrodescendientes</w:t>
      </w:r>
      <w:proofErr w:type="spellEnd"/>
      <w:r w:rsidRPr="00E8395E">
        <w:t xml:space="preserve">, tomando en cuenta su cultura y tratando de eliminar la incidencia de prejuicios y perfilamientos en la aplicación de la justicia. </w:t>
      </w:r>
    </w:p>
    <w:p w:rsidR="00E8395E" w:rsidRPr="00E8395E" w:rsidRDefault="00E8395E" w:rsidP="00E8395E">
      <w:pPr>
        <w:jc w:val="both"/>
      </w:pPr>
      <w:r>
        <w:t xml:space="preserve">El </w:t>
      </w:r>
      <w:r w:rsidRPr="00E8395E">
        <w:t xml:space="preserve">Despacho del Comisionado Presidencial para Asuntos de la </w:t>
      </w:r>
      <w:proofErr w:type="spellStart"/>
      <w:r w:rsidRPr="00E8395E">
        <w:t>Afrodescendencia</w:t>
      </w:r>
      <w:proofErr w:type="spellEnd"/>
      <w:r>
        <w:t xml:space="preserve"> </w:t>
      </w:r>
      <w:r w:rsidRPr="00E8395E">
        <w:t xml:space="preserve">elaboró el Plan Nacional para </w:t>
      </w:r>
      <w:proofErr w:type="spellStart"/>
      <w:r w:rsidRPr="00E8395E">
        <w:t>Afrodescendientes</w:t>
      </w:r>
      <w:proofErr w:type="spellEnd"/>
      <w:r w:rsidRPr="00E8395E">
        <w:t xml:space="preserve"> 2015-2018, que ya ha comenzado a rendir sus primeros frutos. Por ejemplo, se ha incluido en la Política Nacional de Salud, por parte del Ministerio de Salud, la atención de las dolencias recurrentes de la población </w:t>
      </w:r>
      <w:proofErr w:type="spellStart"/>
      <w:r w:rsidRPr="00E8395E">
        <w:t>afrodescendiente</w:t>
      </w:r>
      <w:proofErr w:type="spellEnd"/>
      <w:r w:rsidRPr="00E8395E">
        <w:t xml:space="preserve"> (</w:t>
      </w:r>
      <w:proofErr w:type="spellStart"/>
      <w:r w:rsidRPr="00E8395E">
        <w:t>drepanositosis</w:t>
      </w:r>
      <w:proofErr w:type="spellEnd"/>
      <w:r w:rsidRPr="00E8395E">
        <w:t xml:space="preserve">)  y la Caja Costarricense del Seguro Social ha establecido una comisión al más alto nivel para desarrollar protocolos para una atención culturalmente pertinente a la población </w:t>
      </w:r>
      <w:proofErr w:type="spellStart"/>
      <w:r w:rsidRPr="00E8395E">
        <w:t>af</w:t>
      </w:r>
      <w:r>
        <w:t>ro</w:t>
      </w:r>
      <w:r w:rsidRPr="00E8395E">
        <w:t>descendiente</w:t>
      </w:r>
      <w:proofErr w:type="spellEnd"/>
      <w:r w:rsidRPr="00E8395E">
        <w:t>.</w:t>
      </w:r>
      <w:r>
        <w:t xml:space="preserve"> </w:t>
      </w:r>
      <w:r w:rsidRPr="00E8395E">
        <w:t xml:space="preserve">Así mismo, reconociendo el asunto de la desventaja en la </w:t>
      </w:r>
      <w:proofErr w:type="spellStart"/>
      <w:r w:rsidRPr="00E8395E">
        <w:t>empleabilidad</w:t>
      </w:r>
      <w:proofErr w:type="spellEnd"/>
      <w:r w:rsidRPr="00E8395E">
        <w:t xml:space="preserve">, ya se ha logrado un compromiso del Ministerio de Trabajo para poner en marcha un plan específico de equiparación para jóvenes </w:t>
      </w:r>
      <w:proofErr w:type="spellStart"/>
      <w:r w:rsidRPr="00E8395E">
        <w:t>afrodescendientes</w:t>
      </w:r>
      <w:proofErr w:type="spellEnd"/>
      <w:r w:rsidRPr="00E8395E">
        <w:t xml:space="preserve"> en la Provincia de Limón.</w:t>
      </w:r>
    </w:p>
    <w:p w:rsidR="00E8395E" w:rsidRPr="00E8395E" w:rsidRDefault="00E8395E" w:rsidP="00E8395E">
      <w:pPr>
        <w:jc w:val="both"/>
      </w:pPr>
      <w:r w:rsidRPr="00E8395E">
        <w:t>Asimismo, debe señalarse que el Comisionado trabaja en procura de protocolos de prevención, detección y atención de la discriminación racial.</w:t>
      </w:r>
    </w:p>
    <w:p w:rsidR="00E8395E" w:rsidRPr="00E8395E" w:rsidRDefault="00E8395E" w:rsidP="00E8395E">
      <w:pPr>
        <w:jc w:val="both"/>
        <w:rPr>
          <w:bCs/>
          <w:lang w:val="es-ES_tradnl"/>
        </w:rPr>
      </w:pPr>
      <w:r w:rsidRPr="00E8395E">
        <w:rPr>
          <w:bCs/>
          <w:lang w:val="es-ES_tradnl"/>
        </w:rPr>
        <w:t xml:space="preserve">Actualmente existe un Proyecto de Ley N° 19062 que modifica el Artículo 380 del Código Penal, (Ley N° 4573 de 4 de mayo de 1970 y sus reformas). Ley para combatir la discriminación, la incitación al odio y la apología del odio y la discriminación.  Este proyecto se encuentra en la Comisión de Derechos Humanos y se ha enviado a consulta con varias instituciones.  La promulgación de esta ley también es una de las acciones contenidas en el Plan de Acción de la Política Nacional para una Sociedad Libre de Racismo, Discriminación racial y Xenofobia. </w:t>
      </w:r>
    </w:p>
    <w:p w:rsidR="000921C3" w:rsidRPr="00A6130B" w:rsidRDefault="000921C3" w:rsidP="00967059">
      <w:pPr>
        <w:pStyle w:val="Heading2"/>
        <w:numPr>
          <w:ilvl w:val="0"/>
          <w:numId w:val="10"/>
        </w:numPr>
        <w:rPr>
          <w:rFonts w:ascii="Calibri" w:hAnsi="Calibri"/>
          <w:sz w:val="24"/>
          <w:szCs w:val="24"/>
        </w:rPr>
      </w:pPr>
      <w:bookmarkStart w:id="20" w:name="_Toc446126618"/>
      <w:r w:rsidRPr="00A6130B">
        <w:rPr>
          <w:rFonts w:ascii="Calibri" w:hAnsi="Calibri"/>
          <w:sz w:val="24"/>
          <w:szCs w:val="24"/>
        </w:rPr>
        <w:t xml:space="preserve">Sírvanse informar acerca de las medidas adoptadas, incluyendo campañas de sensibilización, y su impacto, para prevenir y proporcionar una protección eficaz contra la violencia y la discriminación por motivos de orientación sexual o identidad de género. Sírvanse, asimismo, indicar si existe una disposición legislativa que prohíba explícitamente la discriminación por motivos de orientación sexual o identidad de género. Sírvanse acompañar información acerca del número de denuncias por actos de violencia contra personas lesbianas, gais, bisexuales y </w:t>
      </w:r>
      <w:proofErr w:type="spellStart"/>
      <w:r w:rsidRPr="00A6130B">
        <w:rPr>
          <w:rFonts w:ascii="Calibri" w:hAnsi="Calibri"/>
          <w:sz w:val="24"/>
          <w:szCs w:val="24"/>
        </w:rPr>
        <w:t>transgénero</w:t>
      </w:r>
      <w:proofErr w:type="spellEnd"/>
      <w:r w:rsidRPr="00A6130B">
        <w:rPr>
          <w:rFonts w:ascii="Calibri" w:hAnsi="Calibri"/>
          <w:sz w:val="24"/>
          <w:szCs w:val="24"/>
        </w:rPr>
        <w:t xml:space="preserve"> recibidas; las investigaciones llevadas a cabo y sus resultados, incluidas las condenas impuestas a los responsables; y las medidas de reparación otorgadas a la víctimas.</w:t>
      </w:r>
      <w:bookmarkEnd w:id="20"/>
    </w:p>
    <w:p w:rsidR="001413D6" w:rsidRPr="00A6130B" w:rsidRDefault="00265F10" w:rsidP="00967059">
      <w:pPr>
        <w:pStyle w:val="Heading3"/>
        <w:numPr>
          <w:ilvl w:val="0"/>
          <w:numId w:val="12"/>
        </w:numPr>
        <w:spacing w:line="240" w:lineRule="auto"/>
        <w:rPr>
          <w:rFonts w:ascii="Calibri" w:hAnsi="Calibri"/>
          <w:color w:val="1F4E79"/>
        </w:rPr>
      </w:pPr>
      <w:bookmarkStart w:id="21" w:name="_Toc446126619"/>
      <w:r w:rsidRPr="00A6130B">
        <w:rPr>
          <w:rFonts w:ascii="Calibri" w:hAnsi="Calibri"/>
          <w:color w:val="1F4E79"/>
        </w:rPr>
        <w:t xml:space="preserve">Medidas adoptadas </w:t>
      </w:r>
      <w:r w:rsidR="00DC23B1">
        <w:rPr>
          <w:rFonts w:ascii="Calibri" w:hAnsi="Calibri"/>
          <w:color w:val="1F4E79"/>
        </w:rPr>
        <w:t xml:space="preserve">para </w:t>
      </w:r>
      <w:r w:rsidRPr="00A6130B">
        <w:rPr>
          <w:rFonts w:ascii="Calibri" w:hAnsi="Calibri"/>
          <w:color w:val="1F4E79"/>
        </w:rPr>
        <w:t>prevenir y proporcionar protección eficaz contra la violencia y la discriminación por motivos de orientación sexual o identidad de género.</w:t>
      </w:r>
      <w:bookmarkEnd w:id="21"/>
    </w:p>
    <w:p w:rsidR="00452D9D" w:rsidRPr="00452D9D" w:rsidRDefault="00452D9D" w:rsidP="00452D9D">
      <w:pPr>
        <w:spacing w:before="120" w:after="120" w:line="240" w:lineRule="auto"/>
        <w:jc w:val="both"/>
      </w:pPr>
      <w:r w:rsidRPr="00452D9D">
        <w:t>El Estado de Costa Rica ha dado pasos significativos para la garantía de los derechos de la población LGBTI, en diversos ámbitos tendientes a la eliminación de todas las formas de discriminación en razón de la orientación y la identidad sexual. En los últimos años, se pueden destacar los siguientes esfuerzos:</w:t>
      </w:r>
    </w:p>
    <w:p w:rsidR="00452D9D" w:rsidRPr="00452D9D" w:rsidRDefault="00452D9D" w:rsidP="00967059">
      <w:pPr>
        <w:pStyle w:val="ListParagraph"/>
        <w:numPr>
          <w:ilvl w:val="0"/>
          <w:numId w:val="2"/>
        </w:numPr>
        <w:spacing w:before="120" w:after="120" w:line="240" w:lineRule="auto"/>
        <w:contextualSpacing w:val="0"/>
        <w:jc w:val="both"/>
      </w:pPr>
      <w:r w:rsidRPr="00452D9D">
        <w:t xml:space="preserve">Decreto Ejecutivo 38999 de 12 de mayo de 2015, “Política del Poder Ejecutivo Para Erradicar de sus Instituciones la Discriminación Hacia la Población Sexualmente Diversa”. Esta norma declara el Poder Ejecutivo libre de discriminación y ordena concretar una política institucional y reformas a los reglamentos autónomos que eliminen cualquier forma de discriminación. </w:t>
      </w:r>
    </w:p>
    <w:p w:rsidR="00452D9D" w:rsidRPr="00452D9D" w:rsidRDefault="00452D9D" w:rsidP="00967059">
      <w:pPr>
        <w:pStyle w:val="ListParagraph"/>
        <w:numPr>
          <w:ilvl w:val="0"/>
          <w:numId w:val="2"/>
        </w:numPr>
        <w:spacing w:before="120" w:after="120" w:line="240" w:lineRule="auto"/>
        <w:contextualSpacing w:val="0"/>
        <w:jc w:val="both"/>
      </w:pPr>
      <w:r w:rsidRPr="00452D9D">
        <w:lastRenderedPageBreak/>
        <w:t xml:space="preserve">Decreto Ejecutivo 39036-C, de 12 de junio de 2015, “Adopción por parte del Ministerio de Cultura y Juventud de la Política del Poder Ejecutivo para erradicar de sus instituciones la Discriminación hacia la Población Sexualmente Diversa”. </w:t>
      </w:r>
    </w:p>
    <w:p w:rsidR="00452D9D" w:rsidRPr="00452D9D" w:rsidRDefault="00452D9D" w:rsidP="00967059">
      <w:pPr>
        <w:pStyle w:val="ListParagraph"/>
        <w:numPr>
          <w:ilvl w:val="0"/>
          <w:numId w:val="2"/>
        </w:numPr>
        <w:spacing w:before="120" w:after="120" w:line="240" w:lineRule="auto"/>
        <w:contextualSpacing w:val="0"/>
        <w:jc w:val="both"/>
      </w:pPr>
      <w:r w:rsidRPr="00452D9D">
        <w:t xml:space="preserve">Directriz n.° 025-P, “Política para Erradicar de las Instituciones Públicas la Discriminación hacia la Población Sexualmente Diversa” del 12 de mayo de 2015. Dirigida a la Administración Descentralizada para que cada institución se declare libre de discriminación, concrete una política institucional y reforme su reglamento interno para eliminar cualquier forma de discriminación. </w:t>
      </w:r>
    </w:p>
    <w:p w:rsidR="00452D9D" w:rsidRPr="00452D9D" w:rsidRDefault="00452D9D" w:rsidP="00967059">
      <w:pPr>
        <w:pStyle w:val="ListParagraph"/>
        <w:numPr>
          <w:ilvl w:val="0"/>
          <w:numId w:val="2"/>
        </w:numPr>
        <w:spacing w:before="120" w:after="120" w:line="240" w:lineRule="auto"/>
        <w:contextualSpacing w:val="0"/>
        <w:jc w:val="both"/>
      </w:pPr>
      <w:r w:rsidRPr="00452D9D">
        <w:t xml:space="preserve">“Política Respetuosa de la Diversidad Sexual”, adoptada por la Corte Plena en el artículo XIII de la </w:t>
      </w:r>
      <w:proofErr w:type="spellStart"/>
      <w:r w:rsidRPr="00452D9D">
        <w:t>la</w:t>
      </w:r>
      <w:proofErr w:type="spellEnd"/>
      <w:r w:rsidRPr="00452D9D">
        <w:t xml:space="preserve"> sesión n.° 31-11 del 19 de setiembre de 2011. Dirigida a eliminar la discriminación hacia los usuarios y personal; además de promover acciones de capacitación y sensibilización. </w:t>
      </w:r>
    </w:p>
    <w:p w:rsidR="00452D9D" w:rsidRPr="00452D9D" w:rsidRDefault="00452D9D" w:rsidP="00967059">
      <w:pPr>
        <w:pStyle w:val="ListParagraph"/>
        <w:numPr>
          <w:ilvl w:val="0"/>
          <w:numId w:val="2"/>
        </w:numPr>
        <w:spacing w:before="120" w:after="120" w:line="240" w:lineRule="auto"/>
        <w:contextualSpacing w:val="0"/>
        <w:jc w:val="both"/>
      </w:pPr>
      <w:r w:rsidRPr="00452D9D">
        <w:t xml:space="preserve">Resolución n.° 64-2016 de la Rectoría de la Universidad de Costa Rica, del 7 de marzo de 2016. Reconoce el nombre que, según su identidad de género, sea escogido por las personas que se relacionan con la Universidad. </w:t>
      </w:r>
    </w:p>
    <w:p w:rsidR="00452D9D" w:rsidRPr="00452D9D" w:rsidRDefault="00452D9D" w:rsidP="00967059">
      <w:pPr>
        <w:pStyle w:val="ListParagraph"/>
        <w:numPr>
          <w:ilvl w:val="0"/>
          <w:numId w:val="2"/>
        </w:numPr>
        <w:spacing w:before="120" w:after="120" w:line="240" w:lineRule="auto"/>
        <w:contextualSpacing w:val="0"/>
        <w:jc w:val="both"/>
      </w:pPr>
      <w:r w:rsidRPr="00452D9D">
        <w:t xml:space="preserve">Sentencia n.° 2012-04524 del 30 de marzo de 2013 de la Sala Constitucional de la Corte Suprema de Justicia. Ordena a las autoridades penitenciarias permitir a un privado de libertad de vestirse según su identidad de género. </w:t>
      </w:r>
    </w:p>
    <w:p w:rsidR="00452D9D" w:rsidRPr="00452D9D" w:rsidRDefault="00452D9D" w:rsidP="00967059">
      <w:pPr>
        <w:pStyle w:val="ListParagraph"/>
        <w:numPr>
          <w:ilvl w:val="0"/>
          <w:numId w:val="2"/>
        </w:numPr>
        <w:spacing w:before="120" w:after="120" w:line="240" w:lineRule="auto"/>
        <w:contextualSpacing w:val="0"/>
        <w:jc w:val="both"/>
      </w:pPr>
      <w:r w:rsidRPr="00452D9D">
        <w:t xml:space="preserve">Sentencia n.° 2012-16632 del 30 de noviembre de 2012 de la Sala Constitucional de la Corte Suprema de Justicia.  Ordena a las autoridades penitenciarias permitir la visita íntima entre personas del mismo sexo para privados de libertad. </w:t>
      </w:r>
    </w:p>
    <w:p w:rsidR="00452D9D" w:rsidRPr="00452D9D" w:rsidRDefault="00452D9D" w:rsidP="00967059">
      <w:pPr>
        <w:pStyle w:val="ListParagraph"/>
        <w:numPr>
          <w:ilvl w:val="0"/>
          <w:numId w:val="2"/>
        </w:numPr>
        <w:spacing w:before="120" w:after="120" w:line="240" w:lineRule="auto"/>
        <w:contextualSpacing w:val="0"/>
        <w:jc w:val="both"/>
      </w:pPr>
      <w:r w:rsidRPr="00452D9D">
        <w:t xml:space="preserve">Circular n.° 1-2013 del 11 de febrero de 2013, Instituto Nacional de Criminología, “Procedimiento para la Autorización de la Visita Íntima en Parejas del Mismo Sexo en los Centros del Sistema Penitenciario Costarricense”. </w:t>
      </w:r>
    </w:p>
    <w:p w:rsidR="00452D9D" w:rsidRPr="00452D9D" w:rsidRDefault="00452D9D" w:rsidP="00967059">
      <w:pPr>
        <w:pStyle w:val="ListParagraph"/>
        <w:numPr>
          <w:ilvl w:val="0"/>
          <w:numId w:val="2"/>
        </w:numPr>
        <w:spacing w:before="120" w:after="120" w:line="240" w:lineRule="auto"/>
        <w:contextualSpacing w:val="0"/>
        <w:jc w:val="both"/>
      </w:pPr>
      <w:r w:rsidRPr="00452D9D">
        <w:t xml:space="preserve">Proyectos de ley: 19841, “Reconocimiento de los Derechos a la Identidad de Género e Igualdad ante la Ley”, 18483, “Reforma al Capítulo Único del Título VII del Código de Familia”, que regula la unión de hecho entre personas del mismo sexo. </w:t>
      </w:r>
    </w:p>
    <w:p w:rsidR="00452D9D" w:rsidRPr="00452D9D" w:rsidRDefault="00452D9D" w:rsidP="00967059">
      <w:pPr>
        <w:pStyle w:val="ListParagraph"/>
        <w:numPr>
          <w:ilvl w:val="0"/>
          <w:numId w:val="2"/>
        </w:numPr>
        <w:spacing w:before="120" w:after="120" w:line="240" w:lineRule="auto"/>
        <w:contextualSpacing w:val="0"/>
        <w:jc w:val="both"/>
      </w:pPr>
      <w:r w:rsidRPr="00452D9D">
        <w:t xml:space="preserve">Se dictó la Ley n.° 9155 de 3 de julio de 2013, “Reforma Ley General de la Persona Joven y el Código Municipal”. Que reconoce el acceso, sin discriminación, a derechos sociales y patrimoniales en una unión de hecho. </w:t>
      </w:r>
    </w:p>
    <w:p w:rsidR="00452D9D" w:rsidRPr="00452D9D" w:rsidRDefault="00452D9D" w:rsidP="00967059">
      <w:pPr>
        <w:pStyle w:val="ListParagraph"/>
        <w:numPr>
          <w:ilvl w:val="0"/>
          <w:numId w:val="2"/>
        </w:numPr>
        <w:spacing w:before="120" w:after="120" w:line="240" w:lineRule="auto"/>
        <w:contextualSpacing w:val="0"/>
        <w:jc w:val="both"/>
      </w:pPr>
      <w:r w:rsidRPr="00452D9D">
        <w:t xml:space="preserve">Se dictó la Ley n.° 9343 de 25 de enero de 2016, “Reforma Procesal Laboral”, que en el artículo 404 prohíbe la discriminación en el trabajo por razones de diversidad sexual. </w:t>
      </w:r>
    </w:p>
    <w:p w:rsidR="00452D9D" w:rsidRPr="00452D9D" w:rsidRDefault="00452D9D" w:rsidP="00967059">
      <w:pPr>
        <w:pStyle w:val="ListParagraph"/>
        <w:numPr>
          <w:ilvl w:val="0"/>
          <w:numId w:val="2"/>
        </w:numPr>
        <w:spacing w:before="120" w:after="120" w:line="240" w:lineRule="auto"/>
        <w:contextualSpacing w:val="0"/>
        <w:jc w:val="both"/>
      </w:pPr>
      <w:r w:rsidRPr="00452D9D">
        <w:t xml:space="preserve">Decreto Ejecutivo  39210, “Autorización para la realización de la técnica de reproducción asistida de Fecundación In Vitro y transferencia embrionaria” del 10 de setiembre de 2015. Según su artículo 2, no existe discriminación, por motivos de diversidad sexual, para poder acceder a la técnica FIV. </w:t>
      </w:r>
    </w:p>
    <w:p w:rsidR="00452D9D" w:rsidRPr="00452D9D" w:rsidRDefault="00452D9D" w:rsidP="00967059">
      <w:pPr>
        <w:pStyle w:val="ListParagraph"/>
        <w:numPr>
          <w:ilvl w:val="0"/>
          <w:numId w:val="2"/>
        </w:numPr>
        <w:spacing w:before="120" w:after="120" w:line="240" w:lineRule="auto"/>
        <w:contextualSpacing w:val="0"/>
        <w:jc w:val="both"/>
      </w:pPr>
      <w:r w:rsidRPr="00452D9D">
        <w:t xml:space="preserve">Reforma n.° 8744 del 09 de octubre del 2014 de la Junta Directiva de la Caja Costarricense del Seguro Social, “Reforma al Reglamento del Seguro de Salud de la Caja Costarricense de Seguro Social”. Se permite el aseguramiento a pareja del mismo sexo y visita hospitalaria. </w:t>
      </w:r>
    </w:p>
    <w:p w:rsidR="00452D9D" w:rsidRPr="00452D9D" w:rsidRDefault="00452D9D" w:rsidP="00967059">
      <w:pPr>
        <w:pStyle w:val="ListParagraph"/>
        <w:numPr>
          <w:ilvl w:val="0"/>
          <w:numId w:val="2"/>
        </w:numPr>
        <w:spacing w:before="120" w:after="120" w:line="240" w:lineRule="auto"/>
        <w:contextualSpacing w:val="0"/>
        <w:jc w:val="both"/>
      </w:pPr>
      <w:r w:rsidRPr="00452D9D">
        <w:t xml:space="preserve">Reglamento 08-2010 del 1 de julio de 2010 del Tribunal Supremo de Elecciones.  Respeto al derecho a la imagen e identidad sexual en la fotografía de la cédula de identidad. </w:t>
      </w:r>
    </w:p>
    <w:p w:rsidR="00452D9D" w:rsidRPr="00452D9D" w:rsidRDefault="00452D9D" w:rsidP="00967059">
      <w:pPr>
        <w:pStyle w:val="ListParagraph"/>
        <w:numPr>
          <w:ilvl w:val="0"/>
          <w:numId w:val="2"/>
        </w:numPr>
        <w:spacing w:before="120" w:after="120" w:line="240" w:lineRule="auto"/>
        <w:contextualSpacing w:val="0"/>
        <w:jc w:val="both"/>
      </w:pPr>
      <w:r w:rsidRPr="00452D9D">
        <w:lastRenderedPageBreak/>
        <w:t>Sentencia n.° 2015-00270 de las 8:00 horas del 20 de abril de 2015, emitida por el Juzgado de Familia del Segundo Circuito Judicial de San José. Primer reconocimiento de unión de hecho entre parejas del mismo sexo.</w:t>
      </w:r>
    </w:p>
    <w:p w:rsidR="00452D9D" w:rsidRPr="00452D9D" w:rsidRDefault="00452D9D" w:rsidP="00967059">
      <w:pPr>
        <w:pStyle w:val="ListParagraph"/>
        <w:numPr>
          <w:ilvl w:val="0"/>
          <w:numId w:val="2"/>
        </w:numPr>
        <w:spacing w:before="120" w:after="120" w:line="240" w:lineRule="auto"/>
        <w:contextualSpacing w:val="0"/>
        <w:jc w:val="both"/>
      </w:pPr>
      <w:r w:rsidRPr="00452D9D">
        <w:t xml:space="preserve">Sentencias n.° 2014-12703 de las 11:51 horas del 1 de agosto de 2014 y n.° 2015-06058 de las 11:32 horas del 29 de abril 2015, emitidas por la Sala Constitucional de la Corte Suprema de Justica.  Extiende el derecho a ostentar carné de corporaciones profesionales a parejas del mismo sexo; incluyendo el beneficio de póliza de vida y asegurado de los seguros voluntarios. </w:t>
      </w:r>
    </w:p>
    <w:p w:rsidR="00452D9D" w:rsidRPr="00452D9D" w:rsidRDefault="00452D9D" w:rsidP="00967059">
      <w:pPr>
        <w:pStyle w:val="ListParagraph"/>
        <w:numPr>
          <w:ilvl w:val="0"/>
          <w:numId w:val="2"/>
        </w:numPr>
        <w:spacing w:before="120" w:after="120" w:line="240" w:lineRule="auto"/>
        <w:contextualSpacing w:val="0"/>
        <w:jc w:val="both"/>
      </w:pPr>
      <w:r w:rsidRPr="00452D9D">
        <w:t xml:space="preserve">Sentencias n.° 2011-08724 de 1º de junio de 2011, 2012-006203 de 11 de mayo de 2012. Condenatorias a comercios privados por discriminar a personas por expresiones de afecto a otras del mismo sexo. </w:t>
      </w:r>
    </w:p>
    <w:p w:rsidR="00452D9D" w:rsidRPr="00452D9D" w:rsidRDefault="00452D9D" w:rsidP="00967059">
      <w:pPr>
        <w:pStyle w:val="ListParagraph"/>
        <w:numPr>
          <w:ilvl w:val="0"/>
          <w:numId w:val="2"/>
        </w:numPr>
        <w:spacing w:before="120" w:after="120" w:line="240" w:lineRule="auto"/>
        <w:contextualSpacing w:val="0"/>
        <w:jc w:val="both"/>
      </w:pPr>
      <w:r w:rsidRPr="00452D9D">
        <w:t xml:space="preserve">Sentencia n.° 2010-13313 de 10 de agosto de 2010 de la Sala Constitucional de la Corte Suprema de Justicia. Se impide realizar un referéndum sobre la regulación de las uniones entre parejas del mismo sexo. </w:t>
      </w:r>
    </w:p>
    <w:p w:rsidR="00452D9D" w:rsidRPr="00452D9D" w:rsidRDefault="00452D9D" w:rsidP="00967059">
      <w:pPr>
        <w:pStyle w:val="ListParagraph"/>
        <w:numPr>
          <w:ilvl w:val="0"/>
          <w:numId w:val="2"/>
        </w:numPr>
        <w:spacing w:before="120" w:after="120" w:line="240" w:lineRule="auto"/>
        <w:contextualSpacing w:val="0"/>
        <w:jc w:val="both"/>
      </w:pPr>
      <w:r w:rsidRPr="00452D9D">
        <w:t xml:space="preserve">Decreto Ejecutivo 34399-S, “Declaratoria oficial del 17 de mayo de cada año como Día Nacional Contra la Homofobia, la </w:t>
      </w:r>
      <w:proofErr w:type="spellStart"/>
      <w:r w:rsidRPr="00452D9D">
        <w:t>Lesbofobia</w:t>
      </w:r>
      <w:proofErr w:type="spellEnd"/>
      <w:r w:rsidRPr="00452D9D">
        <w:t xml:space="preserve"> y la </w:t>
      </w:r>
      <w:proofErr w:type="spellStart"/>
      <w:r w:rsidRPr="00452D9D">
        <w:t>Transfobia</w:t>
      </w:r>
      <w:proofErr w:type="spellEnd"/>
      <w:r w:rsidRPr="00452D9D">
        <w:t xml:space="preserve">” del 12 de febrero de 2008. </w:t>
      </w:r>
    </w:p>
    <w:p w:rsidR="00452D9D" w:rsidRDefault="00452D9D" w:rsidP="00967059">
      <w:pPr>
        <w:pStyle w:val="ListParagraph"/>
        <w:numPr>
          <w:ilvl w:val="0"/>
          <w:numId w:val="2"/>
        </w:numPr>
        <w:spacing w:before="120" w:after="120" w:line="240" w:lineRule="auto"/>
        <w:contextualSpacing w:val="0"/>
        <w:jc w:val="both"/>
      </w:pPr>
      <w:r w:rsidRPr="00452D9D">
        <w:t>Campaña “</w:t>
      </w:r>
      <w:proofErr w:type="spellStart"/>
      <w:r w:rsidRPr="00452D9D">
        <w:t>Contá</w:t>
      </w:r>
      <w:proofErr w:type="spellEnd"/>
      <w:r w:rsidRPr="00452D9D">
        <w:t xml:space="preserve"> Conmigo” de la Defensoría de los Habitantes de la República, en contra de la Discriminación por motivos de diversidad sexual. </w:t>
      </w:r>
    </w:p>
    <w:p w:rsidR="004230EB" w:rsidRPr="00452D9D" w:rsidRDefault="004230EB" w:rsidP="004230EB">
      <w:pPr>
        <w:spacing w:before="120" w:after="120" w:line="240" w:lineRule="auto"/>
        <w:jc w:val="both"/>
      </w:pPr>
      <w:r w:rsidRPr="004230EB">
        <w:t>El Poder Judicial conformó desde el 2009 una Subcomisión para el acceso a la justicia para personas de las diversidades sexuales que se denomina “Subcomisión de no discriminación por orientación sexual e identidad de género”. Está conformada por representantes del Ministerio Público, el Organismo de Investigación Judicial, la Defensa Pública y otros departamentos u oficinas. La Subcomisión es parte de la Comisión de Acceso a la Justicia y está coordinada por la Magistrado Eva Camacho y la Secretaría Técnica de Género</w:t>
      </w:r>
      <w:r>
        <w:t>.</w:t>
      </w:r>
    </w:p>
    <w:p w:rsidR="00452D9D" w:rsidRPr="00452D9D" w:rsidRDefault="00452D9D" w:rsidP="00452D9D">
      <w:pPr>
        <w:spacing w:before="120" w:after="120" w:line="240" w:lineRule="auto"/>
        <w:jc w:val="both"/>
      </w:pPr>
      <w:r w:rsidRPr="00452D9D">
        <w:t>Si bien son muchos los aspectos que una sociedad debe regular para garantizar la igualdad de todas y todos sus habitantes luego de siglos incomprensión y de patrones culturales discriminatorios en contra de la población LGBTI, es notorio el esfuerzo que actualmente se realiza en la materia, con el objeto de consolidar, de forma paulatina y progresiva, el reconocimiento pleno de todos sus derechos humanos.</w:t>
      </w:r>
    </w:p>
    <w:p w:rsidR="00774E1B" w:rsidRPr="00452D9D" w:rsidRDefault="00774E1B" w:rsidP="00A6130B">
      <w:pPr>
        <w:spacing w:line="240" w:lineRule="auto"/>
        <w:jc w:val="both"/>
        <w:rPr>
          <w:b/>
          <w:color w:val="44546A"/>
        </w:rPr>
      </w:pPr>
    </w:p>
    <w:p w:rsidR="00774E1B" w:rsidRPr="00A6130B" w:rsidRDefault="00774E1B" w:rsidP="00967059">
      <w:pPr>
        <w:pStyle w:val="Heading3"/>
        <w:numPr>
          <w:ilvl w:val="0"/>
          <w:numId w:val="12"/>
        </w:numPr>
        <w:spacing w:line="240" w:lineRule="auto"/>
        <w:rPr>
          <w:rFonts w:ascii="Calibri" w:hAnsi="Calibri"/>
          <w:color w:val="1F4E79"/>
        </w:rPr>
      </w:pPr>
      <w:bookmarkStart w:id="22" w:name="_Toc446126620"/>
      <w:r w:rsidRPr="00A6130B">
        <w:rPr>
          <w:rFonts w:ascii="Calibri" w:hAnsi="Calibri"/>
          <w:color w:val="1F4E79"/>
        </w:rPr>
        <w:t>Existencia o no de una disposición legislativa que prohíba explícitamente la discriminación por motivos orientación sexual o identidad de género.</w:t>
      </w:r>
      <w:bookmarkEnd w:id="22"/>
    </w:p>
    <w:p w:rsidR="00774E1B" w:rsidRPr="00A6130B" w:rsidRDefault="00774E1B" w:rsidP="00A6130B">
      <w:pPr>
        <w:spacing w:line="240" w:lineRule="auto"/>
        <w:jc w:val="both"/>
        <w:rPr>
          <w:b/>
          <w:color w:val="44546A"/>
          <w:lang w:val="es-CR"/>
        </w:rPr>
      </w:pPr>
    </w:p>
    <w:p w:rsidR="00CA2D1B" w:rsidRPr="00A6130B" w:rsidRDefault="00CA2D1B" w:rsidP="00A6130B">
      <w:pPr>
        <w:spacing w:line="240" w:lineRule="auto"/>
        <w:jc w:val="both"/>
        <w:rPr>
          <w:color w:val="44546A"/>
          <w:lang w:val="es-CR"/>
        </w:rPr>
      </w:pPr>
      <w:r w:rsidRPr="00A6130B">
        <w:rPr>
          <w:b/>
          <w:color w:val="44546A"/>
          <w:lang w:val="es-CR"/>
        </w:rPr>
        <w:t>Alcance del decreto de 12 mayo 2015</w:t>
      </w:r>
    </w:p>
    <w:p w:rsidR="004230EB" w:rsidRDefault="00DD01A8" w:rsidP="00A6130B">
      <w:pPr>
        <w:spacing w:line="240" w:lineRule="auto"/>
        <w:jc w:val="both"/>
        <w:rPr>
          <w:lang w:val="es-CR"/>
        </w:rPr>
      </w:pPr>
      <w:r>
        <w:rPr>
          <w:lang w:val="es-CR"/>
        </w:rPr>
        <w:t>Existen varias normas de rango legal dispersas en el ordenamiento que expresamente mencionan la discriminación por orientación sexual, por ejemplo en la Ley</w:t>
      </w:r>
      <w:r w:rsidR="004D6C94">
        <w:rPr>
          <w:lang w:val="es-CR"/>
        </w:rPr>
        <w:t xml:space="preserve"> General</w:t>
      </w:r>
      <w:r>
        <w:rPr>
          <w:lang w:val="es-CR"/>
        </w:rPr>
        <w:t xml:space="preserve"> del VIH</w:t>
      </w:r>
      <w:r w:rsidR="004D6C94">
        <w:rPr>
          <w:lang w:val="es-CR"/>
        </w:rPr>
        <w:t>/SIDA</w:t>
      </w:r>
      <w:r w:rsidR="004230EB">
        <w:rPr>
          <w:lang w:val="es-CR"/>
        </w:rPr>
        <w:t xml:space="preserve">, </w:t>
      </w:r>
      <w:r w:rsidR="004230EB" w:rsidRPr="004230EB">
        <w:rPr>
          <w:lang w:val="es-CR"/>
        </w:rPr>
        <w:t xml:space="preserve">en la </w:t>
      </w:r>
      <w:r w:rsidR="004230EB" w:rsidRPr="004230EB">
        <w:t>Ley de Fortalecimiento  del Consejo Nacio</w:t>
      </w:r>
      <w:r w:rsidR="004230EB">
        <w:t xml:space="preserve">nal de la Persona Adulta Mayor que </w:t>
      </w:r>
      <w:r w:rsidR="004230EB" w:rsidRPr="004230EB">
        <w:t>reforma el artículo 3 de la Ley de Desarrollo Social y Asignaciones Familiares</w:t>
      </w:r>
      <w:r w:rsidRPr="004230EB">
        <w:rPr>
          <w:lang w:val="es-CR"/>
        </w:rPr>
        <w:t xml:space="preserve"> y en la reciente reforma procesal laboral.</w:t>
      </w:r>
    </w:p>
    <w:p w:rsidR="00CA2D1B" w:rsidRPr="00A6130B" w:rsidRDefault="00DD01A8" w:rsidP="00A6130B">
      <w:pPr>
        <w:spacing w:line="240" w:lineRule="auto"/>
        <w:jc w:val="both"/>
        <w:rPr>
          <w:lang w:val="es-CR"/>
        </w:rPr>
      </w:pPr>
      <w:r>
        <w:rPr>
          <w:lang w:val="es-CR"/>
        </w:rPr>
        <w:t>El decreto citado, es</w:t>
      </w:r>
      <w:r w:rsidR="00CA2D1B" w:rsidRPr="00A6130B">
        <w:rPr>
          <w:lang w:val="es-CR"/>
        </w:rPr>
        <w:t xml:space="preserve"> una política de acatamiento obligatorio, donde cada institución  del Poder Ejecutivo debe desarrollar un "Plan Institucional en contra de la Discriminación hacia la Población Sexualmente Diversa”,  atendiendo  procesos de capacitación dirigidos a sus funcionarios sobre los Derechos Humanos, particularmente, de la población sexualmente diversa; reformas para asegurar que la atención de las personas se realice considerando las necesidades de la población sexualmente diversa, sin que existan </w:t>
      </w:r>
      <w:r w:rsidR="00CA2D1B" w:rsidRPr="00A6130B">
        <w:rPr>
          <w:lang w:val="es-CR"/>
        </w:rPr>
        <w:lastRenderedPageBreak/>
        <w:t xml:space="preserve">prácticas que generen discriminación; </w:t>
      </w:r>
      <w:r w:rsidR="000921C3" w:rsidRPr="00A6130B">
        <w:rPr>
          <w:lang w:val="es-CR"/>
        </w:rPr>
        <w:t>d</w:t>
      </w:r>
      <w:r w:rsidR="00CA2D1B" w:rsidRPr="00A6130B">
        <w:rPr>
          <w:lang w:val="es-CR"/>
        </w:rPr>
        <w:t xml:space="preserve">esarrollo normativo y administrativo donde no existan disposiciones o acciones que sean discriminatorias;  orientar  el desarrollo de los textos normativos para  utilizar un lenguaje inclusivo, así como que no sé establezcan disposiciones contrarias a la dignidad humana de la población sexualmente diversa. Este Decreto no contempla sanciones penales. </w:t>
      </w:r>
    </w:p>
    <w:p w:rsidR="00D118AC" w:rsidRPr="00A6130B" w:rsidRDefault="00D118AC" w:rsidP="00A6130B">
      <w:pPr>
        <w:spacing w:line="240" w:lineRule="auto"/>
        <w:rPr>
          <w:rFonts w:cs="Arial"/>
        </w:rPr>
      </w:pPr>
    </w:p>
    <w:p w:rsidR="0022283B" w:rsidRPr="00A6130B" w:rsidRDefault="0022283B" w:rsidP="00967059">
      <w:pPr>
        <w:pStyle w:val="Heading2"/>
        <w:numPr>
          <w:ilvl w:val="0"/>
          <w:numId w:val="10"/>
        </w:numPr>
        <w:rPr>
          <w:rFonts w:ascii="Calibri" w:hAnsi="Calibri"/>
          <w:sz w:val="24"/>
          <w:szCs w:val="24"/>
        </w:rPr>
      </w:pPr>
      <w:bookmarkStart w:id="23" w:name="_Toc446126621"/>
      <w:r w:rsidRPr="00A6130B">
        <w:rPr>
          <w:rFonts w:ascii="Calibri" w:hAnsi="Calibri"/>
          <w:sz w:val="24"/>
          <w:szCs w:val="24"/>
        </w:rPr>
        <w:t>Sírvanse indicar qué medidas concretas ha adoptado el Estado parte para luchar contra la discriminación de las mujeres en el ámbito laboral y, en particular, para eliminar la brecha salarial existente entre hombres y mujeres. Proporcionen datos estadísticos acerca de la participación de la mujer en el mercado laboral, tanto en el sector formal como informal, desglosados por grupos y niveles ocupacionales.</w:t>
      </w:r>
      <w:bookmarkEnd w:id="23"/>
    </w:p>
    <w:p w:rsidR="00521ABB" w:rsidRPr="00A6130B" w:rsidRDefault="00C64A3E" w:rsidP="00967059">
      <w:pPr>
        <w:pStyle w:val="Heading3"/>
        <w:numPr>
          <w:ilvl w:val="0"/>
          <w:numId w:val="13"/>
        </w:numPr>
        <w:spacing w:line="240" w:lineRule="auto"/>
        <w:rPr>
          <w:rFonts w:ascii="Calibri" w:hAnsi="Calibri"/>
          <w:color w:val="1F4E79"/>
        </w:rPr>
      </w:pPr>
      <w:r w:rsidRPr="00A6130B">
        <w:rPr>
          <w:rFonts w:ascii="Calibri" w:hAnsi="Calibri"/>
          <w:color w:val="1F4E79"/>
        </w:rPr>
        <w:t xml:space="preserve"> </w:t>
      </w:r>
      <w:bookmarkStart w:id="24" w:name="_Toc446126622"/>
      <w:r w:rsidRPr="00A6130B">
        <w:rPr>
          <w:rFonts w:ascii="Calibri" w:hAnsi="Calibri"/>
          <w:color w:val="1F4E79"/>
        </w:rPr>
        <w:t>Medidas</w:t>
      </w:r>
      <w:r w:rsidR="00521ABB" w:rsidRPr="00A6130B">
        <w:rPr>
          <w:rFonts w:ascii="Calibri" w:hAnsi="Calibri"/>
          <w:color w:val="1F4E79"/>
        </w:rPr>
        <w:t xml:space="preserve"> concretas para luchar contra la discriminación de las mujeres en el ámbito laboral, en particular, para eliminar la brecha salarial existente entre hombres y mujeres.</w:t>
      </w:r>
      <w:bookmarkEnd w:id="24"/>
      <w:r w:rsidR="00521ABB" w:rsidRPr="00A6130B">
        <w:rPr>
          <w:rFonts w:ascii="Calibri" w:hAnsi="Calibri"/>
          <w:color w:val="1F4E79"/>
        </w:rPr>
        <w:t xml:space="preserve"> </w:t>
      </w:r>
    </w:p>
    <w:p w:rsidR="0053095B" w:rsidRPr="00A6130B" w:rsidRDefault="0053095B" w:rsidP="00967059">
      <w:pPr>
        <w:pStyle w:val="Heading3"/>
        <w:numPr>
          <w:ilvl w:val="0"/>
          <w:numId w:val="13"/>
        </w:numPr>
        <w:spacing w:line="240" w:lineRule="auto"/>
        <w:rPr>
          <w:rFonts w:ascii="Calibri" w:hAnsi="Calibri"/>
          <w:color w:val="1F4E79"/>
        </w:rPr>
      </w:pPr>
      <w:bookmarkStart w:id="25" w:name="_Toc446126623"/>
      <w:r w:rsidRPr="00A6130B">
        <w:rPr>
          <w:rFonts w:ascii="Calibri" w:hAnsi="Calibri"/>
          <w:color w:val="1F4E79"/>
        </w:rPr>
        <w:t>Datos estadísticos acerca de la participación de la mujer en el mercado laboral, tanto en el sector formal como informal, desglosados por grupos y niveles ocupacionales</w:t>
      </w:r>
      <w:bookmarkEnd w:id="25"/>
    </w:p>
    <w:p w:rsidR="0053095B" w:rsidRPr="00A6130B" w:rsidRDefault="0053095B" w:rsidP="00A6130B">
      <w:pPr>
        <w:spacing w:line="240" w:lineRule="auto"/>
        <w:rPr>
          <w:rFonts w:cs="Arial"/>
        </w:rPr>
      </w:pPr>
    </w:p>
    <w:p w:rsidR="00860333" w:rsidRDefault="002D19D2" w:rsidP="00860333">
      <w:pPr>
        <w:spacing w:line="240" w:lineRule="auto"/>
        <w:jc w:val="both"/>
        <w:rPr>
          <w:rFonts w:cs="Arial"/>
        </w:rPr>
      </w:pPr>
      <w:r>
        <w:rPr>
          <w:rFonts w:cs="Arial"/>
        </w:rPr>
        <w:t>Véase respuestas escritas a lista de cuestiones preliminares presentada.</w:t>
      </w:r>
    </w:p>
    <w:p w:rsidR="002D19D2" w:rsidRPr="001139BE" w:rsidRDefault="003062E7" w:rsidP="002D19D2">
      <w:pPr>
        <w:jc w:val="both"/>
        <w:rPr>
          <w:lang w:val="es-CR"/>
        </w:rPr>
      </w:pPr>
      <w:r>
        <w:rPr>
          <w:lang w:val="es-ES_tradnl"/>
        </w:rPr>
        <w:t>Sobre el</w:t>
      </w:r>
      <w:r w:rsidR="002D19D2">
        <w:rPr>
          <w:lang w:val="es-ES_tradnl"/>
        </w:rPr>
        <w:t xml:space="preserve"> tema</w:t>
      </w:r>
      <w:r>
        <w:rPr>
          <w:lang w:val="es-ES_tradnl"/>
        </w:rPr>
        <w:t xml:space="preserve"> de género destacan</w:t>
      </w:r>
      <w:r w:rsidR="002D19D2">
        <w:rPr>
          <w:lang w:val="es-ES_tradnl"/>
        </w:rPr>
        <w:t xml:space="preserve"> 3</w:t>
      </w:r>
      <w:r>
        <w:rPr>
          <w:lang w:val="es-ES_tradnl"/>
        </w:rPr>
        <w:t xml:space="preserve"> avances</w:t>
      </w:r>
      <w:r w:rsidR="002D19D2">
        <w:rPr>
          <w:lang w:val="es-ES_tradnl"/>
        </w:rPr>
        <w:t xml:space="preserve"> importantes de carácter general</w:t>
      </w:r>
      <w:r w:rsidR="002D19D2" w:rsidRPr="001139BE">
        <w:rPr>
          <w:lang w:val="es-CR"/>
        </w:rPr>
        <w:t>:</w:t>
      </w:r>
    </w:p>
    <w:p w:rsidR="002D19D2" w:rsidRDefault="002D19D2" w:rsidP="002D19D2">
      <w:pPr>
        <w:jc w:val="both"/>
      </w:pPr>
      <w:r w:rsidRPr="001139BE">
        <w:rPr>
          <w:lang w:val="es-CR"/>
        </w:rPr>
        <w:t>1</w:t>
      </w:r>
      <w:r w:rsidRPr="003062E7">
        <w:rPr>
          <w:lang w:val="es-CR"/>
        </w:rPr>
        <w:t>. E</w:t>
      </w:r>
      <w:r w:rsidRPr="003062E7">
        <w:t>l 8 de marzo, el Presidente de la República junto con la Ministra de la Condición de la Mujer, presentaron el III Plan de Acción 2015- 2018 a la Política Nacional de Igualdad y Equidad de Género.</w:t>
      </w:r>
      <w:r w:rsidRPr="00C723B2">
        <w:t xml:space="preserve"> A diferencia de los dos planes de acción anteriores, el énfasis de este III Plan de Acción conlleva el compromiso de atender los llamados “núcleos duros” que detienen la igualdad entre mujeres y hombres, como lo son: </w:t>
      </w:r>
    </w:p>
    <w:p w:rsidR="002D19D2" w:rsidRDefault="002D19D2" w:rsidP="002D19D2">
      <w:pPr>
        <w:jc w:val="both"/>
      </w:pPr>
      <w:r>
        <w:t>-</w:t>
      </w:r>
      <w:r w:rsidRPr="00C723B2">
        <w:t xml:space="preserve">la corresponsabilidad social de los cuidados como un derecho de las mujeres que requiere de la intervención de más actores y aliados como los hombres, el Estado y el sector privado empresarial, para socializar el cuido de las personas dependientes: niños, niñas, adolescentes, personas adultas mayores, enfermas o con discapacidad; </w:t>
      </w:r>
    </w:p>
    <w:p w:rsidR="002D19D2" w:rsidRDefault="002D19D2" w:rsidP="002D19D2">
      <w:pPr>
        <w:jc w:val="both"/>
      </w:pPr>
      <w:r>
        <w:t>-</w:t>
      </w:r>
      <w:r w:rsidRPr="00C723B2">
        <w:t xml:space="preserve">la coordinación interinstitucional para poner en marcha un proyecto conjunto que permita a niñas y mujeres preadolescentes insertarse en carreras tecnológicas, innovadoras y de punta con repercusiones positivas en su futuro laboral; </w:t>
      </w:r>
    </w:p>
    <w:p w:rsidR="002D19D2" w:rsidRDefault="002D19D2" w:rsidP="002D19D2">
      <w:pPr>
        <w:jc w:val="both"/>
      </w:pPr>
      <w:r>
        <w:t>-</w:t>
      </w:r>
      <w:r w:rsidRPr="00C723B2">
        <w:t xml:space="preserve">avanzar decididamente en acciones para el ejercicio de los derechos sexuales y reproductivos de las mujeres en Costa Rica; </w:t>
      </w:r>
    </w:p>
    <w:p w:rsidR="002D19D2" w:rsidRDefault="002D19D2" w:rsidP="002D19D2">
      <w:pPr>
        <w:jc w:val="both"/>
      </w:pPr>
      <w:r>
        <w:t>-</w:t>
      </w:r>
      <w:r w:rsidRPr="00C723B2">
        <w:t xml:space="preserve">paridad en la representación de las mujeres, tanto en el interior de los partidos políticos como en el nombramiento de puestos de representación social y política del país; así como de órganos colegiados y juntas directivas; </w:t>
      </w:r>
    </w:p>
    <w:p w:rsidR="002D19D2" w:rsidRPr="00C723B2" w:rsidRDefault="002D19D2" w:rsidP="002D19D2">
      <w:pPr>
        <w:jc w:val="both"/>
      </w:pPr>
      <w:r>
        <w:lastRenderedPageBreak/>
        <w:t>-</w:t>
      </w:r>
      <w:r w:rsidRPr="00C723B2">
        <w:t>y continuar reforzando el Programa Plataforma Integral de Servicios de Atención a Víctimas en temas de violencia contra las mujeres y violencia intrafamiliar, así como los programas de prevención en esta materia, desde las comunidades, formando grupos de autoayuda y redes en todo el país.</w:t>
      </w:r>
    </w:p>
    <w:p w:rsidR="002D19D2" w:rsidRDefault="002D19D2" w:rsidP="002D19D2">
      <w:pPr>
        <w:jc w:val="both"/>
      </w:pPr>
      <w:r w:rsidRPr="00C723B2">
        <w:t xml:space="preserve">Una novedad de este plan ha sido la incorporación de metas y compromisos conjuntos con el Ministerio de Ambiente y Energía, quienes aportan a la igualdad con acciones que promueven la relación entre las mujeres y el ambiente mediante su programa de ahorro energético desde las viviendas, pero también desde las empresas en manos de mujeres. </w:t>
      </w:r>
    </w:p>
    <w:p w:rsidR="002D19D2" w:rsidRPr="00C723B2" w:rsidRDefault="002D19D2" w:rsidP="002D19D2">
      <w:pPr>
        <w:jc w:val="both"/>
      </w:pPr>
      <w:r w:rsidRPr="00A67D7A">
        <w:rPr>
          <w:lang w:val="es-CR"/>
        </w:rPr>
        <w:t>El Plan de Acción no solamente compromete a 24 instituciones en los tres Poderes del Estado a impulsar un desarrollo integral y sostenible en materia de género, sino que fortalece las alianzas de trabajo con el sector privado y la sociedad civil, construyendo sobre los avances recientes</w:t>
      </w:r>
    </w:p>
    <w:p w:rsidR="002D19D2" w:rsidRPr="00C723B2" w:rsidRDefault="002D19D2" w:rsidP="002D19D2">
      <w:pPr>
        <w:jc w:val="both"/>
        <w:rPr>
          <w:b/>
        </w:rPr>
      </w:pPr>
    </w:p>
    <w:p w:rsidR="002D19D2" w:rsidRDefault="002D19D2" w:rsidP="002D19D2">
      <w:pPr>
        <w:jc w:val="both"/>
      </w:pPr>
      <w:r w:rsidRPr="003062E7">
        <w:t>2. En la misma fecha,</w:t>
      </w:r>
      <w:r w:rsidRPr="003062E7">
        <w:rPr>
          <w:lang w:val="es-ES_tradnl"/>
        </w:rPr>
        <w:t xml:space="preserve"> </w:t>
      </w:r>
      <w:r w:rsidRPr="003062E7">
        <w:t>el Poder Judicial presentó el  Observatorio de Violencia de Género contra las Mujeres y Acceso a la Justicia,  una unidad técnica creada con el propósito de contar con una plataforma de información en la que se documente, sistematice, analice, difunda, investigue y visibilice la violencia contra las mujeres en los distintos escenarios en que sucede, para formular políticas públicas y mejorar su acceso a la justicia. En el sitio de internet del observatorio, las mujeres pueden encontrar información sobre temas como violencia doméstica, pensiones alimentarias, dónde presentar denuncias, cómo solicitar medidas de protección, oficinas de ayuda, guía de derechos, entre otros. También hay información sobre estadísticas, normativa y jurisprudencia.</w:t>
      </w:r>
    </w:p>
    <w:p w:rsidR="002D19D2" w:rsidRDefault="006557E7" w:rsidP="002D19D2">
      <w:pPr>
        <w:jc w:val="both"/>
      </w:pPr>
      <w:hyperlink r:id="rId9" w:history="1">
        <w:r w:rsidR="002D19D2" w:rsidRPr="00855773">
          <w:rPr>
            <w:rStyle w:val="Hyperlink"/>
          </w:rPr>
          <w:t>http://www.poder-judicial.go.cr/observatoriodegenero/</w:t>
        </w:r>
      </w:hyperlink>
    </w:p>
    <w:p w:rsidR="002D19D2" w:rsidRDefault="002D19D2" w:rsidP="002D19D2">
      <w:pPr>
        <w:jc w:val="both"/>
      </w:pPr>
    </w:p>
    <w:p w:rsidR="002D19D2" w:rsidRDefault="002D19D2" w:rsidP="00852373">
      <w:pPr>
        <w:spacing w:after="0"/>
        <w:jc w:val="both"/>
      </w:pPr>
      <w:r w:rsidRPr="003062E7">
        <w:t>3. Precisamente coincidiendo con los días de la presentación de este informe, el Presidente de la Rep</w:t>
      </w:r>
      <w:proofErr w:type="spellStart"/>
      <w:r w:rsidRPr="003062E7">
        <w:rPr>
          <w:lang w:val="es-ES_tradnl"/>
        </w:rPr>
        <w:t>ública</w:t>
      </w:r>
      <w:proofErr w:type="spellEnd"/>
      <w:r w:rsidRPr="003062E7">
        <w:rPr>
          <w:lang w:val="es-ES_tradnl"/>
        </w:rPr>
        <w:t xml:space="preserve"> </w:t>
      </w:r>
      <w:r w:rsidRPr="003062E7">
        <w:t xml:space="preserve">de Costa Rica, Luis Guillermo Solís, se encuentra en la sede central de las Naciones Unidas, en el marco de la sesión número 60 de la Comisión de la Condición Jurídica y Social de la Mujer, </w:t>
      </w:r>
      <w:proofErr w:type="spellStart"/>
      <w:r w:rsidRPr="003062E7">
        <w:t>co</w:t>
      </w:r>
      <w:proofErr w:type="spellEnd"/>
      <w:r w:rsidRPr="003062E7">
        <w:t>-presidiendo el primer Panel de Alto nivel para el Empoderamiento Económico de la Mujer, anunciado por el Secretario General en enero pasado. El panel buscará proporcionar liderazgo y movilizar acciones concretas direccionadas para cerrar las brechas económicas de género que persisten en el mundo y proporcionará recomendaciones para la implementación de la Agenda 2030 de Desarrollo Sostenible y así mejorar los resultados económicos para las mujeres y promover el liderazgo de las mujeres en conducir crecimiento sostenible e incluyente sensible al clima. El primer informe del Panel con recomendaciones orientadas a la acción, será publicado en septiembre de 2016.</w:t>
      </w:r>
    </w:p>
    <w:p w:rsidR="00852373" w:rsidRDefault="00852373" w:rsidP="00852373">
      <w:pPr>
        <w:spacing w:after="0"/>
        <w:rPr>
          <w:lang w:val="es-ES_tradnl"/>
        </w:rPr>
      </w:pPr>
    </w:p>
    <w:p w:rsidR="002D19D2" w:rsidRPr="003062E7" w:rsidRDefault="002D19D2" w:rsidP="00852373">
      <w:pPr>
        <w:spacing w:after="0"/>
        <w:rPr>
          <w:lang w:val="es-ES_tradnl"/>
        </w:rPr>
      </w:pPr>
      <w:r w:rsidRPr="003062E7">
        <w:rPr>
          <w:lang w:val="es-ES_tradnl"/>
        </w:rPr>
        <w:t>Costa Rica ha tomando medidas concretes para luchar contra la discriminación de las mujeres en el ámbito laboral, particularmente para eliminar la brecha salarial existente entre hombre y mujeres.</w:t>
      </w:r>
    </w:p>
    <w:p w:rsidR="002D19D2" w:rsidRPr="00971F3A" w:rsidRDefault="002D19D2" w:rsidP="00852373">
      <w:pPr>
        <w:spacing w:after="0" w:line="240" w:lineRule="auto"/>
        <w:rPr>
          <w:lang w:val="es-ES_tradnl"/>
        </w:rPr>
      </w:pPr>
      <w:r w:rsidRPr="003062E7">
        <w:rPr>
          <w:lang w:val="es-ES_tradnl"/>
        </w:rPr>
        <w:t>Muchas de estas medidas están descritas en la información escrita que se presentó:</w:t>
      </w:r>
    </w:p>
    <w:p w:rsidR="002D19D2" w:rsidRPr="00971F3A" w:rsidRDefault="002D19D2" w:rsidP="00852373">
      <w:pPr>
        <w:spacing w:line="240" w:lineRule="auto"/>
        <w:rPr>
          <w:lang w:val="es-ES_tradnl"/>
        </w:rPr>
      </w:pPr>
      <w:r w:rsidRPr="00971F3A">
        <w:rPr>
          <w:lang w:val="es-ES_tradnl"/>
        </w:rPr>
        <w:t>-Sistema de Gestión para la Igualdad de Género en empresas (SIGIG)</w:t>
      </w:r>
    </w:p>
    <w:p w:rsidR="002D19D2" w:rsidRPr="00971F3A" w:rsidRDefault="002D19D2" w:rsidP="00852373">
      <w:pPr>
        <w:spacing w:after="0" w:line="240" w:lineRule="auto"/>
        <w:rPr>
          <w:lang w:val="es-ES_tradnl"/>
        </w:rPr>
      </w:pPr>
      <w:r w:rsidRPr="00971F3A">
        <w:rPr>
          <w:lang w:val="es-ES_tradnl"/>
        </w:rPr>
        <w:t>-Certificación y Sello de Igualdad en empresas</w:t>
      </w:r>
    </w:p>
    <w:p w:rsidR="002D19D2" w:rsidRPr="00971F3A" w:rsidRDefault="002D19D2" w:rsidP="00852373">
      <w:pPr>
        <w:spacing w:after="0" w:line="240" w:lineRule="auto"/>
        <w:rPr>
          <w:lang w:val="es-ES_tradnl"/>
        </w:rPr>
      </w:pPr>
      <w:r w:rsidRPr="00971F3A">
        <w:rPr>
          <w:lang w:val="es-ES_tradnl"/>
        </w:rPr>
        <w:t>-Programa Red de Cui</w:t>
      </w:r>
      <w:r w:rsidR="003062E7">
        <w:rPr>
          <w:lang w:val="es-ES_tradnl"/>
        </w:rPr>
        <w:t>do y Desarrollo Infantil que in</w:t>
      </w:r>
      <w:r w:rsidRPr="00971F3A">
        <w:rPr>
          <w:lang w:val="es-ES_tradnl"/>
        </w:rPr>
        <w:t>cide en el acceso al empleo</w:t>
      </w:r>
    </w:p>
    <w:p w:rsidR="002D19D2" w:rsidRPr="00971F3A" w:rsidRDefault="002D19D2" w:rsidP="00852373">
      <w:pPr>
        <w:spacing w:after="0" w:line="240" w:lineRule="auto"/>
        <w:rPr>
          <w:lang w:val="es-ES_tradnl"/>
        </w:rPr>
      </w:pPr>
      <w:r w:rsidRPr="00971F3A">
        <w:rPr>
          <w:lang w:val="es-ES_tradnl"/>
        </w:rPr>
        <w:t>-Campaña para que se investiguen en las empresas las brechas salariales (inspección del trabajo)</w:t>
      </w:r>
    </w:p>
    <w:p w:rsidR="002D19D2" w:rsidRDefault="002D19D2" w:rsidP="00852373">
      <w:pPr>
        <w:spacing w:after="0" w:line="240" w:lineRule="auto"/>
        <w:rPr>
          <w:lang w:val="es-ES_tradnl"/>
        </w:rPr>
      </w:pPr>
      <w:r w:rsidRPr="00971F3A">
        <w:rPr>
          <w:lang w:val="es-ES_tradnl"/>
        </w:rPr>
        <w:t>-Capacitación para las mujeres jóvenes que buscan empleo</w:t>
      </w:r>
      <w:r w:rsidR="003062E7">
        <w:rPr>
          <w:lang w:val="es-ES_tradnl"/>
        </w:rPr>
        <w:t>.</w:t>
      </w:r>
    </w:p>
    <w:p w:rsidR="00852373" w:rsidRDefault="00852373" w:rsidP="00852373">
      <w:pPr>
        <w:spacing w:after="0" w:line="240" w:lineRule="auto"/>
        <w:jc w:val="both"/>
        <w:rPr>
          <w:lang w:val="es-ES_tradnl"/>
        </w:rPr>
      </w:pPr>
    </w:p>
    <w:p w:rsidR="002D19D2" w:rsidRPr="003062E7" w:rsidRDefault="002D19D2" w:rsidP="00852373">
      <w:pPr>
        <w:spacing w:after="0" w:line="240" w:lineRule="auto"/>
        <w:jc w:val="both"/>
        <w:rPr>
          <w:lang w:val="es-CR"/>
        </w:rPr>
      </w:pPr>
      <w:r w:rsidRPr="003062E7">
        <w:rPr>
          <w:lang w:val="es-ES_tradnl"/>
        </w:rPr>
        <w:t>Además,  se puede mencionar algunas leyes reciente relevantes</w:t>
      </w:r>
      <w:r w:rsidRPr="003062E7">
        <w:rPr>
          <w:lang w:val="es-CR"/>
        </w:rPr>
        <w:t xml:space="preserve">: </w:t>
      </w:r>
    </w:p>
    <w:p w:rsidR="002D19D2" w:rsidRPr="003062E7" w:rsidRDefault="00852373" w:rsidP="00852373">
      <w:pPr>
        <w:spacing w:after="0" w:line="240" w:lineRule="auto"/>
        <w:jc w:val="both"/>
      </w:pPr>
      <w:r>
        <w:t>-</w:t>
      </w:r>
      <w:r w:rsidR="002D19D2" w:rsidRPr="003062E7">
        <w:t>Ley núm. 9169 de 2013, que aprueba el Convenio sobre el Trabajo Decente para las Trabajadoras y los Trabajadores Domésticos (Convenio 189) de la OIT.</w:t>
      </w:r>
    </w:p>
    <w:p w:rsidR="002D19D2" w:rsidRPr="003062E7" w:rsidRDefault="00852373" w:rsidP="00852373">
      <w:pPr>
        <w:spacing w:after="0" w:line="240" w:lineRule="auto"/>
        <w:jc w:val="both"/>
        <w:rPr>
          <w:lang w:val="es-ES_tradnl"/>
        </w:rPr>
      </w:pPr>
      <w:r>
        <w:t>-</w:t>
      </w:r>
      <w:r w:rsidR="002D19D2" w:rsidRPr="003062E7">
        <w:t>Ley n</w:t>
      </w:r>
      <w:proofErr w:type="spellStart"/>
      <w:r w:rsidR="002D19D2" w:rsidRPr="003062E7">
        <w:rPr>
          <w:lang w:val="es-ES_tradnl"/>
        </w:rPr>
        <w:t>úm</w:t>
      </w:r>
      <w:proofErr w:type="spellEnd"/>
      <w:r w:rsidR="002D19D2" w:rsidRPr="003062E7">
        <w:rPr>
          <w:lang w:val="es-ES_tradnl"/>
        </w:rPr>
        <w:t>. 9220 de 2014 Red Nacional de Cuido</w:t>
      </w:r>
    </w:p>
    <w:p w:rsidR="002D19D2" w:rsidRDefault="002D19D2" w:rsidP="00852373">
      <w:pPr>
        <w:spacing w:line="240" w:lineRule="auto"/>
        <w:jc w:val="both"/>
        <w:rPr>
          <w:highlight w:val="yellow"/>
          <w:lang w:val="es-ES_tradnl"/>
        </w:rPr>
      </w:pPr>
    </w:p>
    <w:p w:rsidR="002D19D2" w:rsidRPr="003062E7" w:rsidRDefault="002D19D2" w:rsidP="00852373">
      <w:pPr>
        <w:spacing w:line="240" w:lineRule="auto"/>
        <w:jc w:val="both"/>
        <w:rPr>
          <w:lang w:val="es-ES_tradnl"/>
        </w:rPr>
      </w:pPr>
      <w:r w:rsidRPr="003062E7">
        <w:rPr>
          <w:lang w:val="es-ES_tradnl"/>
        </w:rPr>
        <w:t>En cuanto a las políticas púbicas también se puede agregar que la inserción laboral y la calidad del empleo de las personas jóvenes y las mujeres constituye una prioridad de la</w:t>
      </w:r>
      <w:r w:rsidRPr="003062E7">
        <w:rPr>
          <w:lang w:val="es-CR"/>
        </w:rPr>
        <w:t xml:space="preserve"> </w:t>
      </w:r>
      <w:r w:rsidRPr="003062E7">
        <w:rPr>
          <w:b/>
          <w:lang w:val="es-CR"/>
        </w:rPr>
        <w:t>"Estrategia Nacional de Empleo y Producción.</w:t>
      </w:r>
      <w:r w:rsidRPr="003062E7">
        <w:rPr>
          <w:lang w:val="es-CR"/>
        </w:rPr>
        <w:t xml:space="preserve">" </w:t>
      </w:r>
    </w:p>
    <w:p w:rsidR="002D19D2" w:rsidRPr="003062E7" w:rsidRDefault="002D19D2" w:rsidP="003062E7">
      <w:pPr>
        <w:jc w:val="both"/>
        <w:rPr>
          <w:lang w:val="es-CR"/>
        </w:rPr>
      </w:pPr>
      <w:r w:rsidRPr="003062E7">
        <w:rPr>
          <w:lang w:val="es-CR"/>
        </w:rPr>
        <w:t xml:space="preserve">También la </w:t>
      </w:r>
      <w:r w:rsidRPr="003062E7">
        <w:rPr>
          <w:b/>
          <w:lang w:val="es-CR"/>
        </w:rPr>
        <w:t>Política de Igualdad y Equidad de Género (PIEG)</w:t>
      </w:r>
      <w:r w:rsidRPr="003062E7">
        <w:rPr>
          <w:lang w:val="es-CR"/>
        </w:rPr>
        <w:t xml:space="preserve"> establecida en el 2008 plantea como uno de sus objetivos más importantes "remover los principales factores que provocan las brechas de ingreso entre mujeres y hombres; el desempleo y el subempleo femenino."  </w:t>
      </w:r>
    </w:p>
    <w:p w:rsidR="002D19D2" w:rsidRPr="003062E7" w:rsidRDefault="002D19D2" w:rsidP="002D19D2">
      <w:pPr>
        <w:jc w:val="both"/>
        <w:rPr>
          <w:lang w:val="es-CR"/>
        </w:rPr>
      </w:pPr>
      <w:r w:rsidRPr="003062E7">
        <w:rPr>
          <w:lang w:val="es-CR"/>
        </w:rPr>
        <w:t>En el marco de la Ley 7769 Atención a Mujeres en Condiciones de Pobreza se cuenta también con una estrategia para garantizar el mejoramiento de las condiciones de vida de las mujeres, mediante un proceso de formación integral que comprenda, al menos, lo siguiente: capacitación en formación humana, capacitación técnico-laboral, inserción laboral y productiva, acceso a vivienda digna y un incentivo económico ligado a los procesos de capacitación.</w:t>
      </w:r>
    </w:p>
    <w:p w:rsidR="002D19D2" w:rsidRPr="003062E7" w:rsidRDefault="002D19D2" w:rsidP="002D19D2">
      <w:pPr>
        <w:jc w:val="both"/>
        <w:rPr>
          <w:bCs/>
          <w:lang w:val="es-CR"/>
        </w:rPr>
      </w:pPr>
      <w:r w:rsidRPr="003062E7">
        <w:rPr>
          <w:bCs/>
          <w:lang w:val="es-CR"/>
        </w:rPr>
        <w:t xml:space="preserve">Asimismo, se ha realizados otros proyectos de capacitación como el de “Semillas Gestoras de Vida” que se impartió entre los meses de julio a setiembre de 2015, donde las mujeres participantes debieron desarrollar una unidad </w:t>
      </w:r>
      <w:proofErr w:type="spellStart"/>
      <w:r w:rsidRPr="003062E7">
        <w:rPr>
          <w:bCs/>
          <w:lang w:val="es-CR"/>
        </w:rPr>
        <w:t>agroecoproductiva</w:t>
      </w:r>
      <w:proofErr w:type="spellEnd"/>
      <w:r w:rsidRPr="003062E7">
        <w:rPr>
          <w:bCs/>
          <w:lang w:val="es-CR"/>
        </w:rPr>
        <w:t xml:space="preserve"> en los territorios indígenas de la región </w:t>
      </w:r>
      <w:proofErr w:type="spellStart"/>
      <w:r w:rsidRPr="003062E7">
        <w:rPr>
          <w:bCs/>
          <w:lang w:val="es-CR"/>
        </w:rPr>
        <w:t>Brunca</w:t>
      </w:r>
      <w:proofErr w:type="spellEnd"/>
      <w:r w:rsidRPr="003062E7">
        <w:rPr>
          <w:bCs/>
          <w:lang w:val="es-CR"/>
        </w:rPr>
        <w:t xml:space="preserve"> (</w:t>
      </w:r>
      <w:proofErr w:type="spellStart"/>
      <w:r w:rsidRPr="003062E7">
        <w:rPr>
          <w:bCs/>
          <w:lang w:val="es-CR"/>
        </w:rPr>
        <w:t>Changuena</w:t>
      </w:r>
      <w:proofErr w:type="spellEnd"/>
      <w:r w:rsidRPr="003062E7">
        <w:rPr>
          <w:bCs/>
          <w:lang w:val="es-CR"/>
        </w:rPr>
        <w:t xml:space="preserve"> - Pilar de Cajón) y </w:t>
      </w:r>
      <w:proofErr w:type="spellStart"/>
      <w:r w:rsidRPr="003062E7">
        <w:rPr>
          <w:bCs/>
          <w:lang w:val="es-CR"/>
        </w:rPr>
        <w:t>Huetar</w:t>
      </w:r>
      <w:proofErr w:type="spellEnd"/>
      <w:r w:rsidRPr="003062E7">
        <w:rPr>
          <w:bCs/>
          <w:lang w:val="es-CR"/>
        </w:rPr>
        <w:t xml:space="preserve"> Caribe (Alta </w:t>
      </w:r>
      <w:proofErr w:type="spellStart"/>
      <w:r w:rsidRPr="003062E7">
        <w:rPr>
          <w:bCs/>
          <w:lang w:val="es-CR"/>
        </w:rPr>
        <w:t>Talamanca</w:t>
      </w:r>
      <w:proofErr w:type="spellEnd"/>
      <w:r w:rsidRPr="003062E7">
        <w:rPr>
          <w:bCs/>
          <w:lang w:val="es-CR"/>
        </w:rPr>
        <w:t xml:space="preserve"> - Federación </w:t>
      </w:r>
      <w:proofErr w:type="spellStart"/>
      <w:r w:rsidRPr="003062E7">
        <w:rPr>
          <w:bCs/>
          <w:lang w:val="es-CR"/>
        </w:rPr>
        <w:t>Alakolpa</w:t>
      </w:r>
      <w:proofErr w:type="spellEnd"/>
      <w:r w:rsidRPr="003062E7">
        <w:rPr>
          <w:bCs/>
          <w:lang w:val="es-CR"/>
        </w:rPr>
        <w:t xml:space="preserve"> </w:t>
      </w:r>
      <w:proofErr w:type="spellStart"/>
      <w:r w:rsidRPr="003062E7">
        <w:rPr>
          <w:bCs/>
          <w:lang w:val="es-CR"/>
        </w:rPr>
        <w:t>Bribriwak</w:t>
      </w:r>
      <w:proofErr w:type="spellEnd"/>
      <w:r w:rsidRPr="003062E7">
        <w:rPr>
          <w:bCs/>
          <w:lang w:val="es-CR"/>
        </w:rPr>
        <w:t xml:space="preserve"> </w:t>
      </w:r>
      <w:proofErr w:type="spellStart"/>
      <w:r w:rsidRPr="003062E7">
        <w:rPr>
          <w:bCs/>
          <w:lang w:val="es-CR"/>
        </w:rPr>
        <w:t>Te´chok</w:t>
      </w:r>
      <w:proofErr w:type="spellEnd"/>
      <w:r w:rsidRPr="003062E7">
        <w:rPr>
          <w:bCs/>
          <w:lang w:val="es-CR"/>
        </w:rPr>
        <w:t xml:space="preserve">: Mujeres </w:t>
      </w:r>
      <w:proofErr w:type="spellStart"/>
      <w:r w:rsidRPr="003062E7">
        <w:rPr>
          <w:bCs/>
          <w:lang w:val="es-CR"/>
        </w:rPr>
        <w:t>Bribri</w:t>
      </w:r>
      <w:proofErr w:type="spellEnd"/>
      <w:r w:rsidRPr="003062E7">
        <w:rPr>
          <w:bCs/>
          <w:lang w:val="es-CR"/>
        </w:rPr>
        <w:t>).</w:t>
      </w:r>
    </w:p>
    <w:p w:rsidR="002D19D2" w:rsidRPr="003062E7" w:rsidRDefault="002D19D2" w:rsidP="002D19D2">
      <w:pPr>
        <w:jc w:val="both"/>
      </w:pPr>
      <w:r w:rsidRPr="003062E7">
        <w:t xml:space="preserve">También existe un Programa de Mujeres Empresarias, diseñado para la atención de mujeres con ideas de negocios viables. Para el año 2015 el MEIC y el INAMU atendieron a 1005 mujeres, a las cuales, se les capacitó en temas de género, </w:t>
      </w:r>
      <w:proofErr w:type="spellStart"/>
      <w:r w:rsidRPr="003062E7">
        <w:t>empresariedad</w:t>
      </w:r>
      <w:proofErr w:type="spellEnd"/>
      <w:r w:rsidRPr="003062E7">
        <w:t xml:space="preserve"> y habilidades blandas. Igualmente el Proyecto Emprende: Fortalecimiento de las capacidades empresariales de las mujeres para potenciar su autonomía económica, en particular en pareas rural-urbanas marginales, que busca contribuir a una mayor independencia económica y que tengan potencial empresarial.  Para el año 2015 se capacitaron a 375 mujeres, a las cuales se les brinda asistencia técnica.  Este proyecto se desarrolla actualmente entre el MEIC, el Instituto Nacional de las Mujeres (INAMU) y el Ministerio de Agricultura y Ganadería (MAG). </w:t>
      </w:r>
    </w:p>
    <w:p w:rsidR="002D19D2" w:rsidRPr="003062E7" w:rsidRDefault="002D19D2" w:rsidP="002D19D2">
      <w:pPr>
        <w:jc w:val="both"/>
      </w:pPr>
      <w:r w:rsidRPr="003062E7">
        <w:t xml:space="preserve">Otra de las acciones en este ámbito son las ferias de </w:t>
      </w:r>
      <w:proofErr w:type="spellStart"/>
      <w:r w:rsidRPr="003062E7">
        <w:t>empresariedad</w:t>
      </w:r>
      <w:proofErr w:type="spellEnd"/>
      <w:r w:rsidRPr="003062E7">
        <w:t xml:space="preserve"> desarrolladas en todas las regiones del país.</w:t>
      </w:r>
    </w:p>
    <w:p w:rsidR="002D19D2" w:rsidRPr="003062E7" w:rsidRDefault="002D19D2" w:rsidP="002D19D2">
      <w:pPr>
        <w:jc w:val="both"/>
        <w:rPr>
          <w:lang w:val="es-CR"/>
        </w:rPr>
      </w:pPr>
      <w:r w:rsidRPr="003062E7">
        <w:rPr>
          <w:lang w:val="es-CR"/>
        </w:rPr>
        <w:t>El programa Mi Primer Empleo, fue promovido por el Gobierno en 2015 para impulsar la incorporación al mercado de trabajo de 30.000 jóvenes, mujeres y personas con discapacidad.</w:t>
      </w:r>
    </w:p>
    <w:p w:rsidR="002D19D2" w:rsidRPr="003062E7" w:rsidRDefault="002D19D2" w:rsidP="002D19D2">
      <w:pPr>
        <w:jc w:val="both"/>
        <w:rPr>
          <w:lang w:val="es-CR"/>
        </w:rPr>
      </w:pPr>
      <w:r w:rsidRPr="003062E7">
        <w:rPr>
          <w:lang w:val="es-CR"/>
        </w:rPr>
        <w:t xml:space="preserve">Además, Costa Rica ha emprendido acciones afirmativas en el sector agropecuario, con el fin de visibilizar  la contribución de las mujeres al sector y promover el acceso que estas tienen a los recursos productivos del sector. Hemos realizado acciones afirmativas para la titulación de tierras y la provisión de asistencia técnica a mujeres; y ha promovido políticas en el sector financiero, mediante la sensibilización y la promulgación de leyes como la Banca para el desarrollo. </w:t>
      </w:r>
    </w:p>
    <w:p w:rsidR="002D19D2" w:rsidRPr="003062E7" w:rsidRDefault="002D19D2" w:rsidP="00852373">
      <w:pPr>
        <w:spacing w:after="0"/>
        <w:jc w:val="both"/>
        <w:rPr>
          <w:lang w:val="es-CR"/>
        </w:rPr>
      </w:pPr>
      <w:r w:rsidRPr="003062E7">
        <w:rPr>
          <w:lang w:val="es-CR"/>
        </w:rPr>
        <w:lastRenderedPageBreak/>
        <w:t xml:space="preserve">Otro avance fundamental fue la </w:t>
      </w:r>
      <w:proofErr w:type="spellStart"/>
      <w:r w:rsidRPr="003062E7">
        <w:rPr>
          <w:lang w:val="es-CR"/>
        </w:rPr>
        <w:t>aprobaci</w:t>
      </w:r>
      <w:r w:rsidRPr="003062E7">
        <w:rPr>
          <w:lang w:val="es-ES_tradnl"/>
        </w:rPr>
        <w:t>ón</w:t>
      </w:r>
      <w:proofErr w:type="spellEnd"/>
      <w:r w:rsidRPr="003062E7">
        <w:rPr>
          <w:lang w:val="es-ES_tradnl"/>
        </w:rPr>
        <w:t xml:space="preserve"> de</w:t>
      </w:r>
      <w:r w:rsidRPr="003062E7">
        <w:rPr>
          <w:lang w:val="es-CR"/>
        </w:rPr>
        <w:t xml:space="preserve"> la cuenta satélite del trabajo no remunerado de las mujeres y la preparación de una nueva Encuesta Nacional para la contabilización de este  trabajo en todo  el país, con el fin de medir su impacto en el Producto Interno Bruto. Costa Rica, está dando pasos firmes en este sentido. Sin embargo, se mantiene el desafío de visibilizar y valorizar esa parte de la economía que hasta ahora ha permanecido oculta, y de hacerlo en forma generalizada, con una metodología consistente y comparable a nivel internacional. </w:t>
      </w:r>
    </w:p>
    <w:p w:rsidR="002D19D2" w:rsidRPr="003062E7" w:rsidRDefault="002D19D2" w:rsidP="00852373">
      <w:pPr>
        <w:spacing w:after="0"/>
        <w:jc w:val="both"/>
      </w:pPr>
    </w:p>
    <w:p w:rsidR="002D19D2" w:rsidRPr="003062E7" w:rsidRDefault="002D19D2" w:rsidP="00852373">
      <w:pPr>
        <w:spacing w:after="0"/>
        <w:jc w:val="both"/>
      </w:pPr>
      <w:r w:rsidRPr="003062E7">
        <w:t>Se ha logrado también aumento en la matrícula para la formación de mujeres en el Instituto Nacional de Aprendizaje para puestos de trabajo tradicionalmente ocupados por hombres, como en las áreas de metal mecánica, mecánica de vehículos, eléctrico o tecnología de materiales. La matrícula entre 2010 y 2013 aumentó en un 5%.</w:t>
      </w:r>
    </w:p>
    <w:p w:rsidR="002D19D2" w:rsidRPr="003062E7" w:rsidRDefault="002D19D2" w:rsidP="002D19D2">
      <w:pPr>
        <w:jc w:val="both"/>
      </w:pPr>
      <w:r w:rsidRPr="003062E7">
        <w:t>Es IMPORTANTE indicar que, según los datos presentados al Comité del CEDAW recientemente, se puede identificar un aumento en los porcentajes de mujeres que ocupan puestos directivos en el sector público y en el sector privado si se comparan con el año 2010.  En el sector público se pasó de un 44.1% a 47.6% en 2013 y en el privado de un 23,8% a 31.9% también en 2013.</w:t>
      </w:r>
    </w:p>
    <w:p w:rsidR="002D19D2" w:rsidRPr="003062E7" w:rsidRDefault="002D19D2" w:rsidP="002D19D2">
      <w:pPr>
        <w:jc w:val="both"/>
        <w:rPr>
          <w:lang w:val="es-CR"/>
        </w:rPr>
      </w:pPr>
      <w:r w:rsidRPr="003062E7">
        <w:rPr>
          <w:lang w:val="es-ES_tradnl"/>
        </w:rPr>
        <w:t xml:space="preserve">No obstante, como se ha reconocido, a pesar de estas medidas, se continua subvalorando el empleo femenino . En resumen, </w:t>
      </w:r>
      <w:r w:rsidRPr="003062E7">
        <w:rPr>
          <w:lang w:val="es-CR"/>
        </w:rPr>
        <w:t xml:space="preserve">sólo poco más de la mitad de las mujeres en edad de trabajar participan en el mercado laboral, de las cuales el 51% lo hace en la economía formal. </w:t>
      </w:r>
      <w:r w:rsidRPr="003062E7">
        <w:rPr>
          <w:lang w:val="es-ES_tradnl"/>
        </w:rPr>
        <w:t xml:space="preserve"> </w:t>
      </w:r>
      <w:r w:rsidRPr="003062E7">
        <w:rPr>
          <w:lang w:val="es-CR"/>
        </w:rPr>
        <w:t xml:space="preserve">El desempleo en las mujeres es tres puntos porcentuales más alto que el de los hombres, y es dos veces más grande que la media nacional. </w:t>
      </w:r>
    </w:p>
    <w:p w:rsidR="002D19D2" w:rsidRPr="003062E7" w:rsidRDefault="002D19D2" w:rsidP="002D19D2">
      <w:pPr>
        <w:jc w:val="both"/>
        <w:rPr>
          <w:lang w:val="es-CR"/>
        </w:rPr>
      </w:pPr>
      <w:r w:rsidRPr="003062E7">
        <w:rPr>
          <w:lang w:val="es-ES_tradnl"/>
        </w:rPr>
        <w:t>Esta situación</w:t>
      </w:r>
      <w:r w:rsidRPr="003062E7">
        <w:rPr>
          <w:lang w:val="es-CR"/>
        </w:rPr>
        <w:t xml:space="preserve"> se explica, entre otras razones por la responsabilidad socialmente asignada a las mujeres del trabajo doméstico y el cuido, tema en que, como se indicó se ha venido trabajando fuertemente con el Programa Red de Cuido y Desarrollo Infantil que busca fortalecerse.</w:t>
      </w:r>
      <w:r w:rsidR="003062E7">
        <w:rPr>
          <w:lang w:val="es-CR"/>
        </w:rPr>
        <w:t xml:space="preserve"> </w:t>
      </w:r>
      <w:r>
        <w:rPr>
          <w:lang w:val="es-CR"/>
        </w:rPr>
        <w:t>En la corriente legislativa existe un proyecto</w:t>
      </w:r>
      <w:r w:rsidRPr="000029AA">
        <w:rPr>
          <w:lang w:val="es-CR"/>
        </w:rPr>
        <w:t>,</w:t>
      </w:r>
      <w:r>
        <w:rPr>
          <w:b/>
          <w:lang w:val="es-CR"/>
        </w:rPr>
        <w:t xml:space="preserve"> </w:t>
      </w:r>
      <w:r w:rsidRPr="000029AA">
        <w:rPr>
          <w:lang w:val="es-CR"/>
        </w:rPr>
        <w:t>EXPEDIENTE N.º 19.562</w:t>
      </w:r>
      <w:r>
        <w:rPr>
          <w:lang w:val="es-CR"/>
        </w:rPr>
        <w:t>, para una</w:t>
      </w:r>
      <w:r w:rsidRPr="00335C42">
        <w:rPr>
          <w:b/>
          <w:lang w:val="es-CR"/>
        </w:rPr>
        <w:t xml:space="preserve"> </w:t>
      </w:r>
      <w:r w:rsidRPr="00335C42">
        <w:rPr>
          <w:lang w:val="es-CR"/>
        </w:rPr>
        <w:t>Ley para la elaboración de una política de empleo que facilite</w:t>
      </w:r>
      <w:r w:rsidRPr="00335C42">
        <w:rPr>
          <w:b/>
          <w:lang w:val="es-CR"/>
        </w:rPr>
        <w:t xml:space="preserve"> </w:t>
      </w:r>
      <w:r w:rsidRPr="00335C42">
        <w:rPr>
          <w:lang w:val="es-CR"/>
        </w:rPr>
        <w:t>la existencia de una infraestructura pública de cuido en beneficio de la inserción y mantenimiento laboral de</w:t>
      </w:r>
      <w:r w:rsidRPr="00335C42">
        <w:rPr>
          <w:b/>
          <w:lang w:val="es-CR"/>
        </w:rPr>
        <w:t xml:space="preserve"> </w:t>
      </w:r>
      <w:r w:rsidRPr="00335C42">
        <w:rPr>
          <w:lang w:val="es-CR"/>
        </w:rPr>
        <w:t>la mujer y reforma del inciso d) del artículo 2 de la ley que crea la red nacional de cuido</w:t>
      </w:r>
      <w:r w:rsidRPr="00335C42">
        <w:rPr>
          <w:b/>
          <w:lang w:val="es-CR"/>
        </w:rPr>
        <w:t xml:space="preserve"> </w:t>
      </w:r>
      <w:r w:rsidRPr="00335C42">
        <w:rPr>
          <w:lang w:val="es-CR"/>
        </w:rPr>
        <w:t>y desarrollo infantil, n.° 9220</w:t>
      </w:r>
      <w:r>
        <w:rPr>
          <w:lang w:val="es-CR"/>
        </w:rPr>
        <w:t>. Este</w:t>
      </w:r>
      <w:r w:rsidRPr="00335C42">
        <w:rPr>
          <w:lang w:val="es-CR"/>
        </w:rPr>
        <w:t xml:space="preserve"> proyecto de ley pretende especificar la responsabilidad del Estado, a través del Ministerio de Trabajo, de establecer una política concreta sobre infraestructura pública de cuido que facilite la inserción de la mujer al trabajo remunerado, que tome como punto de partida la actual red de cuido pero que vaya más allá e incorpore los otros sectores de la población que exigen cuidados, tales como adultos mayores, personas con alguna discapacidad y personas enfermas, y que también están, normalmente a cargo de mujeres y que les limita su acceso y permanencia en  el empleo.</w:t>
      </w:r>
    </w:p>
    <w:p w:rsidR="002D19D2" w:rsidRPr="003062E7" w:rsidRDefault="002D19D2" w:rsidP="002D19D2">
      <w:pPr>
        <w:jc w:val="both"/>
        <w:rPr>
          <w:lang w:val="es-CR"/>
        </w:rPr>
      </w:pPr>
      <w:r w:rsidRPr="003062E7">
        <w:rPr>
          <w:lang w:val="es-CR"/>
        </w:rPr>
        <w:t xml:space="preserve">Pero además de las leyes y las políticas, se requiere también una MODIFICACIÓN DE LOS PATRONES CULTURALES, para que, entre otras cosas, se reconozca el cuido como corresponsabilidad social. Consideramos que la corresponsabilidad del cuido es un eje capaz de quebrantar estructuralmente el paradigma existente y de remover uno de los principales obstáculos a la plena incorporación de las mujeres en la vida económica, social y política de nuestras sociedades. No obstante esta evolución requiere de un proceso y no puede lograrse de la noche a la mañana.  </w:t>
      </w:r>
    </w:p>
    <w:p w:rsidR="002D19D2" w:rsidRPr="006437CB" w:rsidRDefault="002D19D2" w:rsidP="002D19D2">
      <w:pPr>
        <w:jc w:val="both"/>
        <w:rPr>
          <w:highlight w:val="yellow"/>
          <w:lang w:val="es-CR"/>
        </w:rPr>
      </w:pPr>
      <w:r w:rsidRPr="003062E7">
        <w:rPr>
          <w:lang w:val="es-CR"/>
        </w:rPr>
        <w:t xml:space="preserve">Igualmente, hay que reconocer que mayor cantidad de mujeres ocupadas se encuentran en los dos primeros quintiles de ingresos, contrario a los hombres que se posesionan en los quintiles de mayores ingresos. </w:t>
      </w:r>
      <w:r w:rsidRPr="003062E7">
        <w:rPr>
          <w:b/>
          <w:lang w:val="es-CR"/>
        </w:rPr>
        <w:t xml:space="preserve"> </w:t>
      </w:r>
      <w:r w:rsidRPr="003062E7">
        <w:t>Los ingresos promedio de las mujeres en la ocupación principal son inferiores a los de los hombres</w:t>
      </w:r>
      <w:r w:rsidRPr="003062E7">
        <w:rPr>
          <w:lang w:val="es-CR"/>
        </w:rPr>
        <w:t xml:space="preserve">, en promedio, las mujeres ganan 28% menos que un hombre por realizar las mismas labores que </w:t>
      </w:r>
      <w:r w:rsidRPr="003062E7">
        <w:rPr>
          <w:lang w:val="es-CR"/>
        </w:rPr>
        <w:lastRenderedPageBreak/>
        <w:t>los hombres.</w:t>
      </w:r>
      <w:r>
        <w:rPr>
          <w:lang w:val="es-CR"/>
        </w:rPr>
        <w:t xml:space="preserve"> L</w:t>
      </w:r>
      <w:r w:rsidRPr="00482ECB">
        <w:t>a brecha entre ambos es significativamente inferior en el sector público.  Esta diferencia se explica en parte por la presencia de actividades y ocupaciones que requieren altos niveles de calificación y que son demandadas por mujeres, caso concreto el sector educativo y otras áreas en las que ellas se desempeñan como técnicos y profesionales, no obstante en ninguno de los años analizados se logra la paridad de ingresos.</w:t>
      </w:r>
      <w:r>
        <w:t xml:space="preserve"> </w:t>
      </w:r>
      <w:r w:rsidRPr="00482ECB">
        <w:t>En el sector privado donde se concentra la mayoría de la población ocupada del país, la situación de los ingresos de las mujeres es desventajosa respecto a los hombres, en promedio durante el período 2010-2014, sus ingresos representaban el 72% del que estaban percibiendo los hombres.</w:t>
      </w:r>
    </w:p>
    <w:p w:rsidR="002D19D2" w:rsidRDefault="0085694B" w:rsidP="002D19D2">
      <w:pPr>
        <w:jc w:val="both"/>
      </w:pPr>
      <w:r w:rsidRPr="0085694B">
        <w:rPr>
          <w:noProof/>
          <w:lang w:val="fr-CH" w:eastAsia="fr-CH"/>
        </w:rPr>
        <w:drawing>
          <wp:inline distT="0" distB="0" distL="0" distR="0">
            <wp:extent cx="5400675" cy="4914900"/>
            <wp:effectExtent l="0" t="0" r="952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00675" cy="4914900"/>
                    </a:xfrm>
                    <a:prstGeom prst="rect">
                      <a:avLst/>
                    </a:prstGeom>
                    <a:noFill/>
                    <a:ln>
                      <a:noFill/>
                    </a:ln>
                  </pic:spPr>
                </pic:pic>
              </a:graphicData>
            </a:graphic>
          </wp:inline>
        </w:drawing>
      </w:r>
    </w:p>
    <w:p w:rsidR="002D19D2" w:rsidRDefault="002D19D2" w:rsidP="002D19D2">
      <w:pPr>
        <w:jc w:val="both"/>
      </w:pPr>
    </w:p>
    <w:p w:rsidR="002D19D2" w:rsidRPr="003062E7" w:rsidRDefault="002D19D2" w:rsidP="003062E7">
      <w:pPr>
        <w:jc w:val="both"/>
        <w:rPr>
          <w:b/>
          <w:lang w:val="es-CR"/>
        </w:rPr>
      </w:pPr>
      <w:r w:rsidRPr="00482ECB">
        <w:rPr>
          <w:noProof/>
          <w:lang w:val="fr-CH" w:eastAsia="fr-CH"/>
        </w:rPr>
        <w:lastRenderedPageBreak/>
        <w:drawing>
          <wp:inline distT="0" distB="0" distL="0" distR="0">
            <wp:extent cx="5400675" cy="2133600"/>
            <wp:effectExtent l="0" t="0" r="952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400675" cy="2133600"/>
                    </a:xfrm>
                    <a:prstGeom prst="rect">
                      <a:avLst/>
                    </a:prstGeom>
                    <a:noFill/>
                    <a:ln>
                      <a:noFill/>
                    </a:ln>
                  </pic:spPr>
                </pic:pic>
              </a:graphicData>
            </a:graphic>
          </wp:inline>
        </w:drawing>
      </w:r>
    </w:p>
    <w:p w:rsidR="0053095B" w:rsidRPr="00A6130B" w:rsidRDefault="0053095B" w:rsidP="00967059">
      <w:pPr>
        <w:pStyle w:val="Heading2"/>
        <w:numPr>
          <w:ilvl w:val="0"/>
          <w:numId w:val="10"/>
        </w:numPr>
        <w:rPr>
          <w:rFonts w:ascii="Calibri" w:hAnsi="Calibri"/>
          <w:sz w:val="24"/>
          <w:szCs w:val="24"/>
        </w:rPr>
      </w:pPr>
      <w:bookmarkStart w:id="26" w:name="_Toc446126624"/>
      <w:r w:rsidRPr="00A6130B">
        <w:rPr>
          <w:rFonts w:ascii="Calibri" w:hAnsi="Calibri"/>
          <w:sz w:val="24"/>
          <w:szCs w:val="24"/>
        </w:rPr>
        <w:t>Indiquen asimismo los resultados del sistema de cuotas para asegurar la representación de las mujeres en los puestos de toma de decisión, particularmente respecto a la participación de mujeres indígenas en la vida política.</w:t>
      </w:r>
      <w:bookmarkEnd w:id="26"/>
    </w:p>
    <w:p w:rsidR="00AC6BF1" w:rsidRPr="00A6130B" w:rsidRDefault="0053095B" w:rsidP="00967059">
      <w:pPr>
        <w:pStyle w:val="Heading3"/>
        <w:numPr>
          <w:ilvl w:val="0"/>
          <w:numId w:val="14"/>
        </w:numPr>
        <w:spacing w:line="240" w:lineRule="auto"/>
        <w:rPr>
          <w:rFonts w:ascii="Calibri" w:hAnsi="Calibri"/>
          <w:color w:val="1F4E79"/>
        </w:rPr>
      </w:pPr>
      <w:bookmarkStart w:id="27" w:name="_Toc446126625"/>
      <w:r w:rsidRPr="00A6130B">
        <w:rPr>
          <w:rFonts w:ascii="Calibri" w:hAnsi="Calibri"/>
          <w:color w:val="1F4E79"/>
        </w:rPr>
        <w:t>N</w:t>
      </w:r>
      <w:r w:rsidR="00AC6BF1" w:rsidRPr="00A6130B">
        <w:rPr>
          <w:rFonts w:ascii="Calibri" w:hAnsi="Calibri"/>
          <w:color w:val="1F4E79"/>
        </w:rPr>
        <w:t>o discriminación e igualdad de género.</w:t>
      </w:r>
      <w:bookmarkEnd w:id="27"/>
      <w:r w:rsidR="00AC6BF1" w:rsidRPr="00A6130B">
        <w:rPr>
          <w:rFonts w:ascii="Calibri" w:hAnsi="Calibri"/>
          <w:color w:val="1F4E79"/>
        </w:rPr>
        <w:t xml:space="preserve"> </w:t>
      </w:r>
    </w:p>
    <w:p w:rsidR="003062E7" w:rsidRDefault="003062E7" w:rsidP="00A6130B">
      <w:pPr>
        <w:spacing w:line="240" w:lineRule="auto"/>
        <w:jc w:val="both"/>
        <w:rPr>
          <w:lang w:val="es-CR"/>
        </w:rPr>
      </w:pPr>
    </w:p>
    <w:p w:rsidR="003062E7" w:rsidRDefault="003062E7" w:rsidP="00852373">
      <w:pPr>
        <w:spacing w:after="0" w:line="240" w:lineRule="auto"/>
        <w:jc w:val="both"/>
        <w:rPr>
          <w:rFonts w:cs="Arial"/>
        </w:rPr>
      </w:pPr>
      <w:r>
        <w:rPr>
          <w:rFonts w:cs="Arial"/>
        </w:rPr>
        <w:t>Véase respuestas escritas a lista de cuestiones preliminares presentada.</w:t>
      </w:r>
    </w:p>
    <w:p w:rsidR="00852373" w:rsidRPr="003062E7" w:rsidRDefault="00852373" w:rsidP="00852373">
      <w:pPr>
        <w:spacing w:after="0" w:line="240" w:lineRule="auto"/>
        <w:jc w:val="both"/>
        <w:rPr>
          <w:rFonts w:cs="Arial"/>
        </w:rPr>
      </w:pPr>
    </w:p>
    <w:p w:rsidR="00732A0A" w:rsidRDefault="003062E7" w:rsidP="00852373">
      <w:pPr>
        <w:spacing w:after="0"/>
        <w:jc w:val="both"/>
        <w:rPr>
          <w:lang w:val="es-ES_tradnl"/>
        </w:rPr>
      </w:pPr>
      <w:r w:rsidRPr="003062E7">
        <w:rPr>
          <w:lang w:val="es-ES_tradnl"/>
        </w:rPr>
        <w:t>En relación con los datos sobre ocupación sobre los que se consultó, la clasificación de ocupación “alta”, se refiere al nivel directivo de la administración pública y de la empresa, nivel profesional, científico e intelectual, nivel técnico y profesional medio.  El dato de 33% es coincidente con el resultado de la última elección nacional al congreso, pero se refiere a una categoría más amplia.</w:t>
      </w:r>
    </w:p>
    <w:p w:rsidR="00852373" w:rsidRPr="00732A0A" w:rsidRDefault="00852373" w:rsidP="00852373">
      <w:pPr>
        <w:spacing w:after="0"/>
        <w:jc w:val="both"/>
        <w:rPr>
          <w:lang w:val="es-ES_tradnl"/>
        </w:rPr>
      </w:pPr>
    </w:p>
    <w:p w:rsidR="00A7129C" w:rsidRDefault="003062E7" w:rsidP="00852373">
      <w:pPr>
        <w:spacing w:after="0"/>
        <w:jc w:val="both"/>
        <w:rPr>
          <w:lang w:val="es-CR"/>
        </w:rPr>
      </w:pPr>
      <w:r w:rsidRPr="003062E7">
        <w:rPr>
          <w:lang w:val="es-ES_tradnl"/>
        </w:rPr>
        <w:t>Sobre la participación política de las mujeres, se puede añadir que, todas las medidas e</w:t>
      </w:r>
      <w:r w:rsidR="00732A0A">
        <w:rPr>
          <w:lang w:val="es-ES_tradnl"/>
        </w:rPr>
        <w:t>xplicadas</w:t>
      </w:r>
      <w:r w:rsidRPr="003062E7">
        <w:rPr>
          <w:lang w:val="es-ES_tradnl"/>
        </w:rPr>
        <w:t>, en particular el sistema de cuotas y el posterior paso a la paridad, produjeron un aumento significativo de la participación</w:t>
      </w:r>
      <w:r w:rsidR="00732A0A">
        <w:rPr>
          <w:lang w:val="es-ES_tradnl"/>
        </w:rPr>
        <w:t xml:space="preserve"> de má</w:t>
      </w:r>
      <w:r w:rsidRPr="003062E7">
        <w:rPr>
          <w:lang w:val="es-ES_tradnl"/>
        </w:rPr>
        <w:t>s mujeres hasta cierto punto. No obstante los últimos resultados de elecciones nacionales y locales no fueron tan positivos</w:t>
      </w:r>
      <w:r w:rsidR="00A7129C">
        <w:rPr>
          <w:lang w:val="es-ES_tradnl"/>
        </w:rPr>
        <w:t xml:space="preserve"> como se esperaba</w:t>
      </w:r>
      <w:r w:rsidRPr="003062E7">
        <w:rPr>
          <w:lang w:val="es-ES_tradnl"/>
        </w:rPr>
        <w:t>.  A pesar de la intensa campaña llevada a cabo por el Instituto Nacional de las mujeres para la primera elección de autoridades locales que se llevó a cabo independientemente de la elección nacional este año 2016</w:t>
      </w:r>
      <w:r w:rsidRPr="003062E7">
        <w:rPr>
          <w:rFonts w:eastAsiaTheme="minorHAnsi"/>
          <w:sz w:val="28"/>
          <w:szCs w:val="28"/>
          <w:lang w:val="es-CR"/>
        </w:rPr>
        <w:t xml:space="preserve">, </w:t>
      </w:r>
      <w:r w:rsidRPr="003062E7">
        <w:rPr>
          <w:lang w:val="es-CR"/>
        </w:rPr>
        <w:t>de un total de 81 alcaldes solo 12 fueron mujeres.</w:t>
      </w:r>
    </w:p>
    <w:p w:rsidR="00852373" w:rsidRPr="00D209E7" w:rsidRDefault="00852373" w:rsidP="00852373">
      <w:pPr>
        <w:spacing w:after="0"/>
        <w:jc w:val="both"/>
        <w:rPr>
          <w:lang w:val="es-CR"/>
        </w:rPr>
      </w:pPr>
    </w:p>
    <w:p w:rsidR="00732A0A" w:rsidRPr="00FB4B57" w:rsidRDefault="00732A0A" w:rsidP="00852373">
      <w:pPr>
        <w:spacing w:after="0" w:line="240" w:lineRule="auto"/>
        <w:jc w:val="both"/>
        <w:rPr>
          <w:rFonts w:cs="Arial"/>
        </w:rPr>
      </w:pPr>
      <w:r w:rsidRPr="00FB4B57">
        <w:rPr>
          <w:rFonts w:cs="Arial"/>
        </w:rPr>
        <w:t>El sistema de paridad que estaba siendo utilizado en las listas de los puestos de elección popular era el de la “alternancia” entre hombre-mujer o mujer–hombre; no obstante la Sala Constitucional, en aplicación de los Convenios Internacionales de Derechos Humanos suscritos por el Estado costarricense, en materia de género y ejercicio equitativo de los derechos políticos, estimó que la normativa vigente, debe interpretarse en el sentido de permitir la “paridad horizontal”, que permite iniciar el encabezamiento de las listas de puestos de elección popular con mujeres y hombres en forma intercalada; sistema que se estima brinda mayores oportunidades de acceso a las mujeres a puestos elegibles que el sistema de alternancia</w:t>
      </w:r>
      <w:r>
        <w:rPr>
          <w:rFonts w:cs="Arial"/>
        </w:rPr>
        <w:t xml:space="preserve">. </w:t>
      </w:r>
      <w:r w:rsidRPr="00FB4B57">
        <w:rPr>
          <w:rFonts w:cs="Arial"/>
        </w:rPr>
        <w:t xml:space="preserve">Mediante sentencia número 15-16070, la Sala Constitucional resolvió por mayoría declarar con lugar una acción de inconstitucionalidad promovida por </w:t>
      </w:r>
      <w:proofErr w:type="spellStart"/>
      <w:r w:rsidRPr="00FB4B57">
        <w:rPr>
          <w:rFonts w:cs="Arial"/>
        </w:rPr>
        <w:t>Haydée</w:t>
      </w:r>
      <w:proofErr w:type="spellEnd"/>
      <w:r w:rsidRPr="00FB4B57">
        <w:rPr>
          <w:rFonts w:cs="Arial"/>
        </w:rPr>
        <w:t xml:space="preserve"> María Hernández, y la diputada </w:t>
      </w:r>
      <w:proofErr w:type="spellStart"/>
      <w:r w:rsidRPr="00FB4B57">
        <w:rPr>
          <w:rFonts w:cs="Arial"/>
        </w:rPr>
        <w:lastRenderedPageBreak/>
        <w:t>Maureen</w:t>
      </w:r>
      <w:proofErr w:type="spellEnd"/>
      <w:r w:rsidRPr="00FB4B57">
        <w:rPr>
          <w:rFonts w:cs="Arial"/>
        </w:rPr>
        <w:t xml:space="preserve"> Clarke </w:t>
      </w:r>
      <w:proofErr w:type="spellStart"/>
      <w:r w:rsidRPr="00FB4B57">
        <w:rPr>
          <w:rFonts w:cs="Arial"/>
        </w:rPr>
        <w:t>Clarke</w:t>
      </w:r>
      <w:proofErr w:type="spellEnd"/>
      <w:r w:rsidRPr="00FB4B57">
        <w:rPr>
          <w:rFonts w:cs="Arial"/>
        </w:rPr>
        <w:t>, contra el criterio interpretativo del Tribunal Supremo de Elecciones, del artículo 52 inciso o) del Código Electoral, relacionado con la paridad de género en los puestos de elección popular.</w:t>
      </w:r>
    </w:p>
    <w:p w:rsidR="00732A0A" w:rsidRPr="00732A0A" w:rsidRDefault="00732A0A" w:rsidP="00852373">
      <w:pPr>
        <w:spacing w:after="0"/>
        <w:jc w:val="both"/>
        <w:rPr>
          <w:lang w:val="es-CR"/>
        </w:rPr>
      </w:pPr>
    </w:p>
    <w:p w:rsidR="003062E7" w:rsidRPr="003062E7" w:rsidRDefault="003062E7" w:rsidP="00852373">
      <w:pPr>
        <w:spacing w:after="0"/>
        <w:jc w:val="both"/>
        <w:rPr>
          <w:lang w:val="es-ES_tradnl"/>
        </w:rPr>
      </w:pPr>
      <w:r w:rsidRPr="003062E7">
        <w:rPr>
          <w:lang w:val="es-ES_tradnl"/>
        </w:rPr>
        <w:t>Esperamos que el paso a la paridad horizontal que se ha dado ahora gracias a la interpretación de la Sala Cons</w:t>
      </w:r>
      <w:r w:rsidR="00732A0A">
        <w:rPr>
          <w:lang w:val="es-ES_tradnl"/>
        </w:rPr>
        <w:t>titucional,</w:t>
      </w:r>
      <w:r w:rsidRPr="003062E7">
        <w:rPr>
          <w:lang w:val="es-ES_tradnl"/>
        </w:rPr>
        <w:t xml:space="preserve"> ayude a avanzar más en la práctica.  No obstante, es necesario indicar que en cuando más se avanza también consolidar logros posteriores resulta más difícil pues se requiere un cambio también en el comportamiento de los partidos políticos y la sociedad en general. </w:t>
      </w:r>
    </w:p>
    <w:p w:rsidR="003062E7" w:rsidRPr="003062E7" w:rsidRDefault="003062E7" w:rsidP="00732A0A">
      <w:pPr>
        <w:jc w:val="both"/>
        <w:rPr>
          <w:lang w:val="es-ES_tradnl"/>
        </w:rPr>
      </w:pPr>
      <w:r w:rsidRPr="003062E7">
        <w:rPr>
          <w:lang w:val="es-ES_tradnl"/>
        </w:rPr>
        <w:t>Igualmente, se han adoptado medidas para eliminar la discriminación contra las mujeres en la vida política y pública. Pero, persisten los obstáculos que tienen las mujeres políticas en el ámbito familiar, social, cultural, económico y político.</w:t>
      </w:r>
    </w:p>
    <w:p w:rsidR="003062E7" w:rsidRPr="003062E7" w:rsidRDefault="003062E7" w:rsidP="003062E7">
      <w:pPr>
        <w:jc w:val="both"/>
        <w:rPr>
          <w:lang w:val="es-ES_tradnl"/>
        </w:rPr>
      </w:pPr>
      <w:r w:rsidRPr="003062E7">
        <w:rPr>
          <w:lang w:val="es-ES_tradnl"/>
        </w:rPr>
        <w:t xml:space="preserve">En relación con la representación de las mujeres indígenas y </w:t>
      </w:r>
      <w:proofErr w:type="spellStart"/>
      <w:r w:rsidRPr="003062E7">
        <w:rPr>
          <w:lang w:val="es-ES_tradnl"/>
        </w:rPr>
        <w:t>afrodescendientes</w:t>
      </w:r>
      <w:proofErr w:type="spellEnd"/>
      <w:r w:rsidRPr="003062E7">
        <w:rPr>
          <w:lang w:val="es-ES_tradnl"/>
        </w:rPr>
        <w:t xml:space="preserve"> en la Asamblea Legislativa, si bien no existen estadísticas desagregadas por etnias, se puede indicar de manera general que en todas las legislaturas de los últimos 15 años de los 57 diputados al menos 1 o 2 han sido </w:t>
      </w:r>
      <w:proofErr w:type="spellStart"/>
      <w:r w:rsidRPr="003062E7">
        <w:rPr>
          <w:lang w:val="es-ES_tradnl"/>
        </w:rPr>
        <w:t>afrodescendientes</w:t>
      </w:r>
      <w:proofErr w:type="spellEnd"/>
      <w:r w:rsidRPr="003062E7">
        <w:rPr>
          <w:lang w:val="es-ES_tradnl"/>
        </w:rPr>
        <w:t xml:space="preserve">, hombres o mujeres. Esto indica que, si bien han tenido una representación histórica principalmente con diputados o diputadas de la provincia de Limón donde hay una concentración de población </w:t>
      </w:r>
      <w:proofErr w:type="spellStart"/>
      <w:r w:rsidRPr="003062E7">
        <w:rPr>
          <w:lang w:val="es-ES_tradnl"/>
        </w:rPr>
        <w:t>afrodescendiente</w:t>
      </w:r>
      <w:proofErr w:type="spellEnd"/>
      <w:r w:rsidRPr="003062E7">
        <w:rPr>
          <w:lang w:val="es-ES_tradnl"/>
        </w:rPr>
        <w:t xml:space="preserve">, sigue existiendo </w:t>
      </w:r>
      <w:proofErr w:type="spellStart"/>
      <w:r w:rsidRPr="003062E7">
        <w:rPr>
          <w:lang w:val="es-ES_tradnl"/>
        </w:rPr>
        <w:t>subrepresentación</w:t>
      </w:r>
      <w:proofErr w:type="spellEnd"/>
      <w:r w:rsidRPr="003062E7">
        <w:rPr>
          <w:lang w:val="es-ES_tradnl"/>
        </w:rPr>
        <w:t xml:space="preserve"> de esta población en el primer poder de la República. Por ejemplo, en la legislatura actual, hay dos diputadas </w:t>
      </w:r>
      <w:proofErr w:type="spellStart"/>
      <w:r w:rsidRPr="003062E7">
        <w:rPr>
          <w:lang w:val="es-ES_tradnl"/>
        </w:rPr>
        <w:t>afrodescendientes</w:t>
      </w:r>
      <w:proofErr w:type="spellEnd"/>
      <w:r w:rsidRPr="003062E7">
        <w:rPr>
          <w:lang w:val="es-ES_tradnl"/>
        </w:rPr>
        <w:t xml:space="preserve">, lo que representa un 3.5% del total de los diputados, mientras en el censo más reciente señala que el total de la población </w:t>
      </w:r>
      <w:proofErr w:type="spellStart"/>
      <w:r w:rsidRPr="003062E7">
        <w:rPr>
          <w:lang w:val="es-ES_tradnl"/>
        </w:rPr>
        <w:t>afrodescendientes</w:t>
      </w:r>
      <w:proofErr w:type="spellEnd"/>
      <w:r w:rsidRPr="003062E7">
        <w:rPr>
          <w:lang w:val="es-ES_tradnl"/>
        </w:rPr>
        <w:t xml:space="preserve"> constituye cerca de un 7% de la población nacional. En el caso de los pueblos indígenas, en el mismo período, solo se tiene recuento de un diputado indígena hombre.</w:t>
      </w:r>
    </w:p>
    <w:p w:rsidR="003062E7" w:rsidRPr="00732A0A" w:rsidRDefault="003062E7" w:rsidP="003062E7">
      <w:pPr>
        <w:jc w:val="both"/>
      </w:pPr>
      <w:r w:rsidRPr="003062E7">
        <w:t xml:space="preserve">Se evidencia entonces la deuda histórica que existe con estas poblaciones, para que ocupen cargos de toma de decisiones a todos los niveles, especialmente como altas autoridades a nivel local y nacional. Ante esta situación, en 2016 el  INAMU realizará un estudio exploratorio que permita identificar cuántas mujeres indígenas, </w:t>
      </w:r>
      <w:proofErr w:type="spellStart"/>
      <w:r w:rsidRPr="003062E7">
        <w:t>afrodescendientes</w:t>
      </w:r>
      <w:proofErr w:type="spellEnd"/>
      <w:r w:rsidRPr="003062E7">
        <w:t xml:space="preserve"> y con discapacidad quedaron electas en los comicios locales de febrero 2016.</w:t>
      </w:r>
    </w:p>
    <w:p w:rsidR="00732A0A" w:rsidRDefault="003062E7" w:rsidP="007751FE">
      <w:pPr>
        <w:jc w:val="both"/>
        <w:rPr>
          <w:lang w:val="es-ES_tradnl"/>
        </w:rPr>
      </w:pPr>
      <w:r w:rsidRPr="003062E7">
        <w:rPr>
          <w:lang w:val="es-ES_tradnl"/>
        </w:rPr>
        <w:t xml:space="preserve">No obstante, es interesante resaltar la LEY 8901 del 2010. Está Ley indica el porcentaje mínimo de mujeres que deben integrar las Directivas de Asociaciones, Sindicatos y Asociaciones </w:t>
      </w:r>
      <w:proofErr w:type="spellStart"/>
      <w:r w:rsidRPr="003062E7">
        <w:rPr>
          <w:lang w:val="es-ES_tradnl"/>
        </w:rPr>
        <w:t>Solidaristas</w:t>
      </w:r>
      <w:proofErr w:type="spellEnd"/>
      <w:r w:rsidRPr="003062E7">
        <w:rPr>
          <w:lang w:val="es-ES_tradnl"/>
        </w:rPr>
        <w:t>. A partir de su promulgación se puede ver un aumento de la participación de las mujeres particularmente en las Asociaciones de Desarrollo. En el caso de las Asociaciones de Desarrollo Integral indígenas, las presidencias en el 2014 correspondían a un 16,7% de mujeres y 83,3% de hombres.</w:t>
      </w:r>
    </w:p>
    <w:p w:rsidR="0053095B" w:rsidRPr="00A6130B" w:rsidRDefault="0053095B" w:rsidP="00967059">
      <w:pPr>
        <w:pStyle w:val="Heading2"/>
        <w:numPr>
          <w:ilvl w:val="0"/>
          <w:numId w:val="10"/>
        </w:numPr>
        <w:rPr>
          <w:rFonts w:ascii="Calibri" w:hAnsi="Calibri"/>
          <w:sz w:val="24"/>
          <w:szCs w:val="24"/>
        </w:rPr>
      </w:pPr>
      <w:bookmarkStart w:id="28" w:name="_Toc446126626"/>
      <w:r w:rsidRPr="00A6130B">
        <w:rPr>
          <w:rFonts w:ascii="Calibri" w:hAnsi="Calibri"/>
          <w:sz w:val="24"/>
          <w:szCs w:val="24"/>
        </w:rPr>
        <w:t xml:space="preserve">Sírvanse proporcionar información detallada sobre las disposiciones legislativas y administrativas adoptadas para que  todas las personas infectadas con VIH/SIDA gocen de igualdad en el acceso al tratamiento, incluyendo las personas lesbianas, gais, bisexuales y </w:t>
      </w:r>
      <w:proofErr w:type="spellStart"/>
      <w:r w:rsidRPr="00A6130B">
        <w:rPr>
          <w:rFonts w:ascii="Calibri" w:hAnsi="Calibri"/>
          <w:sz w:val="24"/>
          <w:szCs w:val="24"/>
        </w:rPr>
        <w:t>transgénero</w:t>
      </w:r>
      <w:proofErr w:type="spellEnd"/>
      <w:r w:rsidRPr="00A6130B">
        <w:rPr>
          <w:rFonts w:ascii="Calibri" w:hAnsi="Calibri"/>
          <w:sz w:val="24"/>
          <w:szCs w:val="24"/>
        </w:rPr>
        <w:t>, personas en situación de adicción y migrantes en condición irregular que están afectadas por el VIH/SIDA. Además, sírvanse indicar qué otras medidas se están tomando para acabar con la estigmatización y la discriminación de las personas infectadas por el VIH/SIDA.</w:t>
      </w:r>
      <w:bookmarkEnd w:id="28"/>
    </w:p>
    <w:p w:rsidR="00CB1791" w:rsidRPr="00A6130B" w:rsidRDefault="00CB1791" w:rsidP="00967059">
      <w:pPr>
        <w:pStyle w:val="Heading3"/>
        <w:numPr>
          <w:ilvl w:val="2"/>
          <w:numId w:val="8"/>
        </w:numPr>
        <w:spacing w:line="240" w:lineRule="auto"/>
        <w:rPr>
          <w:rFonts w:ascii="Calibri" w:hAnsi="Calibri"/>
          <w:color w:val="1F4E79"/>
        </w:rPr>
      </w:pPr>
      <w:bookmarkStart w:id="29" w:name="_Toc446126627"/>
      <w:r w:rsidRPr="00A6130B">
        <w:rPr>
          <w:rFonts w:ascii="Calibri" w:hAnsi="Calibri"/>
          <w:color w:val="1F4E79"/>
        </w:rPr>
        <w:lastRenderedPageBreak/>
        <w:t>Disposiciones legislativas y administrativas para igualdad de acceso a tratamiento</w:t>
      </w:r>
      <w:r w:rsidR="001650B9" w:rsidRPr="00A6130B">
        <w:rPr>
          <w:rFonts w:ascii="Calibri" w:hAnsi="Calibri"/>
          <w:color w:val="1F4E79"/>
        </w:rPr>
        <w:t xml:space="preserve"> VIH/SIDA, incluyendo lesbianas, gais, bisexuales  y </w:t>
      </w:r>
      <w:proofErr w:type="spellStart"/>
      <w:r w:rsidR="001650B9" w:rsidRPr="00A6130B">
        <w:rPr>
          <w:rFonts w:ascii="Calibri" w:hAnsi="Calibri"/>
          <w:color w:val="1F4E79"/>
        </w:rPr>
        <w:t>transgénero</w:t>
      </w:r>
      <w:proofErr w:type="spellEnd"/>
      <w:r w:rsidR="001650B9" w:rsidRPr="00A6130B">
        <w:rPr>
          <w:rFonts w:ascii="Calibri" w:hAnsi="Calibri"/>
          <w:color w:val="1F4E79"/>
        </w:rPr>
        <w:t>, personas en situación de adicción y migrantes en condición irregular.</w:t>
      </w:r>
      <w:bookmarkEnd w:id="29"/>
    </w:p>
    <w:p w:rsidR="001650B9" w:rsidRPr="00A6130B" w:rsidRDefault="001650B9" w:rsidP="00A6130B">
      <w:pPr>
        <w:spacing w:line="240" w:lineRule="auto"/>
      </w:pPr>
    </w:p>
    <w:p w:rsidR="00860333" w:rsidRPr="007751FE" w:rsidRDefault="00CA2D1B" w:rsidP="00A6130B">
      <w:pPr>
        <w:spacing w:line="240" w:lineRule="auto"/>
        <w:jc w:val="both"/>
        <w:rPr>
          <w:lang w:val="es-CR"/>
        </w:rPr>
      </w:pPr>
      <w:r w:rsidRPr="00A6130B">
        <w:rPr>
          <w:lang w:val="es-CR"/>
        </w:rPr>
        <w:t>Las personas que no estén aseguradas o en situació</w:t>
      </w:r>
      <w:r w:rsidR="007751FE">
        <w:rPr>
          <w:lang w:val="es-CR"/>
        </w:rPr>
        <w:t>n migratoria irregular enfrentaban</w:t>
      </w:r>
      <w:r w:rsidRPr="00A6130B">
        <w:rPr>
          <w:lang w:val="es-CR"/>
        </w:rPr>
        <w:t xml:space="preserve"> problemas con los trámites administrativos y requisitos solicitados para acceder a tratamientos  </w:t>
      </w:r>
      <w:proofErr w:type="spellStart"/>
      <w:r w:rsidRPr="00A6130B">
        <w:rPr>
          <w:lang w:val="es-CR"/>
        </w:rPr>
        <w:t>antiretroviral</w:t>
      </w:r>
      <w:proofErr w:type="spellEnd"/>
      <w:r w:rsidRPr="00A6130B">
        <w:rPr>
          <w:lang w:val="es-CR"/>
        </w:rPr>
        <w:t>. Por ello, en febrero del 2015, la Caja Costarricense del Seguro Social  emitió un Lineamiento institucional  para efectuar la prueba rápida de detección de VIH a poblaciones de alto riesgo. Para  realizarse estas pruebas, es indispensable la presentación del documento de identificación vigente, con absoluta independencia de su condición de aseguramiento con la institución. En los casos en los que el resultado de la prueba resulte positivo y requiera iniciar el tratamiento médico correspondiente, la persona sin seguro será orientada para que proceda a normalizar dicha situación a través de alguna de las modalidades existentes (asalariados, trabajador independiente, voluntario, convenio colectivo, pensionado, beneficio familiar o asegurado por Cuenta del Estado), o en caso de no cumplir las condiciones para alguna de éstas, tramitar una protección con cargo al  Estado al amparo de la Ley 7777 "Ley General del VIH/SIDA de la República de Costa Rica".</w:t>
      </w:r>
    </w:p>
    <w:p w:rsidR="00852373" w:rsidRDefault="00852373" w:rsidP="00A6130B">
      <w:pPr>
        <w:spacing w:line="240" w:lineRule="auto"/>
        <w:jc w:val="both"/>
        <w:rPr>
          <w:b/>
          <w:lang w:val="es-CR"/>
        </w:rPr>
      </w:pPr>
    </w:p>
    <w:p w:rsidR="00CA2D1B" w:rsidRPr="00A6130B" w:rsidRDefault="00CA2D1B" w:rsidP="00A6130B">
      <w:pPr>
        <w:spacing w:line="240" w:lineRule="auto"/>
        <w:jc w:val="both"/>
        <w:rPr>
          <w:b/>
          <w:lang w:val="es-CR"/>
        </w:rPr>
      </w:pPr>
      <w:r w:rsidRPr="00A6130B">
        <w:rPr>
          <w:b/>
          <w:lang w:val="es-CR"/>
        </w:rPr>
        <w:t>Consejo Nacional de Atención Integral al VIH-SIDA (CONASIDA)</w:t>
      </w:r>
    </w:p>
    <w:p w:rsidR="00CA2D1B" w:rsidRPr="00A6130B" w:rsidRDefault="00CA2D1B" w:rsidP="00A6130B">
      <w:pPr>
        <w:spacing w:line="240" w:lineRule="auto"/>
        <w:jc w:val="both"/>
        <w:rPr>
          <w:lang w:val="es-CR"/>
        </w:rPr>
      </w:pPr>
      <w:r w:rsidRPr="00A6130B">
        <w:rPr>
          <w:lang w:val="es-CR"/>
        </w:rPr>
        <w:t xml:space="preserve">EL CONASIDA se crea por reglamento en el año 1999, adscrito al Ministerio de Salud y conformado  por instituciones públicas, la Universidad de Costa Rica y dos representantes de </w:t>
      </w:r>
      <w:proofErr w:type="spellStart"/>
      <w:r w:rsidRPr="00A6130B">
        <w:rPr>
          <w:lang w:val="es-CR"/>
        </w:rPr>
        <w:t>ONG’s</w:t>
      </w:r>
      <w:proofErr w:type="spellEnd"/>
      <w:r w:rsidRPr="00A6130B">
        <w:rPr>
          <w:lang w:val="es-CR"/>
        </w:rPr>
        <w:t xml:space="preserve"> que atienden asuntos relacionados con el VIH-SIDA, uno de los cuales deberá ser una persona con VIH que represente a toda la población afectada.</w:t>
      </w:r>
    </w:p>
    <w:p w:rsidR="00CA2D1B" w:rsidRPr="00A6130B" w:rsidRDefault="00CA2D1B" w:rsidP="00A6130B">
      <w:pPr>
        <w:spacing w:line="240" w:lineRule="auto"/>
        <w:jc w:val="both"/>
        <w:rPr>
          <w:lang w:val="es-CR"/>
        </w:rPr>
      </w:pPr>
      <w:r w:rsidRPr="00A6130B">
        <w:rPr>
          <w:lang w:val="es-CR"/>
        </w:rPr>
        <w:t xml:space="preserve">Entre sus funciones está recomendar al Ministro de Salud las políticas nacionales sobre el VIH-SIDA,  elaborar y actualizar los planes maestros, así como  velar, ante las instancias públicas y privadas, por la plena observancia y el respeto de los derechos y las garantías de las personas portadoras del VIH o enfermas de SIDA, sus familiares y allegados. </w:t>
      </w:r>
    </w:p>
    <w:p w:rsidR="00CA2D1B" w:rsidRPr="00A6130B" w:rsidRDefault="00CA2D1B" w:rsidP="00A6130B">
      <w:pPr>
        <w:spacing w:after="200" w:line="240" w:lineRule="auto"/>
        <w:jc w:val="both"/>
        <w:rPr>
          <w:color w:val="44546A"/>
          <w:u w:val="single"/>
          <w:lang w:val="es-CR"/>
        </w:rPr>
      </w:pPr>
      <w:r w:rsidRPr="00A6130B">
        <w:rPr>
          <w:lang w:val="es-CR"/>
        </w:rPr>
        <w:t>Como obstáculos se puede mencionar las d</w:t>
      </w:r>
      <w:r w:rsidRPr="00A6130B">
        <w:rPr>
          <w:rFonts w:cs="Arial"/>
          <w:lang w:val="es-CR"/>
        </w:rPr>
        <w:t>ificultades para lograr la asignación de recursos para estrategias de prevención del VIH en las instituciones estatales y que aún prevalecen acciones de estigma y discriminación por orientación sexual.</w:t>
      </w:r>
      <w:r w:rsidRPr="00A6130B">
        <w:rPr>
          <w:color w:val="44546A"/>
          <w:u w:val="single"/>
          <w:lang w:val="es-CR"/>
        </w:rPr>
        <w:t xml:space="preserve"> </w:t>
      </w:r>
    </w:p>
    <w:p w:rsidR="00D55405" w:rsidRPr="00554056" w:rsidRDefault="00D55405" w:rsidP="00554056">
      <w:pPr>
        <w:spacing w:line="240" w:lineRule="auto"/>
        <w:jc w:val="both"/>
        <w:rPr>
          <w:lang w:val="es-CR"/>
        </w:rPr>
      </w:pPr>
      <w:r w:rsidRPr="00554056">
        <w:rPr>
          <w:lang w:val="es-CR"/>
        </w:rPr>
        <w:t xml:space="preserve">Actualmente hay un proyecto en el Plenario Legislativo, que establece en su artículo primero que “la atención integral del VIH/Sida será de interés público” y que “las instituciones públicas y privadas deberán asegurar mecanismos expeditos y accesibles para que todas las personas puedan ejercer sus derechos y deberes en relación con el VIH/SIDA”.  </w:t>
      </w:r>
    </w:p>
    <w:p w:rsidR="00D55405" w:rsidRPr="00554056" w:rsidRDefault="00D55405" w:rsidP="00554056">
      <w:pPr>
        <w:spacing w:line="240" w:lineRule="auto"/>
        <w:jc w:val="both"/>
        <w:rPr>
          <w:lang w:val="es-CR"/>
        </w:rPr>
      </w:pPr>
      <w:r w:rsidRPr="00554056">
        <w:rPr>
          <w:lang w:val="es-CR"/>
        </w:rPr>
        <w:t xml:space="preserve">En el artículo séptimo del proyecto queda claramente establecido que “todas las personas tendrán derecho a vivir en un entorno libre de actitudes y prácticas </w:t>
      </w:r>
      <w:proofErr w:type="spellStart"/>
      <w:r w:rsidRPr="00554056">
        <w:rPr>
          <w:lang w:val="es-CR"/>
        </w:rPr>
        <w:t>estigmatizantes</w:t>
      </w:r>
      <w:proofErr w:type="spellEnd"/>
      <w:r w:rsidRPr="00554056">
        <w:rPr>
          <w:lang w:val="es-CR"/>
        </w:rPr>
        <w:t xml:space="preserve"> y discriminatorias, a contar con información científica exacta y actualizada que promueva la igualdad, la solidaridad, el respeto a las diferencias, la no discriminación por situaciones relacionadas con el VIH/Sida y en general, por ningún motivo”.</w:t>
      </w:r>
    </w:p>
    <w:p w:rsidR="00D55405" w:rsidRPr="00554056" w:rsidRDefault="00D55405" w:rsidP="00554056">
      <w:pPr>
        <w:spacing w:line="240" w:lineRule="auto"/>
        <w:jc w:val="both"/>
        <w:rPr>
          <w:lang w:val="es-CR"/>
        </w:rPr>
      </w:pPr>
      <w:r w:rsidRPr="00554056">
        <w:rPr>
          <w:lang w:val="es-CR"/>
        </w:rPr>
        <w:t xml:space="preserve">En el artículo once del proyecto se indica que “las personas con VIH/Sida tienen derecho a la atención integral de su salud y a la prescripción y despacho oportuno de las intervenciones preventivas profilácticas  y medicamentos antirretrovirales de calidad. </w:t>
      </w:r>
    </w:p>
    <w:p w:rsidR="00D55405" w:rsidRPr="00554056" w:rsidRDefault="00D55405" w:rsidP="00554056">
      <w:pPr>
        <w:spacing w:line="240" w:lineRule="auto"/>
        <w:jc w:val="both"/>
        <w:rPr>
          <w:lang w:val="es-CR"/>
        </w:rPr>
      </w:pPr>
      <w:r w:rsidRPr="00554056">
        <w:rPr>
          <w:lang w:val="es-CR"/>
        </w:rPr>
        <w:lastRenderedPageBreak/>
        <w:t>Respecto al tema laboral de las personas cero positivas, el artículo cuarenta y cinco del proyecto de ley establece que “queda prohibida toda discriminación laboral contra cualquier persona trabajadora con VIH/Sida. En caso de desarrollar alguna enfermedad que le impida continuar con sus actividades habituales, recibirá el trato establecido en la legislación laboral vigente, conforme al enfoque de derechos humanos que le corresponda”.</w:t>
      </w:r>
    </w:p>
    <w:p w:rsidR="001650B9" w:rsidRPr="00A6130B" w:rsidRDefault="001650B9" w:rsidP="00967059">
      <w:pPr>
        <w:pStyle w:val="Heading3"/>
        <w:numPr>
          <w:ilvl w:val="2"/>
          <w:numId w:val="8"/>
        </w:numPr>
        <w:spacing w:line="240" w:lineRule="auto"/>
        <w:rPr>
          <w:rFonts w:ascii="Calibri" w:hAnsi="Calibri"/>
          <w:color w:val="1F4E79"/>
        </w:rPr>
      </w:pPr>
      <w:bookmarkStart w:id="30" w:name="_Toc446126628"/>
      <w:r w:rsidRPr="00A6130B">
        <w:rPr>
          <w:rFonts w:ascii="Calibri" w:hAnsi="Calibri"/>
          <w:color w:val="1F4E79"/>
        </w:rPr>
        <w:t>Otras medidas para acabar con la estigmatización y la discriminación de las personas infectadas con VIH/SIDA.</w:t>
      </w:r>
      <w:bookmarkEnd w:id="30"/>
    </w:p>
    <w:p w:rsidR="006979C3" w:rsidRPr="006979C3" w:rsidRDefault="006979C3" w:rsidP="006979C3">
      <w:pPr>
        <w:spacing w:before="240" w:after="0" w:line="240" w:lineRule="auto"/>
        <w:jc w:val="both"/>
        <w:rPr>
          <w:rFonts w:eastAsia="Times New Roman" w:cs="Arial"/>
          <w:lang w:eastAsia="es-ES"/>
        </w:rPr>
      </w:pPr>
      <w:r>
        <w:rPr>
          <w:rFonts w:eastAsia="Times New Roman" w:cs="Arial"/>
          <w:lang w:eastAsia="es-ES"/>
        </w:rPr>
        <w:t>Se</w:t>
      </w:r>
      <w:r w:rsidRPr="006979C3">
        <w:rPr>
          <w:rFonts w:eastAsia="Times New Roman" w:cs="Arial"/>
          <w:lang w:eastAsia="es-ES"/>
        </w:rPr>
        <w:t xml:space="preserve"> encuentra en la corriente legislativa, específicamente en la Comisión de Derechos Humanos, el expediente N° 18.740, “Ley para Prevenir y Sancionar todas las Formas de Discriminación”, el cual apunta en su artículo sexto, inciso e), que será considerado un acto discriminatorio expresamente prohibido,</w:t>
      </w:r>
      <w:r w:rsidRPr="006979C3">
        <w:t xml:space="preserve"> “</w:t>
      </w:r>
      <w:r w:rsidRPr="006979C3">
        <w:rPr>
          <w:rFonts w:eastAsia="Times New Roman" w:cs="Arial"/>
          <w:lang w:eastAsia="es-ES"/>
        </w:rPr>
        <w:t>exigir la presentación o realización del test de VIH como requisito de admisión o permanencia en cualquier empleo en el sector privado o público”.</w:t>
      </w:r>
    </w:p>
    <w:p w:rsidR="00D55405" w:rsidRPr="00D55405" w:rsidRDefault="00D55405" w:rsidP="00D55405">
      <w:pPr>
        <w:spacing w:before="240" w:after="0" w:line="240" w:lineRule="auto"/>
        <w:jc w:val="both"/>
        <w:rPr>
          <w:rFonts w:eastAsia="Times New Roman" w:cs="Arial"/>
          <w:lang w:eastAsia="es-ES"/>
        </w:rPr>
      </w:pPr>
      <w:r w:rsidRPr="00D55405">
        <w:rPr>
          <w:rFonts w:eastAsia="Times New Roman" w:cs="Arial"/>
          <w:lang w:eastAsia="es-ES"/>
        </w:rPr>
        <w:t>Estos esfuerzos a nivel legislativo procuran que todas las personas infectadas con el VIH/SIDA, puedan gozar de los derechos consagrados en nuestra Carta Magna, incluida la libertad de acceso a los servicios de salud, eliminando toda forma de discriminación y estigmatización que recaen sobre ellas.</w:t>
      </w:r>
    </w:p>
    <w:p w:rsidR="00D55405" w:rsidRPr="00A6130B" w:rsidRDefault="00D55405" w:rsidP="00A6130B">
      <w:pPr>
        <w:spacing w:after="200" w:line="240" w:lineRule="auto"/>
        <w:jc w:val="both"/>
      </w:pPr>
    </w:p>
    <w:p w:rsidR="00CB1791" w:rsidRDefault="001650B9" w:rsidP="00967059">
      <w:pPr>
        <w:pStyle w:val="Heading2"/>
        <w:numPr>
          <w:ilvl w:val="0"/>
          <w:numId w:val="10"/>
        </w:numPr>
        <w:rPr>
          <w:rFonts w:ascii="Calibri" w:hAnsi="Calibri"/>
          <w:sz w:val="24"/>
          <w:szCs w:val="24"/>
        </w:rPr>
      </w:pPr>
      <w:bookmarkStart w:id="31" w:name="_Toc446126629"/>
      <w:r w:rsidRPr="00A6130B">
        <w:rPr>
          <w:rFonts w:ascii="Calibri" w:hAnsi="Calibri"/>
          <w:sz w:val="24"/>
          <w:szCs w:val="24"/>
        </w:rPr>
        <w:t>Sírvanse aclarar si la l</w:t>
      </w:r>
      <w:r w:rsidR="00CB1791" w:rsidRPr="00A6130B">
        <w:rPr>
          <w:rFonts w:ascii="Calibri" w:hAnsi="Calibri"/>
          <w:sz w:val="24"/>
          <w:szCs w:val="24"/>
        </w:rPr>
        <w:t>egislación nacional reconoce</w:t>
      </w:r>
      <w:r w:rsidR="00931114" w:rsidRPr="00A6130B">
        <w:rPr>
          <w:rFonts w:ascii="Calibri" w:hAnsi="Calibri"/>
          <w:sz w:val="24"/>
          <w:szCs w:val="24"/>
        </w:rPr>
        <w:t xml:space="preserve"> la discriminación por motivo de discapacidad</w:t>
      </w:r>
      <w:r w:rsidRPr="00A6130B">
        <w:rPr>
          <w:rFonts w:ascii="Calibri" w:hAnsi="Calibri"/>
          <w:sz w:val="24"/>
          <w:szCs w:val="24"/>
        </w:rPr>
        <w:t>. Sírvanse, asimismo, proporcionar información sobre la práctica de esterilización forzada a personas con discapacidad e informe acerca de las medidas que se están adoptando para mejorar la situación de las personas con discapacidad, en particular las mujeres indígenas.</w:t>
      </w:r>
      <w:bookmarkEnd w:id="31"/>
    </w:p>
    <w:p w:rsidR="00852373" w:rsidRPr="00A6130B" w:rsidRDefault="00852373" w:rsidP="00852373">
      <w:pPr>
        <w:pStyle w:val="Heading2"/>
        <w:ind w:left="360"/>
        <w:rPr>
          <w:rFonts w:ascii="Calibri" w:hAnsi="Calibri"/>
          <w:sz w:val="24"/>
          <w:szCs w:val="24"/>
        </w:rPr>
      </w:pPr>
    </w:p>
    <w:p w:rsidR="001650B9" w:rsidRPr="00A6130B" w:rsidRDefault="001650B9" w:rsidP="00967059">
      <w:pPr>
        <w:pStyle w:val="Heading3"/>
        <w:numPr>
          <w:ilvl w:val="3"/>
          <w:numId w:val="8"/>
        </w:numPr>
        <w:spacing w:line="240" w:lineRule="auto"/>
        <w:ind w:left="2268" w:hanging="283"/>
        <w:rPr>
          <w:rFonts w:ascii="Calibri" w:hAnsi="Calibri"/>
          <w:color w:val="1F4E79"/>
        </w:rPr>
      </w:pPr>
      <w:bookmarkStart w:id="32" w:name="_Toc446126630"/>
      <w:r w:rsidRPr="00A6130B">
        <w:rPr>
          <w:rFonts w:ascii="Calibri" w:hAnsi="Calibri"/>
          <w:color w:val="1F4E79"/>
        </w:rPr>
        <w:t>Legislación nacional reconoce la discriminación por motivo de discapacidad.</w:t>
      </w:r>
      <w:bookmarkEnd w:id="32"/>
    </w:p>
    <w:p w:rsidR="001650B9" w:rsidRPr="0085694B" w:rsidRDefault="001650B9" w:rsidP="00A6130B">
      <w:pPr>
        <w:spacing w:line="240" w:lineRule="auto"/>
        <w:jc w:val="both"/>
        <w:rPr>
          <w:rFonts w:eastAsia="Times New Roman" w:cs="Arial"/>
          <w:lang w:eastAsia="es-ES"/>
        </w:rPr>
      </w:pPr>
    </w:p>
    <w:p w:rsidR="0085694B" w:rsidRPr="0085694B" w:rsidRDefault="0085694B" w:rsidP="00A6130B">
      <w:pPr>
        <w:spacing w:line="240" w:lineRule="auto"/>
        <w:jc w:val="both"/>
        <w:rPr>
          <w:rFonts w:eastAsia="Times New Roman" w:cs="Arial"/>
          <w:lang w:eastAsia="es-ES"/>
        </w:rPr>
      </w:pPr>
      <w:r w:rsidRPr="0085694B">
        <w:rPr>
          <w:rFonts w:eastAsia="Times New Roman" w:cs="Arial"/>
          <w:lang w:eastAsia="es-ES"/>
        </w:rPr>
        <w:t>E</w:t>
      </w:r>
      <w:r w:rsidR="00852373">
        <w:rPr>
          <w:rFonts w:eastAsia="Times New Roman" w:cs="Arial"/>
          <w:lang w:eastAsia="es-ES"/>
        </w:rPr>
        <w:t>l E</w:t>
      </w:r>
      <w:r w:rsidRPr="0085694B">
        <w:rPr>
          <w:rFonts w:eastAsia="Times New Roman" w:cs="Arial"/>
          <w:lang w:eastAsia="es-ES"/>
        </w:rPr>
        <w:t>stado costarricense</w:t>
      </w:r>
      <w:r w:rsidR="00852373">
        <w:rPr>
          <w:rFonts w:eastAsia="Times New Roman" w:cs="Arial"/>
          <w:lang w:eastAsia="es-ES"/>
        </w:rPr>
        <w:t xml:space="preserve"> </w:t>
      </w:r>
      <w:r w:rsidR="00852373" w:rsidRPr="0085694B">
        <w:rPr>
          <w:rFonts w:eastAsia="Times New Roman" w:cs="Arial"/>
          <w:lang w:eastAsia="es-ES"/>
        </w:rPr>
        <w:t>se ha centrado en garantizar que el entorno, los bienes, los servicios y las instalaciones de atención al público sean accesibles para que las personas con discapacidad los usen y disfruten.   Costa Rica ha venido fortaleciendo los servicios básicos que ofrece el Estado implementando  medidas eficaces y pertinentes para que las personas con discapacidad participen activamente en las comunidades,  sin ninguna discriminación</w:t>
      </w:r>
      <w:r w:rsidRPr="0085694B">
        <w:rPr>
          <w:rFonts w:eastAsia="Times New Roman" w:cs="Arial"/>
          <w:lang w:eastAsia="es-ES"/>
        </w:rPr>
        <w:t>, mediante el Consejo Nacional de Rehabilitación y Educación Especial (CNREE), que es el ente Rector en Políticas Públicas en Discapacidad, y con base a la Política Nacional de Discapacidad 2011-2021, y en el cumplimiento de las leyes 7600 sobre Igualdad de Oportunidades para las Personas con Discapacidad</w:t>
      </w:r>
      <w:r w:rsidR="00C26348">
        <w:rPr>
          <w:rFonts w:eastAsia="Times New Roman" w:cs="Arial"/>
          <w:lang w:eastAsia="es-ES"/>
        </w:rPr>
        <w:t xml:space="preserve">  </w:t>
      </w:r>
      <w:r w:rsidR="00C26348">
        <w:rPr>
          <w:rFonts w:eastAsia="Times New Roman" w:cs="Arial"/>
          <w:lang w:val="es-CR" w:eastAsia="es-ES"/>
        </w:rPr>
        <w:t>(uno de cuyos objetivos es e</w:t>
      </w:r>
      <w:r w:rsidR="00C26348" w:rsidRPr="00C26348">
        <w:rPr>
          <w:rFonts w:eastAsia="Times New Roman" w:cs="Arial"/>
          <w:lang w:val="es-CR" w:eastAsia="es-ES"/>
        </w:rPr>
        <w:t>liminar cualquier tipo de discriminación haci</w:t>
      </w:r>
      <w:r w:rsidR="00C26348">
        <w:rPr>
          <w:rFonts w:eastAsia="Times New Roman" w:cs="Arial"/>
          <w:lang w:val="es-CR" w:eastAsia="es-ES"/>
        </w:rPr>
        <w:t>a las personas con discapacidad)</w:t>
      </w:r>
      <w:r w:rsidRPr="0085694B">
        <w:rPr>
          <w:rFonts w:eastAsia="Times New Roman" w:cs="Arial"/>
          <w:lang w:eastAsia="es-ES"/>
        </w:rPr>
        <w:t xml:space="preserve"> y la Ley 7948 Convención Interamericana para la Eliminación de todas formas de Discriminación contra Personas con Discapacidad y la Ley 8661 sobre la Convención sobre los Derechos de las Personas con Discapac</w:t>
      </w:r>
      <w:r w:rsidR="00852373">
        <w:rPr>
          <w:rFonts w:eastAsia="Times New Roman" w:cs="Arial"/>
          <w:lang w:eastAsia="es-ES"/>
        </w:rPr>
        <w:t>idad y su Protocolo Facultativo</w:t>
      </w:r>
      <w:r w:rsidRPr="0085694B">
        <w:rPr>
          <w:rFonts w:eastAsia="Times New Roman" w:cs="Arial"/>
          <w:lang w:eastAsia="es-ES"/>
        </w:rPr>
        <w:t xml:space="preserve">. </w:t>
      </w:r>
    </w:p>
    <w:p w:rsidR="00CA2D1B" w:rsidRPr="00A6130B" w:rsidRDefault="00CA2D1B" w:rsidP="00967059">
      <w:pPr>
        <w:pStyle w:val="Heading3"/>
        <w:numPr>
          <w:ilvl w:val="3"/>
          <w:numId w:val="8"/>
        </w:numPr>
        <w:spacing w:line="240" w:lineRule="auto"/>
        <w:ind w:left="2268"/>
        <w:rPr>
          <w:rFonts w:ascii="Calibri" w:hAnsi="Calibri"/>
          <w:color w:val="1F4E79"/>
        </w:rPr>
      </w:pPr>
      <w:bookmarkStart w:id="33" w:name="_Toc446126631"/>
      <w:r w:rsidRPr="00A6130B">
        <w:rPr>
          <w:rFonts w:ascii="Calibri" w:hAnsi="Calibri"/>
          <w:color w:val="1F4E79"/>
        </w:rPr>
        <w:t>Esterilización forzada de personas con discapacidad.</w:t>
      </w:r>
      <w:bookmarkEnd w:id="33"/>
      <w:r w:rsidRPr="00A6130B">
        <w:rPr>
          <w:rFonts w:ascii="Calibri" w:hAnsi="Calibri"/>
          <w:color w:val="1F4E79"/>
        </w:rPr>
        <w:t xml:space="preserve"> </w:t>
      </w:r>
    </w:p>
    <w:p w:rsidR="001650B9" w:rsidRDefault="00CA2D1B" w:rsidP="00852373">
      <w:pPr>
        <w:pStyle w:val="mce"/>
        <w:shd w:val="clear" w:color="auto" w:fill="FFFFFF"/>
        <w:spacing w:before="0" w:beforeAutospacing="0" w:after="0" w:afterAutospacing="0"/>
        <w:jc w:val="both"/>
        <w:rPr>
          <w:rFonts w:ascii="Calibri" w:hAnsi="Calibri" w:cs="Arial"/>
          <w:color w:val="222222"/>
          <w:sz w:val="22"/>
          <w:shd w:val="clear" w:color="auto" w:fill="FFFFFF"/>
        </w:rPr>
      </w:pPr>
      <w:r w:rsidRPr="00852373">
        <w:rPr>
          <w:rFonts w:ascii="Calibri" w:hAnsi="Calibri" w:cs="Arial"/>
          <w:color w:val="222222"/>
          <w:sz w:val="22"/>
          <w:shd w:val="clear" w:color="auto" w:fill="FFFFFF"/>
        </w:rPr>
        <w:t xml:space="preserve">Con respecto a la esterilización forzada en personas con discapacidad, debemos aclarar que  éstas </w:t>
      </w:r>
      <w:r w:rsidRPr="00852373">
        <w:rPr>
          <w:rFonts w:ascii="Calibri" w:hAnsi="Calibri" w:cs="Arial"/>
          <w:color w:val="333333"/>
          <w:sz w:val="22"/>
        </w:rPr>
        <w:t xml:space="preserve">son ilegales en Costa Rica. </w:t>
      </w:r>
      <w:r w:rsidR="007751FE" w:rsidRPr="00852373">
        <w:rPr>
          <w:rFonts w:asciiTheme="minorHAnsi" w:hAnsiTheme="minorHAnsi" w:cs="Arial"/>
          <w:color w:val="333333"/>
          <w:sz w:val="22"/>
        </w:rPr>
        <w:t>Es fundamental tener su consentimiento libre e informado,  que tiende a su</w:t>
      </w:r>
      <w:r w:rsidR="007751FE" w:rsidRPr="00852373">
        <w:rPr>
          <w:rFonts w:asciiTheme="minorHAnsi" w:hAnsiTheme="minorHAnsi" w:cs="Arial"/>
          <w:color w:val="222222"/>
          <w:sz w:val="22"/>
          <w:shd w:val="clear" w:color="auto" w:fill="FFFFFF"/>
        </w:rPr>
        <w:t xml:space="preserve"> respeto y  autonomía, por lo que de ninguna manera se aceptaría la discapacidad como una razón de </w:t>
      </w:r>
      <w:r w:rsidR="007751FE" w:rsidRPr="00852373">
        <w:rPr>
          <w:rFonts w:asciiTheme="minorHAnsi" w:hAnsiTheme="minorHAnsi" w:cs="Arial"/>
          <w:color w:val="222222"/>
          <w:sz w:val="22"/>
          <w:shd w:val="clear" w:color="auto" w:fill="FFFFFF"/>
        </w:rPr>
        <w:lastRenderedPageBreak/>
        <w:t xml:space="preserve">esterilización. </w:t>
      </w:r>
      <w:r w:rsidRPr="00852373">
        <w:rPr>
          <w:rFonts w:ascii="Calibri" w:hAnsi="Calibri" w:cs="Arial"/>
          <w:color w:val="333333"/>
          <w:sz w:val="22"/>
        </w:rPr>
        <w:t>El tema que se ha tratado tanto en el CONAPDIS como en la CCSS,</w:t>
      </w:r>
      <w:r w:rsidR="007751FE" w:rsidRPr="00852373">
        <w:rPr>
          <w:rFonts w:ascii="Calibri" w:hAnsi="Calibri" w:cs="Arial"/>
          <w:color w:val="333333"/>
          <w:sz w:val="22"/>
        </w:rPr>
        <w:t xml:space="preserve"> sobre el que se informó en las respuestas escritas,</w:t>
      </w:r>
      <w:r w:rsidRPr="00852373">
        <w:rPr>
          <w:rFonts w:ascii="Calibri" w:hAnsi="Calibri" w:cs="Arial"/>
          <w:color w:val="333333"/>
          <w:sz w:val="22"/>
        </w:rPr>
        <w:t xml:space="preserve"> es sobre la esterilización (no forzada) en personas co</w:t>
      </w:r>
      <w:r w:rsidR="007751FE" w:rsidRPr="00852373">
        <w:rPr>
          <w:rFonts w:ascii="Calibri" w:hAnsi="Calibri" w:cs="Arial"/>
          <w:color w:val="333333"/>
          <w:sz w:val="22"/>
        </w:rPr>
        <w:t>n discapacidad y la formas de garantizar siempre</w:t>
      </w:r>
      <w:r w:rsidRPr="00852373">
        <w:rPr>
          <w:rFonts w:ascii="Calibri" w:hAnsi="Calibri" w:cs="Arial"/>
          <w:color w:val="333333"/>
          <w:sz w:val="22"/>
        </w:rPr>
        <w:t xml:space="preserve"> su consentimiento libre e informado,  que tiende a su</w:t>
      </w:r>
      <w:r w:rsidRPr="00852373">
        <w:rPr>
          <w:rFonts w:ascii="Calibri" w:hAnsi="Calibri" w:cs="Arial"/>
          <w:color w:val="222222"/>
          <w:sz w:val="22"/>
          <w:shd w:val="clear" w:color="auto" w:fill="FFFFFF"/>
        </w:rPr>
        <w:t xml:space="preserve"> respeto y  autonomía, por lo que de ninguna manera se aceptaría la discapacidad como una razón de esterilización.</w:t>
      </w:r>
    </w:p>
    <w:p w:rsidR="00852373" w:rsidRPr="00852373" w:rsidRDefault="00852373" w:rsidP="00852373">
      <w:pPr>
        <w:pStyle w:val="mce"/>
        <w:shd w:val="clear" w:color="auto" w:fill="FFFFFF"/>
        <w:spacing w:before="0" w:beforeAutospacing="0" w:after="0" w:afterAutospacing="0"/>
        <w:jc w:val="both"/>
        <w:rPr>
          <w:rFonts w:ascii="Calibri" w:hAnsi="Calibri" w:cs="Arial"/>
          <w:color w:val="222222"/>
          <w:sz w:val="22"/>
          <w:shd w:val="clear" w:color="auto" w:fill="FFFFFF"/>
        </w:rPr>
      </w:pPr>
    </w:p>
    <w:p w:rsidR="00265F10" w:rsidRPr="008645E0" w:rsidRDefault="00837A9D" w:rsidP="008820F2">
      <w:pPr>
        <w:pStyle w:val="Heading1"/>
        <w:ind w:left="142"/>
        <w:rPr>
          <w:rFonts w:ascii="Arial" w:hAnsi="Arial" w:cs="Arial"/>
          <w:b/>
          <w:sz w:val="36"/>
          <w:szCs w:val="36"/>
        </w:rPr>
      </w:pPr>
      <w:bookmarkStart w:id="34" w:name="_Toc446126632"/>
      <w:r w:rsidRPr="008645E0">
        <w:rPr>
          <w:rFonts w:ascii="Arial" w:hAnsi="Arial" w:cs="Arial"/>
          <w:b/>
          <w:sz w:val="36"/>
          <w:szCs w:val="36"/>
        </w:rPr>
        <w:t>Principio</w:t>
      </w:r>
      <w:r w:rsidR="00265F10" w:rsidRPr="008645E0">
        <w:rPr>
          <w:rFonts w:ascii="Arial" w:hAnsi="Arial" w:cs="Arial"/>
          <w:b/>
          <w:sz w:val="36"/>
          <w:szCs w:val="36"/>
        </w:rPr>
        <w:t xml:space="preserve"> de no devolución (art.7)</w:t>
      </w:r>
      <w:bookmarkEnd w:id="34"/>
    </w:p>
    <w:p w:rsidR="00931114" w:rsidRPr="00A6130B" w:rsidRDefault="00931114" w:rsidP="00852373">
      <w:pPr>
        <w:spacing w:after="0" w:line="240" w:lineRule="auto"/>
        <w:jc w:val="both"/>
        <w:rPr>
          <w:rFonts w:cs="Arial"/>
          <w:highlight w:val="yellow"/>
          <w:lang w:val="es-CR"/>
        </w:rPr>
      </w:pPr>
    </w:p>
    <w:p w:rsidR="00170AB6" w:rsidRPr="00170AB6" w:rsidRDefault="00FE776F" w:rsidP="00852373">
      <w:pPr>
        <w:pStyle w:val="Heading2"/>
        <w:numPr>
          <w:ilvl w:val="0"/>
          <w:numId w:val="10"/>
        </w:numPr>
        <w:spacing w:after="0" w:afterAutospacing="0"/>
        <w:rPr>
          <w:rFonts w:ascii="Calibri" w:hAnsi="Calibri"/>
          <w:sz w:val="24"/>
          <w:szCs w:val="24"/>
        </w:rPr>
      </w:pPr>
      <w:bookmarkStart w:id="35" w:name="_Toc446126633"/>
      <w:r w:rsidRPr="00A6130B">
        <w:rPr>
          <w:rFonts w:ascii="Calibri" w:hAnsi="Calibri"/>
          <w:sz w:val="24"/>
          <w:szCs w:val="24"/>
        </w:rPr>
        <w:t xml:space="preserve">Sírvanse proporcionar información sobre la implementación de la </w:t>
      </w:r>
      <w:r w:rsidR="00554FBA" w:rsidRPr="00A6130B">
        <w:rPr>
          <w:rFonts w:ascii="Calibri" w:hAnsi="Calibri"/>
          <w:sz w:val="24"/>
          <w:szCs w:val="24"/>
        </w:rPr>
        <w:t>Ley de Migración y Extranjería</w:t>
      </w:r>
      <w:r w:rsidRPr="00A6130B">
        <w:rPr>
          <w:rFonts w:ascii="Calibri" w:hAnsi="Calibri"/>
          <w:sz w:val="24"/>
          <w:szCs w:val="24"/>
        </w:rPr>
        <w:t>, y si ésta obedece criterios claros para garantizar que los procesos para la determinación de la condición de refugiado se ajusten a las garantías correspondientes y no contravengan el principio de no devolución</w:t>
      </w:r>
      <w:r w:rsidR="00D3319C" w:rsidRPr="00A6130B">
        <w:rPr>
          <w:rFonts w:ascii="Calibri" w:hAnsi="Calibri"/>
          <w:sz w:val="24"/>
          <w:szCs w:val="24"/>
        </w:rPr>
        <w:t>.</w:t>
      </w:r>
      <w:bookmarkEnd w:id="35"/>
    </w:p>
    <w:p w:rsidR="00852373" w:rsidRDefault="00852373" w:rsidP="00852373">
      <w:pPr>
        <w:spacing w:after="0" w:line="240" w:lineRule="auto"/>
        <w:jc w:val="both"/>
        <w:rPr>
          <w:rFonts w:cs="Arial"/>
        </w:rPr>
      </w:pPr>
    </w:p>
    <w:p w:rsidR="00170AB6" w:rsidRPr="00170AB6" w:rsidRDefault="00170AB6" w:rsidP="00852373">
      <w:pPr>
        <w:spacing w:after="0" w:line="240" w:lineRule="auto"/>
        <w:jc w:val="both"/>
        <w:rPr>
          <w:rFonts w:cs="Arial"/>
        </w:rPr>
      </w:pPr>
      <w:r>
        <w:rPr>
          <w:rFonts w:cs="Arial"/>
        </w:rPr>
        <w:t>Véase respuestas escritas a lista de cuestiones preliminares presentada.</w:t>
      </w:r>
    </w:p>
    <w:p w:rsidR="00852373" w:rsidRDefault="00852373" w:rsidP="00A6130B">
      <w:pPr>
        <w:spacing w:line="240" w:lineRule="auto"/>
        <w:jc w:val="both"/>
        <w:rPr>
          <w:lang w:val="es-CR"/>
        </w:rPr>
      </w:pPr>
    </w:p>
    <w:p w:rsidR="00AC6BF1" w:rsidRDefault="00170AB6" w:rsidP="00A6130B">
      <w:pPr>
        <w:spacing w:line="240" w:lineRule="auto"/>
        <w:jc w:val="both"/>
        <w:rPr>
          <w:lang w:val="es-CR"/>
        </w:rPr>
      </w:pPr>
      <w:r>
        <w:rPr>
          <w:lang w:val="es-CR"/>
        </w:rPr>
        <w:t xml:space="preserve">La </w:t>
      </w:r>
      <w:r w:rsidR="00AC6BF1" w:rsidRPr="00A6130B">
        <w:rPr>
          <w:lang w:val="es-CR"/>
        </w:rPr>
        <w:t xml:space="preserve">Dirección General de Migración y Extranjería desarrolló durante los años 2012 al 2015 de forma conjunta con el ACNUR, un Proyecto de Mejoramiento de la Calidad en el Sistema de Protección Internacional,  </w:t>
      </w:r>
      <w:r w:rsidR="00AC6BF1" w:rsidRPr="00A6130B">
        <w:rPr>
          <w:b/>
          <w:lang w:val="es-CR"/>
        </w:rPr>
        <w:t>Asilo de Calidad</w:t>
      </w:r>
      <w:r w:rsidR="00AC6BF1" w:rsidRPr="00A6130B">
        <w:rPr>
          <w:lang w:val="es-CR"/>
        </w:rPr>
        <w:t xml:space="preserve"> (</w:t>
      </w:r>
      <w:proofErr w:type="spellStart"/>
      <w:r w:rsidR="00AC6BF1" w:rsidRPr="00A6130B">
        <w:rPr>
          <w:lang w:val="es-CR"/>
        </w:rPr>
        <w:t>Quality</w:t>
      </w:r>
      <w:proofErr w:type="spellEnd"/>
      <w:r w:rsidR="00AC6BF1" w:rsidRPr="00A6130B">
        <w:rPr>
          <w:lang w:val="es-CR"/>
        </w:rPr>
        <w:t xml:space="preserve"> </w:t>
      </w:r>
      <w:proofErr w:type="spellStart"/>
      <w:r w:rsidR="00AC6BF1" w:rsidRPr="00A6130B">
        <w:rPr>
          <w:lang w:val="es-CR"/>
        </w:rPr>
        <w:t>Assurance</w:t>
      </w:r>
      <w:proofErr w:type="spellEnd"/>
      <w:r w:rsidR="00AC6BF1" w:rsidRPr="00A6130B">
        <w:rPr>
          <w:lang w:val="es-CR"/>
        </w:rPr>
        <w:t xml:space="preserve"> </w:t>
      </w:r>
      <w:proofErr w:type="spellStart"/>
      <w:r w:rsidR="00AC6BF1" w:rsidRPr="00A6130B">
        <w:rPr>
          <w:lang w:val="es-CR"/>
        </w:rPr>
        <w:t>Initiative</w:t>
      </w:r>
      <w:proofErr w:type="spellEnd"/>
      <w:r w:rsidR="00AC6BF1" w:rsidRPr="00A6130B">
        <w:rPr>
          <w:lang w:val="es-CR"/>
        </w:rPr>
        <w:t xml:space="preserve"> por sus siglas en inglés), enfocado,  entre otras cosas, a la profesionalización del sistema, y por ende repercutiendo directamente en el abordaje </w:t>
      </w:r>
      <w:r w:rsidR="008A6C35">
        <w:rPr>
          <w:lang w:val="es-CR"/>
        </w:rPr>
        <w:t xml:space="preserve">y celeridad en la atención </w:t>
      </w:r>
      <w:r w:rsidR="00AC6BF1" w:rsidRPr="00A6130B">
        <w:rPr>
          <w:lang w:val="es-CR"/>
        </w:rPr>
        <w:t xml:space="preserve">de los casos.  </w:t>
      </w:r>
    </w:p>
    <w:p w:rsidR="00852373" w:rsidRPr="00A6130B" w:rsidRDefault="00852373" w:rsidP="00A6130B">
      <w:pPr>
        <w:spacing w:line="240" w:lineRule="auto"/>
        <w:jc w:val="both"/>
        <w:rPr>
          <w:lang w:val="es-CR"/>
        </w:rPr>
      </w:pPr>
    </w:p>
    <w:p w:rsidR="00AE28A0" w:rsidRPr="008645E0" w:rsidRDefault="00387BF2" w:rsidP="00852373">
      <w:pPr>
        <w:pStyle w:val="Heading1"/>
        <w:spacing w:before="0"/>
        <w:ind w:left="142"/>
        <w:rPr>
          <w:rFonts w:ascii="Arial" w:hAnsi="Arial" w:cs="Arial"/>
          <w:b/>
          <w:sz w:val="36"/>
          <w:szCs w:val="36"/>
        </w:rPr>
      </w:pPr>
      <w:bookmarkStart w:id="36" w:name="_Toc446126634"/>
      <w:r w:rsidRPr="008645E0">
        <w:rPr>
          <w:rFonts w:ascii="Arial" w:hAnsi="Arial" w:cs="Arial"/>
          <w:b/>
          <w:sz w:val="36"/>
          <w:szCs w:val="36"/>
        </w:rPr>
        <w:t>A</w:t>
      </w:r>
      <w:r w:rsidR="001B0F05" w:rsidRPr="008645E0">
        <w:rPr>
          <w:rFonts w:ascii="Arial" w:hAnsi="Arial" w:cs="Arial"/>
          <w:b/>
          <w:sz w:val="36"/>
          <w:szCs w:val="36"/>
        </w:rPr>
        <w:t xml:space="preserve">borto </w:t>
      </w:r>
      <w:r w:rsidR="00C66BE9" w:rsidRPr="008645E0">
        <w:rPr>
          <w:rFonts w:ascii="Arial" w:hAnsi="Arial" w:cs="Arial"/>
          <w:b/>
          <w:sz w:val="36"/>
          <w:szCs w:val="36"/>
        </w:rPr>
        <w:t>(arts. 6 y 7)</w:t>
      </w:r>
      <w:bookmarkEnd w:id="36"/>
    </w:p>
    <w:p w:rsidR="00931114" w:rsidRPr="00A6130B" w:rsidRDefault="00931114" w:rsidP="00A6130B">
      <w:pPr>
        <w:spacing w:line="240" w:lineRule="auto"/>
        <w:jc w:val="both"/>
        <w:rPr>
          <w:rFonts w:cs="Arial"/>
        </w:rPr>
      </w:pPr>
    </w:p>
    <w:p w:rsidR="00931114" w:rsidRPr="00A6130B" w:rsidRDefault="00D3319C" w:rsidP="00852373">
      <w:pPr>
        <w:pStyle w:val="Heading2"/>
        <w:numPr>
          <w:ilvl w:val="0"/>
          <w:numId w:val="10"/>
        </w:numPr>
        <w:spacing w:before="0" w:beforeAutospacing="0"/>
        <w:rPr>
          <w:rFonts w:ascii="Calibri" w:hAnsi="Calibri"/>
          <w:sz w:val="24"/>
          <w:szCs w:val="24"/>
        </w:rPr>
      </w:pPr>
      <w:bookmarkStart w:id="37" w:name="_Toc446126635"/>
      <w:r w:rsidRPr="00A6130B">
        <w:rPr>
          <w:rFonts w:ascii="Calibri" w:hAnsi="Calibri"/>
          <w:sz w:val="24"/>
          <w:szCs w:val="24"/>
        </w:rPr>
        <w:t xml:space="preserve">Sírvanse informar si se garantiza en la práctica el acceso al aborto </w:t>
      </w:r>
      <w:r w:rsidR="00931114" w:rsidRPr="00A6130B">
        <w:rPr>
          <w:rFonts w:ascii="Calibri" w:hAnsi="Calibri"/>
          <w:sz w:val="24"/>
          <w:szCs w:val="24"/>
        </w:rPr>
        <w:t xml:space="preserve">en casos de violación y </w:t>
      </w:r>
      <w:r w:rsidRPr="00A6130B">
        <w:rPr>
          <w:rFonts w:ascii="Calibri" w:hAnsi="Calibri"/>
          <w:sz w:val="24"/>
          <w:szCs w:val="24"/>
        </w:rPr>
        <w:t>peligro a la vida de la madre. En particular, sírvanse proporcionar información sobre medidas tomadas para garantizar el acceso pronto y efectivo a los servicios médicos en los casos de aborto no punible, indicando cómo se garantiza este derecho en casos de objeción de conciencia del personal médico, y comenten la información proporcionada al Comité</w:t>
      </w:r>
      <w:r w:rsidR="00EA3C2B" w:rsidRPr="00A6130B">
        <w:rPr>
          <w:rFonts w:ascii="Calibri" w:hAnsi="Calibri"/>
          <w:sz w:val="24"/>
          <w:szCs w:val="24"/>
        </w:rPr>
        <w:t xml:space="preserve"> sobre la falta de protocolos para efectuar abortos terapéuticos cuando esté en peligro la vida o la salud de la madre. Sírvanse proporcionar información sobre las medidas adoptadas para informar adecuadamente a las mujeres sobre los métodos de contracepción y para evitar embarazos</w:t>
      </w:r>
      <w:r w:rsidR="00F7256E" w:rsidRPr="00A6130B">
        <w:rPr>
          <w:rFonts w:ascii="Calibri" w:hAnsi="Calibri"/>
          <w:sz w:val="24"/>
          <w:szCs w:val="24"/>
        </w:rPr>
        <w:t xml:space="preserve"> no deseados, así como para promover la educación sobre salud sexual y reproductiva de los adolescentes. Sírvanse proporcionar información sobre la prohibición de la fertilización in vitro y comenten sobre su compatibilidad con las disposiciones del Pacto.</w:t>
      </w:r>
      <w:bookmarkEnd w:id="37"/>
    </w:p>
    <w:p w:rsidR="00F7256E" w:rsidRPr="00A6130B" w:rsidRDefault="00F7256E" w:rsidP="00967059">
      <w:pPr>
        <w:pStyle w:val="Heading3"/>
        <w:numPr>
          <w:ilvl w:val="4"/>
          <w:numId w:val="8"/>
        </w:numPr>
        <w:spacing w:line="240" w:lineRule="auto"/>
        <w:ind w:left="2268"/>
        <w:rPr>
          <w:rFonts w:ascii="Calibri" w:hAnsi="Calibri"/>
          <w:color w:val="1F4E79"/>
        </w:rPr>
      </w:pPr>
      <w:bookmarkStart w:id="38" w:name="_Toc446126636"/>
      <w:r w:rsidRPr="00A6130B">
        <w:rPr>
          <w:rFonts w:ascii="Calibri" w:hAnsi="Calibri"/>
          <w:color w:val="1F4E79"/>
        </w:rPr>
        <w:t>¿Se garantiza en la práctica el aborto en casos de violación y peligro de la vida de la muerte?</w:t>
      </w:r>
      <w:bookmarkEnd w:id="38"/>
    </w:p>
    <w:p w:rsidR="00F7256E" w:rsidRPr="00A6130B" w:rsidRDefault="00F7256E" w:rsidP="00A6130B">
      <w:pPr>
        <w:spacing w:line="240" w:lineRule="auto"/>
      </w:pPr>
    </w:p>
    <w:p w:rsidR="00F7256E" w:rsidRPr="00A6130B" w:rsidRDefault="00F7256E" w:rsidP="00967059">
      <w:pPr>
        <w:pStyle w:val="Heading3"/>
        <w:numPr>
          <w:ilvl w:val="4"/>
          <w:numId w:val="8"/>
        </w:numPr>
        <w:spacing w:line="240" w:lineRule="auto"/>
        <w:ind w:left="2268"/>
        <w:rPr>
          <w:rFonts w:ascii="Calibri" w:hAnsi="Calibri"/>
          <w:color w:val="1F4E79"/>
        </w:rPr>
      </w:pPr>
      <w:bookmarkStart w:id="39" w:name="_Toc446126637"/>
      <w:r w:rsidRPr="00A6130B">
        <w:rPr>
          <w:rFonts w:ascii="Calibri" w:hAnsi="Calibri"/>
          <w:color w:val="1F4E79"/>
        </w:rPr>
        <w:lastRenderedPageBreak/>
        <w:t>Información sobre medidas para garantizar el acceso a servicio médicos en caso de aborto no punible, indicando cómo se garantiza ese derecho en los casos de objeción de conciencia del personal médico.</w:t>
      </w:r>
      <w:bookmarkEnd w:id="39"/>
    </w:p>
    <w:p w:rsidR="00F7256E" w:rsidRPr="00A6130B" w:rsidRDefault="00F7256E" w:rsidP="00A6130B">
      <w:pPr>
        <w:spacing w:line="240" w:lineRule="auto"/>
      </w:pPr>
    </w:p>
    <w:p w:rsidR="00F7256E" w:rsidRDefault="00F7256E" w:rsidP="00967059">
      <w:pPr>
        <w:pStyle w:val="Heading3"/>
        <w:numPr>
          <w:ilvl w:val="4"/>
          <w:numId w:val="8"/>
        </w:numPr>
        <w:spacing w:line="240" w:lineRule="auto"/>
        <w:ind w:left="2268"/>
        <w:rPr>
          <w:rFonts w:ascii="Calibri" w:hAnsi="Calibri"/>
          <w:color w:val="1F4E79"/>
        </w:rPr>
      </w:pPr>
      <w:bookmarkStart w:id="40" w:name="_Toc446126638"/>
      <w:r w:rsidRPr="00A6130B">
        <w:rPr>
          <w:rFonts w:ascii="Calibri" w:hAnsi="Calibri"/>
          <w:color w:val="1F4E79"/>
        </w:rPr>
        <w:t>Falta de protocolos para efectuar abortos terapéuticos cuando esté en peligro la vida o salud de la madre.</w:t>
      </w:r>
      <w:bookmarkEnd w:id="40"/>
    </w:p>
    <w:p w:rsidR="00170AB6" w:rsidRDefault="00170AB6" w:rsidP="00170AB6"/>
    <w:p w:rsidR="00170AB6" w:rsidRPr="00170AB6" w:rsidRDefault="00170AB6" w:rsidP="00170AB6">
      <w:pPr>
        <w:spacing w:line="240" w:lineRule="auto"/>
        <w:jc w:val="both"/>
        <w:rPr>
          <w:rFonts w:cs="Arial"/>
        </w:rPr>
      </w:pPr>
      <w:r>
        <w:rPr>
          <w:rFonts w:cs="Arial"/>
        </w:rPr>
        <w:t>Véase respuestas escritas a lista de cuestiones preliminares presentada.</w:t>
      </w:r>
    </w:p>
    <w:p w:rsidR="00CA2D1B" w:rsidRPr="00A6130B" w:rsidRDefault="00CA2D1B" w:rsidP="00A6130B">
      <w:pPr>
        <w:shd w:val="clear" w:color="auto" w:fill="FDFDFD"/>
        <w:spacing w:line="240" w:lineRule="auto"/>
        <w:jc w:val="both"/>
        <w:rPr>
          <w:rFonts w:eastAsia="Times New Roman"/>
          <w:color w:val="000000"/>
          <w:lang w:val="es-CR" w:eastAsia="es-CR"/>
        </w:rPr>
      </w:pPr>
      <w:r w:rsidRPr="00A6130B">
        <w:rPr>
          <w:rFonts w:eastAsia="Times New Roman"/>
          <w:color w:val="000000"/>
          <w:lang w:val="es-CR" w:eastAsia="es-CR"/>
        </w:rPr>
        <w:t>El artículo 121 del Código Penal costarricense establece el aborto impune que es cuando se practica el aborto con consentimiento de la mujer por un médico o por una obstétrica autorizada, cuando no hubiere sido posible la intervención del primero, si se ha hecho con el fin de evitar un peligro para la vida o la salud de la madre y éste no ha podido ser evitado por otros medios. Este es el único supuesto que se considera como no punible en Costa Rica.</w:t>
      </w:r>
    </w:p>
    <w:p w:rsidR="00CA2D1B" w:rsidRPr="00A6130B" w:rsidRDefault="00CA2D1B" w:rsidP="00A6130B">
      <w:pPr>
        <w:shd w:val="clear" w:color="auto" w:fill="FDFDFD"/>
        <w:spacing w:line="240" w:lineRule="auto"/>
        <w:jc w:val="both"/>
        <w:rPr>
          <w:rFonts w:eastAsia="Times New Roman"/>
          <w:color w:val="000000"/>
          <w:lang w:val="es-CR" w:eastAsia="es-CR"/>
        </w:rPr>
      </w:pPr>
      <w:r w:rsidRPr="00A6130B">
        <w:rPr>
          <w:rFonts w:eastAsia="Times New Roman"/>
          <w:color w:val="000000"/>
          <w:lang w:val="es-CR" w:eastAsia="es-CR"/>
        </w:rPr>
        <w:t>Con el fin de que esta norma sea aplicable en el país, actualmente el Estado se ha comprometido a elaborar la Norma Técnica para habilitar y orientar la aplicación del denominado aborto terapéutico y a partir de ello, cada establecimiento de salud debe establecer sus Protocolos de atención en la materia. El proceso de elaboración de la norma técnica dará inicio el próximo mes de abril con la convocatoria a la primera reunión de la Comisión técnica. Esta decisión se da en el marco de un proceso de solución amistosa que se está llevando ante la Comisión Interamericana de Derechos Humanos (CIDH) frente a dos peticiones que reclaman la no aplicación del aborto terapéutico. </w:t>
      </w:r>
    </w:p>
    <w:p w:rsidR="00CA2D1B" w:rsidRDefault="00CA2D1B" w:rsidP="00A6130B">
      <w:pPr>
        <w:shd w:val="clear" w:color="auto" w:fill="FDFDFD"/>
        <w:spacing w:line="240" w:lineRule="auto"/>
        <w:jc w:val="both"/>
        <w:rPr>
          <w:rFonts w:eastAsia="Times New Roman"/>
          <w:color w:val="000000"/>
          <w:lang w:val="es-CR" w:eastAsia="es-CR"/>
        </w:rPr>
      </w:pPr>
      <w:r w:rsidRPr="00A6130B">
        <w:rPr>
          <w:rFonts w:eastAsia="Times New Roman"/>
          <w:color w:val="000000"/>
          <w:lang w:val="es-CR" w:eastAsia="es-CR"/>
        </w:rPr>
        <w:t>Por lo tanto, al día de </w:t>
      </w:r>
      <w:r w:rsidRPr="00A6130B">
        <w:rPr>
          <w:rFonts w:eastAsia="Times New Roman"/>
          <w:lang w:val="es-CR" w:eastAsia="es-CR"/>
        </w:rPr>
        <w:t>hoy</w:t>
      </w:r>
      <w:r w:rsidRPr="00A6130B">
        <w:rPr>
          <w:rFonts w:eastAsia="Times New Roman"/>
          <w:color w:val="000000"/>
          <w:lang w:val="es-CR" w:eastAsia="es-CR"/>
        </w:rPr>
        <w:t> no existen criterios establecidos sobre la aplicación del procedimiento. Es precisamente por esto y para generar mayor certeza a quienes aplican el aborto terapéutico (médicos y enfermeras obstétricas) y a quienes pueden ser sujetos del aborto terapéutico que es necesaria la Norma Técnica. Debe considerarse que sin Norma Técnica no es posible contar con Protocolos de atención en la materia por lo que no ha existido Protocolo alguno a la fecha, en esto se está trabajando precisamente.</w:t>
      </w:r>
    </w:p>
    <w:p w:rsidR="00170AB6" w:rsidRPr="00170AB6" w:rsidRDefault="00170AB6" w:rsidP="00170AB6">
      <w:pPr>
        <w:shd w:val="clear" w:color="auto" w:fill="FDFDFD"/>
        <w:spacing w:line="240" w:lineRule="auto"/>
        <w:jc w:val="both"/>
        <w:rPr>
          <w:rFonts w:eastAsia="Times New Roman"/>
          <w:color w:val="000000"/>
          <w:lang w:eastAsia="es-CR"/>
        </w:rPr>
      </w:pPr>
      <w:r>
        <w:rPr>
          <w:rFonts w:eastAsia="Times New Roman"/>
          <w:color w:val="000000"/>
          <w:lang w:val="es-CR" w:eastAsia="es-CR"/>
        </w:rPr>
        <w:t>Este trabajo se da en el marco de un caso ante</w:t>
      </w:r>
      <w:r w:rsidRPr="00170AB6">
        <w:rPr>
          <w:rFonts w:eastAsia="Times New Roman"/>
          <w:color w:val="000000"/>
          <w:lang w:eastAsia="es-CR"/>
        </w:rPr>
        <w:t xml:space="preserve"> la Comisión Interamericana de Derechos Humanos</w:t>
      </w:r>
      <w:r>
        <w:rPr>
          <w:rFonts w:eastAsia="Times New Roman"/>
          <w:color w:val="000000"/>
          <w:lang w:eastAsia="es-CR"/>
        </w:rPr>
        <w:t>, en que</w:t>
      </w:r>
      <w:r w:rsidRPr="00170AB6">
        <w:rPr>
          <w:rFonts w:eastAsia="Times New Roman"/>
          <w:color w:val="000000"/>
          <w:lang w:eastAsia="es-CR"/>
        </w:rPr>
        <w:t xml:space="preserve"> se tramitan las peticiones número 1159-08 y 1377-13 (casos A.N y Aurora) relacionados con la imposibilidad de realizar el aborto terapéutico en Costa Rica. En virtud de dichos procesos, el Estado propuso una solución amistosa con las partes involucradas. Es por ello que se inició un diálogo cercano para lograr restituir los derechos presuntamente violentados. El primer acercamiento se llevó a cabo el 21 de octubre de 2015, en la sede de la Comisión Interamericana. </w:t>
      </w:r>
    </w:p>
    <w:p w:rsidR="00170AB6" w:rsidRPr="00170AB6" w:rsidRDefault="00170AB6" w:rsidP="00170AB6">
      <w:pPr>
        <w:shd w:val="clear" w:color="auto" w:fill="FDFDFD"/>
        <w:spacing w:line="240" w:lineRule="auto"/>
        <w:jc w:val="both"/>
        <w:rPr>
          <w:rFonts w:eastAsia="Times New Roman"/>
          <w:color w:val="000000"/>
          <w:lang w:eastAsia="es-CR"/>
        </w:rPr>
      </w:pPr>
      <w:r w:rsidRPr="00170AB6">
        <w:rPr>
          <w:rFonts w:eastAsia="Times New Roman"/>
          <w:color w:val="000000"/>
          <w:lang w:eastAsia="es-CR"/>
        </w:rPr>
        <w:t xml:space="preserve">Posteriormente, se realizó otro encuentro el 30 de noviembre de 2015 y, con la participación del Ministerio de Relaciones Exteriores y Culto, el Ministerio de Salud, el Instituto Nacional de las Mujeres, la Caja Costarricense de Seguro Social, el Centro de Derechos Reproductivos y las partes accionantes. </w:t>
      </w:r>
    </w:p>
    <w:p w:rsidR="00170AB6" w:rsidRPr="00170AB6" w:rsidRDefault="00170AB6" w:rsidP="00170AB6">
      <w:pPr>
        <w:shd w:val="clear" w:color="auto" w:fill="FDFDFD"/>
        <w:spacing w:line="240" w:lineRule="auto"/>
        <w:jc w:val="both"/>
        <w:rPr>
          <w:rFonts w:eastAsia="Times New Roman"/>
          <w:color w:val="000000"/>
          <w:lang w:eastAsia="es-CR"/>
        </w:rPr>
      </w:pPr>
      <w:r w:rsidRPr="00170AB6">
        <w:rPr>
          <w:rFonts w:eastAsia="Times New Roman"/>
          <w:color w:val="000000"/>
          <w:lang w:eastAsia="es-CR"/>
        </w:rPr>
        <w:t>En las diferentes sesiones, se ha reiterado la voluntad del Estado de llegar a una solución amistosa, a través de un proceso liderado por el Ministerio de Relaciones Exteriores y Culto, con el apoyo de la Segunda Vicepresidencia de la República y el INAMU. El objetivo es la elaboración de la norma de atención del aborto terapéutico por parte del Ministerio de Salud, como órgano rector y luego, la confección del protocolo institucional por parte de la Caja Costarricense de Seguro Social.</w:t>
      </w:r>
    </w:p>
    <w:p w:rsidR="00170AB6" w:rsidRPr="00170AB6" w:rsidRDefault="00170AB6" w:rsidP="00170AB6">
      <w:pPr>
        <w:shd w:val="clear" w:color="auto" w:fill="FDFDFD"/>
        <w:spacing w:line="240" w:lineRule="auto"/>
        <w:jc w:val="both"/>
        <w:rPr>
          <w:rFonts w:eastAsia="Times New Roman"/>
          <w:color w:val="000000"/>
          <w:lang w:eastAsia="es-CR"/>
        </w:rPr>
      </w:pPr>
      <w:r w:rsidRPr="00170AB6">
        <w:rPr>
          <w:rFonts w:eastAsia="Times New Roman"/>
          <w:color w:val="000000"/>
          <w:lang w:eastAsia="es-CR"/>
        </w:rPr>
        <w:lastRenderedPageBreak/>
        <w:t>Durante la reunión sostenida el 30 de noviembre de 2015, se propuso efectuar dos reuniones durante el primer trimestre del año 2016, que contribuyan al proceso de elaboración de la norma de atención, la cual dará inicio, formalmente, en abril de 2016. Se acordó reunión para el 9 de febrero de 2016.</w:t>
      </w:r>
    </w:p>
    <w:p w:rsidR="00170AB6" w:rsidRPr="00170AB6" w:rsidRDefault="00170AB6" w:rsidP="00170AB6">
      <w:pPr>
        <w:shd w:val="clear" w:color="auto" w:fill="FDFDFD"/>
        <w:spacing w:line="240" w:lineRule="auto"/>
        <w:jc w:val="both"/>
        <w:rPr>
          <w:rFonts w:eastAsia="Times New Roman"/>
          <w:color w:val="000000"/>
          <w:lang w:eastAsia="es-CR"/>
        </w:rPr>
      </w:pPr>
      <w:r w:rsidRPr="00170AB6">
        <w:rPr>
          <w:rFonts w:eastAsia="Times New Roman"/>
          <w:color w:val="000000"/>
          <w:lang w:eastAsia="es-CR"/>
        </w:rPr>
        <w:t xml:space="preserve">El 9 de febrero de 2016, se realizó la reunión acordada, con la asistencia de las mismas autoridades y de las partes interesadas. Siguiendo lo pactado en el encuentro anterior, el Ministerio de Salud expuso un ejemplo de norma técnica, la cual servirá como modelo para crear la norma de atención para la interrupción terapéutica del embarazo. </w:t>
      </w:r>
    </w:p>
    <w:p w:rsidR="00170AB6" w:rsidRPr="00170AB6" w:rsidRDefault="00170AB6" w:rsidP="00170AB6">
      <w:pPr>
        <w:shd w:val="clear" w:color="auto" w:fill="FDFDFD"/>
        <w:spacing w:line="240" w:lineRule="auto"/>
        <w:jc w:val="both"/>
        <w:rPr>
          <w:rFonts w:eastAsia="Times New Roman"/>
          <w:color w:val="000000"/>
          <w:lang w:eastAsia="es-CR"/>
        </w:rPr>
      </w:pPr>
      <w:r w:rsidRPr="00170AB6">
        <w:rPr>
          <w:rFonts w:eastAsia="Times New Roman"/>
          <w:color w:val="000000"/>
          <w:lang w:eastAsia="es-CR"/>
        </w:rPr>
        <w:t>Este modelo de norma se compartió con las presuntas víctimas. Por su parte, la Caja Costarricense explicó el trámite por seguir y lo que se ha desarrollado hasta el momento. Asimismo, se explicó el proceso que se debe realizar para la construcción de la norma referida, quiénes deben participar, la convocatoria (con colaboración de representantes de la CCSS, expertos en derechos humanos, representantes de las peticionarias, entre otros) y el cronograma de trabajo. Se indicó que la convocatoria se realizaría la primera semana de marzo y la primera reunión del equipo de trabajo, se efectuaría la primera semana de abril. De esta manera, se acordó realizar la invitación para la comisión técnica y fijar el primer encuentro para abril.</w:t>
      </w:r>
    </w:p>
    <w:p w:rsidR="00170AB6" w:rsidRPr="008A6C35" w:rsidRDefault="00170AB6" w:rsidP="00A6130B">
      <w:pPr>
        <w:shd w:val="clear" w:color="auto" w:fill="FDFDFD"/>
        <w:spacing w:line="240" w:lineRule="auto"/>
        <w:jc w:val="both"/>
        <w:rPr>
          <w:rFonts w:eastAsia="Times New Roman"/>
          <w:color w:val="000000"/>
          <w:lang w:eastAsia="es-CR"/>
        </w:rPr>
      </w:pPr>
      <w:r w:rsidRPr="00170AB6">
        <w:rPr>
          <w:rFonts w:eastAsia="Times New Roman"/>
          <w:color w:val="000000"/>
          <w:lang w:eastAsia="es-CR"/>
        </w:rPr>
        <w:t xml:space="preserve">El Ministerio de Salud expresó que </w:t>
      </w:r>
      <w:r w:rsidRPr="008A6C35">
        <w:rPr>
          <w:rFonts w:eastAsia="Times New Roman"/>
          <w:color w:val="000000"/>
          <w:lang w:eastAsia="es-CR"/>
        </w:rPr>
        <w:t>la razón por la cual se inicia hasta el segundo trimestre es que se trata de un tema controversial, por lo que consideramos que a nivel del Ministerio debe ser abordado por el mismo equipo técnico que trabaja actualmente en la norma de FIV, la que debe quedar terminada en el primer trimestre.</w:t>
      </w:r>
    </w:p>
    <w:p w:rsidR="00CA2D1B" w:rsidRPr="00A6130B" w:rsidRDefault="00CA2D1B" w:rsidP="00A6130B">
      <w:pPr>
        <w:shd w:val="clear" w:color="auto" w:fill="FDFDFD"/>
        <w:spacing w:line="240" w:lineRule="auto"/>
        <w:jc w:val="both"/>
        <w:rPr>
          <w:rFonts w:eastAsia="Times New Roman"/>
          <w:color w:val="000000"/>
          <w:lang w:val="es-CR" w:eastAsia="es-CR"/>
        </w:rPr>
      </w:pPr>
      <w:r w:rsidRPr="00A6130B">
        <w:rPr>
          <w:rFonts w:eastAsia="Times New Roman"/>
          <w:color w:val="000000"/>
          <w:lang w:val="es-CR" w:eastAsia="es-CR"/>
        </w:rPr>
        <w:t>Finalmente,</w:t>
      </w:r>
      <w:r w:rsidR="008A6C35">
        <w:rPr>
          <w:rFonts w:eastAsia="Times New Roman"/>
          <w:color w:val="000000"/>
          <w:lang w:val="es-CR" w:eastAsia="es-CR"/>
        </w:rPr>
        <w:t xml:space="preserve"> es importante indica que existen esos casos ante la Comisión, pero</w:t>
      </w:r>
      <w:r w:rsidRPr="00A6130B">
        <w:rPr>
          <w:rFonts w:eastAsia="Times New Roman"/>
          <w:color w:val="000000"/>
          <w:lang w:val="es-CR" w:eastAsia="es-CR"/>
        </w:rPr>
        <w:t xml:space="preserve"> se cuenta con un registro de los últimos dos años por parte de la CCSS, la cual indica que no ha habido solicitudes de interrupción de embarazos entre 2014 y noviembre de 2015.</w:t>
      </w:r>
    </w:p>
    <w:p w:rsidR="00F7256E" w:rsidRPr="00A6130B" w:rsidRDefault="00F7256E" w:rsidP="00A6130B">
      <w:pPr>
        <w:widowControl w:val="0"/>
        <w:autoSpaceDE w:val="0"/>
        <w:autoSpaceDN w:val="0"/>
        <w:adjustRightInd w:val="0"/>
        <w:spacing w:line="240" w:lineRule="auto"/>
        <w:jc w:val="both"/>
        <w:rPr>
          <w:rFonts w:cs="Arial"/>
          <w:color w:val="222222"/>
          <w:shd w:val="clear" w:color="auto" w:fill="FFFFFF"/>
          <w:lang w:val="es-CR"/>
        </w:rPr>
      </w:pPr>
    </w:p>
    <w:p w:rsidR="00F7256E" w:rsidRPr="00A6130B" w:rsidRDefault="00F7256E" w:rsidP="00967059">
      <w:pPr>
        <w:pStyle w:val="Heading3"/>
        <w:numPr>
          <w:ilvl w:val="4"/>
          <w:numId w:val="8"/>
        </w:numPr>
        <w:spacing w:line="240" w:lineRule="auto"/>
        <w:ind w:left="2268"/>
        <w:rPr>
          <w:rFonts w:ascii="Calibri" w:hAnsi="Calibri"/>
          <w:color w:val="1F4E79"/>
        </w:rPr>
      </w:pPr>
      <w:bookmarkStart w:id="41" w:name="_Toc446126639"/>
      <w:r w:rsidRPr="00A6130B">
        <w:rPr>
          <w:rFonts w:ascii="Calibri" w:hAnsi="Calibri"/>
          <w:color w:val="1F4E79"/>
        </w:rPr>
        <w:t>Información sobre las medidas adoptadas para informar adecuadamente a las mujeres sobre los métodos de contracepción y para evitar embarazos no deseados, así como para promover la educación sobre salud sexual y reproductiva de los adolescentes</w:t>
      </w:r>
      <w:bookmarkEnd w:id="41"/>
    </w:p>
    <w:p w:rsidR="00EA525B" w:rsidRPr="00A6130B" w:rsidRDefault="00EA525B" w:rsidP="00A6130B">
      <w:pPr>
        <w:widowControl w:val="0"/>
        <w:autoSpaceDE w:val="0"/>
        <w:autoSpaceDN w:val="0"/>
        <w:adjustRightInd w:val="0"/>
        <w:spacing w:line="240" w:lineRule="auto"/>
        <w:jc w:val="both"/>
        <w:rPr>
          <w:rFonts w:cs="Arial"/>
          <w:color w:val="222222"/>
          <w:shd w:val="clear" w:color="auto" w:fill="FFFFFF"/>
          <w:lang w:val="es-CR"/>
        </w:rPr>
      </w:pPr>
    </w:p>
    <w:p w:rsidR="00CA2D1B" w:rsidRDefault="00CA2D1B" w:rsidP="00A6130B">
      <w:pPr>
        <w:widowControl w:val="0"/>
        <w:autoSpaceDE w:val="0"/>
        <w:autoSpaceDN w:val="0"/>
        <w:adjustRightInd w:val="0"/>
        <w:spacing w:line="240" w:lineRule="auto"/>
        <w:jc w:val="both"/>
        <w:rPr>
          <w:rFonts w:cs="Arial"/>
          <w:color w:val="222222"/>
          <w:shd w:val="clear" w:color="auto" w:fill="FFFFFF"/>
          <w:lang w:val="es-CR"/>
        </w:rPr>
      </w:pPr>
      <w:r w:rsidRPr="00A6130B">
        <w:rPr>
          <w:rFonts w:cs="Arial"/>
          <w:color w:val="222222"/>
          <w:shd w:val="clear" w:color="auto" w:fill="FFFFFF"/>
          <w:lang w:val="es-CR"/>
        </w:rPr>
        <w:t>En cuanto a los anticonceptivos, prácticamente cualquier mujer (incluso adolescentes) pueden tener acceso a ellos a través de la seguridad social. Se pueden presentar casos puntuales de desabastecimiento, que sin embargo no reflejan la realidad nacional. De igual forma la mujer puede optar por la esterilización quirúrgica, con tiempos de espera variables según el centro médico.</w:t>
      </w:r>
    </w:p>
    <w:p w:rsidR="008A6C35" w:rsidRPr="008A6C35" w:rsidRDefault="008A6C35" w:rsidP="008A6C35">
      <w:pPr>
        <w:widowControl w:val="0"/>
        <w:autoSpaceDE w:val="0"/>
        <w:autoSpaceDN w:val="0"/>
        <w:adjustRightInd w:val="0"/>
        <w:spacing w:line="240" w:lineRule="auto"/>
        <w:jc w:val="both"/>
        <w:rPr>
          <w:rFonts w:cs="Arial"/>
          <w:color w:val="222222"/>
          <w:shd w:val="clear" w:color="auto" w:fill="FFFFFF"/>
          <w:lang w:val="es-CR"/>
        </w:rPr>
      </w:pPr>
      <w:r w:rsidRPr="008A6C35">
        <w:rPr>
          <w:rFonts w:cs="Arial"/>
          <w:color w:val="222222"/>
          <w:shd w:val="clear" w:color="auto" w:fill="FFFFFF"/>
          <w:lang w:val="es-CR"/>
        </w:rPr>
        <w:t xml:space="preserve">El gobierno de Costa Rica trabaja  en la educación integral de la sexualidad  desde un enfoque  basado en los derechos humanos, donde los derechos sexuales y reproductivos son eje fundamental de este planteamiento. </w:t>
      </w:r>
    </w:p>
    <w:p w:rsidR="008A6C35" w:rsidRPr="008A6C35" w:rsidRDefault="008A6C35" w:rsidP="008A6C35">
      <w:pPr>
        <w:widowControl w:val="0"/>
        <w:autoSpaceDE w:val="0"/>
        <w:autoSpaceDN w:val="0"/>
        <w:adjustRightInd w:val="0"/>
        <w:spacing w:line="240" w:lineRule="auto"/>
        <w:jc w:val="both"/>
        <w:rPr>
          <w:rFonts w:cs="Arial"/>
          <w:color w:val="222222"/>
          <w:shd w:val="clear" w:color="auto" w:fill="FFFFFF"/>
          <w:lang w:val="es-CR"/>
        </w:rPr>
      </w:pPr>
      <w:r w:rsidRPr="008A6C35">
        <w:rPr>
          <w:rFonts w:cs="Arial"/>
          <w:color w:val="222222"/>
          <w:shd w:val="clear" w:color="auto" w:fill="FFFFFF"/>
          <w:lang w:val="es-CR"/>
        </w:rPr>
        <w:t xml:space="preserve">La educación es particularmente relevante en el modelo de acciones integradas para la prevención del embarazo adolescente, prevención de infecciones de trasmisión sexual y calidad de vida. </w:t>
      </w:r>
    </w:p>
    <w:p w:rsidR="008A6C35" w:rsidRPr="008A6C35" w:rsidRDefault="008A6C35" w:rsidP="008A6C35">
      <w:pPr>
        <w:widowControl w:val="0"/>
        <w:autoSpaceDE w:val="0"/>
        <w:autoSpaceDN w:val="0"/>
        <w:adjustRightInd w:val="0"/>
        <w:spacing w:line="240" w:lineRule="auto"/>
        <w:jc w:val="both"/>
        <w:rPr>
          <w:rFonts w:cs="Arial"/>
          <w:color w:val="222222"/>
          <w:shd w:val="clear" w:color="auto" w:fill="FFFFFF"/>
          <w:lang w:val="es-CR"/>
        </w:rPr>
      </w:pPr>
      <w:r w:rsidRPr="008A6C35">
        <w:rPr>
          <w:rFonts w:cs="Arial"/>
          <w:color w:val="222222"/>
          <w:shd w:val="clear" w:color="auto" w:fill="FFFFFF"/>
          <w:lang w:val="es-CR"/>
        </w:rPr>
        <w:t xml:space="preserve">Los derechos y protecciones garantizados para las personas menores de dieciocho años requieren de enfoques especiales en relación con los derechos sexuales, partiendo de la premisa de son titulares de derechos; y que, en diferentes puntos de las etapas de la infancia, la niñez y la adolescencia, ciertos derechos y protecciones tendrán mayor o menor relevancia. </w:t>
      </w:r>
    </w:p>
    <w:p w:rsidR="008A6C35" w:rsidRPr="008A6C35" w:rsidRDefault="008A6C35" w:rsidP="008A6C35">
      <w:pPr>
        <w:widowControl w:val="0"/>
        <w:autoSpaceDE w:val="0"/>
        <w:autoSpaceDN w:val="0"/>
        <w:adjustRightInd w:val="0"/>
        <w:spacing w:line="240" w:lineRule="auto"/>
        <w:jc w:val="both"/>
        <w:rPr>
          <w:rFonts w:cs="Arial"/>
          <w:color w:val="222222"/>
          <w:shd w:val="clear" w:color="auto" w:fill="FFFFFF"/>
          <w:lang w:val="es-CR"/>
        </w:rPr>
      </w:pPr>
      <w:r w:rsidRPr="008A6C35">
        <w:rPr>
          <w:rFonts w:cs="Arial"/>
          <w:color w:val="222222"/>
          <w:shd w:val="clear" w:color="auto" w:fill="FFFFFF"/>
          <w:lang w:val="es-CR"/>
        </w:rPr>
        <w:lastRenderedPageBreak/>
        <w:t>El Ministerio de Educación de Costa Rica, implementó desde el año 2012 el Programa de Educación para la Afectividad y la Sexualidad Integral , dirigido a la población del tercer ciclo de educación general básica o sea  séptimo, octavo y noveno año de Colegio (edades entre los 13 a 15 años generalmente).</w:t>
      </w:r>
    </w:p>
    <w:p w:rsidR="008A6C35" w:rsidRPr="008A6C35" w:rsidRDefault="008A6C35" w:rsidP="008A6C35">
      <w:pPr>
        <w:widowControl w:val="0"/>
        <w:autoSpaceDE w:val="0"/>
        <w:autoSpaceDN w:val="0"/>
        <w:adjustRightInd w:val="0"/>
        <w:spacing w:line="240" w:lineRule="auto"/>
        <w:jc w:val="both"/>
        <w:rPr>
          <w:rFonts w:cs="Arial"/>
          <w:color w:val="222222"/>
          <w:shd w:val="clear" w:color="auto" w:fill="FFFFFF"/>
          <w:lang w:val="es-CR"/>
        </w:rPr>
      </w:pPr>
      <w:r w:rsidRPr="008A6C35">
        <w:rPr>
          <w:rFonts w:cs="Arial"/>
          <w:color w:val="222222"/>
          <w:shd w:val="clear" w:color="auto" w:fill="FFFFFF"/>
          <w:lang w:val="es-CR"/>
        </w:rPr>
        <w:t>Este Programa parte del contexto la misión de la sexualidad es el vínculo, desde las dimensiones afectiva, corporal, ética y espiritual, con apoyo y la promoción de la madurez emocional.). Se busca generar un enfoque hacia la madurez afectiva y las relaciones entre las personas. Se promueve la equidad de género y se toma en cuenta prioritariamente la promoción del pensamiento crítico y el desarrollo de habilidades, para que el estudiantado pueda construir conductas de protección, no solo durante el ciclo reproductivo, sino en toda su vida, siempre en un marco de respeto a la persona.</w:t>
      </w:r>
    </w:p>
    <w:p w:rsidR="008A6C35" w:rsidRPr="008A6C35" w:rsidRDefault="008A6C35" w:rsidP="008A6C35">
      <w:pPr>
        <w:widowControl w:val="0"/>
        <w:autoSpaceDE w:val="0"/>
        <w:autoSpaceDN w:val="0"/>
        <w:adjustRightInd w:val="0"/>
        <w:spacing w:line="240" w:lineRule="auto"/>
        <w:jc w:val="both"/>
        <w:rPr>
          <w:rFonts w:cs="Arial"/>
          <w:color w:val="222222"/>
          <w:shd w:val="clear" w:color="auto" w:fill="FFFFFF"/>
          <w:lang w:val="es-CR"/>
        </w:rPr>
      </w:pPr>
      <w:r w:rsidRPr="008A6C35">
        <w:rPr>
          <w:rFonts w:cs="Arial"/>
          <w:color w:val="222222"/>
          <w:shd w:val="clear" w:color="auto" w:fill="FFFFFF"/>
          <w:lang w:val="es-CR"/>
        </w:rPr>
        <w:t>Entre los componentes esenciales de afectividad y sexualidad integral se contemplan el acceso y la construcción del conocimiento adecuado de lo que es y significa la sexualidad en el desarrollo humano en todas las etapas; la desmitificación de estereotipos y creencias que generan prácticas sexuales de riesgo o denigrantes de la persona humana, no solo de manera individual sino con un gran impacto en la salud pública; el acceso a una visión integral de la sexualidad en la que se aborden al menos los siguientes elementos: relaciones interpersonales, poder, cultura y responsabilidad, placer, género, identidad psicosexual, salud, sexual y reproductiva, derechos humanos, la promoción y generación de espacios más justos, equitativos y placenteros en todo el ciclo de la vida.</w:t>
      </w:r>
    </w:p>
    <w:p w:rsidR="008A6C35" w:rsidRPr="008A6C35" w:rsidRDefault="008A6C35" w:rsidP="008A6C35">
      <w:pPr>
        <w:widowControl w:val="0"/>
        <w:autoSpaceDE w:val="0"/>
        <w:autoSpaceDN w:val="0"/>
        <w:adjustRightInd w:val="0"/>
        <w:spacing w:line="240" w:lineRule="auto"/>
        <w:jc w:val="both"/>
        <w:rPr>
          <w:rFonts w:cs="Arial"/>
          <w:color w:val="222222"/>
          <w:shd w:val="clear" w:color="auto" w:fill="FFFFFF"/>
          <w:lang w:val="es-CR"/>
        </w:rPr>
      </w:pPr>
      <w:r w:rsidRPr="008A6C35">
        <w:rPr>
          <w:rFonts w:cs="Arial"/>
          <w:color w:val="222222"/>
          <w:shd w:val="clear" w:color="auto" w:fill="FFFFFF"/>
          <w:lang w:val="es-CR"/>
        </w:rPr>
        <w:t xml:space="preserve">Una educación para la afectividad y la sexualidad integral que supere la visión informativa y biológica. La sexualidad se concibe como un proceso potenciador del desarrollo de una personalidad sana y </w:t>
      </w:r>
      <w:proofErr w:type="spellStart"/>
      <w:r w:rsidRPr="008A6C35">
        <w:rPr>
          <w:rFonts w:cs="Arial"/>
          <w:color w:val="222222"/>
          <w:shd w:val="clear" w:color="auto" w:fill="FFFFFF"/>
          <w:lang w:val="es-CR"/>
        </w:rPr>
        <w:t>autorealizada</w:t>
      </w:r>
      <w:proofErr w:type="spellEnd"/>
      <w:r w:rsidRPr="008A6C35">
        <w:rPr>
          <w:rFonts w:cs="Arial"/>
          <w:color w:val="222222"/>
          <w:shd w:val="clear" w:color="auto" w:fill="FFFFFF"/>
          <w:lang w:val="es-CR"/>
        </w:rPr>
        <w:t xml:space="preserve"> y contribuye a la calidad de la vida de las personas de ambos sexos, de la familia y la sociedad, como un proceso que tiene que ver con la forma en cómo las personas se relacionan, se dan afecto y comparten sus sentimientos, vivencias y pensamientos. Este proceso está presente en las relaciones fraternas, paterno-filiales, de amistad y de pareja. </w:t>
      </w:r>
    </w:p>
    <w:p w:rsidR="00D118AC" w:rsidRDefault="008A6C35" w:rsidP="008A6C35">
      <w:pPr>
        <w:widowControl w:val="0"/>
        <w:autoSpaceDE w:val="0"/>
        <w:autoSpaceDN w:val="0"/>
        <w:adjustRightInd w:val="0"/>
        <w:spacing w:line="240" w:lineRule="auto"/>
        <w:jc w:val="both"/>
        <w:rPr>
          <w:rFonts w:cs="Arial"/>
          <w:color w:val="222222"/>
          <w:shd w:val="clear" w:color="auto" w:fill="FFFFFF"/>
          <w:lang w:val="es-CR"/>
        </w:rPr>
      </w:pPr>
      <w:r w:rsidRPr="008A6C35">
        <w:rPr>
          <w:rFonts w:cs="Arial"/>
          <w:color w:val="222222"/>
          <w:shd w:val="clear" w:color="auto" w:fill="FFFFFF"/>
          <w:lang w:val="es-CR"/>
        </w:rPr>
        <w:t xml:space="preserve">El programa de estudios contempla el desarrollo de siete ejes temáticos, que le dan un enfoque integral y que se abordarán en todos los niveles educativos, en procesos reflexivos cada vez más profundos: las relaciones interpersonales, cultura y poder, el placer una fuente de bienestar, género, identidad psicosocial, salud reproductiva, derechos Humanos. </w:t>
      </w:r>
    </w:p>
    <w:p w:rsidR="008A6C35" w:rsidRPr="008A6C35" w:rsidRDefault="008A6C35" w:rsidP="008A6C35">
      <w:pPr>
        <w:widowControl w:val="0"/>
        <w:autoSpaceDE w:val="0"/>
        <w:autoSpaceDN w:val="0"/>
        <w:adjustRightInd w:val="0"/>
        <w:spacing w:line="240" w:lineRule="auto"/>
        <w:jc w:val="both"/>
        <w:rPr>
          <w:rFonts w:cs="Arial"/>
          <w:color w:val="222222"/>
          <w:shd w:val="clear" w:color="auto" w:fill="FFFFFF"/>
          <w:lang w:val="es-CR"/>
        </w:rPr>
      </w:pPr>
      <w:r w:rsidRPr="008A6C35">
        <w:rPr>
          <w:rFonts w:cs="Arial"/>
          <w:color w:val="222222"/>
          <w:shd w:val="clear" w:color="auto" w:fill="FFFFFF"/>
          <w:lang w:val="es-CR"/>
        </w:rPr>
        <w:t xml:space="preserve">El modelo de atención de la Seguridad Social es uno solo para todo el país.  En algunas ocasiones, la falta de recursos ve limitada la atención, como en las provincias de Limón y Guanacaste, sin embargo, está situación está siendo abordada por el gobierno costarricense. </w:t>
      </w:r>
    </w:p>
    <w:p w:rsidR="008A6C35" w:rsidRPr="008A6C35" w:rsidRDefault="008A6C35" w:rsidP="008A6C35">
      <w:pPr>
        <w:widowControl w:val="0"/>
        <w:autoSpaceDE w:val="0"/>
        <w:autoSpaceDN w:val="0"/>
        <w:adjustRightInd w:val="0"/>
        <w:spacing w:line="240" w:lineRule="auto"/>
        <w:jc w:val="both"/>
        <w:rPr>
          <w:rFonts w:cs="Arial"/>
          <w:color w:val="222222"/>
          <w:shd w:val="clear" w:color="auto" w:fill="FFFFFF"/>
          <w:lang w:val="es-CR"/>
        </w:rPr>
      </w:pPr>
      <w:r w:rsidRPr="008A6C35">
        <w:rPr>
          <w:rFonts w:cs="Arial"/>
          <w:color w:val="222222"/>
          <w:shd w:val="clear" w:color="auto" w:fill="FFFFFF"/>
          <w:lang w:val="es-CR"/>
        </w:rPr>
        <w:t>Específicamente, en Limón se ha reforzado los programas de salud sexual y reproductiva principalmente en adolescentes, con el apoyo del Proyecto Mesoamericano. De igual forma, se informa que el  mes de marzo (2016), se han iniciado las capacitaciones en el área de Guanacaste, reforzando en primera instancia el sector de La Cruz.</w:t>
      </w:r>
    </w:p>
    <w:p w:rsidR="008A6C35" w:rsidRPr="008A6C35" w:rsidRDefault="008A6C35" w:rsidP="008A6C35">
      <w:pPr>
        <w:widowControl w:val="0"/>
        <w:autoSpaceDE w:val="0"/>
        <w:autoSpaceDN w:val="0"/>
        <w:adjustRightInd w:val="0"/>
        <w:spacing w:line="240" w:lineRule="auto"/>
        <w:jc w:val="both"/>
        <w:rPr>
          <w:rFonts w:cs="Arial"/>
          <w:color w:val="222222"/>
          <w:shd w:val="clear" w:color="auto" w:fill="FFFFFF"/>
          <w:lang w:val="es-CR"/>
        </w:rPr>
      </w:pPr>
    </w:p>
    <w:p w:rsidR="00FE55E7" w:rsidRPr="00A6130B" w:rsidRDefault="00FE55E7" w:rsidP="00967059">
      <w:pPr>
        <w:pStyle w:val="Heading3"/>
        <w:numPr>
          <w:ilvl w:val="4"/>
          <w:numId w:val="8"/>
        </w:numPr>
        <w:spacing w:line="240" w:lineRule="auto"/>
        <w:ind w:left="2268"/>
        <w:rPr>
          <w:rFonts w:ascii="Calibri" w:hAnsi="Calibri"/>
          <w:color w:val="1F4E79"/>
        </w:rPr>
      </w:pPr>
      <w:bookmarkStart w:id="42" w:name="_Toc446126640"/>
      <w:r w:rsidRPr="00A6130B">
        <w:rPr>
          <w:rFonts w:ascii="Calibri" w:hAnsi="Calibri"/>
          <w:color w:val="1F4E79"/>
        </w:rPr>
        <w:t xml:space="preserve">Información sobre la prohibición de la fertilización </w:t>
      </w:r>
      <w:r w:rsidRPr="00A6130B">
        <w:rPr>
          <w:rFonts w:ascii="Calibri" w:hAnsi="Calibri"/>
          <w:i/>
          <w:color w:val="1F4E79"/>
        </w:rPr>
        <w:t>in vitro</w:t>
      </w:r>
      <w:r w:rsidRPr="00A6130B">
        <w:rPr>
          <w:rFonts w:ascii="Calibri" w:hAnsi="Calibri"/>
          <w:color w:val="1F4E79"/>
        </w:rPr>
        <w:t xml:space="preserve"> y comenten sobre su compatibilidad con las disposiciones del Pacto</w:t>
      </w:r>
      <w:bookmarkEnd w:id="42"/>
    </w:p>
    <w:p w:rsidR="00526AD2" w:rsidRPr="00860333" w:rsidRDefault="00526AD2" w:rsidP="00A6130B">
      <w:pPr>
        <w:spacing w:before="160" w:line="240" w:lineRule="auto"/>
        <w:jc w:val="both"/>
      </w:pPr>
      <w:r w:rsidRPr="00860333">
        <w:t xml:space="preserve">En el tema atinente a la puesta en práctica de la Fecundación in Vitro, el Estado de Costa Rica ha adoptado medidas efectivas para hacer cumplir el mandato contenido en los artículos 3, 17 y 26 del Pacto Internacional de Derechos Civiles y Políticos. </w:t>
      </w:r>
    </w:p>
    <w:p w:rsidR="00526AD2" w:rsidRPr="00860333" w:rsidRDefault="00526AD2" w:rsidP="00A6130B">
      <w:pPr>
        <w:spacing w:before="160" w:line="240" w:lineRule="auto"/>
        <w:jc w:val="both"/>
      </w:pPr>
      <w:r w:rsidRPr="00860333">
        <w:lastRenderedPageBreak/>
        <w:t>En el año 2000, la Sala Constitucional de la Corte Suprema de Justicia anuló el Decreto Ejecutivo 24029-S, de 3 de febrero de 1995. Dicha norma regulaba la práctica de la Fecundación in Vitro. A partir de ese momento, se generó un vacío normativo que, por muchos años, fue interpretado como una prohibición a la práctica de dicha técnica.</w:t>
      </w:r>
    </w:p>
    <w:p w:rsidR="00526AD2" w:rsidRPr="00860333" w:rsidRDefault="00526AD2" w:rsidP="00A6130B">
      <w:pPr>
        <w:spacing w:before="160" w:line="240" w:lineRule="auto"/>
        <w:jc w:val="both"/>
      </w:pPr>
      <w:r w:rsidRPr="00860333">
        <w:t xml:space="preserve">Este estado de cosas impidió a muchas personas la posibilidad de procrear hijos biológicos. Varias de las parejas afectadas se presentaron ante la Comisión Interamericana de Derechos Humanos, la cual en 2011, elevó el asunto ante la Corte Interamericana, en el caso conocido como </w:t>
      </w:r>
      <w:proofErr w:type="spellStart"/>
      <w:r w:rsidRPr="00860333">
        <w:rPr>
          <w:i/>
        </w:rPr>
        <w:t>Artavia</w:t>
      </w:r>
      <w:proofErr w:type="spellEnd"/>
      <w:r w:rsidRPr="00860333">
        <w:rPr>
          <w:i/>
        </w:rPr>
        <w:t xml:space="preserve"> Murillo y otros contra Costa Rica</w:t>
      </w:r>
      <w:r w:rsidRPr="00860333">
        <w:t xml:space="preserve">. </w:t>
      </w:r>
    </w:p>
    <w:p w:rsidR="00526AD2" w:rsidRPr="00860333" w:rsidRDefault="00526AD2" w:rsidP="00A6130B">
      <w:pPr>
        <w:spacing w:before="160" w:line="240" w:lineRule="auto"/>
        <w:jc w:val="both"/>
      </w:pPr>
      <w:r w:rsidRPr="00860333">
        <w:t>En sentencia de 28 de noviembre de 2012, la Corte Interamericana de Derechos Humanos determinó que la prohibición de la Fecundación in Vitro era contraria a la Convención Americana sobre Derechos Humanos y ordenó al Estado tomar medidas para asegurar que dicho tratamiento estuviera al alcance de las personas infértiles. Dichas medidas debían ser no discriminatorias y acordes con los estándares iberoamericanos y los últimos avances de la ciencia médica en esta materia. Impuso otras reparaciones de rehabilitación y no repetición, como la compensación a las</w:t>
      </w:r>
      <w:r w:rsidRPr="00A6130B">
        <w:rPr>
          <w:sz w:val="24"/>
          <w:szCs w:val="24"/>
        </w:rPr>
        <w:t xml:space="preserve"> víctimas, el ofrecimiento de tratamiento psicológico a estas, </w:t>
      </w:r>
      <w:r w:rsidRPr="00860333">
        <w:t>la práctica de cursos</w:t>
      </w:r>
      <w:r w:rsidR="00860333">
        <w:t xml:space="preserve"> de capacitación para jueces, fiscales</w:t>
      </w:r>
      <w:r w:rsidRPr="00860333">
        <w:t xml:space="preserve"> y defensores en materia de derechos humanos sexuales y reproductivos, entre otras.</w:t>
      </w:r>
    </w:p>
    <w:p w:rsidR="00526AD2" w:rsidRPr="00860333" w:rsidRDefault="00526AD2" w:rsidP="00A6130B">
      <w:pPr>
        <w:spacing w:before="160" w:line="240" w:lineRule="auto"/>
        <w:jc w:val="both"/>
      </w:pPr>
      <w:r w:rsidRPr="00860333">
        <w:t>Para cumplir con el levantamiento de la prohibición y la regulación de la Fecundación in Vitro, el Estado optó por promover la aprobación de una ley ante la Asamblea Legislativa. Para ello, se formularon 4 proyectos tendientes a normar este tratamiento de reproducción asistida. Durante los legislaturas 2014-2015 y 2015-2016 se ha impulsado el avance de los proyectos, se han generado espacios de diálogo con instituciones públicas involucradas, con representantes de las víctimas y con otros sectores de la sociedad civil. Sin embargo, no ha sido posible alcanzar la aprobación de alguno de los tres proyectos de ley</w:t>
      </w:r>
      <w:r w:rsidRPr="00860333">
        <w:rPr>
          <w:i/>
        </w:rPr>
        <w:t>.</w:t>
      </w:r>
      <w:r w:rsidRPr="00860333">
        <w:t xml:space="preserve"> No obstante, solo el expediente 18.824 logró sobrepasar las diferentes etapas del procedimiento legislativo hasta llevar al conocimiento del Pleno para su discusión y votación. Pese a este avance, la propuesta no ha sido debatida ni aprobada. </w:t>
      </w:r>
    </w:p>
    <w:p w:rsidR="00526AD2" w:rsidRPr="005A070D" w:rsidRDefault="00526AD2" w:rsidP="00A6130B">
      <w:pPr>
        <w:spacing w:before="160" w:line="240" w:lineRule="auto"/>
        <w:jc w:val="both"/>
      </w:pPr>
      <w:r w:rsidRPr="00860333">
        <w:t xml:space="preserve">En razón del estado de omisión en el cual se mantenía el país y debido al proceso de supervisión de </w:t>
      </w:r>
      <w:r w:rsidRPr="005A070D">
        <w:t>cumplimiento de sentencia que estaba en desarrollo ante la Corte Interamericana, el Poder Ejecutivo decidió emitir un decreto para restituir la situación vulnerada y que este sirviera como mecanismo adecuado de acatamiento. De esa forma, el 11 de septiembre de 2015, fue dictado el Decreto 39210-MP-S.</w:t>
      </w:r>
    </w:p>
    <w:p w:rsidR="00526AD2" w:rsidRPr="005A070D" w:rsidRDefault="00526AD2" w:rsidP="00A6130B">
      <w:pPr>
        <w:spacing w:before="160" w:line="240" w:lineRule="auto"/>
        <w:jc w:val="both"/>
      </w:pPr>
      <w:r w:rsidRPr="005A070D">
        <w:t xml:space="preserve">Para emitir esta norma, el Poder Ejecutivo actuó dentro de sus potestades constitucionales y observó el contenido de la sentencia del 28 de noviembre de 2012, con la finalidad de que el reglamento estuviera en absoluta armonía con el </w:t>
      </w:r>
      <w:r w:rsidRPr="005A070D">
        <w:rPr>
          <w:i/>
        </w:rPr>
        <w:t>Corpus Iuris</w:t>
      </w:r>
      <w:r w:rsidRPr="005A070D">
        <w:t xml:space="preserve"> interamericano. </w:t>
      </w:r>
    </w:p>
    <w:p w:rsidR="00526AD2" w:rsidRPr="005A070D" w:rsidRDefault="00526AD2" w:rsidP="00A6130B">
      <w:pPr>
        <w:spacing w:before="160" w:line="240" w:lineRule="auto"/>
        <w:jc w:val="both"/>
      </w:pPr>
      <w:r w:rsidRPr="005A070D">
        <w:t>A través del Decreto en mención, el Estado restableció el disfrute del derecho a la vida privada y familiar, a la integridad personal, a la autonomía personal reproductiva, a la salud sexual, al disfrute de los beneficios científicos y tecnológicos de la más alta calidad, así como a la igualdad y no discriminación. Tales derechos no solo son reconocidos por la Convención Americana sobre Derechos Humanos, sino también por la Declaración de los Derechos Humanos y el Pacto Internacional de Derechos Civiles y Políticos.</w:t>
      </w:r>
    </w:p>
    <w:p w:rsidR="00526AD2" w:rsidRPr="005A070D" w:rsidRDefault="00526AD2" w:rsidP="00A6130B">
      <w:pPr>
        <w:spacing w:before="160" w:line="240" w:lineRule="auto"/>
        <w:jc w:val="both"/>
      </w:pPr>
      <w:r w:rsidRPr="005A070D">
        <w:t>El Decreto número 39210-MP-S fue validado por la Corte IDH como mecanismo de cumplimiento de la sentencia del año 2012, pues según la consideración de ese órgano internacional, esta norma brinda seguridad jurídica al dictar los lineamientos básicos, de índole técnico y administrativo, que se requiere para aplicar la técnica.</w:t>
      </w:r>
    </w:p>
    <w:p w:rsidR="00526AD2" w:rsidRPr="005A070D" w:rsidRDefault="00526AD2" w:rsidP="00A6130B">
      <w:pPr>
        <w:spacing w:before="160" w:line="240" w:lineRule="auto"/>
        <w:jc w:val="both"/>
      </w:pPr>
      <w:r w:rsidRPr="005A070D">
        <w:lastRenderedPageBreak/>
        <w:t xml:space="preserve">Se trata de una norma que reconoce el acceso a la técnica, en forma igualitaria y no discriminatoria, establece reglas claras para la manipulación de los embriones humanos, que impida su destrucción, comercialización, clonación, entre otros. </w:t>
      </w:r>
      <w:r w:rsidR="00860333" w:rsidRPr="005A070D">
        <w:t xml:space="preserve">Corresponda con </w:t>
      </w:r>
      <w:r w:rsidRPr="005A070D">
        <w:t>los más novedosos estándares de la ciencia para la realización de la Fecundación in Vitro y la Transferencia Embrionaria. Establece competencias públicas para la fiscalización del buen desarrollo de la técnica y asigna a la Caja Costarricense de Seguir Social, proveedor público de servicios de salud, la puesta en práctica del tratamiento dentro de sus programas de salud reproductiva.</w:t>
      </w:r>
    </w:p>
    <w:p w:rsidR="00526AD2" w:rsidRPr="005A070D" w:rsidRDefault="00526AD2" w:rsidP="00A6130B">
      <w:pPr>
        <w:spacing w:before="160" w:line="240" w:lineRule="auto"/>
        <w:jc w:val="both"/>
      </w:pPr>
      <w:r w:rsidRPr="005A070D">
        <w:t>Si bien este decreto fue objeto de una acción de inconstitucionalidad ante la Sala Constitucional, el cual culminó con su anulación, la resolución de la Corte Interamericana de Derechos Humanos de 25 de febrero de 2016, dictada en el procedimiento de supervisión de cumplimiento, ordenó que este recobrara su vigencia, como medida efectiva de acatamiento, hasta que no fuera dictada una norma de rango superior que regulara la materia, en apego de los estándares interamericanos.</w:t>
      </w:r>
    </w:p>
    <w:p w:rsidR="00526AD2" w:rsidRPr="005A070D" w:rsidRDefault="00526AD2" w:rsidP="00A6130B">
      <w:pPr>
        <w:spacing w:before="160" w:line="240" w:lineRule="auto"/>
        <w:jc w:val="both"/>
      </w:pPr>
      <w:r w:rsidRPr="005A070D">
        <w:t xml:space="preserve">Es por ello que, a la fecha, se cuenta con una regulación adecuada de la Fecundación in Vitro en Costa Rica, que atiende al cumplimiento de los ordenado por la Corte Interamericana y la garantía de los derechos humanos citados. </w:t>
      </w:r>
    </w:p>
    <w:p w:rsidR="00526AD2" w:rsidRPr="005A070D" w:rsidRDefault="00526AD2" w:rsidP="00A6130B">
      <w:pPr>
        <w:spacing w:before="160" w:line="240" w:lineRule="auto"/>
        <w:jc w:val="both"/>
      </w:pPr>
      <w:r w:rsidRPr="005A070D">
        <w:t>Como medidas posteriores de implementación, durante 5 meses el Ministerio de Salud trabajó en la elaboración de la norma técnica y de habilitación, la cual fue firmada el 15 de marzo de 2016. Este instrumento es necesario para asegurar la puesta en práctica de la Fecundación in Vitro.</w:t>
      </w:r>
    </w:p>
    <w:p w:rsidR="00526AD2" w:rsidRPr="005A070D" w:rsidRDefault="00526AD2" w:rsidP="00A6130B">
      <w:pPr>
        <w:spacing w:before="160" w:line="240" w:lineRule="auto"/>
        <w:jc w:val="both"/>
      </w:pPr>
      <w:r w:rsidRPr="005A070D">
        <w:t xml:space="preserve">El resto actual consiste en la puesta en práctica del tratamiento, tanto en el sector privado, que puede ocurrir poco después de la entrada en vigencia de la Norma Técnica, como en el ámbito de la seguridad social, donde se tiene un plazo máximo de dos años para su implementación. </w:t>
      </w:r>
    </w:p>
    <w:p w:rsidR="00526AD2" w:rsidRPr="005A070D" w:rsidRDefault="00526AD2" w:rsidP="00A6130B">
      <w:pPr>
        <w:spacing w:before="160" w:line="240" w:lineRule="auto"/>
        <w:jc w:val="both"/>
      </w:pPr>
      <w:r w:rsidRPr="005A070D">
        <w:t xml:space="preserve">Está abierta la posibilidad de una regulación mediante una ley. No obstante, en atención de lo ordenado por la Corte y del cumplimiento de la normativa internacional, solo se </w:t>
      </w:r>
      <w:proofErr w:type="spellStart"/>
      <w:r w:rsidRPr="005A070D">
        <w:t>considerá</w:t>
      </w:r>
      <w:proofErr w:type="spellEnd"/>
      <w:r w:rsidRPr="005A070D">
        <w:t xml:space="preserve"> admisible una ley que cumpla, escrupulosamente, con los estándares interamericanos. </w:t>
      </w:r>
    </w:p>
    <w:p w:rsidR="00526AD2" w:rsidRPr="005A070D" w:rsidRDefault="00526AD2" w:rsidP="00A6130B">
      <w:pPr>
        <w:spacing w:before="160" w:line="240" w:lineRule="auto"/>
      </w:pPr>
    </w:p>
    <w:p w:rsidR="00265F10" w:rsidRPr="008645E0" w:rsidRDefault="00837A9D" w:rsidP="008820F2">
      <w:pPr>
        <w:pStyle w:val="Heading1"/>
        <w:ind w:left="142"/>
        <w:rPr>
          <w:rFonts w:ascii="Arial" w:hAnsi="Arial" w:cs="Arial"/>
          <w:b/>
          <w:sz w:val="36"/>
          <w:szCs w:val="36"/>
        </w:rPr>
      </w:pPr>
      <w:bookmarkStart w:id="43" w:name="_Toc446126641"/>
      <w:r w:rsidRPr="008645E0">
        <w:rPr>
          <w:rFonts w:ascii="Arial" w:hAnsi="Arial" w:cs="Arial"/>
          <w:b/>
          <w:sz w:val="36"/>
          <w:szCs w:val="36"/>
        </w:rPr>
        <w:t>Violencia</w:t>
      </w:r>
      <w:r w:rsidR="00265F10" w:rsidRPr="008645E0">
        <w:rPr>
          <w:rFonts w:ascii="Arial" w:hAnsi="Arial" w:cs="Arial"/>
          <w:b/>
          <w:sz w:val="36"/>
          <w:szCs w:val="36"/>
        </w:rPr>
        <w:t xml:space="preserve"> contra las mujeres (arts. 6 y 7)</w:t>
      </w:r>
      <w:bookmarkEnd w:id="43"/>
    </w:p>
    <w:p w:rsidR="00D355DF" w:rsidRPr="00A6130B" w:rsidRDefault="00FE55E7" w:rsidP="00967059">
      <w:pPr>
        <w:pStyle w:val="Heading2"/>
        <w:numPr>
          <w:ilvl w:val="0"/>
          <w:numId w:val="10"/>
        </w:numPr>
        <w:rPr>
          <w:rFonts w:ascii="Calibri" w:hAnsi="Calibri"/>
          <w:sz w:val="24"/>
          <w:szCs w:val="24"/>
        </w:rPr>
      </w:pPr>
      <w:bookmarkStart w:id="44" w:name="_Toc446126642"/>
      <w:r w:rsidRPr="00A6130B">
        <w:rPr>
          <w:rFonts w:ascii="Calibri" w:hAnsi="Calibri"/>
          <w:sz w:val="24"/>
          <w:szCs w:val="24"/>
        </w:rPr>
        <w:t>Sírvanse proporcionar información sobre las m</w:t>
      </w:r>
      <w:r w:rsidR="00931114" w:rsidRPr="00A6130B">
        <w:rPr>
          <w:rFonts w:ascii="Calibri" w:hAnsi="Calibri"/>
          <w:sz w:val="24"/>
          <w:szCs w:val="24"/>
        </w:rPr>
        <w:t xml:space="preserve">edidas </w:t>
      </w:r>
      <w:r w:rsidRPr="00A6130B">
        <w:rPr>
          <w:rFonts w:ascii="Calibri" w:hAnsi="Calibri"/>
          <w:sz w:val="24"/>
          <w:szCs w:val="24"/>
        </w:rPr>
        <w:t xml:space="preserve">adoptadas </w:t>
      </w:r>
      <w:r w:rsidR="00931114" w:rsidRPr="00A6130B">
        <w:rPr>
          <w:rFonts w:ascii="Calibri" w:hAnsi="Calibri"/>
          <w:sz w:val="24"/>
          <w:szCs w:val="24"/>
        </w:rPr>
        <w:t>para garantizar la investigación, enjuiciamiento y sanción</w:t>
      </w:r>
      <w:r w:rsidR="00D355DF" w:rsidRPr="00A6130B">
        <w:rPr>
          <w:rFonts w:ascii="Calibri" w:hAnsi="Calibri"/>
          <w:sz w:val="24"/>
          <w:szCs w:val="24"/>
        </w:rPr>
        <w:t xml:space="preserve"> </w:t>
      </w:r>
      <w:r w:rsidRPr="00A6130B">
        <w:rPr>
          <w:rFonts w:ascii="Calibri" w:hAnsi="Calibri"/>
          <w:sz w:val="24"/>
          <w:szCs w:val="24"/>
        </w:rPr>
        <w:t>de los casos de violencia de género, incluida la violencia sexual y la doméstica, así como una evaluación del resultado de dichas medidas. Sírvanse incluir datos estadísticos correspondientes al período examinado sobre el número de denuncias registradas en relación con las diversas formas de violencia contra la mujer; el número de sentencias condenatorias dictadas, incluidas las penas impuestas; las indemnizaciones concedidas a las víctimas; y el número de casas de acogida para víctimas de violencia. Sírvanse, asimismo, proporcionar información sobre las medidas tomadas para luchar contra la violencia de que son víctimas las mujeres, en particular en la provincia de Limón.</w:t>
      </w:r>
      <w:bookmarkEnd w:id="44"/>
    </w:p>
    <w:p w:rsidR="00FE55E7" w:rsidRDefault="00FE55E7" w:rsidP="00967059">
      <w:pPr>
        <w:pStyle w:val="Heading3"/>
        <w:numPr>
          <w:ilvl w:val="0"/>
          <w:numId w:val="15"/>
        </w:numPr>
        <w:spacing w:line="240" w:lineRule="auto"/>
        <w:ind w:left="2268"/>
        <w:rPr>
          <w:rFonts w:ascii="Calibri" w:hAnsi="Calibri"/>
          <w:color w:val="1F4E79"/>
        </w:rPr>
      </w:pPr>
      <w:bookmarkStart w:id="45" w:name="_Toc446126643"/>
      <w:r w:rsidRPr="00A6130B">
        <w:rPr>
          <w:rFonts w:ascii="Calibri" w:hAnsi="Calibri"/>
          <w:color w:val="1F4E79"/>
        </w:rPr>
        <w:lastRenderedPageBreak/>
        <w:t>Medidas adoptadas para garantizar la investigación, enjuiciamiento y sanción de los casos de violencia de género, incluida la violencia sexual y la doméstica. Evaluación del resultado de dichas medidas.</w:t>
      </w:r>
      <w:bookmarkEnd w:id="45"/>
    </w:p>
    <w:p w:rsidR="003A7B03" w:rsidRPr="003A7B03" w:rsidRDefault="003A7B03" w:rsidP="003A7B03">
      <w:pPr>
        <w:pStyle w:val="Heading3"/>
        <w:numPr>
          <w:ilvl w:val="0"/>
          <w:numId w:val="15"/>
        </w:numPr>
        <w:spacing w:line="240" w:lineRule="auto"/>
        <w:ind w:left="2268"/>
        <w:rPr>
          <w:rFonts w:ascii="Calibri" w:hAnsi="Calibri"/>
          <w:color w:val="1F4E79"/>
        </w:rPr>
      </w:pPr>
      <w:bookmarkStart w:id="46" w:name="_Toc446126644"/>
      <w:r w:rsidRPr="00A6130B">
        <w:rPr>
          <w:rFonts w:ascii="Calibri" w:hAnsi="Calibri"/>
          <w:color w:val="1F4E79"/>
        </w:rPr>
        <w:t>Datos estadísticos correspondientes al período examinado sobre el número de denuncias registradas en relación con las diversas formas de violencia contra la mujer; el número de sentencias condenatorias dictadas, incluidas las penas impuestas; las indemnizaciones concedidas a las víctimas; y el número de casas de acogida para víctimas de violencia.</w:t>
      </w:r>
      <w:bookmarkEnd w:id="46"/>
    </w:p>
    <w:p w:rsidR="00FE55E7" w:rsidRDefault="00FE55E7" w:rsidP="00A6130B">
      <w:pPr>
        <w:spacing w:line="240" w:lineRule="auto"/>
        <w:jc w:val="both"/>
        <w:rPr>
          <w:lang w:val="es-CR"/>
        </w:rPr>
      </w:pPr>
    </w:p>
    <w:p w:rsidR="008A6C35" w:rsidRDefault="008A6C35" w:rsidP="00A6130B">
      <w:pPr>
        <w:spacing w:line="240" w:lineRule="auto"/>
        <w:jc w:val="both"/>
        <w:rPr>
          <w:rFonts w:cs="Arial"/>
        </w:rPr>
      </w:pPr>
      <w:r>
        <w:rPr>
          <w:rFonts w:cs="Arial"/>
        </w:rPr>
        <w:t>Véase respuestas escritas a lista de cuestiones preliminares presentada.</w:t>
      </w:r>
    </w:p>
    <w:p w:rsidR="003A7B03" w:rsidRPr="00C21794" w:rsidRDefault="003A7B03" w:rsidP="003A7B03">
      <w:pPr>
        <w:spacing w:line="240" w:lineRule="auto"/>
        <w:jc w:val="both"/>
        <w:rPr>
          <w:lang w:val="es-CR"/>
        </w:rPr>
      </w:pPr>
      <w:r w:rsidRPr="00A6130B">
        <w:rPr>
          <w:lang w:val="es-CR"/>
        </w:rPr>
        <w:t>En el país no existe una normativa específica sobre el resarcimiento del daño  para víctimas de violencia intrafamiliar, sin embargo, éstas pueden acudir a la figura de la acción civil resarcitoria,  en</w:t>
      </w:r>
      <w:r>
        <w:rPr>
          <w:lang w:val="es-CR"/>
        </w:rPr>
        <w:t xml:space="preserve"> los casos penales, aunque hay que reconocer que persisten</w:t>
      </w:r>
      <w:r w:rsidRPr="00A6130B">
        <w:rPr>
          <w:lang w:val="es-CR"/>
        </w:rPr>
        <w:t xml:space="preserve"> deficiencias en la asesoría y el acompa</w:t>
      </w:r>
      <w:r>
        <w:rPr>
          <w:lang w:val="es-CR"/>
        </w:rPr>
        <w:t>ñamiento a las víctimas y</w:t>
      </w:r>
      <w:r w:rsidRPr="00A6130B">
        <w:rPr>
          <w:lang w:val="es-CR"/>
        </w:rPr>
        <w:t xml:space="preserve"> consecuentemente </w:t>
      </w:r>
      <w:r>
        <w:rPr>
          <w:lang w:val="es-CR"/>
        </w:rPr>
        <w:t xml:space="preserve">muchas de </w:t>
      </w:r>
      <w:r w:rsidRPr="00A6130B">
        <w:rPr>
          <w:lang w:val="es-CR"/>
        </w:rPr>
        <w:t>las causas se desestiman.</w:t>
      </w:r>
    </w:p>
    <w:p w:rsidR="003A7B03" w:rsidRPr="003A7B03" w:rsidRDefault="003A7B03" w:rsidP="003A7B03">
      <w:pPr>
        <w:spacing w:line="240" w:lineRule="auto"/>
        <w:jc w:val="both"/>
        <w:rPr>
          <w:rFonts w:cs="Arial"/>
          <w:lang w:val="es-CR"/>
        </w:rPr>
      </w:pPr>
      <w:r>
        <w:rPr>
          <w:rFonts w:cs="Arial"/>
          <w:lang w:val="es-CR"/>
        </w:rPr>
        <w:t>En relación a los datos más recientes sobre violencia en general, a</w:t>
      </w:r>
      <w:r w:rsidRPr="003A7B03">
        <w:rPr>
          <w:rFonts w:cs="Arial"/>
          <w:lang w:val="es-CR"/>
        </w:rPr>
        <w:t xml:space="preserve">l agrupar los delitos por título según el Código Penal, tenemos que los de mayor incidencia corresponden a los  </w:t>
      </w:r>
      <w:r w:rsidRPr="003A7B03">
        <w:rPr>
          <w:rFonts w:cs="Arial"/>
          <w:b/>
          <w:lang w:val="es-CR"/>
        </w:rPr>
        <w:t xml:space="preserve">delitos sexuales (70 casos) </w:t>
      </w:r>
      <w:r w:rsidRPr="003A7B03">
        <w:rPr>
          <w:rFonts w:cs="Arial"/>
          <w:lang w:val="es-CR"/>
        </w:rPr>
        <w:t xml:space="preserve">un 26.92%, </w:t>
      </w:r>
      <w:r w:rsidRPr="003A7B03">
        <w:rPr>
          <w:rFonts w:cs="Arial"/>
          <w:b/>
          <w:lang w:val="es-CR"/>
        </w:rPr>
        <w:t xml:space="preserve">delitos contra la vida (68) </w:t>
      </w:r>
      <w:r w:rsidRPr="003A7B03">
        <w:rPr>
          <w:rFonts w:cs="Arial"/>
          <w:lang w:val="es-CR"/>
        </w:rPr>
        <w:t xml:space="preserve">un 26.15%, </w:t>
      </w:r>
      <w:r w:rsidRPr="003A7B03">
        <w:rPr>
          <w:rFonts w:cs="Arial"/>
          <w:b/>
          <w:lang w:val="es-CR"/>
        </w:rPr>
        <w:t xml:space="preserve">delitos de la Ley de Penalización y Violencia contra las Mujeres (41) </w:t>
      </w:r>
      <w:r w:rsidRPr="003A7B03">
        <w:rPr>
          <w:rFonts w:cs="Arial"/>
          <w:lang w:val="es-CR"/>
        </w:rPr>
        <w:t xml:space="preserve">un 15.76% del total, </w:t>
      </w:r>
      <w:r w:rsidRPr="003A7B03">
        <w:rPr>
          <w:rFonts w:cs="Arial"/>
          <w:b/>
          <w:lang w:val="es-CR"/>
        </w:rPr>
        <w:t>delitos contra la propiedad</w:t>
      </w:r>
      <w:r w:rsidRPr="003A7B03">
        <w:rPr>
          <w:rFonts w:cs="Arial"/>
          <w:lang w:val="es-CR"/>
        </w:rPr>
        <w:t xml:space="preserve"> (35) un 13.46% del total de casos. En estos cuatro títulos están incluidos el 82.29% de todos los delitos.</w:t>
      </w:r>
    </w:p>
    <w:p w:rsidR="003A7B03" w:rsidRPr="003A7B03" w:rsidRDefault="003A7B03" w:rsidP="003A7B03">
      <w:pPr>
        <w:spacing w:line="240" w:lineRule="auto"/>
        <w:jc w:val="both"/>
        <w:rPr>
          <w:rFonts w:cs="Arial"/>
          <w:lang w:val="es-CR"/>
        </w:rPr>
      </w:pPr>
    </w:p>
    <w:p w:rsidR="003A7B03" w:rsidRPr="003A7B03" w:rsidRDefault="003A7B03" w:rsidP="003A7B03">
      <w:pPr>
        <w:spacing w:line="240" w:lineRule="auto"/>
        <w:jc w:val="both"/>
        <w:rPr>
          <w:rFonts w:cs="Arial"/>
          <w:lang w:val="es-CR"/>
        </w:rPr>
      </w:pPr>
      <w:r w:rsidRPr="003A7B03">
        <w:rPr>
          <w:rFonts w:cs="Arial"/>
          <w:noProof/>
          <w:lang w:val="fr-CH" w:eastAsia="fr-CH"/>
        </w:rPr>
        <w:drawing>
          <wp:inline distT="0" distB="0" distL="0" distR="0">
            <wp:extent cx="5607050" cy="3041650"/>
            <wp:effectExtent l="0" t="0" r="0" b="6350"/>
            <wp:docPr id="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07050" cy="3041650"/>
                    </a:xfrm>
                    <a:prstGeom prst="rect">
                      <a:avLst/>
                    </a:prstGeom>
                    <a:noFill/>
                    <a:ln>
                      <a:noFill/>
                    </a:ln>
                  </pic:spPr>
                </pic:pic>
              </a:graphicData>
            </a:graphic>
          </wp:inline>
        </w:drawing>
      </w:r>
    </w:p>
    <w:p w:rsidR="003A7B03" w:rsidRPr="003A7B03" w:rsidRDefault="003A7B03" w:rsidP="003A7B03">
      <w:pPr>
        <w:spacing w:line="240" w:lineRule="auto"/>
        <w:jc w:val="both"/>
        <w:rPr>
          <w:rFonts w:cs="Arial"/>
          <w:i/>
          <w:lang w:val="es-CR"/>
        </w:rPr>
      </w:pPr>
      <w:r w:rsidRPr="003A7B03">
        <w:rPr>
          <w:rFonts w:cs="Arial"/>
          <w:i/>
          <w:lang w:val="es-CR"/>
        </w:rPr>
        <w:t>Fuente: Elaborado por UMGEF con base a información estadística suministrada por la Fiscalía de Asuntos Indígenas</w:t>
      </w:r>
    </w:p>
    <w:p w:rsidR="003A7B03" w:rsidRPr="003A7B03" w:rsidRDefault="003A7B03" w:rsidP="003A7B03">
      <w:pPr>
        <w:spacing w:line="240" w:lineRule="auto"/>
        <w:jc w:val="both"/>
        <w:rPr>
          <w:rFonts w:cs="Arial"/>
          <w:b/>
          <w:u w:val="single"/>
          <w:lang w:val="es-CR"/>
        </w:rPr>
      </w:pPr>
    </w:p>
    <w:p w:rsidR="003A7B03" w:rsidRPr="003A7B03" w:rsidRDefault="003A7B03" w:rsidP="003A7B03">
      <w:pPr>
        <w:spacing w:line="240" w:lineRule="auto"/>
        <w:jc w:val="both"/>
        <w:rPr>
          <w:rFonts w:cs="Arial"/>
          <w:lang w:val="es-CR"/>
        </w:rPr>
      </w:pPr>
      <w:r w:rsidRPr="003A7B03">
        <w:rPr>
          <w:rFonts w:cs="Arial"/>
          <w:lang w:val="es-CR"/>
        </w:rPr>
        <w:lastRenderedPageBreak/>
        <w:t xml:space="preserve">Desde el punto de vista de género y características de la persona ofendida como lo sería su condición de menor de edad, tenemos que de los 260 casos reportados para el II semestre del año 2015, en 65 casos corresponde a personas de sexo masculino es decir el 25% de la totalidad, por su parte en 119 casos la parte ofendida corresponde a mujeres, un 45,76%, en 52 de las denuncias la víctima es una persona menor de edad, equivalente al 20% y quedando 24 casos donde corresponde a instituciones públicas, el estado, la salud pública entre otros (9.23%). </w:t>
      </w:r>
    </w:p>
    <w:p w:rsidR="003A7B03" w:rsidRDefault="003A7B03" w:rsidP="003A7B03">
      <w:pPr>
        <w:spacing w:line="240" w:lineRule="auto"/>
        <w:jc w:val="both"/>
        <w:rPr>
          <w:rFonts w:cs="Arial"/>
          <w:lang w:val="es-CR"/>
        </w:rPr>
      </w:pPr>
      <w:r w:rsidRPr="003A7B03">
        <w:rPr>
          <w:rFonts w:cs="Arial"/>
          <w:lang w:val="es-CR"/>
        </w:rPr>
        <w:t xml:space="preserve">Se desprende que dentro de la población indígena, quienes cuentan con mayor probabilidad de ser víctima de la comisión de un delito son las mujeres y las personas menores de edad quienes suman el 65.75% del total de víctimas de los casos reportados. </w:t>
      </w:r>
      <w:r>
        <w:rPr>
          <w:rFonts w:cs="Arial"/>
          <w:lang w:val="es-CR"/>
        </w:rPr>
        <w:t xml:space="preserve">Por tanto, en </w:t>
      </w:r>
      <w:r w:rsidRPr="003A7B03">
        <w:rPr>
          <w:rFonts w:cs="Arial"/>
          <w:lang w:val="es-CR"/>
        </w:rPr>
        <w:t>cumplimiento al derecho humano de acceso a la justicia penal para las poblaciones indígenas, contenido en los artículos 41 y 27 de la Constitución Política, 8.1 de la Convención Americana sobre Derechos Humanos, artículo 10 de la Declaración Universal de los Derechos Humanos y 14 del Pacto Internacional de Derechos Civiles y Políticos, artículos 2 y  5 del Convenio sobre Pueblos Indígenas y Tribales en Países Independientes No. 169 OIT y artículos 1, 9, 15 y 22 de la Declaración de las Naciones Unidas sobre los Derechos de los Pueblos Indígenas; la ley No. 6172 del 29 de noviembre de 1977 y sus reformas "Ley indígena" y su reglamento No.</w:t>
      </w:r>
      <w:r w:rsidR="00CE037C">
        <w:rPr>
          <w:rFonts w:cs="Arial"/>
          <w:lang w:val="es-CR"/>
        </w:rPr>
        <w:t xml:space="preserve"> 8487-G del 26 de abril de 1978</w:t>
      </w:r>
      <w:r w:rsidRPr="003A7B03">
        <w:rPr>
          <w:rFonts w:cs="Arial"/>
          <w:lang w:val="es-CR"/>
        </w:rPr>
        <w:t>, así como la Resolución Aprobada por la Asamblea General de las Naciones Unidas el 22 de septiembre del 2014, conocida como la Conferencia Mundi</w:t>
      </w:r>
      <w:r w:rsidR="00CE037C">
        <w:rPr>
          <w:rFonts w:cs="Arial"/>
          <w:lang w:val="es-CR"/>
        </w:rPr>
        <w:t>al sobre los Pueblos Indígenas, l</w:t>
      </w:r>
      <w:r w:rsidR="00CE037C" w:rsidRPr="00A6130B">
        <w:rPr>
          <w:rFonts w:cs="Arial"/>
          <w:lang w:val="es-CR"/>
        </w:rPr>
        <w:t>a Fisc</w:t>
      </w:r>
      <w:r w:rsidR="00CE037C">
        <w:rPr>
          <w:rFonts w:cs="Arial"/>
          <w:lang w:val="es-CR"/>
        </w:rPr>
        <w:t>alía de Asuntos Indígenas (FAI)</w:t>
      </w:r>
      <w:r w:rsidR="00CE037C" w:rsidRPr="00A6130B">
        <w:rPr>
          <w:rFonts w:cs="Arial"/>
          <w:lang w:val="es-CR"/>
        </w:rPr>
        <w:t xml:space="preserve"> realiza visitas a las comunidades indígenas para capacitar a las mujeres en el proceso de denuncias, brindarles apoyo económico para asistir a las audiencias y juicios, dar acompañamiento con trabajadora social o psicóloga de la oficina de Atención y Protección de Víctimas del Ministerio Público y de requerir intérprete se proporciona una persona de su mismo género. </w:t>
      </w:r>
    </w:p>
    <w:p w:rsidR="00852373" w:rsidRPr="003A7B03" w:rsidRDefault="00852373" w:rsidP="003A7B03">
      <w:pPr>
        <w:spacing w:line="240" w:lineRule="auto"/>
        <w:jc w:val="both"/>
        <w:rPr>
          <w:rFonts w:cs="Arial"/>
          <w:lang w:val="es-CR"/>
        </w:rPr>
      </w:pPr>
    </w:p>
    <w:p w:rsidR="003A7B03" w:rsidRPr="003A7B03" w:rsidRDefault="003A7B03" w:rsidP="003A7B03">
      <w:pPr>
        <w:spacing w:line="240" w:lineRule="auto"/>
        <w:jc w:val="both"/>
        <w:rPr>
          <w:rFonts w:cs="Arial"/>
          <w:lang w:val="es-CR"/>
        </w:rPr>
      </w:pPr>
      <w:r w:rsidRPr="003A7B03">
        <w:rPr>
          <w:rFonts w:cs="Arial"/>
          <w:noProof/>
          <w:lang w:val="fr-CH" w:eastAsia="fr-CH"/>
        </w:rPr>
        <w:drawing>
          <wp:anchor distT="0" distB="0" distL="114300" distR="114300" simplePos="0" relativeHeight="251661824" behindDoc="0" locked="0" layoutInCell="1" allowOverlap="1">
            <wp:simplePos x="0" y="0"/>
            <wp:positionH relativeFrom="column">
              <wp:posOffset>436245</wp:posOffset>
            </wp:positionH>
            <wp:positionV relativeFrom="paragraph">
              <wp:posOffset>130175</wp:posOffset>
            </wp:positionV>
            <wp:extent cx="4662805" cy="3214370"/>
            <wp:effectExtent l="0" t="0" r="4445" b="5080"/>
            <wp:wrapNone/>
            <wp:docPr id="1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62805" cy="3214370"/>
                    </a:xfrm>
                    <a:prstGeom prst="rect">
                      <a:avLst/>
                    </a:prstGeom>
                    <a:noFill/>
                    <a:ln>
                      <a:noFill/>
                    </a:ln>
                  </pic:spPr>
                </pic:pic>
              </a:graphicData>
            </a:graphic>
          </wp:anchor>
        </w:drawing>
      </w:r>
    </w:p>
    <w:p w:rsidR="003A7B03" w:rsidRPr="003A7B03" w:rsidRDefault="003A7B03" w:rsidP="003A7B03">
      <w:pPr>
        <w:spacing w:line="240" w:lineRule="auto"/>
        <w:jc w:val="both"/>
        <w:rPr>
          <w:rFonts w:cs="Arial"/>
          <w:lang w:val="es-CR"/>
        </w:rPr>
      </w:pPr>
    </w:p>
    <w:p w:rsidR="003A7B03" w:rsidRPr="003A7B03" w:rsidRDefault="003A7B03" w:rsidP="003A7B03">
      <w:pPr>
        <w:spacing w:line="240" w:lineRule="auto"/>
        <w:jc w:val="both"/>
        <w:rPr>
          <w:rFonts w:cs="Arial"/>
          <w:lang w:val="es-CR"/>
        </w:rPr>
      </w:pPr>
    </w:p>
    <w:p w:rsidR="003A7B03" w:rsidRPr="003A7B03" w:rsidRDefault="003A7B03" w:rsidP="003A7B03">
      <w:pPr>
        <w:spacing w:line="240" w:lineRule="auto"/>
        <w:jc w:val="both"/>
        <w:rPr>
          <w:rFonts w:cs="Arial"/>
          <w:lang w:val="es-CR"/>
        </w:rPr>
      </w:pPr>
    </w:p>
    <w:p w:rsidR="003A7B03" w:rsidRPr="003A7B03" w:rsidRDefault="003A7B03" w:rsidP="003A7B03">
      <w:pPr>
        <w:spacing w:line="240" w:lineRule="auto"/>
        <w:jc w:val="both"/>
        <w:rPr>
          <w:rFonts w:cs="Arial"/>
          <w:lang w:val="es-CR"/>
        </w:rPr>
      </w:pPr>
    </w:p>
    <w:p w:rsidR="003A7B03" w:rsidRPr="003A7B03" w:rsidRDefault="003A7B03" w:rsidP="003A7B03">
      <w:pPr>
        <w:spacing w:line="240" w:lineRule="auto"/>
        <w:jc w:val="both"/>
        <w:rPr>
          <w:rFonts w:cs="Arial"/>
          <w:lang w:val="es-CR"/>
        </w:rPr>
      </w:pPr>
    </w:p>
    <w:p w:rsidR="003A7B03" w:rsidRPr="003A7B03" w:rsidRDefault="003A7B03" w:rsidP="003A7B03">
      <w:pPr>
        <w:spacing w:line="240" w:lineRule="auto"/>
        <w:jc w:val="both"/>
        <w:rPr>
          <w:rFonts w:cs="Arial"/>
          <w:lang w:val="es-CR"/>
        </w:rPr>
      </w:pPr>
    </w:p>
    <w:p w:rsidR="003A7B03" w:rsidRPr="003A7B03" w:rsidRDefault="003A7B03" w:rsidP="003A7B03">
      <w:pPr>
        <w:spacing w:line="240" w:lineRule="auto"/>
        <w:jc w:val="both"/>
        <w:rPr>
          <w:rFonts w:cs="Arial"/>
          <w:lang w:val="es-CR"/>
        </w:rPr>
      </w:pPr>
    </w:p>
    <w:p w:rsidR="003A7B03" w:rsidRPr="003A7B03" w:rsidRDefault="003A7B03" w:rsidP="003A7B03">
      <w:pPr>
        <w:spacing w:line="240" w:lineRule="auto"/>
        <w:jc w:val="both"/>
        <w:rPr>
          <w:rFonts w:cs="Arial"/>
          <w:lang w:val="es-CR"/>
        </w:rPr>
      </w:pPr>
    </w:p>
    <w:p w:rsidR="003A7B03" w:rsidRPr="003A7B03" w:rsidRDefault="003A7B03" w:rsidP="003A7B03">
      <w:pPr>
        <w:spacing w:line="240" w:lineRule="auto"/>
        <w:jc w:val="both"/>
        <w:rPr>
          <w:rFonts w:cs="Arial"/>
          <w:lang w:val="es-CR"/>
        </w:rPr>
      </w:pPr>
    </w:p>
    <w:p w:rsidR="003A7B03" w:rsidRPr="003A7B03" w:rsidRDefault="003A7B03" w:rsidP="003A7B03">
      <w:pPr>
        <w:spacing w:line="240" w:lineRule="auto"/>
        <w:jc w:val="both"/>
        <w:rPr>
          <w:rFonts w:cs="Arial"/>
          <w:lang w:val="es-CR"/>
        </w:rPr>
      </w:pPr>
    </w:p>
    <w:p w:rsidR="003A7B03" w:rsidRPr="003A7B03" w:rsidRDefault="003A7B03" w:rsidP="003A7B03">
      <w:pPr>
        <w:spacing w:line="240" w:lineRule="auto"/>
        <w:jc w:val="both"/>
        <w:rPr>
          <w:rFonts w:cs="Arial"/>
          <w:lang w:val="es-CR"/>
        </w:rPr>
      </w:pPr>
    </w:p>
    <w:p w:rsidR="003A7B03" w:rsidRPr="003A7B03" w:rsidRDefault="003A7B03" w:rsidP="003A7B03">
      <w:pPr>
        <w:spacing w:line="240" w:lineRule="auto"/>
        <w:jc w:val="both"/>
        <w:rPr>
          <w:rFonts w:cs="Arial"/>
          <w:b/>
          <w:lang w:val="es-CR"/>
        </w:rPr>
      </w:pPr>
    </w:p>
    <w:p w:rsidR="00CE037C" w:rsidRDefault="003A7B03" w:rsidP="003A7B03">
      <w:pPr>
        <w:spacing w:line="240" w:lineRule="auto"/>
        <w:jc w:val="both"/>
        <w:rPr>
          <w:rFonts w:cs="Arial"/>
          <w:lang w:val="es-CR"/>
        </w:rPr>
      </w:pPr>
      <w:r w:rsidRPr="003A7B03">
        <w:rPr>
          <w:rFonts w:cs="Arial"/>
          <w:lang w:val="es-CR"/>
        </w:rPr>
        <w:lastRenderedPageBreak/>
        <w:t>Anualmente la FAI realiza al menos un ingreso a cada uno de los 24 territorios indígenas del país, con la finalidad de brindar atención en el lugar a los vecinos de la zona. La mayoría de territorios indígenas se encuentran alejados de las zonas en las cuales se ubican las fiscalías territoriales, inclusive una vez dentro del territorio, para que las personas lleguen a la comunidad elegida como punto de reunión deben caminar varias horas.</w:t>
      </w:r>
      <w:r w:rsidR="00CE037C">
        <w:rPr>
          <w:rFonts w:cs="Arial"/>
          <w:lang w:val="es-CR"/>
        </w:rPr>
        <w:t xml:space="preserve"> </w:t>
      </w:r>
      <w:r w:rsidRPr="003A7B03">
        <w:rPr>
          <w:rFonts w:cs="Arial"/>
          <w:lang w:val="es-CR"/>
        </w:rPr>
        <w:t xml:space="preserve">Al ser zonas de difícil acceso la información que reciben es escasa o nula, siendo que al no contar con las infraestructuras adecuadas cae en una discriminación sistemática por parte de las instituciones, aspecto que ha dado lugar para que los habitantes de estos lugares sean víctimas de diversos tipos de delitos, por lo que la presencia de la FAI ha sido fundamental para el empoderamiento de estas personas, en especial para prevenir, eliminar y sancionar las formas de violencia y discriminación contra las personas indígenas, en particular mujeres, niños, niñas, jóvenes, personas con </w:t>
      </w:r>
      <w:r w:rsidR="00CE037C">
        <w:rPr>
          <w:rFonts w:cs="Arial"/>
          <w:lang w:val="es-CR"/>
        </w:rPr>
        <w:t>discapacidad y adultos mayores,</w:t>
      </w:r>
      <w:r w:rsidRPr="003A7B03">
        <w:rPr>
          <w:rFonts w:cs="Arial"/>
          <w:lang w:val="es-CR"/>
        </w:rPr>
        <w:t xml:space="preserve"> a efecto de reclamar sus derechos y contar con la información de donde recurrir en caso de ser víctima de algún delito.</w:t>
      </w:r>
    </w:p>
    <w:p w:rsidR="008D35B8" w:rsidRDefault="003A7B03" w:rsidP="00A6130B">
      <w:pPr>
        <w:spacing w:line="240" w:lineRule="auto"/>
        <w:jc w:val="both"/>
        <w:rPr>
          <w:rFonts w:cs="Arial"/>
          <w:lang w:val="es-CR"/>
        </w:rPr>
      </w:pPr>
      <w:r w:rsidRPr="003A7B03">
        <w:rPr>
          <w:rFonts w:cs="Arial"/>
          <w:lang w:val="es-CR"/>
        </w:rPr>
        <w:t xml:space="preserve">A todas las giras asiste una persona de trabajo social, previa reunión con los funcionarios de la FAI, con la finalidad de analizar los logros, aspectos a mejorar y buenas prácticas. Se coordina de igual manera para que el lenguaje empleado y las dinámicas a realizar permitan la comprensión del tema por parte del público meta, a la vez que se enmarque en armonía con la cosmovisión de los respectivos pueblos. Para ello el técnico judicial como persona indígena revisa en conjunto con la fiscal coordinadora el abordaje propuesto por los trabajadores sociales. Se realiza un </w:t>
      </w:r>
      <w:r w:rsidR="00CE037C">
        <w:rPr>
          <w:rFonts w:cs="Arial"/>
          <w:lang w:val="es-CR"/>
        </w:rPr>
        <w:t>diagnó</w:t>
      </w:r>
      <w:r w:rsidRPr="003A7B03">
        <w:rPr>
          <w:rFonts w:cs="Arial"/>
          <w:lang w:val="es-CR"/>
        </w:rPr>
        <w:t>stico situacional de la comunidad con tres líderes en la comunidad, destacando  la problemática y recursos disponibles. A las mujeres indígenas víctimas se les brinda apoyo económico para asistir a las audiencias y juicio, acompañamiento con trabajadora social o psicóloga de la oficina de Atención y Protección de Víctimas del Ministerio Público y de requerir intérprete se proporciona una persona de su mismo género.</w:t>
      </w:r>
      <w:r w:rsidR="00CE037C">
        <w:rPr>
          <w:rFonts w:cs="Arial"/>
          <w:lang w:val="es-CR"/>
        </w:rPr>
        <w:t xml:space="preserve"> </w:t>
      </w:r>
    </w:p>
    <w:p w:rsidR="003A7B03" w:rsidRPr="00A6130B" w:rsidRDefault="003A7B03" w:rsidP="00A6130B">
      <w:pPr>
        <w:spacing w:line="240" w:lineRule="auto"/>
        <w:jc w:val="both"/>
        <w:rPr>
          <w:rFonts w:cs="Arial"/>
          <w:lang w:val="es-CR"/>
        </w:rPr>
      </w:pPr>
      <w:r w:rsidRPr="003A7B03">
        <w:rPr>
          <w:rFonts w:cs="Arial"/>
          <w:lang w:val="es-CR"/>
        </w:rPr>
        <w:t xml:space="preserve">De igual manera, el Instituto Nacional de las Mujeres (IANMU), en el caso en concreto de </w:t>
      </w:r>
      <w:proofErr w:type="spellStart"/>
      <w:r w:rsidRPr="003A7B03">
        <w:rPr>
          <w:rFonts w:cs="Arial"/>
          <w:lang w:val="es-CR"/>
        </w:rPr>
        <w:t>Talamanca</w:t>
      </w:r>
      <w:proofErr w:type="spellEnd"/>
      <w:r w:rsidRPr="003A7B03">
        <w:rPr>
          <w:rFonts w:cs="Arial"/>
          <w:lang w:val="es-CR"/>
        </w:rPr>
        <w:t xml:space="preserve"> (territorio </w:t>
      </w:r>
      <w:proofErr w:type="spellStart"/>
      <w:r w:rsidRPr="003A7B03">
        <w:rPr>
          <w:rFonts w:cs="Arial"/>
          <w:lang w:val="es-CR"/>
        </w:rPr>
        <w:t>Cabécar</w:t>
      </w:r>
      <w:proofErr w:type="spellEnd"/>
      <w:r w:rsidRPr="003A7B03">
        <w:rPr>
          <w:rFonts w:cs="Arial"/>
          <w:lang w:val="es-CR"/>
        </w:rPr>
        <w:t xml:space="preserve"> y </w:t>
      </w:r>
      <w:proofErr w:type="spellStart"/>
      <w:r w:rsidRPr="003A7B03">
        <w:rPr>
          <w:rFonts w:cs="Arial"/>
          <w:lang w:val="es-CR"/>
        </w:rPr>
        <w:t>Bribri</w:t>
      </w:r>
      <w:proofErr w:type="spellEnd"/>
      <w:r w:rsidRPr="003A7B03">
        <w:rPr>
          <w:rFonts w:cs="Arial"/>
          <w:lang w:val="es-CR"/>
        </w:rPr>
        <w:t xml:space="preserve">), desde el año 2015 y  a raíz  de un acuerdo con organizaciones de Mujeres de dicha región, se realizan visitas cada mes, con un equipo integrado por una abogada y una psicóloga. El objetivo de estas visitas es dar apoyo psicosocial, e instrumentar a las mujeres en los recursos de protección que el Estado ofrece en materia jurídica y social frente a la violencia. Producto de esta iniciativa, para el año 2015 se lograron atender más de 300 consultas, y hay actualmente 85 expedientes abiertos.  </w:t>
      </w:r>
      <w:r w:rsidRPr="003A7B03">
        <w:rPr>
          <w:rFonts w:cs="Arial"/>
          <w:lang w:val="es-CR"/>
        </w:rPr>
        <w:br/>
      </w:r>
    </w:p>
    <w:p w:rsidR="00D118AC" w:rsidRPr="00A6130B" w:rsidRDefault="00FE55E7" w:rsidP="00967059">
      <w:pPr>
        <w:pStyle w:val="Heading3"/>
        <w:numPr>
          <w:ilvl w:val="0"/>
          <w:numId w:val="15"/>
        </w:numPr>
        <w:spacing w:line="240" w:lineRule="auto"/>
        <w:ind w:left="2268"/>
        <w:rPr>
          <w:rFonts w:ascii="Calibri" w:hAnsi="Calibri"/>
          <w:color w:val="1F4E79"/>
        </w:rPr>
      </w:pPr>
      <w:bookmarkStart w:id="47" w:name="_Toc446126645"/>
      <w:r w:rsidRPr="00A6130B">
        <w:rPr>
          <w:rFonts w:ascii="Calibri" w:hAnsi="Calibri"/>
          <w:color w:val="1F4E79"/>
        </w:rPr>
        <w:t>Información sobre las medidas tomadas para luchar contra la violencia de que son víctimas las mujeres, en particular en la provincia de Limón</w:t>
      </w:r>
      <w:bookmarkEnd w:id="47"/>
    </w:p>
    <w:p w:rsidR="00D2337C" w:rsidRDefault="00D2337C" w:rsidP="00D2337C">
      <w:pPr>
        <w:spacing w:line="240" w:lineRule="auto"/>
        <w:jc w:val="both"/>
        <w:rPr>
          <w:rFonts w:cs="Arial"/>
        </w:rPr>
      </w:pPr>
    </w:p>
    <w:p w:rsidR="00D118AC" w:rsidRPr="00A6130B" w:rsidRDefault="00D2337C" w:rsidP="00D2337C">
      <w:pPr>
        <w:spacing w:line="240" w:lineRule="auto"/>
        <w:jc w:val="both"/>
        <w:rPr>
          <w:rFonts w:cs="Arial"/>
        </w:rPr>
      </w:pPr>
      <w:r w:rsidRPr="00D2337C">
        <w:rPr>
          <w:rFonts w:cs="Arial"/>
        </w:rPr>
        <w:t xml:space="preserve">En relación a las medidas para luchar contra la violencia especialmente en la zona de Limón, el INAMU cuenta con una Oficina Regional en la provincia de Limón,  la cual brinda servicios de asesoría y atención especializada en violencia contra las mujeres mediante un equipo conformado por psicóloga y abogada. A partir del 2014, se instalan también en la zona de Limón acciones en coordinación con la red local dirigidas a crear capacidades institucionales para la prevención primaria, el trabajo con hombres, la movilización comunitaria sobre todo con población joven. Además se integra un Comité Local para la Atención Inmediata de situaciones de alto riesgo de </w:t>
      </w:r>
      <w:proofErr w:type="spellStart"/>
      <w:r w:rsidRPr="00D2337C">
        <w:rPr>
          <w:rFonts w:cs="Arial"/>
        </w:rPr>
        <w:t>femicidio</w:t>
      </w:r>
      <w:proofErr w:type="spellEnd"/>
      <w:r w:rsidRPr="00D2337C">
        <w:rPr>
          <w:rFonts w:cs="Arial"/>
        </w:rPr>
        <w:t xml:space="preserve"> (CLAIS). </w:t>
      </w:r>
    </w:p>
    <w:p w:rsidR="00265F10" w:rsidRPr="008645E0" w:rsidRDefault="00265F10" w:rsidP="008820F2">
      <w:pPr>
        <w:pStyle w:val="Heading1"/>
        <w:ind w:left="142"/>
        <w:rPr>
          <w:rFonts w:ascii="Arial" w:hAnsi="Arial" w:cs="Arial"/>
          <w:b/>
          <w:sz w:val="36"/>
          <w:szCs w:val="36"/>
        </w:rPr>
      </w:pPr>
      <w:bookmarkStart w:id="48" w:name="_Toc446126646"/>
      <w:r w:rsidRPr="008645E0">
        <w:rPr>
          <w:rFonts w:ascii="Arial" w:hAnsi="Arial" w:cs="Arial"/>
          <w:b/>
          <w:sz w:val="36"/>
          <w:szCs w:val="36"/>
        </w:rPr>
        <w:lastRenderedPageBreak/>
        <w:t>Prohibición de la trata de personas (art.8)</w:t>
      </w:r>
      <w:bookmarkEnd w:id="48"/>
    </w:p>
    <w:p w:rsidR="007B6D01" w:rsidRPr="00A6130B" w:rsidRDefault="00FE55E7" w:rsidP="00967059">
      <w:pPr>
        <w:pStyle w:val="Heading2"/>
        <w:numPr>
          <w:ilvl w:val="0"/>
          <w:numId w:val="10"/>
        </w:numPr>
        <w:rPr>
          <w:rFonts w:ascii="Calibri" w:hAnsi="Calibri"/>
          <w:sz w:val="24"/>
          <w:szCs w:val="24"/>
        </w:rPr>
      </w:pPr>
      <w:bookmarkStart w:id="49" w:name="_Toc441838417"/>
      <w:bookmarkStart w:id="50" w:name="_Toc446126647"/>
      <w:r w:rsidRPr="00A6130B">
        <w:rPr>
          <w:rFonts w:ascii="Calibri" w:hAnsi="Calibri"/>
          <w:sz w:val="24"/>
          <w:szCs w:val="24"/>
        </w:rPr>
        <w:t>Sírvanse provee los detalles sobre la i</w:t>
      </w:r>
      <w:r w:rsidR="00D355DF" w:rsidRPr="00A6130B">
        <w:rPr>
          <w:rFonts w:ascii="Calibri" w:hAnsi="Calibri"/>
          <w:sz w:val="24"/>
          <w:szCs w:val="24"/>
        </w:rPr>
        <w:t xml:space="preserve">mplementación de la Ley contra </w:t>
      </w:r>
      <w:r w:rsidR="007B6D01" w:rsidRPr="00A6130B">
        <w:rPr>
          <w:rFonts w:ascii="Calibri" w:hAnsi="Calibri"/>
          <w:sz w:val="24"/>
          <w:szCs w:val="24"/>
        </w:rPr>
        <w:t xml:space="preserve">la </w:t>
      </w:r>
      <w:r w:rsidR="00D355DF" w:rsidRPr="00A6130B">
        <w:rPr>
          <w:rFonts w:ascii="Calibri" w:hAnsi="Calibri"/>
          <w:sz w:val="24"/>
          <w:szCs w:val="24"/>
        </w:rPr>
        <w:t>T</w:t>
      </w:r>
      <w:r w:rsidR="007B6D01" w:rsidRPr="00A6130B">
        <w:rPr>
          <w:rFonts w:ascii="Calibri" w:hAnsi="Calibri"/>
          <w:sz w:val="24"/>
          <w:szCs w:val="24"/>
        </w:rPr>
        <w:t xml:space="preserve">rata de </w:t>
      </w:r>
      <w:r w:rsidR="00D355DF" w:rsidRPr="00A6130B">
        <w:rPr>
          <w:rFonts w:ascii="Calibri" w:hAnsi="Calibri"/>
          <w:sz w:val="24"/>
          <w:szCs w:val="24"/>
        </w:rPr>
        <w:t>P</w:t>
      </w:r>
      <w:r w:rsidR="007B6D01" w:rsidRPr="00A6130B">
        <w:rPr>
          <w:rFonts w:ascii="Calibri" w:hAnsi="Calibri"/>
          <w:sz w:val="24"/>
          <w:szCs w:val="24"/>
        </w:rPr>
        <w:t>ersonas</w:t>
      </w:r>
      <w:bookmarkEnd w:id="49"/>
      <w:r w:rsidR="00D355DF" w:rsidRPr="00A6130B">
        <w:rPr>
          <w:rFonts w:ascii="Calibri" w:hAnsi="Calibri"/>
          <w:sz w:val="24"/>
          <w:szCs w:val="24"/>
        </w:rPr>
        <w:t xml:space="preserve"> y Creación de la Coalición Nacional contra el Tráfico Ilícito de Migrantes y la Trata de Personas (CONATT)</w:t>
      </w:r>
      <w:r w:rsidRPr="00A6130B">
        <w:rPr>
          <w:rFonts w:ascii="Calibri" w:hAnsi="Calibri"/>
          <w:sz w:val="24"/>
          <w:szCs w:val="24"/>
        </w:rPr>
        <w:t xml:space="preserve"> (Ley núm. 9095)</w:t>
      </w:r>
      <w:r w:rsidR="00D355DF" w:rsidRPr="00A6130B">
        <w:rPr>
          <w:rFonts w:ascii="Calibri" w:hAnsi="Calibri"/>
          <w:sz w:val="24"/>
          <w:szCs w:val="24"/>
        </w:rPr>
        <w:t xml:space="preserve"> y </w:t>
      </w:r>
      <w:r w:rsidRPr="00A6130B">
        <w:rPr>
          <w:rFonts w:ascii="Calibri" w:hAnsi="Calibri"/>
          <w:sz w:val="24"/>
          <w:szCs w:val="24"/>
        </w:rPr>
        <w:t xml:space="preserve">el </w:t>
      </w:r>
      <w:r w:rsidR="00D355DF" w:rsidRPr="00A6130B">
        <w:rPr>
          <w:rFonts w:ascii="Calibri" w:hAnsi="Calibri"/>
          <w:sz w:val="24"/>
          <w:szCs w:val="24"/>
        </w:rPr>
        <w:t>presupuesto asignado</w:t>
      </w:r>
      <w:r w:rsidRPr="00A6130B">
        <w:rPr>
          <w:rFonts w:ascii="Calibri" w:hAnsi="Calibri"/>
          <w:sz w:val="24"/>
          <w:szCs w:val="24"/>
        </w:rPr>
        <w:t xml:space="preserve"> a la implementación de esta ley</w:t>
      </w:r>
      <w:r w:rsidR="00693517" w:rsidRPr="00A6130B">
        <w:rPr>
          <w:rFonts w:ascii="Calibri" w:hAnsi="Calibri"/>
          <w:sz w:val="24"/>
          <w:szCs w:val="24"/>
        </w:rPr>
        <w:t>, incluyendo el Fondo Nacional contra la Trata de Personas y el Tráfico Ilícito de Migrantes (FONATT)</w:t>
      </w:r>
      <w:r w:rsidR="00D355DF" w:rsidRPr="00A6130B">
        <w:rPr>
          <w:rFonts w:ascii="Calibri" w:hAnsi="Calibri"/>
          <w:sz w:val="24"/>
          <w:szCs w:val="24"/>
        </w:rPr>
        <w:t>.</w:t>
      </w:r>
      <w:r w:rsidR="00693517" w:rsidRPr="00A6130B">
        <w:rPr>
          <w:rFonts w:ascii="Calibri" w:hAnsi="Calibri"/>
          <w:sz w:val="24"/>
          <w:szCs w:val="24"/>
        </w:rPr>
        <w:t xml:space="preserve"> En concreto, sírvanse proporcionar información sobre el progreso en la redacción del reglamento de la Ley núm. 9095 y especificar los mecanismos existentes para la recolección de datos, y de remisión e identificación de víctimas. A la luz de la información y estadísticas proporcionadas por el Estado parte sobre las investigaciones y número de condenas impuestas a los responsables (CCPR/C/CRI/6, párr. 46), sírvanse proporcionar información sobre los obstáculos para investigar y sancionar a los responsables por el delito de trata. Sírvanse, asimismo, proporcionar información estadística desde 2010, desglosada por sexo, edad y país de origen de la víctima, sobre a) las denuncias de trata recibidas; b) las penas impuestas a los responsables; c) las reparaciones otorgadas a las víctimas; d) seguimiento dado a víctimas extranjeras de trata repatriadas.</w:t>
      </w:r>
      <w:bookmarkEnd w:id="50"/>
    </w:p>
    <w:p w:rsidR="00693517" w:rsidRDefault="00720785" w:rsidP="00967059">
      <w:pPr>
        <w:pStyle w:val="Heading3"/>
        <w:numPr>
          <w:ilvl w:val="0"/>
          <w:numId w:val="16"/>
        </w:numPr>
        <w:spacing w:line="240" w:lineRule="auto"/>
        <w:ind w:left="2268"/>
        <w:rPr>
          <w:rFonts w:ascii="Calibri" w:hAnsi="Calibri"/>
          <w:color w:val="1F4E79"/>
        </w:rPr>
      </w:pPr>
      <w:bookmarkStart w:id="51" w:name="_Toc446126648"/>
      <w:r w:rsidRPr="00A6130B">
        <w:rPr>
          <w:rFonts w:ascii="Calibri" w:hAnsi="Calibri"/>
          <w:color w:val="1F4E79"/>
        </w:rPr>
        <w:t>I</w:t>
      </w:r>
      <w:r w:rsidR="00693517" w:rsidRPr="00A6130B">
        <w:rPr>
          <w:rFonts w:ascii="Calibri" w:hAnsi="Calibri"/>
          <w:color w:val="1F4E79"/>
        </w:rPr>
        <w:t>mplementación de la Ley contra la Trata de Personas y Creación de la Coalición Nacional contra el Tráfico Ilícito de Migrantes y la Trata de Personas (CONATT) (Ley núm. 9095) y el presupuesto asignado a la implementación de esta ley, incluyendo el Fondo Nacional contra la Trata de Personas y el Tráfico Ilícito de Migrantes (FONATT).</w:t>
      </w:r>
      <w:bookmarkEnd w:id="51"/>
    </w:p>
    <w:p w:rsidR="00D33224" w:rsidRDefault="00D33224" w:rsidP="00D33224"/>
    <w:p w:rsidR="00D33224" w:rsidRPr="00A6130B" w:rsidRDefault="00D33224" w:rsidP="00D33224">
      <w:pPr>
        <w:spacing w:line="240" w:lineRule="auto"/>
        <w:jc w:val="both"/>
        <w:rPr>
          <w:lang w:val="es-CR"/>
        </w:rPr>
      </w:pPr>
      <w:r w:rsidRPr="00A6130B">
        <w:rPr>
          <w:lang w:val="es-CR"/>
        </w:rPr>
        <w:t xml:space="preserve">El Fondo Nacional contra la trata de personas y el tráfico ilícito de migrantes  se financia con  la recaudación de $1 de cada impuesto de salida del país. </w:t>
      </w:r>
    </w:p>
    <w:p w:rsidR="00D33224" w:rsidRPr="00A6130B" w:rsidRDefault="00D33224" w:rsidP="00D33224">
      <w:pPr>
        <w:spacing w:line="240" w:lineRule="auto"/>
        <w:jc w:val="both"/>
        <w:rPr>
          <w:lang w:val="es-CR"/>
        </w:rPr>
      </w:pPr>
      <w:r w:rsidRPr="00A6130B">
        <w:rPr>
          <w:lang w:val="es-CR"/>
        </w:rPr>
        <w:t>Para el año 2016 la Contraloría General de la República  aprobó 10 proyectos por aproximadamente $2.000.000.00 en temas como fortalecimiento institucional, seguridad comunitaria, recolección de información de inteligencia y mapeo de la actividad delictiva</w:t>
      </w:r>
      <w:r w:rsidRPr="00A6130B">
        <w:rPr>
          <w:rFonts w:eastAsia="MS Mincho"/>
          <w:lang w:val="es-CR"/>
        </w:rPr>
        <w:t xml:space="preserve">. </w:t>
      </w:r>
    </w:p>
    <w:p w:rsidR="00D33224" w:rsidRPr="00A6130B" w:rsidRDefault="00D33224" w:rsidP="00D33224">
      <w:pPr>
        <w:spacing w:line="240" w:lineRule="auto"/>
        <w:jc w:val="both"/>
        <w:rPr>
          <w:rFonts w:eastAsia="MS Mincho"/>
          <w:lang w:val="es-CR"/>
        </w:rPr>
      </w:pPr>
      <w:r w:rsidRPr="00A6130B">
        <w:rPr>
          <w:rFonts w:eastAsia="MS Mincho"/>
          <w:lang w:val="es-CR"/>
        </w:rPr>
        <w:t>El Estado costarricense destinó durante el 2015 alrededor de ¢4,413,000.00 (aproximadamente $8,024.00) de su presupuesto ordinario para la atención de los casos de trata de personas, entre las que figuran asistencia de necesidades básicas, tratamientos psicológicos, médicos, de desintoxicación, de regularización migratoria, apoyo económico, entre otros.</w:t>
      </w:r>
    </w:p>
    <w:p w:rsidR="00737257" w:rsidRDefault="00737257" w:rsidP="00737257">
      <w:pPr>
        <w:pStyle w:val="Heading3"/>
        <w:numPr>
          <w:ilvl w:val="0"/>
          <w:numId w:val="16"/>
        </w:numPr>
        <w:spacing w:line="240" w:lineRule="auto"/>
        <w:ind w:left="2268"/>
        <w:rPr>
          <w:rFonts w:ascii="Calibri" w:hAnsi="Calibri"/>
          <w:color w:val="1F4E79"/>
        </w:rPr>
      </w:pPr>
      <w:bookmarkStart w:id="52" w:name="_Toc446126649"/>
      <w:r w:rsidRPr="00A6130B">
        <w:rPr>
          <w:rFonts w:ascii="Calibri" w:hAnsi="Calibri"/>
          <w:color w:val="1F4E79"/>
        </w:rPr>
        <w:lastRenderedPageBreak/>
        <w:t>Progreso en la redacción del reglamento de la Ley núm. 9095 y especificar los mecanismos existentes para la recolección de datos, y de remisión e identificación de víctimas</w:t>
      </w:r>
      <w:bookmarkEnd w:id="52"/>
    </w:p>
    <w:p w:rsidR="00737257" w:rsidRPr="00B430E9" w:rsidRDefault="00737257" w:rsidP="00737257">
      <w:pPr>
        <w:pStyle w:val="Heading3"/>
        <w:numPr>
          <w:ilvl w:val="0"/>
          <w:numId w:val="16"/>
        </w:numPr>
        <w:spacing w:line="240" w:lineRule="auto"/>
        <w:ind w:left="2268"/>
        <w:rPr>
          <w:rFonts w:ascii="Calibri" w:hAnsi="Calibri"/>
          <w:color w:val="1F4E79"/>
        </w:rPr>
      </w:pPr>
      <w:bookmarkStart w:id="53" w:name="_Toc446126650"/>
      <w:r w:rsidRPr="00A6130B">
        <w:rPr>
          <w:rFonts w:ascii="Calibri" w:hAnsi="Calibri"/>
          <w:color w:val="1F4E79"/>
        </w:rPr>
        <w:t>Información sobre los obstáculos para investigar y sancionar a los responsables por el delito de trata.</w:t>
      </w:r>
      <w:bookmarkEnd w:id="53"/>
    </w:p>
    <w:p w:rsidR="00737257" w:rsidRPr="00737257" w:rsidRDefault="00737257" w:rsidP="00737257">
      <w:pPr>
        <w:pStyle w:val="Heading3"/>
        <w:numPr>
          <w:ilvl w:val="0"/>
          <w:numId w:val="16"/>
        </w:numPr>
        <w:spacing w:line="240" w:lineRule="auto"/>
        <w:ind w:left="2268"/>
        <w:rPr>
          <w:rFonts w:ascii="Calibri" w:hAnsi="Calibri"/>
          <w:color w:val="1F4E79"/>
        </w:rPr>
      </w:pPr>
      <w:bookmarkStart w:id="54" w:name="_Toc446126651"/>
      <w:r w:rsidRPr="00A6130B">
        <w:rPr>
          <w:rFonts w:ascii="Calibri" w:hAnsi="Calibri"/>
          <w:color w:val="1F4E79"/>
        </w:rPr>
        <w:t>Información estadística desde 2010, desglosada por sexo, edad y país de origen de la víctima, sobre a) las denuncias de trata recibidas; b) las penas impuestas a los responsables; c) las reparaciones otorgadas a las víctimas; d) seguimiento dado a víctimas extranjeras de trata repatriadas</w:t>
      </w:r>
      <w:bookmarkEnd w:id="54"/>
    </w:p>
    <w:p w:rsidR="00693517" w:rsidRPr="00A6130B" w:rsidRDefault="00693517" w:rsidP="00A6130B">
      <w:pPr>
        <w:spacing w:line="240" w:lineRule="auto"/>
        <w:jc w:val="both"/>
        <w:rPr>
          <w:lang w:val="es-CR"/>
        </w:rPr>
      </w:pPr>
    </w:p>
    <w:p w:rsidR="00B430E9" w:rsidRDefault="00B430E9" w:rsidP="00A6130B">
      <w:pPr>
        <w:spacing w:line="240" w:lineRule="auto"/>
        <w:jc w:val="both"/>
        <w:rPr>
          <w:lang w:val="es-CR"/>
        </w:rPr>
      </w:pPr>
      <w:r>
        <w:rPr>
          <w:rFonts w:cs="Arial"/>
        </w:rPr>
        <w:t>Véase respuestas escritas a lista de cuestiones preliminares presentada</w:t>
      </w:r>
    </w:p>
    <w:p w:rsidR="00AC6BF1" w:rsidRDefault="00AC6BF1" w:rsidP="00A6130B">
      <w:pPr>
        <w:spacing w:line="240" w:lineRule="auto"/>
        <w:jc w:val="both"/>
        <w:rPr>
          <w:lang w:val="es-CR"/>
        </w:rPr>
      </w:pPr>
      <w:r w:rsidRPr="00A6130B">
        <w:rPr>
          <w:lang w:val="es-CR"/>
        </w:rPr>
        <w:t>La  Ley 9095 reformó los artículos del Código Penal sobre Privación de libertad agravada, coacción,  tráfico de personas menores de edad, sustracción de la per</w:t>
      </w:r>
      <w:r w:rsidRPr="00A6130B">
        <w:rPr>
          <w:lang w:val="es-CR"/>
        </w:rPr>
        <w:softHyphen/>
        <w:t xml:space="preserve">sona menor de edad o con discapacidad y otros delitos conexos. </w:t>
      </w:r>
    </w:p>
    <w:p w:rsidR="00737257" w:rsidRPr="00737257" w:rsidRDefault="00737257" w:rsidP="00737257">
      <w:pPr>
        <w:jc w:val="both"/>
        <w:rPr>
          <w:lang w:val="es-ES_tradnl"/>
        </w:rPr>
      </w:pPr>
      <w:r>
        <w:rPr>
          <w:lang w:val="es-ES_tradnl"/>
        </w:rPr>
        <w:t xml:space="preserve">Existe la comisión  de información, análisis e investigación, desde la CONATT que se encarga de velar por la detección de bandas criminales dirigidas al delito de trata de personas y tráfico ilícito de migrantes.  El proceso de investigación será el que proporcione elementos suficientes para la detección de las víctimas y su identificación de conformidad con lo establecido en el artículo 40 de la Ley de Trata de Personas. </w:t>
      </w:r>
      <w:r w:rsidRPr="007903F2">
        <w:rPr>
          <w:lang w:val="es-ES_tradnl"/>
        </w:rPr>
        <w:t xml:space="preserve">Algunos obstáculos pueden </w:t>
      </w:r>
      <w:r>
        <w:rPr>
          <w:lang w:val="es-ES_tradnl"/>
        </w:rPr>
        <w:t>surgir</w:t>
      </w:r>
      <w:r w:rsidRPr="007903F2">
        <w:rPr>
          <w:lang w:val="es-ES_tradnl"/>
        </w:rPr>
        <w:t xml:space="preserve"> a raíz de que mucha información proviene de</w:t>
      </w:r>
      <w:r>
        <w:rPr>
          <w:lang w:val="es-ES_tradnl"/>
        </w:rPr>
        <w:t xml:space="preserve"> </w:t>
      </w:r>
      <w:r w:rsidRPr="007903F2">
        <w:rPr>
          <w:lang w:val="es-ES_tradnl"/>
        </w:rPr>
        <w:t>otras instituciones las cuales tardan mucho en brindar esa información y</w:t>
      </w:r>
      <w:r>
        <w:rPr>
          <w:lang w:val="es-ES_tradnl"/>
        </w:rPr>
        <w:t xml:space="preserve"> </w:t>
      </w:r>
      <w:r w:rsidRPr="007903F2">
        <w:rPr>
          <w:lang w:val="es-ES_tradnl"/>
        </w:rPr>
        <w:t>hacerlo de manera de correcta, también porque la forma de presentarla a</w:t>
      </w:r>
      <w:r>
        <w:rPr>
          <w:lang w:val="es-ES_tradnl"/>
        </w:rPr>
        <w:t xml:space="preserve"> </w:t>
      </w:r>
      <w:r w:rsidRPr="007903F2">
        <w:rPr>
          <w:lang w:val="es-ES_tradnl"/>
        </w:rPr>
        <w:t>veces es distinta y complica la tabulación</w:t>
      </w:r>
      <w:r>
        <w:rPr>
          <w:lang w:val="es-ES_tradnl"/>
        </w:rPr>
        <w:t>.</w:t>
      </w:r>
    </w:p>
    <w:p w:rsidR="00AC6BF1" w:rsidRPr="00A6130B" w:rsidRDefault="00AC6BF1" w:rsidP="00A6130B">
      <w:pPr>
        <w:spacing w:line="240" w:lineRule="auto"/>
        <w:jc w:val="both"/>
        <w:rPr>
          <w:lang w:val="es-CR"/>
        </w:rPr>
      </w:pPr>
      <w:r w:rsidRPr="00A6130B">
        <w:rPr>
          <w:lang w:val="es-CR"/>
        </w:rPr>
        <w:t xml:space="preserve">La Unidad de Investigación, Análisis e Inteligencia de la  Policía Profesional de Migración trabaja bajo la dirección funcional de la Fiscalía Adjunta contra la trata de personas. En </w:t>
      </w:r>
      <w:r w:rsidRPr="00A6130B">
        <w:rPr>
          <w:rFonts w:eastAsia="MS Mincho"/>
          <w:lang w:val="es-CR"/>
        </w:rPr>
        <w:t xml:space="preserve">el 2015  realizaron un total de 40 intervenciones policiales, gracias a las cuales se generaron 25 operativos en puntos claves con el objetivo de poder llegar a los lugares donde se podría pensar que existe explotación de seres humanos. En  dichos operativos se abordaron un total de 931 mujeres y 3 hombres como posibles víctimas de trata de personas, para un total de 934 personas abordadas y entrevistadas, descartándose la presencia del delito. </w:t>
      </w:r>
    </w:p>
    <w:p w:rsidR="00AC6BF1" w:rsidRPr="00A6130B" w:rsidRDefault="00AC6BF1" w:rsidP="00A6130B">
      <w:pPr>
        <w:spacing w:line="240" w:lineRule="auto"/>
        <w:jc w:val="both"/>
        <w:rPr>
          <w:lang w:val="es-CR"/>
        </w:rPr>
      </w:pPr>
      <w:r w:rsidRPr="00A6130B">
        <w:rPr>
          <w:lang w:val="es-CR"/>
        </w:rPr>
        <w:t>En el 2015 se  lograron 5 sentencias penales por el delito de Tráfico y  1 sentencia por el delito de trata de personas y legitimación de capitales. Se detuvieron 38 personas por delitos conexos a trata de personas y tráfico de migrantes, lográndose también la desarticulación de la banda que traficaba a personas cubanas hacia Estados Unidos.</w:t>
      </w:r>
    </w:p>
    <w:p w:rsidR="00EA525B" w:rsidRDefault="00AC6BF1" w:rsidP="00737257">
      <w:pPr>
        <w:spacing w:line="240" w:lineRule="auto"/>
        <w:jc w:val="both"/>
        <w:rPr>
          <w:lang w:val="es-CR"/>
        </w:rPr>
      </w:pPr>
      <w:r w:rsidRPr="00A6130B">
        <w:rPr>
          <w:lang w:val="es-CR"/>
        </w:rPr>
        <w:t>En cuanto al visado temporal, se aclara que la Ley General de Migración y Extranjería N°8764  creo en el artículo 94, inciso 10 la categoría de víctimas de trata de personas.</w:t>
      </w:r>
    </w:p>
    <w:p w:rsidR="00514164" w:rsidRPr="00514164" w:rsidRDefault="00514164" w:rsidP="00514164">
      <w:pPr>
        <w:spacing w:line="240" w:lineRule="auto"/>
        <w:jc w:val="both"/>
        <w:rPr>
          <w:lang w:val="es-CR"/>
        </w:rPr>
      </w:pPr>
      <w:r>
        <w:rPr>
          <w:lang w:val="es-CR"/>
        </w:rPr>
        <w:t>En relación con el llamado “</w:t>
      </w:r>
      <w:r w:rsidRPr="00514164">
        <w:rPr>
          <w:lang w:val="es-CR"/>
        </w:rPr>
        <w:t>turismo sexual</w:t>
      </w:r>
      <w:r>
        <w:rPr>
          <w:lang w:val="es-CR"/>
        </w:rPr>
        <w:t>” este término</w:t>
      </w:r>
      <w:r w:rsidRPr="00514164">
        <w:rPr>
          <w:lang w:val="es-CR"/>
        </w:rPr>
        <w:t xml:space="preserve"> no es aceptado por las autoridades migratorias costarricenses, siendo que el turismo se refiere a las acciones que realiza la persona extranjera a quien se le autoriza su ingreso al país únicamente con fines de descanso o esparcimiento, en ningún momento con fines sexuales,  lo cual desvirtúa totalmente el concepto de turismo. El gobierno de Costa Rica no promociona ni permite la explotación sexual comercial de las persones, cualquiera que sea su nacionalidad, y en especial en el caso de las personas menores de edad.</w:t>
      </w:r>
    </w:p>
    <w:p w:rsidR="00514164" w:rsidRPr="00514164" w:rsidRDefault="00514164" w:rsidP="00514164">
      <w:pPr>
        <w:spacing w:line="240" w:lineRule="auto"/>
        <w:jc w:val="both"/>
        <w:rPr>
          <w:lang w:val="es-CR"/>
        </w:rPr>
      </w:pPr>
      <w:r w:rsidRPr="00514164">
        <w:rPr>
          <w:lang w:val="es-CR"/>
        </w:rPr>
        <w:lastRenderedPageBreak/>
        <w:t xml:space="preserve">El Instituto Costarricense de Turismo cuenta un departamento denominado “Sostenibilidad y Responsabilidad Social”,   a cargo la promoción del Código de Conducta para la Protección de Niñas, Niños y Adolescentes contra la explotación sexual comercial asociada a viajes y turismo en Costa Rica. Este código representa el compromiso de la industria turística costarricense para desestimular y sancionar la explotación sexual comercial de niñas, niños y adolescentes como un eje del turismo responsable y sostenible. A su vez, está desarrollado como un proyecto de responsabilidad social de la industria turística nacional y bajo un mecanismo de </w:t>
      </w:r>
      <w:proofErr w:type="spellStart"/>
      <w:r w:rsidRPr="00514164">
        <w:rPr>
          <w:lang w:val="es-CR"/>
        </w:rPr>
        <w:t>autoregulación</w:t>
      </w:r>
      <w:proofErr w:type="spellEnd"/>
      <w:r w:rsidRPr="00514164">
        <w:rPr>
          <w:lang w:val="es-CR"/>
        </w:rPr>
        <w:t xml:space="preserve"> propio del sector turístico.</w:t>
      </w:r>
    </w:p>
    <w:p w:rsidR="00514164" w:rsidRDefault="00514164" w:rsidP="00852373">
      <w:pPr>
        <w:spacing w:after="0" w:line="240" w:lineRule="auto"/>
        <w:jc w:val="both"/>
        <w:rPr>
          <w:lang w:val="es-CR"/>
        </w:rPr>
      </w:pPr>
      <w:r w:rsidRPr="00514164">
        <w:rPr>
          <w:lang w:val="es-CR"/>
        </w:rPr>
        <w:t xml:space="preserve">La estrategia del Código de conducta está basada en la iniciativa de la ECPAT Internacional </w:t>
      </w:r>
      <w:r w:rsidRPr="00514164">
        <w:rPr>
          <w:i/>
          <w:lang w:val="es-CR"/>
        </w:rPr>
        <w:t>2000 (</w:t>
      </w:r>
      <w:proofErr w:type="spellStart"/>
      <w:r w:rsidRPr="00514164">
        <w:rPr>
          <w:i/>
          <w:iCs/>
          <w:lang w:val="es-CR"/>
        </w:rPr>
        <w:t>End</w:t>
      </w:r>
      <w:proofErr w:type="spellEnd"/>
      <w:r w:rsidRPr="00514164">
        <w:rPr>
          <w:i/>
          <w:iCs/>
          <w:lang w:val="es-CR"/>
        </w:rPr>
        <w:t xml:space="preserve"> </w:t>
      </w:r>
      <w:proofErr w:type="spellStart"/>
      <w:r w:rsidRPr="00514164">
        <w:rPr>
          <w:i/>
          <w:iCs/>
          <w:lang w:val="es-CR"/>
        </w:rPr>
        <w:t>Child</w:t>
      </w:r>
      <w:proofErr w:type="spellEnd"/>
      <w:r w:rsidRPr="00514164">
        <w:rPr>
          <w:i/>
          <w:iCs/>
          <w:lang w:val="es-CR"/>
        </w:rPr>
        <w:t xml:space="preserve"> </w:t>
      </w:r>
      <w:proofErr w:type="spellStart"/>
      <w:r w:rsidRPr="00514164">
        <w:rPr>
          <w:i/>
          <w:iCs/>
          <w:lang w:val="es-CR"/>
        </w:rPr>
        <w:t>Prostitution</w:t>
      </w:r>
      <w:proofErr w:type="spellEnd"/>
      <w:r w:rsidRPr="00514164">
        <w:rPr>
          <w:i/>
          <w:iCs/>
          <w:lang w:val="es-CR"/>
        </w:rPr>
        <w:t xml:space="preserve">, </w:t>
      </w:r>
      <w:proofErr w:type="spellStart"/>
      <w:r w:rsidRPr="00514164">
        <w:rPr>
          <w:i/>
          <w:iCs/>
          <w:lang w:val="es-CR"/>
        </w:rPr>
        <w:t>Child</w:t>
      </w:r>
      <w:proofErr w:type="spellEnd"/>
      <w:r w:rsidRPr="00514164">
        <w:rPr>
          <w:i/>
          <w:iCs/>
          <w:lang w:val="es-CR"/>
        </w:rPr>
        <w:t xml:space="preserve"> </w:t>
      </w:r>
      <w:proofErr w:type="spellStart"/>
      <w:r w:rsidRPr="00514164">
        <w:rPr>
          <w:i/>
          <w:iCs/>
          <w:lang w:val="es-CR"/>
        </w:rPr>
        <w:t>Pornography</w:t>
      </w:r>
      <w:proofErr w:type="spellEnd"/>
      <w:r w:rsidRPr="00514164">
        <w:rPr>
          <w:i/>
          <w:iCs/>
          <w:lang w:val="es-CR"/>
        </w:rPr>
        <w:t xml:space="preserve"> and </w:t>
      </w:r>
      <w:proofErr w:type="spellStart"/>
      <w:r w:rsidRPr="00514164">
        <w:rPr>
          <w:i/>
          <w:iCs/>
          <w:lang w:val="es-CR"/>
        </w:rPr>
        <w:t>T</w:t>
      </w:r>
      <w:r w:rsidR="00852373">
        <w:rPr>
          <w:i/>
          <w:iCs/>
          <w:lang w:val="es-CR"/>
        </w:rPr>
        <w:t>r</w:t>
      </w:r>
      <w:r w:rsidRPr="00514164">
        <w:rPr>
          <w:i/>
          <w:iCs/>
          <w:lang w:val="es-CR"/>
        </w:rPr>
        <w:t>affi</w:t>
      </w:r>
      <w:r w:rsidR="00852373">
        <w:rPr>
          <w:i/>
          <w:iCs/>
          <w:lang w:val="es-CR"/>
        </w:rPr>
        <w:t>c</w:t>
      </w:r>
      <w:r w:rsidRPr="00514164">
        <w:rPr>
          <w:i/>
          <w:iCs/>
          <w:lang w:val="es-CR"/>
        </w:rPr>
        <w:t>king</w:t>
      </w:r>
      <w:proofErr w:type="spellEnd"/>
      <w:r w:rsidRPr="00514164">
        <w:rPr>
          <w:i/>
          <w:iCs/>
          <w:lang w:val="es-CR"/>
        </w:rPr>
        <w:t xml:space="preserve"> of </w:t>
      </w:r>
      <w:proofErr w:type="spellStart"/>
      <w:r w:rsidRPr="00514164">
        <w:rPr>
          <w:i/>
          <w:iCs/>
          <w:lang w:val="es-CR"/>
        </w:rPr>
        <w:t>Children</w:t>
      </w:r>
      <w:proofErr w:type="spellEnd"/>
      <w:r w:rsidRPr="00514164">
        <w:rPr>
          <w:i/>
          <w:iCs/>
          <w:lang w:val="es-CR"/>
        </w:rPr>
        <w:t xml:space="preserve"> </w:t>
      </w:r>
      <w:proofErr w:type="spellStart"/>
      <w:r w:rsidRPr="00514164">
        <w:rPr>
          <w:i/>
          <w:iCs/>
          <w:lang w:val="es-CR"/>
        </w:rPr>
        <w:t>for</w:t>
      </w:r>
      <w:proofErr w:type="spellEnd"/>
      <w:r w:rsidRPr="00514164">
        <w:rPr>
          <w:i/>
          <w:iCs/>
          <w:lang w:val="es-CR"/>
        </w:rPr>
        <w:t xml:space="preserve"> Sexual </w:t>
      </w:r>
      <w:proofErr w:type="spellStart"/>
      <w:r w:rsidRPr="00514164">
        <w:rPr>
          <w:i/>
          <w:iCs/>
          <w:lang w:val="es-CR"/>
        </w:rPr>
        <w:t>Purposes</w:t>
      </w:r>
      <w:proofErr w:type="spellEnd"/>
      <w:r w:rsidRPr="00514164">
        <w:rPr>
          <w:i/>
          <w:lang w:val="es-CR"/>
        </w:rPr>
        <w:t>), en el C</w:t>
      </w:r>
      <w:r w:rsidRPr="00514164">
        <w:rPr>
          <w:lang w:val="es-CR"/>
        </w:rPr>
        <w:t>ódigo Ético Mundial para el Turismo de la Organización Mundial para el Turismo y en la Convención de los Derechos del Niño.  Para a</w:t>
      </w:r>
      <w:r w:rsidR="00D33224">
        <w:rPr>
          <w:lang w:val="es-CR"/>
        </w:rPr>
        <w:t>d</w:t>
      </w:r>
      <w:r w:rsidRPr="00514164">
        <w:rPr>
          <w:lang w:val="es-CR"/>
        </w:rPr>
        <w:t xml:space="preserve">herirse al Código, los empresarios deben ser capacitados, existiendo un reconocimiento a los que forman parte del mismo. </w:t>
      </w:r>
    </w:p>
    <w:p w:rsidR="00852373" w:rsidRPr="00A6130B" w:rsidRDefault="00852373" w:rsidP="00852373">
      <w:pPr>
        <w:spacing w:after="0" w:line="240" w:lineRule="auto"/>
        <w:jc w:val="both"/>
        <w:rPr>
          <w:lang w:val="es-CR"/>
        </w:rPr>
      </w:pPr>
    </w:p>
    <w:p w:rsidR="00C06C05" w:rsidRPr="008645E0" w:rsidRDefault="00265F10" w:rsidP="008820F2">
      <w:pPr>
        <w:pStyle w:val="Heading1"/>
        <w:ind w:left="142"/>
        <w:rPr>
          <w:rFonts w:ascii="Arial" w:hAnsi="Arial" w:cs="Arial"/>
          <w:b/>
          <w:sz w:val="36"/>
          <w:szCs w:val="36"/>
        </w:rPr>
      </w:pPr>
      <w:bookmarkStart w:id="55" w:name="_Toc446126652"/>
      <w:r w:rsidRPr="008645E0">
        <w:rPr>
          <w:rFonts w:ascii="Arial" w:hAnsi="Arial" w:cs="Arial"/>
          <w:b/>
          <w:sz w:val="36"/>
          <w:szCs w:val="36"/>
        </w:rPr>
        <w:t xml:space="preserve">Prohibición de la tortura y otros tratos crueles inhumanos o </w:t>
      </w:r>
      <w:r w:rsidR="0055440A" w:rsidRPr="008645E0">
        <w:rPr>
          <w:rFonts w:ascii="Arial" w:hAnsi="Arial" w:cs="Arial"/>
          <w:b/>
          <w:sz w:val="36"/>
          <w:szCs w:val="36"/>
        </w:rPr>
        <w:t>degradantes</w:t>
      </w:r>
      <w:r w:rsidRPr="008645E0">
        <w:rPr>
          <w:rFonts w:ascii="Arial" w:hAnsi="Arial" w:cs="Arial"/>
          <w:b/>
          <w:sz w:val="36"/>
          <w:szCs w:val="36"/>
        </w:rPr>
        <w:t xml:space="preserve"> (</w:t>
      </w:r>
      <w:r w:rsidR="0055440A" w:rsidRPr="008645E0">
        <w:rPr>
          <w:rFonts w:ascii="Arial" w:hAnsi="Arial" w:cs="Arial"/>
          <w:b/>
          <w:sz w:val="36"/>
          <w:szCs w:val="36"/>
        </w:rPr>
        <w:t>arts.</w:t>
      </w:r>
      <w:r w:rsidRPr="008645E0">
        <w:rPr>
          <w:rFonts w:ascii="Arial" w:hAnsi="Arial" w:cs="Arial"/>
          <w:b/>
          <w:sz w:val="36"/>
          <w:szCs w:val="36"/>
        </w:rPr>
        <w:t xml:space="preserve"> 6 y 7)</w:t>
      </w:r>
      <w:bookmarkEnd w:id="55"/>
    </w:p>
    <w:p w:rsidR="00C06C05" w:rsidRDefault="00786892" w:rsidP="00852373">
      <w:pPr>
        <w:pStyle w:val="Heading2"/>
        <w:numPr>
          <w:ilvl w:val="0"/>
          <w:numId w:val="10"/>
        </w:numPr>
        <w:spacing w:after="0" w:afterAutospacing="0"/>
        <w:rPr>
          <w:rFonts w:ascii="Calibri" w:hAnsi="Calibri"/>
          <w:sz w:val="24"/>
          <w:szCs w:val="24"/>
        </w:rPr>
      </w:pPr>
      <w:bookmarkStart w:id="56" w:name="_Toc446126653"/>
      <w:r w:rsidRPr="00A6130B">
        <w:rPr>
          <w:rFonts w:ascii="Calibri" w:hAnsi="Calibri"/>
          <w:sz w:val="24"/>
          <w:szCs w:val="24"/>
        </w:rPr>
        <w:t>A la luz de la anteriores recomendaciones del Comité (CCPR/C/CRI/CO/5, párr. 8), facilítese información sobre las</w:t>
      </w:r>
      <w:r w:rsidR="00C06C05" w:rsidRPr="00A6130B">
        <w:rPr>
          <w:rFonts w:ascii="Calibri" w:hAnsi="Calibri"/>
          <w:sz w:val="24"/>
          <w:szCs w:val="24"/>
        </w:rPr>
        <w:t xml:space="preserve"> </w:t>
      </w:r>
      <w:r w:rsidRPr="00A6130B">
        <w:rPr>
          <w:rFonts w:ascii="Calibri" w:hAnsi="Calibri"/>
          <w:sz w:val="24"/>
          <w:szCs w:val="24"/>
        </w:rPr>
        <w:t>m</w:t>
      </w:r>
      <w:r w:rsidR="00C06C05" w:rsidRPr="00A6130B">
        <w:rPr>
          <w:rFonts w:ascii="Calibri" w:hAnsi="Calibri"/>
          <w:sz w:val="24"/>
          <w:szCs w:val="24"/>
        </w:rPr>
        <w:t xml:space="preserve">edidas </w:t>
      </w:r>
      <w:r w:rsidRPr="00A6130B">
        <w:rPr>
          <w:rFonts w:ascii="Calibri" w:hAnsi="Calibri"/>
          <w:sz w:val="24"/>
          <w:szCs w:val="24"/>
        </w:rPr>
        <w:t xml:space="preserve">tomadas </w:t>
      </w:r>
      <w:r w:rsidR="00C06C05" w:rsidRPr="00A6130B">
        <w:rPr>
          <w:rFonts w:ascii="Calibri" w:hAnsi="Calibri"/>
          <w:sz w:val="24"/>
          <w:szCs w:val="24"/>
        </w:rPr>
        <w:t>para eliminar la detención en condiciones de incomunicación</w:t>
      </w:r>
      <w:r w:rsidR="00D355DF" w:rsidRPr="00A6130B">
        <w:rPr>
          <w:rFonts w:ascii="Calibri" w:hAnsi="Calibri"/>
          <w:sz w:val="24"/>
          <w:szCs w:val="24"/>
        </w:rPr>
        <w:t xml:space="preserve"> e</w:t>
      </w:r>
      <w:r w:rsidR="00802CAE" w:rsidRPr="00A6130B">
        <w:rPr>
          <w:rFonts w:ascii="Calibri" w:hAnsi="Calibri"/>
          <w:sz w:val="24"/>
          <w:szCs w:val="24"/>
        </w:rPr>
        <w:t xml:space="preserve"> </w:t>
      </w:r>
      <w:r w:rsidR="00D355DF" w:rsidRPr="00A6130B">
        <w:rPr>
          <w:rFonts w:ascii="Calibri" w:hAnsi="Calibri"/>
          <w:sz w:val="24"/>
          <w:szCs w:val="24"/>
        </w:rPr>
        <w:t xml:space="preserve">información estadística </w:t>
      </w:r>
      <w:r w:rsidRPr="00A6130B">
        <w:rPr>
          <w:rFonts w:ascii="Calibri" w:hAnsi="Calibri"/>
          <w:sz w:val="24"/>
          <w:szCs w:val="24"/>
        </w:rPr>
        <w:t xml:space="preserve">sobre la aplicación de esta medida en </w:t>
      </w:r>
      <w:r w:rsidR="00D355DF" w:rsidRPr="00A6130B">
        <w:rPr>
          <w:rFonts w:ascii="Calibri" w:hAnsi="Calibri"/>
          <w:sz w:val="24"/>
          <w:szCs w:val="24"/>
        </w:rPr>
        <w:t xml:space="preserve">los últimos </w:t>
      </w:r>
      <w:r w:rsidRPr="00A6130B">
        <w:rPr>
          <w:rFonts w:ascii="Calibri" w:hAnsi="Calibri"/>
          <w:sz w:val="24"/>
          <w:szCs w:val="24"/>
        </w:rPr>
        <w:t>siete</w:t>
      </w:r>
      <w:r w:rsidR="00D355DF" w:rsidRPr="00A6130B">
        <w:rPr>
          <w:rFonts w:ascii="Calibri" w:hAnsi="Calibri"/>
          <w:sz w:val="24"/>
          <w:szCs w:val="24"/>
        </w:rPr>
        <w:t xml:space="preserve"> años.</w:t>
      </w:r>
      <w:r w:rsidRPr="00A6130B">
        <w:rPr>
          <w:rFonts w:ascii="Calibri" w:hAnsi="Calibri"/>
          <w:sz w:val="24"/>
          <w:szCs w:val="24"/>
        </w:rPr>
        <w:t xml:space="preserve"> Sírvanse asimismo proporcionar estadísticas, inclusive de los últimos siete años, sobre la tasa de mortalidad en los centros de detención de Costa Rica.</w:t>
      </w:r>
      <w:bookmarkEnd w:id="56"/>
      <w:r w:rsidRPr="00A6130B">
        <w:rPr>
          <w:rFonts w:ascii="Calibri" w:hAnsi="Calibri"/>
          <w:sz w:val="24"/>
          <w:szCs w:val="24"/>
        </w:rPr>
        <w:t xml:space="preserve"> </w:t>
      </w:r>
    </w:p>
    <w:p w:rsidR="00B7610D" w:rsidRPr="00A6130B" w:rsidRDefault="00B7610D" w:rsidP="00B7610D">
      <w:pPr>
        <w:pStyle w:val="Heading2"/>
        <w:spacing w:after="0" w:afterAutospacing="0"/>
        <w:ind w:left="360"/>
        <w:rPr>
          <w:rFonts w:ascii="Calibri" w:hAnsi="Calibri"/>
          <w:sz w:val="24"/>
          <w:szCs w:val="24"/>
        </w:rPr>
      </w:pPr>
    </w:p>
    <w:p w:rsidR="00786892" w:rsidRPr="00A6130B" w:rsidRDefault="00786892" w:rsidP="00B7610D">
      <w:pPr>
        <w:pStyle w:val="Heading3"/>
        <w:numPr>
          <w:ilvl w:val="0"/>
          <w:numId w:val="17"/>
        </w:numPr>
        <w:spacing w:before="0" w:line="240" w:lineRule="auto"/>
        <w:ind w:left="2268"/>
        <w:rPr>
          <w:rFonts w:ascii="Calibri" w:hAnsi="Calibri"/>
          <w:color w:val="1F4E79"/>
        </w:rPr>
      </w:pPr>
      <w:bookmarkStart w:id="57" w:name="_Toc446126654"/>
      <w:r w:rsidRPr="00A6130B">
        <w:rPr>
          <w:rFonts w:ascii="Calibri" w:hAnsi="Calibri"/>
          <w:color w:val="1F4E79"/>
        </w:rPr>
        <w:t>Información sobre las medidas tomadas para eliminar la detención en condiciones de incomunicación e información estadística sobre la aplicación de esta medida en los últimos siete años</w:t>
      </w:r>
      <w:r w:rsidR="008F248A" w:rsidRPr="00A6130B">
        <w:rPr>
          <w:rFonts w:ascii="Calibri" w:hAnsi="Calibri"/>
          <w:color w:val="1F4E79"/>
        </w:rPr>
        <w:t>.</w:t>
      </w:r>
      <w:bookmarkEnd w:id="57"/>
    </w:p>
    <w:p w:rsidR="008F248A" w:rsidRPr="00A6130B" w:rsidRDefault="008F248A" w:rsidP="00A6130B">
      <w:pPr>
        <w:spacing w:line="240" w:lineRule="auto"/>
        <w:jc w:val="both"/>
        <w:rPr>
          <w:rFonts w:cs="Arial"/>
          <w:lang w:val="es-CR"/>
        </w:rPr>
      </w:pPr>
    </w:p>
    <w:p w:rsidR="00E8143D" w:rsidRPr="00E8143D" w:rsidRDefault="00E8143D" w:rsidP="00E8143D">
      <w:pPr>
        <w:spacing w:line="240" w:lineRule="auto"/>
        <w:jc w:val="both"/>
        <w:rPr>
          <w:rFonts w:cs="Arial"/>
        </w:rPr>
      </w:pPr>
      <w:r>
        <w:rPr>
          <w:rFonts w:cs="Arial"/>
          <w:bCs/>
        </w:rPr>
        <w:t xml:space="preserve">El </w:t>
      </w:r>
      <w:r w:rsidRPr="00E8143D">
        <w:rPr>
          <w:rFonts w:cs="Arial"/>
          <w:bCs/>
        </w:rPr>
        <w:t xml:space="preserve">Artículo </w:t>
      </w:r>
      <w:r>
        <w:rPr>
          <w:rFonts w:cs="Arial"/>
          <w:bCs/>
        </w:rPr>
        <w:t>261 del Código Penal establece el supuesto de la i</w:t>
      </w:r>
      <w:r w:rsidRPr="00E8143D">
        <w:rPr>
          <w:rFonts w:cs="Arial"/>
          <w:bCs/>
        </w:rPr>
        <w:t>ncomunicación</w:t>
      </w:r>
      <w:r w:rsidRPr="00E8143D">
        <w:rPr>
          <w:rFonts w:cs="Arial"/>
          <w:b/>
          <w:bCs/>
        </w:rPr>
        <w:t>.</w:t>
      </w:r>
      <w:r w:rsidRPr="00E8143D">
        <w:rPr>
          <w:rFonts w:cs="Arial"/>
        </w:rPr>
        <w:t> El tribunal podrá ordenar la incomunicación del imputado en resolución fundada, hasta por diez días consecutivos, cuando previamente haya dispuesto la prisión preventiva y existan motivos que se harán constar en la resolución, para estimar que se pondrá de acuerdo con sus cómplices u obstaculizará de otro modo la investigación. </w:t>
      </w:r>
      <w:r w:rsidRPr="00E8143D">
        <w:rPr>
          <w:rFonts w:cs="Arial"/>
          <w:b/>
          <w:bCs/>
          <w:u w:val="single"/>
        </w:rPr>
        <w:t>La incomunicación no impedirá que el imputado se comunique con su defensor </w:t>
      </w:r>
      <w:r w:rsidRPr="00E8143D">
        <w:rPr>
          <w:rFonts w:cs="Arial"/>
        </w:rPr>
        <w:t>inmediatamente antes de rendir su declaración o antes de realizar cualquier acto que requiera su intervención personal. El Ministerio Público y la policía judicial podrán disponer la incomunicación del aprehendido sólo por el plazo necesario para gestionar la orden judicial, el cual no podrá exceder de seis horas.</w:t>
      </w:r>
    </w:p>
    <w:p w:rsidR="00E8143D" w:rsidRPr="00E8143D" w:rsidRDefault="00E8143D" w:rsidP="00E8143D">
      <w:pPr>
        <w:spacing w:line="240" w:lineRule="auto"/>
        <w:jc w:val="both"/>
        <w:rPr>
          <w:rFonts w:cs="Arial"/>
          <w:lang w:val="es-CR"/>
        </w:rPr>
      </w:pPr>
      <w:r w:rsidRPr="00E8143D">
        <w:rPr>
          <w:rFonts w:cs="Arial"/>
          <w:lang w:val="es-CR"/>
        </w:rPr>
        <w:t>La Sala Constitucional, en sentencia número 1999-1849 del 10 de marzo de 1999</w:t>
      </w:r>
      <w:r>
        <w:rPr>
          <w:rFonts w:cs="Arial"/>
          <w:lang w:val="es-CR"/>
        </w:rPr>
        <w:t xml:space="preserve"> indicó</w:t>
      </w:r>
      <w:r w:rsidRPr="00E8143D">
        <w:rPr>
          <w:rFonts w:cs="Arial"/>
          <w:lang w:val="es-CR"/>
        </w:rPr>
        <w:t>: “</w:t>
      </w:r>
      <w:r w:rsidRPr="00E8143D">
        <w:rPr>
          <w:rFonts w:cs="Arial"/>
          <w:i/>
          <w:lang w:val="es-CR"/>
        </w:rPr>
        <w:t>La Sala advierte a la Jueza recurrida que al ordenar la incomunicación de imputados debe disponer con claridad que los defensores nombrados pueden entrevistarse con ellos y las circunstancias en que procede la comunicación – Según 261 del CPP-</w:t>
      </w:r>
      <w:r w:rsidRPr="00E8143D">
        <w:rPr>
          <w:rFonts w:cs="Arial"/>
          <w:lang w:val="es-CR"/>
        </w:rPr>
        <w:t xml:space="preserve"> “</w:t>
      </w:r>
    </w:p>
    <w:p w:rsidR="00E8143D" w:rsidRPr="00E8143D" w:rsidRDefault="00E8143D" w:rsidP="00E8143D">
      <w:pPr>
        <w:spacing w:line="240" w:lineRule="auto"/>
        <w:jc w:val="both"/>
        <w:rPr>
          <w:rFonts w:cs="Arial"/>
          <w:lang w:val="es-CR"/>
        </w:rPr>
      </w:pPr>
      <w:r>
        <w:rPr>
          <w:rFonts w:cs="Arial"/>
          <w:lang w:val="es-CR"/>
        </w:rPr>
        <w:lastRenderedPageBreak/>
        <w:t xml:space="preserve">El </w:t>
      </w:r>
      <w:r w:rsidRPr="00E8143D">
        <w:rPr>
          <w:rFonts w:cs="Arial"/>
          <w:lang w:val="es-CR"/>
        </w:rPr>
        <w:t>Consejo Superior en sesión No. 90-2003 del 27 de noviembre de 2003, artículo LXXVII dispuso las directrices para regular las visitas de abogados a los privados de libertad recluidos en celdas del OIJ (circular 04-2004): “</w:t>
      </w:r>
      <w:r w:rsidRPr="00E8143D">
        <w:rPr>
          <w:rFonts w:cs="Arial"/>
          <w:i/>
          <w:lang w:val="es-CR"/>
        </w:rPr>
        <w:t>En caso de detenidos incomunicados u otros casos especiales, la autoridad judicial competente, debe autorizar en cada caso particular: a- entrega de alimentos disímiles de los autorizados por la institución, b- medicinas, c- otros artículos de primera necesidad que se sospeche, pueden servir al imputado para eludir la incomunicación o para atentar contra su vida o ajena, d- ejercicio de otros derechos fundamentales como el de información, de recibir asistencia espiritual o la realización de actos civiles impostergables</w:t>
      </w:r>
      <w:r w:rsidRPr="00E8143D">
        <w:rPr>
          <w:rFonts w:cs="Arial"/>
          <w:lang w:val="es-CR"/>
        </w:rPr>
        <w:t>”</w:t>
      </w:r>
    </w:p>
    <w:p w:rsidR="009B46F0" w:rsidRPr="00A6130B" w:rsidRDefault="00E8143D" w:rsidP="00A6130B">
      <w:pPr>
        <w:spacing w:line="240" w:lineRule="auto"/>
        <w:jc w:val="both"/>
        <w:rPr>
          <w:rFonts w:cs="Arial"/>
          <w:lang w:val="es-CR"/>
        </w:rPr>
      </w:pPr>
      <w:r>
        <w:rPr>
          <w:rFonts w:cs="Arial"/>
          <w:lang w:val="es-CR"/>
        </w:rPr>
        <w:t xml:space="preserve">El </w:t>
      </w:r>
      <w:r w:rsidR="009B46F0" w:rsidRPr="00A6130B">
        <w:rPr>
          <w:rFonts w:cs="Arial"/>
          <w:lang w:val="es-CR"/>
        </w:rPr>
        <w:t xml:space="preserve">Estado ha hecho esfuerzos para cumplir con las recomendaciones que el Comité presentó en el último examen, y para mejorar la atención y custodia para privados de libertad en espacios penitenciarios de máxima seguridad. </w:t>
      </w:r>
    </w:p>
    <w:p w:rsidR="009B46F0" w:rsidRPr="00A6130B" w:rsidRDefault="009B46F0" w:rsidP="00A6130B">
      <w:pPr>
        <w:spacing w:line="240" w:lineRule="auto"/>
        <w:jc w:val="both"/>
        <w:rPr>
          <w:rFonts w:cs="Arial"/>
          <w:lang w:val="es-CR"/>
        </w:rPr>
      </w:pPr>
      <w:r w:rsidRPr="00A6130B">
        <w:rPr>
          <w:rFonts w:cs="Arial"/>
          <w:lang w:val="es-CR"/>
        </w:rPr>
        <w:t xml:space="preserve">Desde el año 2014, se estableció que las diferentes escuadras integradas por el personal de la Policía Penitenciaria brindará servicio por un periodo máximo de un año para luego a trasladarse a otros ámbitos del centro penal. Todos los nuevos policías que lleguen a máxima seguridad habrán sido debidamente capacitados previamente para atender las necesidades propias de máxima seguridad. Adicionalmente, la cárcel de la Reforma cuenta con un espacio adecuado para el aislamiento temporal en caso de medida cautelar. En ningún caso se impide que el privado de libertad se entreviste con sus representantes legales, reciba visitas o pueda utilizar los espacios de visita conyugal. </w:t>
      </w:r>
    </w:p>
    <w:p w:rsidR="009B46F0" w:rsidRPr="00A6130B" w:rsidRDefault="009B46F0" w:rsidP="00A6130B">
      <w:pPr>
        <w:spacing w:line="240" w:lineRule="auto"/>
        <w:jc w:val="both"/>
        <w:rPr>
          <w:rFonts w:cs="Arial"/>
          <w:lang w:val="es-CR"/>
        </w:rPr>
      </w:pPr>
      <w:r w:rsidRPr="00A6130B">
        <w:rPr>
          <w:rFonts w:cs="Arial"/>
          <w:lang w:val="es-CR"/>
        </w:rPr>
        <w:t xml:space="preserve">Por otra parte, en aras de prevenir torturas o malos tratos y eventualmente sentar responsabilidades, se implementó el uso de libros de actas para el registro de roles de servicio de la policía penitenciaria en todo el país. </w:t>
      </w:r>
    </w:p>
    <w:p w:rsidR="008F248A" w:rsidRPr="00A6130B" w:rsidRDefault="008F248A" w:rsidP="00967059">
      <w:pPr>
        <w:pStyle w:val="Heading3"/>
        <w:numPr>
          <w:ilvl w:val="0"/>
          <w:numId w:val="17"/>
        </w:numPr>
        <w:spacing w:line="240" w:lineRule="auto"/>
        <w:ind w:left="2268"/>
        <w:rPr>
          <w:rFonts w:ascii="Calibri" w:hAnsi="Calibri"/>
          <w:color w:val="1F4E79"/>
        </w:rPr>
      </w:pPr>
      <w:bookmarkStart w:id="58" w:name="_Toc446126655"/>
      <w:r w:rsidRPr="00A6130B">
        <w:rPr>
          <w:rFonts w:ascii="Calibri" w:hAnsi="Calibri"/>
          <w:color w:val="1F4E79"/>
        </w:rPr>
        <w:t>Estadísticas, inclusive de los últimos siete años, sobre la tasa de mortalidad en los centros de detención de Costa Rica.</w:t>
      </w:r>
      <w:bookmarkEnd w:id="58"/>
    </w:p>
    <w:p w:rsidR="008F248A" w:rsidRPr="00A6130B" w:rsidRDefault="008F248A" w:rsidP="00A6130B">
      <w:pPr>
        <w:spacing w:line="240" w:lineRule="auto"/>
        <w:jc w:val="both"/>
        <w:rPr>
          <w:rFonts w:cs="Arial"/>
          <w:lang w:val="es-CR"/>
        </w:rPr>
      </w:pPr>
    </w:p>
    <w:p w:rsidR="00A10D29" w:rsidRDefault="00A10D29" w:rsidP="00A10D29">
      <w:pPr>
        <w:spacing w:line="240" w:lineRule="auto"/>
        <w:jc w:val="both"/>
        <w:rPr>
          <w:lang w:val="es-CR"/>
        </w:rPr>
      </w:pPr>
      <w:r>
        <w:rPr>
          <w:rFonts w:cs="Arial"/>
        </w:rPr>
        <w:t>Véase respuestas escritas a lista de cuestiones preliminares presentada</w:t>
      </w:r>
    </w:p>
    <w:p w:rsidR="00A10D29" w:rsidRPr="00A10D29" w:rsidRDefault="009B46F0" w:rsidP="00A10D29">
      <w:pPr>
        <w:spacing w:line="240" w:lineRule="auto"/>
        <w:jc w:val="both"/>
        <w:rPr>
          <w:rFonts w:cs="Arial"/>
          <w:lang w:val="es-CR"/>
        </w:rPr>
      </w:pPr>
      <w:r w:rsidRPr="00A6130B">
        <w:rPr>
          <w:rFonts w:cs="Arial"/>
          <w:lang w:val="es-CR"/>
        </w:rPr>
        <w:t xml:space="preserve">Contamos con datos sobre la mortalidad en los centros de detención desde 2010. En esos años, la tasa de mortalidad por cada 1000 privados de libertad ha oscilado entre 3,6 y 0,9. La principal causa de muerte, por mucho, es la causa natural, seguida por causas accidentales. </w:t>
      </w:r>
      <w:r w:rsidR="003D31BA">
        <w:rPr>
          <w:rFonts w:cs="Arial"/>
          <w:lang w:val="es-CR"/>
        </w:rPr>
        <w:t xml:space="preserve"> </w:t>
      </w:r>
      <w:r w:rsidR="00A10D29" w:rsidRPr="00A10D29">
        <w:rPr>
          <w:rFonts w:cs="Arial"/>
          <w:lang w:val="es-CR"/>
        </w:rPr>
        <w:t xml:space="preserve">El Organismo de Investigación Judicial (OIJ), investiga  cada caso donde existe sospecha de homicidio o suicidio. Luego de realizar la investigación en la escena del crimen, el OIJ certifica  el fallecimiento y traslada el cuerpo a la </w:t>
      </w:r>
      <w:proofErr w:type="spellStart"/>
      <w:r w:rsidR="00A10D29" w:rsidRPr="00A10D29">
        <w:rPr>
          <w:rFonts w:cs="Arial"/>
          <w:lang w:val="es-CR"/>
        </w:rPr>
        <w:t>Medicatura</w:t>
      </w:r>
      <w:proofErr w:type="spellEnd"/>
      <w:r w:rsidR="00A10D29" w:rsidRPr="00A10D29">
        <w:rPr>
          <w:rFonts w:cs="Arial"/>
          <w:lang w:val="es-CR"/>
        </w:rPr>
        <w:t xml:space="preserve"> Forense, donde se determina la causa de la muerte y se generan los insumos que podrían llevar a una acusación en la Fiscalía. </w:t>
      </w:r>
    </w:p>
    <w:p w:rsidR="00A10D29" w:rsidRPr="00A10D29" w:rsidRDefault="00A10D29" w:rsidP="00A10D29">
      <w:pPr>
        <w:spacing w:line="240" w:lineRule="auto"/>
        <w:jc w:val="both"/>
        <w:rPr>
          <w:rFonts w:cs="Arial"/>
          <w:lang w:val="es-CR"/>
        </w:rPr>
      </w:pPr>
      <w:r w:rsidRPr="00A10D29">
        <w:rPr>
          <w:rFonts w:cs="Arial"/>
          <w:lang w:val="es-CR"/>
        </w:rPr>
        <w:t xml:space="preserve">Cuando la muerte es declarada natural o accidental, el médico tratante, de acuerdo al principio de probidad y de fe pública, declara que el privado de libertad  murió por causas determinadas, sin participación dolosa de un tercero. </w:t>
      </w:r>
    </w:p>
    <w:p w:rsidR="00A10D29" w:rsidRPr="00A10D29" w:rsidRDefault="00A10D29" w:rsidP="00A10D29">
      <w:pPr>
        <w:spacing w:line="240" w:lineRule="auto"/>
        <w:jc w:val="both"/>
        <w:rPr>
          <w:rFonts w:cs="Arial"/>
          <w:lang w:val="es-CR"/>
        </w:rPr>
      </w:pPr>
      <w:r w:rsidRPr="00A10D29">
        <w:rPr>
          <w:rFonts w:cs="Arial"/>
          <w:lang w:val="es-CR"/>
        </w:rPr>
        <w:t>El OIJ conoce el caso y  decidí si abre o no una investigación, de acuerdo a las características particulares del suceso.</w:t>
      </w:r>
    </w:p>
    <w:p w:rsidR="00A10D29" w:rsidRPr="00A10D29" w:rsidRDefault="00A10D29" w:rsidP="00A10D29">
      <w:pPr>
        <w:spacing w:line="240" w:lineRule="auto"/>
        <w:jc w:val="both"/>
        <w:rPr>
          <w:rFonts w:cs="Arial"/>
          <w:lang w:val="es-CR"/>
        </w:rPr>
      </w:pPr>
      <w:r w:rsidRPr="00A10D29">
        <w:rPr>
          <w:rFonts w:cs="Arial"/>
          <w:lang w:val="es-CR"/>
        </w:rPr>
        <w:t xml:space="preserve"> De acuerdo al Departamento de Estadística de Poder Judicial,  se entiende por accidente: la muerte que ocurre de manera espontánea, las muertes culposas que se suscitan producto de la acción no premeditada de un tercero y los decesos que se producen de forma accidental, en cuyo caso no le es </w:t>
      </w:r>
      <w:r w:rsidRPr="00A10D29">
        <w:rPr>
          <w:rFonts w:cs="Arial"/>
          <w:lang w:val="es-CR"/>
        </w:rPr>
        <w:lastRenderedPageBreak/>
        <w:t>atribuible culpa a un tercero.</w:t>
      </w:r>
      <w:r w:rsidR="003D31BA">
        <w:rPr>
          <w:rFonts w:cs="Arial"/>
          <w:lang w:val="es-CR"/>
        </w:rPr>
        <w:t xml:space="preserve"> </w:t>
      </w:r>
      <w:r w:rsidRPr="00A10D29">
        <w:rPr>
          <w:rFonts w:cs="Arial"/>
          <w:lang w:val="es-CR"/>
        </w:rPr>
        <w:t>Las muertes naturales son aquellas que se producen, con conocimiento probable del médico tratante, generalmente por enfermedad o condición crónica.</w:t>
      </w:r>
    </w:p>
    <w:p w:rsidR="00A10D29" w:rsidRPr="00A6130B" w:rsidRDefault="00A10D29" w:rsidP="00A6130B">
      <w:pPr>
        <w:spacing w:line="240" w:lineRule="auto"/>
        <w:jc w:val="both"/>
        <w:rPr>
          <w:rFonts w:cs="Arial"/>
          <w:lang w:val="es-CR"/>
        </w:rPr>
      </w:pPr>
      <w:r w:rsidRPr="00A10D29">
        <w:rPr>
          <w:rFonts w:cs="Arial"/>
          <w:lang w:val="es-CR"/>
        </w:rPr>
        <w:t xml:space="preserve">En relación a las denuncias por torturas y tratos crueles contra condenados, se informa que la cantidad ha aumentado, en razón de una  instrucción girada de trasladar toda denuncia a la Dirección Jurídica (Ministerio de Justicia y Paz), con el fin de abrir una investigación y entregar el correspondiente informe. </w:t>
      </w:r>
    </w:p>
    <w:p w:rsidR="009B7B40" w:rsidRPr="00A6130B" w:rsidRDefault="00107EDE" w:rsidP="00967059">
      <w:pPr>
        <w:pStyle w:val="Heading2"/>
        <w:numPr>
          <w:ilvl w:val="0"/>
          <w:numId w:val="10"/>
        </w:numPr>
        <w:rPr>
          <w:rFonts w:ascii="Calibri" w:hAnsi="Calibri"/>
          <w:sz w:val="24"/>
          <w:szCs w:val="24"/>
        </w:rPr>
      </w:pPr>
      <w:bookmarkStart w:id="59" w:name="_Toc446126656"/>
      <w:r w:rsidRPr="00A6130B">
        <w:rPr>
          <w:rFonts w:ascii="Calibri" w:hAnsi="Calibri"/>
          <w:sz w:val="24"/>
          <w:szCs w:val="24"/>
        </w:rPr>
        <w:t>Sírvanse proporcionar información sobre las m</w:t>
      </w:r>
      <w:r w:rsidR="009B7B40" w:rsidRPr="00A6130B">
        <w:rPr>
          <w:rFonts w:ascii="Calibri" w:hAnsi="Calibri"/>
          <w:sz w:val="24"/>
          <w:szCs w:val="24"/>
        </w:rPr>
        <w:t xml:space="preserve">edidas para prevenir, investigar y sancionar </w:t>
      </w:r>
      <w:r w:rsidRPr="00A6130B">
        <w:rPr>
          <w:rFonts w:ascii="Calibri" w:hAnsi="Calibri"/>
          <w:sz w:val="24"/>
          <w:szCs w:val="24"/>
        </w:rPr>
        <w:t xml:space="preserve">las </w:t>
      </w:r>
      <w:r w:rsidR="009B7B40" w:rsidRPr="00A6130B">
        <w:rPr>
          <w:rFonts w:ascii="Calibri" w:hAnsi="Calibri"/>
          <w:sz w:val="24"/>
          <w:szCs w:val="24"/>
        </w:rPr>
        <w:t xml:space="preserve">violaciones de derechos humanos </w:t>
      </w:r>
      <w:r w:rsidRPr="00A6130B">
        <w:rPr>
          <w:rFonts w:ascii="Calibri" w:hAnsi="Calibri"/>
          <w:sz w:val="24"/>
          <w:szCs w:val="24"/>
        </w:rPr>
        <w:t xml:space="preserve">cometidas por </w:t>
      </w:r>
      <w:r w:rsidR="009B7B40" w:rsidRPr="00A6130B">
        <w:rPr>
          <w:rFonts w:ascii="Calibri" w:hAnsi="Calibri"/>
          <w:sz w:val="24"/>
          <w:szCs w:val="24"/>
        </w:rPr>
        <w:t>agentes del orden</w:t>
      </w:r>
      <w:r w:rsidRPr="00A6130B">
        <w:rPr>
          <w:rFonts w:ascii="Calibri" w:hAnsi="Calibri"/>
          <w:sz w:val="24"/>
          <w:szCs w:val="24"/>
        </w:rPr>
        <w:t xml:space="preserve"> en centros de detención. En concreto, sírvanse proporcionar datos estadísticos desde 2010 sobre el número de denuncias de violaciones de derechos humanos recibidas en contra de miembros de la Policía, especialmente las relacionadas con tortura y malos tratos y el número de enjuiciamientos, indicando el tipo penal, y las sanciones penales y disciplinarias impuestas.</w:t>
      </w:r>
      <w:bookmarkEnd w:id="59"/>
    </w:p>
    <w:p w:rsidR="00107EDE" w:rsidRPr="00A6130B" w:rsidRDefault="00107EDE" w:rsidP="00967059">
      <w:pPr>
        <w:pStyle w:val="Heading3"/>
        <w:numPr>
          <w:ilvl w:val="0"/>
          <w:numId w:val="18"/>
        </w:numPr>
        <w:spacing w:line="240" w:lineRule="auto"/>
        <w:rPr>
          <w:rFonts w:ascii="Calibri" w:hAnsi="Calibri"/>
          <w:color w:val="1F4E79"/>
        </w:rPr>
      </w:pPr>
      <w:bookmarkStart w:id="60" w:name="_Toc446126657"/>
      <w:r w:rsidRPr="00A6130B">
        <w:rPr>
          <w:rFonts w:ascii="Calibri" w:hAnsi="Calibri"/>
          <w:color w:val="1F4E79"/>
        </w:rPr>
        <w:t>Información sobre las medidas para prevenir, investigar y sancionar las violaciones de derechos humanos cometidas por agentes del orden en centros de detención</w:t>
      </w:r>
      <w:bookmarkEnd w:id="60"/>
    </w:p>
    <w:p w:rsidR="00107EDE" w:rsidRPr="00A6130B" w:rsidRDefault="00107EDE" w:rsidP="00A6130B">
      <w:pPr>
        <w:spacing w:line="240" w:lineRule="auto"/>
        <w:jc w:val="both"/>
        <w:rPr>
          <w:rFonts w:cs="Arial"/>
        </w:rPr>
      </w:pPr>
    </w:p>
    <w:p w:rsidR="009B46F0" w:rsidRPr="00A6130B" w:rsidRDefault="00107EDE" w:rsidP="00A6130B">
      <w:pPr>
        <w:spacing w:line="240" w:lineRule="auto"/>
        <w:jc w:val="both"/>
        <w:rPr>
          <w:rFonts w:cs="Arial"/>
          <w:lang w:val="es-CR"/>
        </w:rPr>
      </w:pPr>
      <w:r w:rsidRPr="00A6130B">
        <w:rPr>
          <w:rFonts w:cs="Arial"/>
          <w:lang w:val="es-CR"/>
        </w:rPr>
        <w:t>E</w:t>
      </w:r>
      <w:r w:rsidR="009B46F0" w:rsidRPr="00A6130B">
        <w:rPr>
          <w:rFonts w:cs="Arial"/>
          <w:lang w:val="es-CR"/>
        </w:rPr>
        <w:t xml:space="preserve">n cumplimiento de una Sentencia de la Sala Constitucional de 2014, el Ministerio de Seguridad ha iniciado la instalación de cámaras de seguridad en el Complejo Penitenciario La Reforma, lo que permite realizar labores permanentes de monitoreo para velar por la integridad física de todas las personas privadas de libertad. También se han girado instrucciones para regular o eliminar el uso de armas no letales de contención de incidentes dentro de los protocolos de actuación de la policía penitenciaria. </w:t>
      </w:r>
    </w:p>
    <w:p w:rsidR="009B46F0" w:rsidRPr="00A6130B" w:rsidRDefault="009B46F0" w:rsidP="00A6130B">
      <w:pPr>
        <w:spacing w:line="240" w:lineRule="auto"/>
        <w:jc w:val="both"/>
        <w:rPr>
          <w:rFonts w:cs="Arial"/>
          <w:lang w:val="es-CR"/>
        </w:rPr>
      </w:pPr>
      <w:r w:rsidRPr="00A6130B">
        <w:rPr>
          <w:rFonts w:cs="Arial"/>
          <w:lang w:val="es-CR"/>
        </w:rPr>
        <w:t>Otras medidas para prevenir, investigar y sancionar las violaciones de derechos humanos cometidos por agentes del orden en centros de detención incluyen:</w:t>
      </w:r>
    </w:p>
    <w:p w:rsidR="009B46F0" w:rsidRPr="00A6130B" w:rsidRDefault="009B46F0" w:rsidP="00A6130B">
      <w:pPr>
        <w:spacing w:line="240" w:lineRule="auto"/>
        <w:jc w:val="both"/>
        <w:rPr>
          <w:rFonts w:cs="Arial"/>
          <w:lang w:val="es-CR"/>
        </w:rPr>
      </w:pPr>
      <w:r w:rsidRPr="00A6130B">
        <w:rPr>
          <w:rFonts w:cs="Arial"/>
          <w:lang w:val="es-CR"/>
        </w:rPr>
        <w:t xml:space="preserve">- Protocolo de seguridad para la utilización de agentes químicos como gases lacrimógenos o irritantes. </w:t>
      </w:r>
    </w:p>
    <w:p w:rsidR="009B46F0" w:rsidRPr="00A6130B" w:rsidRDefault="009B46F0" w:rsidP="00A6130B">
      <w:pPr>
        <w:spacing w:line="240" w:lineRule="auto"/>
        <w:jc w:val="both"/>
        <w:rPr>
          <w:rFonts w:cs="Arial"/>
          <w:lang w:val="es-CR"/>
        </w:rPr>
      </w:pPr>
      <w:r w:rsidRPr="00A6130B">
        <w:rPr>
          <w:rFonts w:cs="Arial"/>
          <w:lang w:val="es-CR"/>
        </w:rPr>
        <w:t>- Se trabaja en el diseño y propuesta de un nuevo plan académico a nivel de capacitación para la profesionalización de la Policía Penitenciaria.</w:t>
      </w:r>
    </w:p>
    <w:p w:rsidR="009B46F0" w:rsidRPr="00A6130B" w:rsidRDefault="009B46F0" w:rsidP="00A6130B">
      <w:pPr>
        <w:spacing w:line="240" w:lineRule="auto"/>
        <w:jc w:val="both"/>
        <w:rPr>
          <w:rFonts w:cs="Arial"/>
          <w:lang w:val="es-CR"/>
        </w:rPr>
      </w:pPr>
      <w:r w:rsidRPr="00A6130B">
        <w:rPr>
          <w:rFonts w:cs="Arial"/>
          <w:lang w:val="es-CR"/>
        </w:rPr>
        <w:t xml:space="preserve">- Modificación al “Protocolo de Uso sobre los Escudos Eléctricos”, que prohíbe el uso de dichos artefactos en los casos de intervenciones individuales de privados de libertad. </w:t>
      </w:r>
    </w:p>
    <w:p w:rsidR="00107EDE" w:rsidRPr="00A6130B" w:rsidRDefault="00107EDE" w:rsidP="00967059">
      <w:pPr>
        <w:pStyle w:val="Heading3"/>
        <w:numPr>
          <w:ilvl w:val="0"/>
          <w:numId w:val="18"/>
        </w:numPr>
        <w:spacing w:line="240" w:lineRule="auto"/>
        <w:rPr>
          <w:rFonts w:ascii="Calibri" w:hAnsi="Calibri"/>
          <w:color w:val="1F4E79"/>
        </w:rPr>
      </w:pPr>
      <w:bookmarkStart w:id="61" w:name="_Toc446126658"/>
      <w:r w:rsidRPr="00A6130B">
        <w:rPr>
          <w:rFonts w:ascii="Calibri" w:hAnsi="Calibri"/>
          <w:color w:val="1F4E79"/>
        </w:rPr>
        <w:t>Datos estadísticos desde 2010 sobre el número de denuncias de violaciones de derechos humanos recibidas en contra de miembros de la Policía, especialmente las relacionadas con tortura y malos tratos y el número de enjuiciamientos, indicando el tipo penal, y las sanciones penales y disciplinarias impuestas</w:t>
      </w:r>
      <w:bookmarkEnd w:id="61"/>
    </w:p>
    <w:p w:rsidR="00107EDE" w:rsidRPr="00A6130B" w:rsidRDefault="00107EDE" w:rsidP="00A6130B">
      <w:pPr>
        <w:spacing w:line="240" w:lineRule="auto"/>
        <w:jc w:val="both"/>
        <w:rPr>
          <w:rFonts w:cs="Arial"/>
        </w:rPr>
      </w:pPr>
    </w:p>
    <w:p w:rsidR="009B46F0" w:rsidRPr="00A6130B" w:rsidRDefault="00F83159" w:rsidP="00A6130B">
      <w:pPr>
        <w:spacing w:line="240" w:lineRule="auto"/>
        <w:jc w:val="both"/>
        <w:rPr>
          <w:rFonts w:cs="Arial"/>
          <w:lang w:val="es-CR"/>
        </w:rPr>
      </w:pPr>
      <w:r w:rsidRPr="00A6130B">
        <w:rPr>
          <w:rFonts w:cs="Arial"/>
          <w:lang w:val="es-CR"/>
        </w:rPr>
        <w:t xml:space="preserve">Sobre el número de denuncias de violaciones de derechos humanos recibidas en contra de miembros de la policía, con base en los controles de ingreso de causas de investigación o procedimiento administrativo que lleva la Dirección Jurídica del Ministerio de Justicia, entre los años 2010 </w:t>
      </w:r>
      <w:r w:rsidR="00107EDE" w:rsidRPr="00A6130B">
        <w:rPr>
          <w:rFonts w:cs="Arial"/>
          <w:lang w:val="es-CR"/>
        </w:rPr>
        <w:t>y</w:t>
      </w:r>
      <w:r w:rsidRPr="00A6130B">
        <w:rPr>
          <w:rFonts w:cs="Arial"/>
          <w:lang w:val="es-CR"/>
        </w:rPr>
        <w:t xml:space="preserve"> 2015 se tramitaron aproximadamente 102 denuncias por presunto abuso de poder o agresión en contra de la población privada de libertad por parte de personal penitenciario. Existe una instrucción de la comisión de personal </w:t>
      </w:r>
      <w:r w:rsidRPr="00A6130B">
        <w:rPr>
          <w:rFonts w:cs="Arial"/>
          <w:lang w:val="es-CR"/>
        </w:rPr>
        <w:lastRenderedPageBreak/>
        <w:t>de seguridad del Ministerio de Justicia, de elevar a la Dirección Jurídica cualquier queja por maltrato o abuso de poder por parte de los funcionarios policiales, Según sus registros, ninguno de estos procesos ha generado una acusación penal por violación de derechos humanos o tortura.</w:t>
      </w:r>
    </w:p>
    <w:p w:rsidR="00704A87" w:rsidRPr="00A6130B" w:rsidRDefault="00704A87" w:rsidP="00A6130B">
      <w:pPr>
        <w:spacing w:line="240" w:lineRule="auto"/>
        <w:rPr>
          <w:rFonts w:cs="Arial"/>
        </w:rPr>
      </w:pPr>
    </w:p>
    <w:p w:rsidR="00265F10" w:rsidRPr="008645E0" w:rsidRDefault="003A745F" w:rsidP="008820F2">
      <w:pPr>
        <w:pStyle w:val="Heading1"/>
        <w:ind w:left="142"/>
        <w:rPr>
          <w:rFonts w:ascii="Arial" w:hAnsi="Arial" w:cs="Arial"/>
          <w:b/>
          <w:sz w:val="36"/>
          <w:szCs w:val="36"/>
        </w:rPr>
      </w:pPr>
      <w:bookmarkStart w:id="62" w:name="_Toc446126659"/>
      <w:r w:rsidRPr="008645E0">
        <w:rPr>
          <w:rFonts w:ascii="Arial" w:hAnsi="Arial" w:cs="Arial"/>
          <w:b/>
          <w:sz w:val="36"/>
          <w:szCs w:val="36"/>
        </w:rPr>
        <w:t>Derecho a la libertad y seguridad personal, derechos de las personas privadas de libertad y juicio justo y garantías procesales (arts. 9, 10 y 14)</w:t>
      </w:r>
      <w:bookmarkEnd w:id="62"/>
    </w:p>
    <w:p w:rsidR="009B7B40" w:rsidRPr="00A6130B" w:rsidRDefault="009B7B40" w:rsidP="00A6130B">
      <w:pPr>
        <w:spacing w:line="240" w:lineRule="auto"/>
        <w:jc w:val="both"/>
        <w:rPr>
          <w:rFonts w:cs="Arial"/>
          <w:lang w:val="es-CR"/>
        </w:rPr>
      </w:pPr>
    </w:p>
    <w:p w:rsidR="00A01369" w:rsidRPr="00A6130B" w:rsidRDefault="00A01369" w:rsidP="00967059">
      <w:pPr>
        <w:pStyle w:val="Heading2"/>
        <w:numPr>
          <w:ilvl w:val="0"/>
          <w:numId w:val="10"/>
        </w:numPr>
        <w:rPr>
          <w:rFonts w:ascii="Calibri" w:hAnsi="Calibri"/>
          <w:sz w:val="24"/>
          <w:szCs w:val="24"/>
        </w:rPr>
      </w:pPr>
      <w:bookmarkStart w:id="63" w:name="_Toc446126660"/>
      <w:r w:rsidRPr="00A6130B">
        <w:rPr>
          <w:rFonts w:ascii="Calibri" w:hAnsi="Calibri"/>
          <w:sz w:val="24"/>
          <w:szCs w:val="24"/>
        </w:rPr>
        <w:t xml:space="preserve">Con referencia a la información proporcionada por el Estado parte en su informe (CCPR/C/CRI/6, </w:t>
      </w:r>
      <w:proofErr w:type="spellStart"/>
      <w:r w:rsidRPr="00A6130B">
        <w:rPr>
          <w:rFonts w:ascii="Calibri" w:hAnsi="Calibri"/>
          <w:sz w:val="24"/>
          <w:szCs w:val="24"/>
        </w:rPr>
        <w:t>párrs</w:t>
      </w:r>
      <w:proofErr w:type="spellEnd"/>
      <w:r w:rsidRPr="00A6130B">
        <w:rPr>
          <w:rFonts w:ascii="Calibri" w:hAnsi="Calibri"/>
          <w:sz w:val="24"/>
          <w:szCs w:val="24"/>
        </w:rPr>
        <w:t>. 10 a 36) y a la luz de las anteriores recomendaciones  del Comité (CCPR/C/CRI/CO/5, párr. 9)</w:t>
      </w:r>
      <w:r w:rsidR="00CE5CFC" w:rsidRPr="00A6130B">
        <w:rPr>
          <w:rFonts w:ascii="Calibri" w:hAnsi="Calibri"/>
          <w:sz w:val="24"/>
          <w:szCs w:val="24"/>
        </w:rPr>
        <w:t xml:space="preserve"> sírvanse proporcionar:</w:t>
      </w:r>
      <w:bookmarkEnd w:id="63"/>
    </w:p>
    <w:p w:rsidR="00A01369" w:rsidRPr="00A6130B" w:rsidRDefault="00A01369" w:rsidP="00A6130B">
      <w:pPr>
        <w:pStyle w:val="Heading2"/>
        <w:rPr>
          <w:rFonts w:ascii="Calibri" w:hAnsi="Calibri" w:cs="Arial"/>
          <w:sz w:val="28"/>
          <w:szCs w:val="28"/>
        </w:rPr>
      </w:pPr>
    </w:p>
    <w:p w:rsidR="003D31BA" w:rsidRDefault="00CE5CFC" w:rsidP="003D31BA">
      <w:pPr>
        <w:pStyle w:val="Heading3"/>
        <w:numPr>
          <w:ilvl w:val="0"/>
          <w:numId w:val="19"/>
        </w:numPr>
        <w:spacing w:line="240" w:lineRule="auto"/>
        <w:rPr>
          <w:rFonts w:ascii="Calibri" w:hAnsi="Calibri"/>
          <w:color w:val="1F4E79"/>
        </w:rPr>
      </w:pPr>
      <w:bookmarkStart w:id="64" w:name="_Toc446126661"/>
      <w:r w:rsidRPr="00A6130B">
        <w:rPr>
          <w:rFonts w:ascii="Calibri" w:hAnsi="Calibri"/>
          <w:color w:val="1F4E79"/>
        </w:rPr>
        <w:t>Información actualizada sobre el n</w:t>
      </w:r>
      <w:r w:rsidR="00686452" w:rsidRPr="00A6130B">
        <w:rPr>
          <w:rFonts w:ascii="Calibri" w:hAnsi="Calibri"/>
          <w:color w:val="1F4E79"/>
        </w:rPr>
        <w:t xml:space="preserve">úmero de personas </w:t>
      </w:r>
      <w:r w:rsidRPr="00A6130B">
        <w:rPr>
          <w:rFonts w:ascii="Calibri" w:hAnsi="Calibri"/>
          <w:color w:val="1F4E79"/>
        </w:rPr>
        <w:t xml:space="preserve">que se encuentran </w:t>
      </w:r>
      <w:r w:rsidR="00686452" w:rsidRPr="00A6130B">
        <w:rPr>
          <w:rFonts w:ascii="Calibri" w:hAnsi="Calibri"/>
          <w:color w:val="1F4E79"/>
        </w:rPr>
        <w:t>en prisión preventiva</w:t>
      </w:r>
      <w:r w:rsidRPr="00A6130B">
        <w:rPr>
          <w:rFonts w:ascii="Calibri" w:hAnsi="Calibri"/>
          <w:color w:val="1F4E79"/>
        </w:rPr>
        <w:t xml:space="preserve"> y sobre la ampliación de los supuestos de aplicación de la prisión preventiva en la Ley de Protección a Víctimas, Testigos y Demás Sujetos Intervinientes en el Proceso Penal y la adición del artículo 239 bis del Código Procesal.</w:t>
      </w:r>
      <w:bookmarkEnd w:id="64"/>
    </w:p>
    <w:p w:rsidR="003D31BA" w:rsidRPr="003D31BA" w:rsidRDefault="003D31BA" w:rsidP="003D31BA"/>
    <w:p w:rsidR="003D31BA" w:rsidRPr="003D31BA" w:rsidRDefault="003D31BA" w:rsidP="003D31BA">
      <w:pPr>
        <w:spacing w:line="240" w:lineRule="auto"/>
        <w:jc w:val="both"/>
        <w:rPr>
          <w:lang w:val="es-CR"/>
        </w:rPr>
      </w:pPr>
      <w:r w:rsidRPr="003D31BA">
        <w:rPr>
          <w:rFonts w:cs="Arial"/>
        </w:rPr>
        <w:t xml:space="preserve"> </w:t>
      </w:r>
      <w:r>
        <w:rPr>
          <w:rFonts w:cs="Arial"/>
        </w:rPr>
        <w:t>Véase respuestas escritas a lista de cuestiones preliminares presentada</w:t>
      </w:r>
    </w:p>
    <w:p w:rsidR="005F169F" w:rsidRPr="00A6130B" w:rsidRDefault="005F169F" w:rsidP="00A6130B">
      <w:pPr>
        <w:spacing w:after="100" w:afterAutospacing="1" w:line="240" w:lineRule="auto"/>
        <w:jc w:val="both"/>
        <w:rPr>
          <w:rFonts w:cs="Arial"/>
          <w:noProof/>
          <w:lang w:val="es-CR"/>
        </w:rPr>
      </w:pPr>
      <w:r w:rsidRPr="005F169F">
        <w:rPr>
          <w:rFonts w:cs="Arial"/>
          <w:noProof/>
          <w:lang w:val="es-CR"/>
        </w:rPr>
        <w:t>La cantidad de población sin sentencia, cumpliendo prisión preventiva, dentro del sistema penitenciario, es de 2</w:t>
      </w:r>
      <w:r w:rsidR="00BC39D7">
        <w:rPr>
          <w:rFonts w:cs="Arial"/>
          <w:noProof/>
          <w:lang w:val="es-CR"/>
        </w:rPr>
        <w:t>,</w:t>
      </w:r>
      <w:r w:rsidRPr="005F169F">
        <w:rPr>
          <w:rFonts w:cs="Arial"/>
          <w:noProof/>
          <w:lang w:val="es-CR"/>
        </w:rPr>
        <w:t>534 personas (datos al 3 de febrero de 2016), lo que representa el 19,80% del total de población que se encuentra en reclusión en centros penitenciarios a cargo del Ministerio de Justicia y Paz. El 80,20% de la población privada de libertad, que cumple sentencia en el nivel institucional, tiene por lo menos una sentencia en firme.</w:t>
      </w:r>
    </w:p>
    <w:p w:rsidR="00530566" w:rsidRPr="00A6130B" w:rsidRDefault="00530566" w:rsidP="00A6130B">
      <w:pPr>
        <w:spacing w:after="100" w:afterAutospacing="1" w:line="240" w:lineRule="auto"/>
        <w:jc w:val="both"/>
        <w:rPr>
          <w:rFonts w:cs="Arial"/>
          <w:lang w:val="es-CR"/>
        </w:rPr>
      </w:pPr>
      <w:r w:rsidRPr="00A6130B">
        <w:rPr>
          <w:rFonts w:cs="Arial"/>
          <w:lang w:val="es-CR"/>
        </w:rPr>
        <w:t xml:space="preserve">Con relación a la prisión preventiva el </w:t>
      </w:r>
      <w:r w:rsidRPr="00A6130B">
        <w:rPr>
          <w:rFonts w:cs="Arial"/>
          <w:b/>
          <w:lang w:val="es-CR"/>
        </w:rPr>
        <w:t>Art. 238 de la Ley 8720</w:t>
      </w:r>
      <w:r w:rsidRPr="00A6130B">
        <w:rPr>
          <w:rFonts w:cs="Arial"/>
          <w:lang w:val="es-CR"/>
        </w:rPr>
        <w:t xml:space="preserve"> de protección a Víctimas, Testigos y demás sujetos intervinientes en el Proceso Penal establece un mecanismo general amplio para la solicitud y otorgamiento de la prisión preventiva.  En el mismo acto legislativo se añadió el</w:t>
      </w:r>
      <w:r w:rsidRPr="00A6130B">
        <w:rPr>
          <w:rFonts w:cs="Arial"/>
          <w:b/>
          <w:lang w:val="es-CR"/>
        </w:rPr>
        <w:t xml:space="preserve"> Artículo239 bis</w:t>
      </w:r>
      <w:r w:rsidRPr="00A6130B">
        <w:rPr>
          <w:rFonts w:cs="Arial"/>
          <w:lang w:val="es-CR"/>
        </w:rPr>
        <w:t xml:space="preserve"> al Código Procesal Penal que amplia los criterios para dictar prisión preventiva de conformidad con </w:t>
      </w:r>
      <w:r w:rsidRPr="00A6130B">
        <w:rPr>
          <w:rFonts w:cs="Arial"/>
          <w:b/>
          <w:lang w:val="es-CR"/>
        </w:rPr>
        <w:t>el Art. 37 de la Constitución Política</w:t>
      </w:r>
      <w:r w:rsidRPr="00A6130B">
        <w:rPr>
          <w:rFonts w:cs="Arial"/>
          <w:lang w:val="es-CR"/>
        </w:rPr>
        <w:t xml:space="preserve"> (“Nadie podrá ser detenido sin un indicio comprobado de haber cometido delito, y sin mandato escrito de juez o autoridad encargada del orden público…”) estableciendo supuestos prescriptivos:</w:t>
      </w:r>
    </w:p>
    <w:p w:rsidR="00530566" w:rsidRPr="00A6130B" w:rsidRDefault="00530566" w:rsidP="00A6130B">
      <w:pPr>
        <w:spacing w:after="100" w:afterAutospacing="1" w:line="240" w:lineRule="auto"/>
        <w:jc w:val="both"/>
        <w:rPr>
          <w:rFonts w:cs="Arial"/>
          <w:lang w:val="es-CR"/>
        </w:rPr>
      </w:pPr>
      <w:r w:rsidRPr="00A6130B">
        <w:rPr>
          <w:rFonts w:cs="Arial"/>
          <w:b/>
          <w:lang w:val="es-CR"/>
        </w:rPr>
        <w:t>“a)</w:t>
      </w:r>
      <w:r w:rsidRPr="00A6130B">
        <w:rPr>
          <w:rFonts w:cs="Arial"/>
          <w:lang w:val="es-CR"/>
        </w:rPr>
        <w:t xml:space="preserve"> Cuando haya flagrancia en delitos contra la vida, delitos sexuales y delitos contra la propiedad en los que medie violencia contra las personas o fuerza sobre las cosas, y en delitos relacionados con estupefacientes, sustancias psicotrópicas, drogas de uso no autorizado, legitimación de capitales y actividades conexas. </w:t>
      </w:r>
    </w:p>
    <w:p w:rsidR="00530566" w:rsidRPr="00A6130B" w:rsidRDefault="00530566" w:rsidP="00A6130B">
      <w:pPr>
        <w:spacing w:after="100" w:afterAutospacing="1" w:line="240" w:lineRule="auto"/>
        <w:jc w:val="both"/>
        <w:rPr>
          <w:rFonts w:cs="Arial"/>
          <w:lang w:val="es-CR"/>
        </w:rPr>
      </w:pPr>
      <w:r w:rsidRPr="00A6130B">
        <w:rPr>
          <w:rFonts w:cs="Arial"/>
          <w:b/>
          <w:lang w:val="es-CR"/>
        </w:rPr>
        <w:lastRenderedPageBreak/>
        <w:t>b)</w:t>
      </w:r>
      <w:r w:rsidRPr="00A6130B">
        <w:rPr>
          <w:rFonts w:cs="Arial"/>
          <w:lang w:val="es-CR"/>
        </w:rPr>
        <w:t xml:space="preserve"> El hecho punible sea realizado presumiblemente por quien haya sido sometido al menos en dos ocasiones, a procesos penales en los que medie violencia contra las personas o fuerza sobre las cosas, en los cuales se hayan formulado acusación y solicitud de apertura a juicio por parte del Ministerio Público, aunque estos no se encuentren concluidos. </w:t>
      </w:r>
    </w:p>
    <w:p w:rsidR="00530566" w:rsidRPr="00A6130B" w:rsidRDefault="00530566" w:rsidP="00A6130B">
      <w:pPr>
        <w:spacing w:after="100" w:afterAutospacing="1" w:line="240" w:lineRule="auto"/>
        <w:jc w:val="both"/>
        <w:rPr>
          <w:rFonts w:cs="Arial"/>
          <w:lang w:val="es-CR"/>
        </w:rPr>
      </w:pPr>
      <w:r w:rsidRPr="00A6130B">
        <w:rPr>
          <w:rFonts w:cs="Arial"/>
          <w:b/>
          <w:lang w:val="es-CR"/>
        </w:rPr>
        <w:t>c)</w:t>
      </w:r>
      <w:r w:rsidRPr="00A6130B">
        <w:rPr>
          <w:rFonts w:cs="Arial"/>
          <w:lang w:val="es-CR"/>
        </w:rPr>
        <w:t xml:space="preserve"> Cuando se trate de personas reincidentes en la comisión de hechos delictivos en los que medie violencia contra las personas o fuerza sobre las cosas. </w:t>
      </w:r>
    </w:p>
    <w:p w:rsidR="00530566" w:rsidRPr="00A6130B" w:rsidRDefault="00530566" w:rsidP="00A6130B">
      <w:pPr>
        <w:spacing w:after="100" w:afterAutospacing="1" w:line="240" w:lineRule="auto"/>
        <w:jc w:val="both"/>
        <w:rPr>
          <w:rFonts w:cs="Arial"/>
          <w:b/>
          <w:lang w:val="es-CR"/>
        </w:rPr>
      </w:pPr>
      <w:r w:rsidRPr="00A6130B">
        <w:rPr>
          <w:rFonts w:cs="Arial"/>
          <w:b/>
          <w:lang w:val="es-CR"/>
        </w:rPr>
        <w:t>d)</w:t>
      </w:r>
      <w:r w:rsidRPr="00A6130B">
        <w:rPr>
          <w:rFonts w:cs="Arial"/>
          <w:lang w:val="es-CR"/>
        </w:rPr>
        <w:t xml:space="preserve"> Se trate de delincuencia organizada.</w:t>
      </w:r>
      <w:r w:rsidRPr="00A6130B">
        <w:rPr>
          <w:rFonts w:cs="Arial"/>
          <w:b/>
          <w:lang w:val="es-CR"/>
        </w:rPr>
        <w:t>”</w:t>
      </w:r>
    </w:p>
    <w:p w:rsidR="00594D4E" w:rsidRPr="005F169F" w:rsidRDefault="00594D4E" w:rsidP="00A6130B">
      <w:pPr>
        <w:spacing w:after="0" w:line="240" w:lineRule="auto"/>
        <w:jc w:val="both"/>
        <w:rPr>
          <w:rFonts w:eastAsia="Times New Roman" w:cs="Arial"/>
          <w:color w:val="222222"/>
          <w:sz w:val="24"/>
          <w:szCs w:val="24"/>
          <w:lang w:val="es-CR" w:eastAsia="es-CR"/>
        </w:rPr>
      </w:pPr>
    </w:p>
    <w:p w:rsidR="00B44505" w:rsidRPr="00A6130B" w:rsidRDefault="007C1198" w:rsidP="00967059">
      <w:pPr>
        <w:pStyle w:val="Heading3"/>
        <w:numPr>
          <w:ilvl w:val="0"/>
          <w:numId w:val="19"/>
        </w:numPr>
        <w:spacing w:line="240" w:lineRule="auto"/>
        <w:rPr>
          <w:rFonts w:ascii="Calibri" w:hAnsi="Calibri"/>
          <w:color w:val="1F4E79"/>
        </w:rPr>
      </w:pPr>
      <w:bookmarkStart w:id="65" w:name="_Toc446126662"/>
      <w:r w:rsidRPr="00A6130B">
        <w:rPr>
          <w:rFonts w:ascii="Calibri" w:hAnsi="Calibri"/>
          <w:color w:val="1F4E79"/>
        </w:rPr>
        <w:t>Información actualizada sobre el n</w:t>
      </w:r>
      <w:r w:rsidR="00B44505" w:rsidRPr="00A6130B">
        <w:rPr>
          <w:rFonts w:ascii="Calibri" w:hAnsi="Calibri"/>
          <w:color w:val="1F4E79"/>
        </w:rPr>
        <w:t>úmero de reclusos</w:t>
      </w:r>
      <w:r w:rsidR="006A5FEB" w:rsidRPr="00A6130B">
        <w:rPr>
          <w:rFonts w:ascii="Calibri" w:hAnsi="Calibri"/>
          <w:color w:val="1F4E79"/>
        </w:rPr>
        <w:t xml:space="preserve"> que cumplen condena</w:t>
      </w:r>
      <w:r w:rsidRPr="00A6130B">
        <w:rPr>
          <w:rFonts w:ascii="Calibri" w:hAnsi="Calibri"/>
          <w:color w:val="1F4E79"/>
        </w:rPr>
        <w:t xml:space="preserve">, así como el </w:t>
      </w:r>
      <w:r w:rsidR="00B44505" w:rsidRPr="00A6130B">
        <w:rPr>
          <w:rFonts w:ascii="Calibri" w:hAnsi="Calibri"/>
          <w:color w:val="1F4E79"/>
        </w:rPr>
        <w:t>índice de ocupación</w:t>
      </w:r>
      <w:r w:rsidRPr="00A6130B">
        <w:rPr>
          <w:rFonts w:ascii="Calibri" w:hAnsi="Calibri"/>
          <w:color w:val="1F4E79"/>
        </w:rPr>
        <w:t xml:space="preserve"> de todos los centros de detención.</w:t>
      </w:r>
      <w:bookmarkEnd w:id="65"/>
      <w:r w:rsidRPr="00A6130B">
        <w:rPr>
          <w:rFonts w:ascii="Calibri" w:hAnsi="Calibri"/>
          <w:color w:val="1F4E79"/>
        </w:rPr>
        <w:t xml:space="preserve"> </w:t>
      </w:r>
    </w:p>
    <w:p w:rsidR="007C1198" w:rsidRPr="001A5294" w:rsidRDefault="007C1198" w:rsidP="00A6130B">
      <w:pPr>
        <w:tabs>
          <w:tab w:val="left" w:pos="3840"/>
        </w:tabs>
        <w:spacing w:after="100" w:afterAutospacing="1" w:line="240" w:lineRule="auto"/>
        <w:rPr>
          <w:rFonts w:cs="Arial"/>
          <w:noProof/>
          <w:lang w:val="es-CR"/>
        </w:rPr>
      </w:pPr>
    </w:p>
    <w:p w:rsidR="001A5294" w:rsidRPr="001A5294" w:rsidRDefault="001A5294" w:rsidP="001A5294">
      <w:pPr>
        <w:spacing w:line="240" w:lineRule="auto"/>
        <w:jc w:val="both"/>
        <w:rPr>
          <w:lang w:val="es-CR"/>
        </w:rPr>
      </w:pPr>
      <w:r>
        <w:rPr>
          <w:rFonts w:cs="Arial"/>
        </w:rPr>
        <w:t>Véase respuestas escritas a lista de cuestiones preliminares presentada</w:t>
      </w:r>
    </w:p>
    <w:p w:rsidR="00530566" w:rsidRPr="00A6130B" w:rsidRDefault="00530566" w:rsidP="00A6130B">
      <w:pPr>
        <w:tabs>
          <w:tab w:val="left" w:pos="3840"/>
        </w:tabs>
        <w:spacing w:after="100" w:afterAutospacing="1" w:line="240" w:lineRule="auto"/>
        <w:rPr>
          <w:rFonts w:cs="Arial"/>
          <w:b/>
          <w:noProof/>
          <w:lang w:val="es-CR"/>
        </w:rPr>
      </w:pPr>
      <w:r w:rsidRPr="00A6130B">
        <w:rPr>
          <w:rFonts w:cs="Arial"/>
          <w:noProof/>
          <w:lang w:val="es-CR"/>
        </w:rPr>
        <w:t xml:space="preserve">La población privada libertad alcanza </w:t>
      </w:r>
      <w:r w:rsidRPr="00A6130B">
        <w:rPr>
          <w:rFonts w:cs="Arial"/>
          <w:b/>
          <w:noProof/>
          <w:lang w:val="es-CR"/>
        </w:rPr>
        <w:t>13.277</w:t>
      </w:r>
      <w:r w:rsidRPr="00A6130B">
        <w:rPr>
          <w:rFonts w:cs="Arial"/>
          <w:noProof/>
          <w:lang w:val="es-CR"/>
        </w:rPr>
        <w:t xml:space="preserve"> personas. Los centros de reclusión a escala nacional presentan una sobreblación </w:t>
      </w:r>
      <w:r w:rsidRPr="00A6130B">
        <w:rPr>
          <w:rFonts w:cs="Arial"/>
          <w:noProof/>
          <w:lang w:val="es-CR" w:eastAsia="es-CR"/>
        </w:rPr>
        <w:t xml:space="preserve">promedio de </w:t>
      </w:r>
      <w:r w:rsidRPr="00A6130B">
        <w:rPr>
          <w:rFonts w:cs="Arial"/>
          <w:b/>
          <w:noProof/>
          <w:lang w:val="es-CR" w:eastAsia="es-CR"/>
        </w:rPr>
        <w:t>45%</w:t>
      </w:r>
      <w:r w:rsidRPr="00A6130B">
        <w:rPr>
          <w:rFonts w:cs="Arial"/>
          <w:noProof/>
          <w:lang w:val="es-CR" w:eastAsia="es-CR"/>
        </w:rPr>
        <w:t xml:space="preserve"> en términos globales, con un rango que va de </w:t>
      </w:r>
      <w:r w:rsidRPr="00A6130B">
        <w:rPr>
          <w:rFonts w:cs="Arial"/>
          <w:b/>
          <w:noProof/>
          <w:lang w:val="es-CR" w:eastAsia="es-CR"/>
        </w:rPr>
        <w:t>-10</w:t>
      </w:r>
      <w:r w:rsidRPr="00A6130B">
        <w:rPr>
          <w:rFonts w:cs="Arial"/>
          <w:noProof/>
          <w:lang w:val="es-CR" w:eastAsia="es-CR"/>
        </w:rPr>
        <w:t xml:space="preserve"> </w:t>
      </w:r>
      <w:r w:rsidR="007C1198" w:rsidRPr="00A6130B">
        <w:rPr>
          <w:rFonts w:cs="Arial"/>
          <w:noProof/>
          <w:lang w:val="es-CR" w:eastAsia="es-CR"/>
        </w:rPr>
        <w:t xml:space="preserve">% </w:t>
      </w:r>
      <w:r w:rsidRPr="00A6130B">
        <w:rPr>
          <w:rFonts w:cs="Arial"/>
          <w:noProof/>
          <w:lang w:val="es-CR" w:eastAsia="es-CR"/>
        </w:rPr>
        <w:t xml:space="preserve">(El Buen Pastor, centro de detención de mujeres) a </w:t>
      </w:r>
      <w:r w:rsidRPr="00A6130B">
        <w:rPr>
          <w:rFonts w:cs="Arial"/>
          <w:b/>
          <w:noProof/>
          <w:lang w:val="es-CR" w:eastAsia="es-CR"/>
        </w:rPr>
        <w:t>175</w:t>
      </w:r>
      <w:r w:rsidRPr="00A6130B">
        <w:rPr>
          <w:rFonts w:cs="Arial"/>
          <w:noProof/>
          <w:lang w:val="es-CR" w:eastAsia="es-CR"/>
        </w:rPr>
        <w:t xml:space="preserve"> </w:t>
      </w:r>
      <w:r w:rsidR="007C1198" w:rsidRPr="00A6130B">
        <w:rPr>
          <w:rFonts w:cs="Arial"/>
          <w:noProof/>
          <w:lang w:val="es-CR" w:eastAsia="es-CR"/>
        </w:rPr>
        <w:t xml:space="preserve">% </w:t>
      </w:r>
      <w:r w:rsidRPr="00A6130B">
        <w:rPr>
          <w:rFonts w:cs="Arial"/>
          <w:noProof/>
          <w:lang w:val="es-CR" w:eastAsia="es-CR"/>
        </w:rPr>
        <w:t>(Centro Penal Gerardo Rodríguez).</w:t>
      </w:r>
    </w:p>
    <w:p w:rsidR="000A4581" w:rsidRPr="00A6130B" w:rsidRDefault="006A5FEB" w:rsidP="00967059">
      <w:pPr>
        <w:pStyle w:val="Heading3"/>
        <w:numPr>
          <w:ilvl w:val="0"/>
          <w:numId w:val="19"/>
        </w:numPr>
        <w:spacing w:line="240" w:lineRule="auto"/>
        <w:rPr>
          <w:rFonts w:ascii="Calibri" w:hAnsi="Calibri"/>
          <w:color w:val="1F4E79"/>
        </w:rPr>
      </w:pPr>
      <w:bookmarkStart w:id="66" w:name="_Toc446126663"/>
      <w:r w:rsidRPr="00A6130B">
        <w:rPr>
          <w:rFonts w:ascii="Calibri" w:hAnsi="Calibri"/>
          <w:color w:val="1F4E79"/>
        </w:rPr>
        <w:t xml:space="preserve">Información sobre </w:t>
      </w:r>
      <w:r w:rsidR="00F976B6" w:rsidRPr="00A6130B">
        <w:rPr>
          <w:rFonts w:ascii="Calibri" w:hAnsi="Calibri"/>
          <w:color w:val="1F4E79"/>
        </w:rPr>
        <w:t xml:space="preserve">los </w:t>
      </w:r>
      <w:r w:rsidRPr="00A6130B">
        <w:rPr>
          <w:rFonts w:ascii="Calibri" w:hAnsi="Calibri"/>
          <w:color w:val="1F4E79"/>
        </w:rPr>
        <w:t xml:space="preserve">protocolos </w:t>
      </w:r>
      <w:r w:rsidR="00F976B6" w:rsidRPr="00A6130B">
        <w:rPr>
          <w:rFonts w:ascii="Calibri" w:hAnsi="Calibri"/>
          <w:color w:val="1F4E79"/>
        </w:rPr>
        <w:t xml:space="preserve">existentes </w:t>
      </w:r>
      <w:r w:rsidRPr="00A6130B">
        <w:rPr>
          <w:rFonts w:ascii="Calibri" w:hAnsi="Calibri"/>
          <w:color w:val="1F4E79"/>
        </w:rPr>
        <w:t>para preparar y garantizar la puesta en libertad en fecha establecida</w:t>
      </w:r>
      <w:r w:rsidR="00F976B6" w:rsidRPr="00A6130B">
        <w:rPr>
          <w:rFonts w:ascii="Calibri" w:hAnsi="Calibri"/>
          <w:color w:val="1F4E79"/>
        </w:rPr>
        <w:t xml:space="preserve"> de los reclusos que han cumplido su condena</w:t>
      </w:r>
      <w:r w:rsidR="000A4581" w:rsidRPr="00A6130B">
        <w:rPr>
          <w:rFonts w:ascii="Calibri" w:hAnsi="Calibri"/>
          <w:color w:val="1F4E79"/>
        </w:rPr>
        <w:t>.</w:t>
      </w:r>
      <w:bookmarkEnd w:id="66"/>
    </w:p>
    <w:p w:rsidR="00F976B6" w:rsidRPr="00A6130B" w:rsidRDefault="00F976B6" w:rsidP="00A6130B">
      <w:pPr>
        <w:spacing w:after="100" w:afterAutospacing="1" w:line="240" w:lineRule="auto"/>
        <w:jc w:val="both"/>
        <w:rPr>
          <w:rFonts w:cs="Arial"/>
          <w:noProof/>
          <w:lang w:val="es-CR" w:eastAsia="es-CR"/>
        </w:rPr>
      </w:pPr>
    </w:p>
    <w:p w:rsidR="00530566" w:rsidRPr="00A6130B" w:rsidRDefault="00530566" w:rsidP="00A6130B">
      <w:pPr>
        <w:spacing w:after="100" w:afterAutospacing="1" w:line="240" w:lineRule="auto"/>
        <w:jc w:val="both"/>
        <w:rPr>
          <w:rFonts w:cs="Arial"/>
          <w:b/>
          <w:noProof/>
          <w:lang w:val="es-CR" w:eastAsia="es-CR"/>
        </w:rPr>
      </w:pPr>
      <w:r w:rsidRPr="00A6130B">
        <w:rPr>
          <w:rFonts w:cs="Arial"/>
          <w:noProof/>
          <w:lang w:val="es-CR" w:eastAsia="es-CR"/>
        </w:rPr>
        <w:t xml:space="preserve">Según el artículo 63 del Reglamento Técnico del Sistema Penitenciario, el procedimiento inicia a más tardar cuatro meses antes de que la persona privada de libertad cumpla su condena (tomando en cuenta el eventual descuento del que se beneficiar), para tal efecto le corresponde al (a la) abogado(a) realizar el </w:t>
      </w:r>
      <w:r w:rsidRPr="00A6130B">
        <w:rPr>
          <w:rFonts w:cs="Arial"/>
          <w:i/>
          <w:noProof/>
          <w:lang w:val="es-CR" w:eastAsia="es-CR"/>
        </w:rPr>
        <w:t>incidente de modificación de pena</w:t>
      </w:r>
      <w:r w:rsidRPr="00A6130B">
        <w:rPr>
          <w:rFonts w:cs="Arial"/>
          <w:noProof/>
          <w:lang w:val="es-CR" w:eastAsia="es-CR"/>
        </w:rPr>
        <w:t xml:space="preserve"> correspondiente, que traslada a la Dirección para que esta lo envíe al juzgado de ejecución de la pena, una vez que cuente con el acuerdo en que el consejo técnico interdisciplinario dio por aprobados los informes de registros ocupacionales que las disciplinas de orientación y educación tengan sobre la persona privada de libertad. </w:t>
      </w:r>
    </w:p>
    <w:p w:rsidR="00530566" w:rsidRPr="00A6130B" w:rsidRDefault="00530566" w:rsidP="00A6130B">
      <w:pPr>
        <w:spacing w:after="100" w:afterAutospacing="1" w:line="240" w:lineRule="auto"/>
        <w:jc w:val="both"/>
        <w:rPr>
          <w:rFonts w:cs="Arial"/>
          <w:noProof/>
          <w:lang w:val="es-CR" w:eastAsia="es-CR"/>
        </w:rPr>
      </w:pPr>
      <w:r w:rsidRPr="00A6130B">
        <w:rPr>
          <w:rFonts w:cs="Arial"/>
          <w:noProof/>
          <w:lang w:val="es-CR" w:eastAsia="es-CR"/>
        </w:rPr>
        <w:t>Luego el juzgado emite el auto de traslado y la resolución final donde autoriza el egreso en la fecha que indique. Si la fecha no concuerda con la que Cómputo de Penas tenía prevista, debe remitirse la resolución a dicho departamento para que realicen las modificaciones correspondientes a nivel del Sistema de Información de la Administración Penitenciaria (en adelante SIAP), pues de lo contrario dicho sistema no permitiría registrar el egreso en la fecha establecida por la autoridad judicial. Cuando las fechas coincidan, el día que la persona cumple el (la) abogado (a) debe revisar el expediente administrativo para chequear que no tenga penas pendientes, si todo está en orden se indica a la Dirección para que proceda a tramitar la orden de libertad con la firma del (de la) abogado (a), la cual se le ha de comunicar a la autoridad judicial que ordenó el egreso.</w:t>
      </w:r>
    </w:p>
    <w:p w:rsidR="00530566" w:rsidRPr="00A6130B" w:rsidRDefault="00530566" w:rsidP="00A6130B">
      <w:pPr>
        <w:spacing w:after="100" w:afterAutospacing="1" w:line="240" w:lineRule="auto"/>
        <w:jc w:val="both"/>
        <w:rPr>
          <w:rFonts w:cs="Arial"/>
          <w:lang w:val="es-CR"/>
        </w:rPr>
      </w:pPr>
      <w:r w:rsidRPr="00A6130B">
        <w:rPr>
          <w:rFonts w:cs="Arial"/>
          <w:noProof/>
          <w:lang w:val="es-CR" w:eastAsia="es-CR"/>
        </w:rPr>
        <w:t xml:space="preserve">Con base al artículo 20 </w:t>
      </w:r>
      <w:r w:rsidRPr="00A6130B">
        <w:rPr>
          <w:rFonts w:cs="Arial"/>
          <w:b/>
          <w:noProof/>
          <w:lang w:val="es-CR" w:eastAsia="es-CR"/>
        </w:rPr>
        <w:t>“Procedimiento de egreso”,</w:t>
      </w:r>
      <w:r w:rsidRPr="00A6130B">
        <w:rPr>
          <w:rFonts w:cs="Arial"/>
          <w:noProof/>
          <w:lang w:val="es-CR" w:eastAsia="es-CR"/>
        </w:rPr>
        <w:t xml:space="preserve">  Todo movimiento de egreso implica: a)  Verificación de la legalidad del egreso; b) Identificación de la causa del egreso; c)  Verificación de la identidad de la </w:t>
      </w:r>
      <w:r w:rsidRPr="00A6130B">
        <w:rPr>
          <w:rFonts w:cs="Arial"/>
          <w:noProof/>
          <w:lang w:val="es-CR" w:eastAsia="es-CR"/>
        </w:rPr>
        <w:lastRenderedPageBreak/>
        <w:t>persona que egresa; d) Entrega de pertenencias que requiera según sea traslado interno de corta duración, traslado interno definitivo, o libertad; e) Comunicación inmediata del egreso a la autoridad que lo solicitó u ordenó (sea traslado interno, externo o libertad) y a la autoridad institucional correspondiente.  Cuando la persona que egresa, esté indiciada o condenada por algún delito relacionado con violencia sexual o doméstica, se informará su puesta en libertad a la Fuerza Pública de la comunidad donde esta reside y donde reside la víctima”. (Así reformado por el artículo 1° del decreto ejecutivo N° 39418-JP del 4 de noviembre del 2015).</w:t>
      </w:r>
    </w:p>
    <w:p w:rsidR="000A4581" w:rsidRPr="00A6130B" w:rsidRDefault="001342D7" w:rsidP="00A6130B">
      <w:pPr>
        <w:spacing w:line="240" w:lineRule="auto"/>
        <w:rPr>
          <w:b/>
        </w:rPr>
      </w:pPr>
      <w:r w:rsidRPr="00A6130B">
        <w:rPr>
          <w:b/>
        </w:rPr>
        <w:t>E</w:t>
      </w:r>
      <w:r w:rsidR="000A4581" w:rsidRPr="00A6130B">
        <w:rPr>
          <w:b/>
        </w:rPr>
        <w:t>gresos por cumplimiento de la pena</w:t>
      </w:r>
    </w:p>
    <w:p w:rsidR="00530566" w:rsidRPr="00A6130B" w:rsidRDefault="00530566" w:rsidP="00A6130B">
      <w:pPr>
        <w:spacing w:after="100" w:afterAutospacing="1" w:line="240" w:lineRule="auto"/>
        <w:jc w:val="both"/>
        <w:rPr>
          <w:rFonts w:cs="Arial"/>
          <w:lang w:val="es-CR"/>
        </w:rPr>
      </w:pPr>
      <w:r w:rsidRPr="00A6130B">
        <w:rPr>
          <w:rFonts w:cs="Arial"/>
          <w:noProof/>
          <w:lang w:val="es-CR" w:eastAsia="es-CR"/>
        </w:rPr>
        <w:t xml:space="preserve">Reglamento Técnico Penitenciario </w:t>
      </w:r>
      <w:r w:rsidRPr="00A6130B">
        <w:rPr>
          <w:rFonts w:cs="Arial"/>
          <w:lang w:val="es-CR"/>
        </w:rPr>
        <w:t>“</w:t>
      </w:r>
      <w:r w:rsidRPr="00A6130B">
        <w:rPr>
          <w:rFonts w:cs="Arial"/>
          <w:b/>
          <w:lang w:val="es-CR"/>
        </w:rPr>
        <w:t>Artículo 19</w:t>
      </w:r>
      <w:r w:rsidRPr="00A6130B">
        <w:rPr>
          <w:rFonts w:cs="Arial"/>
          <w:lang w:val="es-CR"/>
        </w:rPr>
        <w:t xml:space="preserve">.—Egreso definitivo. Implica un proceso dirigido a preparar a la persona sentenciada para la libertad. De previo a autorizar el </w:t>
      </w:r>
      <w:proofErr w:type="spellStart"/>
      <w:r w:rsidRPr="00A6130B">
        <w:rPr>
          <w:rFonts w:cs="Arial"/>
          <w:lang w:val="es-CR"/>
        </w:rPr>
        <w:t>egreso</w:t>
      </w:r>
      <w:proofErr w:type="spellEnd"/>
      <w:r w:rsidRPr="00A6130B">
        <w:rPr>
          <w:rFonts w:cs="Arial"/>
          <w:lang w:val="es-CR"/>
        </w:rPr>
        <w:t xml:space="preserve"> definitivo la Dirección del Centro, o quien ésta designe deberá revisar el Sistema de Información de la Administración Penitenciaria a fin de comprobar que la persona privada de libertad no esté a la orden de una autoridad judicial competente o del Instituto Nacional de Criminología por otras causas. La Dirección del Centro, o quien ésta designe, registrará el egreso en el Sistema de Información de la Administración Penitenciaria de forma inmediata, así como la cancelación de la causa que descontaba.”   Una vez cumplidos estos pasos procede los estipulado en el Art. 20 supra citado </w:t>
      </w:r>
      <w:r w:rsidRPr="00A6130B">
        <w:rPr>
          <w:rFonts w:cs="Arial"/>
          <w:b/>
          <w:noProof/>
          <w:lang w:val="es-CR" w:eastAsia="es-CR"/>
        </w:rPr>
        <w:t>“Procedimiento de egreso”</w:t>
      </w:r>
      <w:r w:rsidRPr="00A6130B">
        <w:rPr>
          <w:rFonts w:cs="Arial"/>
          <w:lang w:val="es-CR"/>
        </w:rPr>
        <w:t>.</w:t>
      </w:r>
    </w:p>
    <w:p w:rsidR="000A4581" w:rsidRPr="00A6130B" w:rsidRDefault="00763BBE" w:rsidP="00967059">
      <w:pPr>
        <w:pStyle w:val="Heading3"/>
        <w:numPr>
          <w:ilvl w:val="0"/>
          <w:numId w:val="19"/>
        </w:numPr>
        <w:spacing w:line="240" w:lineRule="auto"/>
        <w:rPr>
          <w:rFonts w:ascii="Calibri" w:hAnsi="Calibri"/>
          <w:color w:val="1F4E79"/>
        </w:rPr>
      </w:pPr>
      <w:bookmarkStart w:id="67" w:name="_Toc446126664"/>
      <w:r w:rsidRPr="00A6130B">
        <w:rPr>
          <w:rFonts w:ascii="Calibri" w:hAnsi="Calibri"/>
          <w:color w:val="1F4E79"/>
        </w:rPr>
        <w:t>Información sobre los p</w:t>
      </w:r>
      <w:r w:rsidR="00B44505" w:rsidRPr="00A6130B">
        <w:rPr>
          <w:rFonts w:ascii="Calibri" w:hAnsi="Calibri"/>
          <w:color w:val="1F4E79"/>
        </w:rPr>
        <w:t>rogresos realizados para reducir los niveles de ocupación</w:t>
      </w:r>
      <w:r w:rsidRPr="00A6130B">
        <w:rPr>
          <w:rFonts w:ascii="Calibri" w:hAnsi="Calibri"/>
          <w:color w:val="1F4E79"/>
        </w:rPr>
        <w:t xml:space="preserve"> en los centros de detención, es particular el proyecto de construcción de </w:t>
      </w:r>
      <w:r w:rsidR="00486DAB" w:rsidRPr="00A6130B">
        <w:rPr>
          <w:rFonts w:ascii="Calibri" w:hAnsi="Calibri"/>
          <w:color w:val="1F4E79"/>
        </w:rPr>
        <w:t>2.700 espacios nuevos para ubicar a personas privadas de libertad.</w:t>
      </w:r>
      <w:bookmarkEnd w:id="67"/>
    </w:p>
    <w:p w:rsidR="00486DAB" w:rsidRDefault="00486DAB" w:rsidP="00A6130B">
      <w:pPr>
        <w:pStyle w:val="NormalWeb"/>
        <w:shd w:val="clear" w:color="auto" w:fill="FDFDFD"/>
        <w:spacing w:before="0" w:beforeAutospacing="0"/>
        <w:jc w:val="both"/>
        <w:rPr>
          <w:rFonts w:ascii="Calibri" w:hAnsi="Calibri" w:cs="Arial"/>
          <w:noProof/>
          <w:color w:val="000000"/>
          <w:sz w:val="22"/>
          <w:szCs w:val="22"/>
        </w:rPr>
      </w:pPr>
    </w:p>
    <w:p w:rsidR="00DC62D3" w:rsidRPr="00A6130B" w:rsidRDefault="00DC62D3" w:rsidP="00A6130B">
      <w:pPr>
        <w:pStyle w:val="NormalWeb"/>
        <w:shd w:val="clear" w:color="auto" w:fill="FDFDFD"/>
        <w:spacing w:before="0" w:beforeAutospacing="0"/>
        <w:jc w:val="both"/>
        <w:rPr>
          <w:rFonts w:ascii="Calibri" w:hAnsi="Calibri" w:cs="Arial"/>
          <w:noProof/>
          <w:color w:val="000000"/>
          <w:sz w:val="22"/>
          <w:szCs w:val="22"/>
        </w:rPr>
      </w:pPr>
      <w:r>
        <w:rPr>
          <w:rFonts w:ascii="Calibri" w:hAnsi="Calibri" w:cs="Arial"/>
          <w:noProof/>
          <w:color w:val="000000"/>
          <w:sz w:val="22"/>
          <w:szCs w:val="22"/>
        </w:rPr>
        <w:t>Véase intervención inicial</w:t>
      </w:r>
    </w:p>
    <w:p w:rsidR="00530566" w:rsidRPr="00A6130B" w:rsidRDefault="00530566" w:rsidP="00A6130B">
      <w:pPr>
        <w:pStyle w:val="NormalWeb"/>
        <w:shd w:val="clear" w:color="auto" w:fill="FDFDFD"/>
        <w:spacing w:before="0" w:beforeAutospacing="0"/>
        <w:jc w:val="both"/>
        <w:rPr>
          <w:rFonts w:ascii="Calibri" w:hAnsi="Calibri" w:cs="Arial"/>
          <w:noProof/>
          <w:color w:val="000000"/>
          <w:sz w:val="22"/>
          <w:szCs w:val="22"/>
        </w:rPr>
      </w:pPr>
      <w:r w:rsidRPr="00A6130B">
        <w:rPr>
          <w:rFonts w:ascii="Calibri" w:hAnsi="Calibri" w:cs="Arial"/>
          <w:noProof/>
          <w:color w:val="000000"/>
          <w:sz w:val="22"/>
          <w:szCs w:val="22"/>
        </w:rPr>
        <w:t>De conformidad con el Plan Nacional de Desarrollo de la República de Costa Rica 2015-2018 el Estado costarricence procura reducir los niveles de ocupación de los Centro de Detención y alcanzar la meta de un 20% máximo de hacinamiento (45% en 2015).</w:t>
      </w:r>
    </w:p>
    <w:p w:rsidR="00530566" w:rsidRPr="00A6130B" w:rsidRDefault="00530566" w:rsidP="00A6130B">
      <w:pPr>
        <w:shd w:val="clear" w:color="auto" w:fill="FDFDFD"/>
        <w:spacing w:after="100" w:afterAutospacing="1" w:line="240" w:lineRule="auto"/>
        <w:jc w:val="both"/>
        <w:rPr>
          <w:rFonts w:cs="Arial"/>
          <w:b/>
          <w:noProof/>
          <w:color w:val="000000"/>
          <w:lang w:val="es-CR"/>
        </w:rPr>
      </w:pPr>
      <w:r w:rsidRPr="00A6130B">
        <w:rPr>
          <w:rFonts w:cs="Arial"/>
          <w:noProof/>
          <w:lang w:val="es-CR" w:eastAsia="es-CR"/>
        </w:rPr>
        <w:t xml:space="preserve">En 2015 la </w:t>
      </w:r>
      <w:r w:rsidRPr="00A6130B">
        <w:rPr>
          <w:rFonts w:cs="Arial"/>
          <w:b/>
          <w:noProof/>
          <w:lang w:val="es-CR" w:eastAsia="es-CR"/>
        </w:rPr>
        <w:t xml:space="preserve">circular 5-2015 </w:t>
      </w:r>
      <w:r w:rsidRPr="00A6130B">
        <w:rPr>
          <w:rFonts w:cs="Arial"/>
          <w:noProof/>
          <w:lang w:val="es-CR" w:eastAsia="es-CR"/>
        </w:rPr>
        <w:t>del Instituto Nacional de Criminología (INC) ordenó la redistribución de la población privada de libertad en el Programa semi-institucional para reducir el problema de hacinamiento crítico y asegurar el respeto a los Derechos Fundamentales de las personas privadas de libertad.</w:t>
      </w:r>
    </w:p>
    <w:p w:rsidR="00530566" w:rsidRDefault="00530566" w:rsidP="00A6130B">
      <w:pPr>
        <w:pStyle w:val="NormalWeb"/>
        <w:shd w:val="clear" w:color="auto" w:fill="FDFDFD"/>
        <w:spacing w:before="0" w:beforeAutospacing="0"/>
        <w:jc w:val="both"/>
        <w:rPr>
          <w:rFonts w:ascii="Calibri" w:hAnsi="Calibri" w:cs="Arial"/>
          <w:noProof/>
          <w:color w:val="000000"/>
          <w:sz w:val="22"/>
          <w:szCs w:val="22"/>
        </w:rPr>
      </w:pPr>
      <w:r w:rsidRPr="00A6130B">
        <w:rPr>
          <w:rFonts w:ascii="Calibri" w:hAnsi="Calibri" w:cs="Arial"/>
          <w:noProof/>
          <w:color w:val="000000"/>
          <w:sz w:val="22"/>
          <w:szCs w:val="22"/>
        </w:rPr>
        <w:t xml:space="preserve">Para 2016, se espera crear aproximadamente </w:t>
      </w:r>
      <w:r w:rsidRPr="00A6130B">
        <w:rPr>
          <w:rFonts w:ascii="Calibri" w:hAnsi="Calibri" w:cs="Arial"/>
          <w:b/>
          <w:noProof/>
          <w:color w:val="000000"/>
          <w:sz w:val="22"/>
          <w:szCs w:val="22"/>
        </w:rPr>
        <w:t>1.500</w:t>
      </w:r>
      <w:r w:rsidRPr="00A6130B">
        <w:rPr>
          <w:rFonts w:ascii="Calibri" w:hAnsi="Calibri" w:cs="Arial"/>
          <w:noProof/>
          <w:color w:val="000000"/>
          <w:sz w:val="22"/>
          <w:szCs w:val="22"/>
        </w:rPr>
        <w:t xml:space="preserve"> espacios carcelarios “Unidades Productivas”, que serán cárceles modelo para población privada de libertad de mediana contención, para fomentar una metodología de atención basada en la ocupación productiva y el uso de instalaciones para actividades laborales y educativas, como agentes de rehabilitación en la población privada de libertad.</w:t>
      </w:r>
    </w:p>
    <w:p w:rsidR="003D31BA" w:rsidRPr="003D31BA" w:rsidRDefault="003D31BA" w:rsidP="003D31BA">
      <w:pPr>
        <w:pStyle w:val="NormalWeb"/>
        <w:shd w:val="clear" w:color="auto" w:fill="FDFDFD"/>
        <w:jc w:val="both"/>
        <w:rPr>
          <w:rFonts w:ascii="Calibri" w:hAnsi="Calibri" w:cs="Arial"/>
          <w:noProof/>
          <w:color w:val="000000"/>
          <w:sz w:val="22"/>
          <w:szCs w:val="22"/>
        </w:rPr>
      </w:pPr>
      <w:r w:rsidRPr="003D31BA">
        <w:rPr>
          <w:rFonts w:ascii="Calibri" w:hAnsi="Calibri" w:cs="Arial"/>
          <w:noProof/>
          <w:color w:val="000000"/>
          <w:sz w:val="22"/>
          <w:szCs w:val="22"/>
        </w:rPr>
        <w:t xml:space="preserve">Las Unidades Productivas tendrán procesos construcción de manera simultánea. Se </w:t>
      </w:r>
      <w:r>
        <w:rPr>
          <w:rFonts w:ascii="Calibri" w:hAnsi="Calibri" w:cs="Arial"/>
          <w:noProof/>
          <w:color w:val="000000"/>
          <w:sz w:val="22"/>
          <w:szCs w:val="22"/>
        </w:rPr>
        <w:t xml:space="preserve">contratará una </w:t>
      </w:r>
      <w:r w:rsidRPr="003D31BA">
        <w:rPr>
          <w:rFonts w:ascii="Calibri" w:hAnsi="Calibri" w:cs="Arial"/>
          <w:noProof/>
          <w:color w:val="000000"/>
          <w:sz w:val="22"/>
          <w:szCs w:val="22"/>
        </w:rPr>
        <w:t>solución de negocios tipo “llave en mano” de tal manera que la firma construya la obra gris y entregue el edificio, totalmente equipado y listo para el funcionamiento al Estado.</w:t>
      </w:r>
      <w:r>
        <w:rPr>
          <w:rFonts w:ascii="Calibri" w:hAnsi="Calibri" w:cs="Arial"/>
          <w:noProof/>
          <w:color w:val="000000"/>
          <w:sz w:val="22"/>
          <w:szCs w:val="22"/>
        </w:rPr>
        <w:t xml:space="preserve"> </w:t>
      </w:r>
      <w:r w:rsidRPr="003D31BA">
        <w:rPr>
          <w:rFonts w:ascii="Calibri" w:hAnsi="Calibri" w:cs="Arial"/>
          <w:noProof/>
          <w:color w:val="000000"/>
          <w:sz w:val="22"/>
          <w:szCs w:val="22"/>
        </w:rPr>
        <w:t xml:space="preserve">El plazo de inicio del proceso constructivo está programado para el segundo semestre del 2016. Por su parte, el plazo ajustado de finalización de obra es julio de 2017. </w:t>
      </w:r>
    </w:p>
    <w:p w:rsidR="003D31BA" w:rsidRPr="003D31BA" w:rsidRDefault="00530566" w:rsidP="003D31BA">
      <w:pPr>
        <w:pStyle w:val="NormalWeb"/>
        <w:shd w:val="clear" w:color="auto" w:fill="FDFDFD"/>
        <w:spacing w:before="0" w:beforeAutospacing="0"/>
        <w:jc w:val="both"/>
        <w:rPr>
          <w:rFonts w:ascii="Calibri" w:hAnsi="Calibri" w:cs="Arial"/>
          <w:noProof/>
          <w:color w:val="000000"/>
          <w:sz w:val="22"/>
          <w:szCs w:val="22"/>
        </w:rPr>
      </w:pPr>
      <w:r w:rsidRPr="00A6130B">
        <w:rPr>
          <w:rFonts w:ascii="Calibri" w:hAnsi="Calibri" w:cs="Arial"/>
          <w:noProof/>
          <w:color w:val="000000"/>
          <w:sz w:val="22"/>
          <w:szCs w:val="22"/>
        </w:rPr>
        <w:lastRenderedPageBreak/>
        <w:t xml:space="preserve">De igual manera, se mantiene el proyecto de construcción de una </w:t>
      </w:r>
      <w:r w:rsidRPr="00A6130B">
        <w:rPr>
          <w:rFonts w:ascii="Calibri" w:hAnsi="Calibri" w:cs="Arial"/>
          <w:b/>
          <w:noProof/>
          <w:color w:val="000000"/>
          <w:sz w:val="22"/>
          <w:szCs w:val="22"/>
        </w:rPr>
        <w:t>nueva cárcel completa</w:t>
      </w:r>
      <w:r w:rsidRPr="00A6130B">
        <w:rPr>
          <w:rFonts w:ascii="Calibri" w:hAnsi="Calibri" w:cs="Arial"/>
          <w:noProof/>
          <w:color w:val="000000"/>
          <w:sz w:val="22"/>
          <w:szCs w:val="22"/>
        </w:rPr>
        <w:t xml:space="preserve">, ubicada en el Complejo Penitenciario La Reforma, con capacidad total para </w:t>
      </w:r>
      <w:r w:rsidRPr="00A6130B">
        <w:rPr>
          <w:rFonts w:ascii="Calibri" w:hAnsi="Calibri" w:cs="Arial"/>
          <w:b/>
          <w:noProof/>
          <w:color w:val="000000"/>
          <w:sz w:val="22"/>
          <w:szCs w:val="22"/>
        </w:rPr>
        <w:t>1.632</w:t>
      </w:r>
      <w:r w:rsidRPr="00A6130B">
        <w:rPr>
          <w:rFonts w:ascii="Calibri" w:hAnsi="Calibri" w:cs="Arial"/>
          <w:noProof/>
          <w:color w:val="000000"/>
          <w:sz w:val="22"/>
          <w:szCs w:val="22"/>
        </w:rPr>
        <w:t xml:space="preserve"> personas privadas de libertad, el proyecto iniciará en</w:t>
      </w:r>
      <w:r w:rsidRPr="00A6130B">
        <w:rPr>
          <w:rStyle w:val="apple-converted-space"/>
          <w:rFonts w:ascii="Calibri" w:hAnsi="Calibri" w:cs="Arial"/>
          <w:noProof/>
          <w:color w:val="000000"/>
          <w:sz w:val="22"/>
          <w:szCs w:val="22"/>
        </w:rPr>
        <w:t> </w:t>
      </w:r>
      <w:r w:rsidRPr="00A6130B">
        <w:rPr>
          <w:rStyle w:val="object"/>
          <w:rFonts w:ascii="Calibri" w:hAnsi="Calibri" w:cs="Arial"/>
          <w:noProof/>
          <w:color w:val="000000"/>
          <w:sz w:val="22"/>
          <w:szCs w:val="22"/>
        </w:rPr>
        <w:t>julio 2016</w:t>
      </w:r>
      <w:r w:rsidRPr="00A6130B">
        <w:rPr>
          <w:rStyle w:val="apple-converted-space"/>
          <w:rFonts w:ascii="Calibri" w:hAnsi="Calibri" w:cs="Arial"/>
          <w:noProof/>
          <w:color w:val="000000"/>
          <w:sz w:val="22"/>
          <w:szCs w:val="22"/>
        </w:rPr>
        <w:t> </w:t>
      </w:r>
      <w:r w:rsidRPr="00A6130B">
        <w:rPr>
          <w:rFonts w:ascii="Calibri" w:hAnsi="Calibri" w:cs="Arial"/>
          <w:noProof/>
          <w:color w:val="000000"/>
          <w:sz w:val="22"/>
          <w:szCs w:val="22"/>
        </w:rPr>
        <w:t>y se prevee la finalización de las obras constructivas en 2018, con miras a la segunda fase del proyecto para ampliar los espacios para la atención técnica, proyectos productivos, capacitación y educación.</w:t>
      </w:r>
    </w:p>
    <w:p w:rsidR="003D31BA" w:rsidRPr="00A6130B" w:rsidRDefault="003D31BA" w:rsidP="003D31BA">
      <w:pPr>
        <w:pStyle w:val="NormalWeb"/>
        <w:shd w:val="clear" w:color="auto" w:fill="FDFDFD"/>
        <w:jc w:val="both"/>
        <w:rPr>
          <w:rFonts w:ascii="Calibri" w:hAnsi="Calibri" w:cs="Arial"/>
          <w:noProof/>
          <w:color w:val="000000"/>
          <w:sz w:val="22"/>
          <w:szCs w:val="22"/>
        </w:rPr>
      </w:pPr>
      <w:r w:rsidRPr="003D31BA">
        <w:rPr>
          <w:rFonts w:ascii="Calibri" w:hAnsi="Calibri" w:cs="Arial"/>
          <w:noProof/>
          <w:color w:val="000000"/>
          <w:sz w:val="22"/>
          <w:szCs w:val="22"/>
        </w:rPr>
        <w:t>El proyecto “24 módulos”, que se construye con recursos propios del Patronato de Construcciones e Instalaciones, tiene una fecha estimada de entrega para el 30 de abril del 2018.</w:t>
      </w:r>
    </w:p>
    <w:p w:rsidR="00530566" w:rsidRPr="00A6130B" w:rsidRDefault="00530566" w:rsidP="00A6130B">
      <w:pPr>
        <w:pStyle w:val="NormalWeb"/>
        <w:shd w:val="clear" w:color="auto" w:fill="FDFDFD"/>
        <w:spacing w:before="0" w:beforeAutospacing="0"/>
        <w:jc w:val="both"/>
        <w:rPr>
          <w:rFonts w:ascii="Calibri" w:hAnsi="Calibri" w:cs="Arial"/>
          <w:noProof/>
          <w:color w:val="000000"/>
          <w:sz w:val="22"/>
          <w:szCs w:val="22"/>
        </w:rPr>
      </w:pPr>
      <w:r w:rsidRPr="00A6130B">
        <w:rPr>
          <w:rFonts w:ascii="Calibri" w:hAnsi="Calibri" w:cs="Arial"/>
          <w:noProof/>
          <w:color w:val="000000"/>
          <w:sz w:val="22"/>
          <w:szCs w:val="22"/>
        </w:rPr>
        <w:t>Para próximos ejercicios presupuestarios se prevee la construcción de espacios de reclusión de máxima seguridad, que permitan una dinámica diferente de atención al privado de libertad, al contar con espacios de jardín interior e iluminación natural, que permitan condiciones cercanas a la normalidad, aun a población privada de libertad, que por su perfil criminológico, necesite del nivel máximo de contención penitenciaria. </w:t>
      </w:r>
    </w:p>
    <w:p w:rsidR="007B6D01" w:rsidRPr="00A6130B" w:rsidRDefault="00486DAB" w:rsidP="00967059">
      <w:pPr>
        <w:pStyle w:val="Heading3"/>
        <w:numPr>
          <w:ilvl w:val="0"/>
          <w:numId w:val="19"/>
        </w:numPr>
        <w:spacing w:line="240" w:lineRule="auto"/>
        <w:rPr>
          <w:rFonts w:ascii="Calibri" w:hAnsi="Calibri"/>
          <w:color w:val="1F4E79"/>
        </w:rPr>
      </w:pPr>
      <w:bookmarkStart w:id="68" w:name="_Toc441838418"/>
      <w:bookmarkStart w:id="69" w:name="_Toc446126665"/>
      <w:r w:rsidRPr="00A6130B">
        <w:rPr>
          <w:rFonts w:ascii="Calibri" w:hAnsi="Calibri"/>
          <w:color w:val="1F4E79"/>
        </w:rPr>
        <w:t>Información sobre la aplicación de m</w:t>
      </w:r>
      <w:r w:rsidR="007B6D01" w:rsidRPr="00A6130B">
        <w:rPr>
          <w:rFonts w:ascii="Calibri" w:hAnsi="Calibri"/>
          <w:color w:val="1F4E79"/>
        </w:rPr>
        <w:t>edidas y penas alternativas a la privación de libertad</w:t>
      </w:r>
      <w:bookmarkEnd w:id="68"/>
      <w:r w:rsidRPr="00A6130B">
        <w:rPr>
          <w:rFonts w:ascii="Calibri" w:hAnsi="Calibri"/>
          <w:color w:val="1F4E79"/>
        </w:rPr>
        <w:t>, en particular los resultados de la aplicación del al Circular 02-2014, aprobada por la Dirección General y el Instituto Nacional de Criminología, para reforzar el proceso de desinstitucionalización.</w:t>
      </w:r>
      <w:bookmarkEnd w:id="69"/>
    </w:p>
    <w:p w:rsidR="00486DAB" w:rsidRPr="00A6130B" w:rsidRDefault="00486DAB" w:rsidP="00A6130B">
      <w:pPr>
        <w:spacing w:line="240" w:lineRule="auto"/>
        <w:jc w:val="both"/>
        <w:rPr>
          <w:rFonts w:cs="Arial"/>
          <w:noProof/>
          <w:lang w:val="es-CR" w:eastAsia="es-CR"/>
        </w:rPr>
      </w:pPr>
    </w:p>
    <w:p w:rsidR="00530566" w:rsidRPr="00A6130B" w:rsidRDefault="00530566" w:rsidP="00A6130B">
      <w:pPr>
        <w:spacing w:line="240" w:lineRule="auto"/>
        <w:jc w:val="both"/>
        <w:rPr>
          <w:rFonts w:cs="Arial"/>
          <w:noProof/>
          <w:lang w:val="es-CR" w:eastAsia="es-CR"/>
        </w:rPr>
      </w:pPr>
      <w:r w:rsidRPr="00A6130B">
        <w:rPr>
          <w:rFonts w:cs="Arial"/>
          <w:noProof/>
          <w:lang w:val="es-CR" w:eastAsia="es-CR"/>
        </w:rPr>
        <w:t xml:space="preserve">En cuanto a la aplicación de medidas y penas alternativas a la privación de libertad, es importante indicar que la </w:t>
      </w:r>
      <w:r w:rsidRPr="00A6130B">
        <w:rPr>
          <w:rFonts w:cs="Arial"/>
          <w:b/>
          <w:noProof/>
          <w:lang w:val="es-CR" w:eastAsia="es-CR"/>
        </w:rPr>
        <w:t>Circular 2-2014</w:t>
      </w:r>
      <w:r w:rsidRPr="00A6130B">
        <w:rPr>
          <w:rFonts w:cs="Arial"/>
          <w:noProof/>
          <w:lang w:val="es-CR" w:eastAsia="es-CR"/>
        </w:rPr>
        <w:t xml:space="preserve">, fue derogada por la </w:t>
      </w:r>
      <w:r w:rsidRPr="00A6130B">
        <w:rPr>
          <w:rFonts w:cs="Arial"/>
          <w:b/>
          <w:noProof/>
          <w:lang w:val="es-CR" w:eastAsia="es-CR"/>
        </w:rPr>
        <w:t>circular 5-2014</w:t>
      </w:r>
      <w:r w:rsidRPr="00A6130B">
        <w:rPr>
          <w:rFonts w:cs="Arial"/>
          <w:noProof/>
          <w:lang w:val="es-CR" w:eastAsia="es-CR"/>
        </w:rPr>
        <w:t xml:space="preserve">, la cual a su vez fue derogada por la </w:t>
      </w:r>
      <w:r w:rsidRPr="00A6130B">
        <w:rPr>
          <w:rFonts w:cs="Arial"/>
          <w:b/>
          <w:noProof/>
          <w:lang w:val="es-CR" w:eastAsia="es-CR"/>
        </w:rPr>
        <w:t>3-2015</w:t>
      </w:r>
      <w:r w:rsidRPr="00A6130B">
        <w:rPr>
          <w:rFonts w:cs="Arial"/>
          <w:noProof/>
          <w:lang w:val="es-CR" w:eastAsia="es-CR"/>
        </w:rPr>
        <w:t xml:space="preserve">, que finalmente fue derogada por la </w:t>
      </w:r>
      <w:r w:rsidRPr="00A6130B">
        <w:rPr>
          <w:rFonts w:cs="Arial"/>
          <w:b/>
          <w:noProof/>
          <w:lang w:val="es-CR" w:eastAsia="es-CR"/>
        </w:rPr>
        <w:t>2-2016</w:t>
      </w:r>
      <w:r w:rsidRPr="00A6130B">
        <w:rPr>
          <w:rFonts w:cs="Arial"/>
          <w:noProof/>
          <w:lang w:val="es-CR" w:eastAsia="es-CR"/>
        </w:rPr>
        <w:t>, que acaba de entrar en vigencia; todas correspondientes a valoraciones extraordinarias para otorgar penas alternativas.</w:t>
      </w:r>
    </w:p>
    <w:p w:rsidR="00530566" w:rsidRPr="00A6130B" w:rsidRDefault="00530566" w:rsidP="00A6130B">
      <w:pPr>
        <w:spacing w:line="240" w:lineRule="auto"/>
        <w:jc w:val="both"/>
        <w:rPr>
          <w:rFonts w:cs="Arial"/>
          <w:noProof/>
          <w:lang w:val="es-CR" w:eastAsia="es-CR"/>
        </w:rPr>
      </w:pPr>
      <w:r w:rsidRPr="00A6130B">
        <w:rPr>
          <w:rFonts w:cs="Arial"/>
          <w:noProof/>
          <w:lang w:val="es-CR" w:eastAsia="es-CR"/>
        </w:rPr>
        <w:t xml:space="preserve">La circular vigente introduce conceptos novedosos que permiten, entre otros aspectos, la posibilidad de que la persona privada de libertad y sentenciada a pena de prisión que cumpla su pena en siete años o menos desde el momento de su ingreso, pueda ser valoradas de manera extraordinaria, fuera de los plazos establecidos por el </w:t>
      </w:r>
      <w:r w:rsidRPr="00A6130B">
        <w:rPr>
          <w:rFonts w:cs="Arial"/>
          <w:b/>
          <w:noProof/>
          <w:lang w:val="es-CR" w:eastAsia="es-CR"/>
        </w:rPr>
        <w:t>Art.  25</w:t>
      </w:r>
      <w:r w:rsidRPr="00A6130B">
        <w:rPr>
          <w:rFonts w:cs="Arial"/>
          <w:noProof/>
          <w:lang w:val="es-CR" w:eastAsia="es-CR"/>
        </w:rPr>
        <w:t xml:space="preserve"> del Reglamento Técnico del Sistema Penitenciario. De la misma manera aquellas personas que no cumplan su condena dentro de ese plazo, podrán ser valoradas extraordinariamente si ya han superado el tercio de la pena, sin tomar en cuenta descuentos.</w:t>
      </w:r>
    </w:p>
    <w:p w:rsidR="00530566" w:rsidRPr="00A6130B" w:rsidRDefault="00530566" w:rsidP="00A6130B">
      <w:pPr>
        <w:spacing w:line="240" w:lineRule="auto"/>
        <w:jc w:val="both"/>
        <w:rPr>
          <w:rFonts w:cs="Arial"/>
          <w:noProof/>
          <w:lang w:val="es-CR" w:eastAsia="es-CR"/>
        </w:rPr>
      </w:pPr>
      <w:r w:rsidRPr="00A6130B">
        <w:rPr>
          <w:rFonts w:cs="Arial"/>
          <w:noProof/>
          <w:lang w:val="es-CR" w:eastAsia="es-CR"/>
        </w:rPr>
        <w:t xml:space="preserve">El sistema penal costarricense se basa en el principio </w:t>
      </w:r>
      <w:r w:rsidRPr="00A6130B">
        <w:rPr>
          <w:rFonts w:cs="Arial"/>
          <w:b/>
          <w:i/>
          <w:noProof/>
          <w:lang w:val="es-CR" w:eastAsia="es-CR"/>
        </w:rPr>
        <w:t xml:space="preserve">pro hominem </w:t>
      </w:r>
      <w:r w:rsidRPr="00A6130B">
        <w:rPr>
          <w:rFonts w:cs="Arial"/>
          <w:noProof/>
          <w:lang w:val="es-CR" w:eastAsia="es-CR"/>
        </w:rPr>
        <w:t xml:space="preserve">y en esta virtud </w:t>
      </w:r>
      <w:r w:rsidRPr="00A6130B">
        <w:rPr>
          <w:rFonts w:cs="Arial"/>
          <w:b/>
          <w:i/>
          <w:noProof/>
          <w:lang w:val="es-CR" w:eastAsia="es-CR"/>
        </w:rPr>
        <w:t xml:space="preserve"> </w:t>
      </w:r>
      <w:r w:rsidRPr="00A6130B">
        <w:rPr>
          <w:rFonts w:cs="Arial"/>
          <w:noProof/>
          <w:lang w:val="es-CR" w:eastAsia="es-CR"/>
        </w:rPr>
        <w:t xml:space="preserve">para evitar que en casos arbitrarios y condiciones de irracionalidad de aplicación de la pena privativa de libertad, los afectados cumplan sentencia en prisión, en lugar de un programa de pena alternativa o en un régimen semi abierto, se ha adoptado la posibilidad de medidas y penas alternativas a la privación de libertad. </w:t>
      </w:r>
    </w:p>
    <w:p w:rsidR="00530566" w:rsidRPr="00A6130B" w:rsidRDefault="00530566" w:rsidP="00A6130B">
      <w:pPr>
        <w:spacing w:line="240" w:lineRule="auto"/>
        <w:jc w:val="both"/>
        <w:rPr>
          <w:rFonts w:cs="Arial"/>
          <w:noProof/>
          <w:lang w:val="es-CR" w:eastAsia="es-CR"/>
        </w:rPr>
      </w:pPr>
      <w:r w:rsidRPr="00A6130B">
        <w:rPr>
          <w:rFonts w:cs="Arial"/>
          <w:noProof/>
          <w:lang w:val="es-CR" w:eastAsia="es-CR"/>
        </w:rPr>
        <w:t xml:space="preserve">La circular establece que “tratándose de personas privadas de libertad que recién ingresan, la valoración deberá acreditar que al momento en que recae la sentencia condenatoria, la persona privada de libertad reúne condiciones que le permitan desenvolverse en el Programa Semi-Institucional, entre ellas: hábitos ocupacionales, deseos de superación, conducta adecuada mientras se mantuvo en libertad desde la fecha del delito hasta el momento de la firmeza de la sentencia, así como comprensión de las condiciones sociales y personales que le llevaron a prisión. </w:t>
      </w:r>
    </w:p>
    <w:p w:rsidR="00530566" w:rsidRPr="00A6130B" w:rsidRDefault="00530566" w:rsidP="00A6130B">
      <w:pPr>
        <w:spacing w:line="240" w:lineRule="auto"/>
        <w:jc w:val="both"/>
        <w:rPr>
          <w:rFonts w:cs="Arial"/>
          <w:noProof/>
          <w:lang w:val="es-CR" w:eastAsia="es-CR"/>
        </w:rPr>
      </w:pPr>
      <w:r w:rsidRPr="00A6130B">
        <w:rPr>
          <w:rFonts w:cs="Arial"/>
          <w:noProof/>
          <w:lang w:val="es-CR" w:eastAsia="es-CR"/>
        </w:rPr>
        <w:t xml:space="preserve">Para las personas mayores de 70 años que presenten problemas de salud significativa (crónica), o deterioro a nivel cognitivo, se favorecerá un proceso de atención técnico individual o grupal acorde a las capacidades y características particulares en las temáticas establecidas como prioritarias para el abordaje </w:t>
      </w:r>
      <w:r w:rsidRPr="00A6130B">
        <w:rPr>
          <w:rFonts w:cs="Arial"/>
          <w:noProof/>
          <w:lang w:val="es-CR" w:eastAsia="es-CR"/>
        </w:rPr>
        <w:lastRenderedPageBreak/>
        <w:t>con la población privada de libertad a nivel institucional (violencia intrafamiliar, sexual, drogas y formación humana).</w:t>
      </w:r>
    </w:p>
    <w:p w:rsidR="00530566" w:rsidRPr="00A6130B" w:rsidRDefault="00530566" w:rsidP="00A6130B">
      <w:pPr>
        <w:spacing w:line="240" w:lineRule="auto"/>
        <w:jc w:val="both"/>
        <w:rPr>
          <w:rFonts w:cs="Arial"/>
          <w:noProof/>
          <w:lang w:val="es-CR" w:eastAsia="es-CR"/>
        </w:rPr>
      </w:pPr>
      <w:r w:rsidRPr="00A6130B">
        <w:rPr>
          <w:rFonts w:cs="Arial"/>
          <w:noProof/>
          <w:lang w:val="es-CR" w:eastAsia="es-CR"/>
        </w:rPr>
        <w:t>En cada caso, los Consejos Técnicos Interdisciplinarios deberán analizar si resulta conveniente mantener a las personas privadas de libertad en el Programa Institucional, tomando en cuenta las implicaciones negativas que generan el hacinamiento y la sobrepoblación, mientras están a la espera de atención técnica para hacer frente a sus aspectos vulnerables, que podrían recibir seguimiento en el Programa Semi-Institucional, para que se incorporen a organizaciones e instituciones de la comunidad.</w:t>
      </w:r>
    </w:p>
    <w:p w:rsidR="00530566" w:rsidRPr="00A6130B" w:rsidRDefault="00530566" w:rsidP="00A6130B">
      <w:pPr>
        <w:spacing w:line="240" w:lineRule="auto"/>
        <w:jc w:val="both"/>
        <w:rPr>
          <w:rFonts w:cs="Arial"/>
          <w:noProof/>
          <w:lang w:val="es-CR" w:eastAsia="es-CR"/>
        </w:rPr>
      </w:pPr>
      <w:r w:rsidRPr="00A6130B">
        <w:rPr>
          <w:rFonts w:cs="Arial"/>
          <w:b/>
          <w:noProof/>
          <w:lang w:val="es-CR" w:eastAsia="es-CR"/>
        </w:rPr>
        <w:t xml:space="preserve">Exclusiones: </w:t>
      </w:r>
      <w:r w:rsidRPr="00A6130B">
        <w:rPr>
          <w:rFonts w:cs="Arial"/>
          <w:noProof/>
          <w:lang w:val="es-CR" w:eastAsia="es-CR"/>
        </w:rPr>
        <w:t>Se excluye de la aplicación de éstas medidas a las personas que figuren como imputadas en alguna causa penal pendiente o sentenciadas a prisión por conductas delictivas asociadas al crimen organizado, tráfico internacional de drogas, tráfico ilícito de órganos, trata de personas, tráfico internacional de armas de fuego y material nuclear, legitimación de capitales, terrorismo, homicidios simples o calificados, violencia sexual (calificada, agravada o contra personas menores de edad), aquellos casos de violencia intrafamiliar en los que se hubiese atentado contra la vida de la víctima, y los siguientes delitos contra la función pública: cohecho propio, corrupción agravada, corrupción de jueces, malversación, concusión, prevaricato y peculado.</w:t>
      </w:r>
    </w:p>
    <w:p w:rsidR="00530566" w:rsidRPr="00A6130B" w:rsidRDefault="00530566" w:rsidP="00A6130B">
      <w:pPr>
        <w:spacing w:after="100" w:afterAutospacing="1" w:line="240" w:lineRule="auto"/>
        <w:jc w:val="both"/>
        <w:rPr>
          <w:rFonts w:cs="Arial"/>
          <w:bCs/>
          <w:noProof/>
          <w:lang w:val="es-CR"/>
        </w:rPr>
      </w:pPr>
      <w:r w:rsidRPr="00A6130B">
        <w:rPr>
          <w:rFonts w:cs="Arial"/>
          <w:bCs/>
          <w:noProof/>
          <w:lang w:val="es-CR"/>
        </w:rPr>
        <w:t xml:space="preserve">En el caso de las </w:t>
      </w:r>
      <w:r w:rsidRPr="00A6130B">
        <w:rPr>
          <w:rFonts w:cs="Arial"/>
          <w:b/>
          <w:bCs/>
          <w:noProof/>
          <w:lang w:val="es-CR"/>
        </w:rPr>
        <w:t>mujeres privadas de libertad,</w:t>
      </w:r>
      <w:r w:rsidRPr="00A6130B">
        <w:rPr>
          <w:rFonts w:cs="Arial"/>
          <w:bCs/>
          <w:noProof/>
          <w:lang w:val="es-CR"/>
        </w:rPr>
        <w:t xml:space="preserve">  el Centro Penitenciario El Buen Pastor forma parte de la Red Interinstitucional para la Atención de Mujeres Vinculadas a un Proceso Penal y sus Familiares Dependientes en Situaciones de Vulnerabilidad, con el fin de contribuir a brindar una respuesta integral a la problemática que viven las mujeres involucradas en un conflicto penal desde una perspectiva novedosa, que transciende del castigo al respaldo y apoyo institucional. </w:t>
      </w:r>
    </w:p>
    <w:p w:rsidR="00530566" w:rsidRPr="00A6130B" w:rsidRDefault="00530566" w:rsidP="00A6130B">
      <w:pPr>
        <w:spacing w:after="100" w:afterAutospacing="1" w:line="240" w:lineRule="auto"/>
        <w:jc w:val="both"/>
        <w:rPr>
          <w:rFonts w:cs="Arial"/>
          <w:bCs/>
          <w:noProof/>
          <w:lang w:val="es-CR"/>
        </w:rPr>
      </w:pPr>
      <w:r w:rsidRPr="00A6130B">
        <w:rPr>
          <w:rFonts w:cs="Arial"/>
          <w:bCs/>
          <w:noProof/>
          <w:lang w:val="es-CR"/>
        </w:rPr>
        <w:t>Adicionalmente, se cuenta con un código institucional para identificar a las mujeres y sus familiares dependientes y con un protocolo de atención preferente y articulado, con el fin de minimizar la revictimización de las mujeres y sus familiares.</w:t>
      </w:r>
    </w:p>
    <w:p w:rsidR="00530566" w:rsidRPr="00A6130B" w:rsidRDefault="00530566" w:rsidP="00A6130B">
      <w:pPr>
        <w:spacing w:after="100" w:afterAutospacing="1" w:line="240" w:lineRule="auto"/>
        <w:jc w:val="both"/>
        <w:rPr>
          <w:rFonts w:cs="Arial"/>
          <w:bCs/>
          <w:noProof/>
          <w:lang w:val="es-CR"/>
        </w:rPr>
      </w:pPr>
      <w:r w:rsidRPr="00A6130B">
        <w:rPr>
          <w:rFonts w:cs="Arial"/>
          <w:bCs/>
          <w:noProof/>
          <w:lang w:val="es-CR"/>
        </w:rPr>
        <w:t>Por otra parte, mujeres en condición de privadas de libertad han sido incorporadas dentro de la Estrategia Nacional de Reducción de la Pobreza Puente al Desarrollo  y se cuentan con una meta específica de atención dentro del Plan Nacional de Desarrollo.</w:t>
      </w:r>
    </w:p>
    <w:p w:rsidR="00530566" w:rsidRPr="00A6130B" w:rsidRDefault="00530566" w:rsidP="00A6130B">
      <w:pPr>
        <w:spacing w:after="100" w:afterAutospacing="1" w:line="240" w:lineRule="auto"/>
        <w:rPr>
          <w:rFonts w:cs="Arial"/>
          <w:bCs/>
          <w:noProof/>
          <w:lang w:val="es-CR"/>
        </w:rPr>
      </w:pPr>
      <w:bookmarkStart w:id="70" w:name="_Toc433717318"/>
      <w:r w:rsidRPr="00A6130B">
        <w:rPr>
          <w:rFonts w:cs="Arial"/>
          <w:b/>
          <w:bCs/>
          <w:noProof/>
          <w:lang w:val="es-CR"/>
        </w:rPr>
        <w:t>Grupo de Mujeres recluidas en el Centro Penitenciario El Buen Pastor</w:t>
      </w:r>
      <w:bookmarkEnd w:id="70"/>
      <w:r w:rsidRPr="00A6130B">
        <w:rPr>
          <w:rFonts w:cs="Arial"/>
          <w:bCs/>
          <w:noProof/>
          <w:lang w:val="es-CR"/>
        </w:rPr>
        <w:t xml:space="preserve">. </w:t>
      </w:r>
      <w:r w:rsidRPr="00A6130B">
        <w:rPr>
          <w:rFonts w:eastAsia="Times New Roman" w:cs="Arial"/>
          <w:bCs/>
          <w:noProof/>
          <w:lang w:val="es-CR"/>
        </w:rPr>
        <w:t>Entre agosto y diciembre de 2015 se llevó un plan piloto con la participación de 60 mujeres distribuidas en dos grupos de 30 participantes cada una, que reciben un subsidio económico mensual. Participaron mujeres jefas de hogar con hijos menores ó otros dependientes, no adictas, prontas a cumplir con la sentencia, con cédula nacional o de residente y con apoyo familiar o de terceros para poder cambiar el cheque que se les otorga como subsidio.</w:t>
      </w:r>
    </w:p>
    <w:p w:rsidR="00530566" w:rsidRPr="00A6130B" w:rsidRDefault="00530566" w:rsidP="00A6130B">
      <w:pPr>
        <w:spacing w:after="100" w:afterAutospacing="1" w:line="240" w:lineRule="auto"/>
        <w:jc w:val="both"/>
        <w:rPr>
          <w:rFonts w:cs="Arial"/>
          <w:bCs/>
          <w:noProof/>
          <w:lang w:val="es-CR"/>
        </w:rPr>
      </w:pPr>
      <w:r w:rsidRPr="00A6130B">
        <w:rPr>
          <w:rFonts w:cs="Arial"/>
          <w:bCs/>
          <w:noProof/>
          <w:lang w:val="es-CR"/>
        </w:rPr>
        <w:t>A través del proceso de formación humana, obtienen apoyo para enfrentar sus situaciones emocionales y psicológicas, así como una nueva etapa en sus vidas y se fortalece la coordinación interinstitucional que permita diseñar un perfil de este tipo de población que a su vez facilite el diseño de una estrategia particular de atención para estos grupos, incluyendo sus familias.</w:t>
      </w:r>
    </w:p>
    <w:p w:rsidR="00594D4E" w:rsidRPr="00A6130B" w:rsidRDefault="00594D4E" w:rsidP="00A6130B">
      <w:pPr>
        <w:spacing w:after="100" w:afterAutospacing="1" w:line="240" w:lineRule="auto"/>
        <w:jc w:val="both"/>
        <w:rPr>
          <w:rFonts w:cs="Arial"/>
          <w:bCs/>
          <w:noProof/>
          <w:lang w:val="es-CR"/>
        </w:rPr>
      </w:pPr>
      <w:r w:rsidRPr="00A6130B">
        <w:rPr>
          <w:rFonts w:cs="Arial"/>
          <w:bCs/>
          <w:noProof/>
          <w:lang w:val="es-CR"/>
        </w:rPr>
        <w:t>En síntesis, con relación a las penas alternativas a la prisión, existe la suspensión del proceso de prueba, que es dictado por el juez bajo condiciones especiales del imputado.  En este caso, el sujeto no es enviado a prisión, sino que queda a las órdenes del programa nivel comunidad del Ministerio de Justicia y Paz, que controla el cumplimiento de pena, sin ingreso a reclusión.</w:t>
      </w:r>
    </w:p>
    <w:p w:rsidR="00594D4E" w:rsidRPr="00A6130B" w:rsidRDefault="00594D4E" w:rsidP="00A6130B">
      <w:pPr>
        <w:spacing w:after="100" w:afterAutospacing="1" w:line="240" w:lineRule="auto"/>
        <w:jc w:val="both"/>
        <w:rPr>
          <w:rFonts w:cs="Arial"/>
          <w:bCs/>
          <w:noProof/>
          <w:lang w:val="es-CR"/>
        </w:rPr>
      </w:pPr>
      <w:r w:rsidRPr="00A6130B">
        <w:rPr>
          <w:rFonts w:cs="Arial"/>
          <w:bCs/>
          <w:noProof/>
          <w:lang w:val="es-CR"/>
        </w:rPr>
        <w:lastRenderedPageBreak/>
        <w:t>Además, el Art. 50 del Código Penal indica las  clases de penas:</w:t>
      </w:r>
    </w:p>
    <w:p w:rsidR="00594D4E" w:rsidRPr="00A6130B" w:rsidRDefault="00594D4E" w:rsidP="00A6130B">
      <w:pPr>
        <w:spacing w:after="100" w:afterAutospacing="1" w:line="240" w:lineRule="auto"/>
        <w:jc w:val="both"/>
        <w:rPr>
          <w:rFonts w:cs="Arial"/>
          <w:bCs/>
          <w:noProof/>
          <w:lang w:val="es-CR"/>
        </w:rPr>
      </w:pPr>
      <w:r w:rsidRPr="00A6130B">
        <w:rPr>
          <w:rFonts w:cs="Arial"/>
          <w:bCs/>
          <w:noProof/>
          <w:lang w:val="es-CR"/>
        </w:rPr>
        <w:t>1) Principales: pris</w:t>
      </w:r>
      <w:bookmarkStart w:id="71" w:name="_GoBack"/>
      <w:bookmarkEnd w:id="71"/>
      <w:r w:rsidRPr="00A6130B">
        <w:rPr>
          <w:rFonts w:cs="Arial"/>
          <w:bCs/>
          <w:noProof/>
          <w:lang w:val="es-CR"/>
        </w:rPr>
        <w:t xml:space="preserve">ión, extrañamiento, multa e inhabilitación. </w:t>
      </w:r>
    </w:p>
    <w:p w:rsidR="00594D4E" w:rsidRPr="00A6130B" w:rsidRDefault="00594D4E" w:rsidP="00A6130B">
      <w:pPr>
        <w:spacing w:after="100" w:afterAutospacing="1" w:line="240" w:lineRule="auto"/>
        <w:jc w:val="both"/>
        <w:rPr>
          <w:rFonts w:cs="Arial"/>
          <w:bCs/>
          <w:noProof/>
          <w:lang w:val="es-CR"/>
        </w:rPr>
      </w:pPr>
      <w:r w:rsidRPr="00A6130B">
        <w:rPr>
          <w:rFonts w:cs="Arial"/>
          <w:bCs/>
          <w:noProof/>
          <w:lang w:val="es-CR"/>
        </w:rPr>
        <w:t xml:space="preserve">2) Accesorias: inhabilitación especial. </w:t>
      </w:r>
    </w:p>
    <w:p w:rsidR="00594D4E" w:rsidRPr="00A6130B" w:rsidRDefault="00594D4E" w:rsidP="00A6130B">
      <w:pPr>
        <w:spacing w:after="100" w:afterAutospacing="1" w:line="240" w:lineRule="auto"/>
        <w:jc w:val="both"/>
        <w:rPr>
          <w:rFonts w:cs="Arial"/>
          <w:bCs/>
          <w:noProof/>
          <w:lang w:val="es-CR"/>
        </w:rPr>
      </w:pPr>
      <w:r w:rsidRPr="00A6130B">
        <w:rPr>
          <w:rFonts w:cs="Arial"/>
          <w:bCs/>
          <w:noProof/>
          <w:lang w:val="es-CR"/>
        </w:rPr>
        <w:t>3) Prestación de servicios de utilidad pública.</w:t>
      </w:r>
    </w:p>
    <w:p w:rsidR="00594D4E" w:rsidRPr="00A6130B" w:rsidRDefault="00594D4E" w:rsidP="00A6130B">
      <w:pPr>
        <w:spacing w:after="100" w:afterAutospacing="1" w:line="240" w:lineRule="auto"/>
        <w:jc w:val="both"/>
        <w:rPr>
          <w:rFonts w:cs="Arial"/>
          <w:bCs/>
          <w:noProof/>
          <w:lang w:val="es-CR"/>
        </w:rPr>
      </w:pPr>
      <w:r w:rsidRPr="00A6130B">
        <w:rPr>
          <w:rFonts w:cs="Arial"/>
          <w:bCs/>
          <w:noProof/>
          <w:lang w:val="es-CR"/>
        </w:rPr>
        <w:t>4)  Arresto domiciliario con monitoreo electrónico.</w:t>
      </w:r>
    </w:p>
    <w:p w:rsidR="00594D4E" w:rsidRPr="00A6130B" w:rsidRDefault="00594D4E" w:rsidP="00A6130B">
      <w:pPr>
        <w:spacing w:after="100" w:afterAutospacing="1" w:line="240" w:lineRule="auto"/>
        <w:jc w:val="both"/>
        <w:rPr>
          <w:rFonts w:cs="Arial"/>
          <w:bCs/>
          <w:noProof/>
          <w:lang w:val="es-CR"/>
        </w:rPr>
      </w:pPr>
      <w:r w:rsidRPr="00A6130B">
        <w:rPr>
          <w:rFonts w:cs="Arial"/>
          <w:bCs/>
          <w:noProof/>
          <w:lang w:val="es-CR"/>
        </w:rPr>
        <w:t>En casos muy excepcionales y para procesos relacionados con infracciones de tránsito, existe el trabajo comunitario como pena.</w:t>
      </w:r>
    </w:p>
    <w:p w:rsidR="00594D4E" w:rsidRPr="00A6130B" w:rsidRDefault="00594D4E" w:rsidP="00A6130B">
      <w:pPr>
        <w:spacing w:after="100" w:afterAutospacing="1" w:line="240" w:lineRule="auto"/>
        <w:jc w:val="both"/>
        <w:rPr>
          <w:rFonts w:cs="Arial"/>
          <w:bCs/>
          <w:noProof/>
          <w:lang w:val="es-CR"/>
        </w:rPr>
      </w:pPr>
      <w:r w:rsidRPr="00A6130B">
        <w:rPr>
          <w:rFonts w:cs="Arial"/>
          <w:bCs/>
          <w:noProof/>
          <w:lang w:val="es-CR"/>
        </w:rPr>
        <w:t xml:space="preserve">Además, existen iniciativas como el programa de justicia restaurativa del Poder Judicial, que busca la conciliación, con el entendimiento entre las partes y la reparación del daño, en aquellos casos donde la conciliación es un elemento válido por la naturaleza del delito cometido. </w:t>
      </w:r>
    </w:p>
    <w:p w:rsidR="007C7AE2" w:rsidRDefault="00594D4E" w:rsidP="007C7AE2">
      <w:pPr>
        <w:spacing w:after="100" w:afterAutospacing="1" w:line="240" w:lineRule="auto"/>
        <w:jc w:val="both"/>
        <w:rPr>
          <w:rFonts w:cs="Arial"/>
          <w:bCs/>
          <w:noProof/>
          <w:lang w:val="es-CR"/>
        </w:rPr>
      </w:pPr>
      <w:r w:rsidRPr="00A6130B">
        <w:rPr>
          <w:rFonts w:cs="Arial"/>
          <w:bCs/>
          <w:noProof/>
          <w:lang w:val="es-CR"/>
        </w:rPr>
        <w:t xml:space="preserve">Procesos similares son llevados en los Centros de Resolución Alternativa de Conflictos, los cuales están bajo control y monitoreo del Ministerio de Justicia y Paz, que buscan la conciliación y el entendimiento entre las partes en diversos asuntos, antes de que se entre en conocimiento de la vía judicial. </w:t>
      </w:r>
    </w:p>
    <w:p w:rsidR="007C7AE2" w:rsidRPr="007C7AE2" w:rsidRDefault="007C7AE2" w:rsidP="007C7AE2">
      <w:pPr>
        <w:spacing w:after="100" w:afterAutospacing="1" w:line="240" w:lineRule="auto"/>
        <w:jc w:val="both"/>
        <w:rPr>
          <w:rFonts w:cs="Arial"/>
          <w:bCs/>
          <w:noProof/>
          <w:lang w:val="es-CR"/>
        </w:rPr>
      </w:pPr>
      <w:r>
        <w:rPr>
          <w:rFonts w:cs="Arial"/>
          <w:bCs/>
          <w:noProof/>
          <w:lang w:val="es-CR"/>
        </w:rPr>
        <w:t xml:space="preserve">En relación con el  </w:t>
      </w:r>
      <w:r w:rsidRPr="007C7AE2">
        <w:rPr>
          <w:rFonts w:cs="Arial"/>
          <w:bCs/>
          <w:i/>
          <w:noProof/>
          <w:lang w:val="es-CR"/>
        </w:rPr>
        <w:t>Proyecto de vigilancia electrónica</w:t>
      </w:r>
      <w:r>
        <w:rPr>
          <w:rFonts w:cs="Arial"/>
          <w:bCs/>
          <w:i/>
          <w:noProof/>
          <w:lang w:val="es-CR"/>
        </w:rPr>
        <w:t xml:space="preserve">, </w:t>
      </w:r>
      <w:r w:rsidRPr="007C7AE2">
        <w:rPr>
          <w:rFonts w:cs="Arial"/>
          <w:bCs/>
          <w:noProof/>
          <w:lang w:val="es-CR"/>
        </w:rPr>
        <w:t xml:space="preserve">el </w:t>
      </w:r>
      <w:r>
        <w:rPr>
          <w:rFonts w:cs="Arial"/>
          <w:bCs/>
          <w:noProof/>
          <w:lang w:val="es-CR"/>
        </w:rPr>
        <w:t xml:space="preserve">proyecto </w:t>
      </w:r>
      <w:r w:rsidRPr="007C7AE2">
        <w:rPr>
          <w:rFonts w:cs="Arial"/>
          <w:bCs/>
          <w:noProof/>
          <w:lang w:val="es-CR"/>
        </w:rPr>
        <w:t xml:space="preserve">constituye un producto del Empréstito BID-Gobierno de Costa Rica: Programa Prevención de la Violencia y Promoción de </w:t>
      </w:r>
      <w:r>
        <w:rPr>
          <w:rFonts w:cs="Arial"/>
          <w:bCs/>
          <w:noProof/>
          <w:lang w:val="es-CR"/>
        </w:rPr>
        <w:t>la Inclusión Social, Ley 9025. S</w:t>
      </w:r>
      <w:r w:rsidRPr="007C7AE2">
        <w:rPr>
          <w:rFonts w:cs="Arial"/>
          <w:bCs/>
          <w:noProof/>
          <w:lang w:val="es-CR"/>
        </w:rPr>
        <w:t>e redefinió el cartel de licitación, al recibir propuestas económicas mucho más elevadas que el monto presupuestado para la fase inicial de la implementación del proyecto. Se ha realizado un estudio para determinar el universo de usuarios  y aplicar la fase piloto, en variables específicas y de acuerdo a la capacidad de seguimiento y gestión del Ministerio de Justicia y Paz.</w:t>
      </w:r>
    </w:p>
    <w:p w:rsidR="007C7AE2" w:rsidRPr="007C7AE2" w:rsidRDefault="007C7AE2" w:rsidP="007C7AE2">
      <w:pPr>
        <w:spacing w:after="100" w:afterAutospacing="1" w:line="240" w:lineRule="auto"/>
        <w:jc w:val="both"/>
        <w:rPr>
          <w:rFonts w:cs="Arial"/>
          <w:bCs/>
          <w:noProof/>
          <w:lang w:val="es-CR"/>
        </w:rPr>
      </w:pPr>
      <w:r w:rsidRPr="007C7AE2">
        <w:rPr>
          <w:rFonts w:cs="Arial"/>
          <w:bCs/>
          <w:noProof/>
          <w:lang w:val="es-CR"/>
        </w:rPr>
        <w:t>Se tiene previsto para inicios del segundo semestre de 2016, concluir la contratación de una empresa que llevará a cabo un plan piloto con la activación de mecanismos de monitoreo electrónico, que incluye la capacitación de funcionarios y el desarrollo de un centro de inteligencia y monitoreo.</w:t>
      </w:r>
    </w:p>
    <w:p w:rsidR="007C7AE2" w:rsidRPr="00A6130B" w:rsidRDefault="007C7AE2" w:rsidP="00A6130B">
      <w:pPr>
        <w:spacing w:after="100" w:afterAutospacing="1" w:line="240" w:lineRule="auto"/>
        <w:jc w:val="both"/>
        <w:rPr>
          <w:rFonts w:cs="Arial"/>
          <w:bCs/>
          <w:noProof/>
          <w:lang w:val="es-CR"/>
        </w:rPr>
      </w:pPr>
      <w:r w:rsidRPr="007C7AE2">
        <w:rPr>
          <w:rFonts w:cs="Arial"/>
          <w:bCs/>
          <w:noProof/>
          <w:lang w:val="es-CR"/>
        </w:rPr>
        <w:t xml:space="preserve">En cumplimiento de la Ley 9271, al no disponer aún del funcionamiento de los mecanismos electrónicos de seguimiento, el Instituto Nacional de Criminología, en su sesión extraordinaria 4921 del 29 de octubre de 2015, determinó que “las personas sentenciadas a las que se imponga arresto domiciliario con mecanismo electrónico, una vez que la sentencia adquiriera firmeza, deberán ser remitidas a las diferentes oficinas del Programa de Atención en Comunidad de la Dirección General de Adaptación Social (…) las acciones de supervisión y seguimiento por parte de la Dirección General de Adaptación Social, se realizarán mediante visita domiciliar, seguimiento telefónico o cualquier otro mecanismo que se estime pertinente”. </w:t>
      </w:r>
    </w:p>
    <w:p w:rsidR="007B6D01" w:rsidRPr="00A6130B" w:rsidRDefault="00486DAB" w:rsidP="00967059">
      <w:pPr>
        <w:pStyle w:val="Heading2"/>
        <w:numPr>
          <w:ilvl w:val="0"/>
          <w:numId w:val="10"/>
        </w:numPr>
        <w:rPr>
          <w:rFonts w:ascii="Calibri" w:hAnsi="Calibri"/>
          <w:sz w:val="24"/>
          <w:szCs w:val="24"/>
        </w:rPr>
      </w:pPr>
      <w:bookmarkStart w:id="72" w:name="_Toc446126666"/>
      <w:r w:rsidRPr="00A6130B">
        <w:rPr>
          <w:rFonts w:ascii="Calibri" w:hAnsi="Calibri"/>
          <w:sz w:val="24"/>
          <w:szCs w:val="24"/>
        </w:rPr>
        <w:t xml:space="preserve">Sírvanse proporcionar información sobre las condiciones del </w:t>
      </w:r>
      <w:r w:rsidR="00226C8C" w:rsidRPr="00A6130B">
        <w:rPr>
          <w:rFonts w:ascii="Calibri" w:hAnsi="Calibri"/>
          <w:sz w:val="24"/>
          <w:szCs w:val="24"/>
        </w:rPr>
        <w:t>C</w:t>
      </w:r>
      <w:r w:rsidR="00802CAE" w:rsidRPr="00A6130B">
        <w:rPr>
          <w:rFonts w:ascii="Calibri" w:hAnsi="Calibri"/>
          <w:sz w:val="24"/>
          <w:szCs w:val="24"/>
        </w:rPr>
        <w:t>entro de</w:t>
      </w:r>
      <w:r w:rsidR="00226C8C" w:rsidRPr="00A6130B">
        <w:rPr>
          <w:rFonts w:ascii="Calibri" w:hAnsi="Calibri"/>
          <w:sz w:val="24"/>
          <w:szCs w:val="24"/>
        </w:rPr>
        <w:t xml:space="preserve"> A</w:t>
      </w:r>
      <w:r w:rsidR="00802CAE" w:rsidRPr="00A6130B">
        <w:rPr>
          <w:rFonts w:ascii="Calibri" w:hAnsi="Calibri"/>
          <w:sz w:val="24"/>
          <w:szCs w:val="24"/>
        </w:rPr>
        <w:t>prehensión</w:t>
      </w:r>
      <w:r w:rsidR="00226C8C" w:rsidRPr="00A6130B">
        <w:rPr>
          <w:rFonts w:ascii="Calibri" w:hAnsi="Calibri"/>
          <w:sz w:val="24"/>
          <w:szCs w:val="24"/>
        </w:rPr>
        <w:t xml:space="preserve"> T</w:t>
      </w:r>
      <w:r w:rsidR="00802CAE" w:rsidRPr="00A6130B">
        <w:rPr>
          <w:rFonts w:ascii="Calibri" w:hAnsi="Calibri"/>
          <w:sz w:val="24"/>
          <w:szCs w:val="24"/>
        </w:rPr>
        <w:t>emporal para</w:t>
      </w:r>
      <w:r w:rsidR="00226C8C" w:rsidRPr="00A6130B">
        <w:rPr>
          <w:rFonts w:ascii="Calibri" w:hAnsi="Calibri"/>
          <w:sz w:val="24"/>
          <w:szCs w:val="24"/>
        </w:rPr>
        <w:t xml:space="preserve"> E</w:t>
      </w:r>
      <w:r w:rsidR="00802CAE" w:rsidRPr="00A6130B">
        <w:rPr>
          <w:rFonts w:ascii="Calibri" w:hAnsi="Calibri"/>
          <w:sz w:val="24"/>
          <w:szCs w:val="24"/>
        </w:rPr>
        <w:t>xtranjeros</w:t>
      </w:r>
      <w:r w:rsidR="00226C8C" w:rsidRPr="00A6130B">
        <w:rPr>
          <w:rFonts w:ascii="Calibri" w:hAnsi="Calibri"/>
          <w:sz w:val="24"/>
          <w:szCs w:val="24"/>
        </w:rPr>
        <w:t xml:space="preserve"> </w:t>
      </w:r>
      <w:r w:rsidR="00802CAE" w:rsidRPr="00A6130B">
        <w:rPr>
          <w:rFonts w:ascii="Calibri" w:hAnsi="Calibri"/>
          <w:sz w:val="24"/>
          <w:szCs w:val="24"/>
        </w:rPr>
        <w:t>en</w:t>
      </w:r>
      <w:r w:rsidR="00226C8C" w:rsidRPr="00A6130B">
        <w:rPr>
          <w:rFonts w:ascii="Calibri" w:hAnsi="Calibri"/>
          <w:sz w:val="24"/>
          <w:szCs w:val="24"/>
        </w:rPr>
        <w:t xml:space="preserve"> C</w:t>
      </w:r>
      <w:r w:rsidR="00802CAE" w:rsidRPr="00A6130B">
        <w:rPr>
          <w:rFonts w:ascii="Calibri" w:hAnsi="Calibri"/>
          <w:sz w:val="24"/>
          <w:szCs w:val="24"/>
        </w:rPr>
        <w:t xml:space="preserve">ondición </w:t>
      </w:r>
      <w:r w:rsidR="00226C8C" w:rsidRPr="00A6130B">
        <w:rPr>
          <w:rFonts w:ascii="Calibri" w:hAnsi="Calibri"/>
          <w:sz w:val="24"/>
          <w:szCs w:val="24"/>
        </w:rPr>
        <w:t>I</w:t>
      </w:r>
      <w:r w:rsidR="00802CAE" w:rsidRPr="00A6130B">
        <w:rPr>
          <w:rFonts w:ascii="Calibri" w:hAnsi="Calibri"/>
          <w:sz w:val="24"/>
          <w:szCs w:val="24"/>
        </w:rPr>
        <w:t xml:space="preserve">rregular </w:t>
      </w:r>
      <w:r w:rsidR="00226C8C" w:rsidRPr="00A6130B">
        <w:rPr>
          <w:rFonts w:ascii="Calibri" w:hAnsi="Calibri"/>
          <w:sz w:val="24"/>
          <w:szCs w:val="24"/>
        </w:rPr>
        <w:t>(CATECI)</w:t>
      </w:r>
      <w:r w:rsidRPr="00A6130B">
        <w:rPr>
          <w:rFonts w:ascii="Calibri" w:hAnsi="Calibri"/>
          <w:sz w:val="24"/>
          <w:szCs w:val="24"/>
        </w:rPr>
        <w:t xml:space="preserve"> y si éstas se ajustan a las normas internacionales. En particular, sírvanse indicar las medidas tomadas para reducir el hacinamiento. Sírvanse aclarar si la legislación nacional establece un límite para la duración de la detención administrativa de extranjeros.</w:t>
      </w:r>
      <w:bookmarkEnd w:id="72"/>
    </w:p>
    <w:p w:rsidR="00DC62D3" w:rsidRDefault="00530566" w:rsidP="00A6130B">
      <w:pPr>
        <w:spacing w:after="100" w:afterAutospacing="1" w:line="240" w:lineRule="auto"/>
        <w:ind w:right="-91"/>
        <w:jc w:val="both"/>
        <w:rPr>
          <w:rFonts w:cs="Arial"/>
          <w:noProof/>
          <w:lang w:val="es-CR"/>
        </w:rPr>
      </w:pPr>
      <w:r w:rsidRPr="00A6130B">
        <w:rPr>
          <w:rFonts w:cs="Arial"/>
          <w:noProof/>
          <w:lang w:val="es-CR"/>
        </w:rPr>
        <w:lastRenderedPageBreak/>
        <w:t xml:space="preserve">El cuanto al Centro de Aprehensión Temporal para Extranjeros en Condición Irregular (CATECI), se ha tratado en lo posible de que cumpla con las normas internacionales, de manera que se garantice los derechos y seguridad de la población aprehendida. Sin embargo, el edificio no es una estructura construida para este fin y data de  varios años. Se le han realizado mejoras, aunque reconocemos que no es la mejor solución y además ofrece una capacidad limitada. </w:t>
      </w:r>
    </w:p>
    <w:p w:rsidR="00DC62D3" w:rsidRPr="00DC62D3" w:rsidRDefault="00DC62D3" w:rsidP="00DC62D3">
      <w:pPr>
        <w:spacing w:after="100" w:afterAutospacing="1" w:line="240" w:lineRule="auto"/>
        <w:ind w:right="-91"/>
        <w:jc w:val="both"/>
        <w:rPr>
          <w:rFonts w:cs="Arial"/>
          <w:noProof/>
          <w:lang w:val="es-CR"/>
        </w:rPr>
      </w:pPr>
      <w:r>
        <w:rPr>
          <w:rFonts w:cs="Arial"/>
          <w:noProof/>
          <w:lang w:val="es-CR"/>
        </w:rPr>
        <w:t xml:space="preserve">En relación con </w:t>
      </w:r>
      <w:r w:rsidRPr="00DC62D3">
        <w:rPr>
          <w:rFonts w:cs="Arial"/>
          <w:noProof/>
          <w:lang w:val="es-CR"/>
        </w:rPr>
        <w:t>el Aeropuerto Internacional Juan Santamaría</w:t>
      </w:r>
      <w:r>
        <w:rPr>
          <w:rFonts w:cs="Arial"/>
          <w:noProof/>
          <w:lang w:val="es-CR"/>
        </w:rPr>
        <w:t>, es necesario aclarar que</w:t>
      </w:r>
      <w:r w:rsidRPr="00DC62D3">
        <w:rPr>
          <w:rFonts w:cs="Arial"/>
          <w:noProof/>
          <w:lang w:val="es-CR"/>
        </w:rPr>
        <w:t xml:space="preserve"> </w:t>
      </w:r>
      <w:r>
        <w:rPr>
          <w:rFonts w:cs="Arial"/>
          <w:noProof/>
          <w:lang w:val="es-CR"/>
        </w:rPr>
        <w:t>NO</w:t>
      </w:r>
      <w:r w:rsidRPr="00DC62D3">
        <w:rPr>
          <w:rFonts w:cs="Arial"/>
          <w:noProof/>
          <w:lang w:val="es-CR"/>
        </w:rPr>
        <w:t xml:space="preserve"> existe un centro de detención. Lo que se ha previsto es un espacio para la permanencia y resguardo de pasajeros en una situación migratoria especial, en acatamiento a una orden de la Sala Constitucional. Lo anterior, en caso de que algún  pasajero que no haya sido admitido en el territorio nacional, interponga algún recurso de Habeas Corpus y/o de Amparo Constitucional para que se le permita el ingreso a Costa Rica. En estos casos, el acto administrativo queda suspendido hasta que la Sala Constitucional resuelva. </w:t>
      </w:r>
    </w:p>
    <w:p w:rsidR="00DC62D3" w:rsidRPr="00DC62D3" w:rsidRDefault="00DC62D3" w:rsidP="00DC62D3">
      <w:pPr>
        <w:spacing w:after="100" w:afterAutospacing="1" w:line="240" w:lineRule="auto"/>
        <w:ind w:right="-91"/>
        <w:jc w:val="both"/>
        <w:rPr>
          <w:rFonts w:cs="Arial"/>
          <w:noProof/>
          <w:lang w:val="es-CR"/>
        </w:rPr>
      </w:pPr>
      <w:r>
        <w:rPr>
          <w:rFonts w:cs="Arial"/>
          <w:noProof/>
          <w:lang w:val="es-CR"/>
        </w:rPr>
        <w:t>En este perí</w:t>
      </w:r>
      <w:r w:rsidRPr="00DC62D3">
        <w:rPr>
          <w:rFonts w:cs="Arial"/>
          <w:noProof/>
          <w:lang w:val="es-CR"/>
        </w:rPr>
        <w:t xml:space="preserve">odo de tiempo la persona extranjera legalmente no ha ingresado al territorio costarricense, razón por la cual no se puede aplicar la figura de detención administrativa, la cual solamente es aplicable en aquellos casos en que la persona ingresa o permanece irregularmente en nuestro país. </w:t>
      </w:r>
    </w:p>
    <w:p w:rsidR="00DC62D3" w:rsidRPr="00DC62D3" w:rsidRDefault="00DC62D3" w:rsidP="00DC62D3">
      <w:pPr>
        <w:spacing w:after="100" w:afterAutospacing="1" w:line="240" w:lineRule="auto"/>
        <w:ind w:right="-91"/>
        <w:jc w:val="both"/>
        <w:rPr>
          <w:rFonts w:cs="Arial"/>
          <w:noProof/>
          <w:lang w:val="es-CR"/>
        </w:rPr>
      </w:pPr>
      <w:r w:rsidRPr="00DC62D3">
        <w:rPr>
          <w:rFonts w:cs="Arial"/>
          <w:noProof/>
          <w:lang w:val="es-CR"/>
        </w:rPr>
        <w:t>El espacio siempre permanece limpio, posee servicio de agua, electricidad, dos habitaciones con camas, una sala de espera, servicio sanitario, ducha, sillas y una mesa. No es una sala de detención. La misma está bajo la autoridad de la Dirección General de Migración y Extranjería pero le pertenece al Administrador del Aeropuerto.</w:t>
      </w:r>
    </w:p>
    <w:p w:rsidR="00DC62D3" w:rsidRPr="00DC62D3" w:rsidRDefault="00DC62D3" w:rsidP="00DC62D3">
      <w:pPr>
        <w:spacing w:after="100" w:afterAutospacing="1" w:line="240" w:lineRule="auto"/>
        <w:ind w:right="-91"/>
        <w:jc w:val="both"/>
        <w:rPr>
          <w:rFonts w:cs="Arial"/>
          <w:noProof/>
          <w:lang w:val="es-CR"/>
        </w:rPr>
      </w:pPr>
      <w:r w:rsidRPr="00DC62D3">
        <w:rPr>
          <w:rFonts w:cs="Arial"/>
          <w:noProof/>
          <w:lang w:val="es-CR"/>
        </w:rPr>
        <w:t xml:space="preserve">Las personas permanecen el tiempo estrictamente necesario mientras la Sala Constitucional contesta afirmativa o negativamente para el accionante su petitoria. El pasajero o pasajera permanece siendo alimentado por personal de la aerolínea con la supervisión de la Policía Profesional de Migración. </w:t>
      </w:r>
    </w:p>
    <w:p w:rsidR="00DC62D3" w:rsidRDefault="00DC62D3" w:rsidP="00A6130B">
      <w:pPr>
        <w:spacing w:after="100" w:afterAutospacing="1" w:line="240" w:lineRule="auto"/>
        <w:ind w:right="-91"/>
        <w:jc w:val="both"/>
        <w:rPr>
          <w:rFonts w:cs="Arial"/>
          <w:noProof/>
          <w:lang w:val="es-CR"/>
        </w:rPr>
      </w:pPr>
      <w:r w:rsidRPr="00DC62D3">
        <w:rPr>
          <w:rFonts w:cs="Arial"/>
          <w:noProof/>
          <w:lang w:val="es-CR"/>
        </w:rPr>
        <w:t>La capacidad máxima es para cuatro personas con todas las comodidades. Al momento de rendir este informe, no se encuentra ninguna persona en esta situación</w:t>
      </w:r>
      <w:r>
        <w:rPr>
          <w:rFonts w:cs="Arial"/>
          <w:noProof/>
          <w:lang w:val="es-CR"/>
        </w:rPr>
        <w:t>.</w:t>
      </w:r>
    </w:p>
    <w:p w:rsidR="00B7610D" w:rsidRPr="00A6130B" w:rsidRDefault="00B7610D" w:rsidP="00B7610D">
      <w:pPr>
        <w:spacing w:after="0" w:line="240" w:lineRule="auto"/>
        <w:ind w:right="-91"/>
        <w:jc w:val="both"/>
        <w:rPr>
          <w:rFonts w:cs="Arial"/>
          <w:noProof/>
          <w:lang w:val="es-CR"/>
        </w:rPr>
      </w:pPr>
    </w:p>
    <w:p w:rsidR="00486DAB" w:rsidRPr="00A6130B" w:rsidRDefault="00547684" w:rsidP="00967059">
      <w:pPr>
        <w:pStyle w:val="Heading3"/>
        <w:numPr>
          <w:ilvl w:val="0"/>
          <w:numId w:val="20"/>
        </w:numPr>
        <w:spacing w:line="240" w:lineRule="auto"/>
        <w:rPr>
          <w:rFonts w:ascii="Calibri" w:hAnsi="Calibri"/>
          <w:color w:val="1F4E79"/>
        </w:rPr>
      </w:pPr>
      <w:bookmarkStart w:id="73" w:name="_Toc446126667"/>
      <w:r w:rsidRPr="00A6130B">
        <w:rPr>
          <w:rFonts w:ascii="Calibri" w:hAnsi="Calibri"/>
          <w:color w:val="1F4E79"/>
        </w:rPr>
        <w:t>Medidas tomadas para reducir el hacinamiento</w:t>
      </w:r>
      <w:bookmarkEnd w:id="73"/>
    </w:p>
    <w:p w:rsidR="00DC62D3" w:rsidRDefault="00DC62D3" w:rsidP="00B7610D">
      <w:pPr>
        <w:spacing w:after="0" w:line="240" w:lineRule="auto"/>
        <w:ind w:right="-91"/>
        <w:jc w:val="both"/>
        <w:rPr>
          <w:rFonts w:cs="Arial"/>
          <w:noProof/>
          <w:lang w:val="es-CR"/>
        </w:rPr>
      </w:pPr>
    </w:p>
    <w:p w:rsidR="00DC62D3" w:rsidRPr="00DC62D3" w:rsidRDefault="00DC62D3" w:rsidP="00B7610D">
      <w:pPr>
        <w:spacing w:after="0" w:line="240" w:lineRule="auto"/>
        <w:ind w:right="-91"/>
        <w:jc w:val="both"/>
        <w:rPr>
          <w:rFonts w:cs="Arial"/>
          <w:noProof/>
          <w:lang w:val="es-CR"/>
        </w:rPr>
      </w:pPr>
      <w:r>
        <w:rPr>
          <w:rFonts w:cs="Arial"/>
          <w:noProof/>
          <w:lang w:val="es-CR"/>
        </w:rPr>
        <w:t>Dada la capacidad limitada del Centro,</w:t>
      </w:r>
      <w:r w:rsidRPr="00DC62D3">
        <w:rPr>
          <w:rFonts w:cs="Arial"/>
          <w:noProof/>
          <w:lang w:val="es-CR"/>
        </w:rPr>
        <w:t xml:space="preserve"> la Dirección General de Migración aplica otras medidas como:</w:t>
      </w:r>
    </w:p>
    <w:p w:rsidR="00DC62D3" w:rsidRPr="00DC62D3" w:rsidRDefault="00DC62D3" w:rsidP="00DC62D3">
      <w:pPr>
        <w:numPr>
          <w:ilvl w:val="0"/>
          <w:numId w:val="42"/>
        </w:numPr>
        <w:spacing w:after="100" w:afterAutospacing="1" w:line="240" w:lineRule="auto"/>
        <w:ind w:right="-91"/>
        <w:jc w:val="both"/>
        <w:rPr>
          <w:rFonts w:cs="Arial"/>
          <w:noProof/>
          <w:lang w:val="es-CR"/>
        </w:rPr>
      </w:pPr>
      <w:r w:rsidRPr="00DC62D3">
        <w:rPr>
          <w:rFonts w:cs="Arial"/>
          <w:noProof/>
          <w:lang w:val="es-CR"/>
        </w:rPr>
        <w:t>Limitar la cantidad de personas aprehendidas: El CATECI actualmente tiene un área de 831.88 metros cuadrados, y una capacidad para atender 50 personas en condición de aprehendidos, es una población muy fluctuante.</w:t>
      </w:r>
    </w:p>
    <w:p w:rsidR="00DC62D3" w:rsidRPr="00DC62D3" w:rsidRDefault="00DC62D3" w:rsidP="00DC62D3">
      <w:pPr>
        <w:numPr>
          <w:ilvl w:val="0"/>
          <w:numId w:val="42"/>
        </w:numPr>
        <w:spacing w:after="100" w:afterAutospacing="1" w:line="240" w:lineRule="auto"/>
        <w:ind w:right="-91"/>
        <w:jc w:val="both"/>
        <w:rPr>
          <w:rFonts w:cs="Arial"/>
          <w:noProof/>
          <w:lang w:val="es-CR"/>
        </w:rPr>
      </w:pPr>
      <w:r w:rsidRPr="00DC62D3">
        <w:rPr>
          <w:rFonts w:cs="Arial"/>
          <w:noProof/>
          <w:lang w:val="es-CR"/>
        </w:rPr>
        <w:t xml:space="preserve">Aplicación de medidas alternativas y menos gravosas a la aprehensión como: la citación, que es la firma periódica ante la Dirección de la Policía Profesional de Migración; el decomiso temporal de documento; o la detención domiciliaria, siempre y cuando se determine que la persona no es requerida por otra autoridad. </w:t>
      </w:r>
    </w:p>
    <w:p w:rsidR="00DC62D3" w:rsidRPr="00DC62D3" w:rsidRDefault="00DC62D3" w:rsidP="00DC62D3">
      <w:pPr>
        <w:numPr>
          <w:ilvl w:val="0"/>
          <w:numId w:val="42"/>
        </w:numPr>
        <w:spacing w:after="100" w:afterAutospacing="1" w:line="240" w:lineRule="auto"/>
        <w:ind w:right="-91"/>
        <w:jc w:val="both"/>
        <w:rPr>
          <w:rFonts w:cs="Arial"/>
          <w:noProof/>
          <w:lang w:val="es-CR"/>
        </w:rPr>
      </w:pPr>
      <w:r w:rsidRPr="00DC62D3">
        <w:rPr>
          <w:rFonts w:cs="Arial"/>
          <w:noProof/>
          <w:lang w:val="es-CR"/>
        </w:rPr>
        <w:t xml:space="preserve">La aprehensión no se aplica a personas con discapacidad, adultos mayores, personas menores de edad, mujeres en estado de embarazo y personas con enfermedad terminal. </w:t>
      </w:r>
    </w:p>
    <w:p w:rsidR="00DC62D3" w:rsidRPr="00DC62D3" w:rsidRDefault="00DC62D3" w:rsidP="00DC62D3">
      <w:pPr>
        <w:numPr>
          <w:ilvl w:val="0"/>
          <w:numId w:val="42"/>
        </w:numPr>
        <w:spacing w:after="100" w:afterAutospacing="1" w:line="240" w:lineRule="auto"/>
        <w:ind w:right="-91"/>
        <w:jc w:val="both"/>
        <w:rPr>
          <w:rFonts w:cs="Arial"/>
          <w:noProof/>
          <w:lang w:val="es-CR"/>
        </w:rPr>
      </w:pPr>
      <w:r w:rsidRPr="00DC62D3">
        <w:rPr>
          <w:rFonts w:cs="Arial"/>
          <w:noProof/>
          <w:lang w:val="es-CR"/>
        </w:rPr>
        <w:t>Se autoriza a personas extranjeras en estado migratorio irregular por vencimiento de su plazo de permanencia, comprar el tiquete de retorno a su país, con el fin de acelerar el trámite Migratorio, siempre y cuando no tengan asuntos pendientes con alguna otra autoridad ni provengan de centros penales.</w:t>
      </w:r>
    </w:p>
    <w:p w:rsidR="00DC62D3" w:rsidRDefault="00DC62D3" w:rsidP="00B7610D">
      <w:pPr>
        <w:spacing w:after="0" w:line="240" w:lineRule="auto"/>
        <w:ind w:right="-91"/>
        <w:jc w:val="both"/>
        <w:rPr>
          <w:rFonts w:cs="Arial"/>
          <w:noProof/>
          <w:lang w:val="es-CR"/>
        </w:rPr>
      </w:pPr>
      <w:r w:rsidRPr="00DC62D3">
        <w:rPr>
          <w:rFonts w:cs="Arial"/>
          <w:noProof/>
          <w:lang w:val="es-CR"/>
        </w:rPr>
        <w:lastRenderedPageBreak/>
        <w:t>Cada caso se analiza para determinar cuál es la medida más apropiada a fin de aplicar una medida cautelar que no ponga en riesgo a la persona aprehendida.</w:t>
      </w:r>
    </w:p>
    <w:p w:rsidR="00B7610D" w:rsidRPr="00DC62D3" w:rsidRDefault="00B7610D" w:rsidP="00B7610D">
      <w:pPr>
        <w:spacing w:after="0" w:line="240" w:lineRule="auto"/>
        <w:ind w:right="-91"/>
        <w:jc w:val="both"/>
        <w:rPr>
          <w:rFonts w:cs="Arial"/>
          <w:noProof/>
          <w:lang w:val="es-CR"/>
        </w:rPr>
      </w:pPr>
    </w:p>
    <w:p w:rsidR="00547684" w:rsidRPr="00A6130B" w:rsidRDefault="00547684" w:rsidP="00967059">
      <w:pPr>
        <w:pStyle w:val="Heading3"/>
        <w:numPr>
          <w:ilvl w:val="0"/>
          <w:numId w:val="20"/>
        </w:numPr>
        <w:spacing w:line="240" w:lineRule="auto"/>
        <w:rPr>
          <w:rFonts w:ascii="Calibri" w:hAnsi="Calibri"/>
          <w:color w:val="1F4E79"/>
        </w:rPr>
      </w:pPr>
      <w:bookmarkStart w:id="74" w:name="_Toc446126668"/>
      <w:r w:rsidRPr="00A6130B">
        <w:rPr>
          <w:rFonts w:ascii="Calibri" w:hAnsi="Calibri"/>
          <w:color w:val="1F4E79"/>
        </w:rPr>
        <w:t>Límite para la duración de la detención administrativa de extranjeros</w:t>
      </w:r>
      <w:bookmarkEnd w:id="74"/>
    </w:p>
    <w:p w:rsidR="00547684" w:rsidRPr="00A6130B" w:rsidRDefault="00547684" w:rsidP="00B7610D">
      <w:pPr>
        <w:spacing w:after="0" w:line="240" w:lineRule="auto"/>
        <w:ind w:right="51"/>
        <w:jc w:val="both"/>
        <w:rPr>
          <w:rFonts w:cs="Arial"/>
          <w:noProof/>
          <w:lang w:val="es-CR"/>
        </w:rPr>
      </w:pPr>
    </w:p>
    <w:p w:rsidR="00547684" w:rsidRPr="00A6130B" w:rsidRDefault="00547684" w:rsidP="00B7610D">
      <w:pPr>
        <w:spacing w:after="0" w:line="240" w:lineRule="auto"/>
        <w:rPr>
          <w:rFonts w:cs="Arial"/>
          <w:noProof/>
          <w:lang w:val="es-CR"/>
        </w:rPr>
      </w:pPr>
      <w:r w:rsidRPr="00A6130B">
        <w:rPr>
          <w:rFonts w:cs="Arial"/>
          <w:b/>
          <w:noProof/>
          <w:lang w:val="es-CR"/>
        </w:rPr>
        <w:t>Para los casos de de extranjeros</w:t>
      </w:r>
      <w:r w:rsidRPr="00A6130B">
        <w:rPr>
          <w:rFonts w:cs="Arial"/>
          <w:noProof/>
          <w:lang w:val="es-CR"/>
        </w:rPr>
        <w:t>, el artículo 31, inciso 5, punto  a) de la Ley General de Migración y Extranjería No 8764 establece:</w:t>
      </w:r>
    </w:p>
    <w:p w:rsidR="00547684" w:rsidRPr="00A6130B" w:rsidRDefault="00547684" w:rsidP="00A6130B">
      <w:pPr>
        <w:spacing w:after="0" w:line="240" w:lineRule="auto"/>
        <w:rPr>
          <w:rFonts w:cs="Arial"/>
          <w:noProof/>
          <w:lang w:val="es-CR"/>
        </w:rPr>
      </w:pPr>
    </w:p>
    <w:p w:rsidR="00547684" w:rsidRPr="00A6130B" w:rsidRDefault="00547684" w:rsidP="00A6130B">
      <w:pPr>
        <w:spacing w:after="100" w:afterAutospacing="1" w:line="240" w:lineRule="auto"/>
        <w:jc w:val="both"/>
        <w:rPr>
          <w:rFonts w:cs="Arial"/>
          <w:noProof/>
          <w:lang w:val="es-CR"/>
        </w:rPr>
      </w:pPr>
      <w:r w:rsidRPr="00A6130B">
        <w:rPr>
          <w:rFonts w:cs="Arial"/>
          <w:noProof/>
          <w:lang w:val="es-CR"/>
        </w:rPr>
        <w:t>“Aprehensión cautelar por un máximo de veinticuatro horas, para efectos de verificar su condición migratoria. Este plazo podrá ser ampliado en situaciones especiales y bajo resolución justificada y emitida por el director general. Confirmada la infracción migratoria y de descartarse otra medida menos gravosa, la Dirección General deberá dictar el procedimiento de Deportación.”</w:t>
      </w:r>
    </w:p>
    <w:p w:rsidR="00547684" w:rsidRPr="00A6130B" w:rsidRDefault="00547684" w:rsidP="00A6130B">
      <w:pPr>
        <w:spacing w:after="100" w:afterAutospacing="1" w:line="240" w:lineRule="auto"/>
        <w:jc w:val="both"/>
        <w:rPr>
          <w:rFonts w:cs="Arial"/>
          <w:noProof/>
          <w:lang w:val="es-CR"/>
        </w:rPr>
      </w:pPr>
      <w:r w:rsidRPr="00A6130B">
        <w:rPr>
          <w:rFonts w:cs="Arial"/>
          <w:noProof/>
          <w:lang w:val="es-CR"/>
        </w:rPr>
        <w:t xml:space="preserve">Por su parte el Reglamento de Control Migratorio amplia algunos aspectos, primero aclara que en el caso de personas menores de edad, éstas son puestas a disposición del Patronato Nacional de la Infancia. Segundo, que de determinarse que una persona goza de permanencia legal, se procederá a su inmediata liberación. </w:t>
      </w:r>
    </w:p>
    <w:p w:rsidR="00547684" w:rsidRPr="00A6130B" w:rsidRDefault="00547684" w:rsidP="00A6130B">
      <w:pPr>
        <w:spacing w:after="100" w:afterAutospacing="1" w:line="240" w:lineRule="auto"/>
        <w:jc w:val="both"/>
        <w:rPr>
          <w:rFonts w:cs="Arial"/>
          <w:noProof/>
          <w:lang w:val="es-CR"/>
        </w:rPr>
      </w:pPr>
      <w:r w:rsidRPr="00A6130B">
        <w:rPr>
          <w:rFonts w:cs="Arial"/>
          <w:noProof/>
          <w:lang w:val="es-CR"/>
        </w:rPr>
        <w:t>En cuanto a la detención como medida cautelar establece el artículo 31, inciso 5) punto b)</w:t>
      </w:r>
    </w:p>
    <w:p w:rsidR="005F169F" w:rsidRPr="005F169F" w:rsidRDefault="00547684" w:rsidP="005F169F">
      <w:pPr>
        <w:spacing w:after="100" w:afterAutospacing="1" w:line="240" w:lineRule="auto"/>
        <w:jc w:val="both"/>
        <w:rPr>
          <w:rFonts w:cs="Arial"/>
          <w:noProof/>
          <w:lang w:val="es-CR"/>
        </w:rPr>
      </w:pPr>
      <w:r w:rsidRPr="00A6130B">
        <w:rPr>
          <w:rFonts w:cs="Arial"/>
          <w:noProof/>
          <w:lang w:val="es-CR"/>
        </w:rPr>
        <w:t>“Una vez resuelta la identificación de la persona extranjera, por parte del consulado de su país de origen, la detención administrativa no podrá exceder el plazo máximo de treinta días naturales y en dicho término deberá ejecutarse la deportación dictada. Este plazo podrá ser ampliado en situaciones especiales y justificadas por parte de la Dirección General”.</w:t>
      </w:r>
    </w:p>
    <w:p w:rsidR="005F169F" w:rsidRPr="005F169F" w:rsidRDefault="005F169F" w:rsidP="005F169F">
      <w:pPr>
        <w:spacing w:after="100" w:afterAutospacing="1" w:line="240" w:lineRule="auto"/>
        <w:jc w:val="both"/>
        <w:rPr>
          <w:rFonts w:cs="Arial"/>
          <w:noProof/>
          <w:lang w:val="es-CR"/>
        </w:rPr>
      </w:pPr>
      <w:r>
        <w:rPr>
          <w:rFonts w:cs="Arial"/>
          <w:noProof/>
          <w:lang w:val="es-CR"/>
        </w:rPr>
        <w:t>En resumen el procedimiento es el siguiente:</w:t>
      </w:r>
      <w:r w:rsidRPr="005F169F">
        <w:rPr>
          <w:rFonts w:cs="Arial"/>
          <w:noProof/>
          <w:lang w:val="es-CR"/>
        </w:rPr>
        <w:t xml:space="preserve"> una vez que un extranjero es puesto por cualquier autoridad a la orden de la Policía Profesional de Migración, se cuenta con un plazo de 24 horas para verificar su condición migratoria. Una vez constatada su condición irregular, se le notifica la detención administrativa indicándole los motivos de la aprehensión.</w:t>
      </w:r>
      <w:r>
        <w:rPr>
          <w:rFonts w:cs="Arial"/>
          <w:noProof/>
          <w:lang w:val="es-CR"/>
        </w:rPr>
        <w:t xml:space="preserve"> U</w:t>
      </w:r>
      <w:r w:rsidRPr="005F169F">
        <w:rPr>
          <w:rFonts w:cs="Arial"/>
          <w:noProof/>
          <w:lang w:val="es-CR"/>
        </w:rPr>
        <w:t xml:space="preserve">na vez resuelta la identificación de la persona extranjera, por parte del consulado de su país de origen o porque la persona aporte su documento de identificación, la Administración cuenta con 30 días para ejecutar la deportación. </w:t>
      </w:r>
    </w:p>
    <w:p w:rsidR="005F169F" w:rsidRPr="005F169F" w:rsidRDefault="005F169F" w:rsidP="005F169F">
      <w:pPr>
        <w:spacing w:after="100" w:afterAutospacing="1" w:line="240" w:lineRule="auto"/>
        <w:jc w:val="both"/>
        <w:rPr>
          <w:rFonts w:cs="Arial"/>
          <w:noProof/>
          <w:lang w:val="es-CR"/>
        </w:rPr>
      </w:pPr>
      <w:bookmarkStart w:id="75" w:name="Pg5"/>
      <w:bookmarkStart w:id="76" w:name="Pg6"/>
      <w:bookmarkEnd w:id="75"/>
      <w:bookmarkEnd w:id="76"/>
      <w:r w:rsidRPr="005F169F">
        <w:rPr>
          <w:rFonts w:cs="Arial"/>
          <w:noProof/>
          <w:lang w:val="es-CR"/>
        </w:rPr>
        <w:t>Interesa aclarar que cuando se detecta extranjeros acompañados de personas menores de edad, de inmediato se le comunica al Patronato Nacional de la Infancia (PANI). En coordinación con la Dirección de la Policía Profesional de Migración, se determina si los adultos se trasladan al Centro de Aprehensión y los menores al PANI. Si  las personas menores de edad son separados de sus progenitores, se coordina con el PANI para trasladar a estos segundos de forma periódica al albergue donde esté el menor, así como facilitarles el teléfono para que se mantenga en contacto con los sus hijos.</w:t>
      </w:r>
      <w:r>
        <w:rPr>
          <w:rFonts w:cs="Arial"/>
          <w:noProof/>
          <w:lang w:val="es-CR"/>
        </w:rPr>
        <w:t xml:space="preserve"> </w:t>
      </w:r>
      <w:r w:rsidRPr="005F169F">
        <w:rPr>
          <w:rFonts w:cs="Arial"/>
          <w:noProof/>
          <w:lang w:val="es-CR"/>
        </w:rPr>
        <w:t>Generalmente en estos casos interviene la unidad de Trata y Trafico de la Dirección General de Migración y Extranjería, dado que los extranjeros son detectados en vehículos particulares. Se coordina con ACNUR o la OIM para contar con su colaboración. En la mayoría de los casos se logra albergar a las personas extranjeras en hoteles, siempre velando por el interés superior de las personas menores de edad.</w:t>
      </w:r>
      <w:r>
        <w:rPr>
          <w:rFonts w:cs="Arial"/>
          <w:noProof/>
          <w:lang w:val="es-CR"/>
        </w:rPr>
        <w:t xml:space="preserve"> </w:t>
      </w:r>
      <w:r w:rsidRPr="005F169F">
        <w:rPr>
          <w:rFonts w:cs="Arial"/>
          <w:noProof/>
          <w:lang w:val="es-CR"/>
        </w:rPr>
        <w:t>Cabe mencionar que la Dirección General de Migración y Extranjería ha albergado en hoteles  a gran cantidad de extranjeros con el fin de no separar el vínculo familiar.</w:t>
      </w:r>
    </w:p>
    <w:p w:rsidR="005F169F" w:rsidRPr="00A6130B" w:rsidRDefault="005F169F" w:rsidP="00A6130B">
      <w:pPr>
        <w:spacing w:after="100" w:afterAutospacing="1" w:line="240" w:lineRule="auto"/>
        <w:jc w:val="both"/>
        <w:rPr>
          <w:rFonts w:cs="Arial"/>
          <w:noProof/>
          <w:lang w:val="es-CR"/>
        </w:rPr>
      </w:pPr>
      <w:r w:rsidRPr="005F169F">
        <w:rPr>
          <w:rFonts w:cs="Arial"/>
          <w:noProof/>
          <w:lang w:val="es-CR"/>
        </w:rPr>
        <w:lastRenderedPageBreak/>
        <w:t>Costa Rica ha asumido la obligación estatal de garantizarles a los niños, niñas y adolescentes el disfrute de sus derechos fundamentales. Por lo anterior, la Dirección General de Migración y Extranjería y el Patronato Nacional de la Infancia, diseñaron un Protocolo para la Atención de las Personas Menores de Edad Extranjeras, cuyos padres, madres, familiares o personas responsables se encuentren sometidos a un proceso de deportación, esto. El protocolo está basado en principios y enfoques rectores de la Política Nacional para la Niñez y la Adolescencia.</w:t>
      </w:r>
    </w:p>
    <w:p w:rsidR="00226C8C" w:rsidRPr="00A6130B" w:rsidRDefault="00547684" w:rsidP="00967059">
      <w:pPr>
        <w:pStyle w:val="Heading2"/>
        <w:numPr>
          <w:ilvl w:val="0"/>
          <w:numId w:val="10"/>
        </w:numPr>
        <w:rPr>
          <w:rFonts w:ascii="Calibri" w:hAnsi="Calibri"/>
          <w:sz w:val="24"/>
          <w:szCs w:val="24"/>
        </w:rPr>
      </w:pPr>
      <w:bookmarkStart w:id="77" w:name="_Toc446126669"/>
      <w:r w:rsidRPr="00A6130B">
        <w:rPr>
          <w:rFonts w:ascii="Calibri" w:hAnsi="Calibri"/>
          <w:sz w:val="24"/>
          <w:szCs w:val="24"/>
        </w:rPr>
        <w:t>Sírvanse proporcionar información sobre las m</w:t>
      </w:r>
      <w:r w:rsidR="006A5FEB" w:rsidRPr="00A6130B">
        <w:rPr>
          <w:rFonts w:ascii="Calibri" w:hAnsi="Calibri"/>
          <w:sz w:val="24"/>
          <w:szCs w:val="24"/>
        </w:rPr>
        <w:t>edidas tomadas por el Estado para prevenir dilaciones indebidas en los procesos judiciales</w:t>
      </w:r>
      <w:r w:rsidRPr="00A6130B">
        <w:rPr>
          <w:rFonts w:ascii="Calibri" w:hAnsi="Calibri"/>
          <w:sz w:val="24"/>
          <w:szCs w:val="24"/>
        </w:rPr>
        <w:t>, de acuerdo con el artículo 14 del Pacto.</w:t>
      </w:r>
      <w:bookmarkEnd w:id="77"/>
    </w:p>
    <w:p w:rsidR="00530566" w:rsidRPr="006A6E20" w:rsidRDefault="00530566" w:rsidP="00A6130B">
      <w:pPr>
        <w:spacing w:before="120" w:after="100" w:afterAutospacing="1" w:line="240" w:lineRule="auto"/>
        <w:jc w:val="both"/>
        <w:rPr>
          <w:rFonts w:cs="Arial"/>
          <w:noProof/>
          <w:lang w:val="es-CR"/>
        </w:rPr>
      </w:pPr>
      <w:r w:rsidRPr="006A6E20">
        <w:rPr>
          <w:rFonts w:cs="Arial"/>
          <w:noProof/>
          <w:lang w:val="es-CR"/>
        </w:rPr>
        <w:t>El Estado costarricense ha adoptado diversas medidas tendientes a mejorar los plazos en que se resuelven los procesos jurisdiccionales:</w:t>
      </w:r>
    </w:p>
    <w:p w:rsidR="00530566" w:rsidRPr="006A6E20" w:rsidRDefault="00530566" w:rsidP="00967059">
      <w:pPr>
        <w:pStyle w:val="ListParagraph"/>
        <w:numPr>
          <w:ilvl w:val="0"/>
          <w:numId w:val="3"/>
        </w:numPr>
        <w:spacing w:before="120" w:after="100" w:afterAutospacing="1" w:line="240" w:lineRule="auto"/>
        <w:ind w:left="360"/>
        <w:contextualSpacing w:val="0"/>
        <w:jc w:val="both"/>
        <w:rPr>
          <w:rFonts w:cs="Arial"/>
          <w:noProof/>
          <w:lang w:val="es-CR"/>
        </w:rPr>
      </w:pPr>
      <w:r w:rsidRPr="006A6E20">
        <w:rPr>
          <w:rFonts w:cs="Arial"/>
          <w:noProof/>
          <w:lang w:val="es-CR"/>
        </w:rPr>
        <w:t xml:space="preserve">El Poder Judicial ha promovido la reforma procesal en varios ámbitos jurisdiccionales. Dichas reformas están basadas en la oralidad, en la organización de los procesos por audiencias y en la inmediación. Han propiciado mejores tiempos de respuesta, reglas más accesibles para el ejercicio de la acción procesal y una mejor distribución de los roles procesales. </w:t>
      </w:r>
    </w:p>
    <w:p w:rsidR="00530566" w:rsidRPr="006A6E20" w:rsidRDefault="00530566" w:rsidP="00967059">
      <w:pPr>
        <w:pStyle w:val="ListParagraph"/>
        <w:numPr>
          <w:ilvl w:val="0"/>
          <w:numId w:val="3"/>
        </w:numPr>
        <w:spacing w:before="120" w:after="100" w:afterAutospacing="1" w:line="240" w:lineRule="auto"/>
        <w:ind w:left="360"/>
        <w:contextualSpacing w:val="0"/>
        <w:jc w:val="both"/>
        <w:rPr>
          <w:rFonts w:cs="Arial"/>
          <w:noProof/>
          <w:lang w:val="es-CR"/>
        </w:rPr>
      </w:pPr>
      <w:r w:rsidRPr="006A6E20">
        <w:rPr>
          <w:rFonts w:cs="Arial"/>
          <w:noProof/>
          <w:lang w:val="es-CR"/>
        </w:rPr>
        <w:t>En 1998 se dio la reforma en materia penal, con la potenciación del proceso acusatorio, que había sido establecido desde 1973. Posteriormente, fue transformado el Proceso Contencioso Administrativo (2008), laboral (2016) y Civil (2016). Todos estos cambios se lograron gracias a una sana alianza entre los poderes del Estado, preocupados por modernizar el proceso jurisdiccional.</w:t>
      </w:r>
    </w:p>
    <w:p w:rsidR="00530566" w:rsidRPr="006A6E20" w:rsidRDefault="00530566" w:rsidP="00967059">
      <w:pPr>
        <w:pStyle w:val="ListParagraph"/>
        <w:numPr>
          <w:ilvl w:val="0"/>
          <w:numId w:val="3"/>
        </w:numPr>
        <w:spacing w:before="120" w:after="100" w:afterAutospacing="1" w:line="240" w:lineRule="auto"/>
        <w:ind w:left="360"/>
        <w:contextualSpacing w:val="0"/>
        <w:jc w:val="both"/>
        <w:rPr>
          <w:rFonts w:cs="Arial"/>
          <w:noProof/>
          <w:lang w:val="es-CR"/>
        </w:rPr>
      </w:pPr>
      <w:r w:rsidRPr="006A6E20">
        <w:rPr>
          <w:rFonts w:cs="Arial"/>
          <w:noProof/>
          <w:lang w:val="es-CR"/>
        </w:rPr>
        <w:t>Una medida de gran relevancia adoptada por el Poder Judicial para mejorar el servicio de administración de justicia lo constituye el proyecto GICA/JUSTICIA, por medio del cual, se estableció un sistema propio de acreditación y control de la calidad, basado en una norma diseñada al efecto. Con ello se toman medidas tangibles para lograr un servicio más rápido, eficaz y de calidad.</w:t>
      </w:r>
    </w:p>
    <w:p w:rsidR="00530566" w:rsidRPr="006A6E20" w:rsidRDefault="00530566" w:rsidP="00967059">
      <w:pPr>
        <w:pStyle w:val="ListParagraph"/>
        <w:numPr>
          <w:ilvl w:val="0"/>
          <w:numId w:val="3"/>
        </w:numPr>
        <w:spacing w:before="120" w:after="100" w:afterAutospacing="1" w:line="240" w:lineRule="auto"/>
        <w:ind w:left="360"/>
        <w:contextualSpacing w:val="0"/>
        <w:jc w:val="both"/>
        <w:rPr>
          <w:rFonts w:cs="Arial"/>
          <w:noProof/>
          <w:lang w:val="es-CR"/>
        </w:rPr>
      </w:pPr>
      <w:r w:rsidRPr="006A6E20">
        <w:rPr>
          <w:rFonts w:cs="Arial"/>
          <w:noProof/>
          <w:lang w:val="es-CR"/>
        </w:rPr>
        <w:t>Desde hace dos años estableció mecanismos para la evaluación del desempeño de los funcionario judiciales, que contribuyan a generar un ambiente de compromiso y eficiencia en la prestación del servicio.</w:t>
      </w:r>
    </w:p>
    <w:p w:rsidR="00530566" w:rsidRPr="006A6E20" w:rsidRDefault="00530566" w:rsidP="00967059">
      <w:pPr>
        <w:pStyle w:val="ListParagraph"/>
        <w:numPr>
          <w:ilvl w:val="0"/>
          <w:numId w:val="3"/>
        </w:numPr>
        <w:spacing w:before="120" w:after="100" w:afterAutospacing="1" w:line="240" w:lineRule="auto"/>
        <w:ind w:left="360"/>
        <w:contextualSpacing w:val="0"/>
        <w:jc w:val="both"/>
        <w:rPr>
          <w:rFonts w:cs="Arial"/>
          <w:noProof/>
          <w:lang w:val="es-CR"/>
        </w:rPr>
      </w:pPr>
      <w:r w:rsidRPr="006A6E20">
        <w:rPr>
          <w:rFonts w:cs="Arial"/>
          <w:noProof/>
          <w:lang w:val="es-CR"/>
        </w:rPr>
        <w:t xml:space="preserve">Se han desarrollado procesos de formación inicial y continua que buscan el desarrollo de competencias (conocimientos, destrezas, habilidades, actitudes y valores) necesarias para la buena administración de justicia. </w:t>
      </w:r>
    </w:p>
    <w:p w:rsidR="00530566" w:rsidRPr="006A6E20" w:rsidRDefault="00530566" w:rsidP="00967059">
      <w:pPr>
        <w:pStyle w:val="ListParagraph"/>
        <w:numPr>
          <w:ilvl w:val="0"/>
          <w:numId w:val="3"/>
        </w:numPr>
        <w:spacing w:after="0" w:line="240" w:lineRule="auto"/>
        <w:ind w:left="360"/>
        <w:contextualSpacing w:val="0"/>
        <w:jc w:val="both"/>
        <w:rPr>
          <w:rFonts w:cs="Arial"/>
          <w:noProof/>
          <w:lang w:val="es-CR"/>
        </w:rPr>
      </w:pPr>
      <w:r w:rsidRPr="006A6E20">
        <w:rPr>
          <w:rFonts w:cs="Arial"/>
          <w:noProof/>
          <w:lang w:val="es-CR"/>
        </w:rPr>
        <w:t>Se ha propiciado el rediseño de los procesos internos en los distintos tribunales del país, para eliminar trámites innecesarios y dilatorios.</w:t>
      </w:r>
    </w:p>
    <w:p w:rsidR="00530566" w:rsidRPr="006A6E20" w:rsidRDefault="00530566" w:rsidP="00A6130B">
      <w:pPr>
        <w:pStyle w:val="ListParagraph"/>
        <w:spacing w:after="0" w:line="240" w:lineRule="auto"/>
        <w:ind w:left="360"/>
        <w:contextualSpacing w:val="0"/>
        <w:jc w:val="both"/>
        <w:rPr>
          <w:rFonts w:cs="Arial"/>
          <w:noProof/>
          <w:lang w:val="es-CR"/>
        </w:rPr>
      </w:pPr>
    </w:p>
    <w:p w:rsidR="00530566" w:rsidRPr="006A6E20" w:rsidRDefault="00530566" w:rsidP="00967059">
      <w:pPr>
        <w:pStyle w:val="ListParagraph"/>
        <w:numPr>
          <w:ilvl w:val="0"/>
          <w:numId w:val="3"/>
        </w:numPr>
        <w:spacing w:after="0" w:line="240" w:lineRule="auto"/>
        <w:ind w:left="360"/>
        <w:contextualSpacing w:val="0"/>
        <w:jc w:val="both"/>
        <w:rPr>
          <w:rFonts w:cs="Arial"/>
          <w:noProof/>
          <w:lang w:val="es-CR"/>
        </w:rPr>
      </w:pPr>
      <w:r w:rsidRPr="006A6E20">
        <w:rPr>
          <w:rFonts w:cs="Arial"/>
          <w:noProof/>
          <w:lang w:val="es-CR"/>
        </w:rPr>
        <w:t>Finalmente, se constituyó el Programa Nacional de Facilitadores Judiciales, que lleva la justicia a las comunidades, fomentando la descongestión del Poder Judicial y potenciando la participación ciudadana en la solución de las controversias.</w:t>
      </w:r>
    </w:p>
    <w:p w:rsidR="00530566" w:rsidRPr="006A6E20" w:rsidRDefault="00530566" w:rsidP="00A6130B">
      <w:pPr>
        <w:pStyle w:val="ListParagraph"/>
        <w:spacing w:after="0" w:line="240" w:lineRule="auto"/>
        <w:ind w:left="360"/>
        <w:contextualSpacing w:val="0"/>
        <w:jc w:val="both"/>
        <w:rPr>
          <w:rFonts w:cs="Arial"/>
          <w:noProof/>
          <w:lang w:val="es-CR"/>
        </w:rPr>
      </w:pPr>
    </w:p>
    <w:p w:rsidR="005C151C" w:rsidRPr="006A6E20" w:rsidRDefault="005C151C" w:rsidP="00BC0038">
      <w:pPr>
        <w:rPr>
          <w:b/>
        </w:rPr>
      </w:pPr>
      <w:r w:rsidRPr="006A6E20">
        <w:rPr>
          <w:b/>
        </w:rPr>
        <w:t>CÓDIGO PROCESAL CIVIL</w:t>
      </w:r>
    </w:p>
    <w:p w:rsidR="005C151C" w:rsidRPr="006A6E20" w:rsidRDefault="00BC0038" w:rsidP="00BC0038">
      <w:pPr>
        <w:rPr>
          <w:b/>
        </w:rPr>
      </w:pPr>
      <w:r w:rsidRPr="006A6E20">
        <w:rPr>
          <w:b/>
        </w:rPr>
        <w:t>Las normas del nuevo Código Procesal Civil sirven de paraguas para el resto del ordenamiento jurídico del país y podrán ser aplicadas supletoriamente en otros ámbitos.</w:t>
      </w:r>
    </w:p>
    <w:p w:rsidR="005C151C" w:rsidRPr="00B7610D" w:rsidRDefault="005C151C" w:rsidP="00B7610D">
      <w:pPr>
        <w:ind w:left="360"/>
        <w:jc w:val="both"/>
        <w:rPr>
          <w:b/>
        </w:rPr>
      </w:pPr>
      <w:r w:rsidRPr="006A6E20">
        <w:t xml:space="preserve">Datos de la Ley: </w:t>
      </w:r>
    </w:p>
    <w:p w:rsidR="005C151C" w:rsidRPr="006A6E20" w:rsidRDefault="005C151C" w:rsidP="005C151C">
      <w:pPr>
        <w:pStyle w:val="ListParagraph"/>
        <w:numPr>
          <w:ilvl w:val="0"/>
          <w:numId w:val="37"/>
        </w:numPr>
        <w:jc w:val="both"/>
        <w:rPr>
          <w:b/>
        </w:rPr>
      </w:pPr>
      <w:r w:rsidRPr="006A6E20">
        <w:lastRenderedPageBreak/>
        <w:t>Código Procesal Civil, Ley N° 9342</w:t>
      </w:r>
    </w:p>
    <w:p w:rsidR="005C151C" w:rsidRPr="006A6E20" w:rsidRDefault="005C151C" w:rsidP="005C151C">
      <w:pPr>
        <w:pStyle w:val="ListParagraph"/>
        <w:numPr>
          <w:ilvl w:val="0"/>
          <w:numId w:val="37"/>
        </w:numPr>
        <w:jc w:val="both"/>
      </w:pPr>
      <w:r w:rsidRPr="006A6E20">
        <w:t>Aprobación en segundo debate: 01 de diciembre 2015</w:t>
      </w:r>
    </w:p>
    <w:p w:rsidR="005C151C" w:rsidRPr="006A6E20" w:rsidRDefault="005C151C" w:rsidP="005C151C">
      <w:pPr>
        <w:pStyle w:val="ListParagraph"/>
        <w:numPr>
          <w:ilvl w:val="0"/>
          <w:numId w:val="37"/>
        </w:numPr>
        <w:jc w:val="both"/>
      </w:pPr>
      <w:r w:rsidRPr="006A6E20">
        <w:t>Sanción: 03 de febrero del 2016</w:t>
      </w:r>
    </w:p>
    <w:p w:rsidR="005C151C" w:rsidRPr="006A6E20" w:rsidRDefault="005C151C" w:rsidP="005C151C">
      <w:pPr>
        <w:pStyle w:val="ListParagraph"/>
        <w:numPr>
          <w:ilvl w:val="0"/>
          <w:numId w:val="37"/>
        </w:numPr>
        <w:jc w:val="both"/>
      </w:pPr>
      <w:r w:rsidRPr="006A6E20">
        <w:t>Rige: 30 meses después de su publicación</w:t>
      </w:r>
    </w:p>
    <w:p w:rsidR="005C151C" w:rsidRPr="006A6E20" w:rsidRDefault="005C151C" w:rsidP="005C151C">
      <w:pPr>
        <w:pStyle w:val="ListParagraph"/>
        <w:numPr>
          <w:ilvl w:val="0"/>
          <w:numId w:val="36"/>
        </w:numPr>
        <w:jc w:val="both"/>
      </w:pPr>
      <w:r w:rsidRPr="006A6E20">
        <w:t>Reforma procesal de la jurisdicción civil y comercial, y a aquellas que no tengan legislación procesal especial. Establece como principios fundamentales del proceso la oralidad, inmediatez y concentración, además de asegurar que los procesos se lleven a cabo de manera célere, eliminando el exceso de formalidades y requisitos innecesarios que impide el  correcto ejercicio de la acción procesal.</w:t>
      </w:r>
    </w:p>
    <w:p w:rsidR="005C151C" w:rsidRPr="006A6E20" w:rsidRDefault="005C151C" w:rsidP="005C151C">
      <w:pPr>
        <w:pStyle w:val="ListParagraph"/>
        <w:numPr>
          <w:ilvl w:val="0"/>
          <w:numId w:val="36"/>
        </w:numPr>
        <w:jc w:val="both"/>
      </w:pPr>
      <w:r w:rsidRPr="006A6E20">
        <w:rPr>
          <w:rFonts w:cs="Arial"/>
        </w:rPr>
        <w:t xml:space="preserve">Mediante la reducción de tipos de procesos, la claridad de las reglas en materia de competencia, la racionalización de los medios de impugnación y la concentración en audiencias orales, busca desestimular el uso de acciones dilatorias y favorecer procesos ágiles y sencillos, que impiden el correcto ejercicio de la acción procesal. </w:t>
      </w:r>
    </w:p>
    <w:p w:rsidR="005C151C" w:rsidRPr="006A6E20" w:rsidRDefault="005C151C" w:rsidP="005C151C">
      <w:pPr>
        <w:pStyle w:val="ListParagraph"/>
        <w:numPr>
          <w:ilvl w:val="0"/>
          <w:numId w:val="36"/>
        </w:numPr>
        <w:jc w:val="both"/>
      </w:pPr>
      <w:r w:rsidRPr="006A6E20">
        <w:t xml:space="preserve">Divide en el proceso en dos audiencias: </w:t>
      </w:r>
      <w:r w:rsidRPr="006A6E20">
        <w:rPr>
          <w:rFonts w:eastAsia="Times New Roman" w:cs="Arial"/>
          <w:bCs/>
          <w:lang w:eastAsia="es-CR"/>
        </w:rPr>
        <w:t>la audiencia preliminar</w:t>
      </w:r>
      <w:r w:rsidRPr="006A6E20">
        <w:rPr>
          <w:rFonts w:eastAsia="Times New Roman" w:cs="Arial"/>
          <w:lang w:eastAsia="es-CR"/>
        </w:rPr>
        <w:t> o de saneamiento del proceso,  creada para resolver todo tipo de nulidades y discusiones previas, y </w:t>
      </w:r>
      <w:r w:rsidRPr="006A6E20">
        <w:rPr>
          <w:rFonts w:eastAsia="Times New Roman" w:cs="Arial"/>
          <w:bCs/>
          <w:lang w:eastAsia="es-CR"/>
        </w:rPr>
        <w:t>la audiencia de juicio</w:t>
      </w:r>
      <w:r w:rsidRPr="006A6E20">
        <w:rPr>
          <w:rFonts w:eastAsia="Times New Roman" w:cs="Arial"/>
          <w:lang w:eastAsia="es-CR"/>
        </w:rPr>
        <w:t>, donde se discute el fondo, se reciben las pruebas, las partes emiten conclusiones y los jueces dictan la sentencia, teniendo derecho el perdedor de recurrir a la casación.</w:t>
      </w:r>
    </w:p>
    <w:p w:rsidR="005256CC" w:rsidRPr="005256CC" w:rsidRDefault="005256CC" w:rsidP="006A6E20">
      <w:pPr>
        <w:spacing w:before="240" w:after="0" w:line="240" w:lineRule="auto"/>
        <w:jc w:val="both"/>
        <w:rPr>
          <w:color w:val="000000"/>
          <w:lang w:eastAsia="es-CR"/>
        </w:rPr>
      </w:pPr>
      <w:r w:rsidRPr="005256CC">
        <w:rPr>
          <w:color w:val="000000"/>
          <w:lang w:eastAsia="es-CR"/>
        </w:rPr>
        <w:t>Con relación a los Derechos a la Libertad y Seguridad Personal, derechos de las personas privadas de libertad, juicio justo y garantías procesales, se está discutiendo actualmente en la corriente legislativa un proyecto de ley, bajo el expediente N° 19.490, que procura reformar varios artículos del Código Penal y del Código de Procedimientos Penales, para introducir la proporcionalidad en los delitos contra la propiedad y promover la inserción social de las personas infractoras de la Ley Penal.</w:t>
      </w:r>
    </w:p>
    <w:p w:rsidR="005256CC" w:rsidRPr="005256CC" w:rsidRDefault="005256CC" w:rsidP="006A6E20">
      <w:pPr>
        <w:spacing w:before="240" w:after="0" w:line="240" w:lineRule="auto"/>
        <w:jc w:val="both"/>
        <w:rPr>
          <w:color w:val="000000"/>
          <w:lang w:eastAsia="es-CR"/>
        </w:rPr>
      </w:pPr>
      <w:r w:rsidRPr="005256CC">
        <w:rPr>
          <w:color w:val="000000"/>
          <w:lang w:eastAsia="es-CR"/>
        </w:rPr>
        <w:t>Este proyecto se presentó en respuesta a la “petición de la Comisión de Alto Nivel sobre Hacinamiento Carcelario  del pasado 8 de setiembre de 2013 (oficio SCPP-4-2014), que insta a la Asamblea Legislativa a promover iniciativas para actualizar el sistema penal a la realidad que nuestro país enfrenta, así como de ajustar las normas procesales y penales a la práctica judicial”.</w:t>
      </w:r>
    </w:p>
    <w:p w:rsidR="005256CC" w:rsidRPr="005256CC" w:rsidRDefault="005256CC" w:rsidP="006A6E20">
      <w:pPr>
        <w:spacing w:before="240" w:after="0" w:line="240" w:lineRule="auto"/>
        <w:jc w:val="both"/>
        <w:rPr>
          <w:rFonts w:cs="Arial"/>
        </w:rPr>
      </w:pPr>
      <w:r w:rsidRPr="005256CC">
        <w:rPr>
          <w:rFonts w:cs="Arial"/>
        </w:rPr>
        <w:t>Este proyecto también apunta a permitir a los jueces, juezas, y fiscales tener un margen desde el punto de vista de lo técnico y jurídico, para valorar el caso concreto, ponderar su afectación real a la víctima y en los casos que proceda, promover las soluciones alternativas en cualquier momento procesal, hasta antes de la apertura del juicio oral, con el fin de que los planes reparadores restauren el daño a la víctima, a la comunidad y logren la inserción real de la persona imputada, que tenga el afán de construir un proyecto de vida al margen del delito.</w:t>
      </w:r>
    </w:p>
    <w:p w:rsidR="005256CC" w:rsidRPr="005256CC" w:rsidRDefault="005256CC" w:rsidP="006A6E20">
      <w:pPr>
        <w:spacing w:before="240" w:after="0" w:line="240" w:lineRule="auto"/>
        <w:jc w:val="both"/>
        <w:rPr>
          <w:rFonts w:cs="Arial"/>
        </w:rPr>
      </w:pPr>
      <w:r w:rsidRPr="005256CC">
        <w:rPr>
          <w:rFonts w:cs="Arial"/>
        </w:rPr>
        <w:t>Este proyecto de ley que actualmente se encuentra en estudio por parte de la Comisión Permanente de Asuntos Jurídicos de la Asamblea Legislativa, fue convocado por el Poder Ejecutivo al actual período de sesiones extraordinarias y ocupa el lugar número siete en el orden del día de dicha comisión.</w:t>
      </w:r>
    </w:p>
    <w:p w:rsidR="005256CC" w:rsidRPr="005256CC" w:rsidRDefault="005256CC" w:rsidP="005256CC">
      <w:pPr>
        <w:jc w:val="both"/>
      </w:pPr>
    </w:p>
    <w:p w:rsidR="006A7FE9" w:rsidRPr="008645E0" w:rsidRDefault="003A745F" w:rsidP="008820F2">
      <w:pPr>
        <w:pStyle w:val="Heading1"/>
        <w:ind w:left="142"/>
        <w:rPr>
          <w:rFonts w:ascii="Arial" w:hAnsi="Arial" w:cs="Arial"/>
          <w:b/>
          <w:sz w:val="36"/>
          <w:szCs w:val="36"/>
        </w:rPr>
      </w:pPr>
      <w:bookmarkStart w:id="78" w:name="_Toc446126670"/>
      <w:r w:rsidRPr="008645E0">
        <w:rPr>
          <w:rFonts w:ascii="Arial" w:hAnsi="Arial" w:cs="Arial"/>
          <w:b/>
          <w:sz w:val="36"/>
          <w:szCs w:val="36"/>
        </w:rPr>
        <w:t>Libertad de pensamiento, conciencia y religión (arts. 2,18,23 y 26)</w:t>
      </w:r>
      <w:bookmarkEnd w:id="78"/>
    </w:p>
    <w:p w:rsidR="002D189D" w:rsidRPr="00A6130B" w:rsidRDefault="002D189D" w:rsidP="00A6130B">
      <w:pPr>
        <w:spacing w:line="240" w:lineRule="auto"/>
        <w:jc w:val="both"/>
        <w:rPr>
          <w:rFonts w:cs="Arial"/>
        </w:rPr>
      </w:pPr>
    </w:p>
    <w:p w:rsidR="002D189D" w:rsidRPr="00A6130B" w:rsidRDefault="00FE0757" w:rsidP="00967059">
      <w:pPr>
        <w:pStyle w:val="Heading2"/>
        <w:numPr>
          <w:ilvl w:val="0"/>
          <w:numId w:val="10"/>
        </w:numPr>
        <w:rPr>
          <w:rFonts w:ascii="Calibri" w:hAnsi="Calibri"/>
          <w:sz w:val="24"/>
          <w:szCs w:val="24"/>
        </w:rPr>
      </w:pPr>
      <w:bookmarkStart w:id="79" w:name="_Toc446126671"/>
      <w:r w:rsidRPr="00A6130B">
        <w:rPr>
          <w:rFonts w:ascii="Calibri" w:hAnsi="Calibri"/>
          <w:sz w:val="24"/>
          <w:szCs w:val="24"/>
        </w:rPr>
        <w:lastRenderedPageBreak/>
        <w:t>Sírvanse informar qué m</w:t>
      </w:r>
      <w:r w:rsidR="002D189D" w:rsidRPr="00A6130B">
        <w:rPr>
          <w:rFonts w:ascii="Calibri" w:hAnsi="Calibri"/>
          <w:sz w:val="24"/>
          <w:szCs w:val="24"/>
        </w:rPr>
        <w:t xml:space="preserve">edidas </w:t>
      </w:r>
      <w:r w:rsidRPr="00A6130B">
        <w:rPr>
          <w:rFonts w:ascii="Calibri" w:hAnsi="Calibri"/>
          <w:sz w:val="24"/>
          <w:szCs w:val="24"/>
        </w:rPr>
        <w:t xml:space="preserve">han sido tomadas </w:t>
      </w:r>
      <w:r w:rsidR="002D189D" w:rsidRPr="00A6130B">
        <w:rPr>
          <w:rFonts w:ascii="Calibri" w:hAnsi="Calibri"/>
          <w:sz w:val="24"/>
          <w:szCs w:val="24"/>
        </w:rPr>
        <w:t xml:space="preserve">para armonizar la legislación </w:t>
      </w:r>
      <w:r w:rsidRPr="00A6130B">
        <w:rPr>
          <w:rFonts w:ascii="Calibri" w:hAnsi="Calibri"/>
          <w:sz w:val="24"/>
          <w:szCs w:val="24"/>
        </w:rPr>
        <w:t xml:space="preserve">del Estado parte </w:t>
      </w:r>
      <w:r w:rsidR="002D189D" w:rsidRPr="00A6130B">
        <w:rPr>
          <w:rFonts w:ascii="Calibri" w:hAnsi="Calibri"/>
          <w:sz w:val="24"/>
          <w:szCs w:val="24"/>
        </w:rPr>
        <w:t xml:space="preserve">con el Pacto y garantizar </w:t>
      </w:r>
      <w:r w:rsidRPr="00A6130B">
        <w:rPr>
          <w:rFonts w:ascii="Calibri" w:hAnsi="Calibri"/>
          <w:sz w:val="24"/>
          <w:szCs w:val="24"/>
        </w:rPr>
        <w:t xml:space="preserve">el principio de </w:t>
      </w:r>
      <w:r w:rsidR="002D189D" w:rsidRPr="00A6130B">
        <w:rPr>
          <w:rFonts w:ascii="Calibri" w:hAnsi="Calibri"/>
          <w:sz w:val="24"/>
          <w:szCs w:val="24"/>
        </w:rPr>
        <w:t>no discriminación entre religiones</w:t>
      </w:r>
      <w:r w:rsidRPr="00A6130B">
        <w:rPr>
          <w:rFonts w:ascii="Calibri" w:hAnsi="Calibri"/>
          <w:sz w:val="24"/>
          <w:szCs w:val="24"/>
        </w:rPr>
        <w:t>, tal y como lo recomendó el Comité en sus anteriores observaciones finales (CCPR/C/CRI/CO/5, párr. 10). Asimismo, sírvanse explicar las diferencias en el reconocimiento de los efectos legales de los matrimonios religiosos en el Estado parte.</w:t>
      </w:r>
      <w:bookmarkEnd w:id="79"/>
    </w:p>
    <w:p w:rsidR="00D118AC" w:rsidRDefault="00FE0757" w:rsidP="00967059">
      <w:pPr>
        <w:pStyle w:val="Heading3"/>
        <w:numPr>
          <w:ilvl w:val="0"/>
          <w:numId w:val="21"/>
        </w:numPr>
        <w:spacing w:line="240" w:lineRule="auto"/>
        <w:rPr>
          <w:rFonts w:ascii="Calibri" w:hAnsi="Calibri"/>
          <w:color w:val="1F4E79"/>
        </w:rPr>
      </w:pPr>
      <w:bookmarkStart w:id="80" w:name="_Toc446126672"/>
      <w:r w:rsidRPr="00A6130B">
        <w:rPr>
          <w:rFonts w:ascii="Calibri" w:hAnsi="Calibri"/>
          <w:color w:val="1F4E79"/>
        </w:rPr>
        <w:t>Medidas tomadas para armonizar la legislación del Estado parte con el Pacto y garantizar el principio de no discriminación entre religiones.</w:t>
      </w:r>
      <w:bookmarkEnd w:id="80"/>
    </w:p>
    <w:p w:rsidR="00787021" w:rsidRPr="00787021" w:rsidRDefault="00787021" w:rsidP="00787021">
      <w:pPr>
        <w:rPr>
          <w:b/>
          <w:lang w:val="es-CR"/>
        </w:rPr>
      </w:pPr>
    </w:p>
    <w:p w:rsidR="005F65ED" w:rsidRPr="00FB4B57" w:rsidRDefault="005F65ED" w:rsidP="005F65ED">
      <w:pPr>
        <w:spacing w:line="240" w:lineRule="auto"/>
        <w:jc w:val="both"/>
        <w:rPr>
          <w:rFonts w:cs="Arial"/>
          <w:color w:val="222222"/>
        </w:rPr>
      </w:pPr>
      <w:r w:rsidRPr="00FB4B57">
        <w:rPr>
          <w:rFonts w:cs="Arial"/>
          <w:color w:val="222222"/>
          <w:shd w:val="clear" w:color="auto" w:fill="FFFFFF"/>
        </w:rPr>
        <w:t>A partir del Artículo 75 constitucional, la Iglesia Católica de Costa</w:t>
      </w:r>
      <w:r w:rsidRPr="00FB4B57">
        <w:rPr>
          <w:rFonts w:cs="Arial"/>
          <w:color w:val="222222"/>
        </w:rPr>
        <w:t xml:space="preserve"> </w:t>
      </w:r>
      <w:r w:rsidRPr="00FB4B57">
        <w:rPr>
          <w:rFonts w:cs="Arial"/>
          <w:color w:val="222222"/>
          <w:shd w:val="clear" w:color="auto" w:fill="FFFFFF"/>
        </w:rPr>
        <w:t>Rica recibe las siguientes prerrogativas patrimoniales por parte del</w:t>
      </w:r>
      <w:r w:rsidRPr="00FB4B57">
        <w:rPr>
          <w:rFonts w:cs="Arial"/>
          <w:color w:val="222222"/>
        </w:rPr>
        <w:t xml:space="preserve"> </w:t>
      </w:r>
      <w:r w:rsidRPr="00FB4B57">
        <w:rPr>
          <w:rFonts w:cs="Arial"/>
          <w:color w:val="222222"/>
          <w:shd w:val="clear" w:color="auto" w:fill="FFFFFF"/>
        </w:rPr>
        <w:t>Estado:</w:t>
      </w:r>
    </w:p>
    <w:p w:rsidR="005F65ED" w:rsidRPr="00FB4B57" w:rsidRDefault="005F65ED" w:rsidP="005F65ED">
      <w:pPr>
        <w:pStyle w:val="ListParagraph"/>
        <w:numPr>
          <w:ilvl w:val="0"/>
          <w:numId w:val="34"/>
        </w:numPr>
        <w:spacing w:line="240" w:lineRule="auto"/>
        <w:jc w:val="both"/>
      </w:pPr>
      <w:r w:rsidRPr="00FB4B57">
        <w:rPr>
          <w:rFonts w:cs="Arial"/>
          <w:b/>
          <w:color w:val="222222"/>
          <w:shd w:val="clear" w:color="auto" w:fill="FFFFFF"/>
        </w:rPr>
        <w:t>Exoneración de impuestos a bienes inmuebles</w:t>
      </w:r>
      <w:r w:rsidRPr="00FB4B57">
        <w:rPr>
          <w:rFonts w:cs="Arial"/>
          <w:color w:val="222222"/>
        </w:rPr>
        <w:t xml:space="preserve">: </w:t>
      </w:r>
      <w:r w:rsidRPr="00FB4B57">
        <w:rPr>
          <w:rFonts w:cs="Arial"/>
          <w:color w:val="222222"/>
          <w:shd w:val="clear" w:color="auto" w:fill="FFFFFF"/>
        </w:rPr>
        <w:t>El inciso g) del artículo 4 de la ley Nº7509, referente a los</w:t>
      </w:r>
      <w:r w:rsidRPr="00FB4B57">
        <w:rPr>
          <w:rFonts w:cs="Arial"/>
          <w:color w:val="222222"/>
        </w:rPr>
        <w:t xml:space="preserve"> </w:t>
      </w:r>
      <w:r w:rsidRPr="00FB4B57">
        <w:rPr>
          <w:rFonts w:cs="Arial"/>
          <w:color w:val="222222"/>
          <w:shd w:val="clear" w:color="auto" w:fill="FFFFFF"/>
        </w:rPr>
        <w:t xml:space="preserve">inmuebles no afectos al impuesto, señala lo siguiente: </w:t>
      </w:r>
      <w:r w:rsidRPr="00FB4B57">
        <w:rPr>
          <w:rFonts w:cs="Arial"/>
          <w:i/>
          <w:color w:val="222222"/>
          <w:shd w:val="clear" w:color="auto" w:fill="FFFFFF"/>
        </w:rPr>
        <w:t>“(...) g) Los</w:t>
      </w:r>
      <w:r w:rsidRPr="00FB4B57">
        <w:rPr>
          <w:rFonts w:cs="Arial"/>
          <w:i/>
          <w:color w:val="222222"/>
        </w:rPr>
        <w:t xml:space="preserve"> </w:t>
      </w:r>
      <w:r w:rsidRPr="00FB4B57">
        <w:rPr>
          <w:rFonts w:cs="Arial"/>
          <w:i/>
          <w:color w:val="222222"/>
          <w:shd w:val="clear" w:color="auto" w:fill="FFFFFF"/>
        </w:rPr>
        <w:t>inmuebles pertenecientes a iglesias y organizaciones religiosas pero</w:t>
      </w:r>
      <w:r w:rsidRPr="00FB4B57">
        <w:rPr>
          <w:rFonts w:cs="Arial"/>
          <w:i/>
          <w:color w:val="222222"/>
        </w:rPr>
        <w:t xml:space="preserve"> </w:t>
      </w:r>
      <w:r w:rsidRPr="00FB4B57">
        <w:rPr>
          <w:rFonts w:cs="Arial"/>
          <w:i/>
          <w:color w:val="222222"/>
          <w:shd w:val="clear" w:color="auto" w:fill="FFFFFF"/>
        </w:rPr>
        <w:t>sólo los que se dediquen al culto; además, los bienes correspondientes</w:t>
      </w:r>
      <w:r w:rsidRPr="00FB4B57">
        <w:rPr>
          <w:rFonts w:cs="Arial"/>
          <w:i/>
          <w:color w:val="222222"/>
        </w:rPr>
        <w:t xml:space="preserve"> </w:t>
      </w:r>
      <w:r w:rsidRPr="00FB4B57">
        <w:rPr>
          <w:rFonts w:cs="Arial"/>
          <w:i/>
          <w:color w:val="222222"/>
          <w:shd w:val="clear" w:color="auto" w:fill="FFFFFF"/>
        </w:rPr>
        <w:t>a las temporalidades de la Iglesia Católica: la Conferencia Episcopal</w:t>
      </w:r>
      <w:r w:rsidRPr="00FB4B57">
        <w:rPr>
          <w:rFonts w:cs="Arial"/>
          <w:i/>
          <w:color w:val="222222"/>
        </w:rPr>
        <w:t xml:space="preserve"> </w:t>
      </w:r>
      <w:r w:rsidRPr="00FB4B57">
        <w:rPr>
          <w:rFonts w:cs="Arial"/>
          <w:i/>
          <w:color w:val="222222"/>
          <w:shd w:val="clear" w:color="auto" w:fill="FFFFFF"/>
        </w:rPr>
        <w:t>de Costa Rica, la Arquidiócesis y las diócesis del país</w:t>
      </w:r>
      <w:r w:rsidRPr="00FB4B57">
        <w:rPr>
          <w:rFonts w:cs="Arial"/>
          <w:color w:val="222222"/>
          <w:shd w:val="clear" w:color="auto" w:fill="FFFFFF"/>
        </w:rPr>
        <w:t>.</w:t>
      </w:r>
      <w:r w:rsidRPr="00FB4B57">
        <w:rPr>
          <w:rFonts w:cs="Arial"/>
          <w:color w:val="222222"/>
        </w:rPr>
        <w:t xml:space="preserve"> </w:t>
      </w:r>
      <w:r w:rsidRPr="00FB4B57">
        <w:rPr>
          <w:rFonts w:cs="Arial"/>
          <w:color w:val="222222"/>
          <w:shd w:val="clear" w:color="auto" w:fill="FFFFFF"/>
        </w:rPr>
        <w:t>(...)”</w:t>
      </w:r>
      <w:r w:rsidRPr="00FB4B57">
        <w:rPr>
          <w:rFonts w:cs="Arial"/>
          <w:color w:val="222222"/>
        </w:rPr>
        <w:t xml:space="preserve">. </w:t>
      </w:r>
      <w:r w:rsidRPr="00FB4B57">
        <w:rPr>
          <w:rFonts w:cs="Arial"/>
          <w:color w:val="222222"/>
          <w:shd w:val="clear" w:color="auto" w:fill="FFFFFF"/>
        </w:rPr>
        <w:t>Dicha exoneración fiscal es</w:t>
      </w:r>
      <w:r w:rsidRPr="00FB4B57">
        <w:rPr>
          <w:rFonts w:cs="Arial"/>
          <w:color w:val="222222"/>
        </w:rPr>
        <w:t xml:space="preserve"> </w:t>
      </w:r>
      <w:r w:rsidRPr="00FB4B57">
        <w:rPr>
          <w:rFonts w:cs="Arial"/>
          <w:color w:val="222222"/>
          <w:shd w:val="clear" w:color="auto" w:fill="FFFFFF"/>
        </w:rPr>
        <w:t>la de no pagar el impuesto del valor inscrito de inmuebles,</w:t>
      </w:r>
      <w:r w:rsidRPr="00FB4B57">
        <w:rPr>
          <w:rFonts w:cs="Arial"/>
          <w:color w:val="222222"/>
        </w:rPr>
        <w:t xml:space="preserve"> </w:t>
      </w:r>
      <w:r w:rsidRPr="00FB4B57">
        <w:rPr>
          <w:rFonts w:cs="Arial"/>
          <w:color w:val="222222"/>
          <w:shd w:val="clear" w:color="auto" w:fill="FFFFFF"/>
        </w:rPr>
        <w:t>correspondiente a un 0.25% anual.</w:t>
      </w:r>
    </w:p>
    <w:p w:rsidR="005F65ED" w:rsidRPr="00FB4B57" w:rsidRDefault="005F65ED" w:rsidP="005F65ED">
      <w:pPr>
        <w:pStyle w:val="ListParagraph"/>
        <w:spacing w:line="240" w:lineRule="auto"/>
        <w:jc w:val="both"/>
      </w:pPr>
    </w:p>
    <w:p w:rsidR="005F65ED" w:rsidRPr="00FB4B57" w:rsidRDefault="005F65ED" w:rsidP="005F65ED">
      <w:pPr>
        <w:pStyle w:val="ListParagraph"/>
        <w:numPr>
          <w:ilvl w:val="0"/>
          <w:numId w:val="34"/>
        </w:numPr>
        <w:spacing w:line="240" w:lineRule="auto"/>
        <w:jc w:val="both"/>
      </w:pPr>
      <w:r w:rsidRPr="00FB4B57">
        <w:rPr>
          <w:rFonts w:cs="Arial"/>
          <w:b/>
          <w:color w:val="222222"/>
          <w:shd w:val="clear" w:color="auto" w:fill="FFFFFF"/>
        </w:rPr>
        <w:t>Exoneración del impuesto sobre la renta</w:t>
      </w:r>
      <w:r w:rsidRPr="00FB4B57">
        <w:rPr>
          <w:rFonts w:cs="Arial"/>
          <w:color w:val="222222"/>
          <w:shd w:val="clear" w:color="auto" w:fill="FFFFFF"/>
        </w:rPr>
        <w:t>: la ley No.7092, Ley de Impuesto sobre la Renta en su artículo 3 señala</w:t>
      </w:r>
      <w:r w:rsidRPr="00FB4B57">
        <w:rPr>
          <w:rFonts w:cs="Arial"/>
          <w:color w:val="222222"/>
        </w:rPr>
        <w:t xml:space="preserve"> </w:t>
      </w:r>
      <w:r w:rsidRPr="00FB4B57">
        <w:rPr>
          <w:rFonts w:cs="Arial"/>
          <w:color w:val="222222"/>
          <w:shd w:val="clear" w:color="auto" w:fill="FFFFFF"/>
        </w:rPr>
        <w:t>lo siguiente: “</w:t>
      </w:r>
      <w:r w:rsidRPr="00FB4B57">
        <w:rPr>
          <w:rFonts w:cs="Arial"/>
          <w:i/>
          <w:color w:val="222222"/>
          <w:shd w:val="clear" w:color="auto" w:fill="FFFFFF"/>
        </w:rPr>
        <w:t>Artículo 3º.- Entidades no sujetas al impuesto (...) b)</w:t>
      </w:r>
      <w:r w:rsidRPr="00FB4B57">
        <w:rPr>
          <w:rFonts w:cs="Arial"/>
          <w:i/>
          <w:color w:val="222222"/>
        </w:rPr>
        <w:t xml:space="preserve"> </w:t>
      </w:r>
      <w:r w:rsidRPr="00FB4B57">
        <w:rPr>
          <w:rFonts w:cs="Arial"/>
          <w:i/>
          <w:color w:val="222222"/>
          <w:shd w:val="clear" w:color="auto" w:fill="FFFFFF"/>
        </w:rPr>
        <w:t>Los partidos políticos y las instituciones religiosas cualquiera que</w:t>
      </w:r>
      <w:r w:rsidRPr="00FB4B57">
        <w:rPr>
          <w:rFonts w:cs="Arial"/>
          <w:i/>
          <w:color w:val="222222"/>
        </w:rPr>
        <w:t xml:space="preserve"> </w:t>
      </w:r>
      <w:r w:rsidRPr="00FB4B57">
        <w:rPr>
          <w:rFonts w:cs="Arial"/>
          <w:i/>
          <w:color w:val="222222"/>
          <w:shd w:val="clear" w:color="auto" w:fill="FFFFFF"/>
        </w:rPr>
        <w:t>sea su credo, por los ingresos que obtengan para el mantenimiento del</w:t>
      </w:r>
      <w:r w:rsidRPr="00FB4B57">
        <w:rPr>
          <w:rFonts w:cs="Arial"/>
          <w:i/>
          <w:color w:val="222222"/>
        </w:rPr>
        <w:t xml:space="preserve"> </w:t>
      </w:r>
      <w:r w:rsidRPr="00FB4B57">
        <w:rPr>
          <w:rFonts w:cs="Arial"/>
          <w:i/>
          <w:color w:val="222222"/>
          <w:shd w:val="clear" w:color="auto" w:fill="FFFFFF"/>
        </w:rPr>
        <w:t>culto y por los servicios de asistencia social que presten sin fines</w:t>
      </w:r>
      <w:r w:rsidRPr="00FB4B57">
        <w:rPr>
          <w:rFonts w:cs="Arial"/>
          <w:i/>
          <w:color w:val="222222"/>
        </w:rPr>
        <w:t xml:space="preserve"> </w:t>
      </w:r>
      <w:r w:rsidRPr="00FB4B57">
        <w:rPr>
          <w:rFonts w:cs="Arial"/>
          <w:i/>
          <w:color w:val="222222"/>
          <w:shd w:val="clear" w:color="auto" w:fill="FFFFFF"/>
        </w:rPr>
        <w:t>de lucro.</w:t>
      </w:r>
      <w:r w:rsidRPr="00FB4B57">
        <w:rPr>
          <w:rFonts w:cs="Arial"/>
          <w:color w:val="222222"/>
          <w:shd w:val="clear" w:color="auto" w:fill="FFFFFF"/>
        </w:rPr>
        <w:t xml:space="preserve"> (...)”</w:t>
      </w:r>
    </w:p>
    <w:p w:rsidR="005F65ED" w:rsidRPr="00FB4B57" w:rsidRDefault="005F65ED" w:rsidP="005F65ED">
      <w:pPr>
        <w:pStyle w:val="ListParagraph"/>
        <w:spacing w:line="240" w:lineRule="auto"/>
        <w:jc w:val="both"/>
      </w:pPr>
    </w:p>
    <w:p w:rsidR="005F65ED" w:rsidRPr="005F65ED" w:rsidRDefault="005F65ED" w:rsidP="00787021">
      <w:pPr>
        <w:pStyle w:val="ListParagraph"/>
        <w:numPr>
          <w:ilvl w:val="0"/>
          <w:numId w:val="34"/>
        </w:numPr>
        <w:spacing w:line="240" w:lineRule="auto"/>
        <w:jc w:val="both"/>
      </w:pPr>
      <w:r w:rsidRPr="00FB4B57">
        <w:rPr>
          <w:b/>
        </w:rPr>
        <w:t>Transferencia presupuestaria:</w:t>
      </w:r>
      <w:r w:rsidRPr="00FB4B57">
        <w:t xml:space="preserve"> </w:t>
      </w:r>
      <w:r w:rsidRPr="00FB4B57">
        <w:rPr>
          <w:rFonts w:cs="Arial"/>
          <w:color w:val="222222"/>
          <w:shd w:val="clear" w:color="auto" w:fill="FFFFFF"/>
        </w:rPr>
        <w:t>Existe la Ley Autorización a las instituciones descentralizadas y</w:t>
      </w:r>
      <w:r w:rsidRPr="00FB4B57">
        <w:rPr>
          <w:rFonts w:cs="Arial"/>
          <w:color w:val="222222"/>
        </w:rPr>
        <w:t xml:space="preserve"> </w:t>
      </w:r>
      <w:r w:rsidRPr="00FB4B57">
        <w:rPr>
          <w:rFonts w:cs="Arial"/>
          <w:color w:val="222222"/>
          <w:shd w:val="clear" w:color="auto" w:fill="FFFFFF"/>
        </w:rPr>
        <w:t>empresas públicas del Estado, para hacer donaciones a la "Fundación</w:t>
      </w:r>
      <w:r w:rsidRPr="00FB4B57">
        <w:rPr>
          <w:rFonts w:cs="Arial"/>
          <w:color w:val="222222"/>
        </w:rPr>
        <w:t xml:space="preserve"> </w:t>
      </w:r>
      <w:r w:rsidRPr="00FB4B57">
        <w:rPr>
          <w:rFonts w:cs="Arial"/>
          <w:color w:val="222222"/>
          <w:shd w:val="clear" w:color="auto" w:fill="FFFFFF"/>
        </w:rPr>
        <w:t>para la Restauración de la Catedral Metropolitana y otros Templos y</w:t>
      </w:r>
      <w:r w:rsidRPr="00FB4B57">
        <w:rPr>
          <w:rFonts w:cs="Arial"/>
          <w:color w:val="222222"/>
        </w:rPr>
        <w:t xml:space="preserve"> </w:t>
      </w:r>
      <w:r w:rsidRPr="00FB4B57">
        <w:rPr>
          <w:rFonts w:cs="Arial"/>
          <w:color w:val="222222"/>
          <w:shd w:val="clear" w:color="auto" w:fill="FFFFFF"/>
        </w:rPr>
        <w:t>Monumentos Católicos", Ley número 7266, que autoriza a la empresa</w:t>
      </w:r>
      <w:r w:rsidRPr="00FB4B57">
        <w:rPr>
          <w:rFonts w:cs="Arial"/>
          <w:color w:val="222222"/>
        </w:rPr>
        <w:t xml:space="preserve"> </w:t>
      </w:r>
      <w:r w:rsidRPr="00FB4B57">
        <w:rPr>
          <w:rFonts w:cs="Arial"/>
          <w:color w:val="222222"/>
          <w:shd w:val="clear" w:color="auto" w:fill="FFFFFF"/>
        </w:rPr>
        <w:t>privada a realizar donaciones a la Iglesia Católica. El monto donado</w:t>
      </w:r>
      <w:r w:rsidRPr="00FB4B57">
        <w:rPr>
          <w:rFonts w:cs="Arial"/>
          <w:color w:val="222222"/>
        </w:rPr>
        <w:t xml:space="preserve"> </w:t>
      </w:r>
      <w:r w:rsidRPr="00FB4B57">
        <w:rPr>
          <w:rFonts w:cs="Arial"/>
          <w:color w:val="222222"/>
          <w:shd w:val="clear" w:color="auto" w:fill="FFFFFF"/>
        </w:rPr>
        <w:t>se rebaja de la suma que la empresa debe pagar por impuesto a la renta.</w:t>
      </w:r>
    </w:p>
    <w:p w:rsidR="00787021" w:rsidRPr="00787021" w:rsidRDefault="00787021" w:rsidP="00787021">
      <w:pPr>
        <w:jc w:val="both"/>
        <w:rPr>
          <w:lang w:val="es-CR"/>
        </w:rPr>
      </w:pPr>
      <w:r w:rsidRPr="00787021">
        <w:rPr>
          <w:lang w:val="es-CR"/>
        </w:rPr>
        <w:t>La Iglesia Católica cuenta</w:t>
      </w:r>
      <w:r w:rsidR="005F65ED">
        <w:rPr>
          <w:lang w:val="es-CR"/>
        </w:rPr>
        <w:t xml:space="preserve"> entonces</w:t>
      </w:r>
      <w:r w:rsidRPr="00787021">
        <w:rPr>
          <w:lang w:val="es-CR"/>
        </w:rPr>
        <w:t xml:space="preserve"> con exoneraciones a impuestos, como en la compra de vehículo, sobre las propiedades.  Existían las temporalidades que se le otorgaban a la Iglesia para el mantenimiento de los templos, las cuales han sido eliminadas. No se reconoce beneficios y privilegios a otras religiones. </w:t>
      </w:r>
    </w:p>
    <w:p w:rsidR="009933FC" w:rsidRPr="009933FC" w:rsidRDefault="009933FC" w:rsidP="009933FC">
      <w:pPr>
        <w:spacing w:before="240" w:after="0" w:line="240" w:lineRule="auto"/>
        <w:jc w:val="both"/>
        <w:rPr>
          <w:rFonts w:cs="Arial"/>
        </w:rPr>
      </w:pPr>
      <w:r w:rsidRPr="009933FC">
        <w:rPr>
          <w:rFonts w:cs="Arial"/>
        </w:rPr>
        <w:t>Se encuentra en la corriente legislativa el proyecto 19099 que promueve la Libertad Religiosa y de Culto. Dicho proyecto está siendo tratado en la Comisión de Gobierno y Administración de la Asamblea Legislativa.</w:t>
      </w:r>
    </w:p>
    <w:p w:rsidR="009933FC" w:rsidRPr="009933FC" w:rsidRDefault="009933FC" w:rsidP="009933FC">
      <w:pPr>
        <w:spacing w:before="240" w:after="0" w:line="240" w:lineRule="auto"/>
        <w:jc w:val="both"/>
        <w:rPr>
          <w:rFonts w:cs="Arial"/>
        </w:rPr>
      </w:pPr>
      <w:r w:rsidRPr="009933FC">
        <w:rPr>
          <w:rFonts w:cs="Arial"/>
        </w:rPr>
        <w:t xml:space="preserve">La perspectiva filosófica, doctrinal y jurídica que alimenta la discusión del proyecto de ley se refiere, sin lugar a dudas, a una cuestión de Derechos Humanos. </w:t>
      </w:r>
    </w:p>
    <w:p w:rsidR="009933FC" w:rsidRPr="009933FC" w:rsidRDefault="009933FC" w:rsidP="009933FC">
      <w:pPr>
        <w:spacing w:before="240" w:after="0" w:line="240" w:lineRule="auto"/>
        <w:jc w:val="both"/>
        <w:rPr>
          <w:rFonts w:cs="Arial"/>
        </w:rPr>
      </w:pPr>
      <w:r w:rsidRPr="009933FC">
        <w:rPr>
          <w:rFonts w:cs="Arial"/>
        </w:rPr>
        <w:t>A través de esta iniciativa se pretende dar vida a una ley moderna, oportuna y fuertemente entonada con la doctrina fundamental de los Derechos Humanos en materia de libertad religiosa y de culto.</w:t>
      </w:r>
    </w:p>
    <w:p w:rsidR="009933FC" w:rsidRPr="009933FC" w:rsidRDefault="009933FC" w:rsidP="009933FC">
      <w:pPr>
        <w:spacing w:before="240" w:after="0" w:line="240" w:lineRule="auto"/>
        <w:jc w:val="both"/>
        <w:rPr>
          <w:b/>
          <w:color w:val="000000"/>
          <w:lang w:eastAsia="es-CR"/>
        </w:rPr>
      </w:pPr>
      <w:r w:rsidRPr="009933FC">
        <w:rPr>
          <w:b/>
          <w:color w:val="000000"/>
          <w:lang w:eastAsia="es-CR"/>
        </w:rPr>
        <w:t>Estado Laico</w:t>
      </w:r>
    </w:p>
    <w:p w:rsidR="009933FC" w:rsidRPr="009933FC" w:rsidRDefault="009933FC" w:rsidP="009933FC">
      <w:pPr>
        <w:spacing w:before="240" w:after="0" w:line="240" w:lineRule="auto"/>
        <w:jc w:val="both"/>
        <w:rPr>
          <w:rFonts w:cs="Arial"/>
        </w:rPr>
      </w:pPr>
      <w:r w:rsidRPr="009933FC">
        <w:rPr>
          <w:rFonts w:cs="Arial"/>
        </w:rPr>
        <w:lastRenderedPageBreak/>
        <w:t xml:space="preserve">El proyecto 18.496 plantea una reforma a los artículos 75 y 194 de la Constitución Política para que mediante esta forma, se establezca el carácter laico del Estado costarricense. </w:t>
      </w:r>
    </w:p>
    <w:p w:rsidR="009933FC" w:rsidRPr="009933FC" w:rsidRDefault="009933FC" w:rsidP="009933FC">
      <w:pPr>
        <w:spacing w:before="240" w:after="0" w:line="240" w:lineRule="auto"/>
        <w:jc w:val="both"/>
        <w:rPr>
          <w:rFonts w:cs="Arial"/>
        </w:rPr>
      </w:pPr>
      <w:r w:rsidRPr="009933FC">
        <w:rPr>
          <w:rFonts w:cs="Arial"/>
        </w:rPr>
        <w:t xml:space="preserve">Este proyecto vendría a confirmar el espíritu cívico y el compromiso histórico con la defensa de la igualdad y la libertad.  </w:t>
      </w:r>
    </w:p>
    <w:p w:rsidR="00704A87" w:rsidRPr="00A6130B" w:rsidRDefault="00704A87" w:rsidP="00A6130B">
      <w:pPr>
        <w:spacing w:line="240" w:lineRule="auto"/>
        <w:rPr>
          <w:rFonts w:cs="Arial"/>
        </w:rPr>
      </w:pPr>
    </w:p>
    <w:p w:rsidR="006A5FEB" w:rsidRPr="008645E0" w:rsidRDefault="006A5FEB" w:rsidP="008820F2">
      <w:pPr>
        <w:pStyle w:val="Heading1"/>
        <w:ind w:left="142"/>
        <w:rPr>
          <w:rFonts w:ascii="Arial" w:hAnsi="Arial" w:cs="Arial"/>
          <w:b/>
          <w:sz w:val="36"/>
          <w:szCs w:val="36"/>
        </w:rPr>
      </w:pPr>
      <w:bookmarkStart w:id="81" w:name="_Toc446126674"/>
      <w:r w:rsidRPr="008645E0">
        <w:rPr>
          <w:rFonts w:ascii="Arial" w:hAnsi="Arial" w:cs="Arial"/>
          <w:b/>
          <w:sz w:val="36"/>
          <w:szCs w:val="36"/>
        </w:rPr>
        <w:t>Libertad de opinión y expresión (Art. 19)</w:t>
      </w:r>
      <w:bookmarkEnd w:id="81"/>
    </w:p>
    <w:p w:rsidR="006A5FEB" w:rsidRPr="00A6130B" w:rsidRDefault="006A5FEB" w:rsidP="00A6130B">
      <w:pPr>
        <w:spacing w:line="240" w:lineRule="auto"/>
        <w:jc w:val="both"/>
        <w:rPr>
          <w:rFonts w:cs="Arial"/>
          <w:lang w:val="es-CR"/>
        </w:rPr>
      </w:pPr>
    </w:p>
    <w:p w:rsidR="004834F8" w:rsidRDefault="00506B55" w:rsidP="00B7610D">
      <w:pPr>
        <w:pStyle w:val="Heading2"/>
        <w:numPr>
          <w:ilvl w:val="0"/>
          <w:numId w:val="10"/>
        </w:numPr>
        <w:spacing w:before="0" w:beforeAutospacing="0" w:after="0" w:afterAutospacing="0"/>
        <w:rPr>
          <w:rFonts w:ascii="Calibri" w:hAnsi="Calibri"/>
          <w:sz w:val="24"/>
          <w:szCs w:val="24"/>
        </w:rPr>
      </w:pPr>
      <w:bookmarkStart w:id="82" w:name="_Toc446126675"/>
      <w:r w:rsidRPr="00A6130B">
        <w:rPr>
          <w:rFonts w:ascii="Calibri" w:hAnsi="Calibri"/>
          <w:sz w:val="24"/>
          <w:szCs w:val="24"/>
        </w:rPr>
        <w:t xml:space="preserve">Sírvanse proporcionar </w:t>
      </w:r>
      <w:r w:rsidR="00B679B8" w:rsidRPr="00A6130B">
        <w:rPr>
          <w:rFonts w:ascii="Calibri" w:hAnsi="Calibri"/>
          <w:sz w:val="24"/>
          <w:szCs w:val="24"/>
        </w:rPr>
        <w:t>información sobre las m</w:t>
      </w:r>
      <w:r w:rsidR="006A5FEB" w:rsidRPr="00A6130B">
        <w:rPr>
          <w:rFonts w:ascii="Calibri" w:hAnsi="Calibri"/>
          <w:sz w:val="24"/>
          <w:szCs w:val="24"/>
        </w:rPr>
        <w:t xml:space="preserve">edidas </w:t>
      </w:r>
      <w:r w:rsidR="00B679B8" w:rsidRPr="00A6130B">
        <w:rPr>
          <w:rFonts w:ascii="Calibri" w:hAnsi="Calibri"/>
          <w:sz w:val="24"/>
          <w:szCs w:val="24"/>
        </w:rPr>
        <w:t>tomadas</w:t>
      </w:r>
      <w:r w:rsidR="004834F8" w:rsidRPr="00A6130B">
        <w:rPr>
          <w:rFonts w:ascii="Calibri" w:hAnsi="Calibri"/>
          <w:sz w:val="24"/>
          <w:szCs w:val="24"/>
        </w:rPr>
        <w:t>, incluida</w:t>
      </w:r>
      <w:r w:rsidR="00B679B8" w:rsidRPr="00A6130B">
        <w:rPr>
          <w:rFonts w:ascii="Calibri" w:hAnsi="Calibri"/>
          <w:sz w:val="24"/>
          <w:szCs w:val="24"/>
        </w:rPr>
        <w:t>s medidas</w:t>
      </w:r>
      <w:r w:rsidR="004834F8" w:rsidRPr="00A6130B">
        <w:rPr>
          <w:rFonts w:ascii="Calibri" w:hAnsi="Calibri"/>
          <w:sz w:val="24"/>
          <w:szCs w:val="24"/>
        </w:rPr>
        <w:t xml:space="preserve"> legisla</w:t>
      </w:r>
      <w:r w:rsidR="00B679B8" w:rsidRPr="00A6130B">
        <w:rPr>
          <w:rFonts w:ascii="Calibri" w:hAnsi="Calibri"/>
          <w:sz w:val="24"/>
          <w:szCs w:val="24"/>
        </w:rPr>
        <w:t>tivas</w:t>
      </w:r>
      <w:r w:rsidR="004834F8" w:rsidRPr="00A6130B">
        <w:rPr>
          <w:rFonts w:ascii="Calibri" w:hAnsi="Calibri"/>
          <w:sz w:val="24"/>
          <w:szCs w:val="24"/>
        </w:rPr>
        <w:t>,</w:t>
      </w:r>
      <w:r w:rsidR="006A5FEB" w:rsidRPr="00A6130B">
        <w:rPr>
          <w:rFonts w:ascii="Calibri" w:hAnsi="Calibri"/>
          <w:sz w:val="24"/>
          <w:szCs w:val="24"/>
        </w:rPr>
        <w:t xml:space="preserve"> para </w:t>
      </w:r>
      <w:r w:rsidR="004834F8" w:rsidRPr="00A6130B">
        <w:rPr>
          <w:rFonts w:ascii="Calibri" w:hAnsi="Calibri"/>
          <w:sz w:val="24"/>
          <w:szCs w:val="24"/>
        </w:rPr>
        <w:t xml:space="preserve">eliminar </w:t>
      </w:r>
      <w:r w:rsidR="00B679B8" w:rsidRPr="00A6130B">
        <w:rPr>
          <w:rFonts w:ascii="Calibri" w:hAnsi="Calibri"/>
          <w:sz w:val="24"/>
          <w:szCs w:val="24"/>
        </w:rPr>
        <w:t xml:space="preserve">las </w:t>
      </w:r>
      <w:r w:rsidR="004834F8" w:rsidRPr="00A6130B">
        <w:rPr>
          <w:rFonts w:ascii="Calibri" w:hAnsi="Calibri"/>
          <w:sz w:val="24"/>
          <w:szCs w:val="24"/>
        </w:rPr>
        <w:t xml:space="preserve">limitaciones </w:t>
      </w:r>
      <w:r w:rsidR="00B679B8" w:rsidRPr="00A6130B">
        <w:rPr>
          <w:rFonts w:ascii="Calibri" w:hAnsi="Calibri"/>
          <w:sz w:val="24"/>
          <w:szCs w:val="24"/>
        </w:rPr>
        <w:t xml:space="preserve">legislativas </w:t>
      </w:r>
      <w:r w:rsidR="004834F8" w:rsidRPr="00A6130B">
        <w:rPr>
          <w:rFonts w:ascii="Calibri" w:hAnsi="Calibri"/>
          <w:sz w:val="24"/>
          <w:szCs w:val="24"/>
        </w:rPr>
        <w:t>al ejercicio de</w:t>
      </w:r>
      <w:r w:rsidR="00B679B8" w:rsidRPr="00A6130B">
        <w:rPr>
          <w:rFonts w:ascii="Calibri" w:hAnsi="Calibri"/>
          <w:sz w:val="24"/>
          <w:szCs w:val="24"/>
        </w:rPr>
        <w:t xml:space="preserve"> </w:t>
      </w:r>
      <w:r w:rsidR="004834F8" w:rsidRPr="00A6130B">
        <w:rPr>
          <w:rFonts w:ascii="Calibri" w:hAnsi="Calibri"/>
          <w:sz w:val="24"/>
          <w:szCs w:val="24"/>
        </w:rPr>
        <w:t>l</w:t>
      </w:r>
      <w:r w:rsidR="00B679B8" w:rsidRPr="00A6130B">
        <w:rPr>
          <w:rFonts w:ascii="Calibri" w:hAnsi="Calibri"/>
          <w:sz w:val="24"/>
          <w:szCs w:val="24"/>
        </w:rPr>
        <w:t>a</w:t>
      </w:r>
      <w:r w:rsidR="004834F8" w:rsidRPr="00A6130B">
        <w:rPr>
          <w:rFonts w:ascii="Calibri" w:hAnsi="Calibri"/>
          <w:sz w:val="24"/>
          <w:szCs w:val="24"/>
        </w:rPr>
        <w:t xml:space="preserve"> </w:t>
      </w:r>
      <w:r w:rsidR="00B679B8" w:rsidRPr="00A6130B">
        <w:rPr>
          <w:rFonts w:ascii="Calibri" w:hAnsi="Calibri"/>
          <w:sz w:val="24"/>
          <w:szCs w:val="24"/>
        </w:rPr>
        <w:t xml:space="preserve">actividad </w:t>
      </w:r>
      <w:r w:rsidR="004834F8" w:rsidRPr="00A6130B">
        <w:rPr>
          <w:rFonts w:ascii="Calibri" w:hAnsi="Calibri"/>
          <w:sz w:val="24"/>
          <w:szCs w:val="24"/>
        </w:rPr>
        <w:t>period</w:t>
      </w:r>
      <w:r w:rsidR="00B679B8" w:rsidRPr="00A6130B">
        <w:rPr>
          <w:rFonts w:ascii="Calibri" w:hAnsi="Calibri"/>
          <w:sz w:val="24"/>
          <w:szCs w:val="24"/>
        </w:rPr>
        <w:t>ística en Costa Rica, tal y como recomendó el Comité en sus anteriores observaciones finales (CCPR/C/CRI/CO/5, párr. 11)</w:t>
      </w:r>
      <w:r w:rsidR="004834F8" w:rsidRPr="00A6130B">
        <w:rPr>
          <w:rFonts w:ascii="Calibri" w:hAnsi="Calibri"/>
          <w:sz w:val="24"/>
          <w:szCs w:val="24"/>
        </w:rPr>
        <w:t>.</w:t>
      </w:r>
      <w:r w:rsidR="00B679B8" w:rsidRPr="00A6130B">
        <w:rPr>
          <w:rFonts w:ascii="Calibri" w:hAnsi="Calibri"/>
          <w:sz w:val="24"/>
          <w:szCs w:val="24"/>
        </w:rPr>
        <w:t xml:space="preserve"> Sírvanse proporcionar información sobre la Ley de Delitos Informáticos, que entró en vigor en abril de 2013, y comenten sobre su compatibilidad con las disposiciones del Pacto. Indíquese el número y los motivos legales de los procesos penales incoados durante el período examinado contra periodistas. Sírvanse asimismo proporcionar información estadística sobre la investigación, enjuiciamiento y sanción a los responsables de atentados y amenazas en contra de periodistas, así como indemnización a las víctimas.</w:t>
      </w:r>
      <w:bookmarkEnd w:id="82"/>
      <w:r w:rsidR="00B679B8" w:rsidRPr="00A6130B">
        <w:rPr>
          <w:rFonts w:ascii="Calibri" w:hAnsi="Calibri"/>
          <w:sz w:val="24"/>
          <w:szCs w:val="24"/>
        </w:rPr>
        <w:t xml:space="preserve"> </w:t>
      </w:r>
    </w:p>
    <w:p w:rsidR="00B7610D" w:rsidRDefault="00B7610D" w:rsidP="00B7610D">
      <w:pPr>
        <w:pStyle w:val="Heading2"/>
        <w:spacing w:before="0" w:beforeAutospacing="0" w:after="0" w:afterAutospacing="0"/>
        <w:ind w:left="360"/>
        <w:rPr>
          <w:rFonts w:ascii="Calibri" w:hAnsi="Calibri"/>
          <w:sz w:val="24"/>
          <w:szCs w:val="24"/>
        </w:rPr>
      </w:pPr>
    </w:p>
    <w:p w:rsidR="00B7610D" w:rsidRPr="00A6130B" w:rsidRDefault="00B7610D" w:rsidP="00B7610D">
      <w:pPr>
        <w:pStyle w:val="Heading2"/>
        <w:spacing w:before="0" w:beforeAutospacing="0" w:after="0" w:afterAutospacing="0"/>
        <w:ind w:left="360"/>
        <w:rPr>
          <w:rFonts w:ascii="Calibri" w:hAnsi="Calibri"/>
          <w:sz w:val="24"/>
          <w:szCs w:val="24"/>
        </w:rPr>
      </w:pPr>
    </w:p>
    <w:p w:rsidR="00B679B8" w:rsidRPr="00A6130B" w:rsidRDefault="00B679B8" w:rsidP="00B7610D">
      <w:pPr>
        <w:pStyle w:val="Heading3"/>
        <w:numPr>
          <w:ilvl w:val="0"/>
          <w:numId w:val="22"/>
        </w:numPr>
        <w:spacing w:before="0" w:line="240" w:lineRule="auto"/>
        <w:rPr>
          <w:rFonts w:ascii="Calibri" w:hAnsi="Calibri"/>
          <w:color w:val="1F4E79"/>
        </w:rPr>
      </w:pPr>
      <w:bookmarkStart w:id="83" w:name="_Toc446126676"/>
      <w:r w:rsidRPr="00A6130B">
        <w:rPr>
          <w:rFonts w:ascii="Calibri" w:hAnsi="Calibri"/>
          <w:color w:val="1F4E79"/>
        </w:rPr>
        <w:t>Medidas tomadas para eliminar las limitaciones legislativas al ejercicio de la actividad periodística en Costa Rica.</w:t>
      </w:r>
      <w:bookmarkEnd w:id="83"/>
    </w:p>
    <w:p w:rsidR="00D118AC" w:rsidRPr="00A6130B" w:rsidRDefault="00D118AC" w:rsidP="00B7610D">
      <w:pPr>
        <w:spacing w:after="0" w:line="240" w:lineRule="auto"/>
        <w:rPr>
          <w:rFonts w:cs="Arial"/>
        </w:rPr>
      </w:pPr>
    </w:p>
    <w:p w:rsidR="00DB1061" w:rsidRDefault="00DB1061" w:rsidP="00B7610D">
      <w:pPr>
        <w:spacing w:after="0" w:line="240" w:lineRule="auto"/>
        <w:jc w:val="both"/>
        <w:rPr>
          <w:rFonts w:cs="Arial"/>
          <w:b/>
        </w:rPr>
      </w:pPr>
    </w:p>
    <w:p w:rsidR="00B63243" w:rsidRPr="00DD214F" w:rsidRDefault="00B63243" w:rsidP="00B7610D">
      <w:pPr>
        <w:spacing w:after="0" w:line="240" w:lineRule="auto"/>
        <w:jc w:val="both"/>
        <w:rPr>
          <w:rFonts w:cs="Arial"/>
        </w:rPr>
      </w:pPr>
      <w:r w:rsidRPr="00DD214F">
        <w:rPr>
          <w:rFonts w:cs="Arial"/>
          <w:b/>
        </w:rPr>
        <w:t>Proyectos de ley en curso:</w:t>
      </w:r>
      <w:r w:rsidRPr="00DD214F">
        <w:rPr>
          <w:rFonts w:cs="Arial"/>
        </w:rPr>
        <w:t xml:space="preserve"> </w:t>
      </w:r>
    </w:p>
    <w:p w:rsidR="00B63243" w:rsidRPr="00DD214F" w:rsidRDefault="00B63243" w:rsidP="00B7610D">
      <w:pPr>
        <w:pStyle w:val="ListParagraph"/>
        <w:numPr>
          <w:ilvl w:val="0"/>
          <w:numId w:val="5"/>
        </w:numPr>
        <w:spacing w:after="0" w:line="240" w:lineRule="auto"/>
        <w:contextualSpacing w:val="0"/>
        <w:jc w:val="both"/>
        <w:rPr>
          <w:rFonts w:cs="Arial"/>
        </w:rPr>
      </w:pPr>
      <w:r w:rsidRPr="00DD214F">
        <w:rPr>
          <w:rFonts w:cs="Arial"/>
        </w:rPr>
        <w:t xml:space="preserve">El Estado costarricense ha promovido una serie de acciones tendientes a fortalecer el derecho a la libertad de expresión en el país. En el plano legislativo se encuentra activo el proyecto de ley n° 16992, que identifica y prohíbe una serie de prácticas laborales de las empresas periodísticas que atentan contra la libertad de prensa de los periodistas. Asimismo, establece el procedimiento para denunciar dichas violaciones e incluye la cláusula de conciencia. </w:t>
      </w:r>
    </w:p>
    <w:p w:rsidR="00B63243" w:rsidRPr="00DD214F" w:rsidRDefault="00B63243" w:rsidP="00967059">
      <w:pPr>
        <w:pStyle w:val="ListParagraph"/>
        <w:numPr>
          <w:ilvl w:val="0"/>
          <w:numId w:val="5"/>
        </w:numPr>
        <w:spacing w:before="120" w:after="120" w:line="240" w:lineRule="auto"/>
        <w:contextualSpacing w:val="0"/>
        <w:jc w:val="both"/>
        <w:rPr>
          <w:rFonts w:cs="Arial"/>
        </w:rPr>
      </w:pPr>
      <w:r w:rsidRPr="00DD214F">
        <w:rPr>
          <w:rFonts w:cs="Arial"/>
        </w:rPr>
        <w:t>Sobre el derecho de acceso a la información pública, actualmente se encuentra en trámite el proyecto de ley n° 19113, que propone la creación del Instituto Costarricense de Acceso a la Información Pública, establece el procedimiento para solicitar información pública y atender dichas solicitudes, así también fija los límites a este derecho en asuntos de interés público.</w:t>
      </w:r>
    </w:p>
    <w:p w:rsidR="00B63243" w:rsidRPr="00DD214F" w:rsidRDefault="00B63243" w:rsidP="00967059">
      <w:pPr>
        <w:pStyle w:val="ListParagraph"/>
        <w:numPr>
          <w:ilvl w:val="0"/>
          <w:numId w:val="5"/>
        </w:numPr>
        <w:spacing w:before="120" w:after="120" w:line="240" w:lineRule="auto"/>
        <w:contextualSpacing w:val="0"/>
        <w:jc w:val="both"/>
        <w:rPr>
          <w:rFonts w:cs="Arial"/>
        </w:rPr>
      </w:pPr>
      <w:r w:rsidRPr="00DD214F">
        <w:rPr>
          <w:rFonts w:cs="Arial"/>
        </w:rPr>
        <w:t xml:space="preserve">Sin detrimento de lo anterior, actualmente se encuentran vigentes diversas leyes que regulan, sucintamente, el acceso a la información pública, tales como la Ley del Sistema Nacional de Archivos, Ley n° 7202, la Ley de protección de la persona frente al tratamiento de sus datos personales, Ley n° 8968, Ley de regulación del derecho de petición, Ley n° 9097, y la Ley de la Jurisdicción Constitucional, Ley n° 7135. </w:t>
      </w:r>
    </w:p>
    <w:p w:rsidR="00B63243" w:rsidRPr="00DD214F" w:rsidRDefault="00B63243" w:rsidP="00A6130B">
      <w:pPr>
        <w:spacing w:before="120" w:after="120" w:line="240" w:lineRule="auto"/>
        <w:jc w:val="both"/>
        <w:rPr>
          <w:rFonts w:cs="Arial"/>
          <w:b/>
        </w:rPr>
      </w:pPr>
      <w:r w:rsidRPr="00DD214F">
        <w:rPr>
          <w:rFonts w:cs="Arial"/>
          <w:b/>
        </w:rPr>
        <w:t xml:space="preserve">Acciones estatales: </w:t>
      </w:r>
    </w:p>
    <w:p w:rsidR="00B63243" w:rsidRPr="00DD214F" w:rsidRDefault="00B63243" w:rsidP="00967059">
      <w:pPr>
        <w:pStyle w:val="ListParagraph"/>
        <w:numPr>
          <w:ilvl w:val="0"/>
          <w:numId w:val="5"/>
        </w:numPr>
        <w:spacing w:before="120" w:after="120" w:line="240" w:lineRule="auto"/>
        <w:contextualSpacing w:val="0"/>
        <w:jc w:val="both"/>
        <w:rPr>
          <w:rFonts w:cs="Arial"/>
        </w:rPr>
      </w:pPr>
      <w:r w:rsidRPr="00DD214F">
        <w:rPr>
          <w:rFonts w:cs="Arial"/>
        </w:rPr>
        <w:t xml:space="preserve">EL 6 </w:t>
      </w:r>
      <w:r w:rsidR="006B21C9" w:rsidRPr="00DD214F">
        <w:rPr>
          <w:rFonts w:cs="Arial"/>
        </w:rPr>
        <w:t>de mayo de</w:t>
      </w:r>
      <w:r w:rsidRPr="00DD214F">
        <w:rPr>
          <w:rFonts w:cs="Arial"/>
        </w:rPr>
        <w:t xml:space="preserve"> 2015, el Estado de Costa Rica suscribió la Declaración de Chapultepec, destinada a promover la libertad de expresión en el continente americano. </w:t>
      </w:r>
    </w:p>
    <w:p w:rsidR="00B63243" w:rsidRPr="00DD214F" w:rsidRDefault="00B63243" w:rsidP="00967059">
      <w:pPr>
        <w:pStyle w:val="ListParagraph"/>
        <w:numPr>
          <w:ilvl w:val="0"/>
          <w:numId w:val="5"/>
        </w:numPr>
        <w:spacing w:before="120" w:after="120" w:line="240" w:lineRule="auto"/>
        <w:contextualSpacing w:val="0"/>
        <w:jc w:val="both"/>
        <w:rPr>
          <w:rFonts w:cs="Arial"/>
        </w:rPr>
      </w:pPr>
      <w:r w:rsidRPr="00DD214F">
        <w:rPr>
          <w:rFonts w:cs="Arial"/>
        </w:rPr>
        <w:lastRenderedPageBreak/>
        <w:t xml:space="preserve">El Poder Ejecutivo desde el año anterior ha planteado la necesidad de generar un conjunto de reformas normativas necesarias para fortalecer la libertad de expresión, ante el vacío legal en la materia. Por ello, ha elaborado 3 propuestas de ley que han sido sometidas a consulta a diversos medios de comunicación, organizaciones de la sociedad civil, cámaras empresariales, e instituciones del ámbito administrativo y académico. Asimismo, dichas iniciativas han sido presentados al Relator Especial de la OEA para la Libertad de Expresión, señor Edison Lanza. </w:t>
      </w:r>
    </w:p>
    <w:p w:rsidR="00B63243" w:rsidRPr="00DD214F" w:rsidRDefault="00B63243" w:rsidP="00967059">
      <w:pPr>
        <w:pStyle w:val="ListParagraph"/>
        <w:numPr>
          <w:ilvl w:val="0"/>
          <w:numId w:val="6"/>
        </w:numPr>
        <w:spacing w:before="120" w:after="120" w:line="240" w:lineRule="auto"/>
        <w:contextualSpacing w:val="0"/>
        <w:jc w:val="both"/>
        <w:rPr>
          <w:rFonts w:cs="Arial"/>
        </w:rPr>
      </w:pPr>
      <w:r w:rsidRPr="00DD214F">
        <w:rPr>
          <w:rFonts w:cs="Arial"/>
          <w:u w:val="single"/>
        </w:rPr>
        <w:t>Proyecto de Ley de Acceso a la Información Pública</w:t>
      </w:r>
      <w:r w:rsidRPr="00DD214F">
        <w:rPr>
          <w:rFonts w:cs="Arial"/>
        </w:rPr>
        <w:t xml:space="preserve">: Busca regular el derecho de acceso a la información de conformidad con los estándares internacionales y asegurar su protección más amplia. Para la elaboración de este texto se tomó como guía primordial la Ley Modelo Interamericana sobre el Acceso a la Información del 29 de abril de 2010. La propuesta contempla los deberes del Estado frente al derecho en mención, principalmente lo relativo a la obligación de divulgar de oficio información pública en el respetivo sitio Web oficial o portal. De igual forma, se consigna un régimen taxativo y restringido de excepciones, para cuya enumeración se consideró la vasta jurisprudencia constitucional en torno a este tema. En la supervisión del cumplimiento de este derecho, se propone un papel protagónico para la Defensoría de los Habitantes de la República y la creación de la figura de la Oficialía de Acceso a la Información, a cargo la contraloría de servicios de cada institución. El texto promovido es respetuoso de los Principios sobre el Derecho de Acceso a la Información de la OEA (resolución CJI/RES.147 del 7 de agosto de 2008). </w:t>
      </w:r>
    </w:p>
    <w:p w:rsidR="00B63243" w:rsidRPr="00DD214F" w:rsidRDefault="00B63243" w:rsidP="00967059">
      <w:pPr>
        <w:pStyle w:val="ListParagraph"/>
        <w:numPr>
          <w:ilvl w:val="0"/>
          <w:numId w:val="6"/>
        </w:numPr>
        <w:spacing w:before="120" w:after="120" w:line="240" w:lineRule="auto"/>
        <w:contextualSpacing w:val="0"/>
        <w:jc w:val="both"/>
        <w:rPr>
          <w:rFonts w:cs="Arial"/>
        </w:rPr>
      </w:pPr>
      <w:r w:rsidRPr="00DD214F">
        <w:rPr>
          <w:rFonts w:cs="Arial"/>
          <w:u w:val="single"/>
        </w:rPr>
        <w:t>Proyecto de Ley Libertad de Prensa</w:t>
      </w:r>
      <w:r w:rsidRPr="00DD214F">
        <w:rPr>
          <w:rFonts w:cs="Arial"/>
        </w:rPr>
        <w:t xml:space="preserve">: esta iniciativa establece reformas en materia penal, procesal penal y laboral, a efectos de eliminar cualquier obstaculización al libre de debate en asuntos de interés público. </w:t>
      </w:r>
      <w:r w:rsidRPr="00DD214F">
        <w:rPr>
          <w:rFonts w:cs="Arial"/>
          <w:lang w:val="es-UY"/>
        </w:rPr>
        <w:t xml:space="preserve"> Se basa en 5 aspectos esenciales: a) Despenaliza la divulgación de información de interés público; b) reduce el plazo de prescripción de los delitos contra el honor; c) deter</w:t>
      </w:r>
      <w:r w:rsidR="00E73601" w:rsidRPr="00DD214F">
        <w:rPr>
          <w:rFonts w:cs="Arial"/>
          <w:lang w:val="es-UY"/>
        </w:rPr>
        <w:t>m</w:t>
      </w:r>
      <w:r w:rsidRPr="00DD214F">
        <w:rPr>
          <w:rFonts w:cs="Arial"/>
          <w:lang w:val="es-UY"/>
        </w:rPr>
        <w:t>ina la protección del periodista y sus fuentes frente al proceso penal; y d) regula la cláusula de conciencia</w:t>
      </w:r>
      <w:r w:rsidR="00E73601" w:rsidRPr="00DD214F">
        <w:rPr>
          <w:rFonts w:cs="Arial"/>
          <w:lang w:val="es-UY"/>
        </w:rPr>
        <w:t xml:space="preserve"> </w:t>
      </w:r>
      <w:r w:rsidRPr="00DD214F">
        <w:rPr>
          <w:rFonts w:cs="Arial"/>
          <w:lang w:val="es-UY"/>
        </w:rPr>
        <w:t>de los periodistas. Con esto, reforzará significativamente el papel de la prensa como mecanismo legítimo de control ciudadano.</w:t>
      </w:r>
    </w:p>
    <w:p w:rsidR="00B63243" w:rsidRPr="00DD214F" w:rsidRDefault="00B63243" w:rsidP="00967059">
      <w:pPr>
        <w:pStyle w:val="ListParagraph"/>
        <w:numPr>
          <w:ilvl w:val="0"/>
          <w:numId w:val="6"/>
        </w:numPr>
        <w:spacing w:before="120" w:after="120" w:line="240" w:lineRule="auto"/>
        <w:contextualSpacing w:val="0"/>
        <w:jc w:val="both"/>
        <w:rPr>
          <w:rFonts w:cs="Arial"/>
        </w:rPr>
      </w:pPr>
      <w:r w:rsidRPr="00DD214F">
        <w:rPr>
          <w:rFonts w:cs="Arial"/>
          <w:u w:val="single"/>
        </w:rPr>
        <w:t>Proyecto de Ley Publicidad Oficial</w:t>
      </w:r>
      <w:r w:rsidRPr="00DD214F">
        <w:rPr>
          <w:rFonts w:cs="Arial"/>
        </w:rPr>
        <w:t xml:space="preserve">: </w:t>
      </w:r>
      <w:r w:rsidRPr="00DD214F">
        <w:rPr>
          <w:rFonts w:cs="Arial"/>
          <w:lang w:val="es-UY"/>
        </w:rPr>
        <w:t xml:space="preserve">primera iniciativa en la materia, establece los criterios generales para el uso de los recursos destinados a financiar la publicidad oficial con el objetivo de garantizar la transparencia y racionalidad en el uso de los recursos públicos en la contratación de dichos servicios. </w:t>
      </w:r>
    </w:p>
    <w:p w:rsidR="00B63243" w:rsidRPr="00DD214F" w:rsidRDefault="00B63243" w:rsidP="00967059">
      <w:pPr>
        <w:pStyle w:val="ListParagraph"/>
        <w:numPr>
          <w:ilvl w:val="0"/>
          <w:numId w:val="5"/>
        </w:numPr>
        <w:spacing w:before="120" w:after="120" w:line="240" w:lineRule="auto"/>
        <w:contextualSpacing w:val="0"/>
        <w:jc w:val="both"/>
        <w:rPr>
          <w:rFonts w:cs="Arial"/>
        </w:rPr>
      </w:pPr>
      <w:r w:rsidRPr="00DD214F">
        <w:rPr>
          <w:rFonts w:cs="Arial"/>
        </w:rPr>
        <w:t>Sumado a lo anterior, el Presidente de la República conformó un grupo de apoyo de alto nivel para asesorar en la modernización del marco normativo en materia de libertad de expresión.</w:t>
      </w:r>
    </w:p>
    <w:p w:rsidR="00B63243" w:rsidRPr="00DD214F" w:rsidRDefault="00B63243" w:rsidP="00967059">
      <w:pPr>
        <w:pStyle w:val="ListParagraph"/>
        <w:numPr>
          <w:ilvl w:val="0"/>
          <w:numId w:val="5"/>
        </w:numPr>
        <w:spacing w:before="120" w:after="120" w:line="240" w:lineRule="auto"/>
        <w:contextualSpacing w:val="0"/>
        <w:jc w:val="both"/>
        <w:rPr>
          <w:rFonts w:cs="Arial"/>
        </w:rPr>
      </w:pPr>
      <w:r w:rsidRPr="00DD214F">
        <w:rPr>
          <w:rFonts w:cs="Arial"/>
        </w:rPr>
        <w:t xml:space="preserve">Mediante la creación de la Comisión Nacional por un Gobierno Abierto (Decreto Ejecutivo N°  38994 del 29 de abril del 2015), el Gobierno de la República busca mejorar los niveles de transparencia, garantizar el acceso democrático a la información pública y facilitar la participación ciudadana en los asuntos públicos. Para la ejecución de los objetivos de la Comisión, se emitió la Estrategia Nacional para un Gobierno Abierto 2015-2018. Dicha Estrategia (declarada de interés público mediante Decreto Ejecutivo N° 39372-MP-MC del 07 de diciembre del 2015) contempla </w:t>
      </w:r>
      <w:r w:rsidRPr="00DD214F">
        <w:rPr>
          <w:rFonts w:cs="Arial"/>
          <w:color w:val="000000"/>
        </w:rPr>
        <w:t>las acciones estatales que se llevarán a cabo en el período 2014-2018, entre instituciones públicas, sector empresarial, academia y sociedad civil, dirigidas a modernizar el Estado a través del fortalecimiento de los niveles de transparencia, el acceso democrático a la información pública y la participación ciudadana.</w:t>
      </w:r>
    </w:p>
    <w:p w:rsidR="00B63243" w:rsidRPr="00DD214F" w:rsidRDefault="00B63243" w:rsidP="00967059">
      <w:pPr>
        <w:pStyle w:val="ListParagraph"/>
        <w:numPr>
          <w:ilvl w:val="0"/>
          <w:numId w:val="5"/>
        </w:numPr>
        <w:spacing w:before="120" w:after="120" w:line="240" w:lineRule="auto"/>
        <w:contextualSpacing w:val="0"/>
        <w:jc w:val="both"/>
        <w:rPr>
          <w:rFonts w:cs="Arial"/>
        </w:rPr>
      </w:pPr>
      <w:r w:rsidRPr="00DD214F">
        <w:rPr>
          <w:rFonts w:cs="Arial"/>
          <w:color w:val="000000"/>
        </w:rPr>
        <w:t>En el ámbito judicial, la Sala Constitucional ha desarrollado una fuerte doctrina juri</w:t>
      </w:r>
      <w:r w:rsidR="00704A87" w:rsidRPr="00DD214F">
        <w:rPr>
          <w:rFonts w:cs="Arial"/>
          <w:color w:val="000000"/>
        </w:rPr>
        <w:t>s</w:t>
      </w:r>
      <w:r w:rsidRPr="00DD214F">
        <w:rPr>
          <w:rFonts w:cs="Arial"/>
          <w:color w:val="000000"/>
        </w:rPr>
        <w:t xml:space="preserve">prudencial en resguardo al derecho de acceso a la información pública. Sobre el periodo 2013-2016: </w:t>
      </w:r>
    </w:p>
    <w:p w:rsidR="00B63243" w:rsidRPr="00DD214F" w:rsidRDefault="00B63243" w:rsidP="00967059">
      <w:pPr>
        <w:pStyle w:val="ListParagraph"/>
        <w:numPr>
          <w:ilvl w:val="0"/>
          <w:numId w:val="7"/>
        </w:numPr>
        <w:spacing w:before="120" w:after="120" w:line="240" w:lineRule="auto"/>
        <w:contextualSpacing w:val="0"/>
        <w:jc w:val="both"/>
        <w:rPr>
          <w:rFonts w:cs="Arial"/>
        </w:rPr>
      </w:pPr>
      <w:r w:rsidRPr="00DD214F">
        <w:rPr>
          <w:rFonts w:cs="Arial"/>
        </w:rPr>
        <w:lastRenderedPageBreak/>
        <w:t xml:space="preserve">2013.  </w:t>
      </w:r>
      <w:r w:rsidRPr="00DD214F">
        <w:rPr>
          <w:rFonts w:cs="Arial"/>
          <w:b/>
        </w:rPr>
        <w:t xml:space="preserve">Asuntos Votados: 213. </w:t>
      </w:r>
      <w:r w:rsidRPr="00DD214F">
        <w:rPr>
          <w:rFonts w:cs="Arial"/>
        </w:rPr>
        <w:t>a)</w:t>
      </w:r>
      <w:r w:rsidRPr="00DD214F">
        <w:rPr>
          <w:rFonts w:cs="Arial"/>
          <w:u w:val="single"/>
        </w:rPr>
        <w:t xml:space="preserve"> Con lugar 67</w:t>
      </w:r>
      <w:r w:rsidRPr="00DD214F">
        <w:rPr>
          <w:rFonts w:cs="Arial"/>
        </w:rPr>
        <w:t>, b) Con lugar parcial: 7, c) Rechazado por el fondo: 10, d) Rechazo de Plano: 44, e) Sin lugar: 85.</w:t>
      </w:r>
    </w:p>
    <w:p w:rsidR="00B63243" w:rsidRPr="00DD214F" w:rsidRDefault="00B63243" w:rsidP="00967059">
      <w:pPr>
        <w:pStyle w:val="ListParagraph"/>
        <w:numPr>
          <w:ilvl w:val="0"/>
          <w:numId w:val="7"/>
        </w:numPr>
        <w:spacing w:before="120" w:after="120" w:line="240" w:lineRule="auto"/>
        <w:contextualSpacing w:val="0"/>
        <w:jc w:val="both"/>
        <w:rPr>
          <w:rFonts w:cs="Arial"/>
        </w:rPr>
      </w:pPr>
      <w:r w:rsidRPr="00DD214F">
        <w:rPr>
          <w:rFonts w:cs="Arial"/>
        </w:rPr>
        <w:t xml:space="preserve">2014. </w:t>
      </w:r>
      <w:r w:rsidRPr="00DD214F">
        <w:rPr>
          <w:rFonts w:cs="Arial"/>
          <w:b/>
        </w:rPr>
        <w:t xml:space="preserve">Asuntos Votados: 669. </w:t>
      </w:r>
      <w:r w:rsidRPr="00DD214F">
        <w:rPr>
          <w:rFonts w:cs="Arial"/>
        </w:rPr>
        <w:t>a)</w:t>
      </w:r>
      <w:r w:rsidRPr="00DD214F">
        <w:rPr>
          <w:rFonts w:cs="Arial"/>
          <w:u w:val="single"/>
        </w:rPr>
        <w:t xml:space="preserve"> Con lugar: 154</w:t>
      </w:r>
      <w:r w:rsidRPr="00DD214F">
        <w:rPr>
          <w:rFonts w:cs="Arial"/>
        </w:rPr>
        <w:t>, b) Con lugar parcial: 25, c) Rechazado por el fondo: 96, d) Rechazo de Plano: 51, e) Sin lugar: 343.</w:t>
      </w:r>
    </w:p>
    <w:p w:rsidR="00B63243" w:rsidRPr="00DD214F" w:rsidRDefault="00B63243" w:rsidP="00967059">
      <w:pPr>
        <w:pStyle w:val="ListParagraph"/>
        <w:numPr>
          <w:ilvl w:val="0"/>
          <w:numId w:val="7"/>
        </w:numPr>
        <w:spacing w:before="120" w:after="120" w:line="240" w:lineRule="auto"/>
        <w:contextualSpacing w:val="0"/>
        <w:jc w:val="both"/>
        <w:rPr>
          <w:rFonts w:cs="Arial"/>
        </w:rPr>
      </w:pPr>
      <w:r w:rsidRPr="00DD214F">
        <w:rPr>
          <w:rFonts w:cs="Arial"/>
        </w:rPr>
        <w:t xml:space="preserve">2015. </w:t>
      </w:r>
      <w:r w:rsidRPr="00DD214F">
        <w:rPr>
          <w:rFonts w:cs="Arial"/>
          <w:b/>
        </w:rPr>
        <w:t xml:space="preserve">Asuntos Votados: 629. </w:t>
      </w:r>
      <w:r w:rsidRPr="00DD214F">
        <w:rPr>
          <w:rFonts w:cs="Arial"/>
        </w:rPr>
        <w:t xml:space="preserve">a) </w:t>
      </w:r>
      <w:r w:rsidRPr="00DD214F">
        <w:rPr>
          <w:rFonts w:cs="Arial"/>
          <w:u w:val="single"/>
        </w:rPr>
        <w:t>Con lugar: 125</w:t>
      </w:r>
      <w:r w:rsidRPr="00DD214F">
        <w:rPr>
          <w:rFonts w:cs="Arial"/>
        </w:rPr>
        <w:t>, b) Con lugar parcial: 14, c) Rechazado por el fondo: 66, d) Rechazo de Plano: 120, e) Sin lugar: 211.</w:t>
      </w:r>
    </w:p>
    <w:p w:rsidR="00B63243" w:rsidRPr="00DD214F" w:rsidRDefault="00B63243" w:rsidP="00967059">
      <w:pPr>
        <w:pStyle w:val="ListParagraph"/>
        <w:numPr>
          <w:ilvl w:val="0"/>
          <w:numId w:val="7"/>
        </w:numPr>
        <w:spacing w:before="120" w:after="120" w:line="240" w:lineRule="auto"/>
        <w:contextualSpacing w:val="0"/>
        <w:jc w:val="both"/>
        <w:rPr>
          <w:rFonts w:cs="Arial"/>
        </w:rPr>
      </w:pPr>
      <w:r w:rsidRPr="00DD214F">
        <w:rPr>
          <w:rFonts w:cs="Arial"/>
        </w:rPr>
        <w:t xml:space="preserve">2016. </w:t>
      </w:r>
      <w:r w:rsidRPr="00DD214F">
        <w:rPr>
          <w:rFonts w:cs="Arial"/>
          <w:b/>
        </w:rPr>
        <w:t xml:space="preserve">Asuntos Votados: 35. </w:t>
      </w:r>
      <w:r w:rsidRPr="00DD214F">
        <w:rPr>
          <w:rFonts w:cs="Arial"/>
        </w:rPr>
        <w:t xml:space="preserve">a) </w:t>
      </w:r>
      <w:r w:rsidRPr="00DD214F">
        <w:rPr>
          <w:rFonts w:cs="Arial"/>
          <w:u w:val="single"/>
        </w:rPr>
        <w:t>Con lugar: 10</w:t>
      </w:r>
      <w:r w:rsidRPr="00DD214F">
        <w:rPr>
          <w:rFonts w:cs="Arial"/>
        </w:rPr>
        <w:t>, b) Con lugar parcial: 01, c) Rechazado por el fondo: 02, d) Rechazo de Plano: 16 e) Sin lugar: 6.</w:t>
      </w:r>
    </w:p>
    <w:p w:rsidR="00B63243" w:rsidRDefault="00B63243" w:rsidP="00967059">
      <w:pPr>
        <w:pStyle w:val="ListParagraph"/>
        <w:numPr>
          <w:ilvl w:val="0"/>
          <w:numId w:val="5"/>
        </w:numPr>
        <w:spacing w:before="120" w:after="120" w:line="240" w:lineRule="auto"/>
        <w:contextualSpacing w:val="0"/>
        <w:jc w:val="both"/>
        <w:rPr>
          <w:rFonts w:cs="Arial"/>
        </w:rPr>
      </w:pPr>
      <w:r w:rsidRPr="00DD214F">
        <w:rPr>
          <w:rFonts w:cs="Arial"/>
          <w:color w:val="000000"/>
        </w:rPr>
        <w:t xml:space="preserve">Desde el 2004, la Defensoría de los Habitantes ha promovido la </w:t>
      </w:r>
      <w:r w:rsidRPr="00DD214F">
        <w:rPr>
          <w:rFonts w:cs="Arial"/>
        </w:rPr>
        <w:t xml:space="preserve">Red Interinstitucional de Transparencia, que tiene como finalidad garantizar el acceso a la información relacionada con la administración de los recursos públicos. Dicha Red está integrada por diversas instituciones del Gobierno central, municipalidades, instituciones descentralizadas y </w:t>
      </w:r>
      <w:proofErr w:type="spellStart"/>
      <w:r w:rsidRPr="00DD214F">
        <w:rPr>
          <w:rFonts w:cs="Arial"/>
        </w:rPr>
        <w:t>ONG´s</w:t>
      </w:r>
      <w:proofErr w:type="spellEnd"/>
      <w:r w:rsidRPr="00DD214F">
        <w:rPr>
          <w:rFonts w:cs="Arial"/>
        </w:rPr>
        <w:t>. Asimismo, mediante el Índice de Transparencia de Sector Público Costarricense (ITSP), la Defensoría de los Habitantes y el Centro de Investigación y Capacitación en Administración Pública de la UCR, evalúan la información disponible en los sitios de  internet de 105 instituciones: El promedio general de las instituciones fue de 32,24 de 100 en todos los rubros. No obstante, el acceso a la información fue el rubro en el que se obtuvo mejor promedio (63,3).</w:t>
      </w:r>
    </w:p>
    <w:p w:rsidR="00B7610D" w:rsidRPr="00B7610D" w:rsidRDefault="00B7610D" w:rsidP="00B7610D">
      <w:pPr>
        <w:spacing w:after="0" w:line="240" w:lineRule="auto"/>
        <w:ind w:left="360"/>
        <w:jc w:val="both"/>
        <w:rPr>
          <w:rFonts w:cs="Arial"/>
        </w:rPr>
      </w:pPr>
    </w:p>
    <w:p w:rsidR="00B679B8" w:rsidRPr="00DD214F" w:rsidRDefault="00B679B8" w:rsidP="00B7610D">
      <w:pPr>
        <w:pStyle w:val="Heading3"/>
        <w:numPr>
          <w:ilvl w:val="0"/>
          <w:numId w:val="22"/>
        </w:numPr>
        <w:spacing w:before="0" w:line="240" w:lineRule="auto"/>
        <w:rPr>
          <w:rFonts w:ascii="Calibri" w:hAnsi="Calibri"/>
          <w:color w:val="1F4E79"/>
        </w:rPr>
      </w:pPr>
      <w:bookmarkStart w:id="84" w:name="_Toc446126677"/>
      <w:r w:rsidRPr="00DD214F">
        <w:rPr>
          <w:rFonts w:ascii="Calibri" w:hAnsi="Calibri"/>
          <w:color w:val="1F4E79"/>
        </w:rPr>
        <w:t>información sobre la Ley de Delitos Informáticos, que entró en vigor en abril de 2013, y comenten sobre su compatibilidad con las disposiciones del Pacto</w:t>
      </w:r>
      <w:bookmarkEnd w:id="84"/>
    </w:p>
    <w:p w:rsidR="00B22EBC" w:rsidRPr="00DD214F" w:rsidRDefault="00B22EBC" w:rsidP="00B7610D">
      <w:pPr>
        <w:spacing w:after="0"/>
        <w:jc w:val="both"/>
      </w:pPr>
    </w:p>
    <w:p w:rsidR="00320508" w:rsidRPr="00DD214F" w:rsidRDefault="00320508" w:rsidP="00B7610D">
      <w:pPr>
        <w:spacing w:after="0"/>
        <w:jc w:val="both"/>
      </w:pPr>
      <w:r w:rsidRPr="00DD214F">
        <w:t xml:space="preserve">En abril del 2013 se emitió la Ley de Delitos Informáticos, reformando los artículos 196, 196 bis, 230, 293 y 295 del Código Penal. Además, se adiciona un artículo 167 bis. Dicha ley, contó con la participación del Colegio de Periodistas de Costa Rica y el Poder Ejecutivo. </w:t>
      </w:r>
    </w:p>
    <w:p w:rsidR="00320508" w:rsidRPr="00DD214F" w:rsidRDefault="00320508" w:rsidP="00320508">
      <w:pPr>
        <w:jc w:val="both"/>
      </w:pPr>
      <w:r w:rsidRPr="00DD214F">
        <w:t>Con respecto a la penalización de la divulgación de información secreta política, se reforman los tipos penales, de modo que las sanciones solo recaen en quien revele secretos de Estado debidamente decretados, eliminando la frase “</w:t>
      </w:r>
      <w:r w:rsidRPr="00DD214F">
        <w:rPr>
          <w:i/>
        </w:rPr>
        <w:t>informaciones políticas secretas</w:t>
      </w:r>
      <w:r w:rsidRPr="00DD214F">
        <w:t xml:space="preserve">” de los artículos 293 y 295: </w:t>
      </w:r>
    </w:p>
    <w:p w:rsidR="00320508" w:rsidRPr="00DD214F" w:rsidRDefault="00320508" w:rsidP="00320508">
      <w:pPr>
        <w:pStyle w:val="ListParagraph"/>
        <w:ind w:left="567" w:right="567"/>
        <w:jc w:val="both"/>
        <w:rPr>
          <w:rFonts w:eastAsia="Times New Roman"/>
          <w:i/>
          <w:lang w:val="es-MX" w:eastAsia="es-CR"/>
        </w:rPr>
      </w:pPr>
      <w:r w:rsidRPr="00DD214F">
        <w:rPr>
          <w:rFonts w:eastAsia="Times New Roman"/>
          <w:b/>
          <w:bCs/>
          <w:i/>
          <w:lang w:val="es-MX" w:eastAsia="es-CR"/>
        </w:rPr>
        <w:t>"Artículo 293</w:t>
      </w:r>
      <w:r w:rsidRPr="00DD214F">
        <w:rPr>
          <w:rFonts w:eastAsia="Times New Roman"/>
          <w:i/>
          <w:lang w:val="es-MX" w:eastAsia="es-CR"/>
        </w:rPr>
        <w:t>.-</w:t>
      </w:r>
      <w:r w:rsidRPr="00DD214F">
        <w:rPr>
          <w:rFonts w:eastAsia="Times New Roman"/>
          <w:b/>
          <w:bCs/>
          <w:i/>
          <w:lang w:val="es-MX" w:eastAsia="es-CR"/>
        </w:rPr>
        <w:t>Revelación de secretos de Estado. </w:t>
      </w:r>
      <w:r w:rsidRPr="00DD214F">
        <w:rPr>
          <w:rFonts w:eastAsia="Times New Roman"/>
          <w:i/>
          <w:lang w:val="es-MX" w:eastAsia="es-CR"/>
        </w:rPr>
        <w:t xml:space="preserve">Será reprimido con prisión de uno a seis años a quien revele </w:t>
      </w:r>
      <w:r w:rsidRPr="00DD214F">
        <w:rPr>
          <w:rFonts w:eastAsia="Times New Roman"/>
          <w:i/>
          <w:u w:val="single"/>
          <w:lang w:val="es-MX" w:eastAsia="es-CR"/>
        </w:rPr>
        <w:t>secretos de Estado debidamente decretados</w:t>
      </w:r>
      <w:r w:rsidRPr="00DD214F">
        <w:rPr>
          <w:rFonts w:eastAsia="Times New Roman"/>
          <w:i/>
          <w:lang w:val="es-MX" w:eastAsia="es-CR"/>
        </w:rPr>
        <w:t xml:space="preserve"> relativos a la seguridad interna o externa de la nación, la defensa de la soberanía nacional o las relaciones exteriores de la Republica."</w:t>
      </w:r>
    </w:p>
    <w:p w:rsidR="00320508" w:rsidRPr="00DD214F" w:rsidRDefault="00320508" w:rsidP="00320508">
      <w:pPr>
        <w:pStyle w:val="ListParagraph"/>
        <w:ind w:left="567" w:right="567"/>
        <w:jc w:val="both"/>
        <w:rPr>
          <w:rFonts w:eastAsia="Times New Roman"/>
          <w:i/>
          <w:lang w:val="es-MX" w:eastAsia="es-CR"/>
        </w:rPr>
      </w:pPr>
      <w:r w:rsidRPr="00DD214F">
        <w:rPr>
          <w:rFonts w:eastAsia="Times New Roman"/>
          <w:b/>
          <w:bCs/>
          <w:i/>
          <w:lang w:val="es-MX" w:eastAsia="es-CR"/>
        </w:rPr>
        <w:t>“Artículo 295</w:t>
      </w:r>
      <w:r w:rsidRPr="00DD214F">
        <w:rPr>
          <w:rFonts w:eastAsia="Times New Roman"/>
          <w:i/>
          <w:lang w:val="es-MX" w:eastAsia="es-CR"/>
        </w:rPr>
        <w:t>.-</w:t>
      </w:r>
      <w:r w:rsidRPr="00DD214F">
        <w:rPr>
          <w:rFonts w:eastAsia="Times New Roman"/>
          <w:b/>
          <w:bCs/>
          <w:i/>
          <w:lang w:val="es-MX" w:eastAsia="es-CR"/>
        </w:rPr>
        <w:t>Espionaje. </w:t>
      </w:r>
      <w:r w:rsidRPr="00DD214F">
        <w:rPr>
          <w:rFonts w:eastAsia="Times New Roman"/>
          <w:i/>
          <w:lang w:val="es-MX" w:eastAsia="es-CR"/>
        </w:rPr>
        <w:t xml:space="preserve">Será reprimido con prisión de uno a seis años a quien procure u obtenga indebidamente </w:t>
      </w:r>
      <w:r w:rsidRPr="00DD214F">
        <w:rPr>
          <w:rFonts w:eastAsia="Times New Roman"/>
          <w:i/>
          <w:u w:val="single"/>
          <w:lang w:val="es-MX" w:eastAsia="es-CR"/>
        </w:rPr>
        <w:t>secretos de Estado debidamente decretados</w:t>
      </w:r>
      <w:r w:rsidRPr="00DD214F">
        <w:rPr>
          <w:rFonts w:eastAsia="Times New Roman"/>
          <w:i/>
          <w:lang w:val="es-MX" w:eastAsia="es-CR"/>
        </w:rPr>
        <w:t xml:space="preserve"> relativos a la seguridad interna o externa de la nación, la defensa de la soberanía nacional y las relaciones exteriores de Costa Rica.</w:t>
      </w:r>
    </w:p>
    <w:p w:rsidR="00320508" w:rsidRPr="00DD214F" w:rsidRDefault="00320508" w:rsidP="00320508">
      <w:pPr>
        <w:pStyle w:val="ListParagraph"/>
        <w:ind w:left="567" w:right="567"/>
        <w:jc w:val="both"/>
        <w:rPr>
          <w:rFonts w:eastAsia="Times New Roman"/>
          <w:lang w:val="es-MX" w:eastAsia="es-CR"/>
        </w:rPr>
      </w:pPr>
      <w:r w:rsidRPr="00DD214F">
        <w:rPr>
          <w:rFonts w:eastAsia="Times New Roman"/>
          <w:i/>
          <w:lang w:val="es-MX" w:eastAsia="es-CR"/>
        </w:rPr>
        <w:t>La pena será de dos a ocho años de prisión cuando la conducta se realice mediante manipulación informática, programas informáticos maliciosos o por el uso de tecnologías de la información y la comunicación."</w:t>
      </w:r>
      <w:r w:rsidRPr="00DD214F">
        <w:rPr>
          <w:rFonts w:eastAsia="Times New Roman"/>
          <w:lang w:val="es-MX" w:eastAsia="es-CR"/>
        </w:rPr>
        <w:t xml:space="preserve"> (El subrayado no es del original)</w:t>
      </w:r>
    </w:p>
    <w:p w:rsidR="00320508" w:rsidRPr="00DD214F" w:rsidRDefault="00320508" w:rsidP="00320508">
      <w:pPr>
        <w:jc w:val="both"/>
      </w:pPr>
      <w:r w:rsidRPr="00DD214F">
        <w:rPr>
          <w:shd w:val="clear" w:color="auto" w:fill="FFFFFF"/>
          <w:lang w:val="es-MX"/>
        </w:rPr>
        <w:t xml:space="preserve">A la vez, la reforma </w:t>
      </w:r>
      <w:r w:rsidRPr="00DD214F">
        <w:rPr>
          <w:shd w:val="clear" w:color="auto" w:fill="FFFFFF"/>
        </w:rPr>
        <w:t>reconoce el interés público de las informaciones, señalando que en el delito de violación de datos personales: “</w:t>
      </w:r>
      <w:r w:rsidRPr="00DD214F">
        <w:rPr>
          <w:i/>
          <w:color w:val="000000"/>
        </w:rPr>
        <w:t xml:space="preserve">No constituye delito la publicación, difusión o transmisión de información de interés público, documentos públicos, datos contenidos en registros públicos o bases de datos públicos </w:t>
      </w:r>
      <w:r w:rsidRPr="00DD214F">
        <w:rPr>
          <w:i/>
          <w:color w:val="000000"/>
        </w:rPr>
        <w:lastRenderedPageBreak/>
        <w:t>de acceso irrestricto cuando se haya tenido acceso de conformidad con los procedimientos y limitaciones de ley</w:t>
      </w:r>
      <w:r w:rsidRPr="00DD214F">
        <w:rPr>
          <w:color w:val="000000"/>
        </w:rPr>
        <w:t>.”</w:t>
      </w:r>
    </w:p>
    <w:p w:rsidR="00320508" w:rsidRPr="00DD214F" w:rsidRDefault="00320508" w:rsidP="00320508">
      <w:pPr>
        <w:jc w:val="both"/>
      </w:pPr>
      <w:r w:rsidRPr="00DD214F">
        <w:t xml:space="preserve">En relación con la violación de correspondencia y comunicaciones, contemplada en el artículo 196 del Código Penal, se fija una sanción para aquellas personas que, con peligro o daño para </w:t>
      </w:r>
      <w:r w:rsidRPr="00DD214F">
        <w:rPr>
          <w:color w:val="000000"/>
        </w:rPr>
        <w:t xml:space="preserve">la intimidad de otro, utilicen o difundan el contenido de comunicaciones o documentos privados que carezcan de interés público. </w:t>
      </w:r>
    </w:p>
    <w:p w:rsidR="005F65ED" w:rsidRPr="005F65ED" w:rsidRDefault="00320508" w:rsidP="005F65ED">
      <w:pPr>
        <w:jc w:val="both"/>
        <w:rPr>
          <w:color w:val="000000"/>
        </w:rPr>
      </w:pPr>
      <w:r w:rsidRPr="00DD214F">
        <w:rPr>
          <w:color w:val="000000"/>
        </w:rPr>
        <w:t xml:space="preserve">Siendo así, se visualiza la adecuación de los tipos penales al derecho de acceso a la información pública, estableciendo sanciones únicamente en aquellas situaciones que violenten la intimidad o privacidad, cuando no medie un interés público.  </w:t>
      </w:r>
    </w:p>
    <w:p w:rsidR="005F65ED" w:rsidRPr="005F65ED" w:rsidRDefault="005F65ED" w:rsidP="005F65ED">
      <w:pPr>
        <w:jc w:val="both"/>
        <w:rPr>
          <w:color w:val="000000"/>
          <w:lang w:val="es-CR"/>
        </w:rPr>
      </w:pPr>
      <w:r w:rsidRPr="005F65ED">
        <w:rPr>
          <w:color w:val="000000"/>
          <w:lang w:val="es-CR"/>
        </w:rPr>
        <w:t>La Resolución  N° 2015005615 de las 11 horas y 2 minutos del 22 de abril de 2015 de la Sala Constitucional de la Corte Suprema de Justicia de Costa Rica, declaró la inconstitucionalidad del inciso b) del artículo 196 bis, y el artículo 288 del Código Penal, contenidos en la Ley Nº 9048 del 10 de julio de 2012, "Reforma de varios artículos y modificación de la Sección VIII, denominada </w:t>
      </w:r>
      <w:r w:rsidRPr="005F65ED">
        <w:rPr>
          <w:b/>
          <w:bCs/>
          <w:color w:val="000000"/>
          <w:lang w:val="es-CR"/>
        </w:rPr>
        <w:t>Delitos informáticos</w:t>
      </w:r>
      <w:r w:rsidRPr="005F65ED">
        <w:rPr>
          <w:color w:val="000000"/>
          <w:lang w:val="es-CR"/>
        </w:rPr>
        <w:t> y conexos, del Título VII del Código Penal", publicada en el Diario Oficial La Gaceta Nº 214, del 6 de noviembre de 2012,  por ser contrarios a los principios democráticos del derecho a la información. Consideró la Sala  que la normativa señalada no sólo restringe el derecho a la información y la libre expresión, sino que tipifica condenas privativas a la libertad a aquellas personas, que en pleno uso de sus derechos constitucionales, quieran informar y ser informados sobre asuntos de interés público, o develar a la población las actuaciones de los funcionarios públicos o de aquellas personas que influyen en los temas de interés colectivo. </w:t>
      </w:r>
    </w:p>
    <w:p w:rsidR="005F65ED" w:rsidRPr="005F65ED" w:rsidRDefault="005F65ED" w:rsidP="005F65ED">
      <w:pPr>
        <w:jc w:val="both"/>
        <w:rPr>
          <w:color w:val="000000"/>
          <w:lang w:val="es-CR"/>
        </w:rPr>
      </w:pPr>
      <w:r w:rsidRPr="005F65ED">
        <w:rPr>
          <w:color w:val="000000"/>
          <w:lang w:val="es-CR"/>
        </w:rPr>
        <w:t xml:space="preserve">Se anuló  la frase “cuando los datos sean de carácter públicos”, contenida en el inciso b), del artículo 196 bis, por cuanto la agravación de la pena en ese tipo penal solo se justifica cuando se trata del acceso a información confidencial contenida en bases públicas de datos; así como el artículo 288, contenidos en la Ley Nº 9048, del 10 de julio de 2012. </w:t>
      </w:r>
    </w:p>
    <w:p w:rsidR="005F65ED" w:rsidRPr="005F65ED" w:rsidRDefault="005F65ED" w:rsidP="005F65ED">
      <w:pPr>
        <w:jc w:val="both"/>
        <w:rPr>
          <w:color w:val="000000"/>
          <w:lang w:val="es-CR"/>
        </w:rPr>
      </w:pPr>
      <w:r w:rsidRPr="005F65ED">
        <w:rPr>
          <w:color w:val="000000"/>
          <w:lang w:val="es-CR"/>
        </w:rPr>
        <w:t xml:space="preserve">Esta declaratoria de inconstitucionalidad tiene efectos declarativos y retroactivos a la fecha de vigencia de la Ley Nº 9048. En razón de ello, quienes hubieren resultado condenados en sentencia en que se aplicara la norma en cuestión, podrán interponer el recurso de revisión a que se refiere el artículo 408, del Código Procesal Penal. </w:t>
      </w:r>
    </w:p>
    <w:p w:rsidR="00320508" w:rsidRPr="00DD214F" w:rsidRDefault="00320508" w:rsidP="00320508">
      <w:pPr>
        <w:jc w:val="both"/>
      </w:pPr>
      <w:r w:rsidRPr="00DD214F">
        <w:rPr>
          <w:shd w:val="clear" w:color="auto" w:fill="FFFFFF"/>
          <w:lang w:val="es-MX"/>
        </w:rPr>
        <w:t xml:space="preserve">Según lo expuesto, es posible determinar que </w:t>
      </w:r>
      <w:r w:rsidR="005F65ED">
        <w:rPr>
          <w:shd w:val="clear" w:color="auto" w:fill="FFFFFF"/>
          <w:lang w:val="es-MX"/>
        </w:rPr>
        <w:t xml:space="preserve">actualmente </w:t>
      </w:r>
      <w:r w:rsidRPr="00DD214F">
        <w:rPr>
          <w:shd w:val="clear" w:color="auto" w:fill="FFFFFF"/>
          <w:lang w:val="es-MX"/>
        </w:rPr>
        <w:t>el contenido de la Ley de Delitos Informáticos se adecua al artículo 19 del Pacto Internacional de Derechos Civiles y Políticos</w:t>
      </w:r>
      <w:r w:rsidR="005F65ED">
        <w:rPr>
          <w:shd w:val="clear" w:color="auto" w:fill="FFFFFF"/>
          <w:lang w:val="es-MX"/>
        </w:rPr>
        <w:t>.</w:t>
      </w:r>
    </w:p>
    <w:p w:rsidR="004834F8" w:rsidRPr="00A6130B" w:rsidRDefault="004834F8" w:rsidP="00A6130B">
      <w:pPr>
        <w:spacing w:line="240" w:lineRule="auto"/>
        <w:rPr>
          <w:rFonts w:cs="Arial"/>
          <w:lang w:val="es-CR"/>
        </w:rPr>
      </w:pPr>
    </w:p>
    <w:p w:rsidR="003A745F" w:rsidRPr="008645E0" w:rsidRDefault="003A745F" w:rsidP="008820F2">
      <w:pPr>
        <w:pStyle w:val="Heading1"/>
        <w:ind w:left="142"/>
        <w:rPr>
          <w:rFonts w:ascii="Arial" w:hAnsi="Arial" w:cs="Arial"/>
          <w:b/>
          <w:sz w:val="36"/>
          <w:szCs w:val="36"/>
        </w:rPr>
      </w:pPr>
      <w:bookmarkStart w:id="85" w:name="_Toc446126680"/>
      <w:r w:rsidRPr="008645E0">
        <w:rPr>
          <w:rFonts w:ascii="Arial" w:hAnsi="Arial" w:cs="Arial"/>
          <w:b/>
          <w:sz w:val="36"/>
          <w:szCs w:val="36"/>
        </w:rPr>
        <w:t>Medidas para la protección de los menores (arts. 7, 10, 14 y 24)</w:t>
      </w:r>
      <w:bookmarkEnd w:id="85"/>
    </w:p>
    <w:p w:rsidR="00061CBC" w:rsidRPr="00A6130B" w:rsidRDefault="00061CBC" w:rsidP="00A6130B">
      <w:pPr>
        <w:spacing w:line="240" w:lineRule="auto"/>
        <w:jc w:val="both"/>
        <w:rPr>
          <w:rFonts w:cs="Arial"/>
          <w:bCs/>
          <w:lang w:val="es-CR"/>
        </w:rPr>
      </w:pPr>
    </w:p>
    <w:p w:rsidR="007B6D01" w:rsidRPr="00A6130B" w:rsidRDefault="00F9643A" w:rsidP="00967059">
      <w:pPr>
        <w:pStyle w:val="Heading2"/>
        <w:numPr>
          <w:ilvl w:val="0"/>
          <w:numId w:val="10"/>
        </w:numPr>
        <w:rPr>
          <w:rFonts w:ascii="Calibri" w:hAnsi="Calibri"/>
          <w:sz w:val="24"/>
          <w:szCs w:val="24"/>
        </w:rPr>
      </w:pPr>
      <w:bookmarkStart w:id="86" w:name="_Toc446126681"/>
      <w:r w:rsidRPr="00A6130B">
        <w:rPr>
          <w:rFonts w:ascii="Calibri" w:hAnsi="Calibri"/>
          <w:sz w:val="24"/>
          <w:szCs w:val="24"/>
        </w:rPr>
        <w:t>Sírvanse indicar</w:t>
      </w:r>
      <w:r w:rsidR="000B348D" w:rsidRPr="00A6130B">
        <w:rPr>
          <w:rFonts w:ascii="Calibri" w:hAnsi="Calibri"/>
          <w:sz w:val="24"/>
          <w:szCs w:val="24"/>
        </w:rPr>
        <w:t xml:space="preserve"> la proporción de </w:t>
      </w:r>
      <w:r w:rsidR="00357804" w:rsidRPr="00A6130B">
        <w:rPr>
          <w:rFonts w:ascii="Calibri" w:hAnsi="Calibri"/>
          <w:sz w:val="24"/>
          <w:szCs w:val="24"/>
        </w:rPr>
        <w:t>niños y niñas que trabajan de manera formal o informal</w:t>
      </w:r>
      <w:r w:rsidR="000B348D" w:rsidRPr="00A6130B">
        <w:rPr>
          <w:rFonts w:ascii="Calibri" w:hAnsi="Calibri"/>
          <w:sz w:val="24"/>
          <w:szCs w:val="24"/>
        </w:rPr>
        <w:t xml:space="preserve"> en la economía, incluidos menores en situación de calle</w:t>
      </w:r>
      <w:r w:rsidR="00357804" w:rsidRPr="00A6130B">
        <w:rPr>
          <w:rFonts w:ascii="Calibri" w:hAnsi="Calibri"/>
          <w:sz w:val="24"/>
          <w:szCs w:val="24"/>
        </w:rPr>
        <w:t>.</w:t>
      </w:r>
      <w:r w:rsidR="000B348D" w:rsidRPr="00A6130B">
        <w:rPr>
          <w:rFonts w:ascii="Calibri" w:hAnsi="Calibri"/>
          <w:sz w:val="24"/>
          <w:szCs w:val="24"/>
        </w:rPr>
        <w:t xml:space="preserve"> Sírvanse, asimismo, proporcionar información sobre los resultados de los programas y planes adoptados, incluyendo las medidas adoptadas por el Sistema Nacional de Protección Integral de los </w:t>
      </w:r>
      <w:r w:rsidR="000B348D" w:rsidRPr="00A6130B">
        <w:rPr>
          <w:rFonts w:ascii="Calibri" w:hAnsi="Calibri"/>
          <w:sz w:val="24"/>
          <w:szCs w:val="24"/>
        </w:rPr>
        <w:lastRenderedPageBreak/>
        <w:t>Derechos de la Niñez y las Adolescencia, para impedir que los menores estén expuestos a la explotación sexual así como a las peores formas de trabajo infantil, en particular en el servicio doméstico y actividades agrícolas peligrosas.</w:t>
      </w:r>
      <w:bookmarkEnd w:id="86"/>
    </w:p>
    <w:p w:rsidR="000B348D" w:rsidRPr="00A6130B" w:rsidRDefault="000B348D" w:rsidP="00967059">
      <w:pPr>
        <w:pStyle w:val="Heading3"/>
        <w:numPr>
          <w:ilvl w:val="0"/>
          <w:numId w:val="23"/>
        </w:numPr>
        <w:spacing w:line="240" w:lineRule="auto"/>
        <w:rPr>
          <w:rFonts w:ascii="Calibri" w:hAnsi="Calibri"/>
          <w:color w:val="1F4E79"/>
        </w:rPr>
      </w:pPr>
      <w:bookmarkStart w:id="87" w:name="_Toc446126682"/>
      <w:r w:rsidRPr="00A6130B">
        <w:rPr>
          <w:rFonts w:ascii="Calibri" w:hAnsi="Calibri"/>
          <w:color w:val="1F4E79"/>
        </w:rPr>
        <w:t>Proporción de niños y niñas que trabajan de manera formal o informal en la economía, incluidos menores en situación de calle</w:t>
      </w:r>
      <w:bookmarkEnd w:id="87"/>
    </w:p>
    <w:p w:rsidR="000B348D" w:rsidRPr="00A6130B" w:rsidRDefault="000B348D" w:rsidP="00A6130B">
      <w:pPr>
        <w:spacing w:line="240" w:lineRule="auto"/>
        <w:jc w:val="both"/>
        <w:rPr>
          <w:rFonts w:cs="Arial"/>
          <w:bCs/>
        </w:rPr>
      </w:pPr>
    </w:p>
    <w:p w:rsidR="00A1353F" w:rsidRPr="00A6130B" w:rsidRDefault="00A1353F" w:rsidP="00A6130B">
      <w:pPr>
        <w:spacing w:line="240" w:lineRule="auto"/>
        <w:jc w:val="both"/>
        <w:rPr>
          <w:rFonts w:cs="Arial"/>
          <w:bCs/>
        </w:rPr>
      </w:pPr>
      <w:r w:rsidRPr="00A6130B">
        <w:rPr>
          <w:rFonts w:cs="Arial"/>
          <w:bCs/>
        </w:rPr>
        <w:t>En Costa Rica se ha generado una disminución  sostenida en la tasa de trabajo infantil y trabajo adolescente peligroso. Desde 11,6% en 2003 al 7,6% en 2009 y 4,6 %</w:t>
      </w:r>
      <w:r w:rsidR="00DB1061">
        <w:rPr>
          <w:rFonts w:cs="Arial"/>
          <w:bCs/>
        </w:rPr>
        <w:t xml:space="preserve"> en 2011</w:t>
      </w:r>
      <w:r w:rsidR="007113CF">
        <w:rPr>
          <w:rFonts w:cs="Arial"/>
          <w:bCs/>
        </w:rPr>
        <w:t xml:space="preserve">, </w:t>
      </w:r>
      <w:r w:rsidR="007113CF" w:rsidRPr="00A6130B">
        <w:rPr>
          <w:rFonts w:cs="Arial"/>
          <w:bCs/>
        </w:rPr>
        <w:t>según el estudio comprensivo entre el Ministerio de Trabajo y la OIT  de 2011</w:t>
      </w:r>
      <w:r w:rsidR="007113CF">
        <w:rPr>
          <w:rFonts w:cs="Arial"/>
          <w:bCs/>
        </w:rPr>
        <w:t>.</w:t>
      </w:r>
      <w:r w:rsidRPr="00A6130B">
        <w:rPr>
          <w:rFonts w:cs="Arial"/>
          <w:bCs/>
        </w:rPr>
        <w:t xml:space="preserve"> En 2014, un total de 12,558 niños y adolescentes entre 5 y 17 años realizaba algún tipo de labor remunerada</w:t>
      </w:r>
      <w:r w:rsidR="007113CF">
        <w:rPr>
          <w:rFonts w:cs="Arial"/>
          <w:bCs/>
        </w:rPr>
        <w:t>, de acuerdo con los datos del Ministerio de Trabajo.</w:t>
      </w:r>
    </w:p>
    <w:p w:rsidR="00A1353F" w:rsidRPr="00A6130B" w:rsidRDefault="00A1353F" w:rsidP="00A6130B">
      <w:pPr>
        <w:spacing w:line="240" w:lineRule="auto"/>
        <w:jc w:val="both"/>
        <w:rPr>
          <w:rFonts w:cs="Arial"/>
          <w:bCs/>
        </w:rPr>
      </w:pPr>
      <w:r w:rsidRPr="00A6130B">
        <w:rPr>
          <w:rFonts w:cs="Arial"/>
          <w:bCs/>
        </w:rPr>
        <w:t>El trabajo infantil y adolescente tiene una importante concentración en las zonas en las que también tienen mayor incidencia la pobreza, el desempleo y la falta de oportunidades educativas, es decir, en las zonas rurales. La tasa neta de ocupación en la zona rural es el doble que en la zona urbana; en el caso de los niños y adolescentes hombres, la tasa de ocupación en la zona rural (9,9%) triplica la de la zona urbana (3,4%).</w:t>
      </w:r>
    </w:p>
    <w:p w:rsidR="00A1353F" w:rsidRPr="00A6130B" w:rsidRDefault="00A1353F" w:rsidP="00A6130B">
      <w:pPr>
        <w:spacing w:line="240" w:lineRule="auto"/>
        <w:jc w:val="both"/>
        <w:rPr>
          <w:rFonts w:cs="Arial"/>
          <w:bCs/>
        </w:rPr>
      </w:pPr>
      <w:r w:rsidRPr="00A6130B">
        <w:rPr>
          <w:rFonts w:cs="Arial"/>
          <w:bCs/>
        </w:rPr>
        <w:t>Hay un conjunto de programas sociales implementados en los últimos 15 años que pueden haber tenido un impacto directo en la paulatina disminución, aunque no se puede determinar con  rigurosidad el impacto de cada programa, citaremos algunas variables.</w:t>
      </w:r>
    </w:p>
    <w:p w:rsidR="00A1353F" w:rsidRDefault="00A1353F" w:rsidP="00A6130B">
      <w:pPr>
        <w:spacing w:line="240" w:lineRule="auto"/>
        <w:jc w:val="both"/>
        <w:rPr>
          <w:rFonts w:cs="Arial"/>
        </w:rPr>
      </w:pPr>
      <w:r w:rsidRPr="00A6130B">
        <w:rPr>
          <w:rFonts w:cs="Arial"/>
          <w:bCs/>
        </w:rPr>
        <w:t xml:space="preserve"> La primera de ellas es un incremento en la asistencia escolar de casi 10 puntos porcentuales en 7 años. </w:t>
      </w:r>
      <w:r w:rsidRPr="00A6130B">
        <w:rPr>
          <w:rFonts w:cs="Arial"/>
        </w:rPr>
        <w:t xml:space="preserve">Adicionalmente, el Programa Avancemos y el programa de Becas </w:t>
      </w:r>
      <w:proofErr w:type="spellStart"/>
      <w:r w:rsidRPr="00A6130B">
        <w:rPr>
          <w:rFonts w:cs="Arial"/>
        </w:rPr>
        <w:t>Fonabe</w:t>
      </w:r>
      <w:proofErr w:type="spellEnd"/>
      <w:r w:rsidRPr="00A6130B">
        <w:rPr>
          <w:rFonts w:cs="Arial"/>
        </w:rPr>
        <w:t xml:space="preserve"> han mejorado el acceso a la educación de la población más joven del país.</w:t>
      </w:r>
    </w:p>
    <w:p w:rsidR="00DB1061" w:rsidRDefault="00DB1061" w:rsidP="00DB1061">
      <w:pPr>
        <w:spacing w:line="240" w:lineRule="auto"/>
        <w:jc w:val="both"/>
        <w:rPr>
          <w:rFonts w:cs="Arial"/>
          <w:lang w:val="es-CR"/>
        </w:rPr>
      </w:pPr>
    </w:p>
    <w:p w:rsidR="00357804" w:rsidRPr="00A6130B" w:rsidRDefault="00357804" w:rsidP="00967059">
      <w:pPr>
        <w:pStyle w:val="Heading3"/>
        <w:numPr>
          <w:ilvl w:val="0"/>
          <w:numId w:val="23"/>
        </w:numPr>
        <w:spacing w:line="240" w:lineRule="auto"/>
        <w:rPr>
          <w:rFonts w:ascii="Calibri" w:hAnsi="Calibri"/>
          <w:color w:val="1F4E79"/>
        </w:rPr>
      </w:pPr>
      <w:bookmarkStart w:id="88" w:name="_Toc446126683"/>
      <w:r w:rsidRPr="00A6130B">
        <w:rPr>
          <w:rFonts w:ascii="Calibri" w:hAnsi="Calibri"/>
          <w:color w:val="1F4E79"/>
        </w:rPr>
        <w:t>Resultados de programas y planes para impedir que menores estén expuestos a explotación sexual y peores formas de trabajo infantil.</w:t>
      </w:r>
      <w:bookmarkEnd w:id="88"/>
    </w:p>
    <w:p w:rsidR="000B348D" w:rsidRPr="00A6130B" w:rsidRDefault="000B348D" w:rsidP="00A6130B">
      <w:pPr>
        <w:spacing w:line="240" w:lineRule="auto"/>
        <w:jc w:val="both"/>
        <w:rPr>
          <w:rFonts w:cs="Arial"/>
          <w:bCs/>
        </w:rPr>
      </w:pPr>
    </w:p>
    <w:p w:rsidR="00A1353F" w:rsidRPr="00A6130B" w:rsidRDefault="000F439E" w:rsidP="00A6130B">
      <w:pPr>
        <w:spacing w:line="240" w:lineRule="auto"/>
        <w:jc w:val="both"/>
        <w:rPr>
          <w:rFonts w:cs="Arial"/>
          <w:bCs/>
        </w:rPr>
      </w:pPr>
      <w:r>
        <w:rPr>
          <w:rFonts w:cs="Arial"/>
          <w:bCs/>
        </w:rPr>
        <w:t>Además de lo apuntado arriba, e</w:t>
      </w:r>
      <w:r w:rsidR="00A1353F" w:rsidRPr="00A6130B">
        <w:rPr>
          <w:rFonts w:cs="Arial"/>
          <w:bCs/>
        </w:rPr>
        <w:t>n 2014 se creó la Red Nacional de Cuido y Desarrollo Infantil (</w:t>
      </w:r>
      <w:proofErr w:type="spellStart"/>
      <w:r w:rsidR="00A1353F" w:rsidRPr="00A6130B">
        <w:rPr>
          <w:rFonts w:cs="Arial"/>
          <w:bCs/>
        </w:rPr>
        <w:t>Redudi</w:t>
      </w:r>
      <w:proofErr w:type="spellEnd"/>
      <w:r w:rsidR="00A1353F" w:rsidRPr="00A6130B">
        <w:rPr>
          <w:rFonts w:cs="Arial"/>
          <w:bCs/>
        </w:rPr>
        <w:t xml:space="preserve">), con la finalidad de establecer un sistema de cuido y desarrollo infantil de acceso público, universal y de financiamiento solidario que articule las diferentes modalidades de prestación pública y privada de servicios en materia de cuido y desarrollo infantil, para fortalecer y ampliar las alternativas de atención infantil integral, especialmente beneficia a población en situación de pobreza y/o vulnerabilidad. La permanencia de los niños y niñas en los centros infantiles reduce el riesgo de involucramiento o exposición a actividades de trabajo infantil y explotación sexual. La REDCUDI cuenta con 977 centros de cuido y desarrollo infantil y ha atendido un total de 42.249 niños y niñas en las distintas modalidades de atención. </w:t>
      </w:r>
    </w:p>
    <w:p w:rsidR="00A1353F" w:rsidRPr="00A6130B" w:rsidRDefault="00A1353F" w:rsidP="00A6130B">
      <w:pPr>
        <w:spacing w:line="240" w:lineRule="auto"/>
        <w:jc w:val="both"/>
        <w:rPr>
          <w:rFonts w:cs="Arial"/>
        </w:rPr>
      </w:pPr>
      <w:r w:rsidRPr="00A6130B">
        <w:rPr>
          <w:rFonts w:cs="Arial"/>
          <w:bCs/>
        </w:rPr>
        <w:t xml:space="preserve">Costa Rica adoptó la meta de eliminar el trabajo infantil, para lo cual ha elaborado la </w:t>
      </w:r>
      <w:r w:rsidRPr="00A6130B">
        <w:rPr>
          <w:rFonts w:cs="Arial"/>
          <w:b/>
        </w:rPr>
        <w:t>“Hoja de Ruta para hacer de Costa Rica un país libre de trabajo infantil y sus peores formas” (2010-2020)</w:t>
      </w:r>
      <w:r w:rsidRPr="00A6130B">
        <w:rPr>
          <w:rFonts w:cs="Arial"/>
        </w:rPr>
        <w:t xml:space="preserve"> de la mano con la OIT y ésta se ha incluido en </w:t>
      </w:r>
      <w:r w:rsidRPr="00A6130B">
        <w:rPr>
          <w:rFonts w:cs="Arial"/>
          <w:color w:val="000000"/>
        </w:rPr>
        <w:t>el actual Plan Nacional de Desarrollo 2015-2018, como una política sectorial, por lo tanto sometida a los mecanismos de medición de rendimiento e impacto y  establece compromisos directos por parte del Ministerio de Trabajo y Seguridad Social. Se espera en dicha fecha llegar al 0%.</w:t>
      </w:r>
    </w:p>
    <w:p w:rsidR="00A1353F" w:rsidRPr="00A6130B" w:rsidRDefault="00A1353F" w:rsidP="00A6130B">
      <w:pPr>
        <w:spacing w:line="240" w:lineRule="auto"/>
        <w:jc w:val="both"/>
        <w:rPr>
          <w:rFonts w:cs="Arial"/>
        </w:rPr>
      </w:pPr>
      <w:r w:rsidRPr="00A6130B">
        <w:rPr>
          <w:rFonts w:cs="Arial"/>
        </w:rPr>
        <w:lastRenderedPageBreak/>
        <w:t xml:space="preserve">A su vez, existe una </w:t>
      </w:r>
      <w:r w:rsidRPr="00A6130B">
        <w:rPr>
          <w:rFonts w:cs="Arial"/>
          <w:b/>
        </w:rPr>
        <w:t>Oficina de Atención y Erradicación del Trabajo Infantil y Protección de la Persona Adolescente Trabajadora,</w:t>
      </w:r>
      <w:r w:rsidRPr="00A6130B">
        <w:rPr>
          <w:rFonts w:cs="Arial"/>
        </w:rPr>
        <w:t xml:space="preserve"> de la Dirección Nacional de Seguridad Social del Ministerio de Trabajo y Seguridad Social,  como dependencia encargada.</w:t>
      </w:r>
    </w:p>
    <w:p w:rsidR="00A1353F" w:rsidRDefault="00A1353F" w:rsidP="00A6130B">
      <w:pPr>
        <w:spacing w:line="240" w:lineRule="auto"/>
        <w:jc w:val="both"/>
        <w:rPr>
          <w:rFonts w:cs="Arial"/>
        </w:rPr>
      </w:pPr>
      <w:r w:rsidRPr="00A6130B">
        <w:rPr>
          <w:rFonts w:cs="Arial"/>
        </w:rPr>
        <w:t xml:space="preserve">Con respecto al trabajo infantil informal, precisamente por esa condición de informalidad es difícil la cuantificación. No obstante, la Fiscalía Adjunta Penal Juvenil, desde el año 2004, mediante la CIRCULAR 07-2004, adoptó como política de persecución penal, la </w:t>
      </w:r>
      <w:proofErr w:type="spellStart"/>
      <w:r w:rsidRPr="00A6130B">
        <w:rPr>
          <w:rFonts w:cs="Arial"/>
        </w:rPr>
        <w:t>desjudicialización</w:t>
      </w:r>
      <w:proofErr w:type="spellEnd"/>
      <w:r w:rsidRPr="00A6130B">
        <w:rPr>
          <w:rFonts w:cs="Arial"/>
        </w:rPr>
        <w:t xml:space="preserve"> de los casos de “ventas ilegales” y/o “obstrucción a la vía pública relacionada con las ventas ilegales”,  por ello ha realizado coordinaciones jerarcas de la Municipalidad de San José y otras instituciones, como el Ministerio de Trabajo para que este tema fuera abordado desde una óptica preventiva y no represiva, evitando la “criminalización de la pobreza”.</w:t>
      </w:r>
    </w:p>
    <w:p w:rsidR="00787021" w:rsidRPr="00787021" w:rsidRDefault="00787021" w:rsidP="00787021">
      <w:pPr>
        <w:spacing w:line="240" w:lineRule="auto"/>
        <w:jc w:val="both"/>
        <w:rPr>
          <w:rFonts w:cs="Arial"/>
          <w:lang w:val="es-CR"/>
        </w:rPr>
      </w:pPr>
      <w:r>
        <w:rPr>
          <w:rFonts w:cs="Arial"/>
          <w:lang w:val="es-CR"/>
        </w:rPr>
        <w:t>En relación con la protección de los niños y las niñas de los riesgos que plantean las tecnologías de la información y la comunicación, e</w:t>
      </w:r>
      <w:r w:rsidRPr="00787021">
        <w:rPr>
          <w:rFonts w:cs="Arial"/>
          <w:lang w:val="es-CR"/>
        </w:rPr>
        <w:t>xiste una coalición entre instituciones gubernamentales, empresa privada y ciudadanía organizada con experiencia en la protección de la infancia. En ese contexto, se ha establecido la Comisión Nacional de Seguridad en Línea para coordinar los esfuerzos relacionados con la protección infantil y la agenda digital del gobierno. Existe un Programa Nacional de Seguridad en Línea, liderado por el Ministerio de Ciencia y Tecnología, orientado a la prevención, para lo que se puso el acento en la creación de capacidades institucionales y sociales y en el empoderamiento seguro de la ciudadanía pero también se cuenta con una línea de apoyo. Se ha brindado capacitación sobre la seguridad en línea y el uso responsable de Internet a un importante número de docentes, estudiantes y padres de familia.</w:t>
      </w:r>
    </w:p>
    <w:p w:rsidR="00787021" w:rsidRPr="00787021" w:rsidRDefault="00787021" w:rsidP="00787021">
      <w:pPr>
        <w:spacing w:line="240" w:lineRule="auto"/>
        <w:jc w:val="both"/>
        <w:rPr>
          <w:rFonts w:cs="Arial"/>
          <w:lang w:val="es-CR"/>
        </w:rPr>
      </w:pPr>
      <w:r w:rsidRPr="00787021">
        <w:rPr>
          <w:rFonts w:cs="Arial"/>
          <w:lang w:val="es-CR"/>
        </w:rPr>
        <w:t>Se elaboró un proyecto de ley que reforma diversos artículos del Código Penal para garantizar la efectiva protección de los derechos de la niñez frente a la violencia y los abusos en el ámbito de las tecnologías de la información y la comunicación.</w:t>
      </w:r>
    </w:p>
    <w:p w:rsidR="00787021" w:rsidRPr="00787021" w:rsidRDefault="00787021" w:rsidP="00A6130B">
      <w:pPr>
        <w:spacing w:line="240" w:lineRule="auto"/>
        <w:jc w:val="both"/>
        <w:rPr>
          <w:rFonts w:cs="Arial"/>
          <w:lang w:val="es-CR"/>
        </w:rPr>
      </w:pPr>
      <w:r w:rsidRPr="00787021">
        <w:rPr>
          <w:rFonts w:cs="Arial"/>
          <w:lang w:val="es-CR"/>
        </w:rPr>
        <w:t xml:space="preserve">Costa Rica cuenta con una estrategia para la universalización solidaria del acceso a las tecnologías digitales para todos los estudiantes del país,  de la mano de la debida protección y seguridad, por ello la seguridad en línea constituye un pilar de dicha estrategia conocida como </w:t>
      </w:r>
      <w:proofErr w:type="spellStart"/>
      <w:r w:rsidRPr="00787021">
        <w:rPr>
          <w:rFonts w:cs="Arial"/>
          <w:lang w:val="es-CR"/>
        </w:rPr>
        <w:t>CRDigital</w:t>
      </w:r>
      <w:proofErr w:type="spellEnd"/>
      <w:r w:rsidRPr="00787021">
        <w:rPr>
          <w:rFonts w:cs="Arial"/>
          <w:lang w:val="es-CR"/>
        </w:rPr>
        <w:t>. </w:t>
      </w:r>
    </w:p>
    <w:p w:rsidR="00357804" w:rsidRPr="00A6130B" w:rsidRDefault="00910004" w:rsidP="00967059">
      <w:pPr>
        <w:pStyle w:val="Heading2"/>
        <w:numPr>
          <w:ilvl w:val="0"/>
          <w:numId w:val="10"/>
        </w:numPr>
        <w:rPr>
          <w:rFonts w:ascii="Calibri" w:hAnsi="Calibri"/>
          <w:sz w:val="24"/>
          <w:szCs w:val="24"/>
        </w:rPr>
      </w:pPr>
      <w:bookmarkStart w:id="89" w:name="_Toc446126684"/>
      <w:r w:rsidRPr="00A6130B">
        <w:rPr>
          <w:rFonts w:ascii="Calibri" w:hAnsi="Calibri"/>
          <w:sz w:val="24"/>
          <w:szCs w:val="24"/>
        </w:rPr>
        <w:t>Sírvanse proporcionar información sobre las m</w:t>
      </w:r>
      <w:r w:rsidR="00357804" w:rsidRPr="00A6130B">
        <w:rPr>
          <w:rFonts w:ascii="Calibri" w:hAnsi="Calibri"/>
          <w:sz w:val="24"/>
          <w:szCs w:val="24"/>
        </w:rPr>
        <w:t xml:space="preserve">edidas para garantizar </w:t>
      </w:r>
      <w:r w:rsidR="00391C53" w:rsidRPr="00A6130B">
        <w:rPr>
          <w:rFonts w:ascii="Calibri" w:hAnsi="Calibri"/>
          <w:sz w:val="24"/>
          <w:szCs w:val="24"/>
        </w:rPr>
        <w:t xml:space="preserve">la </w:t>
      </w:r>
      <w:r w:rsidR="00357804" w:rsidRPr="00A6130B">
        <w:rPr>
          <w:rFonts w:ascii="Calibri" w:hAnsi="Calibri"/>
          <w:sz w:val="24"/>
          <w:szCs w:val="24"/>
        </w:rPr>
        <w:t xml:space="preserve">inscripción de los nacimientos de </w:t>
      </w:r>
      <w:r w:rsidR="003C5108" w:rsidRPr="00A6130B">
        <w:rPr>
          <w:rFonts w:ascii="Calibri" w:hAnsi="Calibri"/>
          <w:sz w:val="24"/>
          <w:szCs w:val="24"/>
        </w:rPr>
        <w:t xml:space="preserve">todos los </w:t>
      </w:r>
      <w:r w:rsidR="00357804" w:rsidRPr="00A6130B">
        <w:rPr>
          <w:rFonts w:ascii="Calibri" w:hAnsi="Calibri"/>
          <w:sz w:val="24"/>
          <w:szCs w:val="24"/>
        </w:rPr>
        <w:t xml:space="preserve">niños y </w:t>
      </w:r>
      <w:r w:rsidR="003C5108" w:rsidRPr="00A6130B">
        <w:rPr>
          <w:rFonts w:ascii="Calibri" w:hAnsi="Calibri"/>
          <w:sz w:val="24"/>
          <w:szCs w:val="24"/>
        </w:rPr>
        <w:t xml:space="preserve">las </w:t>
      </w:r>
      <w:r w:rsidR="00357804" w:rsidRPr="00A6130B">
        <w:rPr>
          <w:rFonts w:ascii="Calibri" w:hAnsi="Calibri"/>
          <w:sz w:val="24"/>
          <w:szCs w:val="24"/>
        </w:rPr>
        <w:t>niñas</w:t>
      </w:r>
      <w:r w:rsidR="003C5108" w:rsidRPr="00A6130B">
        <w:rPr>
          <w:rFonts w:ascii="Calibri" w:hAnsi="Calibri"/>
          <w:sz w:val="24"/>
          <w:szCs w:val="24"/>
        </w:rPr>
        <w:t xml:space="preserve"> nacidos en el territorio del Estado parte, particularmente los niños</w:t>
      </w:r>
      <w:r w:rsidR="00357804" w:rsidRPr="00A6130B">
        <w:rPr>
          <w:rFonts w:ascii="Calibri" w:hAnsi="Calibri"/>
          <w:sz w:val="24"/>
          <w:szCs w:val="24"/>
        </w:rPr>
        <w:t xml:space="preserve"> indígenas y migrantes.</w:t>
      </w:r>
      <w:r w:rsidR="003C5108" w:rsidRPr="00A6130B">
        <w:rPr>
          <w:rFonts w:ascii="Calibri" w:hAnsi="Calibri"/>
          <w:sz w:val="24"/>
          <w:szCs w:val="24"/>
        </w:rPr>
        <w:t xml:space="preserve"> Al respecto, sírvanse acompañar información estadística.</w:t>
      </w:r>
      <w:bookmarkEnd w:id="89"/>
    </w:p>
    <w:p w:rsidR="00212307" w:rsidRPr="00A6130B" w:rsidRDefault="00212307" w:rsidP="00A6130B">
      <w:pPr>
        <w:spacing w:line="240" w:lineRule="auto"/>
        <w:jc w:val="both"/>
      </w:pPr>
      <w:r w:rsidRPr="00A6130B">
        <w:t xml:space="preserve">En Costa Rica el 99% de los nacimientos se produce en una institución hospitalaria, razón por la cual el </w:t>
      </w:r>
      <w:proofErr w:type="spellStart"/>
      <w:r w:rsidRPr="00A6130B">
        <w:t>subregistro</w:t>
      </w:r>
      <w:proofErr w:type="spellEnd"/>
      <w:r w:rsidRPr="00A6130B">
        <w:t xml:space="preserve"> de nacimientos es el 1%. No obstante, para cubrir a la ese porcentaje,  existe el programa anual de registración civil y cedulación ambulantes, cuyas giras a zonas indígenas generó 75 registros en el año 2015. </w:t>
      </w:r>
    </w:p>
    <w:p w:rsidR="00212307" w:rsidRPr="00A6130B" w:rsidRDefault="00212307" w:rsidP="00A6130B">
      <w:pPr>
        <w:spacing w:line="240" w:lineRule="auto"/>
        <w:jc w:val="both"/>
      </w:pPr>
      <w:r w:rsidRPr="00A6130B">
        <w:t xml:space="preserve">Adicionalmente, para atender a la población migrante </w:t>
      </w:r>
      <w:proofErr w:type="spellStart"/>
      <w:r w:rsidRPr="00A6130B">
        <w:t>Ngöbe-Buglé</w:t>
      </w:r>
      <w:proofErr w:type="spellEnd"/>
      <w:r w:rsidRPr="00A6130B">
        <w:t xml:space="preserve"> que migra entre Panamá y Costa Rica,  existe un convenio marco de cooperación con el Alto Comisionado de la Naciones Unidas para los Refugiados (ACNUR), en el marco del plan de acción de la declaración de Brasil sobre el proceso Cartagena +30, “Erradicación de la </w:t>
      </w:r>
      <w:proofErr w:type="spellStart"/>
      <w:r w:rsidRPr="00A6130B">
        <w:t>Apatridia</w:t>
      </w:r>
      <w:proofErr w:type="spellEnd"/>
      <w:r w:rsidRPr="00A6130B">
        <w:t>. Se desarrolló el proyecto “</w:t>
      </w:r>
      <w:proofErr w:type="spellStart"/>
      <w:r w:rsidRPr="00A6130B">
        <w:t>Chiriticos</w:t>
      </w:r>
      <w:proofErr w:type="spellEnd"/>
      <w:r w:rsidRPr="00A6130B">
        <w:t>” en la región fronteriza con Panamá, con el fin de registrar a los hijos de dicha población, con brigadas móviles y en coordinación con las autoridades panameñas. A partir del noviembre del 2014 hasta la fecha 1.394 personas fueron asistidas en la determinación de nacionalidad, registro tardío de nacimiento en los casos que lo ameritara, y en la emisión de partidas de nacimiento/documentación.</w:t>
      </w:r>
    </w:p>
    <w:p w:rsidR="00212307" w:rsidRDefault="00212307" w:rsidP="00A6130B">
      <w:pPr>
        <w:spacing w:line="240" w:lineRule="auto"/>
      </w:pPr>
      <w:r w:rsidRPr="00A6130B">
        <w:lastRenderedPageBreak/>
        <w:t xml:space="preserve"> El éxito de este proyecto pretende en el cordón fronterizo norte con Nicaragua.  </w:t>
      </w:r>
    </w:p>
    <w:p w:rsidR="00B7610D" w:rsidRPr="00A6130B" w:rsidRDefault="00B7610D" w:rsidP="00A6130B">
      <w:pPr>
        <w:spacing w:line="240" w:lineRule="auto"/>
      </w:pPr>
    </w:p>
    <w:p w:rsidR="003C5108" w:rsidRPr="00A6130B" w:rsidRDefault="003C5108" w:rsidP="00B7610D">
      <w:pPr>
        <w:pStyle w:val="Heading2"/>
        <w:numPr>
          <w:ilvl w:val="0"/>
          <w:numId w:val="10"/>
        </w:numPr>
        <w:spacing w:before="0" w:beforeAutospacing="0" w:after="0" w:afterAutospacing="0"/>
        <w:rPr>
          <w:rFonts w:ascii="Calibri" w:hAnsi="Calibri"/>
          <w:sz w:val="24"/>
          <w:szCs w:val="24"/>
        </w:rPr>
      </w:pPr>
      <w:bookmarkStart w:id="90" w:name="_Toc446126685"/>
      <w:r w:rsidRPr="00A6130B">
        <w:rPr>
          <w:rFonts w:ascii="Calibri" w:hAnsi="Calibri"/>
          <w:sz w:val="24"/>
          <w:szCs w:val="24"/>
        </w:rPr>
        <w:t>Sírvanse proporcionar información sobre medidas para:</w:t>
      </w:r>
      <w:bookmarkEnd w:id="90"/>
    </w:p>
    <w:p w:rsidR="00061CBC" w:rsidRPr="00A6130B" w:rsidRDefault="003C5108" w:rsidP="00B7610D">
      <w:pPr>
        <w:pStyle w:val="Heading3"/>
        <w:numPr>
          <w:ilvl w:val="0"/>
          <w:numId w:val="24"/>
        </w:numPr>
        <w:spacing w:before="0" w:line="240" w:lineRule="auto"/>
        <w:rPr>
          <w:rFonts w:ascii="Calibri" w:hAnsi="Calibri"/>
          <w:color w:val="1F4E79"/>
        </w:rPr>
      </w:pPr>
      <w:bookmarkStart w:id="91" w:name="_Toc446126686"/>
      <w:r w:rsidRPr="00A6130B">
        <w:rPr>
          <w:rFonts w:ascii="Calibri" w:hAnsi="Calibri"/>
          <w:color w:val="1F4E79"/>
        </w:rPr>
        <w:t xml:space="preserve">Velar </w:t>
      </w:r>
      <w:r w:rsidR="00357804" w:rsidRPr="00A6130B">
        <w:rPr>
          <w:rFonts w:ascii="Calibri" w:hAnsi="Calibri"/>
          <w:color w:val="1F4E79"/>
        </w:rPr>
        <w:t>p</w:t>
      </w:r>
      <w:r w:rsidRPr="00A6130B">
        <w:rPr>
          <w:rFonts w:ascii="Calibri" w:hAnsi="Calibri"/>
          <w:color w:val="1F4E79"/>
        </w:rPr>
        <w:t xml:space="preserve">or que los </w:t>
      </w:r>
      <w:r w:rsidR="00357804" w:rsidRPr="00A6130B">
        <w:rPr>
          <w:rFonts w:ascii="Calibri" w:hAnsi="Calibri"/>
          <w:color w:val="1F4E79"/>
        </w:rPr>
        <w:t>menores en conflicto con la ley sean acogidos</w:t>
      </w:r>
      <w:r w:rsidR="00061CBC" w:rsidRPr="00A6130B">
        <w:rPr>
          <w:rFonts w:ascii="Calibri" w:hAnsi="Calibri"/>
          <w:color w:val="1F4E79"/>
        </w:rPr>
        <w:t xml:space="preserve"> en centros apropiados</w:t>
      </w:r>
      <w:r w:rsidRPr="00A6130B">
        <w:rPr>
          <w:rFonts w:ascii="Calibri" w:hAnsi="Calibri"/>
          <w:color w:val="1F4E79"/>
        </w:rPr>
        <w:t xml:space="preserve"> que faciliten su reinserción.</w:t>
      </w:r>
      <w:bookmarkEnd w:id="91"/>
    </w:p>
    <w:p w:rsidR="003C5108" w:rsidRPr="00A6130B" w:rsidRDefault="003C5108" w:rsidP="00B7610D">
      <w:pPr>
        <w:spacing w:after="0" w:line="240" w:lineRule="auto"/>
        <w:jc w:val="both"/>
      </w:pPr>
    </w:p>
    <w:p w:rsidR="006E2FEA" w:rsidRDefault="006E2FEA" w:rsidP="00B7610D">
      <w:pPr>
        <w:spacing w:after="0" w:line="240" w:lineRule="auto"/>
        <w:jc w:val="both"/>
        <w:rPr>
          <w:rFonts w:cs="Arial"/>
          <w:lang w:val="es-CR"/>
        </w:rPr>
      </w:pPr>
      <w:r w:rsidRPr="006E2FEA">
        <w:rPr>
          <w:rFonts w:cs="Arial"/>
          <w:lang w:val="es-CR"/>
        </w:rPr>
        <w:t xml:space="preserve">Al 3 de febrero de 2016, 93 jóvenes se encuentran recluidos en el centro de formación </w:t>
      </w:r>
      <w:proofErr w:type="spellStart"/>
      <w:r w:rsidRPr="006E2FEA">
        <w:rPr>
          <w:rFonts w:cs="Arial"/>
          <w:lang w:val="es-CR"/>
        </w:rPr>
        <w:t>Zurquí</w:t>
      </w:r>
      <w:proofErr w:type="spellEnd"/>
      <w:r w:rsidRPr="006E2FEA">
        <w:rPr>
          <w:rFonts w:cs="Arial"/>
          <w:lang w:val="es-CR"/>
        </w:rPr>
        <w:t>, de los cuales 46 personas son menores de 18 años.</w:t>
      </w:r>
    </w:p>
    <w:p w:rsidR="00B7610D" w:rsidRPr="006E2FEA" w:rsidRDefault="00B7610D" w:rsidP="00B7610D">
      <w:pPr>
        <w:spacing w:after="0" w:line="240" w:lineRule="auto"/>
        <w:jc w:val="both"/>
        <w:rPr>
          <w:rFonts w:cs="Arial"/>
          <w:lang w:val="es-CR"/>
        </w:rPr>
      </w:pPr>
    </w:p>
    <w:p w:rsidR="00EC46E0" w:rsidRDefault="00EC46E0" w:rsidP="00B7610D">
      <w:pPr>
        <w:spacing w:after="0" w:line="240" w:lineRule="auto"/>
        <w:jc w:val="both"/>
      </w:pPr>
      <w:r w:rsidRPr="00A6130B">
        <w:t xml:space="preserve">Costa Rica ha procurado la constante actualización de la Administración de Justicia Penal Juvenil en pro de la incorporación de los principios y postulados de la Justicia Restaurativa, en el marco de la normativa internacional y las garantías procesales y judiciales del sistema penal costarricense. </w:t>
      </w:r>
    </w:p>
    <w:p w:rsidR="00B7610D" w:rsidRPr="00A6130B" w:rsidRDefault="00B7610D" w:rsidP="00B7610D">
      <w:pPr>
        <w:spacing w:after="0" w:line="240" w:lineRule="auto"/>
        <w:jc w:val="both"/>
      </w:pPr>
    </w:p>
    <w:p w:rsidR="00EC46E0" w:rsidRDefault="00EC46E0" w:rsidP="00A6130B">
      <w:pPr>
        <w:spacing w:line="240" w:lineRule="auto"/>
        <w:jc w:val="both"/>
      </w:pPr>
      <w:r w:rsidRPr="00A6130B">
        <w:t xml:space="preserve">El Poder Judicial y la Comisión Nacional para el Mejoramiento de la Administración de Justicia (CONAMAJ) han reflejado los principios y aspiraciones de la justicia restaurativa en la “Política Judicial dirigida al Mejoramiento del Acceso a la Justicia de las Niñas, Niños y Adolescentes en Costa Rica” del 2010 y luego en la “Política del Derecho al Acceso a Justicia para personas Menores de Edad en condiciones de Vulnerabilidad sometidas al Proceso Penal Juvenil en Costa Rica” del 2011, en lo relativo a contar con servicios alternativos o complementarios al proceso judicial juvenil, dentro de los cuales se encuentra Política Pública de Justicia Penal Juvenil Restaurativa, en ejecución desde junio 2015 con muy buenos resultados,  e incorporada expresamente en el Plan Estratégico del Poder Judicial, período 2013-2018. </w:t>
      </w:r>
    </w:p>
    <w:p w:rsidR="006E2FEA" w:rsidRPr="006E2FEA" w:rsidRDefault="006E2FEA" w:rsidP="006E2FEA">
      <w:pPr>
        <w:spacing w:line="240" w:lineRule="auto"/>
        <w:jc w:val="both"/>
        <w:rPr>
          <w:rFonts w:cs="Arial"/>
          <w:lang w:val="es-CR"/>
        </w:rPr>
      </w:pPr>
      <w:r w:rsidRPr="006E2FEA">
        <w:rPr>
          <w:rFonts w:cs="Arial"/>
          <w:lang w:val="es-CR"/>
        </w:rPr>
        <w:t>Programa Prevención de la Violencia y Promoción de la Inclusión Social</w:t>
      </w:r>
      <w:r w:rsidR="007C7AE2">
        <w:rPr>
          <w:rFonts w:cs="Arial"/>
          <w:lang w:val="es-CR"/>
        </w:rPr>
        <w:t xml:space="preserve">. </w:t>
      </w:r>
      <w:r w:rsidRPr="006E2FEA">
        <w:rPr>
          <w:rFonts w:cs="Arial"/>
          <w:lang w:val="es-CR"/>
        </w:rPr>
        <w:t>En los próximos seis meses se esperan los primeros diagnósticos e identificación de poblaciones para abordar. El 100% de la población menor de edad privada de libertad, se encuentra involucrada en un programa educativo, de acuerdo a su nivel de instrucción.</w:t>
      </w:r>
    </w:p>
    <w:p w:rsidR="006E2FEA" w:rsidRPr="006E2FEA" w:rsidRDefault="006E2FEA" w:rsidP="006E2FEA">
      <w:pPr>
        <w:spacing w:line="240" w:lineRule="auto"/>
        <w:jc w:val="both"/>
        <w:rPr>
          <w:rFonts w:cs="Arial"/>
          <w:lang w:val="es-CR"/>
        </w:rPr>
      </w:pPr>
      <w:r w:rsidRPr="006E2FEA">
        <w:rPr>
          <w:rFonts w:cs="Arial"/>
          <w:lang w:val="es-CR"/>
        </w:rPr>
        <w:t xml:space="preserve"> Objetivos: </w:t>
      </w:r>
    </w:p>
    <w:p w:rsidR="006E2FEA" w:rsidRPr="006E2FEA" w:rsidRDefault="006E2FEA" w:rsidP="006E2FEA">
      <w:pPr>
        <w:numPr>
          <w:ilvl w:val="0"/>
          <w:numId w:val="47"/>
        </w:numPr>
        <w:spacing w:line="240" w:lineRule="auto"/>
        <w:jc w:val="both"/>
        <w:rPr>
          <w:rFonts w:cs="Arial"/>
          <w:lang w:val="es-CR"/>
        </w:rPr>
      </w:pPr>
      <w:r w:rsidRPr="006E2FEA">
        <w:rPr>
          <w:rFonts w:cs="Arial"/>
          <w:lang w:val="es-CR"/>
        </w:rPr>
        <w:t>Crear alianzas estratégicas con empresa privada, para establecer procesos de capacitación para privados de libertad en cumplimiento de la pena, y fomentar ofertas laborales en el medio libre.</w:t>
      </w:r>
    </w:p>
    <w:p w:rsidR="006E2FEA" w:rsidRPr="006E2FEA" w:rsidRDefault="006E2FEA" w:rsidP="006E2FEA">
      <w:pPr>
        <w:numPr>
          <w:ilvl w:val="0"/>
          <w:numId w:val="47"/>
        </w:numPr>
        <w:spacing w:line="240" w:lineRule="auto"/>
        <w:jc w:val="both"/>
        <w:rPr>
          <w:rFonts w:cs="Arial"/>
          <w:lang w:val="es-CR"/>
        </w:rPr>
      </w:pPr>
      <w:r w:rsidRPr="006E2FEA">
        <w:rPr>
          <w:rFonts w:cs="Arial"/>
          <w:lang w:val="es-CR"/>
        </w:rPr>
        <w:t>Fortalecer el abordaje comunitario y de trabajo con las familias para crear entornos positivos que eviten la reincidencia delictiva.</w:t>
      </w:r>
    </w:p>
    <w:p w:rsidR="006E2FEA" w:rsidRPr="006E2FEA" w:rsidRDefault="006E2FEA" w:rsidP="006E2FEA">
      <w:pPr>
        <w:numPr>
          <w:ilvl w:val="0"/>
          <w:numId w:val="47"/>
        </w:numPr>
        <w:spacing w:line="240" w:lineRule="auto"/>
        <w:jc w:val="both"/>
        <w:rPr>
          <w:rFonts w:cs="Arial"/>
          <w:lang w:val="es-CR"/>
        </w:rPr>
      </w:pPr>
      <w:r w:rsidRPr="006E2FEA">
        <w:rPr>
          <w:rFonts w:cs="Arial"/>
          <w:lang w:val="es-CR"/>
        </w:rPr>
        <w:t>Coordinar, planificar y atender la etapa pre-liberatoria con todos los Centros Institucionales, con la debida antelación al otorgamiento de la libertad.</w:t>
      </w:r>
    </w:p>
    <w:p w:rsidR="006E2FEA" w:rsidRPr="006E2FEA" w:rsidRDefault="006E2FEA" w:rsidP="006E2FEA">
      <w:pPr>
        <w:numPr>
          <w:ilvl w:val="0"/>
          <w:numId w:val="47"/>
        </w:numPr>
        <w:spacing w:line="240" w:lineRule="auto"/>
        <w:jc w:val="both"/>
        <w:rPr>
          <w:rFonts w:cs="Arial"/>
          <w:lang w:val="es-CR"/>
        </w:rPr>
      </w:pPr>
      <w:r w:rsidRPr="006E2FEA">
        <w:rPr>
          <w:rFonts w:cs="Arial"/>
          <w:lang w:val="es-CR"/>
        </w:rPr>
        <w:t>Administrar una bolsa de empleo, para disminuir la cantidad de egresados del sistema penitenciario, que no cuentan con un proyecto laboral.</w:t>
      </w:r>
    </w:p>
    <w:p w:rsidR="006E2FEA" w:rsidRPr="006E2FEA" w:rsidRDefault="006E2FEA" w:rsidP="006E2FEA">
      <w:pPr>
        <w:numPr>
          <w:ilvl w:val="0"/>
          <w:numId w:val="47"/>
        </w:numPr>
        <w:spacing w:line="240" w:lineRule="auto"/>
        <w:jc w:val="both"/>
        <w:rPr>
          <w:rFonts w:cs="Arial"/>
          <w:lang w:val="es-CR"/>
        </w:rPr>
      </w:pPr>
      <w:r w:rsidRPr="006E2FEA">
        <w:rPr>
          <w:rFonts w:cs="Arial"/>
          <w:lang w:val="es-CR"/>
        </w:rPr>
        <w:t xml:space="preserve">Crear encadenamientos productivos en las comunidades donde existen centros institucionales, para que el entorno empresarial y productivo local, apoye en los procesos de capacitación en actividades productivas  para población privada de libertad, de manera que se generen espacios laborales una vez que se produzca el </w:t>
      </w:r>
      <w:proofErr w:type="spellStart"/>
      <w:r w:rsidRPr="006E2FEA">
        <w:rPr>
          <w:rFonts w:cs="Arial"/>
          <w:lang w:val="es-CR"/>
        </w:rPr>
        <w:t>egreso</w:t>
      </w:r>
      <w:proofErr w:type="spellEnd"/>
      <w:r w:rsidRPr="006E2FEA">
        <w:rPr>
          <w:rFonts w:cs="Arial"/>
          <w:lang w:val="es-CR"/>
        </w:rPr>
        <w:t xml:space="preserve"> del sistema.</w:t>
      </w:r>
    </w:p>
    <w:p w:rsidR="006E2FEA" w:rsidRPr="006E2FEA" w:rsidRDefault="006E2FEA" w:rsidP="006E2FEA">
      <w:pPr>
        <w:numPr>
          <w:ilvl w:val="0"/>
          <w:numId w:val="47"/>
        </w:numPr>
        <w:spacing w:line="240" w:lineRule="auto"/>
        <w:jc w:val="both"/>
        <w:rPr>
          <w:rFonts w:cs="Arial"/>
          <w:lang w:val="es-CR"/>
        </w:rPr>
      </w:pPr>
      <w:r w:rsidRPr="006E2FEA">
        <w:rPr>
          <w:rFonts w:cs="Arial"/>
          <w:lang w:val="es-CR"/>
        </w:rPr>
        <w:t>Fortalecer y fomentar el tratamiento de adicciones y trastornos de personalidad, en un ambiente positivo, que aumente las posibilidades exitosas de inserción social.</w:t>
      </w:r>
    </w:p>
    <w:p w:rsidR="006E2FEA" w:rsidRPr="006E2FEA" w:rsidRDefault="006E2FEA" w:rsidP="00A6130B">
      <w:pPr>
        <w:numPr>
          <w:ilvl w:val="0"/>
          <w:numId w:val="47"/>
        </w:numPr>
        <w:spacing w:line="240" w:lineRule="auto"/>
        <w:jc w:val="both"/>
        <w:rPr>
          <w:rFonts w:cs="Arial"/>
          <w:lang w:val="es-CR"/>
        </w:rPr>
      </w:pPr>
      <w:r w:rsidRPr="006E2FEA">
        <w:rPr>
          <w:rFonts w:cs="Arial"/>
          <w:lang w:val="es-CR"/>
        </w:rPr>
        <w:lastRenderedPageBreak/>
        <w:t>Celebrar convenios interinstitucionales que propendan al cumplimiento de los objetivos de la oficina de inserción social.</w:t>
      </w:r>
    </w:p>
    <w:p w:rsidR="006E2FEA" w:rsidRPr="00A6130B" w:rsidRDefault="006E2FEA" w:rsidP="00B7610D">
      <w:pPr>
        <w:spacing w:after="0" w:line="240" w:lineRule="auto"/>
        <w:jc w:val="both"/>
      </w:pPr>
    </w:p>
    <w:p w:rsidR="0044588D" w:rsidRPr="00A6130B" w:rsidRDefault="003C5108" w:rsidP="00967059">
      <w:pPr>
        <w:pStyle w:val="Heading3"/>
        <w:numPr>
          <w:ilvl w:val="0"/>
          <w:numId w:val="24"/>
        </w:numPr>
        <w:spacing w:line="240" w:lineRule="auto"/>
        <w:rPr>
          <w:rFonts w:ascii="Calibri" w:hAnsi="Calibri"/>
          <w:color w:val="1F4E79"/>
        </w:rPr>
      </w:pPr>
      <w:bookmarkStart w:id="92" w:name="_Toc446126687"/>
      <w:r w:rsidRPr="00A6130B">
        <w:rPr>
          <w:rFonts w:ascii="Calibri" w:hAnsi="Calibri"/>
          <w:color w:val="1F4E79"/>
        </w:rPr>
        <w:t xml:space="preserve">Utilizar la </w:t>
      </w:r>
      <w:r w:rsidR="00061CBC" w:rsidRPr="00A6130B">
        <w:rPr>
          <w:rFonts w:ascii="Calibri" w:hAnsi="Calibri"/>
          <w:color w:val="1F4E79"/>
        </w:rPr>
        <w:t xml:space="preserve">detención </w:t>
      </w:r>
      <w:r w:rsidRPr="00A6130B">
        <w:rPr>
          <w:rFonts w:ascii="Calibri" w:hAnsi="Calibri"/>
          <w:color w:val="1F4E79"/>
        </w:rPr>
        <w:t xml:space="preserve">o el encarcelamiento de menores </w:t>
      </w:r>
      <w:r w:rsidR="00061CBC" w:rsidRPr="00A6130B">
        <w:rPr>
          <w:rFonts w:ascii="Calibri" w:hAnsi="Calibri"/>
          <w:color w:val="1F4E79"/>
        </w:rPr>
        <w:t>como medida</w:t>
      </w:r>
      <w:r w:rsidRPr="00A6130B">
        <w:rPr>
          <w:rFonts w:ascii="Calibri" w:hAnsi="Calibri"/>
          <w:color w:val="1F4E79"/>
        </w:rPr>
        <w:t>s</w:t>
      </w:r>
      <w:r w:rsidR="00061CBC" w:rsidRPr="00A6130B">
        <w:rPr>
          <w:rFonts w:ascii="Calibri" w:hAnsi="Calibri"/>
          <w:color w:val="1F4E79"/>
        </w:rPr>
        <w:t xml:space="preserve"> de último recurso</w:t>
      </w:r>
      <w:r w:rsidRPr="00A6130B">
        <w:rPr>
          <w:rFonts w:ascii="Calibri" w:hAnsi="Calibri"/>
          <w:color w:val="1F4E79"/>
        </w:rPr>
        <w:t xml:space="preserve"> y por el menor tiempo posible.</w:t>
      </w:r>
      <w:bookmarkEnd w:id="92"/>
      <w:r w:rsidR="00061CBC" w:rsidRPr="00A6130B">
        <w:rPr>
          <w:rFonts w:ascii="Calibri" w:hAnsi="Calibri"/>
          <w:color w:val="1F4E79"/>
        </w:rPr>
        <w:t xml:space="preserve"> </w:t>
      </w:r>
    </w:p>
    <w:p w:rsidR="003C5108" w:rsidRPr="00A6130B" w:rsidRDefault="003C5108" w:rsidP="00B7610D">
      <w:pPr>
        <w:spacing w:after="0" w:line="240" w:lineRule="auto"/>
        <w:jc w:val="both"/>
      </w:pPr>
    </w:p>
    <w:p w:rsidR="00EC46E0" w:rsidRPr="00A6130B" w:rsidRDefault="00EC46E0" w:rsidP="00B7610D">
      <w:pPr>
        <w:spacing w:after="0" w:line="240" w:lineRule="auto"/>
        <w:jc w:val="both"/>
      </w:pPr>
      <w:r w:rsidRPr="00A6130B">
        <w:t xml:space="preserve">El Poder Judicial y la Comisión Nacional para el Mejoramiento de la Administración de Justicia (CONAMAJ) han reflejado los principios y aspiraciones de la justicia restaurativa en la “Política Judicial dirigida al Mejoramiento del Acceso a la Justicia de las Niñas, Niños y Adolescentes en Costa Rica” del 2010 y luego en la “Política del Derecho al Acceso a Justicia para personas Menores de Edad en condiciones de Vulnerabilidad sometidas al Proceso Penal Juvenil en Costa Rica” del 2011, en lo relativo a contar con servicios alternativos o complementarios al proceso judicial juvenil, dentro de los cuales se encuentra Política Pública de Justicia Penal Juvenil Restaurativa, en ejecución desde junio 2015 con muy buenos resultados,  e incorporada expresamente en el Plan Estratégico del Poder Judicial, período 2013-2018. </w:t>
      </w:r>
    </w:p>
    <w:p w:rsidR="00996134" w:rsidRPr="00A6130B" w:rsidRDefault="003C5108" w:rsidP="00967059">
      <w:pPr>
        <w:pStyle w:val="Heading3"/>
        <w:numPr>
          <w:ilvl w:val="0"/>
          <w:numId w:val="24"/>
        </w:numPr>
        <w:spacing w:line="240" w:lineRule="auto"/>
        <w:rPr>
          <w:rFonts w:ascii="Calibri" w:hAnsi="Calibri"/>
          <w:color w:val="1F4E79"/>
        </w:rPr>
      </w:pPr>
      <w:bookmarkStart w:id="93" w:name="_Toc446126688"/>
      <w:r w:rsidRPr="00A6130B">
        <w:rPr>
          <w:rFonts w:ascii="Calibri" w:hAnsi="Calibri"/>
          <w:color w:val="1F4E79"/>
        </w:rPr>
        <w:t xml:space="preserve">Garantizar a </w:t>
      </w:r>
      <w:r w:rsidR="00157C68" w:rsidRPr="00A6130B">
        <w:rPr>
          <w:rFonts w:ascii="Calibri" w:hAnsi="Calibri"/>
          <w:color w:val="1F4E79"/>
        </w:rPr>
        <w:t xml:space="preserve">los menores en conflicto con la ley </w:t>
      </w:r>
      <w:r w:rsidRPr="00A6130B">
        <w:rPr>
          <w:rFonts w:ascii="Calibri" w:hAnsi="Calibri"/>
          <w:color w:val="1F4E79"/>
        </w:rPr>
        <w:t xml:space="preserve">el derecho </w:t>
      </w:r>
      <w:r w:rsidR="00157C68" w:rsidRPr="00A6130B">
        <w:rPr>
          <w:rFonts w:ascii="Calibri" w:hAnsi="Calibri"/>
          <w:color w:val="1F4E79"/>
        </w:rPr>
        <w:t>a ser escuchados en los proce</w:t>
      </w:r>
      <w:r w:rsidRPr="00A6130B">
        <w:rPr>
          <w:rFonts w:ascii="Calibri" w:hAnsi="Calibri"/>
          <w:color w:val="1F4E79"/>
        </w:rPr>
        <w:t xml:space="preserve">dimientos </w:t>
      </w:r>
      <w:r w:rsidR="00157C68" w:rsidRPr="00A6130B">
        <w:rPr>
          <w:rFonts w:ascii="Calibri" w:hAnsi="Calibri"/>
          <w:color w:val="1F4E79"/>
        </w:rPr>
        <w:t xml:space="preserve">penales </w:t>
      </w:r>
      <w:r w:rsidRPr="00A6130B">
        <w:rPr>
          <w:rFonts w:ascii="Calibri" w:hAnsi="Calibri"/>
          <w:color w:val="1F4E79"/>
        </w:rPr>
        <w:t xml:space="preserve">que les conciernen, así como el </w:t>
      </w:r>
      <w:r w:rsidR="00157C68" w:rsidRPr="00A6130B">
        <w:rPr>
          <w:rFonts w:ascii="Calibri" w:hAnsi="Calibri"/>
          <w:color w:val="1F4E79"/>
        </w:rPr>
        <w:t>derecho a asistencia jurídica apropiada.</w:t>
      </w:r>
      <w:bookmarkEnd w:id="93"/>
    </w:p>
    <w:p w:rsidR="003C5108" w:rsidRPr="00A6130B" w:rsidRDefault="003C5108" w:rsidP="00A6130B">
      <w:pPr>
        <w:spacing w:line="240" w:lineRule="auto"/>
        <w:jc w:val="both"/>
        <w:rPr>
          <w:rFonts w:cs="Arial"/>
          <w:lang w:eastAsia="es-CR"/>
        </w:rPr>
      </w:pPr>
    </w:p>
    <w:p w:rsidR="00EC46E0" w:rsidRPr="00A6130B" w:rsidRDefault="00EC46E0" w:rsidP="00A6130B">
      <w:pPr>
        <w:spacing w:line="240" w:lineRule="auto"/>
        <w:jc w:val="both"/>
        <w:rPr>
          <w:rFonts w:cs="Arial"/>
          <w:lang w:eastAsia="es-ES"/>
        </w:rPr>
      </w:pPr>
      <w:r w:rsidRPr="00A6130B">
        <w:rPr>
          <w:rFonts w:cs="Arial"/>
          <w:lang w:eastAsia="es-CR"/>
        </w:rPr>
        <w:t xml:space="preserve">Para evitar dicha </w:t>
      </w:r>
      <w:proofErr w:type="spellStart"/>
      <w:r w:rsidRPr="00A6130B">
        <w:rPr>
          <w:rFonts w:cs="Arial"/>
          <w:lang w:eastAsia="es-CR"/>
        </w:rPr>
        <w:t>revictimización</w:t>
      </w:r>
      <w:proofErr w:type="spellEnd"/>
      <w:r w:rsidRPr="00A6130B">
        <w:rPr>
          <w:rFonts w:cs="Arial"/>
          <w:lang w:eastAsia="es-CR"/>
        </w:rPr>
        <w:t xml:space="preserve"> y garantizar el derecho a ser oído, en la materia penal juvenil, para la toma de denuncia a niños, niñas y adolescentes se utilizan las cámaras de </w:t>
      </w:r>
      <w:proofErr w:type="spellStart"/>
      <w:r w:rsidRPr="00A6130B">
        <w:rPr>
          <w:rFonts w:cs="Arial"/>
          <w:lang w:eastAsia="es-CR"/>
        </w:rPr>
        <w:t>gesell</w:t>
      </w:r>
      <w:proofErr w:type="spellEnd"/>
      <w:r w:rsidRPr="00A6130B">
        <w:rPr>
          <w:rFonts w:cs="Arial"/>
          <w:lang w:eastAsia="es-CR"/>
        </w:rPr>
        <w:t>, que constituyen un ambiente propicio para que puedan rendir su relato sin injerencia externas indebidas. Actualmente existen salas en los siguientes lugares:  Tribunales de San José, y 11 más distribuidos en el territorio del país.  Aparte de ello, la Fiscalía Adjunta Penal Juvenil, cuenta con una Sala de entrevista adecuada para la atención de personas menores de edad</w:t>
      </w:r>
      <w:r w:rsidR="00B7610D">
        <w:rPr>
          <w:rFonts w:cs="Arial"/>
          <w:lang w:eastAsia="es-CR"/>
        </w:rPr>
        <w:t>.</w:t>
      </w:r>
    </w:p>
    <w:p w:rsidR="00EC46E0" w:rsidRPr="00A6130B" w:rsidRDefault="00EC46E0" w:rsidP="00A6130B">
      <w:pPr>
        <w:spacing w:line="240" w:lineRule="auto"/>
        <w:jc w:val="both"/>
        <w:rPr>
          <w:rFonts w:cs="Arial"/>
          <w:lang w:eastAsia="es-CR"/>
        </w:rPr>
      </w:pPr>
    </w:p>
    <w:p w:rsidR="00996134" w:rsidRPr="00A6130B" w:rsidRDefault="003C5108" w:rsidP="00967059">
      <w:pPr>
        <w:pStyle w:val="Heading3"/>
        <w:numPr>
          <w:ilvl w:val="0"/>
          <w:numId w:val="24"/>
        </w:numPr>
        <w:spacing w:line="240" w:lineRule="auto"/>
        <w:rPr>
          <w:rFonts w:ascii="Calibri" w:hAnsi="Calibri"/>
          <w:color w:val="1F4E79"/>
        </w:rPr>
      </w:pPr>
      <w:bookmarkStart w:id="94" w:name="_Toc446126689"/>
      <w:r w:rsidRPr="00A6130B">
        <w:rPr>
          <w:rFonts w:ascii="Calibri" w:hAnsi="Calibri"/>
          <w:color w:val="1F4E79"/>
        </w:rPr>
        <w:t>Sírvanse, asimismo, informar si el Estado parte cuenta con un m</w:t>
      </w:r>
      <w:r w:rsidR="00157C68" w:rsidRPr="00A6130B">
        <w:rPr>
          <w:rFonts w:ascii="Calibri" w:hAnsi="Calibri"/>
          <w:color w:val="1F4E79"/>
        </w:rPr>
        <w:t xml:space="preserve">ecanismo independiente </w:t>
      </w:r>
      <w:r w:rsidRPr="00A6130B">
        <w:rPr>
          <w:rFonts w:ascii="Calibri" w:hAnsi="Calibri"/>
          <w:color w:val="1F4E79"/>
        </w:rPr>
        <w:t xml:space="preserve">encargado </w:t>
      </w:r>
      <w:r w:rsidR="00157C68" w:rsidRPr="00A6130B">
        <w:rPr>
          <w:rFonts w:ascii="Calibri" w:hAnsi="Calibri"/>
          <w:color w:val="1F4E79"/>
        </w:rPr>
        <w:t xml:space="preserve">de supervisar </w:t>
      </w:r>
      <w:r w:rsidRPr="00A6130B">
        <w:rPr>
          <w:rFonts w:ascii="Calibri" w:hAnsi="Calibri"/>
          <w:color w:val="1F4E79"/>
        </w:rPr>
        <w:t xml:space="preserve">que </w:t>
      </w:r>
      <w:r w:rsidR="00157C68" w:rsidRPr="00A6130B">
        <w:rPr>
          <w:rFonts w:ascii="Calibri" w:hAnsi="Calibri"/>
          <w:color w:val="1F4E79"/>
        </w:rPr>
        <w:t>en los centros de reclusión</w:t>
      </w:r>
      <w:r w:rsidR="003662A4" w:rsidRPr="00A6130B">
        <w:rPr>
          <w:rFonts w:ascii="Calibri" w:hAnsi="Calibri"/>
          <w:color w:val="1F4E79"/>
        </w:rPr>
        <w:t xml:space="preserve"> de menores se respeten los derechos </w:t>
      </w:r>
      <w:r w:rsidRPr="00A6130B">
        <w:rPr>
          <w:rFonts w:ascii="Calibri" w:hAnsi="Calibri"/>
          <w:color w:val="1F4E79"/>
        </w:rPr>
        <w:t>consagrados en e</w:t>
      </w:r>
      <w:r w:rsidR="003662A4" w:rsidRPr="00A6130B">
        <w:rPr>
          <w:rFonts w:ascii="Calibri" w:hAnsi="Calibri"/>
          <w:color w:val="1F4E79"/>
        </w:rPr>
        <w:t>l Pacto.</w:t>
      </w:r>
      <w:bookmarkEnd w:id="94"/>
    </w:p>
    <w:p w:rsidR="003C5108" w:rsidRDefault="003C5108" w:rsidP="00A6130B">
      <w:pPr>
        <w:spacing w:line="240" w:lineRule="auto"/>
        <w:jc w:val="both"/>
        <w:rPr>
          <w:rFonts w:cs="Arial"/>
          <w:b/>
          <w:color w:val="FF0000"/>
          <w:lang w:val="es-CR"/>
        </w:rPr>
      </w:pPr>
    </w:p>
    <w:p w:rsidR="00266296" w:rsidRPr="007C7AE2" w:rsidRDefault="00266296" w:rsidP="00A6130B">
      <w:pPr>
        <w:spacing w:line="240" w:lineRule="auto"/>
        <w:jc w:val="both"/>
        <w:rPr>
          <w:rFonts w:cs="Arial"/>
          <w:lang w:eastAsia="es-ES"/>
        </w:rPr>
      </w:pPr>
      <w:r w:rsidRPr="00A6130B">
        <w:rPr>
          <w:rFonts w:cs="Arial"/>
          <w:lang w:eastAsia="es-CR"/>
        </w:rPr>
        <w:t>Sobre la supervisión de los centros de reclusión de menores, el Ministerio Público, a través de la Fiscalía Adjunta Penal Juvenil, dentro de sus funciones contempla las VISITAS CARCELARIAS, de los distintos centros en los que se encuentran población juvenil. Estas visitas se realizan desde el año 1996 en que entra en vigencia la Ley de Justicia Penal Juvenil, pero se refuerzan en el año 2005 con la aprobación de la Ley de Ejecución de las sanciones penales juvenil, N°8460. L</w:t>
      </w:r>
      <w:r w:rsidRPr="00A6130B">
        <w:rPr>
          <w:rFonts w:cs="Arial"/>
          <w:lang w:eastAsia="es-ES"/>
        </w:rPr>
        <w:t>as visitas han servido para documentar y comunicar distintas situaciones vinculadas a deficiencias en el ejercicio de algunos derechos, problemas de infraestructura, hacinamiento, todo en pro de exigir el cumplimiento de derechos humanos como lo concibe la Convención sobre los derechos del niño.</w:t>
      </w:r>
    </w:p>
    <w:p w:rsidR="00996134" w:rsidRPr="00A6130B" w:rsidRDefault="00996134" w:rsidP="00A6130B">
      <w:pPr>
        <w:spacing w:line="240" w:lineRule="auto"/>
        <w:jc w:val="both"/>
        <w:rPr>
          <w:rFonts w:cs="Arial"/>
          <w:b/>
        </w:rPr>
      </w:pPr>
    </w:p>
    <w:p w:rsidR="003A745F" w:rsidRPr="008645E0" w:rsidRDefault="003A745F" w:rsidP="008820F2">
      <w:pPr>
        <w:pStyle w:val="Heading1"/>
        <w:ind w:left="142"/>
        <w:rPr>
          <w:rFonts w:ascii="Arial" w:hAnsi="Arial" w:cs="Arial"/>
          <w:b/>
          <w:sz w:val="36"/>
          <w:szCs w:val="36"/>
        </w:rPr>
      </w:pPr>
      <w:bookmarkStart w:id="95" w:name="_Toc446126690"/>
      <w:r w:rsidRPr="008645E0">
        <w:rPr>
          <w:rFonts w:ascii="Arial" w:hAnsi="Arial" w:cs="Arial"/>
          <w:b/>
          <w:sz w:val="36"/>
          <w:szCs w:val="36"/>
        </w:rPr>
        <w:lastRenderedPageBreak/>
        <w:t>Igualdad y no discriminación y protección de los derechos de las personas pertenecientes a minorías ét</w:t>
      </w:r>
      <w:r w:rsidR="003662A4" w:rsidRPr="008645E0">
        <w:rPr>
          <w:rFonts w:ascii="Arial" w:hAnsi="Arial" w:cs="Arial"/>
          <w:b/>
          <w:sz w:val="36"/>
          <w:szCs w:val="36"/>
        </w:rPr>
        <w:t>n</w:t>
      </w:r>
      <w:r w:rsidRPr="008645E0">
        <w:rPr>
          <w:rFonts w:ascii="Arial" w:hAnsi="Arial" w:cs="Arial"/>
          <w:b/>
          <w:sz w:val="36"/>
          <w:szCs w:val="36"/>
        </w:rPr>
        <w:t>icas (arts. 2,26 y 27)</w:t>
      </w:r>
      <w:bookmarkEnd w:id="95"/>
    </w:p>
    <w:p w:rsidR="00CF5AC8" w:rsidRPr="00A6130B" w:rsidRDefault="00CF5AC8" w:rsidP="00A6130B">
      <w:pPr>
        <w:pStyle w:val="ListParagraph"/>
        <w:spacing w:after="0" w:line="240" w:lineRule="auto"/>
        <w:ind w:left="0"/>
        <w:jc w:val="both"/>
        <w:rPr>
          <w:rFonts w:cs="Arial"/>
          <w:b/>
          <w:color w:val="000000"/>
          <w:highlight w:val="yellow"/>
          <w:lang w:val="es-CR"/>
        </w:rPr>
      </w:pPr>
    </w:p>
    <w:p w:rsidR="00154354" w:rsidRPr="00A6130B" w:rsidRDefault="003C5108" w:rsidP="00967059">
      <w:pPr>
        <w:pStyle w:val="Heading2"/>
        <w:numPr>
          <w:ilvl w:val="0"/>
          <w:numId w:val="10"/>
        </w:numPr>
        <w:rPr>
          <w:rFonts w:ascii="Calibri" w:hAnsi="Calibri"/>
          <w:sz w:val="24"/>
          <w:szCs w:val="24"/>
        </w:rPr>
      </w:pPr>
      <w:bookmarkStart w:id="96" w:name="_Toc446126691"/>
      <w:r w:rsidRPr="00A6130B">
        <w:rPr>
          <w:rFonts w:ascii="Calibri" w:hAnsi="Calibri"/>
          <w:sz w:val="24"/>
          <w:szCs w:val="24"/>
        </w:rPr>
        <w:t>Sírvanse proporcionar información sobre los m</w:t>
      </w:r>
      <w:r w:rsidR="00B23CE6" w:rsidRPr="00A6130B">
        <w:rPr>
          <w:rFonts w:ascii="Calibri" w:hAnsi="Calibri"/>
          <w:sz w:val="24"/>
          <w:szCs w:val="24"/>
        </w:rPr>
        <w:t>ecanismo</w:t>
      </w:r>
      <w:r w:rsidR="003662A4" w:rsidRPr="00A6130B">
        <w:rPr>
          <w:rFonts w:ascii="Calibri" w:hAnsi="Calibri"/>
          <w:sz w:val="24"/>
          <w:szCs w:val="24"/>
        </w:rPr>
        <w:t>s</w:t>
      </w:r>
      <w:r w:rsidR="00B23CE6" w:rsidRPr="00A6130B">
        <w:rPr>
          <w:rFonts w:ascii="Calibri" w:hAnsi="Calibri"/>
          <w:sz w:val="24"/>
          <w:szCs w:val="24"/>
        </w:rPr>
        <w:t xml:space="preserve"> </w:t>
      </w:r>
      <w:r w:rsidR="003662A4" w:rsidRPr="00A6130B">
        <w:rPr>
          <w:rFonts w:ascii="Calibri" w:hAnsi="Calibri"/>
          <w:sz w:val="24"/>
          <w:szCs w:val="24"/>
        </w:rPr>
        <w:t xml:space="preserve">o </w:t>
      </w:r>
      <w:r w:rsidR="00B23CE6" w:rsidRPr="00A6130B">
        <w:rPr>
          <w:rFonts w:ascii="Calibri" w:hAnsi="Calibri"/>
          <w:sz w:val="24"/>
          <w:szCs w:val="24"/>
        </w:rPr>
        <w:t>proceso</w:t>
      </w:r>
      <w:r w:rsidR="003662A4" w:rsidRPr="00A6130B">
        <w:rPr>
          <w:rFonts w:ascii="Calibri" w:hAnsi="Calibri"/>
          <w:sz w:val="24"/>
          <w:szCs w:val="24"/>
        </w:rPr>
        <w:t>s de</w:t>
      </w:r>
      <w:r w:rsidR="00B23CE6" w:rsidRPr="00A6130B">
        <w:rPr>
          <w:rFonts w:ascii="Calibri" w:hAnsi="Calibri"/>
          <w:sz w:val="24"/>
          <w:szCs w:val="24"/>
        </w:rPr>
        <w:t xml:space="preserve"> consulta</w:t>
      </w:r>
      <w:r w:rsidR="006963FF" w:rsidRPr="00A6130B">
        <w:rPr>
          <w:rFonts w:ascii="Calibri" w:hAnsi="Calibri"/>
          <w:sz w:val="24"/>
          <w:szCs w:val="24"/>
        </w:rPr>
        <w:t xml:space="preserve"> </w:t>
      </w:r>
      <w:r w:rsidRPr="00A6130B">
        <w:rPr>
          <w:rFonts w:ascii="Calibri" w:hAnsi="Calibri"/>
          <w:sz w:val="24"/>
          <w:szCs w:val="24"/>
        </w:rPr>
        <w:t xml:space="preserve">existentes </w:t>
      </w:r>
      <w:r w:rsidR="006963FF" w:rsidRPr="00A6130B">
        <w:rPr>
          <w:rFonts w:ascii="Calibri" w:hAnsi="Calibri"/>
          <w:sz w:val="24"/>
          <w:szCs w:val="24"/>
        </w:rPr>
        <w:t>de los pueblos indígenas acerca de medidas legislativas o administrativas</w:t>
      </w:r>
      <w:r w:rsidR="00C979E2" w:rsidRPr="00A6130B">
        <w:rPr>
          <w:rFonts w:ascii="Calibri" w:hAnsi="Calibri"/>
          <w:sz w:val="24"/>
          <w:szCs w:val="24"/>
        </w:rPr>
        <w:t xml:space="preserve"> que puedan tener algún tipo de incidencia sobre sus derechos y proporcionar ejemplos de consultas que se hayan realizado durante el período en estudio. Asimismo, sírvanse facilitar información sobre el contenido y fase de tramitación en que se encuentra el proyecto de ley de desarrollo autónomo de los pueblos indígenas.</w:t>
      </w:r>
      <w:bookmarkEnd w:id="96"/>
    </w:p>
    <w:p w:rsidR="00C979E2" w:rsidRPr="00A6130B" w:rsidRDefault="00C979E2" w:rsidP="00967059">
      <w:pPr>
        <w:pStyle w:val="Heading3"/>
        <w:numPr>
          <w:ilvl w:val="0"/>
          <w:numId w:val="25"/>
        </w:numPr>
        <w:spacing w:line="240" w:lineRule="auto"/>
        <w:rPr>
          <w:rFonts w:ascii="Calibri" w:hAnsi="Calibri"/>
          <w:color w:val="1F4E79"/>
        </w:rPr>
      </w:pPr>
      <w:bookmarkStart w:id="97" w:name="_Toc446126692"/>
      <w:r w:rsidRPr="00A6130B">
        <w:rPr>
          <w:rFonts w:ascii="Calibri" w:hAnsi="Calibri"/>
          <w:color w:val="1F4E79"/>
        </w:rPr>
        <w:t>Mecanismos o procesos de consulta existentes de los pueblos indígenas acerca de medidas legislativas o administrativas que puedan tener algún tipo de incidencia sobre sus derechos y proporcionar ejemplos de consultas que se hayan realizado durante el período en estudio.</w:t>
      </w:r>
      <w:bookmarkEnd w:id="97"/>
    </w:p>
    <w:p w:rsidR="003F2E4F" w:rsidRPr="00A6130B" w:rsidRDefault="003F2E4F" w:rsidP="00A6130B">
      <w:pPr>
        <w:spacing w:before="120" w:after="120" w:line="240" w:lineRule="auto"/>
        <w:jc w:val="both"/>
      </w:pPr>
      <w:r w:rsidRPr="00A6130B">
        <w:t xml:space="preserve">Actualmente se encuentra en gestión la consulta sobre la administración de Acueducto del territorio indígena de </w:t>
      </w:r>
      <w:proofErr w:type="spellStart"/>
      <w:r w:rsidRPr="00A6130B">
        <w:t>Térraba</w:t>
      </w:r>
      <w:proofErr w:type="spellEnd"/>
      <w:r w:rsidRPr="00A6130B">
        <w:t>. Dicho proceso es implementado por el Instituto Costarricense de Acueductos y Alcantarillados (</w:t>
      </w:r>
      <w:proofErr w:type="spellStart"/>
      <w:r w:rsidRPr="00A6130B">
        <w:t>AyA</w:t>
      </w:r>
      <w:proofErr w:type="spellEnd"/>
      <w:r w:rsidRPr="00A6130B">
        <w:t xml:space="preserve">). Recientemente, el Tribunal Supremo de Elecciones ha finalizado la depuración de padrón de personas indígenas en el territorio, por lo que con esta información, en dos meses se iniciarán los talleres comunitarios para definir el tipo de administración del acueducto según lo determinen los habitantes de territorio indígena. </w:t>
      </w:r>
    </w:p>
    <w:p w:rsidR="003F2E4F" w:rsidRPr="00A6130B" w:rsidRDefault="003F2E4F" w:rsidP="00A6130B">
      <w:pPr>
        <w:spacing w:before="120" w:after="120" w:line="240" w:lineRule="auto"/>
        <w:jc w:val="both"/>
        <w:rPr>
          <w:i/>
        </w:rPr>
      </w:pPr>
      <w:r w:rsidRPr="00A6130B">
        <w:t>Conforme el Convenio 169 de la OIT y la Declaración de las Naciones Unidas sobre los derechos de los pueblos indígenas, el Estado ha iniciado el proceso para formulación de un mecanismo de consulta a los pueblos indígenas acerca de las medidas legislativas y administrativas que les afecten. Lo anterior, se realizó mediante la emisión de la Directriz n° 42-MP titulada “</w:t>
      </w:r>
      <w:r w:rsidRPr="00A6130B">
        <w:rPr>
          <w:i/>
        </w:rPr>
        <w:t xml:space="preserve">Construcción del mecanismo de consulta a los pueblos indígenas.” </w:t>
      </w:r>
      <w:r w:rsidRPr="00A6130B">
        <w:t xml:space="preserve">Esta iniciativa cuenta con el apoyo del Sistema de Naciones Unidas, el Instituto Interamericano de Derechos Humanos y la Defensoría de los Habitantes de la República, en su calidad de observadora. </w:t>
      </w:r>
    </w:p>
    <w:p w:rsidR="009B7606" w:rsidRPr="00A6130B" w:rsidRDefault="00C979E2" w:rsidP="00A6130B">
      <w:pPr>
        <w:spacing w:line="240" w:lineRule="auto"/>
        <w:jc w:val="both"/>
        <w:rPr>
          <w:rFonts w:cs="Arial"/>
        </w:rPr>
      </w:pPr>
      <w:r w:rsidRPr="00A6130B">
        <w:rPr>
          <w:rFonts w:cs="Arial"/>
          <w:iCs/>
          <w:lang w:val="es-CR"/>
        </w:rPr>
        <w:t>E</w:t>
      </w:r>
      <w:r w:rsidR="009B7606" w:rsidRPr="00A6130B">
        <w:rPr>
          <w:rFonts w:cs="Arial"/>
          <w:iCs/>
          <w:lang w:val="es-CR"/>
        </w:rPr>
        <w:t>l 14 de marzo</w:t>
      </w:r>
      <w:r w:rsidR="00357BA8" w:rsidRPr="00A6130B">
        <w:rPr>
          <w:rFonts w:cs="Arial"/>
          <w:iCs/>
          <w:lang w:val="es-CR"/>
        </w:rPr>
        <w:t xml:space="preserve"> de 2016</w:t>
      </w:r>
      <w:r w:rsidR="009B7606" w:rsidRPr="00A6130B">
        <w:rPr>
          <w:rFonts w:cs="Arial"/>
          <w:iCs/>
          <w:lang w:val="es-CR"/>
        </w:rPr>
        <w:t xml:space="preserve">, fue publicada la Directriz Presidencial </w:t>
      </w:r>
      <w:r w:rsidR="009B7606" w:rsidRPr="00A6130B">
        <w:rPr>
          <w:rFonts w:cs="Arial"/>
          <w:color w:val="000000"/>
          <w:lang w:val="es-US"/>
        </w:rPr>
        <w:t xml:space="preserve">N° 042-MP, </w:t>
      </w:r>
      <w:r w:rsidR="009B7606" w:rsidRPr="00A6130B">
        <w:rPr>
          <w:rFonts w:cs="Arial"/>
          <w:iCs/>
          <w:lang w:val="es-CR"/>
        </w:rPr>
        <w:t xml:space="preserve">dirigida al sector público, para la “CONSTRUCCION DEL MECANISMO DE CONSULTA A PUEBLOS INDÍGENAS”. </w:t>
      </w:r>
      <w:r w:rsidRPr="00A6130B">
        <w:rPr>
          <w:rFonts w:cs="Arial"/>
          <w:iCs/>
          <w:lang w:val="es-CR"/>
        </w:rPr>
        <w:t>E</w:t>
      </w:r>
      <w:r w:rsidR="009B7606" w:rsidRPr="00A6130B">
        <w:rPr>
          <w:rFonts w:cs="Arial"/>
          <w:iCs/>
          <w:lang w:val="es-CR"/>
        </w:rPr>
        <w:t xml:space="preserve">l único proceso en curso relacionado con </w:t>
      </w:r>
      <w:r w:rsidR="009B7606" w:rsidRPr="00A6130B">
        <w:rPr>
          <w:rFonts w:cs="Arial"/>
        </w:rPr>
        <w:t xml:space="preserve"> la administración del acueducto del territorio indígena de </w:t>
      </w:r>
      <w:proofErr w:type="spellStart"/>
      <w:r w:rsidR="009B7606" w:rsidRPr="00A6130B">
        <w:rPr>
          <w:rFonts w:cs="Arial"/>
        </w:rPr>
        <w:t>Térraba</w:t>
      </w:r>
      <w:proofErr w:type="spellEnd"/>
      <w:r w:rsidR="009B7606" w:rsidRPr="00A6130B">
        <w:rPr>
          <w:rFonts w:cs="Arial"/>
        </w:rPr>
        <w:t xml:space="preserve">, al sur del país.  </w:t>
      </w:r>
    </w:p>
    <w:p w:rsidR="00C979E2" w:rsidRPr="00A6130B" w:rsidRDefault="00C979E2" w:rsidP="00967059">
      <w:pPr>
        <w:pStyle w:val="Heading3"/>
        <w:numPr>
          <w:ilvl w:val="0"/>
          <w:numId w:val="25"/>
        </w:numPr>
        <w:spacing w:line="240" w:lineRule="auto"/>
        <w:rPr>
          <w:rFonts w:ascii="Calibri" w:hAnsi="Calibri"/>
          <w:color w:val="1F4E79"/>
        </w:rPr>
      </w:pPr>
      <w:bookmarkStart w:id="98" w:name="_Toc446126693"/>
      <w:r w:rsidRPr="00A6130B">
        <w:rPr>
          <w:rFonts w:ascii="Calibri" w:hAnsi="Calibri"/>
          <w:color w:val="1F4E79"/>
        </w:rPr>
        <w:t>Información sobre el contenido y fase de tramitación en que se encuentra el proyecto de ley de desarrollo autónomo de los pueblos indígenas</w:t>
      </w:r>
      <w:bookmarkEnd w:id="98"/>
      <w:r w:rsidRPr="00A6130B">
        <w:rPr>
          <w:rFonts w:ascii="Calibri" w:hAnsi="Calibri"/>
          <w:color w:val="1F4E79"/>
        </w:rPr>
        <w:t xml:space="preserve"> </w:t>
      </w:r>
    </w:p>
    <w:p w:rsidR="009B7606" w:rsidRPr="00A6130B" w:rsidRDefault="009B7606" w:rsidP="00A6130B">
      <w:pPr>
        <w:pStyle w:val="NormalWeb"/>
        <w:shd w:val="clear" w:color="auto" w:fill="FFFFFF"/>
        <w:spacing w:after="225"/>
        <w:jc w:val="both"/>
        <w:textAlignment w:val="baseline"/>
        <w:rPr>
          <w:rFonts w:ascii="Calibri" w:hAnsi="Calibri" w:cs="Arial"/>
          <w:sz w:val="22"/>
          <w:szCs w:val="22"/>
        </w:rPr>
      </w:pPr>
      <w:r w:rsidRPr="00A6130B">
        <w:rPr>
          <w:rFonts w:ascii="Calibri" w:hAnsi="Calibri" w:cs="Arial"/>
          <w:sz w:val="22"/>
          <w:szCs w:val="22"/>
        </w:rPr>
        <w:t xml:space="preserve">El Proyecto de Ley N° 14.352 “Ley de Desarrollo Autónomo de los Pueblos Indígenas  fue iniciado en fecha 16 de marzo de 2001, publicado en la Gaceta número 119, alcance 49 de fecha 21 de junio de 2001. En fecha 27 de julio de 2015 fue aprobada en el Plenario Legislativo una moción para que con fundamento en el artículo 199 del Reglamento de la Asamblea Legislativa, se le otorgue un nuevo plazo cuatrienal a este expediente. </w:t>
      </w:r>
    </w:p>
    <w:p w:rsidR="009B7606" w:rsidRPr="00A6130B" w:rsidRDefault="009B7606" w:rsidP="00A6130B">
      <w:pPr>
        <w:pStyle w:val="NormalWeb"/>
        <w:shd w:val="clear" w:color="auto" w:fill="FFFFFF"/>
        <w:spacing w:after="225"/>
        <w:jc w:val="both"/>
        <w:textAlignment w:val="baseline"/>
        <w:rPr>
          <w:rFonts w:ascii="Calibri" w:hAnsi="Calibri" w:cs="Arial"/>
          <w:sz w:val="22"/>
          <w:szCs w:val="22"/>
        </w:rPr>
      </w:pPr>
      <w:r w:rsidRPr="00A6130B">
        <w:rPr>
          <w:rFonts w:ascii="Calibri" w:hAnsi="Calibri" w:cs="Arial"/>
          <w:sz w:val="22"/>
          <w:szCs w:val="22"/>
        </w:rPr>
        <w:lastRenderedPageBreak/>
        <w:t xml:space="preserve">Actualmente el proyecto se encuentra en el lugar número 37 del orden  del día  del Plenario Legislativo de sesiones ordinarias. El proyecto no fue convocado por el Poder Ejecutivo en periodo de Sesiones Extraordinarias. Tiene vencimiento de plazo cuatrienal el 27 de julio de 2019.  </w:t>
      </w:r>
    </w:p>
    <w:p w:rsidR="009B7606" w:rsidRPr="00A6130B" w:rsidRDefault="009B7606" w:rsidP="00A6130B">
      <w:pPr>
        <w:pStyle w:val="NormalWeb"/>
        <w:shd w:val="clear" w:color="auto" w:fill="FFFFFF"/>
        <w:spacing w:after="225"/>
        <w:jc w:val="both"/>
        <w:textAlignment w:val="baseline"/>
        <w:rPr>
          <w:rFonts w:ascii="Calibri" w:hAnsi="Calibri" w:cs="Arial"/>
        </w:rPr>
      </w:pPr>
      <w:r w:rsidRPr="00A6130B">
        <w:rPr>
          <w:rFonts w:ascii="Calibri" w:hAnsi="Calibri" w:cs="Arial"/>
          <w:sz w:val="22"/>
          <w:szCs w:val="22"/>
        </w:rPr>
        <w:t xml:space="preserve">El motivo principal de su no aprobación por la Asamblea Legislativa hasta la fecha, se debe a la búsqueda y falta de consensos entre los diferentes actores, por lo que el Poder Legislativo ha puesto una pausa en su aprobación final, principalmente con el objetivo de tener éxito en su votación final.  </w:t>
      </w:r>
      <w:r w:rsidRPr="00A6130B">
        <w:rPr>
          <w:rFonts w:ascii="Calibri" w:hAnsi="Calibri" w:cs="Arial"/>
          <w:b/>
        </w:rPr>
        <w:t xml:space="preserve"> </w:t>
      </w:r>
      <w:r w:rsidRPr="00A6130B">
        <w:rPr>
          <w:rFonts w:ascii="Calibri" w:hAnsi="Calibri" w:cs="Arial"/>
        </w:rPr>
        <w:t xml:space="preserve"> </w:t>
      </w:r>
    </w:p>
    <w:p w:rsidR="006963FF" w:rsidRPr="00A6130B" w:rsidRDefault="00B07D84" w:rsidP="00967059">
      <w:pPr>
        <w:pStyle w:val="Heading2"/>
        <w:numPr>
          <w:ilvl w:val="0"/>
          <w:numId w:val="10"/>
        </w:numPr>
        <w:rPr>
          <w:rFonts w:ascii="Calibri" w:hAnsi="Calibri"/>
          <w:sz w:val="24"/>
          <w:szCs w:val="24"/>
        </w:rPr>
      </w:pPr>
      <w:bookmarkStart w:id="99" w:name="_Toc446126694"/>
      <w:r w:rsidRPr="00A6130B">
        <w:rPr>
          <w:rFonts w:ascii="Calibri" w:hAnsi="Calibri"/>
          <w:sz w:val="24"/>
          <w:szCs w:val="24"/>
        </w:rPr>
        <w:t xml:space="preserve">Indiquen las medias que ha adoptado el Estado parte </w:t>
      </w:r>
      <w:r w:rsidR="006963FF" w:rsidRPr="00A6130B">
        <w:rPr>
          <w:rFonts w:ascii="Calibri" w:hAnsi="Calibri"/>
          <w:sz w:val="24"/>
          <w:szCs w:val="24"/>
        </w:rPr>
        <w:t xml:space="preserve">para combatir la discriminación de </w:t>
      </w:r>
      <w:proofErr w:type="spellStart"/>
      <w:r w:rsidR="006963FF" w:rsidRPr="00A6130B">
        <w:rPr>
          <w:rFonts w:ascii="Calibri" w:hAnsi="Calibri"/>
          <w:sz w:val="24"/>
          <w:szCs w:val="24"/>
        </w:rPr>
        <w:t>afrodescendientes</w:t>
      </w:r>
      <w:proofErr w:type="spellEnd"/>
      <w:r w:rsidR="006963FF" w:rsidRPr="00A6130B">
        <w:rPr>
          <w:rFonts w:ascii="Calibri" w:hAnsi="Calibri"/>
          <w:sz w:val="24"/>
          <w:szCs w:val="24"/>
        </w:rPr>
        <w:t xml:space="preserve"> y las comunidades indígenas, especialmente</w:t>
      </w:r>
      <w:r w:rsidRPr="00A6130B">
        <w:rPr>
          <w:rFonts w:ascii="Calibri" w:hAnsi="Calibri"/>
          <w:sz w:val="24"/>
          <w:szCs w:val="24"/>
        </w:rPr>
        <w:t xml:space="preserve"> con respecto al</w:t>
      </w:r>
      <w:r w:rsidR="006963FF" w:rsidRPr="00A6130B">
        <w:rPr>
          <w:rFonts w:ascii="Calibri" w:hAnsi="Calibri"/>
          <w:sz w:val="24"/>
          <w:szCs w:val="24"/>
        </w:rPr>
        <w:t xml:space="preserve"> acceso a </w:t>
      </w:r>
      <w:r w:rsidRPr="00A6130B">
        <w:rPr>
          <w:rFonts w:ascii="Calibri" w:hAnsi="Calibri"/>
          <w:sz w:val="24"/>
          <w:szCs w:val="24"/>
        </w:rPr>
        <w:t xml:space="preserve">la </w:t>
      </w:r>
      <w:r w:rsidR="006963FF" w:rsidRPr="00A6130B">
        <w:rPr>
          <w:rFonts w:ascii="Calibri" w:hAnsi="Calibri"/>
          <w:sz w:val="24"/>
          <w:szCs w:val="24"/>
        </w:rPr>
        <w:t>educación, vivienda y empleo</w:t>
      </w:r>
      <w:r w:rsidRPr="00A6130B">
        <w:rPr>
          <w:rFonts w:ascii="Calibri" w:hAnsi="Calibri"/>
          <w:sz w:val="24"/>
          <w:szCs w:val="24"/>
        </w:rPr>
        <w:t>. Sírvanse, asimismo, comentar la información según la cual los territorios indígenas, otorgados por vía de derechos ejecutivos desde 1956, se encuentran habitados mayoritariamente por personas no indígenas.</w:t>
      </w:r>
      <w:bookmarkEnd w:id="99"/>
    </w:p>
    <w:p w:rsidR="00B07D84" w:rsidRPr="00A6130B" w:rsidRDefault="00B07D84" w:rsidP="00967059">
      <w:pPr>
        <w:pStyle w:val="Heading3"/>
        <w:numPr>
          <w:ilvl w:val="0"/>
          <w:numId w:val="26"/>
        </w:numPr>
        <w:spacing w:line="240" w:lineRule="auto"/>
        <w:rPr>
          <w:rFonts w:ascii="Calibri" w:hAnsi="Calibri"/>
          <w:color w:val="1F4E79"/>
        </w:rPr>
      </w:pPr>
      <w:bookmarkStart w:id="100" w:name="_Toc446126695"/>
      <w:r w:rsidRPr="00A6130B">
        <w:rPr>
          <w:rFonts w:ascii="Calibri" w:hAnsi="Calibri"/>
          <w:color w:val="1F4E79"/>
        </w:rPr>
        <w:t>Medi</w:t>
      </w:r>
      <w:r w:rsidR="00650A01">
        <w:rPr>
          <w:rFonts w:ascii="Calibri" w:hAnsi="Calibri"/>
          <w:color w:val="1F4E79"/>
        </w:rPr>
        <w:t>d</w:t>
      </w:r>
      <w:r w:rsidRPr="00A6130B">
        <w:rPr>
          <w:rFonts w:ascii="Calibri" w:hAnsi="Calibri"/>
          <w:color w:val="1F4E79"/>
        </w:rPr>
        <w:t xml:space="preserve">as que ha adoptado el Estado parte para combatir la discriminación de </w:t>
      </w:r>
      <w:proofErr w:type="spellStart"/>
      <w:r w:rsidRPr="00A6130B">
        <w:rPr>
          <w:rFonts w:ascii="Calibri" w:hAnsi="Calibri"/>
          <w:color w:val="1F4E79"/>
        </w:rPr>
        <w:t>afrodescendientes</w:t>
      </w:r>
      <w:proofErr w:type="spellEnd"/>
      <w:r w:rsidRPr="00A6130B">
        <w:rPr>
          <w:rFonts w:ascii="Calibri" w:hAnsi="Calibri"/>
          <w:color w:val="1F4E79"/>
        </w:rPr>
        <w:t xml:space="preserve"> y las comunidades indígenas, especialmente con respecto al acceso a la educación, vivienda y empleo</w:t>
      </w:r>
      <w:bookmarkEnd w:id="100"/>
    </w:p>
    <w:p w:rsidR="00B07D84" w:rsidRPr="00A6130B" w:rsidRDefault="00B07D84"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9B7606"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b/>
          <w:color w:val="000000"/>
          <w:sz w:val="22"/>
          <w:szCs w:val="22"/>
          <w:lang w:val="es-ES"/>
        </w:rPr>
        <w:t>EDUCACIÓN:</w:t>
      </w:r>
      <w:r w:rsidRPr="00A6130B">
        <w:rPr>
          <w:rFonts w:ascii="Calibri" w:hAnsi="Calibri" w:cs="Arial"/>
          <w:color w:val="000000"/>
          <w:sz w:val="22"/>
          <w:szCs w:val="22"/>
          <w:lang w:val="es-ES"/>
        </w:rPr>
        <w:t xml:space="preserve">   Con el objetivo de actualizar los objetivos de la educación indígena se ha reformado recientemente el decreto  22072 MEP de 1993 que estableció el Subsistema de Educación Indígena, que persigue como objetivos de la educación indígena, procurar que se preserven los idiomas indígenas que aún existen, promoviendo el desarrollo y la práctica de los mismos, divulgar los derechos y obligaciones de los pueblos indígenas en los centros educativos y comunidades, articular los conocimientos universales, nacionales, regionales y locales en los planes y programas de estudio, el desarrollo del currículum contextualizado y la evaluación pertinente y contextualizada de los aprendizajes, promover el diálogo intercultural y las aptitudes que les ayuden a los estudiantes a participar plenamente y en pie de igualdad en la vida de su propia comunidad.</w:t>
      </w:r>
      <w:r w:rsidR="003F714C">
        <w:rPr>
          <w:rFonts w:ascii="Calibri" w:hAnsi="Calibri" w:cs="Arial"/>
          <w:color w:val="000000"/>
          <w:sz w:val="22"/>
          <w:szCs w:val="22"/>
          <w:lang w:val="es-ES"/>
        </w:rPr>
        <w:t xml:space="preserve"> </w:t>
      </w:r>
      <w:r w:rsidRPr="00A6130B">
        <w:rPr>
          <w:rFonts w:ascii="Calibri" w:hAnsi="Calibri" w:cs="Arial"/>
          <w:color w:val="000000"/>
          <w:sz w:val="22"/>
          <w:szCs w:val="22"/>
          <w:lang w:val="es-ES"/>
        </w:rPr>
        <w:t xml:space="preserve">Esta reforma pretende facilitar la tramitación de los recursos curriculares, pedagógicos y financieros para el buen cumplimiento del derecho a la educación de los indígenas.  </w:t>
      </w:r>
    </w:p>
    <w:p w:rsidR="003F714C" w:rsidRPr="003F714C" w:rsidRDefault="003F714C" w:rsidP="00A6130B">
      <w:pPr>
        <w:pStyle w:val="NormalWeb"/>
        <w:shd w:val="clear" w:color="auto" w:fill="FDFDFD"/>
        <w:spacing w:before="0" w:beforeAutospacing="0" w:after="0" w:afterAutospacing="0"/>
        <w:jc w:val="both"/>
        <w:rPr>
          <w:rFonts w:ascii="Calibri" w:hAnsi="Calibri" w:cs="Arial"/>
          <w:color w:val="000000"/>
          <w:sz w:val="22"/>
          <w:szCs w:val="22"/>
          <w:lang w:val="es-ES_tradnl"/>
        </w:rPr>
      </w:pPr>
    </w:p>
    <w:p w:rsidR="003F714C" w:rsidRPr="00A1400A" w:rsidRDefault="003F714C" w:rsidP="003F714C">
      <w:pPr>
        <w:jc w:val="both"/>
        <w:rPr>
          <w:lang w:val="es-ES_tradnl"/>
        </w:rPr>
      </w:pPr>
      <w:r w:rsidRPr="00A1400A">
        <w:rPr>
          <w:lang w:val="es-ES_tradnl"/>
        </w:rPr>
        <w:t>Consientes que la población indígena tiene menos años de educación formal que la no indígena, se estableció la Salvaguarda Indígena que tiene como propósito mejorar las condiciones de acceso y permanencia de estudiantes indígenas en la educación superior pública. El avance ha sido catalogado como satisfactorio según el V informe Estado de la Educación. Para el año 2016, en la Universidad de Costa Rica (la principal universidad pública del país) ingresaron 35 nuevos estudiantes indígenas frente a los 13 estudiantes del año anterior. En total, la Universidad de Costa Rica reporta 75 estudiantes indígenas matriculados. En el intento de abrir más oportunidades para estos jóvenes, la Universidad de Costa Rica comenzó en el 2014 un programa de tutorías para ayudarlos con el bachillerato.</w:t>
      </w:r>
      <w:r>
        <w:rPr>
          <w:lang w:val="es-ES_tradnl"/>
        </w:rPr>
        <w:t xml:space="preserve"> </w:t>
      </w:r>
      <w:r w:rsidRPr="00A1400A">
        <w:rPr>
          <w:lang w:val="es-ES_tradnl"/>
        </w:rPr>
        <w:t>Unos 40 universitarios viajan cada quince días hasta estas comunidades para aclarar dudas.</w:t>
      </w:r>
      <w:r>
        <w:rPr>
          <w:lang w:val="es-ES_tradnl"/>
        </w:rPr>
        <w:t xml:space="preserve"> </w:t>
      </w:r>
      <w:r w:rsidRPr="00A1400A">
        <w:rPr>
          <w:lang w:val="es-ES_tradnl"/>
        </w:rPr>
        <w:t>En los dos años que lleva el plan de tutorías, se ha trabajado con un número cercano a los 300 alumnos.</w:t>
      </w:r>
    </w:p>
    <w:p w:rsidR="003F714C" w:rsidRPr="007751FE" w:rsidRDefault="006557E7" w:rsidP="003F714C">
      <w:pPr>
        <w:jc w:val="both"/>
        <w:rPr>
          <w:lang w:val="es-ES_tradnl"/>
        </w:rPr>
      </w:pPr>
      <w:hyperlink r:id="rId14" w:tgtFrame="_blank" w:history="1">
        <w:r w:rsidR="003F714C" w:rsidRPr="00A1400A">
          <w:rPr>
            <w:lang w:val="es-ES_tradnl"/>
          </w:rPr>
          <w:t xml:space="preserve">La Universidad Nacional (UNA) registra para el 2016 80 jóvenes provenientes de colegios en territorios indígenas y el  </w:t>
        </w:r>
      </w:hyperlink>
      <w:r w:rsidR="003F714C" w:rsidRPr="00A1400A">
        <w:rPr>
          <w:lang w:val="es-ES_tradnl"/>
        </w:rPr>
        <w:t xml:space="preserve">Instituto Tecnológico de Costa Rica (ITCR), 10 alumnos en 2016. </w:t>
      </w:r>
    </w:p>
    <w:p w:rsidR="00704A87" w:rsidRPr="00A6130B" w:rsidRDefault="00704A87"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9B7606" w:rsidRPr="00A6130B" w:rsidRDefault="009B7606" w:rsidP="00A6130B">
      <w:pPr>
        <w:pStyle w:val="NormalWeb"/>
        <w:shd w:val="clear" w:color="auto" w:fill="FDFDFD"/>
        <w:spacing w:before="0" w:beforeAutospacing="0" w:after="0" w:afterAutospacing="0"/>
        <w:jc w:val="both"/>
        <w:rPr>
          <w:rFonts w:ascii="Calibri" w:hAnsi="Calibri" w:cs="Arial"/>
          <w:b/>
          <w:color w:val="000000"/>
          <w:sz w:val="22"/>
          <w:szCs w:val="22"/>
          <w:lang w:val="es-ES"/>
        </w:rPr>
      </w:pPr>
      <w:r w:rsidRPr="00A6130B">
        <w:rPr>
          <w:rFonts w:ascii="Calibri" w:hAnsi="Calibri" w:cs="Arial"/>
          <w:b/>
          <w:color w:val="000000"/>
          <w:sz w:val="22"/>
          <w:szCs w:val="22"/>
          <w:lang w:val="es-ES"/>
        </w:rPr>
        <w:t xml:space="preserve">VIVIENDA: </w:t>
      </w:r>
    </w:p>
    <w:p w:rsidR="00704A87" w:rsidRPr="00A6130B" w:rsidRDefault="00704A87"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La presente administración impulsa la actualización del programa de vivienda que  consiste en una metodología de diálogo y realimentación continua entre los actores del Sistema Financiero Nacional de la Vivienda (SFNV), las poblaciones indígenas, las empresas constructoras y el Ministerio de Vivienda y Asentamientos Humanos (MIVAH) como ente rector del Sistema. Este proceso continuo de discusión sobre problemáticas existentes y propuestas para mitigarlas, busca que a raíz de los problemas existentes en el Programa de Vivienda Indígena (PVI), se puedan construir propuestas que coadyuven a la mejora en la asignación y transparencia en la gestión de los recursos públicos en materia de vivienda en los territorios indígenas.</w:t>
      </w:r>
    </w:p>
    <w:p w:rsidR="00704A87" w:rsidRPr="00A6130B" w:rsidRDefault="00704A87"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Se han identificado cuatro ejes en los cuales se plantean los grandes retos:</w:t>
      </w:r>
    </w:p>
    <w:p w:rsidR="00704A87" w:rsidRPr="00A6130B" w:rsidRDefault="00704A87"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b/>
          <w:color w:val="000000"/>
          <w:sz w:val="22"/>
          <w:szCs w:val="22"/>
          <w:lang w:val="es-ES"/>
        </w:rPr>
        <w:t>Elementos administrativos</w:t>
      </w:r>
      <w:r w:rsidRPr="00A6130B">
        <w:rPr>
          <w:rFonts w:ascii="Calibri" w:hAnsi="Calibri" w:cs="Arial"/>
          <w:color w:val="000000"/>
          <w:sz w:val="22"/>
          <w:szCs w:val="22"/>
          <w:lang w:val="es-ES"/>
        </w:rPr>
        <w:t>: irregularidades en la gestión y trámite del Bono Familiar Vivienda (BFV).</w:t>
      </w:r>
    </w:p>
    <w:p w:rsidR="00704A87" w:rsidRPr="00A6130B" w:rsidRDefault="00704A87"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b/>
          <w:color w:val="000000"/>
          <w:sz w:val="22"/>
          <w:szCs w:val="22"/>
          <w:lang w:val="es-ES"/>
        </w:rPr>
        <w:t>Elementos sociales</w:t>
      </w:r>
      <w:r w:rsidRPr="00A6130B">
        <w:rPr>
          <w:rFonts w:ascii="Calibri" w:hAnsi="Calibri" w:cs="Arial"/>
          <w:color w:val="000000"/>
          <w:sz w:val="22"/>
          <w:szCs w:val="22"/>
          <w:lang w:val="es-ES"/>
        </w:rPr>
        <w:t>: carencia de criterios de asignación de recursos y selección de beneficiarios y ausencia de una adecuación cultural sobre las poblaciones indígenas.</w:t>
      </w:r>
    </w:p>
    <w:p w:rsidR="00704A87" w:rsidRPr="00A6130B" w:rsidRDefault="00704A87"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b/>
          <w:color w:val="000000"/>
          <w:sz w:val="22"/>
          <w:szCs w:val="22"/>
          <w:lang w:val="es-ES"/>
        </w:rPr>
        <w:t>Elementos de vivienda y proceso constructivo</w:t>
      </w:r>
      <w:r w:rsidRPr="00A6130B">
        <w:rPr>
          <w:rFonts w:ascii="Calibri" w:hAnsi="Calibri" w:cs="Arial"/>
          <w:color w:val="000000"/>
          <w:sz w:val="22"/>
          <w:szCs w:val="22"/>
          <w:lang w:val="es-ES"/>
        </w:rPr>
        <w:t>: ausencia de tipologías arquitectónicas de vivienda adecuadas a los rasgos culturales, territoriales y climáticos en los que viven las poblaciones indígenas.</w:t>
      </w:r>
    </w:p>
    <w:p w:rsidR="00704A87" w:rsidRPr="00A6130B" w:rsidRDefault="00704A87"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b/>
          <w:color w:val="000000"/>
          <w:sz w:val="22"/>
          <w:szCs w:val="22"/>
          <w:lang w:val="es-ES"/>
        </w:rPr>
        <w:t>Elementos de asentamiento humano</w:t>
      </w:r>
      <w:r w:rsidRPr="00A6130B">
        <w:rPr>
          <w:rFonts w:ascii="Calibri" w:hAnsi="Calibri" w:cs="Arial"/>
          <w:color w:val="000000"/>
          <w:sz w:val="22"/>
          <w:szCs w:val="22"/>
          <w:lang w:val="es-ES"/>
        </w:rPr>
        <w:t xml:space="preserve">: ausencia de identificación de necesidades prioritarias para la población general de un territorio y  carencia de patrones de desarrollo propios de los pueblos indígenas.  </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 </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El MIVAH ha planteado 4 propuestas de trabajo  </w:t>
      </w:r>
    </w:p>
    <w:p w:rsidR="00704A87" w:rsidRPr="00A6130B" w:rsidRDefault="00704A87"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1.- Se trata de un proceso de fiscalización que garantice, mientras tanto se actualiza el PVI, que el trámite del BFV en territorios indígenas se realizará de manera transparente y acorde a la normativa vigente.</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2.-  Desarrollar un plan piloto para aplicarse en el Territorio </w:t>
      </w:r>
      <w:proofErr w:type="spellStart"/>
      <w:r w:rsidRPr="00A6130B">
        <w:rPr>
          <w:rFonts w:ascii="Calibri" w:hAnsi="Calibri" w:cs="Arial"/>
          <w:color w:val="000000"/>
          <w:sz w:val="22"/>
          <w:szCs w:val="22"/>
          <w:lang w:val="es-ES"/>
        </w:rPr>
        <w:t>Talamanca</w:t>
      </w:r>
      <w:proofErr w:type="spellEnd"/>
      <w:r w:rsidRPr="00A6130B">
        <w:rPr>
          <w:rFonts w:ascii="Calibri" w:hAnsi="Calibri" w:cs="Arial"/>
          <w:color w:val="000000"/>
          <w:sz w:val="22"/>
          <w:szCs w:val="22"/>
          <w:lang w:val="es-ES"/>
        </w:rPr>
        <w:t xml:space="preserve"> </w:t>
      </w:r>
      <w:proofErr w:type="spellStart"/>
      <w:r w:rsidRPr="00A6130B">
        <w:rPr>
          <w:rFonts w:ascii="Calibri" w:hAnsi="Calibri" w:cs="Arial"/>
          <w:color w:val="000000"/>
          <w:sz w:val="22"/>
          <w:szCs w:val="22"/>
          <w:lang w:val="es-ES"/>
        </w:rPr>
        <w:t>Cabecar</w:t>
      </w:r>
      <w:proofErr w:type="spellEnd"/>
      <w:r w:rsidRPr="00A6130B">
        <w:rPr>
          <w:rFonts w:ascii="Calibri" w:hAnsi="Calibri" w:cs="Arial"/>
          <w:color w:val="000000"/>
          <w:sz w:val="22"/>
          <w:szCs w:val="22"/>
          <w:lang w:val="es-ES"/>
        </w:rPr>
        <w:t xml:space="preserve">, el cual busca en esencia demostrar las posibilidades de implementar viviendas acordes a los rasgos culturales, territoriales y climáticos de las poblaciones indígenas.  </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3.-  Abordar la viabilidad de ampliar el acceso a programas del Sistema para las poblaciones indígenas, en relación con acceso a créditos no hipotecarios, así como la aplicación del bono incluso  Colectivo como una satisfacción de necesidades de infraestructura y servicios complementarios en el territorio.</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4.- Mejoramiento integral del territorio, para lo cual debe discutirse con las poblaciones originarias de los 24 territorios indígenas, la pertinencia o no de generar patrones y lineamientos de desarrollo propio de las poblaciones originarias del país, que permitan desde su propia visión generar elementos de ordenamiento territorial que faciliten tanto al MIVAH como al grueso de la institucionalidad pública tener claro cuáles deben ser las obligaciones del Estado.</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  </w:t>
      </w:r>
    </w:p>
    <w:p w:rsidR="009B7606" w:rsidRPr="00A6130B" w:rsidRDefault="009B7606" w:rsidP="00A6130B">
      <w:pPr>
        <w:pStyle w:val="NormalWeb"/>
        <w:shd w:val="clear" w:color="auto" w:fill="FDFDFD"/>
        <w:spacing w:before="0" w:beforeAutospacing="0" w:after="0" w:afterAutospacing="0"/>
        <w:jc w:val="both"/>
        <w:rPr>
          <w:rFonts w:ascii="Calibri" w:hAnsi="Calibri" w:cs="Arial"/>
          <w:b/>
          <w:color w:val="000000"/>
          <w:sz w:val="22"/>
          <w:szCs w:val="22"/>
          <w:lang w:val="es-ES"/>
        </w:rPr>
      </w:pPr>
      <w:r w:rsidRPr="00A6130B">
        <w:rPr>
          <w:rFonts w:ascii="Calibri" w:hAnsi="Calibri" w:cs="Arial"/>
          <w:b/>
          <w:color w:val="000000"/>
          <w:sz w:val="22"/>
          <w:szCs w:val="22"/>
          <w:lang w:val="es-ES"/>
        </w:rPr>
        <w:t>EMPLEO</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Dentro del Plan Nacional de Desarrollo 2015-2018 Alberto Cañas Escalante, se ha incorporado dentro de la estrategia para el Sector Trabajo metas directamente relacionadas con el Programa Nacional de Empleo (PRONAE) y sus modalidades. El PRONAE se plantea atender a 15.954 personas mediante la lógica de transferencias condicionadas durante el período 2015, y con ello mejorar la </w:t>
      </w:r>
      <w:proofErr w:type="spellStart"/>
      <w:r w:rsidRPr="00A6130B">
        <w:rPr>
          <w:rFonts w:ascii="Calibri" w:hAnsi="Calibri" w:cs="Arial"/>
          <w:color w:val="000000"/>
          <w:sz w:val="22"/>
          <w:szCs w:val="22"/>
          <w:lang w:val="es-ES"/>
        </w:rPr>
        <w:t>empleabilidad</w:t>
      </w:r>
      <w:proofErr w:type="spellEnd"/>
      <w:r w:rsidRPr="00A6130B">
        <w:rPr>
          <w:rFonts w:ascii="Calibri" w:hAnsi="Calibri" w:cs="Arial"/>
          <w:color w:val="000000"/>
          <w:sz w:val="22"/>
          <w:szCs w:val="22"/>
          <w:lang w:val="es-ES"/>
        </w:rPr>
        <w:t xml:space="preserve"> de 8.336 personas jóvenes dentro del Programa EMPLEATE y promover la vinculación de actividades productivas de 7.618 en las modalidades de Capacitación, Ideas Productivas y Obra Comunal.</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lastRenderedPageBreak/>
        <w:t xml:space="preserve">El programa actualizó la cobertura geográfica para el año 2015 en la modalidad EMPLEATE;  se cubrieron 4 regiones con población indígena: </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 -834 Región </w:t>
      </w:r>
      <w:proofErr w:type="spellStart"/>
      <w:r w:rsidRPr="00A6130B">
        <w:rPr>
          <w:rFonts w:ascii="Calibri" w:hAnsi="Calibri" w:cs="Arial"/>
          <w:color w:val="000000"/>
          <w:sz w:val="22"/>
          <w:szCs w:val="22"/>
          <w:lang w:val="es-ES"/>
        </w:rPr>
        <w:t>Brunca</w:t>
      </w:r>
      <w:proofErr w:type="spellEnd"/>
      <w:r w:rsidRPr="00A6130B">
        <w:rPr>
          <w:rFonts w:ascii="Calibri" w:hAnsi="Calibri" w:cs="Arial"/>
          <w:color w:val="000000"/>
          <w:sz w:val="22"/>
          <w:szCs w:val="22"/>
          <w:lang w:val="es-ES"/>
        </w:rPr>
        <w:t xml:space="preserve"> </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-1.250 Región Chorotega </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-1.250 Región </w:t>
      </w:r>
      <w:proofErr w:type="spellStart"/>
      <w:r w:rsidRPr="00A6130B">
        <w:rPr>
          <w:rFonts w:ascii="Calibri" w:hAnsi="Calibri" w:cs="Arial"/>
          <w:color w:val="000000"/>
          <w:sz w:val="22"/>
          <w:szCs w:val="22"/>
          <w:lang w:val="es-ES"/>
        </w:rPr>
        <w:t>Huetar</w:t>
      </w:r>
      <w:proofErr w:type="spellEnd"/>
      <w:r w:rsidRPr="00A6130B">
        <w:rPr>
          <w:rFonts w:ascii="Calibri" w:hAnsi="Calibri" w:cs="Arial"/>
          <w:color w:val="000000"/>
          <w:sz w:val="22"/>
          <w:szCs w:val="22"/>
          <w:lang w:val="es-ES"/>
        </w:rPr>
        <w:t xml:space="preserve"> Atlántico </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-417 Región </w:t>
      </w:r>
      <w:proofErr w:type="spellStart"/>
      <w:r w:rsidRPr="00A6130B">
        <w:rPr>
          <w:rFonts w:ascii="Calibri" w:hAnsi="Calibri" w:cs="Arial"/>
          <w:color w:val="000000"/>
          <w:sz w:val="22"/>
          <w:szCs w:val="22"/>
          <w:lang w:val="es-ES"/>
        </w:rPr>
        <w:t>Huetar</w:t>
      </w:r>
      <w:proofErr w:type="spellEnd"/>
      <w:r w:rsidRPr="00A6130B">
        <w:rPr>
          <w:rFonts w:ascii="Calibri" w:hAnsi="Calibri" w:cs="Arial"/>
          <w:color w:val="000000"/>
          <w:sz w:val="22"/>
          <w:szCs w:val="22"/>
          <w:lang w:val="es-ES"/>
        </w:rPr>
        <w:t xml:space="preserve"> Norte </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En cuanto a las modalidades de Obra Comunal, Ideas Productiva y Capacitación, se cubrieron las mismas 4 regiones, a saber:</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 </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-1.277 Región Chorotega </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-1.255 Región </w:t>
      </w:r>
      <w:proofErr w:type="spellStart"/>
      <w:r w:rsidRPr="00A6130B">
        <w:rPr>
          <w:rFonts w:ascii="Calibri" w:hAnsi="Calibri" w:cs="Arial"/>
          <w:color w:val="000000"/>
          <w:sz w:val="22"/>
          <w:szCs w:val="22"/>
          <w:lang w:val="es-ES"/>
        </w:rPr>
        <w:t>Brunca</w:t>
      </w:r>
      <w:proofErr w:type="spellEnd"/>
      <w:r w:rsidRPr="00A6130B">
        <w:rPr>
          <w:rFonts w:ascii="Calibri" w:hAnsi="Calibri" w:cs="Arial"/>
          <w:color w:val="000000"/>
          <w:sz w:val="22"/>
          <w:szCs w:val="22"/>
          <w:lang w:val="es-ES"/>
        </w:rPr>
        <w:t xml:space="preserve"> </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-1.255 Región </w:t>
      </w:r>
      <w:proofErr w:type="spellStart"/>
      <w:r w:rsidRPr="00A6130B">
        <w:rPr>
          <w:rFonts w:ascii="Calibri" w:hAnsi="Calibri" w:cs="Arial"/>
          <w:color w:val="000000"/>
          <w:sz w:val="22"/>
          <w:szCs w:val="22"/>
          <w:lang w:val="es-ES"/>
        </w:rPr>
        <w:t>Huetar</w:t>
      </w:r>
      <w:proofErr w:type="spellEnd"/>
      <w:r w:rsidRPr="00A6130B">
        <w:rPr>
          <w:rFonts w:ascii="Calibri" w:hAnsi="Calibri" w:cs="Arial"/>
          <w:color w:val="000000"/>
          <w:sz w:val="22"/>
          <w:szCs w:val="22"/>
          <w:lang w:val="es-ES"/>
        </w:rPr>
        <w:t xml:space="preserve"> Caribe </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-1.277 Región </w:t>
      </w:r>
      <w:proofErr w:type="spellStart"/>
      <w:r w:rsidRPr="00A6130B">
        <w:rPr>
          <w:rFonts w:ascii="Calibri" w:hAnsi="Calibri" w:cs="Arial"/>
          <w:color w:val="000000"/>
          <w:sz w:val="22"/>
          <w:szCs w:val="22"/>
          <w:lang w:val="es-ES"/>
        </w:rPr>
        <w:t>Huetar</w:t>
      </w:r>
      <w:proofErr w:type="spellEnd"/>
      <w:r w:rsidRPr="00A6130B">
        <w:rPr>
          <w:rFonts w:ascii="Calibri" w:hAnsi="Calibri" w:cs="Arial"/>
          <w:color w:val="000000"/>
          <w:sz w:val="22"/>
          <w:szCs w:val="22"/>
          <w:lang w:val="es-ES"/>
        </w:rPr>
        <w:t xml:space="preserve"> Norte</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 </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Para la modalidad de capacitación EMPLEATE, la población meta son jóvenes ubicados en el rango de edad entre los 17 y los 24 años, en condición de pobreza o pobreza extrema provenientes de las comunidades en situación de vulnerabilidad que no estudian ni trabajan. Para la modalidad de personas indígenas, la población meta son mayores de 18 años, en condición de pobreza o pobreza extrema, provenientes de las zonas indígenas, afectadas por el fenómeno del desempleo y/o subempleo.   El programa conlleva un auxilio económico temporal para personas indígenas en proyectos de construcción de infraestructura de interés comunal, de 18 años en adelante. El monto del auxilio es de ¢185.000,00 por mes, con una duración promedio de 3 meses, los cuales pueden ser prorrogados, dependiendo de la complejidad del proyecto. El monto puede ser menor y proporcional al aporte de horas que realice la persona en la construcción de la obra. El monto presupuestado es por ¢1.217.115.000,00. </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9B7606" w:rsidRPr="00A6130B" w:rsidRDefault="009B7606" w:rsidP="00A6130B">
      <w:pPr>
        <w:pStyle w:val="NormalWeb"/>
        <w:shd w:val="clear" w:color="auto" w:fill="FDFDFD"/>
        <w:spacing w:before="0" w:beforeAutospacing="0" w:after="0" w:afterAutospacing="0"/>
        <w:jc w:val="both"/>
        <w:rPr>
          <w:rFonts w:ascii="Calibri" w:hAnsi="Calibri" w:cs="Arial"/>
          <w:b/>
          <w:color w:val="000000"/>
          <w:sz w:val="22"/>
          <w:szCs w:val="22"/>
          <w:lang w:val="es-ES"/>
        </w:rPr>
      </w:pPr>
      <w:r w:rsidRPr="00A6130B">
        <w:rPr>
          <w:rFonts w:ascii="Calibri" w:hAnsi="Calibri" w:cs="Arial"/>
          <w:color w:val="000000"/>
          <w:sz w:val="22"/>
          <w:szCs w:val="22"/>
          <w:lang w:val="es-ES"/>
        </w:rPr>
        <w:t xml:space="preserve"> </w:t>
      </w:r>
      <w:r w:rsidRPr="00A6130B">
        <w:rPr>
          <w:rFonts w:ascii="Calibri" w:hAnsi="Calibri" w:cs="Arial"/>
          <w:b/>
          <w:color w:val="000000"/>
          <w:sz w:val="22"/>
          <w:szCs w:val="22"/>
          <w:lang w:val="es-ES"/>
        </w:rPr>
        <w:t>SALUD:</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Para la población indígena</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En 2014 se actualizó el  Plan Nacional de Salud de los Pueblos Indígenas (PNSPI), cuya propuesta previa era del año 2006.</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Los niveles locales de las diferentes instituciones del Sector, como equipos de trabajo </w:t>
      </w:r>
      <w:proofErr w:type="spellStart"/>
      <w:r w:rsidRPr="00A6130B">
        <w:rPr>
          <w:rFonts w:ascii="Calibri" w:hAnsi="Calibri" w:cs="Arial"/>
          <w:color w:val="000000"/>
          <w:sz w:val="22"/>
          <w:szCs w:val="22"/>
          <w:lang w:val="es-ES"/>
        </w:rPr>
        <w:t>interinsitucionales</w:t>
      </w:r>
      <w:proofErr w:type="spellEnd"/>
      <w:r w:rsidRPr="00A6130B">
        <w:rPr>
          <w:rFonts w:ascii="Calibri" w:hAnsi="Calibri" w:cs="Arial"/>
          <w:color w:val="000000"/>
          <w:sz w:val="22"/>
          <w:szCs w:val="22"/>
          <w:lang w:val="es-ES"/>
        </w:rPr>
        <w:t xml:space="preserve">, deberán realizar este proceso de investigación en mujeres, adolescentes, ancianos, padres de familia de las escuelas y con grupo organizados de cada territorio indígena, de manera que el resultado final recupere la problemática y propuestas de diferentes subgrupos poblacionales. </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Este proceso descrito conlleva una etapa de capacitación de cuadros (en trabajo comunitario e investigación participativa) y una etapa de trabajo de campo. Actualmente contamos con recursos económicos para trabajar en las Regiones </w:t>
      </w:r>
      <w:proofErr w:type="spellStart"/>
      <w:r w:rsidRPr="00A6130B">
        <w:rPr>
          <w:rFonts w:ascii="Calibri" w:hAnsi="Calibri" w:cs="Arial"/>
          <w:color w:val="000000"/>
          <w:sz w:val="22"/>
          <w:szCs w:val="22"/>
          <w:lang w:val="es-ES"/>
        </w:rPr>
        <w:t>Brunca</w:t>
      </w:r>
      <w:proofErr w:type="spellEnd"/>
      <w:r w:rsidRPr="00A6130B">
        <w:rPr>
          <w:rFonts w:ascii="Calibri" w:hAnsi="Calibri" w:cs="Arial"/>
          <w:color w:val="000000"/>
          <w:sz w:val="22"/>
          <w:szCs w:val="22"/>
          <w:lang w:val="es-ES"/>
        </w:rPr>
        <w:t xml:space="preserve">, </w:t>
      </w:r>
      <w:proofErr w:type="spellStart"/>
      <w:r w:rsidRPr="00A6130B">
        <w:rPr>
          <w:rFonts w:ascii="Calibri" w:hAnsi="Calibri" w:cs="Arial"/>
          <w:color w:val="000000"/>
          <w:sz w:val="22"/>
          <w:szCs w:val="22"/>
          <w:lang w:val="es-ES"/>
        </w:rPr>
        <w:t>Huetar</w:t>
      </w:r>
      <w:proofErr w:type="spellEnd"/>
      <w:r w:rsidRPr="00A6130B">
        <w:rPr>
          <w:rFonts w:ascii="Calibri" w:hAnsi="Calibri" w:cs="Arial"/>
          <w:color w:val="000000"/>
          <w:sz w:val="22"/>
          <w:szCs w:val="22"/>
          <w:lang w:val="es-ES"/>
        </w:rPr>
        <w:t xml:space="preserve"> Caribe y en la Zona de Los Santos, con recursos del Programa Conjunto de Seguridad Humana, que está dirigido a la población </w:t>
      </w:r>
      <w:proofErr w:type="spellStart"/>
      <w:r w:rsidRPr="00A6130B">
        <w:rPr>
          <w:rFonts w:ascii="Calibri" w:hAnsi="Calibri" w:cs="Arial"/>
          <w:color w:val="000000"/>
          <w:sz w:val="22"/>
          <w:szCs w:val="22"/>
          <w:lang w:val="es-ES"/>
        </w:rPr>
        <w:t>ngäbe</w:t>
      </w:r>
      <w:proofErr w:type="spellEnd"/>
      <w:r w:rsidRPr="00A6130B">
        <w:rPr>
          <w:rFonts w:ascii="Calibri" w:hAnsi="Calibri" w:cs="Arial"/>
          <w:color w:val="000000"/>
          <w:sz w:val="22"/>
          <w:szCs w:val="22"/>
          <w:lang w:val="es-ES"/>
        </w:rPr>
        <w:t xml:space="preserve"> y </w:t>
      </w:r>
      <w:proofErr w:type="spellStart"/>
      <w:r w:rsidRPr="00A6130B">
        <w:rPr>
          <w:rFonts w:ascii="Calibri" w:hAnsi="Calibri" w:cs="Arial"/>
          <w:color w:val="000000"/>
          <w:sz w:val="22"/>
          <w:szCs w:val="22"/>
          <w:lang w:val="es-ES"/>
        </w:rPr>
        <w:t>buglé</w:t>
      </w:r>
      <w:proofErr w:type="spellEnd"/>
      <w:r w:rsidRPr="00A6130B">
        <w:rPr>
          <w:rFonts w:ascii="Calibri" w:hAnsi="Calibri" w:cs="Arial"/>
          <w:color w:val="000000"/>
          <w:sz w:val="22"/>
          <w:szCs w:val="22"/>
          <w:lang w:val="es-ES"/>
        </w:rPr>
        <w:t xml:space="preserve"> migrantes que precisamente se asientan esas zonas. El resto de regiones programáticas con poblaciones indígenas (Chorotega, </w:t>
      </w:r>
      <w:proofErr w:type="spellStart"/>
      <w:r w:rsidRPr="00A6130B">
        <w:rPr>
          <w:rFonts w:ascii="Calibri" w:hAnsi="Calibri" w:cs="Arial"/>
          <w:color w:val="000000"/>
          <w:sz w:val="22"/>
          <w:szCs w:val="22"/>
          <w:lang w:val="es-ES"/>
        </w:rPr>
        <w:t>Huetar</w:t>
      </w:r>
      <w:proofErr w:type="spellEnd"/>
      <w:r w:rsidRPr="00A6130B">
        <w:rPr>
          <w:rFonts w:ascii="Calibri" w:hAnsi="Calibri" w:cs="Arial"/>
          <w:color w:val="000000"/>
          <w:sz w:val="22"/>
          <w:szCs w:val="22"/>
          <w:lang w:val="es-ES"/>
        </w:rPr>
        <w:t xml:space="preserve"> Norte, Central Sur y Central Este) se capacitarán con recursos propios del Ministerio de Salud y con la facilitación de la Universidad de Costa Rica.  </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lastRenderedPageBreak/>
        <w:t xml:space="preserve">Las primeras 3 Regiones indicadas recibirán la capacitación y ejecutarán el trabajo de campo entre marzo y junio del 2016. Se espera que las otras 4 Regiones se sumen a partir de mayo de 2016. </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Esta fase de recuperación de la visión indígena sobre salud, enfermedad y sus determinantes, es la primera de otras fases más “típicas” del proceso de elaboración de un Plan Nacional en Salud, a saber: a) recuperación y sistematización de información bibliográfica sobre salud y sus determinantes. B) Diseño de plantillas de trabajo para la identificación de problemas y sus potenciales soluciones. C) Convocatoria de actores sociales para la discusión y completado de plantillas. D) elaboración de productos finales (estrategias).  </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Toda esta experiencia estará finalizada durante el primer semestre del año 2017.</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En el caso de las poblaciones indígenas de zonas geográficas de difícil acceso (sin vías de comunicación terrestres, o bien únicamente de trochas y en paupérrimas condiciones), aun hay algunas limitaciones para el registro de nacimientos, o bien, en poblaciones indígenas migrantes se presenta la limitación de no contarse con identificación de las mismas (en caso de atravesar frontera de forma irregular).  Otro fenómeno que conlleva retos es la limitación sabida de la no reconocida relación laboral por parte del patrono para con estas personas, que dificulta el proceso de aseguramiento. </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Con el fin de fortalecer y mejorar el acceso a los servicios de salud para estas personas Indígenas, se logró la conformación de un Equipo </w:t>
      </w:r>
      <w:proofErr w:type="spellStart"/>
      <w:r w:rsidRPr="00A6130B">
        <w:rPr>
          <w:rFonts w:ascii="Calibri" w:hAnsi="Calibri" w:cs="Arial"/>
          <w:color w:val="000000"/>
          <w:sz w:val="22"/>
          <w:szCs w:val="22"/>
          <w:lang w:val="es-ES"/>
        </w:rPr>
        <w:t>Intergerencial</w:t>
      </w:r>
      <w:proofErr w:type="spellEnd"/>
      <w:r w:rsidRPr="00A6130B">
        <w:rPr>
          <w:rFonts w:ascii="Calibri" w:hAnsi="Calibri" w:cs="Arial"/>
          <w:color w:val="000000"/>
          <w:sz w:val="22"/>
          <w:szCs w:val="22"/>
          <w:lang w:val="es-ES"/>
        </w:rPr>
        <w:t xml:space="preserve"> que se encuentra revisando y ajustando trámites relacionados con el Aseguramiento por parte del Estado. </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En relación con los indígenas y </w:t>
      </w:r>
      <w:proofErr w:type="spellStart"/>
      <w:r w:rsidRPr="00A6130B">
        <w:rPr>
          <w:rFonts w:ascii="Calibri" w:hAnsi="Calibri" w:cs="Arial"/>
          <w:color w:val="000000"/>
          <w:sz w:val="22"/>
          <w:szCs w:val="22"/>
          <w:lang w:val="es-ES"/>
        </w:rPr>
        <w:t>afrocostarricenses</w:t>
      </w:r>
      <w:proofErr w:type="spellEnd"/>
      <w:r w:rsidRPr="00A6130B">
        <w:rPr>
          <w:rFonts w:ascii="Calibri" w:hAnsi="Calibri" w:cs="Arial"/>
          <w:color w:val="000000"/>
          <w:sz w:val="22"/>
          <w:szCs w:val="22"/>
          <w:lang w:val="es-ES"/>
        </w:rPr>
        <w:t xml:space="preserve"> adultos mayores, el Consejo Nacional de la Persona Adulta Mayor (CONAPAM) ha fortalecido con la participación de estas personas  para que participen del proceso de  elaboración, formulación y aplicación de las políticas públicas que las afectan.  </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9B7606" w:rsidRPr="00A6130B" w:rsidRDefault="009B7606" w:rsidP="00A6130B">
      <w:pPr>
        <w:pStyle w:val="NormalWeb"/>
        <w:shd w:val="clear" w:color="auto" w:fill="FDFDFD"/>
        <w:spacing w:before="0" w:beforeAutospacing="0" w:after="0" w:afterAutospacing="0"/>
        <w:jc w:val="both"/>
        <w:rPr>
          <w:rFonts w:ascii="Calibri" w:hAnsi="Calibri" w:cs="Arial"/>
          <w:b/>
          <w:color w:val="000000"/>
          <w:sz w:val="22"/>
          <w:szCs w:val="22"/>
          <w:lang w:val="es-ES"/>
        </w:rPr>
      </w:pPr>
      <w:r w:rsidRPr="00A6130B">
        <w:rPr>
          <w:rFonts w:ascii="Calibri" w:hAnsi="Calibri" w:cs="Arial"/>
          <w:b/>
          <w:color w:val="000000"/>
          <w:sz w:val="22"/>
          <w:szCs w:val="22"/>
          <w:lang w:val="es-ES"/>
        </w:rPr>
        <w:t xml:space="preserve">Para la población </w:t>
      </w:r>
      <w:proofErr w:type="spellStart"/>
      <w:r w:rsidRPr="00A6130B">
        <w:rPr>
          <w:rFonts w:ascii="Calibri" w:hAnsi="Calibri" w:cs="Arial"/>
          <w:b/>
          <w:color w:val="000000"/>
          <w:sz w:val="22"/>
          <w:szCs w:val="22"/>
          <w:lang w:val="es-ES"/>
        </w:rPr>
        <w:t>Afrodescendiente</w:t>
      </w:r>
      <w:proofErr w:type="spellEnd"/>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En el marco  del Plan Nacional de Salud de </w:t>
      </w:r>
      <w:proofErr w:type="spellStart"/>
      <w:r w:rsidRPr="00A6130B">
        <w:rPr>
          <w:rFonts w:ascii="Calibri" w:hAnsi="Calibri" w:cs="Arial"/>
          <w:color w:val="000000"/>
          <w:sz w:val="22"/>
          <w:szCs w:val="22"/>
          <w:lang w:val="es-ES"/>
        </w:rPr>
        <w:t>Afrodescendientes</w:t>
      </w:r>
      <w:proofErr w:type="spellEnd"/>
      <w:r w:rsidRPr="00A6130B">
        <w:rPr>
          <w:rFonts w:ascii="Calibri" w:hAnsi="Calibri" w:cs="Arial"/>
          <w:color w:val="000000"/>
          <w:sz w:val="22"/>
          <w:szCs w:val="22"/>
          <w:lang w:val="es-ES"/>
        </w:rPr>
        <w:t xml:space="preserve"> (DM-7219-2015) del pasado agosto, se ha procedido a realizar varias reuniones de trabajo para elaborar un esbozo metodológico que en esencia sería el mismo que se aplicaría para la población indígena, para garantizar la participación de las comunidades </w:t>
      </w:r>
      <w:proofErr w:type="spellStart"/>
      <w:r w:rsidRPr="00A6130B">
        <w:rPr>
          <w:rFonts w:ascii="Calibri" w:hAnsi="Calibri" w:cs="Arial"/>
          <w:color w:val="000000"/>
          <w:sz w:val="22"/>
          <w:szCs w:val="22"/>
          <w:lang w:val="es-ES"/>
        </w:rPr>
        <w:t>afrodescendientes</w:t>
      </w:r>
      <w:proofErr w:type="spellEnd"/>
      <w:r w:rsidRPr="00A6130B">
        <w:rPr>
          <w:rFonts w:ascii="Calibri" w:hAnsi="Calibri" w:cs="Arial"/>
          <w:color w:val="000000"/>
          <w:sz w:val="22"/>
          <w:szCs w:val="22"/>
          <w:lang w:val="es-ES"/>
        </w:rPr>
        <w:t xml:space="preserve"> en la definición de problemas y propuestas de solución. En los próximos meses se conformará  una Comisión Nacional para la búsqueda y sistematización de información estadística y clínica vinculada con la población </w:t>
      </w:r>
      <w:proofErr w:type="spellStart"/>
      <w:r w:rsidRPr="00A6130B">
        <w:rPr>
          <w:rFonts w:ascii="Calibri" w:hAnsi="Calibri" w:cs="Arial"/>
          <w:color w:val="000000"/>
          <w:sz w:val="22"/>
          <w:szCs w:val="22"/>
          <w:lang w:val="es-ES"/>
        </w:rPr>
        <w:t>afrodescendiente</w:t>
      </w:r>
      <w:proofErr w:type="spellEnd"/>
      <w:r w:rsidRPr="00A6130B">
        <w:rPr>
          <w:rFonts w:ascii="Calibri" w:hAnsi="Calibri" w:cs="Arial"/>
          <w:color w:val="000000"/>
          <w:sz w:val="22"/>
          <w:szCs w:val="22"/>
          <w:lang w:val="es-ES"/>
        </w:rPr>
        <w:t xml:space="preserve">.  . </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Ambos procesos se enmarcan en el contexto de la Política Nacional para una Sociedad Libre de Racismo, Discriminación Racial y Xenofobia (2015-2018), principalmente en el Eje IV.- Derecho a la Salud y Seguridad Social, en tanto el abordaje para la elaboración de ambos Planes (el de </w:t>
      </w:r>
      <w:proofErr w:type="spellStart"/>
      <w:r w:rsidRPr="00A6130B">
        <w:rPr>
          <w:rFonts w:ascii="Calibri" w:hAnsi="Calibri" w:cs="Arial"/>
          <w:color w:val="000000"/>
          <w:sz w:val="22"/>
          <w:szCs w:val="22"/>
          <w:lang w:val="es-ES"/>
        </w:rPr>
        <w:t>Afrodescendientes</w:t>
      </w:r>
      <w:proofErr w:type="spellEnd"/>
      <w:r w:rsidRPr="00A6130B">
        <w:rPr>
          <w:rFonts w:ascii="Calibri" w:hAnsi="Calibri" w:cs="Arial"/>
          <w:color w:val="000000"/>
          <w:sz w:val="22"/>
          <w:szCs w:val="22"/>
          <w:lang w:val="es-ES"/>
        </w:rPr>
        <w:t xml:space="preserve"> y el de Indígenas) es sobre los determinantes sociales de la Salud del Eje I.- Fortalecimiento Institucional orientado a promover la capacitación  a los Equipos de trabajo en el nivel local. </w:t>
      </w: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En temas de lucha contra la pobreza, el IMAS lleva a cabo una serie de programas  como el  Programa Conjunto para mejorar la Seguridad Humana de Migrantes Temporales </w:t>
      </w:r>
      <w:proofErr w:type="spellStart"/>
      <w:r w:rsidRPr="00A6130B">
        <w:rPr>
          <w:rFonts w:ascii="Calibri" w:hAnsi="Calibri" w:cs="Arial"/>
          <w:color w:val="000000"/>
          <w:sz w:val="22"/>
          <w:szCs w:val="22"/>
          <w:lang w:val="es-ES"/>
        </w:rPr>
        <w:t>Ngäbe</w:t>
      </w:r>
      <w:proofErr w:type="spellEnd"/>
      <w:r w:rsidRPr="00A6130B">
        <w:rPr>
          <w:rFonts w:ascii="Calibri" w:hAnsi="Calibri" w:cs="Arial"/>
          <w:color w:val="000000"/>
          <w:sz w:val="22"/>
          <w:szCs w:val="22"/>
          <w:lang w:val="es-ES"/>
        </w:rPr>
        <w:t xml:space="preserve"> y </w:t>
      </w:r>
      <w:proofErr w:type="spellStart"/>
      <w:r w:rsidRPr="00A6130B">
        <w:rPr>
          <w:rFonts w:ascii="Calibri" w:hAnsi="Calibri" w:cs="Arial"/>
          <w:color w:val="000000"/>
          <w:sz w:val="22"/>
          <w:szCs w:val="22"/>
          <w:lang w:val="es-ES"/>
        </w:rPr>
        <w:t>Buglé</w:t>
      </w:r>
      <w:proofErr w:type="spellEnd"/>
      <w:r w:rsidRPr="00A6130B">
        <w:rPr>
          <w:rFonts w:ascii="Calibri" w:hAnsi="Calibri" w:cs="Arial"/>
          <w:color w:val="000000"/>
          <w:sz w:val="22"/>
          <w:szCs w:val="22"/>
          <w:lang w:val="es-ES"/>
        </w:rPr>
        <w:t xml:space="preserve"> en Costa Rica y Panamá, específicamente en lo relacionado con los Derechos de protección y cuido de niños y niñas. Específicamente se incorpora en las Alternativas de Cuido y Desarrollo Infantil, la atención de niños y niñas quienes acompañan a sus madres y padres trabajadores migrantes en las fincas cafetaleras. La atención se brinda mediante Casas de la Alegría. </w:t>
      </w:r>
    </w:p>
    <w:p w:rsidR="00704A87" w:rsidRPr="00A6130B" w:rsidRDefault="00704A87"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9B7606" w:rsidRPr="00A6130B" w:rsidRDefault="009B7606"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Las personas indígenas cuentan con un código de identificación especial dentro de los sistemas de atención de beneficios del IMAS, que permite determinar que durante el 2015 se atendieron 3.490 familias beneficiadas con una inversión aproximada de ¢1.944.038.342, siendo el ARDS </w:t>
      </w:r>
      <w:proofErr w:type="spellStart"/>
      <w:r w:rsidRPr="00A6130B">
        <w:rPr>
          <w:rFonts w:ascii="Calibri" w:hAnsi="Calibri" w:cs="Arial"/>
          <w:color w:val="000000"/>
          <w:sz w:val="22"/>
          <w:szCs w:val="22"/>
          <w:lang w:val="es-ES"/>
        </w:rPr>
        <w:t>Huetar</w:t>
      </w:r>
      <w:proofErr w:type="spellEnd"/>
      <w:r w:rsidRPr="00A6130B">
        <w:rPr>
          <w:rFonts w:ascii="Calibri" w:hAnsi="Calibri" w:cs="Arial"/>
          <w:color w:val="000000"/>
          <w:sz w:val="22"/>
          <w:szCs w:val="22"/>
          <w:lang w:val="es-ES"/>
        </w:rPr>
        <w:t xml:space="preserve"> Atlántica, el área regional que registra el mayor número de familias beneficiadas con 1.462 y la mayor inversión presupuestaria (¢763.368.045), seguida del el ARDS </w:t>
      </w:r>
      <w:proofErr w:type="spellStart"/>
      <w:r w:rsidRPr="00A6130B">
        <w:rPr>
          <w:rFonts w:ascii="Calibri" w:hAnsi="Calibri" w:cs="Arial"/>
          <w:color w:val="000000"/>
          <w:sz w:val="22"/>
          <w:szCs w:val="22"/>
          <w:lang w:val="es-ES"/>
        </w:rPr>
        <w:t>Brunca</w:t>
      </w:r>
      <w:proofErr w:type="spellEnd"/>
      <w:r w:rsidRPr="00A6130B">
        <w:rPr>
          <w:rFonts w:ascii="Calibri" w:hAnsi="Calibri" w:cs="Arial"/>
          <w:color w:val="000000"/>
          <w:sz w:val="22"/>
          <w:szCs w:val="22"/>
          <w:lang w:val="es-ES"/>
        </w:rPr>
        <w:t xml:space="preserve"> con 1.013 familias y una inversión de ¢631.624.186 y por último el ARDS Cartago con 753 familias y una inversión de ¢391.514.820. </w:t>
      </w:r>
    </w:p>
    <w:p w:rsidR="00B07D84" w:rsidRPr="00A6130B" w:rsidRDefault="00B07D84" w:rsidP="00967059">
      <w:pPr>
        <w:pStyle w:val="Heading3"/>
        <w:numPr>
          <w:ilvl w:val="0"/>
          <w:numId w:val="26"/>
        </w:numPr>
        <w:spacing w:line="240" w:lineRule="auto"/>
        <w:rPr>
          <w:rFonts w:ascii="Calibri" w:hAnsi="Calibri"/>
          <w:color w:val="1F4E79"/>
        </w:rPr>
      </w:pPr>
      <w:bookmarkStart w:id="101" w:name="_Toc446126696"/>
      <w:r w:rsidRPr="00A6130B">
        <w:rPr>
          <w:rFonts w:ascii="Calibri" w:hAnsi="Calibri"/>
          <w:color w:val="1F4E79"/>
        </w:rPr>
        <w:t>Comentar información según la cual los territorios indígenas, otorgados por vía de derechos ejecutivos desde 1956, se encuentran habitados mayoritariamente por personas no indígenas.</w:t>
      </w:r>
      <w:bookmarkEnd w:id="101"/>
    </w:p>
    <w:p w:rsidR="00B07D84" w:rsidRPr="00A6130B" w:rsidRDefault="00B07D84" w:rsidP="00A6130B">
      <w:pPr>
        <w:pStyle w:val="NormalWeb"/>
        <w:shd w:val="clear" w:color="auto" w:fill="FDFDFD"/>
        <w:spacing w:before="0" w:beforeAutospacing="0" w:after="0" w:afterAutospacing="0"/>
        <w:jc w:val="both"/>
        <w:rPr>
          <w:rFonts w:ascii="Calibri" w:hAnsi="Calibri"/>
        </w:rPr>
      </w:pPr>
    </w:p>
    <w:p w:rsidR="00357BA8" w:rsidRPr="008D37CE" w:rsidRDefault="008D37CE" w:rsidP="008D37CE">
      <w:pPr>
        <w:pStyle w:val="Heading3"/>
        <w:rPr>
          <w:color w:val="1F4E79"/>
        </w:rPr>
      </w:pPr>
      <w:bookmarkStart w:id="102" w:name="_Toc446126697"/>
      <w:r>
        <w:rPr>
          <w:color w:val="1F4E79"/>
        </w:rPr>
        <w:t>SITUACIÓN DE TERRITORIOS HABITADOS POR NO INDÍGENAS</w:t>
      </w:r>
      <w:bookmarkEnd w:id="102"/>
    </w:p>
    <w:p w:rsidR="00357BA8" w:rsidRPr="00A6130B" w:rsidRDefault="00357BA8"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Al momento de la creación de los territorios en Costa Rica, muchas personas no indígenas tenían derechos reales sobre algunas tierras. Otras se apropiaron de ellas después de entrada en vigencia la Ley Indígena, n.° 6172, que estipuló que estas tierras son inalienables e imprescriptibles, no transferibles y exclusivas para las comunidades indígenas que las habitan. El Estado nunca ha llevado a cabo los procesos de reubicación, indemnización y desalojo. </w:t>
      </w:r>
    </w:p>
    <w:p w:rsidR="00357BA8" w:rsidRPr="00A6130B" w:rsidRDefault="00357BA8"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Atendiendo a este gran vacío, en la actualidad el Gobierno de la República se encuentra en la fase de construcción de un “Manual  para el traspaso o reubicación de tierras  en territorios indígenas al amparo de los artículos 3, 5, 8 y 9 de la Ley Indígena. Esta acción, constituye el primer esfuerzo ordenado y sistemático del Estado para devolver las tierras, territorios y recursos a los pueblos indígenas. El pasado viernes 26 de febrero, el Instituto de Desarrollo Rural presentó el “Plan Nacional de Recuperación de Territorios Indígenas” que tiene como objetivo general regularizar los territorios indígenas y conocer la situación en la que se encuentran, para tomar las medidas legales correspondientes, según cada caso. </w:t>
      </w:r>
    </w:p>
    <w:p w:rsidR="00357BA8" w:rsidRPr="00A6130B" w:rsidRDefault="00357BA8"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B17D36" w:rsidRPr="00A6130B" w:rsidRDefault="00B17D36" w:rsidP="00A6130B">
      <w:pPr>
        <w:pStyle w:val="NormalWeb"/>
        <w:shd w:val="clear" w:color="auto" w:fill="FDFDFD"/>
        <w:spacing w:before="0" w:beforeAutospacing="0" w:after="0" w:afterAutospacing="0"/>
        <w:jc w:val="both"/>
        <w:rPr>
          <w:rFonts w:ascii="Calibri" w:hAnsi="Calibri" w:cs="Arial"/>
          <w:color w:val="000000"/>
          <w:sz w:val="22"/>
          <w:szCs w:val="22"/>
        </w:rPr>
      </w:pPr>
      <w:r w:rsidRPr="00A6130B">
        <w:rPr>
          <w:rFonts w:ascii="Calibri" w:hAnsi="Calibri" w:cs="Arial"/>
          <w:color w:val="000000"/>
          <w:sz w:val="22"/>
          <w:szCs w:val="22"/>
          <w:lang w:val="es-ES"/>
        </w:rPr>
        <w:t>En particular, se han atendido los conflictos relacionados con la seguridad de sus habitantes y la tenencia de las tierras.</w:t>
      </w:r>
      <w:r w:rsidRPr="00A6130B">
        <w:rPr>
          <w:rStyle w:val="apple-converted-space"/>
          <w:rFonts w:ascii="Calibri" w:hAnsi="Calibri" w:cs="Arial"/>
          <w:color w:val="000000"/>
          <w:sz w:val="22"/>
          <w:szCs w:val="22"/>
          <w:lang w:val="es-ES"/>
        </w:rPr>
        <w:t> </w:t>
      </w:r>
      <w:r w:rsidRPr="00A6130B">
        <w:rPr>
          <w:rFonts w:ascii="Calibri" w:hAnsi="Calibri" w:cs="Arial"/>
          <w:color w:val="000000"/>
          <w:sz w:val="22"/>
          <w:szCs w:val="22"/>
          <w:lang w:val="es-ES"/>
        </w:rPr>
        <w:t>Cabe mencionar que al</w:t>
      </w:r>
      <w:r w:rsidRPr="00A6130B">
        <w:rPr>
          <w:rStyle w:val="apple-converted-space"/>
          <w:rFonts w:ascii="Calibri" w:hAnsi="Calibri" w:cs="Arial"/>
          <w:color w:val="000000"/>
          <w:sz w:val="22"/>
          <w:szCs w:val="22"/>
          <w:lang w:val="es-ES"/>
        </w:rPr>
        <w:t> </w:t>
      </w:r>
      <w:r w:rsidRPr="00A6130B">
        <w:rPr>
          <w:rFonts w:ascii="Calibri" w:hAnsi="Calibri" w:cs="Arial"/>
          <w:color w:val="000000"/>
          <w:sz w:val="22"/>
          <w:szCs w:val="22"/>
          <w:lang w:val="es-ES"/>
        </w:rPr>
        <w:t>momento de la creación de los territorios indígenas en Costa Rica, muchas personas no indígenas tenían alguna propiedad en esas regiones y otras se apropiaron de esas tierras aún después de la entrada en vigencia la Ley Indígena 6172 que estipuló que estas tierras son inalienables e imprescriptibles, no transferibles y exclusivas para las comunidades indígenas que las habitan.</w:t>
      </w:r>
    </w:p>
    <w:p w:rsidR="00B17D36" w:rsidRPr="00A6130B" w:rsidRDefault="00B17D36" w:rsidP="00A6130B">
      <w:pPr>
        <w:pStyle w:val="NormalWeb"/>
        <w:shd w:val="clear" w:color="auto" w:fill="FDFDFD"/>
        <w:spacing w:before="0" w:beforeAutospacing="0" w:after="0" w:afterAutospacing="0"/>
        <w:jc w:val="both"/>
        <w:rPr>
          <w:rFonts w:ascii="Calibri" w:hAnsi="Calibri" w:cs="Arial"/>
          <w:color w:val="000000"/>
          <w:sz w:val="22"/>
          <w:szCs w:val="22"/>
        </w:rPr>
      </w:pPr>
      <w:r w:rsidRPr="00A6130B">
        <w:rPr>
          <w:rFonts w:ascii="Calibri" w:hAnsi="Calibri" w:cs="Arial"/>
          <w:color w:val="000000"/>
          <w:sz w:val="22"/>
          <w:szCs w:val="22"/>
          <w:lang w:val="es-ES"/>
        </w:rPr>
        <w:t> </w:t>
      </w:r>
    </w:p>
    <w:p w:rsidR="00B17D36" w:rsidRPr="00A6130B" w:rsidRDefault="00B17D36" w:rsidP="00A6130B">
      <w:pPr>
        <w:pStyle w:val="NormalWeb"/>
        <w:shd w:val="clear" w:color="auto" w:fill="FDFDFD"/>
        <w:spacing w:before="0" w:beforeAutospacing="0" w:after="0" w:afterAutospacing="0"/>
        <w:jc w:val="both"/>
        <w:rPr>
          <w:rFonts w:ascii="Calibri" w:hAnsi="Calibri" w:cs="Arial"/>
          <w:color w:val="000000"/>
          <w:sz w:val="22"/>
          <w:szCs w:val="22"/>
        </w:rPr>
      </w:pPr>
      <w:r w:rsidRPr="00A6130B">
        <w:rPr>
          <w:rFonts w:ascii="Calibri" w:hAnsi="Calibri" w:cs="Arial"/>
          <w:color w:val="000000"/>
          <w:sz w:val="22"/>
          <w:szCs w:val="22"/>
          <w:lang w:val="es-ES"/>
        </w:rPr>
        <w:t>Durante muchos años, el Estado no  tramitó procesos de reubicación, indemnización o desalojos de personas según correspondiera, lo que explica la permanencia de personas no indígenas en tierras indígenas creadas por decretos, como las del Decreto 1956, que demarcó los primeros territorios indígenas.</w:t>
      </w:r>
    </w:p>
    <w:p w:rsidR="00B17D36" w:rsidRPr="00A6130B" w:rsidRDefault="00B17D36" w:rsidP="00A6130B">
      <w:pPr>
        <w:pStyle w:val="NormalWeb"/>
        <w:shd w:val="clear" w:color="auto" w:fill="FDFDFD"/>
        <w:spacing w:before="0" w:beforeAutospacing="0" w:after="0" w:afterAutospacing="0"/>
        <w:jc w:val="both"/>
        <w:rPr>
          <w:rFonts w:ascii="Calibri" w:hAnsi="Calibri" w:cs="Arial"/>
          <w:color w:val="000000"/>
          <w:sz w:val="22"/>
          <w:szCs w:val="22"/>
        </w:rPr>
      </w:pPr>
      <w:r w:rsidRPr="00A6130B">
        <w:rPr>
          <w:rFonts w:ascii="Calibri" w:hAnsi="Calibri" w:cs="Arial"/>
          <w:color w:val="000000"/>
          <w:sz w:val="22"/>
          <w:szCs w:val="22"/>
          <w:lang w:val="es-ES"/>
        </w:rPr>
        <w:t> </w:t>
      </w:r>
    </w:p>
    <w:p w:rsidR="00B17D36" w:rsidRPr="00A6130B" w:rsidRDefault="00B17D36" w:rsidP="00A6130B">
      <w:pPr>
        <w:pStyle w:val="NormalWeb"/>
        <w:shd w:val="clear" w:color="auto" w:fill="FDFDFD"/>
        <w:spacing w:before="0" w:beforeAutospacing="0" w:after="0" w:afterAutospacing="0"/>
        <w:jc w:val="both"/>
        <w:rPr>
          <w:rFonts w:ascii="Calibri" w:hAnsi="Calibri" w:cs="Arial"/>
          <w:color w:val="000000"/>
          <w:sz w:val="22"/>
          <w:szCs w:val="22"/>
        </w:rPr>
      </w:pPr>
      <w:r w:rsidRPr="00A6130B">
        <w:rPr>
          <w:rFonts w:ascii="Calibri" w:hAnsi="Calibri" w:cs="Arial"/>
          <w:color w:val="000000"/>
          <w:sz w:val="22"/>
          <w:szCs w:val="22"/>
          <w:lang w:val="es-ES"/>
        </w:rPr>
        <w:t>Atendiendo a este gran vacío, en la actualidad el gobierno se encuentra en la fase de construcción de un “Manual  para el traspaso  o reubicación de tierras  en territorios indígenas al amparo de los artículos tres, cinco, ocho y nueve de la Ley Indígena 6172”,  que tiene como objetivo principal regular la forma de reubicación e indemnización de tierras ubicadas en Territorios Indígenas, que se encuentran tituladas o en posesión de terceros no indígenas. Estas tierras serán traspasadas a las Asociaciones de Desarrollo de los Territorios Indígenas.</w:t>
      </w:r>
    </w:p>
    <w:p w:rsidR="00B17D36" w:rsidRPr="00A6130B" w:rsidRDefault="00B17D36" w:rsidP="00A6130B">
      <w:pPr>
        <w:pStyle w:val="NormalWeb"/>
        <w:shd w:val="clear" w:color="auto" w:fill="FDFDFD"/>
        <w:spacing w:before="0" w:beforeAutospacing="0" w:after="0" w:afterAutospacing="0"/>
        <w:jc w:val="both"/>
        <w:rPr>
          <w:rFonts w:ascii="Calibri" w:hAnsi="Calibri" w:cs="Arial"/>
          <w:color w:val="000000"/>
          <w:sz w:val="22"/>
          <w:szCs w:val="22"/>
        </w:rPr>
      </w:pPr>
      <w:r w:rsidRPr="00A6130B">
        <w:rPr>
          <w:rFonts w:ascii="Calibri" w:hAnsi="Calibri" w:cs="Arial"/>
          <w:color w:val="000000"/>
          <w:sz w:val="22"/>
          <w:szCs w:val="22"/>
          <w:lang w:val="es-ES"/>
        </w:rPr>
        <w:t> </w:t>
      </w:r>
    </w:p>
    <w:p w:rsidR="00B17D36" w:rsidRPr="00A6130B" w:rsidRDefault="00B17D36" w:rsidP="00A6130B">
      <w:pPr>
        <w:pStyle w:val="NormalWeb"/>
        <w:shd w:val="clear" w:color="auto" w:fill="FDFDFD"/>
        <w:spacing w:before="0" w:beforeAutospacing="0" w:after="0" w:afterAutospacing="0"/>
        <w:jc w:val="both"/>
        <w:rPr>
          <w:rFonts w:ascii="Calibri" w:hAnsi="Calibri" w:cs="Arial"/>
          <w:color w:val="000000"/>
          <w:sz w:val="22"/>
          <w:szCs w:val="22"/>
        </w:rPr>
      </w:pPr>
      <w:r w:rsidRPr="00A6130B">
        <w:rPr>
          <w:rFonts w:ascii="Calibri" w:hAnsi="Calibri" w:cs="Arial"/>
          <w:color w:val="000000"/>
          <w:sz w:val="22"/>
          <w:szCs w:val="22"/>
          <w:lang w:val="es-ES"/>
        </w:rPr>
        <w:lastRenderedPageBreak/>
        <w:t>Esta acción  constituye el primer esfuerzo ordenado y sistemático  del Estado para devolver las tierras, territorios y recursos a los pueblos indígenas.</w:t>
      </w:r>
    </w:p>
    <w:p w:rsidR="00B17D36" w:rsidRPr="00A6130B" w:rsidRDefault="00B17D36" w:rsidP="00A6130B">
      <w:pPr>
        <w:pStyle w:val="NormalWeb"/>
        <w:shd w:val="clear" w:color="auto" w:fill="FDFDFD"/>
        <w:spacing w:before="0" w:beforeAutospacing="0" w:after="0" w:afterAutospacing="0"/>
        <w:jc w:val="both"/>
        <w:rPr>
          <w:rFonts w:ascii="Calibri" w:hAnsi="Calibri" w:cs="Arial"/>
          <w:color w:val="000000"/>
          <w:sz w:val="22"/>
          <w:szCs w:val="22"/>
        </w:rPr>
      </w:pPr>
      <w:r w:rsidRPr="00A6130B">
        <w:rPr>
          <w:rFonts w:ascii="Calibri" w:hAnsi="Calibri" w:cs="Arial"/>
          <w:color w:val="000000"/>
          <w:sz w:val="22"/>
          <w:szCs w:val="22"/>
          <w:lang w:val="es-ES"/>
        </w:rPr>
        <w:t> </w:t>
      </w:r>
    </w:p>
    <w:p w:rsidR="00B17D36" w:rsidRPr="00A6130B" w:rsidRDefault="00B17D36" w:rsidP="00A6130B">
      <w:pPr>
        <w:pStyle w:val="NormalWeb"/>
        <w:shd w:val="clear" w:color="auto" w:fill="FDFDFD"/>
        <w:spacing w:before="0" w:beforeAutospacing="0" w:after="0" w:afterAutospacing="0"/>
        <w:jc w:val="both"/>
        <w:rPr>
          <w:rFonts w:ascii="Calibri" w:hAnsi="Calibri" w:cs="Arial"/>
          <w:color w:val="000000"/>
          <w:sz w:val="22"/>
          <w:szCs w:val="22"/>
        </w:rPr>
      </w:pPr>
      <w:r w:rsidRPr="00A6130B">
        <w:rPr>
          <w:rFonts w:ascii="Calibri" w:hAnsi="Calibri" w:cs="Arial"/>
          <w:color w:val="000000"/>
          <w:sz w:val="22"/>
          <w:szCs w:val="22"/>
          <w:lang w:val="es-ES"/>
        </w:rPr>
        <w:t>En los próximos meses, se presentará  un Plan de Recuperación de Territorios Indígenas, que tiene como objetivo general regularizar los territorios indígenas y como objetivos específicos proceder con los estudios preliminares, así como realizar un censo y confeccionar el expediente por ocupante con la recomendación técnico-legal para la toma de decisiones. Asimismo, se ejecutará el levantamiento topográfico de cada una de las ocupaciones que conforman el Territorio, identificando la cantidad de ocupantes no indígenas y  valorar el impacto que representaría el ordenamiento.</w:t>
      </w:r>
    </w:p>
    <w:p w:rsidR="00B17D36" w:rsidRPr="00A6130B" w:rsidRDefault="00B17D36" w:rsidP="00A6130B">
      <w:pPr>
        <w:pStyle w:val="NormalWeb"/>
        <w:shd w:val="clear" w:color="auto" w:fill="FDFDFD"/>
        <w:spacing w:before="0" w:beforeAutospacing="0" w:after="0" w:afterAutospacing="0"/>
        <w:jc w:val="both"/>
        <w:rPr>
          <w:rFonts w:ascii="Calibri" w:hAnsi="Calibri" w:cs="Arial"/>
          <w:color w:val="000000"/>
          <w:sz w:val="22"/>
          <w:szCs w:val="22"/>
        </w:rPr>
      </w:pPr>
      <w:r w:rsidRPr="00A6130B">
        <w:rPr>
          <w:rFonts w:ascii="Calibri" w:hAnsi="Calibri" w:cs="Arial"/>
          <w:color w:val="000000"/>
          <w:sz w:val="22"/>
          <w:szCs w:val="22"/>
          <w:lang w:val="es-ES"/>
        </w:rPr>
        <w:t> </w:t>
      </w:r>
    </w:p>
    <w:p w:rsidR="00B17D36" w:rsidRPr="00A6130B" w:rsidRDefault="00B17D36" w:rsidP="00A6130B">
      <w:pPr>
        <w:pStyle w:val="NormalWeb"/>
        <w:shd w:val="clear" w:color="auto" w:fill="FDFDFD"/>
        <w:spacing w:before="0" w:beforeAutospacing="0" w:after="0" w:afterAutospacing="0"/>
        <w:jc w:val="both"/>
        <w:rPr>
          <w:rFonts w:ascii="Calibri" w:hAnsi="Calibri" w:cs="Arial"/>
          <w:color w:val="000000"/>
          <w:sz w:val="22"/>
          <w:szCs w:val="22"/>
        </w:rPr>
      </w:pPr>
      <w:r w:rsidRPr="00A6130B">
        <w:rPr>
          <w:rFonts w:ascii="Calibri" w:hAnsi="Calibri" w:cs="Arial"/>
          <w:color w:val="000000"/>
          <w:sz w:val="22"/>
          <w:szCs w:val="22"/>
          <w:lang w:val="es-ES"/>
        </w:rPr>
        <w:t>A partir de esa información, se procederá con el proceso de demarcación y avalúos de dichas propiedades y se recomendará lo que corresponda, ya sea expropiación, derecho de posesión o desalojo.</w:t>
      </w:r>
    </w:p>
    <w:p w:rsidR="00B17D36" w:rsidRPr="00A6130B" w:rsidRDefault="00B17D36" w:rsidP="00A6130B">
      <w:pPr>
        <w:pStyle w:val="NormalWeb"/>
        <w:shd w:val="clear" w:color="auto" w:fill="FDFDFD"/>
        <w:spacing w:before="0" w:beforeAutospacing="0" w:after="0" w:afterAutospacing="0"/>
        <w:jc w:val="both"/>
        <w:rPr>
          <w:rFonts w:ascii="Calibri" w:hAnsi="Calibri" w:cs="Arial"/>
          <w:color w:val="000000"/>
          <w:sz w:val="22"/>
          <w:szCs w:val="22"/>
        </w:rPr>
      </w:pPr>
      <w:r w:rsidRPr="00A6130B">
        <w:rPr>
          <w:rFonts w:ascii="Calibri" w:hAnsi="Calibri" w:cs="Arial"/>
          <w:color w:val="000000"/>
          <w:sz w:val="22"/>
          <w:szCs w:val="22"/>
          <w:lang w:val="es-ES"/>
        </w:rPr>
        <w:t> Una vez se cuente con los avalúos de las propiedades por indemnizar, será el Gobierno Central, quien incorpore dichos recursos en el presupuesto nacional, tal y como lo señala la Ley Indígena.</w:t>
      </w:r>
    </w:p>
    <w:p w:rsidR="00357BA8" w:rsidRPr="007A0119" w:rsidRDefault="00357BA8" w:rsidP="007A0119">
      <w:pPr>
        <w:pStyle w:val="Heading3"/>
        <w:rPr>
          <w:color w:val="1F4E79"/>
        </w:rPr>
      </w:pPr>
      <w:bookmarkStart w:id="103" w:name="_Toc446126698"/>
      <w:r w:rsidRPr="007A0119">
        <w:rPr>
          <w:color w:val="1F4E79"/>
        </w:rPr>
        <w:t>SITUACIÓN EN EL TERRITORIO INDÍGENA DE SALITRE</w:t>
      </w:r>
      <w:bookmarkEnd w:id="103"/>
      <w:r w:rsidRPr="007A0119">
        <w:rPr>
          <w:color w:val="1F4E79"/>
        </w:rPr>
        <w:t xml:space="preserve"> </w:t>
      </w:r>
    </w:p>
    <w:p w:rsidR="009247ED" w:rsidRDefault="009247ED"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357BA8" w:rsidRPr="00A6130B" w:rsidRDefault="00357BA8"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El territorio indígena de Salitre es el escenario de un serio conflicto por tenencia de tierras entre indígenas y no indígenas. Como parte de la implementación de las medidas para dar solución a este problema, se priorizó a este territorio para ejecutar el Plan Nacional de Recuperación de Territorios Indígenas y la aplicación del “Manual  para el traspaso o reubicación de tierras  en territorios indígenas al amparo de los artículos 3, 5, 8 y 9 de la Ley Indígena, Ley n.° 6172” </w:t>
      </w:r>
    </w:p>
    <w:p w:rsidR="00357BA8" w:rsidRDefault="00357BA8" w:rsidP="00A6130B">
      <w:pPr>
        <w:spacing w:line="240" w:lineRule="auto"/>
        <w:rPr>
          <w:rFonts w:cs="Arial"/>
        </w:rPr>
      </w:pPr>
    </w:p>
    <w:p w:rsidR="00357BA8" w:rsidRPr="007A0119" w:rsidRDefault="00357BA8" w:rsidP="007A0119">
      <w:pPr>
        <w:pStyle w:val="Heading3"/>
        <w:rPr>
          <w:color w:val="1F4E79"/>
        </w:rPr>
      </w:pPr>
      <w:bookmarkStart w:id="104" w:name="_Toc446126699"/>
      <w:r w:rsidRPr="007A0119">
        <w:rPr>
          <w:color w:val="1F4E79"/>
        </w:rPr>
        <w:t>GOBIERNO COORDINA ATENCIÓN INTEGRAL DE POBLACIÓN INDÍGENA DE ALTO TELIRE</w:t>
      </w:r>
      <w:bookmarkEnd w:id="104"/>
      <w:r w:rsidRPr="007A0119">
        <w:rPr>
          <w:color w:val="1F4E79"/>
        </w:rPr>
        <w:t xml:space="preserve"> </w:t>
      </w:r>
    </w:p>
    <w:p w:rsidR="00357BA8" w:rsidRPr="00A6130B" w:rsidRDefault="00357BA8" w:rsidP="00A6130B">
      <w:pPr>
        <w:spacing w:before="120" w:after="120" w:line="240" w:lineRule="auto"/>
        <w:jc w:val="both"/>
        <w:rPr>
          <w:rFonts w:eastAsia="Times New Roman" w:cs="Arial"/>
          <w:color w:val="000000"/>
          <w:lang w:eastAsia="es-CR"/>
        </w:rPr>
      </w:pPr>
      <w:r w:rsidRPr="00A6130B">
        <w:rPr>
          <w:rFonts w:eastAsia="Times New Roman" w:cs="Arial"/>
          <w:color w:val="000000"/>
          <w:lang w:eastAsia="es-CR"/>
        </w:rPr>
        <w:t xml:space="preserve">El Gobierno de la República coordina acciones para atender de manera integral a la población indígena de Alto </w:t>
      </w:r>
      <w:proofErr w:type="spellStart"/>
      <w:r w:rsidRPr="00A6130B">
        <w:rPr>
          <w:rFonts w:eastAsia="Times New Roman" w:cs="Arial"/>
          <w:color w:val="000000"/>
          <w:lang w:eastAsia="es-CR"/>
        </w:rPr>
        <w:t>Telire</w:t>
      </w:r>
      <w:proofErr w:type="spellEnd"/>
      <w:r w:rsidRPr="00A6130B">
        <w:rPr>
          <w:rFonts w:eastAsia="Times New Roman" w:cs="Arial"/>
          <w:color w:val="000000"/>
          <w:lang w:eastAsia="es-CR"/>
        </w:rPr>
        <w:t xml:space="preserve"> y procurar soluciones a la marginación que históricamente han sufrido las comunidades indígenas.</w:t>
      </w:r>
    </w:p>
    <w:p w:rsidR="00357BA8" w:rsidRPr="00A6130B" w:rsidRDefault="00357BA8" w:rsidP="00A6130B">
      <w:pPr>
        <w:spacing w:before="120" w:after="120" w:line="240" w:lineRule="auto"/>
        <w:jc w:val="both"/>
        <w:rPr>
          <w:rFonts w:eastAsia="Times New Roman" w:cs="Arial"/>
          <w:color w:val="000000"/>
          <w:lang w:eastAsia="es-CR"/>
        </w:rPr>
      </w:pPr>
      <w:r w:rsidRPr="00A6130B">
        <w:rPr>
          <w:rFonts w:eastAsia="Times New Roman" w:cs="Arial"/>
          <w:color w:val="000000"/>
          <w:lang w:eastAsia="es-CR"/>
        </w:rPr>
        <w:t xml:space="preserve">Equipos médicos de la Caja Costarricense del Seguro Social hacen giras trimestrales a las comunidades de Alto </w:t>
      </w:r>
      <w:proofErr w:type="spellStart"/>
      <w:r w:rsidRPr="00A6130B">
        <w:rPr>
          <w:rFonts w:eastAsia="Times New Roman" w:cs="Arial"/>
          <w:color w:val="000000"/>
          <w:lang w:eastAsia="es-CR"/>
        </w:rPr>
        <w:t>Telire</w:t>
      </w:r>
      <w:proofErr w:type="spellEnd"/>
      <w:r w:rsidRPr="00A6130B">
        <w:rPr>
          <w:rFonts w:eastAsia="Times New Roman" w:cs="Arial"/>
          <w:color w:val="000000"/>
          <w:lang w:eastAsia="es-CR"/>
        </w:rPr>
        <w:t xml:space="preserve"> en las cuales permanecen en la zona durante dos semanas. La gira más reciente se llevó a cabo del 29 de febrero al 11 de marzo de este año, en la que atendieron a 529 pacientes, entre ellos 129 niños y niñas menores de cinco años de edad.</w:t>
      </w:r>
    </w:p>
    <w:p w:rsidR="00357BA8" w:rsidRPr="00A6130B" w:rsidRDefault="00357BA8" w:rsidP="00A6130B">
      <w:pPr>
        <w:spacing w:before="120" w:after="120" w:line="240" w:lineRule="auto"/>
        <w:jc w:val="both"/>
        <w:rPr>
          <w:rFonts w:eastAsia="Times New Roman" w:cs="Arial"/>
          <w:color w:val="000000"/>
          <w:lang w:eastAsia="es-CR"/>
        </w:rPr>
      </w:pPr>
      <w:r w:rsidRPr="00A6130B">
        <w:rPr>
          <w:rFonts w:eastAsia="Times New Roman" w:cs="Arial"/>
          <w:color w:val="000000"/>
          <w:lang w:eastAsia="es-CR"/>
        </w:rPr>
        <w:t>En esta visita fueron identificados menores con riesgo de desnutrición, se atendió un parto, hubo acciones de desparasitación, vacunación y aporte de vitaminas, tres niños fueron trasladados al hospital Tony Facio, en Limón, con diversos padecimientos y otros cuatro se mantuvieron en observación hasta que evolucionaran de manera positiva.</w:t>
      </w:r>
    </w:p>
    <w:p w:rsidR="00357BA8" w:rsidRPr="00A6130B" w:rsidRDefault="00357BA8" w:rsidP="00A6130B">
      <w:pPr>
        <w:spacing w:before="120" w:after="120" w:line="240" w:lineRule="auto"/>
        <w:jc w:val="both"/>
        <w:rPr>
          <w:rFonts w:eastAsia="Times New Roman" w:cs="Arial"/>
          <w:color w:val="000000"/>
          <w:lang w:eastAsia="es-CR"/>
        </w:rPr>
      </w:pPr>
      <w:r w:rsidRPr="00A6130B">
        <w:rPr>
          <w:rFonts w:eastAsia="Times New Roman" w:cs="Arial"/>
          <w:color w:val="000000"/>
          <w:lang w:eastAsia="es-CR"/>
        </w:rPr>
        <w:t xml:space="preserve">En el 2016 y 2017 se proyecta construir dos edificaciones para servicios médicos en las comunidades de Piedra Meza y Bajo </w:t>
      </w:r>
      <w:proofErr w:type="spellStart"/>
      <w:r w:rsidRPr="00A6130B">
        <w:rPr>
          <w:rFonts w:eastAsia="Times New Roman" w:cs="Arial"/>
          <w:color w:val="000000"/>
          <w:lang w:eastAsia="es-CR"/>
        </w:rPr>
        <w:t>Bley</w:t>
      </w:r>
      <w:proofErr w:type="spellEnd"/>
      <w:r w:rsidRPr="00A6130B">
        <w:rPr>
          <w:rFonts w:eastAsia="Times New Roman" w:cs="Arial"/>
          <w:color w:val="000000"/>
          <w:lang w:eastAsia="es-CR"/>
        </w:rPr>
        <w:t>, con una inversión de al menos ₡1400 millones. Con el apoyo de organizaciones de voluntarios y de la sociedad civil han sido construidos tres puentes colgantes.</w:t>
      </w:r>
    </w:p>
    <w:p w:rsidR="00357BA8" w:rsidRPr="00A6130B" w:rsidRDefault="00357BA8" w:rsidP="00A6130B">
      <w:pPr>
        <w:spacing w:before="120" w:after="120" w:line="240" w:lineRule="auto"/>
        <w:jc w:val="both"/>
        <w:rPr>
          <w:rFonts w:eastAsia="Times New Roman" w:cs="Arial"/>
          <w:color w:val="000000"/>
          <w:lang w:eastAsia="es-CR"/>
        </w:rPr>
      </w:pPr>
      <w:r w:rsidRPr="00A6130B">
        <w:rPr>
          <w:rFonts w:eastAsia="Times New Roman" w:cs="Arial"/>
          <w:color w:val="000000"/>
          <w:lang w:eastAsia="es-CR"/>
        </w:rPr>
        <w:t xml:space="preserve">Como continuación de las acciones que este Gobierno ha desarrollado en la población de Alto </w:t>
      </w:r>
      <w:proofErr w:type="spellStart"/>
      <w:r w:rsidRPr="00A6130B">
        <w:rPr>
          <w:rFonts w:eastAsia="Times New Roman" w:cs="Arial"/>
          <w:color w:val="000000"/>
          <w:lang w:eastAsia="es-CR"/>
        </w:rPr>
        <w:t>Telire</w:t>
      </w:r>
      <w:proofErr w:type="spellEnd"/>
      <w:r w:rsidRPr="00A6130B">
        <w:rPr>
          <w:rFonts w:eastAsia="Times New Roman" w:cs="Arial"/>
          <w:color w:val="000000"/>
          <w:lang w:eastAsia="es-CR"/>
        </w:rPr>
        <w:t xml:space="preserve">, en </w:t>
      </w:r>
      <w:proofErr w:type="spellStart"/>
      <w:r w:rsidRPr="00A6130B">
        <w:rPr>
          <w:rFonts w:eastAsia="Times New Roman" w:cs="Arial"/>
          <w:color w:val="000000"/>
          <w:lang w:eastAsia="es-CR"/>
        </w:rPr>
        <w:t>Talamanca</w:t>
      </w:r>
      <w:proofErr w:type="spellEnd"/>
      <w:r w:rsidRPr="00A6130B">
        <w:rPr>
          <w:rFonts w:eastAsia="Times New Roman" w:cs="Arial"/>
          <w:color w:val="000000"/>
          <w:lang w:eastAsia="es-CR"/>
        </w:rPr>
        <w:t>, el viernes 18 de marzo se llevará a cabo una sesión de trabajo en la sede del Instituto de Desarrollo Rural (</w:t>
      </w:r>
      <w:proofErr w:type="spellStart"/>
      <w:r w:rsidRPr="00A6130B">
        <w:rPr>
          <w:rFonts w:eastAsia="Times New Roman" w:cs="Arial"/>
          <w:color w:val="000000"/>
          <w:lang w:eastAsia="es-CR"/>
        </w:rPr>
        <w:t>Inder</w:t>
      </w:r>
      <w:proofErr w:type="spellEnd"/>
      <w:r w:rsidRPr="00A6130B">
        <w:rPr>
          <w:rFonts w:eastAsia="Times New Roman" w:cs="Arial"/>
          <w:color w:val="000000"/>
          <w:lang w:eastAsia="es-CR"/>
        </w:rPr>
        <w:t>) en San José, en la que al menos 15 instituciones públicas analizarán la situación y generarán un plan operativo de atención integral.</w:t>
      </w:r>
    </w:p>
    <w:p w:rsidR="00357BA8" w:rsidRPr="00A6130B" w:rsidRDefault="00357BA8" w:rsidP="00A6130B">
      <w:pPr>
        <w:spacing w:before="120" w:after="120" w:line="240" w:lineRule="auto"/>
        <w:jc w:val="both"/>
        <w:rPr>
          <w:rFonts w:eastAsia="Times New Roman" w:cs="Arial"/>
          <w:color w:val="000000"/>
          <w:lang w:eastAsia="es-CR"/>
        </w:rPr>
      </w:pPr>
      <w:r w:rsidRPr="00A6130B">
        <w:rPr>
          <w:rFonts w:eastAsia="Times New Roman" w:cs="Arial"/>
          <w:color w:val="000000"/>
          <w:lang w:eastAsia="es-CR"/>
        </w:rPr>
        <w:t>Las propuestas a formular se construirán en conjunto con los pueblos indígenas involucrados y buscan ofrecer oportunidades sostenibles para la población indígena.</w:t>
      </w:r>
    </w:p>
    <w:p w:rsidR="00357BA8" w:rsidRDefault="00357BA8" w:rsidP="00A6130B">
      <w:pPr>
        <w:spacing w:line="240" w:lineRule="auto"/>
        <w:rPr>
          <w:rFonts w:eastAsia="Times New Roman" w:cs="Arial"/>
          <w:color w:val="000000"/>
          <w:lang w:eastAsia="es-CR"/>
        </w:rPr>
      </w:pPr>
    </w:p>
    <w:p w:rsidR="009247ED" w:rsidRPr="00A6130B" w:rsidRDefault="009247ED" w:rsidP="00A6130B">
      <w:pPr>
        <w:spacing w:line="240" w:lineRule="auto"/>
        <w:rPr>
          <w:rFonts w:eastAsia="Times New Roman" w:cs="Arial"/>
          <w:color w:val="000000"/>
          <w:lang w:eastAsia="es-CR"/>
        </w:rPr>
      </w:pPr>
    </w:p>
    <w:p w:rsidR="00095042" w:rsidRPr="008645E0" w:rsidRDefault="00095042" w:rsidP="008820F2">
      <w:pPr>
        <w:pStyle w:val="Heading1"/>
        <w:ind w:left="142"/>
        <w:rPr>
          <w:rFonts w:ascii="Arial" w:hAnsi="Arial" w:cs="Arial"/>
          <w:b/>
          <w:sz w:val="36"/>
          <w:szCs w:val="36"/>
        </w:rPr>
      </w:pPr>
      <w:bookmarkStart w:id="105" w:name="_Toc446126700"/>
      <w:r w:rsidRPr="008645E0">
        <w:rPr>
          <w:rFonts w:ascii="Arial" w:hAnsi="Arial" w:cs="Arial"/>
          <w:b/>
          <w:sz w:val="36"/>
          <w:szCs w:val="36"/>
        </w:rPr>
        <w:t>Divulgación de información sobre el Pacto y sus Protocolos Facultativos (art.2)</w:t>
      </w:r>
      <w:bookmarkEnd w:id="105"/>
    </w:p>
    <w:p w:rsidR="001B27EB" w:rsidRPr="00A6130B" w:rsidRDefault="007A2649" w:rsidP="00967059">
      <w:pPr>
        <w:pStyle w:val="Heading2"/>
        <w:numPr>
          <w:ilvl w:val="0"/>
          <w:numId w:val="10"/>
        </w:numPr>
        <w:rPr>
          <w:rFonts w:ascii="Calibri" w:hAnsi="Calibri"/>
          <w:sz w:val="24"/>
          <w:szCs w:val="24"/>
        </w:rPr>
      </w:pPr>
      <w:bookmarkStart w:id="106" w:name="_Toc446126701"/>
      <w:r w:rsidRPr="00A6130B">
        <w:rPr>
          <w:rFonts w:ascii="Calibri" w:hAnsi="Calibri"/>
          <w:sz w:val="24"/>
          <w:szCs w:val="24"/>
        </w:rPr>
        <w:t>Sírvanse informar acerca de las m</w:t>
      </w:r>
      <w:r w:rsidR="001B27EB" w:rsidRPr="00A6130B">
        <w:rPr>
          <w:rFonts w:ascii="Calibri" w:hAnsi="Calibri"/>
          <w:sz w:val="24"/>
          <w:szCs w:val="24"/>
        </w:rPr>
        <w:t>edidas adoptadas para difundir información sobre el Pacto y sus Protocolos</w:t>
      </w:r>
      <w:r w:rsidRPr="00A6130B">
        <w:rPr>
          <w:rFonts w:ascii="Calibri" w:hAnsi="Calibri"/>
          <w:sz w:val="24"/>
          <w:szCs w:val="24"/>
        </w:rPr>
        <w:t xml:space="preserve"> Facultativos</w:t>
      </w:r>
      <w:r w:rsidR="001B27EB" w:rsidRPr="00A6130B">
        <w:rPr>
          <w:rFonts w:ascii="Calibri" w:hAnsi="Calibri"/>
          <w:sz w:val="24"/>
          <w:szCs w:val="24"/>
        </w:rPr>
        <w:t xml:space="preserve">, la presentación del informe del Estado </w:t>
      </w:r>
      <w:r w:rsidRPr="00A6130B">
        <w:rPr>
          <w:rFonts w:ascii="Calibri" w:hAnsi="Calibri"/>
          <w:sz w:val="24"/>
          <w:szCs w:val="24"/>
        </w:rPr>
        <w:t xml:space="preserve">parte, </w:t>
      </w:r>
      <w:r w:rsidR="001B27EB" w:rsidRPr="00A6130B">
        <w:rPr>
          <w:rFonts w:ascii="Calibri" w:hAnsi="Calibri"/>
          <w:sz w:val="24"/>
          <w:szCs w:val="24"/>
        </w:rPr>
        <w:t>y su próxima examen por el Comité.</w:t>
      </w:r>
      <w:r w:rsidRPr="00A6130B">
        <w:rPr>
          <w:rFonts w:ascii="Calibri" w:hAnsi="Calibri"/>
          <w:sz w:val="24"/>
          <w:szCs w:val="24"/>
        </w:rPr>
        <w:t xml:space="preserve"> Sírvanse proporcionar también información más detallada sobre la participación de los representantes de grupos étnicos y minoritarios, la sociedad civil, las organizaciones no gubernamentales y la institución nacional de derechos humanos en el proceso de preparación del informe.</w:t>
      </w:r>
      <w:bookmarkEnd w:id="106"/>
    </w:p>
    <w:p w:rsidR="007A2649" w:rsidRPr="00A6130B" w:rsidRDefault="007A2649" w:rsidP="00967059">
      <w:pPr>
        <w:pStyle w:val="Heading3"/>
        <w:numPr>
          <w:ilvl w:val="0"/>
          <w:numId w:val="27"/>
        </w:numPr>
        <w:spacing w:line="240" w:lineRule="auto"/>
        <w:rPr>
          <w:rFonts w:ascii="Calibri" w:hAnsi="Calibri"/>
          <w:color w:val="1F4E79"/>
        </w:rPr>
      </w:pPr>
      <w:bookmarkStart w:id="107" w:name="_Toc446126702"/>
      <w:r w:rsidRPr="00A6130B">
        <w:rPr>
          <w:rFonts w:ascii="Calibri" w:hAnsi="Calibri"/>
          <w:color w:val="1F4E79"/>
        </w:rPr>
        <w:t>Medidas adoptadas para difundir información sobre el Pacto y sus Protocolos Facultativos, la presentación del informe del Estado parte, y su próxima examen por el Comité</w:t>
      </w:r>
      <w:bookmarkEnd w:id="107"/>
    </w:p>
    <w:p w:rsidR="007A2649" w:rsidRPr="00A6130B" w:rsidRDefault="007A2649"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7B41A1" w:rsidRPr="00A6130B" w:rsidRDefault="00B67F59"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 xml:space="preserve">El país a través de la Comisión Interinstitucional ha establecido un mecanismo de diseminación de las recomendaciones de los </w:t>
      </w:r>
      <w:r w:rsidR="007B41A1" w:rsidRPr="00A6130B">
        <w:rPr>
          <w:rFonts w:ascii="Calibri" w:hAnsi="Calibri" w:cs="Arial"/>
          <w:color w:val="000000"/>
          <w:sz w:val="22"/>
          <w:szCs w:val="22"/>
          <w:lang w:val="es-ES"/>
        </w:rPr>
        <w:t>Órganos</w:t>
      </w:r>
      <w:r w:rsidRPr="00A6130B">
        <w:rPr>
          <w:rFonts w:ascii="Calibri" w:hAnsi="Calibri" w:cs="Arial"/>
          <w:color w:val="000000"/>
          <w:sz w:val="22"/>
          <w:szCs w:val="22"/>
          <w:lang w:val="es-ES"/>
        </w:rPr>
        <w:t xml:space="preserve"> de Tratados. Es un mecanismo imperfecto que hemos ido mejorando aun en las dificultades que  conlleva para un país pequeño y de limitados recursos, establecer una dinámica de seguimiento pleno de las recomendaciones.  En aras de ir adoptando prácticas de eficiencia, durante las semanas previas a mi llegada a Ginebra ya había planteado a la Oficina del Alto Comisionado ser parte de un proyecto piloto de índice de recomendaciones de los </w:t>
      </w:r>
      <w:r w:rsidR="007B41A1" w:rsidRPr="00A6130B">
        <w:rPr>
          <w:rFonts w:ascii="Calibri" w:hAnsi="Calibri" w:cs="Arial"/>
          <w:color w:val="000000"/>
          <w:sz w:val="22"/>
          <w:szCs w:val="22"/>
          <w:lang w:val="es-ES"/>
        </w:rPr>
        <w:t>Órganos</w:t>
      </w:r>
      <w:r w:rsidRPr="00A6130B">
        <w:rPr>
          <w:rFonts w:ascii="Calibri" w:hAnsi="Calibri" w:cs="Arial"/>
          <w:color w:val="000000"/>
          <w:sz w:val="22"/>
          <w:szCs w:val="22"/>
          <w:lang w:val="es-ES"/>
        </w:rPr>
        <w:t xml:space="preserve"> de Tratados que facilitará la implementación y elaboración de informes en tiempo y forma.   </w:t>
      </w:r>
    </w:p>
    <w:p w:rsidR="007B41A1" w:rsidRPr="00A6130B" w:rsidRDefault="007B41A1" w:rsidP="00A6130B">
      <w:pPr>
        <w:pStyle w:val="NormalWeb"/>
        <w:shd w:val="clear" w:color="auto" w:fill="FDFDFD"/>
        <w:spacing w:before="0" w:beforeAutospacing="0" w:after="0" w:afterAutospacing="0"/>
        <w:jc w:val="both"/>
        <w:rPr>
          <w:rFonts w:ascii="Calibri" w:hAnsi="Calibri" w:cs="Arial"/>
          <w:color w:val="000000"/>
          <w:sz w:val="22"/>
          <w:szCs w:val="22"/>
          <w:lang w:val="es-ES"/>
        </w:rPr>
      </w:pPr>
    </w:p>
    <w:p w:rsidR="00D118AC" w:rsidRPr="00A6130B" w:rsidRDefault="00B67F59" w:rsidP="00A6130B">
      <w:pPr>
        <w:pStyle w:val="NormalWeb"/>
        <w:shd w:val="clear" w:color="auto" w:fill="FDFDFD"/>
        <w:spacing w:before="0" w:beforeAutospacing="0" w:after="0" w:afterAutospacing="0"/>
        <w:jc w:val="both"/>
        <w:rPr>
          <w:rFonts w:ascii="Calibri" w:hAnsi="Calibri" w:cs="Arial"/>
          <w:color w:val="000000"/>
          <w:sz w:val="22"/>
          <w:szCs w:val="22"/>
          <w:lang w:val="es-ES"/>
        </w:rPr>
      </w:pPr>
      <w:r w:rsidRPr="00A6130B">
        <w:rPr>
          <w:rFonts w:ascii="Calibri" w:hAnsi="Calibri" w:cs="Arial"/>
          <w:color w:val="000000"/>
          <w:sz w:val="22"/>
          <w:szCs w:val="22"/>
          <w:lang w:val="es-ES"/>
        </w:rPr>
        <w:t>El día de ayer oficialmente me reuní con las autoridades de la Oficina del Alto Comisionado para conocer técnicamente el proyecto y el día jueves</w:t>
      </w:r>
      <w:r w:rsidR="007B41A1" w:rsidRPr="00A6130B">
        <w:rPr>
          <w:rFonts w:ascii="Calibri" w:hAnsi="Calibri" w:cs="Arial"/>
          <w:color w:val="000000"/>
          <w:sz w:val="22"/>
          <w:szCs w:val="22"/>
          <w:lang w:val="es-ES"/>
        </w:rPr>
        <w:t xml:space="preserve"> </w:t>
      </w:r>
      <w:r w:rsidRPr="00A6130B">
        <w:rPr>
          <w:rFonts w:ascii="Calibri" w:hAnsi="Calibri" w:cs="Arial"/>
          <w:color w:val="000000"/>
          <w:sz w:val="22"/>
          <w:szCs w:val="22"/>
          <w:lang w:val="es-ES"/>
        </w:rPr>
        <w:t>durante la reunión que sostendré con la Alta Comisionada Adjunta formalmente le estaré haciendo entrega de la nota por la cual formalizamos el interés de implementar este proyecto en Costa Rica, el cual conforme las fecha establecidas, a mediados de año podría ser puesto en marcha.</w:t>
      </w:r>
    </w:p>
    <w:p w:rsidR="00D118AC" w:rsidRPr="00A6130B" w:rsidRDefault="00D118AC" w:rsidP="00A6130B">
      <w:pPr>
        <w:spacing w:line="240" w:lineRule="auto"/>
        <w:rPr>
          <w:rFonts w:cs="Arial"/>
        </w:rPr>
      </w:pPr>
    </w:p>
    <w:p w:rsidR="00D118AC" w:rsidRPr="00A6130B" w:rsidRDefault="007A2649" w:rsidP="00967059">
      <w:pPr>
        <w:pStyle w:val="Heading3"/>
        <w:numPr>
          <w:ilvl w:val="0"/>
          <w:numId w:val="27"/>
        </w:numPr>
        <w:spacing w:line="240" w:lineRule="auto"/>
        <w:rPr>
          <w:rFonts w:ascii="Calibri" w:hAnsi="Calibri"/>
          <w:color w:val="1F4E79"/>
        </w:rPr>
      </w:pPr>
      <w:bookmarkStart w:id="108" w:name="_Toc446126703"/>
      <w:r w:rsidRPr="00A6130B">
        <w:rPr>
          <w:rFonts w:ascii="Calibri" w:hAnsi="Calibri"/>
          <w:color w:val="1F4E79"/>
        </w:rPr>
        <w:t>Información detallada sobre la participación de los representantes de grupos étnicos y minoritarios, la sociedad civil, las organizaciones no gubernamentales y la institución nacional de derechos humanos en el proceso de preparación del informe.</w:t>
      </w:r>
      <w:bookmarkEnd w:id="108"/>
    </w:p>
    <w:p w:rsidR="007A2649" w:rsidRDefault="007A2649" w:rsidP="00A6130B">
      <w:pPr>
        <w:spacing w:line="240" w:lineRule="auto"/>
      </w:pPr>
    </w:p>
    <w:p w:rsidR="008A4F81" w:rsidRPr="008A4F81" w:rsidRDefault="008A4F81" w:rsidP="008A4F81">
      <w:pPr>
        <w:spacing w:line="240" w:lineRule="auto"/>
        <w:jc w:val="both"/>
        <w:rPr>
          <w:lang w:val="es-CR"/>
        </w:rPr>
      </w:pPr>
      <w:r w:rsidRPr="008A4F81">
        <w:rPr>
          <w:lang w:val="es-CR"/>
        </w:rPr>
        <w:t>En</w:t>
      </w:r>
      <w:r>
        <w:rPr>
          <w:lang w:val="es-CR"/>
        </w:rPr>
        <w:t xml:space="preserve"> el caso de la elaboración de este informe no hubo participación de la sociedad civil, como sí se </w:t>
      </w:r>
      <w:proofErr w:type="spellStart"/>
      <w:r>
        <w:rPr>
          <w:lang w:val="es-CR"/>
        </w:rPr>
        <w:t>dió</w:t>
      </w:r>
      <w:proofErr w:type="spellEnd"/>
      <w:r>
        <w:rPr>
          <w:lang w:val="es-CR"/>
        </w:rPr>
        <w:t xml:space="preserve"> en casos anteriores (como el del Examen Periódico Universal). Sin embargo, en </w:t>
      </w:r>
      <w:r w:rsidRPr="008A4F81">
        <w:rPr>
          <w:lang w:val="es-CR"/>
        </w:rPr>
        <w:t xml:space="preserve"> relación con la sociedad civil y el ente permanente de consulta, se informa que  se </w:t>
      </w:r>
      <w:r>
        <w:rPr>
          <w:lang w:val="es-CR"/>
        </w:rPr>
        <w:t>está trabajando en la institucionalización de este ente, para evitar que la participación o no se haga de forma ad hoc, y ya se tiene una compilación inicial de organizaciones que trabajan en materia de derechos humanos</w:t>
      </w:r>
      <w:r w:rsidRPr="008A4F81">
        <w:rPr>
          <w:lang w:val="es-CR"/>
        </w:rPr>
        <w:t xml:space="preserve">.  A partir de mediados del mes de abril, el Plan de Trabajo de la CIIDDHH ya contempla actividades en conjunto con la sociedad civil, como un </w:t>
      </w:r>
      <w:r w:rsidRPr="008A4F81">
        <w:rPr>
          <w:lang w:val="es-CR"/>
        </w:rPr>
        <w:lastRenderedPageBreak/>
        <w:t>Taller de sensibilización hacia las tres poblaciones de la Política Nacional contra la  discriminación (</w:t>
      </w:r>
      <w:proofErr w:type="spellStart"/>
      <w:r w:rsidRPr="008A4F81">
        <w:rPr>
          <w:lang w:val="es-CR"/>
        </w:rPr>
        <w:t>afrodescendientes</w:t>
      </w:r>
      <w:proofErr w:type="spellEnd"/>
      <w:r w:rsidRPr="008A4F81">
        <w:rPr>
          <w:lang w:val="es-CR"/>
        </w:rPr>
        <w:t>, poblaciones indígenas, migrantes y refugiados).   </w:t>
      </w:r>
    </w:p>
    <w:p w:rsidR="008A4F81" w:rsidRPr="008A4F81" w:rsidRDefault="008A4F81" w:rsidP="008A4F81">
      <w:pPr>
        <w:spacing w:line="240" w:lineRule="auto"/>
        <w:jc w:val="both"/>
        <w:rPr>
          <w:lang w:val="es-CR"/>
        </w:rPr>
      </w:pPr>
      <w:r w:rsidRPr="008A4F81">
        <w:rPr>
          <w:lang w:val="es-CR"/>
        </w:rPr>
        <w:t>Como se mencionó, y con el fin de propiciar una mejor comunicación con la sociedad civil</w:t>
      </w:r>
      <w:r>
        <w:rPr>
          <w:lang w:val="es-CR"/>
        </w:rPr>
        <w:t>,  se decidió otorgar</w:t>
      </w:r>
      <w:r w:rsidRPr="008A4F81">
        <w:rPr>
          <w:lang w:val="es-CR"/>
        </w:rPr>
        <w:t xml:space="preserve"> un espacio para participar (con vos pero sin voto) en las sesiones de la CIIDDHH. </w:t>
      </w:r>
    </w:p>
    <w:p w:rsidR="008A4F81" w:rsidRPr="008A4F81" w:rsidRDefault="008A4F81" w:rsidP="00A6130B">
      <w:pPr>
        <w:spacing w:line="240" w:lineRule="auto"/>
        <w:rPr>
          <w:lang w:val="es-CR"/>
        </w:rPr>
      </w:pPr>
    </w:p>
    <w:p w:rsidR="00681B10" w:rsidRPr="008645E0" w:rsidRDefault="00681B10" w:rsidP="008820F2">
      <w:pPr>
        <w:pStyle w:val="Heading1"/>
        <w:ind w:left="142"/>
        <w:rPr>
          <w:rFonts w:ascii="Arial" w:hAnsi="Arial" w:cs="Arial"/>
          <w:b/>
          <w:sz w:val="36"/>
          <w:szCs w:val="36"/>
        </w:rPr>
      </w:pPr>
      <w:bookmarkStart w:id="109" w:name="_Toc446126704"/>
      <w:r w:rsidRPr="008645E0">
        <w:rPr>
          <w:rFonts w:ascii="Arial" w:hAnsi="Arial" w:cs="Arial"/>
          <w:b/>
          <w:sz w:val="36"/>
          <w:szCs w:val="36"/>
        </w:rPr>
        <w:t xml:space="preserve">Otros temas planteados durante la presentación del informe y el </w:t>
      </w:r>
      <w:r w:rsidR="00306DAD" w:rsidRPr="008645E0">
        <w:rPr>
          <w:rFonts w:ascii="Arial" w:hAnsi="Arial" w:cs="Arial"/>
          <w:b/>
          <w:sz w:val="36"/>
          <w:szCs w:val="36"/>
        </w:rPr>
        <w:t>diálogo</w:t>
      </w:r>
      <w:r w:rsidRPr="008645E0">
        <w:rPr>
          <w:rFonts w:ascii="Arial" w:hAnsi="Arial" w:cs="Arial"/>
          <w:b/>
          <w:sz w:val="36"/>
          <w:szCs w:val="36"/>
        </w:rPr>
        <w:t xml:space="preserve"> con el Comité el 16 y 17 de marzo de 2016.</w:t>
      </w:r>
      <w:bookmarkEnd w:id="109"/>
    </w:p>
    <w:p w:rsidR="00681B10" w:rsidRDefault="00681B10" w:rsidP="00A6130B">
      <w:pPr>
        <w:spacing w:line="240" w:lineRule="auto"/>
        <w:rPr>
          <w:lang w:val="es-CR"/>
        </w:rPr>
      </w:pPr>
    </w:p>
    <w:p w:rsidR="007113CF" w:rsidRDefault="007113CF" w:rsidP="007113CF">
      <w:pPr>
        <w:pStyle w:val="Heading3"/>
        <w:numPr>
          <w:ilvl w:val="0"/>
          <w:numId w:val="28"/>
        </w:numPr>
        <w:spacing w:line="240" w:lineRule="auto"/>
        <w:rPr>
          <w:rFonts w:ascii="Calibri" w:hAnsi="Calibri"/>
          <w:color w:val="1F4E79"/>
        </w:rPr>
      </w:pPr>
      <w:bookmarkStart w:id="110" w:name="_Toc446126705"/>
      <w:r>
        <w:rPr>
          <w:rFonts w:ascii="Calibri" w:hAnsi="Calibri"/>
          <w:color w:val="1F4E79"/>
        </w:rPr>
        <w:t>Comediante nicaragüense</w:t>
      </w:r>
      <w:bookmarkEnd w:id="110"/>
    </w:p>
    <w:p w:rsidR="00335D05" w:rsidRDefault="00335D05" w:rsidP="007113CF">
      <w:pPr>
        <w:rPr>
          <w:sz w:val="20"/>
          <w:szCs w:val="20"/>
        </w:rPr>
      </w:pPr>
    </w:p>
    <w:p w:rsidR="008E3BC4" w:rsidRDefault="00335D05" w:rsidP="00335D05">
      <w:pPr>
        <w:jc w:val="both"/>
      </w:pPr>
      <w:r w:rsidRPr="00335D05">
        <w:t>El pasado 10 de marzo, la Dirección de Migración tomo la decisión,  por un tema de seguridad personal y con el fin de evitar una afectación al orden público, de restringir el ingreso al país del humorista nicaragüense, Reynaldo Ruiz. Este personaje de la farándula del vecino país sistemáticamente ha basado su espectáculo en burlarse de los costarricenses, de nuestra identidad y nuestras situaciones, con niveles que han exacerbado en ese país el discurso racista y xenófobo hacia Costa Rica</w:t>
      </w:r>
      <w:r>
        <w:t xml:space="preserve"> y que han causado también serias reacciones</w:t>
      </w:r>
      <w:r w:rsidR="008E3BC4">
        <w:t xml:space="preserve"> entre algunos sectores</w:t>
      </w:r>
      <w:r>
        <w:t xml:space="preserve"> de</w:t>
      </w:r>
      <w:r w:rsidR="008E3BC4">
        <w:t xml:space="preserve"> la población costarricense</w:t>
      </w:r>
      <w:r>
        <w:t>, sobre todo en medios sociales</w:t>
      </w:r>
      <w:r w:rsidRPr="00335D05">
        <w:t>.  </w:t>
      </w:r>
    </w:p>
    <w:p w:rsidR="008E3BC4" w:rsidRPr="008E3BC4" w:rsidRDefault="008E3BC4" w:rsidP="008E3BC4">
      <w:pPr>
        <w:jc w:val="both"/>
        <w:rPr>
          <w:i/>
        </w:rPr>
      </w:pPr>
      <w:r w:rsidRPr="008E3BC4">
        <w:t xml:space="preserve">Costa Rica respeta la libertad de expresión, tal y como lo establecen el artículo 19 de la Declaración Universal y el Pacto de Derechos Civiles y Políticos. </w:t>
      </w:r>
      <w:r w:rsidRPr="008E3BC4">
        <w:rPr>
          <w:i/>
        </w:rPr>
        <w:t xml:space="preserve">El ejercicio de este derecho entraña deberes y responsabilidades especiales y, por consiguiente puede estar sujeto a restricciones expresamente fijadas en la ley y ser necesarias para </w:t>
      </w:r>
    </w:p>
    <w:p w:rsidR="008E3BC4" w:rsidRPr="008E3BC4" w:rsidRDefault="008E3BC4" w:rsidP="008E3BC4">
      <w:pPr>
        <w:jc w:val="both"/>
        <w:rPr>
          <w:i/>
        </w:rPr>
      </w:pPr>
      <w:r w:rsidRPr="008E3BC4">
        <w:rPr>
          <w:i/>
        </w:rPr>
        <w:t>a) Asegurar el respeto a los derechos o a la reputación de los demás;</w:t>
      </w:r>
    </w:p>
    <w:p w:rsidR="008E3BC4" w:rsidRPr="008E3BC4" w:rsidRDefault="008E3BC4" w:rsidP="008E3BC4">
      <w:pPr>
        <w:jc w:val="both"/>
        <w:rPr>
          <w:i/>
        </w:rPr>
      </w:pPr>
      <w:r w:rsidRPr="008E3BC4">
        <w:rPr>
          <w:i/>
        </w:rPr>
        <w:t>b) La protección de la seguridad nacional, el orden público o la salud o la moral públicas</w:t>
      </w:r>
    </w:p>
    <w:p w:rsidR="008E3BC4" w:rsidRPr="008E3BC4" w:rsidRDefault="008E3BC4" w:rsidP="008E3BC4">
      <w:pPr>
        <w:spacing w:before="100" w:beforeAutospacing="1" w:after="100" w:afterAutospacing="1"/>
        <w:jc w:val="both"/>
      </w:pPr>
      <w:r w:rsidRPr="008E3BC4">
        <w:t xml:space="preserve">En este sentido, el artículo 61 de la Ley General de Migración y Extranjería de Costa Rica se refiere a los impedimentos para ingresar al país y establece una lista taxativa dentro de los que se menciona, entre otros, que se le puede prohibir el ingreso a una persona cuando existan motivos fundados para considerar que su ingreso compromete la seguridad pública. </w:t>
      </w:r>
    </w:p>
    <w:p w:rsidR="007113CF" w:rsidRPr="008E3BC4" w:rsidRDefault="008E3BC4" w:rsidP="008E3BC4">
      <w:pPr>
        <w:jc w:val="both"/>
      </w:pPr>
      <w:r>
        <w:t>Se</w:t>
      </w:r>
      <w:r w:rsidR="00335D05" w:rsidRPr="00335D05">
        <w:t xml:space="preserve"> tomó esa decisión con el fin de salvaguardar la  seguridad del propio comediante,  en razón de informaciones de los órganos de seguridad  que revelaban que podría verse afectado por terceras personas.  El comediante pretendía estar en el país del 18 al 20 de marzo para efectuar un espectáculo de su grupo INN, integrado por él y otro cómico nicaragüense.  Costa Rica considera deleznables las manifestaciones xenófobas que pequeños sectores de ambos países profieren entre sí.  La xenofobia entre costarricenses y nicaragüenses es rechazada por ambos gobiernos, que procuran mejorar sus relaciones bilaterales por el bienestar común.  </w:t>
      </w:r>
    </w:p>
    <w:p w:rsidR="0012698C" w:rsidRDefault="0012698C" w:rsidP="00967059">
      <w:pPr>
        <w:pStyle w:val="Heading3"/>
        <w:numPr>
          <w:ilvl w:val="0"/>
          <w:numId w:val="28"/>
        </w:numPr>
        <w:spacing w:line="240" w:lineRule="auto"/>
        <w:rPr>
          <w:rFonts w:ascii="Calibri" w:hAnsi="Calibri"/>
          <w:color w:val="1F4E79"/>
        </w:rPr>
      </w:pPr>
      <w:bookmarkStart w:id="111" w:name="_Toc446126706"/>
      <w:r w:rsidRPr="0012698C">
        <w:rPr>
          <w:rFonts w:ascii="Calibri" w:hAnsi="Calibri"/>
          <w:color w:val="1F4E79"/>
        </w:rPr>
        <w:lastRenderedPageBreak/>
        <w:t>V</w:t>
      </w:r>
      <w:r w:rsidR="00F870B4">
        <w:rPr>
          <w:rFonts w:ascii="Calibri" w:hAnsi="Calibri"/>
          <w:color w:val="1F4E79"/>
        </w:rPr>
        <w:t>iolencia</w:t>
      </w:r>
      <w:r w:rsidRPr="0012698C">
        <w:rPr>
          <w:rFonts w:ascii="Calibri" w:hAnsi="Calibri"/>
          <w:color w:val="1F4E79"/>
        </w:rPr>
        <w:t xml:space="preserve"> </w:t>
      </w:r>
      <w:r w:rsidR="00F870B4">
        <w:rPr>
          <w:rFonts w:ascii="Calibri" w:hAnsi="Calibri"/>
          <w:color w:val="1F4E79"/>
        </w:rPr>
        <w:t>obstétrica</w:t>
      </w:r>
      <w:bookmarkEnd w:id="111"/>
    </w:p>
    <w:p w:rsidR="00A1400A" w:rsidRDefault="00A1400A" w:rsidP="00A1400A">
      <w:pPr>
        <w:shd w:val="clear" w:color="auto" w:fill="FDFDFD"/>
        <w:spacing w:line="276" w:lineRule="auto"/>
        <w:jc w:val="both"/>
        <w:rPr>
          <w:rFonts w:eastAsia="Times New Roman"/>
          <w:color w:val="000000"/>
          <w:lang w:eastAsia="es-CR"/>
        </w:rPr>
      </w:pPr>
    </w:p>
    <w:p w:rsidR="00A1400A" w:rsidRPr="00A1400A" w:rsidRDefault="00A1400A" w:rsidP="00A1400A">
      <w:pPr>
        <w:shd w:val="clear" w:color="auto" w:fill="FDFDFD"/>
        <w:spacing w:line="276" w:lineRule="auto"/>
        <w:jc w:val="both"/>
        <w:rPr>
          <w:rFonts w:eastAsia="Times New Roman"/>
          <w:color w:val="000000"/>
          <w:lang w:val="es-CR" w:eastAsia="es-CR"/>
        </w:rPr>
      </w:pPr>
      <w:r w:rsidRPr="007E2967">
        <w:rPr>
          <w:rFonts w:eastAsia="Times New Roman"/>
          <w:color w:val="000000"/>
          <w:lang w:val="es-CR" w:eastAsia="es-CR"/>
        </w:rPr>
        <w:t xml:space="preserve">Desde 2014, la Caja Costarricense de Seguro Social (CCSS) ha llevado adelante un proceso de atención para abordar de mejor manera lo que se ha denominado "violencia obstétrica". En este momento se está en el proceso de construcción de políticas y acciones concretas, </w:t>
      </w:r>
      <w:r>
        <w:rPr>
          <w:rFonts w:eastAsia="Times New Roman"/>
          <w:color w:val="000000"/>
          <w:lang w:val="es-CR" w:eastAsia="es-CR"/>
        </w:rPr>
        <w:t>como</w:t>
      </w:r>
      <w:r w:rsidRPr="007E2967">
        <w:rPr>
          <w:rFonts w:eastAsia="Times New Roman"/>
          <w:color w:val="000000"/>
          <w:lang w:val="es-CR" w:eastAsia="es-CR"/>
        </w:rPr>
        <w:t xml:space="preserve">  el "Lineamiento Atención Integral a la mujer en su proceso de embarazo, parto y puerperio", el cual está en proceso final de revisión. Este año se está iniciando con talleres de sensibilización y capacitación para funcionarios de las maternidades de los hospitales de la CCSS. </w:t>
      </w:r>
      <w:r>
        <w:rPr>
          <w:rFonts w:eastAsia="Times New Roman"/>
          <w:color w:val="000000"/>
          <w:lang w:val="es-CR" w:eastAsia="es-CR"/>
        </w:rPr>
        <w:t xml:space="preserve"> E</w:t>
      </w:r>
      <w:r w:rsidRPr="007E2967">
        <w:rPr>
          <w:rFonts w:eastAsia="Times New Roman"/>
          <w:color w:val="000000"/>
          <w:lang w:val="es-CR" w:eastAsia="es-CR"/>
        </w:rPr>
        <w:t>n 2015</w:t>
      </w:r>
      <w:r>
        <w:rPr>
          <w:rFonts w:eastAsia="Times New Roman"/>
          <w:color w:val="000000"/>
          <w:lang w:val="es-CR" w:eastAsia="es-CR"/>
        </w:rPr>
        <w:t xml:space="preserve">, en los medios de prensa </w:t>
      </w:r>
      <w:r w:rsidRPr="007E2967">
        <w:rPr>
          <w:rFonts w:eastAsia="Times New Roman"/>
          <w:color w:val="000000"/>
          <w:lang w:val="es-CR" w:eastAsia="es-CR"/>
        </w:rPr>
        <w:t>se abordaron dos situaciones como "violencia obstétrica" y hubo un caso conocido por la Sala Constitucional. Por consiguiente, se ha hecho un llamado y se está sensibilizando a las mujeres atendidas en la CCSS para que denuncien situaciones irregulares en la atención en el parto o condiciones relacionadas a través de la Contraloría de Servicios de la institución.</w:t>
      </w:r>
    </w:p>
    <w:p w:rsidR="0012698C" w:rsidRPr="00A1400A" w:rsidRDefault="00A1400A" w:rsidP="00A1400A">
      <w:pPr>
        <w:tabs>
          <w:tab w:val="left" w:pos="416"/>
          <w:tab w:val="left" w:pos="9345"/>
        </w:tabs>
        <w:ind w:right="-518"/>
        <w:jc w:val="both"/>
        <w:rPr>
          <w:rFonts w:eastAsia="Times New Roman" w:cs="Arial"/>
          <w:b/>
        </w:rPr>
      </w:pPr>
      <w:r>
        <w:rPr>
          <w:rFonts w:eastAsia="Times New Roman" w:cs="Arial"/>
        </w:rPr>
        <w:t xml:space="preserve">Existe un proyecto de ley, </w:t>
      </w:r>
      <w:r w:rsidR="0012698C" w:rsidRPr="00FB4B57">
        <w:rPr>
          <w:rFonts w:eastAsia="Times New Roman" w:cs="Arial"/>
          <w:b/>
        </w:rPr>
        <w:t xml:space="preserve">EXPEDIENTE Nº 19.537. </w:t>
      </w:r>
      <w:r w:rsidR="0012698C" w:rsidRPr="00FB4B57">
        <w:rPr>
          <w:rFonts w:eastAsia="Times New Roman" w:cs="Arial"/>
        </w:rPr>
        <w:t>LEY PARA PROTEGER A LA MUJER EMBARAZADA Y SANCIONAR LA VIOLENCIA OBSTÉTRICA.</w:t>
      </w:r>
      <w:r>
        <w:rPr>
          <w:rFonts w:eastAsia="Times New Roman" w:cs="Arial"/>
          <w:b/>
        </w:rPr>
        <w:t xml:space="preserve"> </w:t>
      </w:r>
      <w:r>
        <w:rPr>
          <w:rFonts w:eastAsia="Times New Roman" w:cs="Arial"/>
        </w:rPr>
        <w:t xml:space="preserve">Este proyecto </w:t>
      </w:r>
      <w:r>
        <w:t>p</w:t>
      </w:r>
      <w:r w:rsidR="0012698C" w:rsidRPr="00FB4B57">
        <w:t>retende regular los mecanismos para protección de las mujeres en estado de embarazo, sus hijos o hijas, y exterioriza la voluntad de garantizar una atención integral de calidad, brindada de forma oportuna, eficaz y eficiente con el fin de evitar muertes o malas prácticas médicas..</w:t>
      </w:r>
    </w:p>
    <w:p w:rsidR="0012698C" w:rsidRPr="00FB4B57" w:rsidRDefault="0012698C" w:rsidP="0012698C">
      <w:r w:rsidRPr="00FB4B57">
        <w:t>Enumera los requisitos del control prenatal, los requisitos de atención preparto y posparto e incluye una disposición que señala que, en general, todo el personal del centro hospitalario deberá de tener un trato cordial, digno y respetuoso hacia sus pacientes y deberá contar con algún tipo de identificación que le permita a los pacientes determinar por quién están siendo atendidos, identificando las responsabilidades individuales de cada médico.</w:t>
      </w:r>
    </w:p>
    <w:p w:rsidR="0012698C" w:rsidRPr="00FB4B57" w:rsidRDefault="0012698C" w:rsidP="0012698C">
      <w:pPr>
        <w:jc w:val="both"/>
      </w:pPr>
      <w:r w:rsidRPr="00FB4B57">
        <w:t xml:space="preserve"> El proyecto obliga a establecer dentro de cada centro hospitalario una contraloría de servicios, con personal disponible para trasladarse dentro del recinto hospitalario hasta donde se encuentre ubicada la paciente que desee formular una queja respecto al trato recibido, determinando la forma en que debe procederse con las quejas que se reciban.</w:t>
      </w:r>
    </w:p>
    <w:p w:rsidR="0012698C" w:rsidRPr="00FB4B57" w:rsidRDefault="0012698C" w:rsidP="0012698C">
      <w:pPr>
        <w:jc w:val="both"/>
      </w:pPr>
      <w:r w:rsidRPr="00FB4B57">
        <w:t>Instaura, en favor de la paciente o su autorizado, el acceso al expediente médico y su  copia completa foliada en un plazo de 24 horas, cuando se presuma violencia obstétrica; y señala que el incumplimiento de esa disposición acarreará responsabilidad disciplinaria para el funcionario. En caso de fallecimiento de niños o niñas incluye un protocolo que obliga al médico o médica tratante a explicar al paciente en presencia de su acompañante las razones por las cuales considera que se ha producido la muerte del niño o niña y dejar constancia en el expediente de las causas que produjeron las complicaciones, el abordaje técnico y especializado que se brindó  y el otorgamiento del apoyo emocional.</w:t>
      </w:r>
    </w:p>
    <w:p w:rsidR="0012698C" w:rsidRPr="00FB4B57" w:rsidRDefault="0012698C" w:rsidP="00F269B1">
      <w:pPr>
        <w:jc w:val="both"/>
      </w:pPr>
      <w:r w:rsidRPr="00FB4B57">
        <w:t>Establece la obligación a la Caja Costarricense del Seguro Social de realizar periódicamente campañas de sensibilización de sus funcionarios, así como cursos de relaciones humanas, buenas prácticas clínicas y cualquier otro que fomente mejor atención hacia los pacientes.</w:t>
      </w:r>
      <w:r w:rsidRPr="00FB4B57">
        <w:tab/>
      </w:r>
    </w:p>
    <w:p w:rsidR="00416316" w:rsidRPr="00FB4B57" w:rsidRDefault="00AD2F41" w:rsidP="00F269B1">
      <w:pPr>
        <w:pStyle w:val="Heading3"/>
        <w:numPr>
          <w:ilvl w:val="0"/>
          <w:numId w:val="28"/>
        </w:numPr>
        <w:spacing w:line="240" w:lineRule="auto"/>
        <w:rPr>
          <w:rFonts w:ascii="Calibri" w:hAnsi="Calibri"/>
          <w:color w:val="1F4E79"/>
        </w:rPr>
      </w:pPr>
      <w:bookmarkStart w:id="112" w:name="_Toc446126707"/>
      <w:r w:rsidRPr="00FB4B57">
        <w:rPr>
          <w:rFonts w:ascii="Calibri" w:hAnsi="Calibri"/>
          <w:color w:val="1F4E79"/>
        </w:rPr>
        <w:t>Diversidad</w:t>
      </w:r>
      <w:r w:rsidR="00416316" w:rsidRPr="00FB4B57">
        <w:rPr>
          <w:rFonts w:ascii="Calibri" w:hAnsi="Calibri"/>
          <w:color w:val="1F4E79"/>
        </w:rPr>
        <w:t>-Ley de la Persona Joven</w:t>
      </w:r>
      <w:bookmarkEnd w:id="112"/>
    </w:p>
    <w:p w:rsidR="00416316" w:rsidRPr="00FB4B57" w:rsidRDefault="00416316" w:rsidP="00F269B1">
      <w:pPr>
        <w:shd w:val="clear" w:color="auto" w:fill="FFFFFF"/>
        <w:spacing w:after="0" w:line="240" w:lineRule="auto"/>
        <w:jc w:val="both"/>
        <w:rPr>
          <w:rFonts w:eastAsia="Times New Roman" w:cs="Arial"/>
          <w:color w:val="222222"/>
          <w:lang w:eastAsia="es-CR"/>
        </w:rPr>
      </w:pPr>
    </w:p>
    <w:p w:rsidR="00416316" w:rsidRPr="00FB4B57" w:rsidRDefault="00416316" w:rsidP="00F269B1">
      <w:pPr>
        <w:pStyle w:val="ListParagraph"/>
        <w:numPr>
          <w:ilvl w:val="0"/>
          <w:numId w:val="29"/>
        </w:numPr>
        <w:shd w:val="clear" w:color="auto" w:fill="FFFFFF"/>
        <w:spacing w:after="0" w:line="240" w:lineRule="auto"/>
        <w:jc w:val="both"/>
        <w:rPr>
          <w:rFonts w:eastAsia="Times New Roman" w:cs="Arial"/>
          <w:color w:val="222222"/>
          <w:lang w:eastAsia="es-CR"/>
        </w:rPr>
      </w:pPr>
      <w:r w:rsidRPr="00FB4B57">
        <w:rPr>
          <w:rFonts w:eastAsia="Times New Roman" w:cs="Arial"/>
          <w:color w:val="222222"/>
          <w:lang w:eastAsia="es-CR"/>
        </w:rPr>
        <w:t>La Ley n.° 9155 reformó la Ley General de la Persona Joven, en lo que interesa el artículo 4 inciso m), donde estableció: </w:t>
      </w:r>
      <w:r w:rsidRPr="00FB4B57">
        <w:rPr>
          <w:rFonts w:eastAsia="Times New Roman" w:cs="Arial"/>
          <w:i/>
          <w:iCs/>
          <w:color w:val="222222"/>
          <w:lang w:eastAsia="es-CR"/>
        </w:rPr>
        <w:t xml:space="preserve">“El derecho al reconocimiento, sin discriminación contraria a la dignidad </w:t>
      </w:r>
      <w:r w:rsidRPr="00FB4B57">
        <w:rPr>
          <w:rFonts w:eastAsia="Times New Roman" w:cs="Arial"/>
          <w:i/>
          <w:iCs/>
          <w:color w:val="222222"/>
          <w:lang w:eastAsia="es-CR"/>
        </w:rPr>
        <w:lastRenderedPageBreak/>
        <w:t>humana, de los efectos sociales y patrimoniales de las uniones de hecho que constituyan de forma pública, notoria, única y estable, con aptitud legal para contraer matrimonio por más de tres años. Para estos efectos, serán aplicables, en lo compatible, los artículos del 243 al 245 del Código de Familia, Ley N.º 5476, de 21 de diciembre de 1973, y sus reformas.” </w:t>
      </w:r>
      <w:r w:rsidRPr="00FB4B57">
        <w:rPr>
          <w:rFonts w:eastAsia="Times New Roman" w:cs="Arial"/>
          <w:color w:val="222222"/>
          <w:lang w:eastAsia="es-CR"/>
        </w:rPr>
        <w:t>Así, se otorga la posibilidad de que a las personas del mismo sexo se les pueda aceptar las uniones de hecho, como ocurrió mediante la sentencia 270-2015 del Juzgado de Familia del II Circuito Judicial de San José, primera que reconoce una unión de hecho.</w:t>
      </w:r>
    </w:p>
    <w:p w:rsidR="00416316" w:rsidRPr="00FB4B57" w:rsidRDefault="00416316" w:rsidP="00F269B1">
      <w:pPr>
        <w:pStyle w:val="ListParagraph"/>
        <w:shd w:val="clear" w:color="auto" w:fill="FFFFFF"/>
        <w:spacing w:after="0" w:line="240" w:lineRule="auto"/>
        <w:jc w:val="both"/>
        <w:rPr>
          <w:rFonts w:eastAsia="Times New Roman" w:cs="Arial"/>
          <w:color w:val="222222"/>
          <w:lang w:eastAsia="es-CR"/>
        </w:rPr>
      </w:pPr>
    </w:p>
    <w:p w:rsidR="00416316" w:rsidRPr="00FB4B57" w:rsidRDefault="00416316" w:rsidP="00F269B1">
      <w:pPr>
        <w:pStyle w:val="ListParagraph"/>
        <w:numPr>
          <w:ilvl w:val="0"/>
          <w:numId w:val="29"/>
        </w:numPr>
        <w:shd w:val="clear" w:color="auto" w:fill="FFFFFF"/>
        <w:spacing w:after="0" w:line="240" w:lineRule="auto"/>
        <w:jc w:val="both"/>
        <w:rPr>
          <w:rFonts w:eastAsia="Times New Roman" w:cs="Arial"/>
          <w:color w:val="222222"/>
          <w:lang w:eastAsia="es-CR"/>
        </w:rPr>
      </w:pPr>
      <w:r w:rsidRPr="00FB4B57">
        <w:rPr>
          <w:rFonts w:eastAsia="Times New Roman" w:cs="Arial"/>
          <w:color w:val="222222"/>
          <w:lang w:eastAsia="es-CR"/>
        </w:rPr>
        <w:t>El tema, es que actualmente se encuentra estudiando la Sala Constitucional una acción en contra de esa norma; (OPINIÓN POLÍTICA, VALORAR SU MENCIÓN) donde se espera que, a partir de un principio de progresividad en materia de derechos humanos y haciendo uso de su facultad de dimensionar los efectos de sus sentencias y el alcance de las normas, amplíe este derecho a personas mayores de 35 años y así, se pueda otorgar este derecho a toda la comunidad sexualmente diversa. </w:t>
      </w:r>
    </w:p>
    <w:p w:rsidR="00F269B1" w:rsidRPr="00FB4B57" w:rsidRDefault="00F269B1" w:rsidP="00F269B1">
      <w:pPr>
        <w:pStyle w:val="ListParagraph"/>
        <w:rPr>
          <w:rFonts w:eastAsia="Times New Roman" w:cs="Arial"/>
          <w:color w:val="222222"/>
          <w:lang w:eastAsia="es-CR"/>
        </w:rPr>
      </w:pPr>
    </w:p>
    <w:p w:rsidR="00416316" w:rsidRPr="00FB4B57" w:rsidRDefault="00E84FFC" w:rsidP="00F269B1">
      <w:pPr>
        <w:pStyle w:val="Heading3"/>
        <w:numPr>
          <w:ilvl w:val="0"/>
          <w:numId w:val="28"/>
        </w:numPr>
        <w:spacing w:before="0" w:line="240" w:lineRule="auto"/>
        <w:rPr>
          <w:rFonts w:ascii="Calibri" w:hAnsi="Calibri"/>
          <w:color w:val="1F4E79"/>
        </w:rPr>
      </w:pPr>
      <w:bookmarkStart w:id="113" w:name="_Toc446126708"/>
      <w:proofErr w:type="spellStart"/>
      <w:r w:rsidRPr="00FB4B57">
        <w:rPr>
          <w:rFonts w:ascii="Calibri" w:hAnsi="Calibri"/>
          <w:color w:val="1F4E79"/>
        </w:rPr>
        <w:t>C</w:t>
      </w:r>
      <w:r w:rsidR="00416316" w:rsidRPr="00FB4B57">
        <w:rPr>
          <w:rFonts w:ascii="Calibri" w:hAnsi="Calibri"/>
          <w:color w:val="1F4E79"/>
        </w:rPr>
        <w:t>ibercriminalidad</w:t>
      </w:r>
      <w:proofErr w:type="spellEnd"/>
      <w:r w:rsidR="00416316" w:rsidRPr="00FB4B57">
        <w:rPr>
          <w:rFonts w:ascii="Calibri" w:hAnsi="Calibri"/>
          <w:color w:val="1F4E79"/>
        </w:rPr>
        <w:t xml:space="preserve"> y delitos informáticos -adecuación al PIDCP</w:t>
      </w:r>
      <w:bookmarkEnd w:id="113"/>
    </w:p>
    <w:p w:rsidR="00684E23" w:rsidRDefault="00684E23" w:rsidP="00684E23">
      <w:pPr>
        <w:spacing w:line="240" w:lineRule="auto"/>
        <w:ind w:left="360"/>
        <w:jc w:val="both"/>
      </w:pPr>
    </w:p>
    <w:p w:rsidR="00416316" w:rsidRPr="00FB4B57" w:rsidRDefault="00416316" w:rsidP="00F269B1">
      <w:pPr>
        <w:pStyle w:val="ListParagraph"/>
        <w:numPr>
          <w:ilvl w:val="0"/>
          <w:numId w:val="32"/>
        </w:numPr>
        <w:spacing w:line="240" w:lineRule="auto"/>
        <w:jc w:val="both"/>
      </w:pPr>
      <w:r w:rsidRPr="00FB4B57">
        <w:t>El Comité había planteado preocupación por la regulación del Código Penal sobre “</w:t>
      </w:r>
      <w:r w:rsidRPr="00FB4B57">
        <w:rPr>
          <w:i/>
          <w:iCs/>
        </w:rPr>
        <w:t>informaciones políticas secretas</w:t>
      </w:r>
      <w:r w:rsidRPr="00FB4B57">
        <w:t>”, relacionado con la revelación de secretos de estados y espionaje. En el abril 2013 se reformó la ley de delitos informáticos, replanteando dichos delitos de modo que las sanciones en ambos delitos solo recaen en quien</w:t>
      </w:r>
      <w:r w:rsidRPr="00FB4B57">
        <w:rPr>
          <w:rStyle w:val="apple-converted-space"/>
          <w:rFonts w:cs="Arial"/>
          <w:color w:val="222222"/>
        </w:rPr>
        <w:t> </w:t>
      </w:r>
      <w:r w:rsidRPr="00FB4B57">
        <w:rPr>
          <w:b/>
          <w:bCs/>
        </w:rPr>
        <w:t>revele, procure u obtenga secretos de Estado debidamente decretados</w:t>
      </w:r>
      <w:r w:rsidRPr="00FB4B57">
        <w:t>, eliminando la frase “informaciones políticas secretas”, adecuándolas al artículo 19 del Pacto.</w:t>
      </w:r>
    </w:p>
    <w:p w:rsidR="00416316" w:rsidRPr="00FB4B57" w:rsidRDefault="00416316" w:rsidP="00F269B1">
      <w:pPr>
        <w:pStyle w:val="NoSpacing"/>
        <w:numPr>
          <w:ilvl w:val="0"/>
          <w:numId w:val="32"/>
        </w:numPr>
        <w:jc w:val="both"/>
        <w:rPr>
          <w:rFonts w:cs="Arial"/>
          <w:color w:val="222222"/>
        </w:rPr>
      </w:pPr>
      <w:r w:rsidRPr="00FB4B57">
        <w:rPr>
          <w:lang w:val="es-MX"/>
        </w:rPr>
        <w:t>A la vez, la reforma</w:t>
      </w:r>
      <w:r w:rsidRPr="00FB4B57">
        <w:rPr>
          <w:rStyle w:val="apple-converted-space"/>
          <w:rFonts w:cs="Arial"/>
          <w:color w:val="222222"/>
          <w:lang w:val="es-MX"/>
        </w:rPr>
        <w:t> </w:t>
      </w:r>
      <w:r w:rsidRPr="00FB4B57">
        <w:t>reconoce el interés público de las informaciones, señalando que en el delito de violación de datos personales no constituirá delito la publicación, difusión o transmisión de información de interés público.</w:t>
      </w:r>
      <w:r w:rsidRPr="00FB4B57">
        <w:rPr>
          <w:rStyle w:val="apple-converted-space"/>
          <w:rFonts w:cs="Arial"/>
          <w:color w:val="222222"/>
        </w:rPr>
        <w:t> </w:t>
      </w:r>
      <w:r w:rsidRPr="00FB4B57">
        <w:t>En relación con la violación de correspondencia y comunicaciones, contemplada en el artículo 196 del Código Penal, se fija una sanción para aquellas personas que, con peligro o daño para</w:t>
      </w:r>
      <w:r w:rsidRPr="00FB4B57">
        <w:rPr>
          <w:rStyle w:val="apple-converted-space"/>
          <w:rFonts w:cs="Arial"/>
          <w:color w:val="222222"/>
        </w:rPr>
        <w:t> </w:t>
      </w:r>
      <w:r w:rsidRPr="00FB4B57">
        <w:rPr>
          <w:color w:val="000000"/>
        </w:rPr>
        <w:t>la intimidad de otro, utilicen o difundan el contenido de comunicaciones o documentos privados que carezcan de interés público.  Siendo así, se visualiza la adecuación de los tipos penales al derecho de acceso a la información pública, estableciendo sanciones únicamente en aquellas situaciones que violenten la intimidad o privacidad, cuando no medie un interés público. </w:t>
      </w:r>
    </w:p>
    <w:p w:rsidR="00416316" w:rsidRPr="00FB4B57" w:rsidRDefault="00416316" w:rsidP="00F269B1">
      <w:pPr>
        <w:pStyle w:val="NoSpacing"/>
        <w:ind w:left="720"/>
        <w:jc w:val="both"/>
        <w:rPr>
          <w:rFonts w:cs="Arial"/>
          <w:color w:val="222222"/>
        </w:rPr>
      </w:pPr>
    </w:p>
    <w:p w:rsidR="00416316" w:rsidRPr="00FB4B57" w:rsidRDefault="00416316" w:rsidP="00F269B1">
      <w:pPr>
        <w:pStyle w:val="ListParagraph"/>
        <w:numPr>
          <w:ilvl w:val="0"/>
          <w:numId w:val="32"/>
        </w:numPr>
        <w:spacing w:line="240" w:lineRule="auto"/>
        <w:jc w:val="both"/>
      </w:pPr>
      <w:r w:rsidRPr="00FB4B57">
        <w:rPr>
          <w:lang w:val="es-MX"/>
        </w:rPr>
        <w:t>Según lo expuesto, es posible determinar que el contenido de la Ley de Delitos Informáticos se adecua al artículo 19 del Pacto Internacional de Derechos Civiles y Políticos, al no fijar límites excesivos al derecho a la libertad</w:t>
      </w:r>
      <w:r w:rsidRPr="00FB4B57">
        <w:rPr>
          <w:rStyle w:val="apple-converted-space"/>
          <w:rFonts w:cs="Arial"/>
          <w:color w:val="222222"/>
          <w:lang w:val="es-MX"/>
        </w:rPr>
        <w:t> </w:t>
      </w:r>
      <w:r w:rsidRPr="00FB4B57">
        <w:t>de expresión.</w:t>
      </w:r>
    </w:p>
    <w:p w:rsidR="00416316" w:rsidRPr="00FB4B57" w:rsidRDefault="00E84FFC" w:rsidP="00F269B1">
      <w:pPr>
        <w:pStyle w:val="Heading3"/>
        <w:numPr>
          <w:ilvl w:val="0"/>
          <w:numId w:val="28"/>
        </w:numPr>
        <w:spacing w:line="240" w:lineRule="auto"/>
        <w:rPr>
          <w:rFonts w:ascii="Calibri" w:hAnsi="Calibri"/>
          <w:color w:val="1F4E79"/>
        </w:rPr>
      </w:pPr>
      <w:bookmarkStart w:id="114" w:name="_Toc446126709"/>
      <w:r w:rsidRPr="00FB4B57">
        <w:rPr>
          <w:rFonts w:ascii="Calibri" w:hAnsi="Calibri"/>
          <w:color w:val="1F4E79"/>
        </w:rPr>
        <w:t>S</w:t>
      </w:r>
      <w:r w:rsidR="00416316" w:rsidRPr="00FB4B57">
        <w:rPr>
          <w:rFonts w:ascii="Calibri" w:hAnsi="Calibri"/>
          <w:color w:val="1F4E79"/>
        </w:rPr>
        <w:t>anciones a los delitos informáticos contra menores</w:t>
      </w:r>
      <w:bookmarkEnd w:id="114"/>
      <w:r w:rsidR="00416316" w:rsidRPr="00FB4B57">
        <w:rPr>
          <w:rFonts w:ascii="Calibri" w:hAnsi="Calibri"/>
          <w:color w:val="1F4E79"/>
        </w:rPr>
        <w:t xml:space="preserve"> </w:t>
      </w:r>
    </w:p>
    <w:p w:rsidR="00416316" w:rsidRPr="00FB4B57" w:rsidRDefault="00416316" w:rsidP="00F269B1">
      <w:pPr>
        <w:pStyle w:val="NormalWeb"/>
        <w:shd w:val="clear" w:color="auto" w:fill="FFFFFF"/>
        <w:jc w:val="both"/>
        <w:rPr>
          <w:rFonts w:ascii="Calibri" w:hAnsi="Calibri" w:cs="Arial"/>
          <w:color w:val="222222"/>
          <w:sz w:val="22"/>
          <w:szCs w:val="22"/>
          <w:shd w:val="clear" w:color="auto" w:fill="FFFFFF"/>
        </w:rPr>
      </w:pPr>
      <w:r w:rsidRPr="00FB4B57">
        <w:rPr>
          <w:rFonts w:ascii="Calibri" w:hAnsi="Calibri" w:cs="Arial"/>
          <w:color w:val="222222"/>
          <w:sz w:val="22"/>
          <w:szCs w:val="22"/>
          <w:shd w:val="clear" w:color="auto" w:fill="FFFFFF"/>
        </w:rPr>
        <w:t>En razón de la reforma al Código Penal por la Ley de Delitos</w:t>
      </w:r>
      <w:r w:rsidR="00F269B1" w:rsidRPr="00FB4B57">
        <w:rPr>
          <w:rFonts w:ascii="Calibri" w:hAnsi="Calibri" w:cs="Arial"/>
          <w:color w:val="222222"/>
          <w:sz w:val="22"/>
          <w:szCs w:val="22"/>
          <w:shd w:val="clear" w:color="auto" w:fill="FFFFFF"/>
        </w:rPr>
        <w:t xml:space="preserve"> </w:t>
      </w:r>
      <w:r w:rsidRPr="00FB4B57">
        <w:rPr>
          <w:rFonts w:ascii="Calibri" w:hAnsi="Calibri" w:cs="Arial"/>
          <w:color w:val="222222"/>
          <w:sz w:val="22"/>
          <w:szCs w:val="22"/>
          <w:shd w:val="clear" w:color="auto" w:fill="FFFFFF"/>
        </w:rPr>
        <w:t>informáticos del año 2012, las sanciones son las siguientes:</w:t>
      </w:r>
    </w:p>
    <w:p w:rsidR="00416316" w:rsidRPr="00FB4B57" w:rsidRDefault="00416316" w:rsidP="00F269B1">
      <w:pPr>
        <w:pStyle w:val="NormalWeb"/>
        <w:numPr>
          <w:ilvl w:val="0"/>
          <w:numId w:val="33"/>
        </w:numPr>
        <w:shd w:val="clear" w:color="auto" w:fill="FFFFFF"/>
        <w:jc w:val="both"/>
        <w:rPr>
          <w:rFonts w:ascii="Calibri" w:hAnsi="Calibri" w:cs="Arial"/>
          <w:color w:val="222222"/>
          <w:sz w:val="22"/>
          <w:szCs w:val="22"/>
          <w:shd w:val="clear" w:color="auto" w:fill="FFFFFF"/>
        </w:rPr>
      </w:pPr>
      <w:r w:rsidRPr="00FB4B57">
        <w:rPr>
          <w:rFonts w:ascii="Calibri" w:hAnsi="Calibri" w:cs="Arial"/>
          <w:color w:val="222222"/>
          <w:sz w:val="22"/>
          <w:szCs w:val="22"/>
          <w:shd w:val="clear" w:color="auto" w:fill="FFFFFF"/>
        </w:rPr>
        <w:t xml:space="preserve">Artículo 196 bis.- </w:t>
      </w:r>
      <w:r w:rsidRPr="00FB4B57">
        <w:rPr>
          <w:rFonts w:ascii="Calibri" w:hAnsi="Calibri" w:cs="Arial"/>
          <w:b/>
          <w:color w:val="222222"/>
          <w:sz w:val="22"/>
          <w:szCs w:val="22"/>
          <w:shd w:val="clear" w:color="auto" w:fill="FFFFFF"/>
        </w:rPr>
        <w:t>Violación de datos personales</w:t>
      </w:r>
      <w:r w:rsidR="00F269B1" w:rsidRPr="00FB4B57">
        <w:rPr>
          <w:rFonts w:ascii="Calibri" w:hAnsi="Calibri" w:cs="Arial"/>
          <w:color w:val="222222"/>
          <w:sz w:val="22"/>
          <w:szCs w:val="22"/>
          <w:shd w:val="clear" w:color="auto" w:fill="FFFFFF"/>
        </w:rPr>
        <w:t>.</w:t>
      </w:r>
      <w:r w:rsidRPr="00FB4B57">
        <w:rPr>
          <w:rFonts w:ascii="Calibri" w:hAnsi="Calibri" w:cs="Arial"/>
          <w:color w:val="222222"/>
          <w:sz w:val="22"/>
          <w:szCs w:val="22"/>
          <w:shd w:val="clear" w:color="auto" w:fill="FFFFFF"/>
        </w:rPr>
        <w:t xml:space="preserve"> Será sancionado con</w:t>
      </w:r>
      <w:r w:rsidRPr="00FB4B57">
        <w:rPr>
          <w:rFonts w:ascii="Calibri" w:hAnsi="Calibri" w:cs="Arial"/>
          <w:color w:val="222222"/>
          <w:sz w:val="22"/>
          <w:szCs w:val="22"/>
        </w:rPr>
        <w:t xml:space="preserve"> </w:t>
      </w:r>
      <w:r w:rsidRPr="00FB4B57">
        <w:rPr>
          <w:rFonts w:ascii="Calibri" w:hAnsi="Calibri" w:cs="Arial"/>
          <w:color w:val="222222"/>
          <w:sz w:val="22"/>
          <w:szCs w:val="22"/>
          <w:shd w:val="clear" w:color="auto" w:fill="FFFFFF"/>
        </w:rPr>
        <w:t>pena de prisión de tres a seis años quien en beneficio propio o de un</w:t>
      </w:r>
      <w:r w:rsidRPr="00FB4B57">
        <w:rPr>
          <w:rFonts w:ascii="Calibri" w:hAnsi="Calibri" w:cs="Arial"/>
          <w:color w:val="222222"/>
          <w:sz w:val="22"/>
          <w:szCs w:val="22"/>
        </w:rPr>
        <w:t xml:space="preserve"> </w:t>
      </w:r>
      <w:r w:rsidRPr="00FB4B57">
        <w:rPr>
          <w:rFonts w:ascii="Calibri" w:hAnsi="Calibri" w:cs="Arial"/>
          <w:color w:val="222222"/>
          <w:sz w:val="22"/>
          <w:szCs w:val="22"/>
          <w:shd w:val="clear" w:color="auto" w:fill="FFFFFF"/>
        </w:rPr>
        <w:t>tercero, con peligro o daño para la intimidad o privacidad y sin la</w:t>
      </w:r>
      <w:r w:rsidRPr="00FB4B57">
        <w:rPr>
          <w:rFonts w:ascii="Calibri" w:hAnsi="Calibri" w:cs="Arial"/>
          <w:color w:val="222222"/>
          <w:sz w:val="22"/>
          <w:szCs w:val="22"/>
        </w:rPr>
        <w:t xml:space="preserve"> </w:t>
      </w:r>
      <w:r w:rsidRPr="00FB4B57">
        <w:rPr>
          <w:rFonts w:ascii="Calibri" w:hAnsi="Calibri" w:cs="Arial"/>
          <w:color w:val="222222"/>
          <w:sz w:val="22"/>
          <w:szCs w:val="22"/>
          <w:shd w:val="clear" w:color="auto" w:fill="FFFFFF"/>
        </w:rPr>
        <w:t>autorización del titular de los datos, se apodere, modifique,</w:t>
      </w:r>
      <w:r w:rsidRPr="00FB4B57">
        <w:rPr>
          <w:rFonts w:ascii="Calibri" w:hAnsi="Calibri" w:cs="Arial"/>
          <w:color w:val="222222"/>
          <w:sz w:val="22"/>
          <w:szCs w:val="22"/>
        </w:rPr>
        <w:t xml:space="preserve"> </w:t>
      </w:r>
      <w:r w:rsidRPr="00FB4B57">
        <w:rPr>
          <w:rFonts w:ascii="Calibri" w:hAnsi="Calibri" w:cs="Arial"/>
          <w:color w:val="222222"/>
          <w:sz w:val="22"/>
          <w:szCs w:val="22"/>
          <w:shd w:val="clear" w:color="auto" w:fill="FFFFFF"/>
        </w:rPr>
        <w:t xml:space="preserve">interfiera, acceda, </w:t>
      </w:r>
      <w:r w:rsidRPr="00FB4B57">
        <w:rPr>
          <w:rFonts w:ascii="Calibri" w:hAnsi="Calibri" w:cs="Arial"/>
          <w:color w:val="222222"/>
          <w:sz w:val="22"/>
          <w:szCs w:val="22"/>
          <w:shd w:val="clear" w:color="auto" w:fill="FFFFFF"/>
        </w:rPr>
        <w:lastRenderedPageBreak/>
        <w:t>copie, transmita, publique, difunda, recopile,</w:t>
      </w:r>
      <w:r w:rsidRPr="00FB4B57">
        <w:rPr>
          <w:rFonts w:ascii="Calibri" w:hAnsi="Calibri" w:cs="Arial"/>
          <w:color w:val="222222"/>
          <w:sz w:val="22"/>
          <w:szCs w:val="22"/>
        </w:rPr>
        <w:t xml:space="preserve"> </w:t>
      </w:r>
      <w:r w:rsidRPr="00FB4B57">
        <w:rPr>
          <w:rFonts w:ascii="Calibri" w:hAnsi="Calibri" w:cs="Arial"/>
          <w:color w:val="222222"/>
          <w:sz w:val="22"/>
          <w:szCs w:val="22"/>
          <w:shd w:val="clear" w:color="auto" w:fill="FFFFFF"/>
        </w:rPr>
        <w:t>inutilice, intercepte, retenga, venda, compre, desvíe para un fin</w:t>
      </w:r>
      <w:r w:rsidR="00F269B1" w:rsidRPr="00FB4B57">
        <w:rPr>
          <w:rFonts w:ascii="Calibri" w:hAnsi="Calibri" w:cs="Arial"/>
          <w:color w:val="222222"/>
          <w:sz w:val="22"/>
          <w:szCs w:val="22"/>
          <w:shd w:val="clear" w:color="auto" w:fill="FFFFFF"/>
        </w:rPr>
        <w:t xml:space="preserve"> </w:t>
      </w:r>
      <w:r w:rsidRPr="00FB4B57">
        <w:rPr>
          <w:rFonts w:ascii="Calibri" w:hAnsi="Calibri" w:cs="Arial"/>
          <w:color w:val="222222"/>
          <w:sz w:val="22"/>
          <w:szCs w:val="22"/>
          <w:shd w:val="clear" w:color="auto" w:fill="FFFFFF"/>
        </w:rPr>
        <w:t>distinto para el que fueron recolectados o dé un tratamiento no</w:t>
      </w:r>
      <w:r w:rsidRPr="00FB4B57">
        <w:rPr>
          <w:rFonts w:ascii="Calibri" w:hAnsi="Calibri" w:cs="Arial"/>
          <w:color w:val="222222"/>
          <w:sz w:val="22"/>
          <w:szCs w:val="22"/>
        </w:rPr>
        <w:t xml:space="preserve"> </w:t>
      </w:r>
      <w:r w:rsidRPr="00FB4B57">
        <w:rPr>
          <w:rFonts w:ascii="Calibri" w:hAnsi="Calibri" w:cs="Arial"/>
          <w:color w:val="222222"/>
          <w:sz w:val="22"/>
          <w:szCs w:val="22"/>
          <w:shd w:val="clear" w:color="auto" w:fill="FFFFFF"/>
        </w:rPr>
        <w:t>autorizado a las imágenes o datos de una persona física o jurídica</w:t>
      </w:r>
      <w:r w:rsidRPr="00FB4B57">
        <w:rPr>
          <w:rFonts w:ascii="Calibri" w:hAnsi="Calibri" w:cs="Arial"/>
          <w:color w:val="222222"/>
          <w:sz w:val="22"/>
          <w:szCs w:val="22"/>
        </w:rPr>
        <w:t xml:space="preserve"> </w:t>
      </w:r>
      <w:r w:rsidRPr="00FB4B57">
        <w:rPr>
          <w:rFonts w:ascii="Calibri" w:hAnsi="Calibri" w:cs="Arial"/>
          <w:color w:val="222222"/>
          <w:sz w:val="22"/>
          <w:szCs w:val="22"/>
          <w:shd w:val="clear" w:color="auto" w:fill="FFFFFF"/>
        </w:rPr>
        <w:t>almacenados en sistemas o redes informáticas o telemáticas, o en</w:t>
      </w:r>
      <w:r w:rsidRPr="00FB4B57">
        <w:rPr>
          <w:rFonts w:ascii="Calibri" w:hAnsi="Calibri" w:cs="Arial"/>
          <w:color w:val="222222"/>
          <w:sz w:val="22"/>
          <w:szCs w:val="22"/>
        </w:rPr>
        <w:t xml:space="preserve"> </w:t>
      </w:r>
      <w:r w:rsidRPr="00FB4B57">
        <w:rPr>
          <w:rFonts w:ascii="Calibri" w:hAnsi="Calibri" w:cs="Arial"/>
          <w:color w:val="222222"/>
          <w:sz w:val="22"/>
          <w:szCs w:val="22"/>
          <w:shd w:val="clear" w:color="auto" w:fill="FFFFFF"/>
        </w:rPr>
        <w:t>contenedores electrónicos, ópticos o magnéticos. La pena será de</w:t>
      </w:r>
      <w:r w:rsidRPr="00FB4B57">
        <w:rPr>
          <w:rFonts w:ascii="Calibri" w:hAnsi="Calibri" w:cs="Arial"/>
          <w:color w:val="222222"/>
          <w:sz w:val="22"/>
          <w:szCs w:val="22"/>
        </w:rPr>
        <w:t xml:space="preserve"> </w:t>
      </w:r>
      <w:r w:rsidRPr="00FB4B57">
        <w:rPr>
          <w:rFonts w:ascii="Calibri" w:hAnsi="Calibri" w:cs="Arial"/>
          <w:color w:val="222222"/>
          <w:sz w:val="22"/>
          <w:szCs w:val="22"/>
          <w:shd w:val="clear" w:color="auto" w:fill="FFFFFF"/>
        </w:rPr>
        <w:t>cuatro a ocho años de prisión cuando las conductas descritas en esta</w:t>
      </w:r>
      <w:r w:rsidRPr="00FB4B57">
        <w:rPr>
          <w:rFonts w:ascii="Calibri" w:hAnsi="Calibri" w:cs="Arial"/>
          <w:color w:val="222222"/>
          <w:sz w:val="22"/>
          <w:szCs w:val="22"/>
        </w:rPr>
        <w:t xml:space="preserve"> </w:t>
      </w:r>
      <w:r w:rsidRPr="00FB4B57">
        <w:rPr>
          <w:rFonts w:ascii="Calibri" w:hAnsi="Calibri" w:cs="Arial"/>
          <w:color w:val="222222"/>
          <w:sz w:val="22"/>
          <w:szCs w:val="22"/>
          <w:shd w:val="clear" w:color="auto" w:fill="FFFFFF"/>
        </w:rPr>
        <w:t xml:space="preserve">norma:  </w:t>
      </w:r>
    </w:p>
    <w:p w:rsidR="00416316" w:rsidRPr="00FB4B57" w:rsidRDefault="00416316" w:rsidP="00F269B1">
      <w:pPr>
        <w:pStyle w:val="NormalWeb"/>
        <w:shd w:val="clear" w:color="auto" w:fill="FFFFFF"/>
        <w:ind w:left="720"/>
        <w:jc w:val="both"/>
        <w:rPr>
          <w:rFonts w:ascii="Calibri" w:hAnsi="Calibri" w:cs="Arial"/>
          <w:color w:val="222222"/>
          <w:sz w:val="22"/>
          <w:szCs w:val="22"/>
          <w:shd w:val="clear" w:color="auto" w:fill="FFFFFF"/>
        </w:rPr>
      </w:pPr>
      <w:r w:rsidRPr="00FB4B57">
        <w:rPr>
          <w:rFonts w:ascii="Calibri" w:hAnsi="Calibri" w:cs="Arial"/>
          <w:color w:val="222222"/>
          <w:sz w:val="22"/>
          <w:szCs w:val="22"/>
          <w:shd w:val="clear" w:color="auto" w:fill="FFFFFF"/>
        </w:rPr>
        <w:t>c) Si la información vulnerada corresponde a un menor de edad</w:t>
      </w:r>
      <w:r w:rsidR="00F269B1" w:rsidRPr="00FB4B57">
        <w:rPr>
          <w:rFonts w:ascii="Calibri" w:hAnsi="Calibri" w:cs="Arial"/>
          <w:color w:val="222222"/>
          <w:sz w:val="22"/>
          <w:szCs w:val="22"/>
          <w:shd w:val="clear" w:color="auto" w:fill="FFFFFF"/>
        </w:rPr>
        <w:t xml:space="preserve"> </w:t>
      </w:r>
      <w:r w:rsidRPr="00FB4B57">
        <w:rPr>
          <w:rFonts w:ascii="Calibri" w:hAnsi="Calibri" w:cs="Arial"/>
          <w:color w:val="222222"/>
          <w:sz w:val="22"/>
          <w:szCs w:val="22"/>
          <w:shd w:val="clear" w:color="auto" w:fill="FFFFFF"/>
        </w:rPr>
        <w:t>o incapaz.</w:t>
      </w:r>
    </w:p>
    <w:p w:rsidR="00416316" w:rsidRPr="00FB4B57" w:rsidRDefault="00416316" w:rsidP="00F269B1">
      <w:pPr>
        <w:pStyle w:val="NoSpacing"/>
        <w:numPr>
          <w:ilvl w:val="0"/>
          <w:numId w:val="33"/>
        </w:numPr>
        <w:jc w:val="both"/>
      </w:pPr>
      <w:r w:rsidRPr="00FB4B57">
        <w:rPr>
          <w:shd w:val="clear" w:color="auto" w:fill="FFFFFF"/>
        </w:rPr>
        <w:t xml:space="preserve">Artículo 167.- </w:t>
      </w:r>
      <w:r w:rsidRPr="00FB4B57">
        <w:rPr>
          <w:b/>
          <w:shd w:val="clear" w:color="auto" w:fill="FFFFFF"/>
        </w:rPr>
        <w:t>Corrupción</w:t>
      </w:r>
      <w:r w:rsidR="00F269B1" w:rsidRPr="00FB4B57">
        <w:rPr>
          <w:b/>
          <w:shd w:val="clear" w:color="auto" w:fill="FFFFFF"/>
        </w:rPr>
        <w:t>.</w:t>
      </w:r>
      <w:r w:rsidRPr="00FB4B57">
        <w:rPr>
          <w:shd w:val="clear" w:color="auto" w:fill="FFFFFF"/>
        </w:rPr>
        <w:t xml:space="preserve"> Será sancionado con pena de prisión de tres</w:t>
      </w:r>
      <w:r w:rsidRPr="00FB4B57">
        <w:br/>
      </w:r>
      <w:r w:rsidRPr="00FB4B57">
        <w:rPr>
          <w:shd w:val="clear" w:color="auto" w:fill="FFFFFF"/>
        </w:rPr>
        <w:t>a ocho años quien mantenga o promueva la corrupción de una persona</w:t>
      </w:r>
      <w:r w:rsidRPr="00FB4B57">
        <w:t xml:space="preserve"> </w:t>
      </w:r>
      <w:r w:rsidRPr="00FB4B57">
        <w:rPr>
          <w:shd w:val="clear" w:color="auto" w:fill="FFFFFF"/>
        </w:rPr>
        <w:t>menor de edad o incapaz, con fines eróticos, pornográficos u obscenos,</w:t>
      </w:r>
      <w:r w:rsidRPr="00FB4B57">
        <w:t xml:space="preserve"> </w:t>
      </w:r>
      <w:r w:rsidRPr="00FB4B57">
        <w:rPr>
          <w:shd w:val="clear" w:color="auto" w:fill="FFFFFF"/>
        </w:rPr>
        <w:t>en exhibiciones o espectáculos públicos o privados, aunque la persona</w:t>
      </w:r>
      <w:r w:rsidRPr="00FB4B57">
        <w:t xml:space="preserve"> </w:t>
      </w:r>
      <w:r w:rsidRPr="00FB4B57">
        <w:rPr>
          <w:shd w:val="clear" w:color="auto" w:fill="FFFFFF"/>
        </w:rPr>
        <w:t>menor de edad o incapaz lo consienta.</w:t>
      </w:r>
      <w:r w:rsidRPr="00FB4B57">
        <w:t xml:space="preserve"> </w:t>
      </w:r>
      <w:r w:rsidRPr="00FB4B57">
        <w:rPr>
          <w:shd w:val="clear" w:color="auto" w:fill="FFFFFF"/>
        </w:rPr>
        <w:t>La pena será de cuatro a diez años de prisión, si el actor, utilizando</w:t>
      </w:r>
      <w:r w:rsidRPr="00FB4B57">
        <w:t xml:space="preserve"> </w:t>
      </w:r>
      <w:r w:rsidRPr="00FB4B57">
        <w:rPr>
          <w:shd w:val="clear" w:color="auto" w:fill="FFFFFF"/>
        </w:rPr>
        <w:t>las redes sociales o cualquier otro medio informático o telemático, u</w:t>
      </w:r>
      <w:r w:rsidRPr="00FB4B57">
        <w:t xml:space="preserve"> </w:t>
      </w:r>
      <w:r w:rsidRPr="00FB4B57">
        <w:rPr>
          <w:shd w:val="clear" w:color="auto" w:fill="FFFFFF"/>
        </w:rPr>
        <w:t>otro medio de comunicación, busca encuentros de carácter sexual para</w:t>
      </w:r>
      <w:r w:rsidRPr="00FB4B57">
        <w:t xml:space="preserve"> </w:t>
      </w:r>
      <w:r w:rsidRPr="00FB4B57">
        <w:rPr>
          <w:shd w:val="clear" w:color="auto" w:fill="FFFFFF"/>
        </w:rPr>
        <w:t>sí, para otro o para grupos, con una persona menor de edad o incapaz;</w:t>
      </w:r>
      <w:r w:rsidRPr="00FB4B57">
        <w:t xml:space="preserve"> </w:t>
      </w:r>
      <w:r w:rsidRPr="00FB4B57">
        <w:rPr>
          <w:shd w:val="clear" w:color="auto" w:fill="FFFFFF"/>
        </w:rPr>
        <w:t>utiliza a estas personas para promover la corrupción o las obliga a</w:t>
      </w:r>
      <w:r w:rsidRPr="00FB4B57">
        <w:t xml:space="preserve"> </w:t>
      </w:r>
      <w:r w:rsidRPr="00FB4B57">
        <w:rPr>
          <w:shd w:val="clear" w:color="auto" w:fill="FFFFFF"/>
        </w:rPr>
        <w:t>realizar actos sexuales perversos, prematuros o excesivos, aunque la</w:t>
      </w:r>
      <w:r w:rsidRPr="00FB4B57">
        <w:t xml:space="preserve"> </w:t>
      </w:r>
      <w:r w:rsidRPr="00FB4B57">
        <w:rPr>
          <w:shd w:val="clear" w:color="auto" w:fill="FFFFFF"/>
        </w:rPr>
        <w:t>víctima consienta participar en ellos o verlos ejecutar</w:t>
      </w:r>
    </w:p>
    <w:p w:rsidR="00416316" w:rsidRPr="00FB4B57" w:rsidRDefault="00416316" w:rsidP="00F269B1">
      <w:pPr>
        <w:pStyle w:val="NoSpacing"/>
        <w:ind w:left="720"/>
        <w:jc w:val="both"/>
      </w:pPr>
    </w:p>
    <w:p w:rsidR="00416316" w:rsidRPr="00E272B2" w:rsidRDefault="00416316" w:rsidP="00E272B2">
      <w:pPr>
        <w:pStyle w:val="NoSpacing"/>
        <w:numPr>
          <w:ilvl w:val="0"/>
          <w:numId w:val="33"/>
        </w:numPr>
        <w:jc w:val="both"/>
      </w:pPr>
      <w:r w:rsidRPr="00FB4B57">
        <w:rPr>
          <w:rFonts w:cs="Arial"/>
          <w:color w:val="222222"/>
          <w:shd w:val="clear" w:color="auto" w:fill="FFFFFF"/>
        </w:rPr>
        <w:t xml:space="preserve">Artículo 230.- </w:t>
      </w:r>
      <w:r w:rsidRPr="00FB4B57">
        <w:rPr>
          <w:rFonts w:cs="Arial"/>
          <w:b/>
          <w:color w:val="222222"/>
          <w:shd w:val="clear" w:color="auto" w:fill="FFFFFF"/>
        </w:rPr>
        <w:t>Suplantación de identidad</w:t>
      </w:r>
      <w:r w:rsidR="00F269B1" w:rsidRPr="00FB4B57">
        <w:rPr>
          <w:rFonts w:cs="Arial"/>
          <w:color w:val="222222"/>
          <w:shd w:val="clear" w:color="auto" w:fill="FFFFFF"/>
        </w:rPr>
        <w:t>.</w:t>
      </w:r>
      <w:r w:rsidRPr="00FB4B57">
        <w:rPr>
          <w:rFonts w:cs="Arial"/>
          <w:color w:val="222222"/>
          <w:shd w:val="clear" w:color="auto" w:fill="FFFFFF"/>
        </w:rPr>
        <w:t xml:space="preserve"> Será sancionado con pena de</w:t>
      </w:r>
      <w:r w:rsidRPr="00FB4B57">
        <w:rPr>
          <w:rFonts w:cs="Arial"/>
          <w:color w:val="222222"/>
        </w:rPr>
        <w:t xml:space="preserve"> </w:t>
      </w:r>
      <w:r w:rsidRPr="00FB4B57">
        <w:rPr>
          <w:rFonts w:cs="Arial"/>
          <w:color w:val="222222"/>
          <w:shd w:val="clear" w:color="auto" w:fill="FFFFFF"/>
        </w:rPr>
        <w:t>prisión de tres a seis años quien suplante la identidad de una persona</w:t>
      </w:r>
      <w:r w:rsidRPr="00FB4B57">
        <w:rPr>
          <w:rFonts w:cs="Arial"/>
          <w:color w:val="222222"/>
        </w:rPr>
        <w:t xml:space="preserve"> </w:t>
      </w:r>
      <w:r w:rsidRPr="00FB4B57">
        <w:rPr>
          <w:rFonts w:cs="Arial"/>
          <w:color w:val="222222"/>
          <w:shd w:val="clear" w:color="auto" w:fill="FFFFFF"/>
        </w:rPr>
        <w:t>en cualquier red social, sitio de Internet, medio electrónico o</w:t>
      </w:r>
      <w:r w:rsidRPr="00FB4B57">
        <w:rPr>
          <w:rFonts w:cs="Arial"/>
          <w:color w:val="222222"/>
        </w:rPr>
        <w:t xml:space="preserve"> </w:t>
      </w:r>
      <w:r w:rsidRPr="00FB4B57">
        <w:rPr>
          <w:rFonts w:cs="Arial"/>
          <w:color w:val="222222"/>
          <w:shd w:val="clear" w:color="auto" w:fill="FFFFFF"/>
        </w:rPr>
        <w:t>tecnológico de información. La misma pena se le impondrá a quien,</w:t>
      </w:r>
      <w:r w:rsidRPr="00FB4B57">
        <w:rPr>
          <w:rFonts w:cs="Arial"/>
          <w:color w:val="222222"/>
        </w:rPr>
        <w:t xml:space="preserve"> </w:t>
      </w:r>
      <w:r w:rsidRPr="00FB4B57">
        <w:rPr>
          <w:rFonts w:cs="Arial"/>
          <w:color w:val="222222"/>
          <w:shd w:val="clear" w:color="auto" w:fill="FFFFFF"/>
        </w:rPr>
        <w:t>utilizando una identidad falsa o inexistente, cause perjuicio a un</w:t>
      </w:r>
      <w:r w:rsidRPr="00FB4B57">
        <w:rPr>
          <w:rFonts w:cs="Arial"/>
          <w:color w:val="222222"/>
        </w:rPr>
        <w:t xml:space="preserve"> </w:t>
      </w:r>
      <w:r w:rsidRPr="00FB4B57">
        <w:rPr>
          <w:rFonts w:cs="Arial"/>
          <w:color w:val="222222"/>
          <w:shd w:val="clear" w:color="auto" w:fill="FFFFFF"/>
        </w:rPr>
        <w:t>tercero. La pena será de cuatro a ocho años de prisión si con las</w:t>
      </w:r>
      <w:r w:rsidRPr="00FB4B57">
        <w:rPr>
          <w:rFonts w:cs="Arial"/>
          <w:color w:val="222222"/>
        </w:rPr>
        <w:t xml:space="preserve"> </w:t>
      </w:r>
      <w:r w:rsidRPr="00FB4B57">
        <w:rPr>
          <w:rFonts w:cs="Arial"/>
          <w:color w:val="222222"/>
          <w:shd w:val="clear" w:color="auto" w:fill="FFFFFF"/>
        </w:rPr>
        <w:t>conductas anteriores se causa un perjuicio a una persona menor de edad</w:t>
      </w:r>
      <w:r w:rsidRPr="00FB4B57">
        <w:rPr>
          <w:rFonts w:cs="Arial"/>
          <w:color w:val="222222"/>
        </w:rPr>
        <w:t xml:space="preserve"> </w:t>
      </w:r>
      <w:r w:rsidRPr="00FB4B57">
        <w:rPr>
          <w:rFonts w:cs="Arial"/>
          <w:color w:val="222222"/>
          <w:shd w:val="clear" w:color="auto" w:fill="FFFFFF"/>
        </w:rPr>
        <w:t>o incapaz.</w:t>
      </w:r>
    </w:p>
    <w:p w:rsidR="00F17B47" w:rsidRPr="00FB4B57" w:rsidRDefault="00F17B47" w:rsidP="00505D8C">
      <w:pPr>
        <w:pStyle w:val="Heading3"/>
        <w:numPr>
          <w:ilvl w:val="0"/>
          <w:numId w:val="28"/>
        </w:numPr>
        <w:spacing w:line="240" w:lineRule="auto"/>
        <w:rPr>
          <w:rFonts w:ascii="Calibri" w:hAnsi="Calibri"/>
          <w:color w:val="1F4E79"/>
        </w:rPr>
      </w:pPr>
      <w:bookmarkStart w:id="115" w:name="_Toc446126710"/>
      <w:r w:rsidRPr="00FB4B57">
        <w:rPr>
          <w:rFonts w:ascii="Calibri" w:hAnsi="Calibri"/>
          <w:color w:val="1F4E79"/>
        </w:rPr>
        <w:t>Caso del Juez Carlos Manuel Sánchez Miranda</w:t>
      </w:r>
      <w:bookmarkEnd w:id="115"/>
    </w:p>
    <w:p w:rsidR="00F17B47" w:rsidRPr="00FB4B57" w:rsidRDefault="00F17B47" w:rsidP="00505D8C">
      <w:pPr>
        <w:spacing w:before="120" w:after="120" w:line="240" w:lineRule="auto"/>
        <w:jc w:val="both"/>
      </w:pPr>
      <w:r w:rsidRPr="00FB4B57">
        <w:t>El Tribunal de la Inspección Judicial, órgano encargado por la Ley Orgánica del Poder Judicial para la dirección de los procedimientos disciplinarios a jueces y otros funcionarios de la institución, abrió la causa administrativa número 15-000812-0031-IJ, contra el juez Carlos Manuel Sánchez Miranda. El objeto del procedimiento, según resolución de traslado de cargos de las 08:22 horas del 24 de junio de 2015, consiste en determinar si el señor Sánchez Miranda emitió una sentencia en un proceso de reconocimiento de unión de hecho, pese a que la Sala Constitucional había dado trámite a la acción de inconstitucionalidad no. 13-013032-0007-CO, contra el art. 4 de la Ley de la Persona Joven, norma que aplicó el juez al resolver el caso, pese a que el art. 81 de la Ley de la Jurisdicción Constitucional dispone que, mientras esté en curso la acción, no se dictarán sentencias en procesos en que se deba aplicar la norma impugnada.</w:t>
      </w:r>
    </w:p>
    <w:p w:rsidR="00F17B47" w:rsidRPr="00FB4B57" w:rsidRDefault="00F17B47" w:rsidP="00505D8C">
      <w:pPr>
        <w:spacing w:before="120" w:after="120" w:line="240" w:lineRule="auto"/>
        <w:jc w:val="both"/>
      </w:pPr>
      <w:r w:rsidRPr="00FB4B57">
        <w:t>Se ha solicitado al Poder Judicial información más detallada acerca del estado actual de esta causa disciplinaria u otros datos de interés.</w:t>
      </w:r>
    </w:p>
    <w:p w:rsidR="00D020B2" w:rsidRPr="00FB4B57" w:rsidRDefault="00D020B2" w:rsidP="00D020B2">
      <w:pPr>
        <w:shd w:val="clear" w:color="auto" w:fill="FFFFFF"/>
        <w:spacing w:after="0" w:line="240" w:lineRule="auto"/>
        <w:jc w:val="both"/>
        <w:rPr>
          <w:rFonts w:cs="Arial"/>
          <w:b/>
        </w:rPr>
      </w:pPr>
    </w:p>
    <w:p w:rsidR="000F439E" w:rsidRPr="00E272B2" w:rsidRDefault="000F439E" w:rsidP="00B00A5F">
      <w:pPr>
        <w:pStyle w:val="Heading3"/>
        <w:numPr>
          <w:ilvl w:val="0"/>
          <w:numId w:val="28"/>
        </w:numPr>
        <w:rPr>
          <w:color w:val="365F91" w:themeColor="accent1" w:themeShade="BF"/>
          <w:lang w:val="es-CR"/>
        </w:rPr>
      </w:pPr>
      <w:r w:rsidRPr="00E272B2">
        <w:rPr>
          <w:color w:val="365F91" w:themeColor="accent1" w:themeShade="BF"/>
          <w:lang w:val="es-CR"/>
        </w:rPr>
        <w:t>Niños de poblaciones migrantes</w:t>
      </w:r>
    </w:p>
    <w:p w:rsidR="000F439E" w:rsidRPr="00787021" w:rsidRDefault="000F439E" w:rsidP="000F439E">
      <w:pPr>
        <w:spacing w:line="240" w:lineRule="auto"/>
        <w:jc w:val="both"/>
        <w:rPr>
          <w:rFonts w:cs="Arial"/>
          <w:lang w:val="es-CR"/>
        </w:rPr>
      </w:pPr>
      <w:r w:rsidRPr="00787021">
        <w:rPr>
          <w:rFonts w:cs="Arial"/>
          <w:lang w:val="es-CR"/>
        </w:rPr>
        <w:t>Ahora, en relación a las poblaciones de personas migrantes temporales, y para la atención de los niños y niñas hora,  existen las Casas de la Alegría, que son centros de cuido para niños de 2 años  a 6 años (y hasta de 12 en caso de necesidad) durante el tiempo de cosecha. Se procura que el cuido se encuentre a cargo de una persona indígena, con el fin de no desvirtuar sus costumbres, culturas y tradiciones.</w:t>
      </w:r>
    </w:p>
    <w:p w:rsidR="000F439E" w:rsidRPr="00787021" w:rsidRDefault="000F439E" w:rsidP="000F439E">
      <w:pPr>
        <w:spacing w:line="240" w:lineRule="auto"/>
        <w:jc w:val="both"/>
        <w:rPr>
          <w:rFonts w:cs="Arial"/>
          <w:lang w:val="es-CR"/>
        </w:rPr>
      </w:pPr>
      <w:r w:rsidRPr="00787021">
        <w:rPr>
          <w:rFonts w:cs="Arial"/>
          <w:lang w:val="es-CR"/>
        </w:rPr>
        <w:lastRenderedPageBreak/>
        <w:t xml:space="preserve">Se cuenta con el trabajo de instituciones de gobierno, agencias de las Naciones Unidas y la de la empresa privada, como parte del Programa Conjunto para Mejorar la Seguridad Humana de Migrantes Temporales </w:t>
      </w:r>
      <w:proofErr w:type="spellStart"/>
      <w:r w:rsidRPr="00787021">
        <w:rPr>
          <w:rFonts w:cs="Arial"/>
          <w:lang w:val="es-CR"/>
        </w:rPr>
        <w:t>Ngäbe</w:t>
      </w:r>
      <w:proofErr w:type="spellEnd"/>
      <w:r w:rsidRPr="00787021">
        <w:rPr>
          <w:rFonts w:cs="Arial"/>
          <w:lang w:val="es-CR"/>
        </w:rPr>
        <w:t xml:space="preserve"> y </w:t>
      </w:r>
      <w:proofErr w:type="spellStart"/>
      <w:r w:rsidRPr="00787021">
        <w:rPr>
          <w:rFonts w:cs="Arial"/>
          <w:lang w:val="es-CR"/>
        </w:rPr>
        <w:t>Buglé</w:t>
      </w:r>
      <w:proofErr w:type="spellEnd"/>
      <w:r w:rsidRPr="00787021">
        <w:rPr>
          <w:rFonts w:cs="Arial"/>
          <w:lang w:val="es-CR"/>
        </w:rPr>
        <w:t xml:space="preserve">. </w:t>
      </w:r>
    </w:p>
    <w:p w:rsidR="000F439E" w:rsidRPr="00787021" w:rsidRDefault="000F439E" w:rsidP="000F439E">
      <w:pPr>
        <w:spacing w:line="240" w:lineRule="auto"/>
        <w:jc w:val="both"/>
        <w:rPr>
          <w:rFonts w:cs="Arial"/>
          <w:lang w:val="es-CR"/>
        </w:rPr>
      </w:pPr>
      <w:r w:rsidRPr="00787021">
        <w:rPr>
          <w:rFonts w:cs="Arial"/>
          <w:lang w:val="es-CR"/>
        </w:rPr>
        <w:t xml:space="preserve">Bajo este proyecto, existe también el denominado Publicaciones Casas de la Alegría, orientado a la reproducción del material utilizado por UNICEF para el cuido y educación de los niños indígenas </w:t>
      </w:r>
      <w:proofErr w:type="spellStart"/>
      <w:r w:rsidRPr="00787021">
        <w:rPr>
          <w:rFonts w:cs="Arial"/>
          <w:lang w:val="es-CR"/>
        </w:rPr>
        <w:t>Ngabe-Buglé</w:t>
      </w:r>
      <w:proofErr w:type="spellEnd"/>
      <w:r w:rsidRPr="00787021">
        <w:rPr>
          <w:rFonts w:cs="Arial"/>
          <w:lang w:val="es-CR"/>
        </w:rPr>
        <w:t xml:space="preserve">. </w:t>
      </w:r>
    </w:p>
    <w:p w:rsidR="000F439E" w:rsidRDefault="000F439E" w:rsidP="000F439E">
      <w:pPr>
        <w:spacing w:line="240" w:lineRule="auto"/>
        <w:jc w:val="both"/>
        <w:rPr>
          <w:rFonts w:cs="Arial"/>
        </w:rPr>
      </w:pPr>
      <w:r w:rsidRPr="00787021">
        <w:rPr>
          <w:rFonts w:cs="Arial"/>
          <w:lang w:val="es-CR"/>
        </w:rPr>
        <w:t>En el caso de los hijos de trabajadores de otras condiciones migratorias, como los de ocupación específica, temporales, entre otros, sus hijos pueden acceder a la categoría de estudiante, ya previstas en la normativa migratoria.</w:t>
      </w:r>
    </w:p>
    <w:p w:rsidR="000F439E" w:rsidRPr="00787021" w:rsidRDefault="000F439E" w:rsidP="000F439E">
      <w:pPr>
        <w:spacing w:line="240" w:lineRule="auto"/>
        <w:jc w:val="both"/>
        <w:rPr>
          <w:rFonts w:cs="Arial"/>
          <w:lang w:val="es-CR"/>
        </w:rPr>
      </w:pPr>
      <w:r>
        <w:rPr>
          <w:rFonts w:cs="Arial"/>
          <w:lang w:val="es-CR"/>
        </w:rPr>
        <w:t xml:space="preserve">En cuanto a la garantía de la salud y educación a los niños hijos de trabajadores migrantes, en particular en el sector agrícola. </w:t>
      </w:r>
      <w:r w:rsidRPr="00787021">
        <w:rPr>
          <w:rFonts w:cs="Arial"/>
          <w:lang w:val="es-CR"/>
        </w:rPr>
        <w:t xml:space="preserve">En el tema de los servicios de salud, se informa que se brinda  la consulta en el primer nivel de atención (EBAIS), que incluye la educación sexual y reproductiva. Esta consulta la realiza el médico general del  EBAIS correspondiente, según el sitio del país en donde estén laborando o/y viviendo. El país cuenta con EBAIS en toda la Región </w:t>
      </w:r>
      <w:proofErr w:type="spellStart"/>
      <w:r w:rsidRPr="00787021">
        <w:rPr>
          <w:rFonts w:cs="Arial"/>
          <w:lang w:val="es-CR"/>
        </w:rPr>
        <w:t>Huetar</w:t>
      </w:r>
      <w:proofErr w:type="spellEnd"/>
      <w:r w:rsidRPr="00787021">
        <w:rPr>
          <w:rFonts w:cs="Arial"/>
          <w:lang w:val="es-CR"/>
        </w:rPr>
        <w:t xml:space="preserve"> Atlántico (118 Equipos Básicos de Atención en Salud) y en toda la Región Chorotega (99 Equipos Básicos de Atención en Salud), con una población promedio de menos de 4 mil habitantes por EBAIS  en dichas zonas, lo que de ninguna manera podría considerarse como poco acceso a servicios.</w:t>
      </w:r>
    </w:p>
    <w:p w:rsidR="000F439E" w:rsidRPr="00787021" w:rsidRDefault="000F439E" w:rsidP="000F439E">
      <w:pPr>
        <w:spacing w:line="240" w:lineRule="auto"/>
        <w:jc w:val="both"/>
        <w:rPr>
          <w:rFonts w:cs="Arial"/>
          <w:u w:val="single"/>
          <w:lang w:val="es-CR"/>
        </w:rPr>
      </w:pPr>
      <w:r w:rsidRPr="00787021">
        <w:rPr>
          <w:rFonts w:cs="Arial"/>
          <w:lang w:val="es-CR"/>
        </w:rPr>
        <w:t>La Caja Costarricense de Seguro Social, en acato a Convenios Internacionales, como el 169 de Pueblos Indígenas y Tribales, así como leyes especiales de protección a la niñez (Ley de Niñez y Adolescencia, la Ley de Mujer Embarazada -por el binomio madre e hijo-, por ejemplo) brinda a todas las personas menores de edad la prestación de servicios de salud una vez que ingresan al país, tales como servicios de vacunación, control del niño sano y cualquier otra prestación que se requiera.</w:t>
      </w:r>
    </w:p>
    <w:p w:rsidR="000F439E" w:rsidRPr="00787021" w:rsidRDefault="000F439E" w:rsidP="000F439E">
      <w:pPr>
        <w:spacing w:line="240" w:lineRule="auto"/>
        <w:jc w:val="both"/>
        <w:rPr>
          <w:rFonts w:cs="Arial"/>
          <w:lang w:val="es-CR"/>
        </w:rPr>
      </w:pPr>
      <w:r w:rsidRPr="00787021">
        <w:rPr>
          <w:rFonts w:cs="Arial"/>
          <w:lang w:val="es-CR"/>
        </w:rPr>
        <w:t xml:space="preserve">Para la población indígena migrante, existen proyectos específicos, como es el caso de la zona de Coto </w:t>
      </w:r>
      <w:proofErr w:type="spellStart"/>
      <w:r w:rsidRPr="00787021">
        <w:rPr>
          <w:rFonts w:cs="Arial"/>
          <w:lang w:val="es-CR"/>
        </w:rPr>
        <w:t>Brus</w:t>
      </w:r>
      <w:proofErr w:type="spellEnd"/>
      <w:r w:rsidRPr="00787021">
        <w:rPr>
          <w:rFonts w:cs="Arial"/>
          <w:lang w:val="es-CR"/>
        </w:rPr>
        <w:t xml:space="preserve">, con un proyecto de Atención Integral a la Población Indígena Altamente Móvil. En este caso,  se brinda información en el idioma de los </w:t>
      </w:r>
      <w:proofErr w:type="spellStart"/>
      <w:r w:rsidRPr="00787021">
        <w:rPr>
          <w:rFonts w:cs="Arial"/>
          <w:lang w:val="es-CR"/>
        </w:rPr>
        <w:t>Ngäbe</w:t>
      </w:r>
      <w:proofErr w:type="spellEnd"/>
      <w:r w:rsidRPr="00787021">
        <w:rPr>
          <w:rFonts w:cs="Arial"/>
          <w:lang w:val="es-CR"/>
        </w:rPr>
        <w:t xml:space="preserve">,  incluso facilitada por  Asesores Culturales, que son indígenas de la etnia </w:t>
      </w:r>
      <w:proofErr w:type="spellStart"/>
      <w:r w:rsidRPr="00787021">
        <w:rPr>
          <w:rFonts w:cs="Arial"/>
          <w:lang w:val="es-CR"/>
        </w:rPr>
        <w:t>Ngäbe</w:t>
      </w:r>
      <w:proofErr w:type="spellEnd"/>
      <w:r w:rsidRPr="00787021">
        <w:rPr>
          <w:rFonts w:cs="Arial"/>
          <w:lang w:val="es-CR"/>
        </w:rPr>
        <w:t xml:space="preserve"> que han sido capacitados en temas como la salud sexual y reproductiva.</w:t>
      </w:r>
    </w:p>
    <w:p w:rsidR="000F439E" w:rsidRPr="00787021" w:rsidRDefault="000F439E" w:rsidP="000F439E">
      <w:pPr>
        <w:spacing w:line="240" w:lineRule="auto"/>
        <w:jc w:val="both"/>
        <w:rPr>
          <w:rFonts w:cs="Arial"/>
          <w:lang w:val="es-CR"/>
        </w:rPr>
      </w:pPr>
      <w:r w:rsidRPr="00787021">
        <w:rPr>
          <w:rFonts w:cs="Arial"/>
          <w:lang w:val="es-CR"/>
        </w:rPr>
        <w:t>En cuanto a la educación de las personas menores de edad migrantes, y a nivel general,  el gobierno de Costa Rica ha tomado diversas acciones para garantizar la incorporación, permanencia e integración de las niñas, niños y adolescentes migrantes al sistema educativo costarricense.</w:t>
      </w:r>
      <w:r>
        <w:rPr>
          <w:rFonts w:cs="Arial"/>
          <w:lang w:val="es-CR"/>
        </w:rPr>
        <w:t xml:space="preserve"> </w:t>
      </w:r>
      <w:r w:rsidRPr="00787021">
        <w:rPr>
          <w:rFonts w:cs="Arial"/>
          <w:lang w:val="es-CR"/>
        </w:rPr>
        <w:t>Por ejemplo, se instituyó el carnet consular para que independientemente del estatus migratorio de la persona menor de edad (regular, irregular, o refugiado), pueda incorporarse como ciudadano/a con plenos derechos al proceso educativo costarricense.</w:t>
      </w:r>
      <w:r>
        <w:rPr>
          <w:rFonts w:cs="Arial"/>
          <w:lang w:val="es-CR"/>
        </w:rPr>
        <w:t xml:space="preserve"> </w:t>
      </w:r>
      <w:r w:rsidRPr="00787021">
        <w:rPr>
          <w:rFonts w:cs="Arial"/>
          <w:lang w:val="es-CR"/>
        </w:rPr>
        <w:t>También, mediante el Fondo Social Migratorio se destinan recursos para construir infraestructura educativa en las regiones donde existe mayor concentración de población migrante. Durante el año 2016 se realizarán obras educativas en el distrito de Pavas provincia de San José y durante el año 2017 se fortalecerá la infraestructura de las escuelas ubicadas en la zona fronteriza norte, que son utilizadas por estudiantes que cruzan la frontera todos los días desde Nicaragua hacia Costa Rica para recibir clases en centros educativos costarricenses y a los cuales también asisten estudiantes hijos/as de trabajadores/as agrícolas migrantes establecidos en territorio costarricense.</w:t>
      </w:r>
    </w:p>
    <w:p w:rsidR="00737257" w:rsidRPr="000F439E" w:rsidRDefault="000F439E" w:rsidP="000F439E">
      <w:pPr>
        <w:spacing w:line="240" w:lineRule="auto"/>
        <w:jc w:val="both"/>
        <w:rPr>
          <w:rFonts w:cs="Arial"/>
          <w:lang w:val="es-CR"/>
        </w:rPr>
      </w:pPr>
      <w:r w:rsidRPr="00787021">
        <w:rPr>
          <w:rFonts w:cs="Arial"/>
          <w:lang w:val="es-CR"/>
        </w:rPr>
        <w:t xml:space="preserve">En el presente año 2016, el Ministerio de Educación Pública realizará 3 foros con líderes estudiantiles migrantes, para detectar – desde su propia voz – las necesidades particulares de esa población. Con base en esa información, se </w:t>
      </w:r>
      <w:proofErr w:type="spellStart"/>
      <w:r w:rsidRPr="00787021">
        <w:rPr>
          <w:rFonts w:cs="Arial"/>
          <w:lang w:val="es-CR"/>
        </w:rPr>
        <w:t>determinarà</w:t>
      </w:r>
      <w:proofErr w:type="spellEnd"/>
      <w:r w:rsidRPr="00787021">
        <w:rPr>
          <w:rFonts w:cs="Arial"/>
          <w:lang w:val="es-CR"/>
        </w:rPr>
        <w:t xml:space="preserve"> los recursos y/o cambios que requiere el sistema educativo costarricense para garantizar su acceso, integración y permanencia en el sistema educativo costarricense.</w:t>
      </w:r>
    </w:p>
    <w:p w:rsidR="00B00A5F" w:rsidRDefault="00B00A5F">
      <w:pPr>
        <w:spacing w:after="0" w:line="240" w:lineRule="auto"/>
        <w:rPr>
          <w:rFonts w:cs="Arial"/>
        </w:rPr>
      </w:pPr>
      <w:r>
        <w:rPr>
          <w:rFonts w:cs="Arial"/>
        </w:rPr>
        <w:lastRenderedPageBreak/>
        <w:br w:type="page"/>
      </w:r>
    </w:p>
    <w:p w:rsidR="00732A0A" w:rsidRDefault="00732A0A">
      <w:pPr>
        <w:rPr>
          <w:rFonts w:cs="Arial"/>
        </w:rPr>
      </w:pPr>
    </w:p>
    <w:p w:rsidR="00684E23" w:rsidRDefault="007113CF" w:rsidP="00D020B2">
      <w:pPr>
        <w:spacing w:before="240" w:after="0" w:line="240" w:lineRule="auto"/>
        <w:jc w:val="both"/>
        <w:rPr>
          <w:rFonts w:cs="Arial"/>
        </w:rPr>
      </w:pPr>
      <w:r>
        <w:rPr>
          <w:rFonts w:cs="Arial"/>
          <w:noProof/>
          <w:lang w:val="fr-CH" w:eastAsia="fr-CH"/>
        </w:rPr>
        <w:drawing>
          <wp:anchor distT="0" distB="0" distL="114935" distR="114935" simplePos="0" relativeHeight="251659776" behindDoc="1" locked="0" layoutInCell="1" allowOverlap="1">
            <wp:simplePos x="0" y="0"/>
            <wp:positionH relativeFrom="column">
              <wp:posOffset>2638425</wp:posOffset>
            </wp:positionH>
            <wp:positionV relativeFrom="paragraph">
              <wp:posOffset>-205105</wp:posOffset>
            </wp:positionV>
            <wp:extent cx="476250" cy="523875"/>
            <wp:effectExtent l="19050" t="0" r="0" b="0"/>
            <wp:wrapNone/>
            <wp:docPr id="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15" cstate="print"/>
                    <a:srcRect/>
                    <a:stretch>
                      <a:fillRect/>
                    </a:stretch>
                  </pic:blipFill>
                  <pic:spPr bwMode="auto">
                    <a:xfrm>
                      <a:off x="0" y="0"/>
                      <a:ext cx="476250" cy="523875"/>
                    </a:xfrm>
                    <a:prstGeom prst="rect">
                      <a:avLst/>
                    </a:prstGeom>
                    <a:solidFill>
                      <a:srgbClr val="FFFFFF"/>
                    </a:solidFill>
                    <a:ln w="9525">
                      <a:noFill/>
                      <a:miter lim="800000"/>
                      <a:headEnd/>
                      <a:tailEnd/>
                    </a:ln>
                  </pic:spPr>
                </pic:pic>
              </a:graphicData>
            </a:graphic>
          </wp:anchor>
        </w:drawing>
      </w:r>
    </w:p>
    <w:p w:rsidR="00B00E88" w:rsidRPr="008645E0" w:rsidRDefault="00B00E88" w:rsidP="008820F2">
      <w:pPr>
        <w:pStyle w:val="Heading1"/>
        <w:ind w:left="142"/>
        <w:rPr>
          <w:rFonts w:ascii="Arial" w:hAnsi="Arial" w:cs="Arial"/>
          <w:b/>
          <w:sz w:val="36"/>
          <w:szCs w:val="36"/>
        </w:rPr>
      </w:pPr>
      <w:bookmarkStart w:id="116" w:name="_Toc446126711"/>
      <w:r w:rsidRPr="008645E0">
        <w:rPr>
          <w:rFonts w:ascii="Arial" w:hAnsi="Arial" w:cs="Arial"/>
          <w:b/>
          <w:sz w:val="36"/>
          <w:szCs w:val="36"/>
        </w:rPr>
        <w:t>Conclusiones del señor Vice-Canciller de la República</w:t>
      </w:r>
      <w:bookmarkEnd w:id="116"/>
    </w:p>
    <w:p w:rsidR="00B00E88" w:rsidRPr="00CC41B9" w:rsidRDefault="00B00E88" w:rsidP="00684E23">
      <w:pPr>
        <w:spacing w:after="0" w:line="240" w:lineRule="auto"/>
        <w:jc w:val="center"/>
        <w:rPr>
          <w:b/>
          <w:color w:val="000000"/>
          <w:sz w:val="32"/>
          <w:szCs w:val="32"/>
          <w:lang w:val="es-MX"/>
        </w:rPr>
      </w:pPr>
      <w:r w:rsidRPr="00CC41B9">
        <w:rPr>
          <w:b/>
          <w:color w:val="000000"/>
          <w:sz w:val="32"/>
          <w:szCs w:val="32"/>
          <w:lang w:val="es-MX"/>
        </w:rPr>
        <w:t>Sr. Alejandro Solano Ortiz</w:t>
      </w:r>
    </w:p>
    <w:p w:rsidR="00B00E88" w:rsidRPr="00CC41B9" w:rsidRDefault="00B00E88" w:rsidP="00684E23">
      <w:pPr>
        <w:spacing w:after="0" w:line="240" w:lineRule="auto"/>
        <w:jc w:val="center"/>
        <w:rPr>
          <w:b/>
          <w:color w:val="000000"/>
          <w:lang w:val="es-MX"/>
        </w:rPr>
      </w:pPr>
      <w:r w:rsidRPr="00CC41B9">
        <w:rPr>
          <w:b/>
          <w:color w:val="000000"/>
          <w:lang w:val="es-MX"/>
        </w:rPr>
        <w:t xml:space="preserve">Sexto Informe Periódico de Costa Rica </w:t>
      </w:r>
    </w:p>
    <w:p w:rsidR="00B00E88" w:rsidRPr="00CC41B9" w:rsidRDefault="00B00E88" w:rsidP="00684E23">
      <w:pPr>
        <w:spacing w:after="0" w:line="240" w:lineRule="auto"/>
        <w:ind w:left="142"/>
        <w:jc w:val="center"/>
        <w:rPr>
          <w:b/>
          <w:color w:val="000000"/>
          <w:lang w:val="es-MX"/>
        </w:rPr>
      </w:pPr>
      <w:r w:rsidRPr="00CC41B9">
        <w:rPr>
          <w:b/>
          <w:color w:val="000000"/>
          <w:lang w:val="es-MX"/>
        </w:rPr>
        <w:t xml:space="preserve">sobre el cumplimiento del Pacto Internacional </w:t>
      </w:r>
      <w:r w:rsidR="00684E23">
        <w:rPr>
          <w:b/>
          <w:color w:val="000000"/>
          <w:lang w:val="es-MX"/>
        </w:rPr>
        <w:t xml:space="preserve"> </w:t>
      </w:r>
      <w:r w:rsidRPr="00CC41B9">
        <w:rPr>
          <w:b/>
          <w:color w:val="000000"/>
          <w:lang w:val="es-MX"/>
        </w:rPr>
        <w:t>de Derechos Civiles y Políticos</w:t>
      </w:r>
    </w:p>
    <w:p w:rsidR="00B00E88" w:rsidRPr="00CC41B9" w:rsidRDefault="00B00E88" w:rsidP="00684E23">
      <w:pPr>
        <w:spacing w:after="0" w:line="240" w:lineRule="auto"/>
        <w:jc w:val="center"/>
        <w:rPr>
          <w:b/>
          <w:color w:val="000000"/>
          <w:lang w:val="es-MX"/>
        </w:rPr>
      </w:pPr>
      <w:r w:rsidRPr="00CC41B9">
        <w:rPr>
          <w:b/>
          <w:color w:val="000000"/>
          <w:lang w:val="es-MX"/>
        </w:rPr>
        <w:t>Comité de Derechos Humanos</w:t>
      </w:r>
    </w:p>
    <w:p w:rsidR="00760650" w:rsidRPr="00760650" w:rsidRDefault="00760650" w:rsidP="00760650">
      <w:pPr>
        <w:spacing w:after="0" w:line="240" w:lineRule="auto"/>
        <w:jc w:val="center"/>
        <w:rPr>
          <w:rFonts w:cs="Arial"/>
          <w:b/>
          <w:noProof/>
          <w:lang w:val="es-CR" w:eastAsia="es-CR"/>
        </w:rPr>
      </w:pPr>
      <w:r w:rsidRPr="00760650">
        <w:rPr>
          <w:rFonts w:cs="Arial"/>
          <w:b/>
          <w:noProof/>
          <w:lang w:val="es-CR" w:eastAsia="es-CR"/>
        </w:rPr>
        <w:t>17 de marzo, 2016</w:t>
      </w:r>
    </w:p>
    <w:p w:rsidR="00B00E88" w:rsidRDefault="00B00E88" w:rsidP="00684E23">
      <w:pPr>
        <w:spacing w:after="0" w:line="240" w:lineRule="auto"/>
        <w:jc w:val="both"/>
        <w:rPr>
          <w:rFonts w:cs="Arial"/>
          <w:noProof/>
          <w:lang w:val="es-CR" w:eastAsia="es-CR"/>
        </w:rPr>
      </w:pPr>
      <w:r w:rsidRPr="00CC41B9">
        <w:rPr>
          <w:rFonts w:cs="Arial"/>
          <w:noProof/>
          <w:lang w:val="es-CR" w:eastAsia="es-CR"/>
        </w:rPr>
        <w:t>Distinguidos miembros</w:t>
      </w:r>
      <w:r w:rsidR="00B00A5F">
        <w:rPr>
          <w:rFonts w:cs="Arial"/>
          <w:noProof/>
          <w:lang w:val="es-CR" w:eastAsia="es-CR"/>
        </w:rPr>
        <w:t xml:space="preserve"> del Comité</w:t>
      </w:r>
      <w:r w:rsidRPr="00CC41B9">
        <w:rPr>
          <w:rFonts w:cs="Arial"/>
          <w:noProof/>
          <w:lang w:val="es-CR" w:eastAsia="es-CR"/>
        </w:rPr>
        <w:t>,</w:t>
      </w:r>
    </w:p>
    <w:p w:rsidR="00760650" w:rsidRDefault="00760650" w:rsidP="00684E23">
      <w:pPr>
        <w:spacing w:after="0" w:line="240" w:lineRule="auto"/>
        <w:jc w:val="both"/>
        <w:rPr>
          <w:rFonts w:cs="Arial"/>
          <w:noProof/>
          <w:lang w:val="es-CR" w:eastAsia="es-CR"/>
        </w:rPr>
      </w:pPr>
    </w:p>
    <w:p w:rsidR="00B00E88" w:rsidRPr="00CC41B9" w:rsidRDefault="00B00E88" w:rsidP="00B00E88">
      <w:pPr>
        <w:spacing w:line="240" w:lineRule="auto"/>
        <w:jc w:val="both"/>
        <w:rPr>
          <w:rFonts w:cs="Arial"/>
          <w:noProof/>
          <w:lang w:val="es-CR" w:eastAsia="es-CR"/>
        </w:rPr>
      </w:pPr>
      <w:r w:rsidRPr="00CC41B9">
        <w:rPr>
          <w:rFonts w:cs="Arial"/>
          <w:noProof/>
          <w:lang w:val="es-CR" w:eastAsia="es-CR"/>
        </w:rPr>
        <w:t xml:space="preserve">Costa Rica les agradece el dialogo abierto, la evaluación estricta y la crítica constructiva que han hecho de nuestra aplicación de las obligaciones que como país hemos asumido soberanamente. Puedo decirles que estas obligaciones son parte fundamental de nuestra visión de Estado, son los cimientos de los valores que nos distiguen como nación. </w:t>
      </w:r>
    </w:p>
    <w:p w:rsidR="00B00E88" w:rsidRPr="00CC41B9" w:rsidRDefault="00B00E88" w:rsidP="00B00E88">
      <w:pPr>
        <w:spacing w:line="240" w:lineRule="auto"/>
        <w:jc w:val="both"/>
        <w:rPr>
          <w:rFonts w:cs="Arial"/>
          <w:noProof/>
          <w:lang w:val="es-CR" w:eastAsia="es-CR"/>
        </w:rPr>
      </w:pPr>
      <w:r w:rsidRPr="00CC41B9">
        <w:rPr>
          <w:rFonts w:cs="Arial"/>
          <w:noProof/>
          <w:lang w:val="es-CR" w:eastAsia="es-CR"/>
        </w:rPr>
        <w:t>Este ejercicio periódico es una fuente fundamental y muy rica para mejorar la calidad del cumplimiento de las responsabilidades del Estado “vis a vis” de sus habitantes. Es una dinámica que nos permite auto evaluarnos, mirarnos al espejo e identificar las  falencias en la implementación de nuestras obligaciones. Su recomendaciones distinguidos miembros, serán la base para la elaboración de políticas públicas inclusivas y apegadas a la letra y espíritu del Pacto.</w:t>
      </w:r>
    </w:p>
    <w:p w:rsidR="00B00E88" w:rsidRPr="00CC41B9" w:rsidRDefault="00B00E88" w:rsidP="00B00E88">
      <w:pPr>
        <w:spacing w:line="240" w:lineRule="auto"/>
        <w:jc w:val="both"/>
        <w:rPr>
          <w:rFonts w:cs="Arial"/>
          <w:noProof/>
          <w:lang w:val="es-CR" w:eastAsia="es-CR"/>
        </w:rPr>
      </w:pPr>
      <w:r w:rsidRPr="00CC41B9">
        <w:rPr>
          <w:rFonts w:cs="Arial"/>
          <w:noProof/>
          <w:lang w:val="es-CR" w:eastAsia="es-CR"/>
        </w:rPr>
        <w:t>Nos permitimos considerar que las recomendaciones de los Órganos de Tratados para que nos sean aún más útiles, deberían tener un alto grado de pragmatismo. Podría plantearse como una suerte de hoja de ruta para, en primer lugar, una mejor implementación del Pacto y en segundo lugar para asegurar el desarrollo de los derechos humanos a nivel nacional.</w:t>
      </w:r>
    </w:p>
    <w:p w:rsidR="00B00E88" w:rsidRPr="00CC41B9" w:rsidRDefault="00B00E88" w:rsidP="00B00E88">
      <w:pPr>
        <w:spacing w:line="240" w:lineRule="auto"/>
        <w:jc w:val="both"/>
        <w:rPr>
          <w:rFonts w:cs="Arial"/>
          <w:noProof/>
          <w:lang w:val="es-CR" w:eastAsia="es-CR"/>
        </w:rPr>
      </w:pPr>
      <w:r w:rsidRPr="00CC41B9">
        <w:rPr>
          <w:rFonts w:cs="Arial"/>
          <w:noProof/>
          <w:lang w:val="es-CR" w:eastAsia="es-CR"/>
        </w:rPr>
        <w:t>Como hemos indicado, creemos fuertemente en los Comités y sus expertos y hemos apostado nuestro capital político en las negociaciones intergubernamentales para fortalecerlos, lograr la sostenibilidad del sistema, su adecuado financiamiento y defender su independencia.</w:t>
      </w:r>
    </w:p>
    <w:p w:rsidR="00B00E88" w:rsidRPr="00CC41B9" w:rsidRDefault="00B00E88" w:rsidP="00B00E88">
      <w:pPr>
        <w:spacing w:line="240" w:lineRule="auto"/>
        <w:jc w:val="both"/>
        <w:rPr>
          <w:rFonts w:cs="Arial"/>
          <w:noProof/>
          <w:lang w:val="es-ES_tradnl" w:eastAsia="es-CR"/>
        </w:rPr>
      </w:pPr>
      <w:r w:rsidRPr="00CC41B9">
        <w:rPr>
          <w:rFonts w:cs="Arial"/>
          <w:noProof/>
          <w:lang w:val="es-CR" w:eastAsia="es-CR"/>
        </w:rPr>
        <w:t>En este sentido, respetuosamente alentamos al Comité a implementar los contenidos de las resoluciones de la Asamblea General de las Naciones Unidas en su resolución A/RES/68/268, en relaci</w:t>
      </w:r>
      <w:r w:rsidRPr="00CC41B9">
        <w:rPr>
          <w:rFonts w:cs="Arial"/>
          <w:noProof/>
          <w:lang w:val="es-ES_tradnl" w:eastAsia="es-CR"/>
        </w:rPr>
        <w:t xml:space="preserve">ón con la simplificación y armonización de procedimientos y metodologías, y, en particular con las recomendaciones. </w:t>
      </w:r>
    </w:p>
    <w:p w:rsidR="00B00E88" w:rsidRPr="00CC41B9" w:rsidRDefault="00B00E88" w:rsidP="00B00E88">
      <w:pPr>
        <w:spacing w:line="240" w:lineRule="auto"/>
        <w:jc w:val="both"/>
        <w:rPr>
          <w:rFonts w:cs="Arial"/>
          <w:noProof/>
          <w:lang w:val="es-CR" w:eastAsia="es-CR"/>
        </w:rPr>
      </w:pPr>
      <w:r w:rsidRPr="00CC41B9">
        <w:rPr>
          <w:rFonts w:cs="Arial"/>
          <w:noProof/>
          <w:lang w:val="es-CR" w:eastAsia="es-CR"/>
        </w:rPr>
        <w:t>Con respeto y humildad, comparto con ustedes la convicción del Estado costarricense en la utilidad que pueden tener recomendaciones de un Órgano de  Naciones Unidas, como este,  especialmente si estas responden a los criterios, como llaman los especialistas en gestión, “Smart” es decir específicas, medibles, realizables, relevantes y dentro de un marco temporal.</w:t>
      </w:r>
    </w:p>
    <w:p w:rsidR="00B00E88" w:rsidRPr="00CC41B9" w:rsidRDefault="00B00E88" w:rsidP="00B00E88">
      <w:pPr>
        <w:spacing w:line="240" w:lineRule="auto"/>
        <w:jc w:val="both"/>
        <w:rPr>
          <w:rFonts w:cs="Arial"/>
          <w:noProof/>
          <w:lang w:val="es-CR" w:eastAsia="es-CR"/>
        </w:rPr>
      </w:pPr>
      <w:r w:rsidRPr="00CC41B9">
        <w:rPr>
          <w:rFonts w:cs="Arial"/>
          <w:noProof/>
          <w:lang w:val="es-CR" w:eastAsia="es-CR"/>
        </w:rPr>
        <w:t>La elaboración de políticas públicas y su articulación en el aparato estatal se ven fortalecidas si se logra que estas se ajusten a estos criterios, que por lo demás se insertan en la periodicidad de este importante ejercicio de diálogo constructivo con este Comité.</w:t>
      </w:r>
    </w:p>
    <w:p w:rsidR="00B00E88" w:rsidRPr="00B00A5F" w:rsidRDefault="00B00E88" w:rsidP="00684E23">
      <w:pPr>
        <w:spacing w:line="240" w:lineRule="auto"/>
        <w:jc w:val="both"/>
        <w:rPr>
          <w:rFonts w:cs="Arial"/>
          <w:noProof/>
          <w:lang w:val="es-CR" w:eastAsia="es-CR"/>
        </w:rPr>
      </w:pPr>
      <w:r w:rsidRPr="00CC41B9">
        <w:rPr>
          <w:rFonts w:cs="Arial"/>
          <w:noProof/>
          <w:lang w:val="es-CR" w:eastAsia="es-CR"/>
        </w:rPr>
        <w:t>Por último señor Presidente, distinguidos miembros, deseo reiterarles el compromiso del Estado costarricense en la mayor aplicación del Pacto en el quehacer institucional costarricense.</w:t>
      </w:r>
      <w:r w:rsidR="00B00A5F">
        <w:rPr>
          <w:rFonts w:cs="Arial"/>
          <w:noProof/>
          <w:lang w:val="es-CR" w:eastAsia="es-CR"/>
        </w:rPr>
        <w:t xml:space="preserve"> </w:t>
      </w:r>
      <w:r w:rsidRPr="00CC41B9">
        <w:rPr>
          <w:rFonts w:cs="Arial"/>
          <w:noProof/>
          <w:lang w:val="es-CR" w:eastAsia="es-CR"/>
        </w:rPr>
        <w:t>Muchas gracias.</w:t>
      </w:r>
    </w:p>
    <w:sectPr w:rsidR="00B00E88" w:rsidRPr="00B00A5F" w:rsidSect="008645E0">
      <w:footerReference w:type="default" r:id="rId16"/>
      <w:pgSz w:w="12242" w:h="15842" w:code="1"/>
      <w:pgMar w:top="1418" w:right="1185" w:bottom="1418" w:left="15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13FF" w:rsidRDefault="00F413FF" w:rsidP="00B8118E">
      <w:pPr>
        <w:spacing w:after="0" w:line="240" w:lineRule="auto"/>
      </w:pPr>
      <w:r>
        <w:separator/>
      </w:r>
    </w:p>
  </w:endnote>
  <w:endnote w:type="continuationSeparator" w:id="0">
    <w:p w:rsidR="00F413FF" w:rsidRDefault="00F413FF" w:rsidP="00B811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Futura LT">
    <w:altName w:val="Futura L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10D" w:rsidRDefault="00B7610D" w:rsidP="0058250F">
    <w:pPr>
      <w:pStyle w:val="Footer"/>
      <w:jc w:val="right"/>
    </w:pPr>
    <w:r>
      <w:rPr>
        <w:noProof/>
        <w:lang w:val="fr-CH" w:eastAsia="fr-CH"/>
      </w:rPr>
      <w:drawing>
        <wp:anchor distT="0" distB="0" distL="114935" distR="114935" simplePos="0" relativeHeight="251657728" behindDoc="1" locked="0" layoutInCell="1" allowOverlap="1">
          <wp:simplePos x="0" y="0"/>
          <wp:positionH relativeFrom="column">
            <wp:posOffset>3347720</wp:posOffset>
          </wp:positionH>
          <wp:positionV relativeFrom="paragraph">
            <wp:posOffset>109855</wp:posOffset>
          </wp:positionV>
          <wp:extent cx="523875" cy="571500"/>
          <wp:effectExtent l="19050" t="0" r="9525"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1"/>
                  <a:srcRect/>
                  <a:stretch>
                    <a:fillRect/>
                  </a:stretch>
                </pic:blipFill>
                <pic:spPr bwMode="auto">
                  <a:xfrm>
                    <a:off x="0" y="0"/>
                    <a:ext cx="523875" cy="571500"/>
                  </a:xfrm>
                  <a:prstGeom prst="rect">
                    <a:avLst/>
                  </a:prstGeom>
                  <a:solidFill>
                    <a:srgbClr val="FFFFFF"/>
                  </a:solidFill>
                  <a:ln w="9525">
                    <a:noFill/>
                    <a:miter lim="800000"/>
                    <a:headEnd/>
                    <a:tailEnd/>
                  </a:ln>
                </pic:spPr>
              </pic:pic>
            </a:graphicData>
          </a:graphic>
        </wp:anchor>
      </w:drawing>
    </w:r>
    <w:fldSimple w:instr="PAGE   \* MERGEFORMAT">
      <w:r w:rsidR="00780BD6">
        <w:rPr>
          <w:noProof/>
        </w:rPr>
        <w:t>1</w:t>
      </w:r>
    </w:fldSimple>
  </w:p>
  <w:p w:rsidR="00B7610D" w:rsidRDefault="00B7610D" w:rsidP="00327F79">
    <w:pPr>
      <w:pStyle w:val="Footer"/>
      <w:tabs>
        <w:tab w:val="left" w:pos="3402"/>
      </w:tabs>
      <w:ind w:left="-1134"/>
    </w:pPr>
    <w:r>
      <w:rPr>
        <w:noProof/>
        <w:lang w:val="fr-CH" w:eastAsia="fr-CH"/>
      </w:rPr>
      <w:t xml:space="preserve">    </w:t>
    </w:r>
    <w:r>
      <w:rPr>
        <w:noProof/>
        <w:lang w:val="fr-CH" w:eastAsia="fr-CH"/>
      </w:rPr>
      <w:tab/>
    </w:r>
    <w:r>
      <w:rPr>
        <w:noProof/>
        <w:lang w:val="fr-CH" w:eastAsia="fr-CH"/>
      </w:rPr>
      <w:drawing>
        <wp:inline distT="0" distB="0" distL="0" distR="0">
          <wp:extent cx="594360" cy="441960"/>
          <wp:effectExtent l="19050" t="0" r="0" b="0"/>
          <wp:docPr id="1" name="Image 1" descr="http://www.cerlalc.org/wp-content/uploads/2015/08/Bandera-Costa-Rica-440x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http://www.cerlalc.org/wp-content/uploads/2015/08/Bandera-Costa-Rica-440x330.jpg"/>
                  <pic:cNvPicPr>
                    <a:picLocks noChangeAspect="1" noChangeArrowheads="1"/>
                  </pic:cNvPicPr>
                </pic:nvPicPr>
                <pic:blipFill>
                  <a:blip r:embed="rId2"/>
                  <a:srcRect/>
                  <a:stretch>
                    <a:fillRect/>
                  </a:stretch>
                </pic:blipFill>
                <pic:spPr bwMode="auto">
                  <a:xfrm>
                    <a:off x="0" y="0"/>
                    <a:ext cx="594360" cy="441960"/>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13FF" w:rsidRDefault="00F413FF" w:rsidP="00B8118E">
      <w:pPr>
        <w:spacing w:after="0" w:line="240" w:lineRule="auto"/>
      </w:pPr>
      <w:r>
        <w:separator/>
      </w:r>
    </w:p>
  </w:footnote>
  <w:footnote w:type="continuationSeparator" w:id="0">
    <w:p w:rsidR="00F413FF" w:rsidRDefault="00F413FF" w:rsidP="00B8118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92F70"/>
    <w:multiLevelType w:val="hybridMultilevel"/>
    <w:tmpl w:val="F32A58CC"/>
    <w:lvl w:ilvl="0" w:tplc="140A0011">
      <w:start w:val="1"/>
      <w:numFmt w:val="decimal"/>
      <w:lvlText w:val="%1)"/>
      <w:lvlJc w:val="left"/>
      <w:pPr>
        <w:ind w:left="1080" w:hanging="360"/>
      </w:pPr>
      <w:rPr>
        <w:rFonts w:hint="default"/>
        <w:b w:val="0"/>
      </w:rPr>
    </w:lvl>
    <w:lvl w:ilvl="1" w:tplc="140A0003" w:tentative="1">
      <w:start w:val="1"/>
      <w:numFmt w:val="bullet"/>
      <w:lvlText w:val="o"/>
      <w:lvlJc w:val="left"/>
      <w:pPr>
        <w:ind w:left="1800" w:hanging="360"/>
      </w:pPr>
      <w:rPr>
        <w:rFonts w:ascii="Courier New" w:hAnsi="Courier New" w:cs="Courier New" w:hint="default"/>
      </w:rPr>
    </w:lvl>
    <w:lvl w:ilvl="2" w:tplc="140A0005" w:tentative="1">
      <w:start w:val="1"/>
      <w:numFmt w:val="bullet"/>
      <w:lvlText w:val=""/>
      <w:lvlJc w:val="left"/>
      <w:pPr>
        <w:ind w:left="2520" w:hanging="360"/>
      </w:pPr>
      <w:rPr>
        <w:rFonts w:ascii="Wingdings" w:hAnsi="Wingdings" w:hint="default"/>
      </w:rPr>
    </w:lvl>
    <w:lvl w:ilvl="3" w:tplc="140A0001" w:tentative="1">
      <w:start w:val="1"/>
      <w:numFmt w:val="bullet"/>
      <w:lvlText w:val=""/>
      <w:lvlJc w:val="left"/>
      <w:pPr>
        <w:ind w:left="3240" w:hanging="360"/>
      </w:pPr>
      <w:rPr>
        <w:rFonts w:ascii="Symbol" w:hAnsi="Symbol" w:hint="default"/>
      </w:rPr>
    </w:lvl>
    <w:lvl w:ilvl="4" w:tplc="140A0003" w:tentative="1">
      <w:start w:val="1"/>
      <w:numFmt w:val="bullet"/>
      <w:lvlText w:val="o"/>
      <w:lvlJc w:val="left"/>
      <w:pPr>
        <w:ind w:left="3960" w:hanging="360"/>
      </w:pPr>
      <w:rPr>
        <w:rFonts w:ascii="Courier New" w:hAnsi="Courier New" w:cs="Courier New" w:hint="default"/>
      </w:rPr>
    </w:lvl>
    <w:lvl w:ilvl="5" w:tplc="140A0005" w:tentative="1">
      <w:start w:val="1"/>
      <w:numFmt w:val="bullet"/>
      <w:lvlText w:val=""/>
      <w:lvlJc w:val="left"/>
      <w:pPr>
        <w:ind w:left="4680" w:hanging="360"/>
      </w:pPr>
      <w:rPr>
        <w:rFonts w:ascii="Wingdings" w:hAnsi="Wingdings" w:hint="default"/>
      </w:rPr>
    </w:lvl>
    <w:lvl w:ilvl="6" w:tplc="140A0001" w:tentative="1">
      <w:start w:val="1"/>
      <w:numFmt w:val="bullet"/>
      <w:lvlText w:val=""/>
      <w:lvlJc w:val="left"/>
      <w:pPr>
        <w:ind w:left="5400" w:hanging="360"/>
      </w:pPr>
      <w:rPr>
        <w:rFonts w:ascii="Symbol" w:hAnsi="Symbol" w:hint="default"/>
      </w:rPr>
    </w:lvl>
    <w:lvl w:ilvl="7" w:tplc="140A0003" w:tentative="1">
      <w:start w:val="1"/>
      <w:numFmt w:val="bullet"/>
      <w:lvlText w:val="o"/>
      <w:lvlJc w:val="left"/>
      <w:pPr>
        <w:ind w:left="6120" w:hanging="360"/>
      </w:pPr>
      <w:rPr>
        <w:rFonts w:ascii="Courier New" w:hAnsi="Courier New" w:cs="Courier New" w:hint="default"/>
      </w:rPr>
    </w:lvl>
    <w:lvl w:ilvl="8" w:tplc="140A0005" w:tentative="1">
      <w:start w:val="1"/>
      <w:numFmt w:val="bullet"/>
      <w:lvlText w:val=""/>
      <w:lvlJc w:val="left"/>
      <w:pPr>
        <w:ind w:left="6840" w:hanging="360"/>
      </w:pPr>
      <w:rPr>
        <w:rFonts w:ascii="Wingdings" w:hAnsi="Wingdings" w:hint="default"/>
      </w:rPr>
    </w:lvl>
  </w:abstractNum>
  <w:abstractNum w:abstractNumId="1">
    <w:nsid w:val="01A96469"/>
    <w:multiLevelType w:val="hybridMultilevel"/>
    <w:tmpl w:val="92EE372C"/>
    <w:lvl w:ilvl="0" w:tplc="22B601F0">
      <w:start w:val="1"/>
      <w:numFmt w:val="lowerLetter"/>
      <w:lvlText w:val="%1."/>
      <w:lvlJc w:val="left"/>
      <w:pPr>
        <w:ind w:left="1353" w:hanging="360"/>
      </w:pPr>
      <w:rPr>
        <w:rFonts w:hint="default"/>
      </w:rPr>
    </w:lvl>
    <w:lvl w:ilvl="1" w:tplc="100C0019" w:tentative="1">
      <w:start w:val="1"/>
      <w:numFmt w:val="lowerLetter"/>
      <w:lvlText w:val="%2."/>
      <w:lvlJc w:val="left"/>
      <w:pPr>
        <w:ind w:left="2073" w:hanging="360"/>
      </w:pPr>
    </w:lvl>
    <w:lvl w:ilvl="2" w:tplc="100C001B" w:tentative="1">
      <w:start w:val="1"/>
      <w:numFmt w:val="lowerRoman"/>
      <w:lvlText w:val="%3."/>
      <w:lvlJc w:val="right"/>
      <w:pPr>
        <w:ind w:left="2793" w:hanging="180"/>
      </w:pPr>
    </w:lvl>
    <w:lvl w:ilvl="3" w:tplc="100C000F" w:tentative="1">
      <w:start w:val="1"/>
      <w:numFmt w:val="decimal"/>
      <w:lvlText w:val="%4."/>
      <w:lvlJc w:val="left"/>
      <w:pPr>
        <w:ind w:left="3513" w:hanging="360"/>
      </w:pPr>
    </w:lvl>
    <w:lvl w:ilvl="4" w:tplc="100C0019" w:tentative="1">
      <w:start w:val="1"/>
      <w:numFmt w:val="lowerLetter"/>
      <w:lvlText w:val="%5."/>
      <w:lvlJc w:val="left"/>
      <w:pPr>
        <w:ind w:left="4233" w:hanging="360"/>
      </w:pPr>
    </w:lvl>
    <w:lvl w:ilvl="5" w:tplc="100C001B" w:tentative="1">
      <w:start w:val="1"/>
      <w:numFmt w:val="lowerRoman"/>
      <w:lvlText w:val="%6."/>
      <w:lvlJc w:val="right"/>
      <w:pPr>
        <w:ind w:left="4953" w:hanging="180"/>
      </w:pPr>
    </w:lvl>
    <w:lvl w:ilvl="6" w:tplc="100C000F" w:tentative="1">
      <w:start w:val="1"/>
      <w:numFmt w:val="decimal"/>
      <w:lvlText w:val="%7."/>
      <w:lvlJc w:val="left"/>
      <w:pPr>
        <w:ind w:left="5673" w:hanging="360"/>
      </w:pPr>
    </w:lvl>
    <w:lvl w:ilvl="7" w:tplc="100C0019" w:tentative="1">
      <w:start w:val="1"/>
      <w:numFmt w:val="lowerLetter"/>
      <w:lvlText w:val="%8."/>
      <w:lvlJc w:val="left"/>
      <w:pPr>
        <w:ind w:left="6393" w:hanging="360"/>
      </w:pPr>
    </w:lvl>
    <w:lvl w:ilvl="8" w:tplc="100C001B" w:tentative="1">
      <w:start w:val="1"/>
      <w:numFmt w:val="lowerRoman"/>
      <w:lvlText w:val="%9."/>
      <w:lvlJc w:val="right"/>
      <w:pPr>
        <w:ind w:left="7113" w:hanging="180"/>
      </w:pPr>
    </w:lvl>
  </w:abstractNum>
  <w:abstractNum w:abstractNumId="2">
    <w:nsid w:val="021D3CEE"/>
    <w:multiLevelType w:val="hybridMultilevel"/>
    <w:tmpl w:val="8228A92C"/>
    <w:lvl w:ilvl="0" w:tplc="140A0017">
      <w:start w:val="1"/>
      <w:numFmt w:val="lowerLetter"/>
      <w:lvlText w:val="%1)"/>
      <w:lvlJc w:val="left"/>
      <w:pPr>
        <w:ind w:left="720" w:hanging="360"/>
      </w:pPr>
      <w:rPr>
        <w:rFonts w:hint="default"/>
        <w:color w:val="auto"/>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
    <w:nsid w:val="0346343A"/>
    <w:multiLevelType w:val="hybridMultilevel"/>
    <w:tmpl w:val="9C76BFDE"/>
    <w:lvl w:ilvl="0" w:tplc="140A0017">
      <w:start w:val="1"/>
      <w:numFmt w:val="lowerLetter"/>
      <w:lvlText w:val="%1)"/>
      <w:lvlJc w:val="left"/>
      <w:pPr>
        <w:ind w:left="1353" w:hanging="360"/>
      </w:pPr>
    </w:lvl>
    <w:lvl w:ilvl="1" w:tplc="140A0019" w:tentative="1">
      <w:start w:val="1"/>
      <w:numFmt w:val="lowerLetter"/>
      <w:lvlText w:val="%2."/>
      <w:lvlJc w:val="left"/>
      <w:pPr>
        <w:ind w:left="2073" w:hanging="360"/>
      </w:pPr>
    </w:lvl>
    <w:lvl w:ilvl="2" w:tplc="140A001B" w:tentative="1">
      <w:start w:val="1"/>
      <w:numFmt w:val="lowerRoman"/>
      <w:lvlText w:val="%3."/>
      <w:lvlJc w:val="right"/>
      <w:pPr>
        <w:ind w:left="2793" w:hanging="180"/>
      </w:pPr>
    </w:lvl>
    <w:lvl w:ilvl="3" w:tplc="140A000F" w:tentative="1">
      <w:start w:val="1"/>
      <w:numFmt w:val="decimal"/>
      <w:lvlText w:val="%4."/>
      <w:lvlJc w:val="left"/>
      <w:pPr>
        <w:ind w:left="3513" w:hanging="360"/>
      </w:pPr>
    </w:lvl>
    <w:lvl w:ilvl="4" w:tplc="140A0019" w:tentative="1">
      <w:start w:val="1"/>
      <w:numFmt w:val="lowerLetter"/>
      <w:lvlText w:val="%5."/>
      <w:lvlJc w:val="left"/>
      <w:pPr>
        <w:ind w:left="4233" w:hanging="360"/>
      </w:pPr>
    </w:lvl>
    <w:lvl w:ilvl="5" w:tplc="140A001B" w:tentative="1">
      <w:start w:val="1"/>
      <w:numFmt w:val="lowerRoman"/>
      <w:lvlText w:val="%6."/>
      <w:lvlJc w:val="right"/>
      <w:pPr>
        <w:ind w:left="4953" w:hanging="180"/>
      </w:pPr>
    </w:lvl>
    <w:lvl w:ilvl="6" w:tplc="140A000F" w:tentative="1">
      <w:start w:val="1"/>
      <w:numFmt w:val="decimal"/>
      <w:lvlText w:val="%7."/>
      <w:lvlJc w:val="left"/>
      <w:pPr>
        <w:ind w:left="5673" w:hanging="360"/>
      </w:pPr>
    </w:lvl>
    <w:lvl w:ilvl="7" w:tplc="140A0019" w:tentative="1">
      <w:start w:val="1"/>
      <w:numFmt w:val="lowerLetter"/>
      <w:lvlText w:val="%8."/>
      <w:lvlJc w:val="left"/>
      <w:pPr>
        <w:ind w:left="6393" w:hanging="360"/>
      </w:pPr>
    </w:lvl>
    <w:lvl w:ilvl="8" w:tplc="140A001B" w:tentative="1">
      <w:start w:val="1"/>
      <w:numFmt w:val="lowerRoman"/>
      <w:lvlText w:val="%9."/>
      <w:lvlJc w:val="right"/>
      <w:pPr>
        <w:ind w:left="7113" w:hanging="180"/>
      </w:pPr>
    </w:lvl>
  </w:abstractNum>
  <w:abstractNum w:abstractNumId="4">
    <w:nsid w:val="037E1EAC"/>
    <w:multiLevelType w:val="hybridMultilevel"/>
    <w:tmpl w:val="527EFF40"/>
    <w:lvl w:ilvl="0" w:tplc="100C0001">
      <w:start w:val="1"/>
      <w:numFmt w:val="bullet"/>
      <w:lvlText w:val=""/>
      <w:lvlJc w:val="left"/>
      <w:pPr>
        <w:ind w:left="720" w:hanging="360"/>
      </w:pPr>
      <w:rPr>
        <w:rFonts w:ascii="Symbol" w:hAnsi="Symbol" w:hint="default"/>
      </w:rPr>
    </w:lvl>
    <w:lvl w:ilvl="1" w:tplc="79AEADAC">
      <w:start w:val="1"/>
      <w:numFmt w:val="upperLetter"/>
      <w:lvlText w:val="%2."/>
      <w:lvlJc w:val="left"/>
      <w:pPr>
        <w:ind w:left="1440" w:hanging="360"/>
      </w:pPr>
      <w:rPr>
        <w:rFonts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
    <w:nsid w:val="047A5985"/>
    <w:multiLevelType w:val="hybridMultilevel"/>
    <w:tmpl w:val="01F8DE98"/>
    <w:lvl w:ilvl="0" w:tplc="5DAE760A">
      <w:start w:val="1"/>
      <w:numFmt w:val="decimal"/>
      <w:lvlText w:val="%1."/>
      <w:lvlJc w:val="left"/>
      <w:pPr>
        <w:ind w:left="720" w:hanging="360"/>
      </w:pPr>
      <w:rPr>
        <w:rFonts w:eastAsiaTheme="minorEastAsia" w:cstheme="minorBidi" w:hint="default"/>
        <w:color w:val="auto"/>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6">
    <w:nsid w:val="0783611C"/>
    <w:multiLevelType w:val="hybridMultilevel"/>
    <w:tmpl w:val="B86EF620"/>
    <w:lvl w:ilvl="0" w:tplc="72862264">
      <w:start w:val="1"/>
      <w:numFmt w:val="lowerLetter"/>
      <w:lvlText w:val="%1."/>
      <w:lvlJc w:val="left"/>
      <w:pPr>
        <w:ind w:left="2204" w:hanging="360"/>
      </w:pPr>
      <w:rPr>
        <w:rFonts w:hint="default"/>
      </w:rPr>
    </w:lvl>
    <w:lvl w:ilvl="1" w:tplc="100C0019">
      <w:start w:val="1"/>
      <w:numFmt w:val="lowerLetter"/>
      <w:lvlText w:val="%2."/>
      <w:lvlJc w:val="left"/>
      <w:pPr>
        <w:ind w:left="4320" w:hanging="360"/>
      </w:pPr>
    </w:lvl>
    <w:lvl w:ilvl="2" w:tplc="100C001B" w:tentative="1">
      <w:start w:val="1"/>
      <w:numFmt w:val="lowerRoman"/>
      <w:lvlText w:val="%3."/>
      <w:lvlJc w:val="right"/>
      <w:pPr>
        <w:ind w:left="5040" w:hanging="180"/>
      </w:pPr>
    </w:lvl>
    <w:lvl w:ilvl="3" w:tplc="100C000F" w:tentative="1">
      <w:start w:val="1"/>
      <w:numFmt w:val="decimal"/>
      <w:lvlText w:val="%4."/>
      <w:lvlJc w:val="left"/>
      <w:pPr>
        <w:ind w:left="5760" w:hanging="360"/>
      </w:pPr>
    </w:lvl>
    <w:lvl w:ilvl="4" w:tplc="100C0019" w:tentative="1">
      <w:start w:val="1"/>
      <w:numFmt w:val="lowerLetter"/>
      <w:lvlText w:val="%5."/>
      <w:lvlJc w:val="left"/>
      <w:pPr>
        <w:ind w:left="6480" w:hanging="360"/>
      </w:pPr>
    </w:lvl>
    <w:lvl w:ilvl="5" w:tplc="100C001B" w:tentative="1">
      <w:start w:val="1"/>
      <w:numFmt w:val="lowerRoman"/>
      <w:lvlText w:val="%6."/>
      <w:lvlJc w:val="right"/>
      <w:pPr>
        <w:ind w:left="7200" w:hanging="180"/>
      </w:pPr>
    </w:lvl>
    <w:lvl w:ilvl="6" w:tplc="100C000F" w:tentative="1">
      <w:start w:val="1"/>
      <w:numFmt w:val="decimal"/>
      <w:lvlText w:val="%7."/>
      <w:lvlJc w:val="left"/>
      <w:pPr>
        <w:ind w:left="7920" w:hanging="360"/>
      </w:pPr>
    </w:lvl>
    <w:lvl w:ilvl="7" w:tplc="100C0019" w:tentative="1">
      <w:start w:val="1"/>
      <w:numFmt w:val="lowerLetter"/>
      <w:lvlText w:val="%8."/>
      <w:lvlJc w:val="left"/>
      <w:pPr>
        <w:ind w:left="8640" w:hanging="360"/>
      </w:pPr>
    </w:lvl>
    <w:lvl w:ilvl="8" w:tplc="100C001B" w:tentative="1">
      <w:start w:val="1"/>
      <w:numFmt w:val="lowerRoman"/>
      <w:lvlText w:val="%9."/>
      <w:lvlJc w:val="right"/>
      <w:pPr>
        <w:ind w:left="9360" w:hanging="180"/>
      </w:pPr>
    </w:lvl>
  </w:abstractNum>
  <w:abstractNum w:abstractNumId="7">
    <w:nsid w:val="08D46CF0"/>
    <w:multiLevelType w:val="hybridMultilevel"/>
    <w:tmpl w:val="9F9A3FB0"/>
    <w:lvl w:ilvl="0" w:tplc="2EFCF060">
      <w:numFmt w:val="bullet"/>
      <w:lvlText w:val="-"/>
      <w:lvlJc w:val="left"/>
      <w:pPr>
        <w:ind w:left="360" w:hanging="360"/>
      </w:pPr>
      <w:rPr>
        <w:rFonts w:ascii="Calibri" w:eastAsia="Calibri" w:hAnsi="Calibri" w:cs="Times New Roman" w:hint="default"/>
      </w:rPr>
    </w:lvl>
    <w:lvl w:ilvl="1" w:tplc="140A0003" w:tentative="1">
      <w:start w:val="1"/>
      <w:numFmt w:val="bullet"/>
      <w:lvlText w:val="o"/>
      <w:lvlJc w:val="left"/>
      <w:pPr>
        <w:ind w:left="1080" w:hanging="360"/>
      </w:pPr>
      <w:rPr>
        <w:rFonts w:ascii="Courier New" w:hAnsi="Courier New" w:cs="Courier New" w:hint="default"/>
      </w:rPr>
    </w:lvl>
    <w:lvl w:ilvl="2" w:tplc="140A0005" w:tentative="1">
      <w:start w:val="1"/>
      <w:numFmt w:val="bullet"/>
      <w:lvlText w:val=""/>
      <w:lvlJc w:val="left"/>
      <w:pPr>
        <w:ind w:left="1800" w:hanging="360"/>
      </w:pPr>
      <w:rPr>
        <w:rFonts w:ascii="Wingdings" w:hAnsi="Wingdings" w:hint="default"/>
      </w:rPr>
    </w:lvl>
    <w:lvl w:ilvl="3" w:tplc="140A0001" w:tentative="1">
      <w:start w:val="1"/>
      <w:numFmt w:val="bullet"/>
      <w:lvlText w:val=""/>
      <w:lvlJc w:val="left"/>
      <w:pPr>
        <w:ind w:left="2520" w:hanging="360"/>
      </w:pPr>
      <w:rPr>
        <w:rFonts w:ascii="Symbol" w:hAnsi="Symbol" w:hint="default"/>
      </w:rPr>
    </w:lvl>
    <w:lvl w:ilvl="4" w:tplc="140A0003" w:tentative="1">
      <w:start w:val="1"/>
      <w:numFmt w:val="bullet"/>
      <w:lvlText w:val="o"/>
      <w:lvlJc w:val="left"/>
      <w:pPr>
        <w:ind w:left="3240" w:hanging="360"/>
      </w:pPr>
      <w:rPr>
        <w:rFonts w:ascii="Courier New" w:hAnsi="Courier New" w:cs="Courier New" w:hint="default"/>
      </w:rPr>
    </w:lvl>
    <w:lvl w:ilvl="5" w:tplc="140A0005" w:tentative="1">
      <w:start w:val="1"/>
      <w:numFmt w:val="bullet"/>
      <w:lvlText w:val=""/>
      <w:lvlJc w:val="left"/>
      <w:pPr>
        <w:ind w:left="3960" w:hanging="360"/>
      </w:pPr>
      <w:rPr>
        <w:rFonts w:ascii="Wingdings" w:hAnsi="Wingdings" w:hint="default"/>
      </w:rPr>
    </w:lvl>
    <w:lvl w:ilvl="6" w:tplc="140A0001" w:tentative="1">
      <w:start w:val="1"/>
      <w:numFmt w:val="bullet"/>
      <w:lvlText w:val=""/>
      <w:lvlJc w:val="left"/>
      <w:pPr>
        <w:ind w:left="4680" w:hanging="360"/>
      </w:pPr>
      <w:rPr>
        <w:rFonts w:ascii="Symbol" w:hAnsi="Symbol" w:hint="default"/>
      </w:rPr>
    </w:lvl>
    <w:lvl w:ilvl="7" w:tplc="140A0003" w:tentative="1">
      <w:start w:val="1"/>
      <w:numFmt w:val="bullet"/>
      <w:lvlText w:val="o"/>
      <w:lvlJc w:val="left"/>
      <w:pPr>
        <w:ind w:left="5400" w:hanging="360"/>
      </w:pPr>
      <w:rPr>
        <w:rFonts w:ascii="Courier New" w:hAnsi="Courier New" w:cs="Courier New" w:hint="default"/>
      </w:rPr>
    </w:lvl>
    <w:lvl w:ilvl="8" w:tplc="140A0005" w:tentative="1">
      <w:start w:val="1"/>
      <w:numFmt w:val="bullet"/>
      <w:lvlText w:val=""/>
      <w:lvlJc w:val="left"/>
      <w:pPr>
        <w:ind w:left="6120" w:hanging="360"/>
      </w:pPr>
      <w:rPr>
        <w:rFonts w:ascii="Wingdings" w:hAnsi="Wingdings" w:hint="default"/>
      </w:rPr>
    </w:lvl>
  </w:abstractNum>
  <w:abstractNum w:abstractNumId="8">
    <w:nsid w:val="0C6D5CE9"/>
    <w:multiLevelType w:val="hybridMultilevel"/>
    <w:tmpl w:val="B86EF620"/>
    <w:lvl w:ilvl="0" w:tplc="72862264">
      <w:start w:val="1"/>
      <w:numFmt w:val="lowerLetter"/>
      <w:lvlText w:val="%1."/>
      <w:lvlJc w:val="left"/>
      <w:pPr>
        <w:ind w:left="3600" w:hanging="360"/>
      </w:pPr>
      <w:rPr>
        <w:rFonts w:hint="default"/>
      </w:rPr>
    </w:lvl>
    <w:lvl w:ilvl="1" w:tplc="100C0019" w:tentative="1">
      <w:start w:val="1"/>
      <w:numFmt w:val="lowerLetter"/>
      <w:lvlText w:val="%2."/>
      <w:lvlJc w:val="left"/>
      <w:pPr>
        <w:ind w:left="4320" w:hanging="360"/>
      </w:pPr>
    </w:lvl>
    <w:lvl w:ilvl="2" w:tplc="100C001B" w:tentative="1">
      <w:start w:val="1"/>
      <w:numFmt w:val="lowerRoman"/>
      <w:lvlText w:val="%3."/>
      <w:lvlJc w:val="right"/>
      <w:pPr>
        <w:ind w:left="5040" w:hanging="180"/>
      </w:pPr>
    </w:lvl>
    <w:lvl w:ilvl="3" w:tplc="100C000F" w:tentative="1">
      <w:start w:val="1"/>
      <w:numFmt w:val="decimal"/>
      <w:lvlText w:val="%4."/>
      <w:lvlJc w:val="left"/>
      <w:pPr>
        <w:ind w:left="5760" w:hanging="360"/>
      </w:pPr>
    </w:lvl>
    <w:lvl w:ilvl="4" w:tplc="100C0019" w:tentative="1">
      <w:start w:val="1"/>
      <w:numFmt w:val="lowerLetter"/>
      <w:lvlText w:val="%5."/>
      <w:lvlJc w:val="left"/>
      <w:pPr>
        <w:ind w:left="6480" w:hanging="360"/>
      </w:pPr>
    </w:lvl>
    <w:lvl w:ilvl="5" w:tplc="100C001B" w:tentative="1">
      <w:start w:val="1"/>
      <w:numFmt w:val="lowerRoman"/>
      <w:lvlText w:val="%6."/>
      <w:lvlJc w:val="right"/>
      <w:pPr>
        <w:ind w:left="7200" w:hanging="180"/>
      </w:pPr>
    </w:lvl>
    <w:lvl w:ilvl="6" w:tplc="100C000F" w:tentative="1">
      <w:start w:val="1"/>
      <w:numFmt w:val="decimal"/>
      <w:lvlText w:val="%7."/>
      <w:lvlJc w:val="left"/>
      <w:pPr>
        <w:ind w:left="7920" w:hanging="360"/>
      </w:pPr>
    </w:lvl>
    <w:lvl w:ilvl="7" w:tplc="100C0019" w:tentative="1">
      <w:start w:val="1"/>
      <w:numFmt w:val="lowerLetter"/>
      <w:lvlText w:val="%8."/>
      <w:lvlJc w:val="left"/>
      <w:pPr>
        <w:ind w:left="8640" w:hanging="360"/>
      </w:pPr>
    </w:lvl>
    <w:lvl w:ilvl="8" w:tplc="100C001B" w:tentative="1">
      <w:start w:val="1"/>
      <w:numFmt w:val="lowerRoman"/>
      <w:lvlText w:val="%9."/>
      <w:lvlJc w:val="right"/>
      <w:pPr>
        <w:ind w:left="9360" w:hanging="180"/>
      </w:pPr>
    </w:lvl>
  </w:abstractNum>
  <w:abstractNum w:abstractNumId="9">
    <w:nsid w:val="0FEC76AE"/>
    <w:multiLevelType w:val="hybridMultilevel"/>
    <w:tmpl w:val="2BF4742C"/>
    <w:lvl w:ilvl="0" w:tplc="A2D65624">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13A30568"/>
    <w:multiLevelType w:val="hybridMultilevel"/>
    <w:tmpl w:val="A0F20F7C"/>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1">
    <w:nsid w:val="158004BA"/>
    <w:multiLevelType w:val="hybridMultilevel"/>
    <w:tmpl w:val="B86EF620"/>
    <w:lvl w:ilvl="0" w:tplc="72862264">
      <w:start w:val="1"/>
      <w:numFmt w:val="lowerLetter"/>
      <w:lvlText w:val="%1."/>
      <w:lvlJc w:val="left"/>
      <w:pPr>
        <w:ind w:left="2204" w:hanging="360"/>
      </w:pPr>
      <w:rPr>
        <w:rFonts w:hint="default"/>
      </w:rPr>
    </w:lvl>
    <w:lvl w:ilvl="1" w:tplc="100C0019">
      <w:start w:val="1"/>
      <w:numFmt w:val="lowerLetter"/>
      <w:lvlText w:val="%2."/>
      <w:lvlJc w:val="left"/>
      <w:pPr>
        <w:ind w:left="4320" w:hanging="360"/>
      </w:pPr>
    </w:lvl>
    <w:lvl w:ilvl="2" w:tplc="100C001B" w:tentative="1">
      <w:start w:val="1"/>
      <w:numFmt w:val="lowerRoman"/>
      <w:lvlText w:val="%3."/>
      <w:lvlJc w:val="right"/>
      <w:pPr>
        <w:ind w:left="5040" w:hanging="180"/>
      </w:pPr>
    </w:lvl>
    <w:lvl w:ilvl="3" w:tplc="100C000F" w:tentative="1">
      <w:start w:val="1"/>
      <w:numFmt w:val="decimal"/>
      <w:lvlText w:val="%4."/>
      <w:lvlJc w:val="left"/>
      <w:pPr>
        <w:ind w:left="5760" w:hanging="360"/>
      </w:pPr>
    </w:lvl>
    <w:lvl w:ilvl="4" w:tplc="100C0019" w:tentative="1">
      <w:start w:val="1"/>
      <w:numFmt w:val="lowerLetter"/>
      <w:lvlText w:val="%5."/>
      <w:lvlJc w:val="left"/>
      <w:pPr>
        <w:ind w:left="6480" w:hanging="360"/>
      </w:pPr>
    </w:lvl>
    <w:lvl w:ilvl="5" w:tplc="100C001B" w:tentative="1">
      <w:start w:val="1"/>
      <w:numFmt w:val="lowerRoman"/>
      <w:lvlText w:val="%6."/>
      <w:lvlJc w:val="right"/>
      <w:pPr>
        <w:ind w:left="7200" w:hanging="180"/>
      </w:pPr>
    </w:lvl>
    <w:lvl w:ilvl="6" w:tplc="100C000F" w:tentative="1">
      <w:start w:val="1"/>
      <w:numFmt w:val="decimal"/>
      <w:lvlText w:val="%7."/>
      <w:lvlJc w:val="left"/>
      <w:pPr>
        <w:ind w:left="7920" w:hanging="360"/>
      </w:pPr>
    </w:lvl>
    <w:lvl w:ilvl="7" w:tplc="100C0019" w:tentative="1">
      <w:start w:val="1"/>
      <w:numFmt w:val="lowerLetter"/>
      <w:lvlText w:val="%8."/>
      <w:lvlJc w:val="left"/>
      <w:pPr>
        <w:ind w:left="8640" w:hanging="360"/>
      </w:pPr>
    </w:lvl>
    <w:lvl w:ilvl="8" w:tplc="100C001B" w:tentative="1">
      <w:start w:val="1"/>
      <w:numFmt w:val="lowerRoman"/>
      <w:lvlText w:val="%9."/>
      <w:lvlJc w:val="right"/>
      <w:pPr>
        <w:ind w:left="9360" w:hanging="180"/>
      </w:pPr>
    </w:lvl>
  </w:abstractNum>
  <w:abstractNum w:abstractNumId="12">
    <w:nsid w:val="18373594"/>
    <w:multiLevelType w:val="hybridMultilevel"/>
    <w:tmpl w:val="86B444C4"/>
    <w:lvl w:ilvl="0" w:tplc="74C07726">
      <w:start w:val="1"/>
      <w:numFmt w:val="lowerLetter"/>
      <w:lvlText w:val="%1."/>
      <w:lvlJc w:val="left"/>
      <w:pPr>
        <w:ind w:left="1713" w:hanging="360"/>
      </w:pPr>
      <w:rPr>
        <w:rFonts w:hint="default"/>
      </w:rPr>
    </w:lvl>
    <w:lvl w:ilvl="1" w:tplc="100C0019" w:tentative="1">
      <w:start w:val="1"/>
      <w:numFmt w:val="lowerLetter"/>
      <w:lvlText w:val="%2."/>
      <w:lvlJc w:val="left"/>
      <w:pPr>
        <w:ind w:left="2433" w:hanging="360"/>
      </w:pPr>
    </w:lvl>
    <w:lvl w:ilvl="2" w:tplc="100C001B" w:tentative="1">
      <w:start w:val="1"/>
      <w:numFmt w:val="lowerRoman"/>
      <w:lvlText w:val="%3."/>
      <w:lvlJc w:val="right"/>
      <w:pPr>
        <w:ind w:left="3153" w:hanging="180"/>
      </w:pPr>
    </w:lvl>
    <w:lvl w:ilvl="3" w:tplc="100C000F" w:tentative="1">
      <w:start w:val="1"/>
      <w:numFmt w:val="decimal"/>
      <w:lvlText w:val="%4."/>
      <w:lvlJc w:val="left"/>
      <w:pPr>
        <w:ind w:left="3873" w:hanging="360"/>
      </w:pPr>
    </w:lvl>
    <w:lvl w:ilvl="4" w:tplc="100C0019" w:tentative="1">
      <w:start w:val="1"/>
      <w:numFmt w:val="lowerLetter"/>
      <w:lvlText w:val="%5."/>
      <w:lvlJc w:val="left"/>
      <w:pPr>
        <w:ind w:left="4593" w:hanging="360"/>
      </w:pPr>
    </w:lvl>
    <w:lvl w:ilvl="5" w:tplc="100C001B" w:tentative="1">
      <w:start w:val="1"/>
      <w:numFmt w:val="lowerRoman"/>
      <w:lvlText w:val="%6."/>
      <w:lvlJc w:val="right"/>
      <w:pPr>
        <w:ind w:left="5313" w:hanging="180"/>
      </w:pPr>
    </w:lvl>
    <w:lvl w:ilvl="6" w:tplc="100C000F" w:tentative="1">
      <w:start w:val="1"/>
      <w:numFmt w:val="decimal"/>
      <w:lvlText w:val="%7."/>
      <w:lvlJc w:val="left"/>
      <w:pPr>
        <w:ind w:left="6033" w:hanging="360"/>
      </w:pPr>
    </w:lvl>
    <w:lvl w:ilvl="7" w:tplc="100C0019" w:tentative="1">
      <w:start w:val="1"/>
      <w:numFmt w:val="lowerLetter"/>
      <w:lvlText w:val="%8."/>
      <w:lvlJc w:val="left"/>
      <w:pPr>
        <w:ind w:left="6753" w:hanging="360"/>
      </w:pPr>
    </w:lvl>
    <w:lvl w:ilvl="8" w:tplc="100C001B" w:tentative="1">
      <w:start w:val="1"/>
      <w:numFmt w:val="lowerRoman"/>
      <w:lvlText w:val="%9."/>
      <w:lvlJc w:val="right"/>
      <w:pPr>
        <w:ind w:left="7473" w:hanging="180"/>
      </w:pPr>
    </w:lvl>
  </w:abstractNum>
  <w:abstractNum w:abstractNumId="13">
    <w:nsid w:val="1A9E5EE0"/>
    <w:multiLevelType w:val="hybridMultilevel"/>
    <w:tmpl w:val="FF7CEE14"/>
    <w:lvl w:ilvl="0" w:tplc="0C0A0001">
      <w:start w:val="1"/>
      <w:numFmt w:val="bullet"/>
      <w:lvlText w:val=""/>
      <w:lvlJc w:val="left"/>
      <w:pPr>
        <w:ind w:left="1854"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4">
    <w:nsid w:val="24A75A06"/>
    <w:multiLevelType w:val="hybridMultilevel"/>
    <w:tmpl w:val="B86EF620"/>
    <w:lvl w:ilvl="0" w:tplc="72862264">
      <w:start w:val="1"/>
      <w:numFmt w:val="lowerLetter"/>
      <w:lvlText w:val="%1."/>
      <w:lvlJc w:val="left"/>
      <w:pPr>
        <w:ind w:left="2204" w:hanging="360"/>
      </w:pPr>
      <w:rPr>
        <w:rFonts w:hint="default"/>
      </w:rPr>
    </w:lvl>
    <w:lvl w:ilvl="1" w:tplc="100C0019">
      <w:start w:val="1"/>
      <w:numFmt w:val="lowerLetter"/>
      <w:lvlText w:val="%2."/>
      <w:lvlJc w:val="left"/>
      <w:pPr>
        <w:ind w:left="4320" w:hanging="360"/>
      </w:pPr>
    </w:lvl>
    <w:lvl w:ilvl="2" w:tplc="100C001B" w:tentative="1">
      <w:start w:val="1"/>
      <w:numFmt w:val="lowerRoman"/>
      <w:lvlText w:val="%3."/>
      <w:lvlJc w:val="right"/>
      <w:pPr>
        <w:ind w:left="5040" w:hanging="180"/>
      </w:pPr>
    </w:lvl>
    <w:lvl w:ilvl="3" w:tplc="100C000F" w:tentative="1">
      <w:start w:val="1"/>
      <w:numFmt w:val="decimal"/>
      <w:lvlText w:val="%4."/>
      <w:lvlJc w:val="left"/>
      <w:pPr>
        <w:ind w:left="5760" w:hanging="360"/>
      </w:pPr>
    </w:lvl>
    <w:lvl w:ilvl="4" w:tplc="100C0019" w:tentative="1">
      <w:start w:val="1"/>
      <w:numFmt w:val="lowerLetter"/>
      <w:lvlText w:val="%5."/>
      <w:lvlJc w:val="left"/>
      <w:pPr>
        <w:ind w:left="6480" w:hanging="360"/>
      </w:pPr>
    </w:lvl>
    <w:lvl w:ilvl="5" w:tplc="100C001B" w:tentative="1">
      <w:start w:val="1"/>
      <w:numFmt w:val="lowerRoman"/>
      <w:lvlText w:val="%6."/>
      <w:lvlJc w:val="right"/>
      <w:pPr>
        <w:ind w:left="7200" w:hanging="180"/>
      </w:pPr>
    </w:lvl>
    <w:lvl w:ilvl="6" w:tplc="100C000F" w:tentative="1">
      <w:start w:val="1"/>
      <w:numFmt w:val="decimal"/>
      <w:lvlText w:val="%7."/>
      <w:lvlJc w:val="left"/>
      <w:pPr>
        <w:ind w:left="7920" w:hanging="360"/>
      </w:pPr>
    </w:lvl>
    <w:lvl w:ilvl="7" w:tplc="100C0019" w:tentative="1">
      <w:start w:val="1"/>
      <w:numFmt w:val="lowerLetter"/>
      <w:lvlText w:val="%8."/>
      <w:lvlJc w:val="left"/>
      <w:pPr>
        <w:ind w:left="8640" w:hanging="360"/>
      </w:pPr>
    </w:lvl>
    <w:lvl w:ilvl="8" w:tplc="100C001B" w:tentative="1">
      <w:start w:val="1"/>
      <w:numFmt w:val="lowerRoman"/>
      <w:lvlText w:val="%9."/>
      <w:lvlJc w:val="right"/>
      <w:pPr>
        <w:ind w:left="9360" w:hanging="180"/>
      </w:pPr>
    </w:lvl>
  </w:abstractNum>
  <w:abstractNum w:abstractNumId="15">
    <w:nsid w:val="24E05B6F"/>
    <w:multiLevelType w:val="hybridMultilevel"/>
    <w:tmpl w:val="14B4B0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25B42FED"/>
    <w:multiLevelType w:val="hybridMultilevel"/>
    <w:tmpl w:val="B86EF620"/>
    <w:lvl w:ilvl="0" w:tplc="72862264">
      <w:start w:val="1"/>
      <w:numFmt w:val="lowerLetter"/>
      <w:lvlText w:val="%1."/>
      <w:lvlJc w:val="left"/>
      <w:pPr>
        <w:ind w:left="2204" w:hanging="360"/>
      </w:pPr>
      <w:rPr>
        <w:rFonts w:hint="default"/>
      </w:rPr>
    </w:lvl>
    <w:lvl w:ilvl="1" w:tplc="100C0019">
      <w:start w:val="1"/>
      <w:numFmt w:val="lowerLetter"/>
      <w:lvlText w:val="%2."/>
      <w:lvlJc w:val="left"/>
      <w:pPr>
        <w:ind w:left="4320" w:hanging="360"/>
      </w:pPr>
    </w:lvl>
    <w:lvl w:ilvl="2" w:tplc="100C001B" w:tentative="1">
      <w:start w:val="1"/>
      <w:numFmt w:val="lowerRoman"/>
      <w:lvlText w:val="%3."/>
      <w:lvlJc w:val="right"/>
      <w:pPr>
        <w:ind w:left="5040" w:hanging="180"/>
      </w:pPr>
    </w:lvl>
    <w:lvl w:ilvl="3" w:tplc="100C000F" w:tentative="1">
      <w:start w:val="1"/>
      <w:numFmt w:val="decimal"/>
      <w:lvlText w:val="%4."/>
      <w:lvlJc w:val="left"/>
      <w:pPr>
        <w:ind w:left="5760" w:hanging="360"/>
      </w:pPr>
    </w:lvl>
    <w:lvl w:ilvl="4" w:tplc="100C0019" w:tentative="1">
      <w:start w:val="1"/>
      <w:numFmt w:val="lowerLetter"/>
      <w:lvlText w:val="%5."/>
      <w:lvlJc w:val="left"/>
      <w:pPr>
        <w:ind w:left="6480" w:hanging="360"/>
      </w:pPr>
    </w:lvl>
    <w:lvl w:ilvl="5" w:tplc="100C001B" w:tentative="1">
      <w:start w:val="1"/>
      <w:numFmt w:val="lowerRoman"/>
      <w:lvlText w:val="%6."/>
      <w:lvlJc w:val="right"/>
      <w:pPr>
        <w:ind w:left="7200" w:hanging="180"/>
      </w:pPr>
    </w:lvl>
    <w:lvl w:ilvl="6" w:tplc="100C000F" w:tentative="1">
      <w:start w:val="1"/>
      <w:numFmt w:val="decimal"/>
      <w:lvlText w:val="%7."/>
      <w:lvlJc w:val="left"/>
      <w:pPr>
        <w:ind w:left="7920" w:hanging="360"/>
      </w:pPr>
    </w:lvl>
    <w:lvl w:ilvl="7" w:tplc="100C0019" w:tentative="1">
      <w:start w:val="1"/>
      <w:numFmt w:val="lowerLetter"/>
      <w:lvlText w:val="%8."/>
      <w:lvlJc w:val="left"/>
      <w:pPr>
        <w:ind w:left="8640" w:hanging="360"/>
      </w:pPr>
    </w:lvl>
    <w:lvl w:ilvl="8" w:tplc="100C001B" w:tentative="1">
      <w:start w:val="1"/>
      <w:numFmt w:val="lowerRoman"/>
      <w:lvlText w:val="%9."/>
      <w:lvlJc w:val="right"/>
      <w:pPr>
        <w:ind w:left="9360" w:hanging="180"/>
      </w:pPr>
    </w:lvl>
  </w:abstractNum>
  <w:abstractNum w:abstractNumId="17">
    <w:nsid w:val="26E14DD6"/>
    <w:multiLevelType w:val="hybridMultilevel"/>
    <w:tmpl w:val="6D721D82"/>
    <w:lvl w:ilvl="0" w:tplc="22B601F0">
      <w:start w:val="1"/>
      <w:numFmt w:val="lowerLetter"/>
      <w:lvlText w:val="%1."/>
      <w:lvlJc w:val="left"/>
      <w:pPr>
        <w:ind w:left="1353" w:hanging="360"/>
      </w:pPr>
      <w:rPr>
        <w:rFonts w:hint="default"/>
      </w:rPr>
    </w:lvl>
    <w:lvl w:ilvl="1" w:tplc="100C0019" w:tentative="1">
      <w:start w:val="1"/>
      <w:numFmt w:val="lowerLetter"/>
      <w:lvlText w:val="%2."/>
      <w:lvlJc w:val="left"/>
      <w:pPr>
        <w:ind w:left="2073" w:hanging="360"/>
      </w:pPr>
    </w:lvl>
    <w:lvl w:ilvl="2" w:tplc="100C001B" w:tentative="1">
      <w:start w:val="1"/>
      <w:numFmt w:val="lowerRoman"/>
      <w:lvlText w:val="%3."/>
      <w:lvlJc w:val="right"/>
      <w:pPr>
        <w:ind w:left="2793" w:hanging="180"/>
      </w:pPr>
    </w:lvl>
    <w:lvl w:ilvl="3" w:tplc="100C000F" w:tentative="1">
      <w:start w:val="1"/>
      <w:numFmt w:val="decimal"/>
      <w:lvlText w:val="%4."/>
      <w:lvlJc w:val="left"/>
      <w:pPr>
        <w:ind w:left="3513" w:hanging="360"/>
      </w:pPr>
    </w:lvl>
    <w:lvl w:ilvl="4" w:tplc="100C0019" w:tentative="1">
      <w:start w:val="1"/>
      <w:numFmt w:val="lowerLetter"/>
      <w:lvlText w:val="%5."/>
      <w:lvlJc w:val="left"/>
      <w:pPr>
        <w:ind w:left="4233" w:hanging="360"/>
      </w:pPr>
    </w:lvl>
    <w:lvl w:ilvl="5" w:tplc="100C001B" w:tentative="1">
      <w:start w:val="1"/>
      <w:numFmt w:val="lowerRoman"/>
      <w:lvlText w:val="%6."/>
      <w:lvlJc w:val="right"/>
      <w:pPr>
        <w:ind w:left="4953" w:hanging="180"/>
      </w:pPr>
    </w:lvl>
    <w:lvl w:ilvl="6" w:tplc="100C000F" w:tentative="1">
      <w:start w:val="1"/>
      <w:numFmt w:val="decimal"/>
      <w:lvlText w:val="%7."/>
      <w:lvlJc w:val="left"/>
      <w:pPr>
        <w:ind w:left="5673" w:hanging="360"/>
      </w:pPr>
    </w:lvl>
    <w:lvl w:ilvl="7" w:tplc="100C0019" w:tentative="1">
      <w:start w:val="1"/>
      <w:numFmt w:val="lowerLetter"/>
      <w:lvlText w:val="%8."/>
      <w:lvlJc w:val="left"/>
      <w:pPr>
        <w:ind w:left="6393" w:hanging="360"/>
      </w:pPr>
    </w:lvl>
    <w:lvl w:ilvl="8" w:tplc="100C001B" w:tentative="1">
      <w:start w:val="1"/>
      <w:numFmt w:val="lowerRoman"/>
      <w:lvlText w:val="%9."/>
      <w:lvlJc w:val="right"/>
      <w:pPr>
        <w:ind w:left="7113" w:hanging="180"/>
      </w:pPr>
    </w:lvl>
  </w:abstractNum>
  <w:abstractNum w:abstractNumId="18">
    <w:nsid w:val="27F22098"/>
    <w:multiLevelType w:val="hybridMultilevel"/>
    <w:tmpl w:val="33DE4D1A"/>
    <w:lvl w:ilvl="0" w:tplc="4E882EA6">
      <w:start w:val="1"/>
      <w:numFmt w:val="decimal"/>
      <w:lvlText w:val="%1."/>
      <w:lvlJc w:val="left"/>
      <w:pPr>
        <w:ind w:left="945" w:hanging="585"/>
      </w:pPr>
      <w:rPr>
        <w:rFonts w:hint="default"/>
      </w:rPr>
    </w:lvl>
    <w:lvl w:ilvl="1" w:tplc="140A0019">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9">
    <w:nsid w:val="283C4A35"/>
    <w:multiLevelType w:val="hybridMultilevel"/>
    <w:tmpl w:val="123043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2D8F7734"/>
    <w:multiLevelType w:val="hybridMultilevel"/>
    <w:tmpl w:val="9F96B470"/>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1">
    <w:nsid w:val="30C8184E"/>
    <w:multiLevelType w:val="hybridMultilevel"/>
    <w:tmpl w:val="56E4FF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35DB3EB2"/>
    <w:multiLevelType w:val="hybridMultilevel"/>
    <w:tmpl w:val="B86EF620"/>
    <w:lvl w:ilvl="0" w:tplc="72862264">
      <w:start w:val="1"/>
      <w:numFmt w:val="lowerLetter"/>
      <w:lvlText w:val="%1."/>
      <w:lvlJc w:val="left"/>
      <w:pPr>
        <w:ind w:left="2204" w:hanging="360"/>
      </w:pPr>
      <w:rPr>
        <w:rFonts w:hint="default"/>
      </w:rPr>
    </w:lvl>
    <w:lvl w:ilvl="1" w:tplc="100C0019">
      <w:start w:val="1"/>
      <w:numFmt w:val="lowerLetter"/>
      <w:lvlText w:val="%2."/>
      <w:lvlJc w:val="left"/>
      <w:pPr>
        <w:ind w:left="4320" w:hanging="360"/>
      </w:pPr>
    </w:lvl>
    <w:lvl w:ilvl="2" w:tplc="100C001B" w:tentative="1">
      <w:start w:val="1"/>
      <w:numFmt w:val="lowerRoman"/>
      <w:lvlText w:val="%3."/>
      <w:lvlJc w:val="right"/>
      <w:pPr>
        <w:ind w:left="5040" w:hanging="180"/>
      </w:pPr>
    </w:lvl>
    <w:lvl w:ilvl="3" w:tplc="100C000F" w:tentative="1">
      <w:start w:val="1"/>
      <w:numFmt w:val="decimal"/>
      <w:lvlText w:val="%4."/>
      <w:lvlJc w:val="left"/>
      <w:pPr>
        <w:ind w:left="5760" w:hanging="360"/>
      </w:pPr>
    </w:lvl>
    <w:lvl w:ilvl="4" w:tplc="100C0019" w:tentative="1">
      <w:start w:val="1"/>
      <w:numFmt w:val="lowerLetter"/>
      <w:lvlText w:val="%5."/>
      <w:lvlJc w:val="left"/>
      <w:pPr>
        <w:ind w:left="6480" w:hanging="360"/>
      </w:pPr>
    </w:lvl>
    <w:lvl w:ilvl="5" w:tplc="100C001B" w:tentative="1">
      <w:start w:val="1"/>
      <w:numFmt w:val="lowerRoman"/>
      <w:lvlText w:val="%6."/>
      <w:lvlJc w:val="right"/>
      <w:pPr>
        <w:ind w:left="7200" w:hanging="180"/>
      </w:pPr>
    </w:lvl>
    <w:lvl w:ilvl="6" w:tplc="100C000F" w:tentative="1">
      <w:start w:val="1"/>
      <w:numFmt w:val="decimal"/>
      <w:lvlText w:val="%7."/>
      <w:lvlJc w:val="left"/>
      <w:pPr>
        <w:ind w:left="7920" w:hanging="360"/>
      </w:pPr>
    </w:lvl>
    <w:lvl w:ilvl="7" w:tplc="100C0019" w:tentative="1">
      <w:start w:val="1"/>
      <w:numFmt w:val="lowerLetter"/>
      <w:lvlText w:val="%8."/>
      <w:lvlJc w:val="left"/>
      <w:pPr>
        <w:ind w:left="8640" w:hanging="360"/>
      </w:pPr>
    </w:lvl>
    <w:lvl w:ilvl="8" w:tplc="100C001B" w:tentative="1">
      <w:start w:val="1"/>
      <w:numFmt w:val="lowerRoman"/>
      <w:lvlText w:val="%9."/>
      <w:lvlJc w:val="right"/>
      <w:pPr>
        <w:ind w:left="9360" w:hanging="180"/>
      </w:pPr>
    </w:lvl>
  </w:abstractNum>
  <w:abstractNum w:abstractNumId="23">
    <w:nsid w:val="387B0425"/>
    <w:multiLevelType w:val="hybridMultilevel"/>
    <w:tmpl w:val="39841080"/>
    <w:lvl w:ilvl="0" w:tplc="140A0001">
      <w:start w:val="1"/>
      <w:numFmt w:val="bullet"/>
      <w:lvlText w:val=""/>
      <w:lvlJc w:val="left"/>
      <w:pPr>
        <w:ind w:left="1440" w:hanging="360"/>
      </w:pPr>
      <w:rPr>
        <w:rFonts w:ascii="Symbol" w:hAnsi="Symbol" w:hint="default"/>
      </w:rPr>
    </w:lvl>
    <w:lvl w:ilvl="1" w:tplc="140A0003" w:tentative="1">
      <w:start w:val="1"/>
      <w:numFmt w:val="bullet"/>
      <w:lvlText w:val="o"/>
      <w:lvlJc w:val="left"/>
      <w:pPr>
        <w:ind w:left="2160" w:hanging="360"/>
      </w:pPr>
      <w:rPr>
        <w:rFonts w:ascii="Courier New" w:hAnsi="Courier New" w:cs="Courier New" w:hint="default"/>
      </w:rPr>
    </w:lvl>
    <w:lvl w:ilvl="2" w:tplc="140A0005" w:tentative="1">
      <w:start w:val="1"/>
      <w:numFmt w:val="bullet"/>
      <w:lvlText w:val=""/>
      <w:lvlJc w:val="left"/>
      <w:pPr>
        <w:ind w:left="2880" w:hanging="360"/>
      </w:pPr>
      <w:rPr>
        <w:rFonts w:ascii="Wingdings" w:hAnsi="Wingdings" w:hint="default"/>
      </w:rPr>
    </w:lvl>
    <w:lvl w:ilvl="3" w:tplc="140A0001" w:tentative="1">
      <w:start w:val="1"/>
      <w:numFmt w:val="bullet"/>
      <w:lvlText w:val=""/>
      <w:lvlJc w:val="left"/>
      <w:pPr>
        <w:ind w:left="3600" w:hanging="360"/>
      </w:pPr>
      <w:rPr>
        <w:rFonts w:ascii="Symbol" w:hAnsi="Symbol" w:hint="default"/>
      </w:rPr>
    </w:lvl>
    <w:lvl w:ilvl="4" w:tplc="140A0003" w:tentative="1">
      <w:start w:val="1"/>
      <w:numFmt w:val="bullet"/>
      <w:lvlText w:val="o"/>
      <w:lvlJc w:val="left"/>
      <w:pPr>
        <w:ind w:left="4320" w:hanging="360"/>
      </w:pPr>
      <w:rPr>
        <w:rFonts w:ascii="Courier New" w:hAnsi="Courier New" w:cs="Courier New" w:hint="default"/>
      </w:rPr>
    </w:lvl>
    <w:lvl w:ilvl="5" w:tplc="140A0005" w:tentative="1">
      <w:start w:val="1"/>
      <w:numFmt w:val="bullet"/>
      <w:lvlText w:val=""/>
      <w:lvlJc w:val="left"/>
      <w:pPr>
        <w:ind w:left="5040" w:hanging="360"/>
      </w:pPr>
      <w:rPr>
        <w:rFonts w:ascii="Wingdings" w:hAnsi="Wingdings" w:hint="default"/>
      </w:rPr>
    </w:lvl>
    <w:lvl w:ilvl="6" w:tplc="140A0001" w:tentative="1">
      <w:start w:val="1"/>
      <w:numFmt w:val="bullet"/>
      <w:lvlText w:val=""/>
      <w:lvlJc w:val="left"/>
      <w:pPr>
        <w:ind w:left="5760" w:hanging="360"/>
      </w:pPr>
      <w:rPr>
        <w:rFonts w:ascii="Symbol" w:hAnsi="Symbol" w:hint="default"/>
      </w:rPr>
    </w:lvl>
    <w:lvl w:ilvl="7" w:tplc="140A0003" w:tentative="1">
      <w:start w:val="1"/>
      <w:numFmt w:val="bullet"/>
      <w:lvlText w:val="o"/>
      <w:lvlJc w:val="left"/>
      <w:pPr>
        <w:ind w:left="6480" w:hanging="360"/>
      </w:pPr>
      <w:rPr>
        <w:rFonts w:ascii="Courier New" w:hAnsi="Courier New" w:cs="Courier New" w:hint="default"/>
      </w:rPr>
    </w:lvl>
    <w:lvl w:ilvl="8" w:tplc="140A0005" w:tentative="1">
      <w:start w:val="1"/>
      <w:numFmt w:val="bullet"/>
      <w:lvlText w:val=""/>
      <w:lvlJc w:val="left"/>
      <w:pPr>
        <w:ind w:left="7200" w:hanging="360"/>
      </w:pPr>
      <w:rPr>
        <w:rFonts w:ascii="Wingdings" w:hAnsi="Wingdings" w:hint="default"/>
      </w:rPr>
    </w:lvl>
  </w:abstractNum>
  <w:abstractNum w:abstractNumId="24">
    <w:nsid w:val="396B02F9"/>
    <w:multiLevelType w:val="hybridMultilevel"/>
    <w:tmpl w:val="8600364A"/>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5">
    <w:nsid w:val="3A481F79"/>
    <w:multiLevelType w:val="hybridMultilevel"/>
    <w:tmpl w:val="B86EF620"/>
    <w:lvl w:ilvl="0" w:tplc="72862264">
      <w:start w:val="1"/>
      <w:numFmt w:val="lowerLetter"/>
      <w:lvlText w:val="%1."/>
      <w:lvlJc w:val="left"/>
      <w:pPr>
        <w:ind w:left="2204" w:hanging="360"/>
      </w:pPr>
      <w:rPr>
        <w:rFonts w:hint="default"/>
      </w:rPr>
    </w:lvl>
    <w:lvl w:ilvl="1" w:tplc="100C0019">
      <w:start w:val="1"/>
      <w:numFmt w:val="lowerLetter"/>
      <w:lvlText w:val="%2."/>
      <w:lvlJc w:val="left"/>
      <w:pPr>
        <w:ind w:left="4320" w:hanging="360"/>
      </w:pPr>
    </w:lvl>
    <w:lvl w:ilvl="2" w:tplc="100C001B" w:tentative="1">
      <w:start w:val="1"/>
      <w:numFmt w:val="lowerRoman"/>
      <w:lvlText w:val="%3."/>
      <w:lvlJc w:val="right"/>
      <w:pPr>
        <w:ind w:left="5040" w:hanging="180"/>
      </w:pPr>
    </w:lvl>
    <w:lvl w:ilvl="3" w:tplc="100C000F" w:tentative="1">
      <w:start w:val="1"/>
      <w:numFmt w:val="decimal"/>
      <w:lvlText w:val="%4."/>
      <w:lvlJc w:val="left"/>
      <w:pPr>
        <w:ind w:left="5760" w:hanging="360"/>
      </w:pPr>
    </w:lvl>
    <w:lvl w:ilvl="4" w:tplc="100C0019" w:tentative="1">
      <w:start w:val="1"/>
      <w:numFmt w:val="lowerLetter"/>
      <w:lvlText w:val="%5."/>
      <w:lvlJc w:val="left"/>
      <w:pPr>
        <w:ind w:left="6480" w:hanging="360"/>
      </w:pPr>
    </w:lvl>
    <w:lvl w:ilvl="5" w:tplc="100C001B" w:tentative="1">
      <w:start w:val="1"/>
      <w:numFmt w:val="lowerRoman"/>
      <w:lvlText w:val="%6."/>
      <w:lvlJc w:val="right"/>
      <w:pPr>
        <w:ind w:left="7200" w:hanging="180"/>
      </w:pPr>
    </w:lvl>
    <w:lvl w:ilvl="6" w:tplc="100C000F" w:tentative="1">
      <w:start w:val="1"/>
      <w:numFmt w:val="decimal"/>
      <w:lvlText w:val="%7."/>
      <w:lvlJc w:val="left"/>
      <w:pPr>
        <w:ind w:left="7920" w:hanging="360"/>
      </w:pPr>
    </w:lvl>
    <w:lvl w:ilvl="7" w:tplc="100C0019" w:tentative="1">
      <w:start w:val="1"/>
      <w:numFmt w:val="lowerLetter"/>
      <w:lvlText w:val="%8."/>
      <w:lvlJc w:val="left"/>
      <w:pPr>
        <w:ind w:left="8640" w:hanging="360"/>
      </w:pPr>
    </w:lvl>
    <w:lvl w:ilvl="8" w:tplc="100C001B" w:tentative="1">
      <w:start w:val="1"/>
      <w:numFmt w:val="lowerRoman"/>
      <w:lvlText w:val="%9."/>
      <w:lvlJc w:val="right"/>
      <w:pPr>
        <w:ind w:left="9360" w:hanging="180"/>
      </w:pPr>
    </w:lvl>
  </w:abstractNum>
  <w:abstractNum w:abstractNumId="26">
    <w:nsid w:val="3A4B11F6"/>
    <w:multiLevelType w:val="hybridMultilevel"/>
    <w:tmpl w:val="C882C3AC"/>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7">
    <w:nsid w:val="3B030F1F"/>
    <w:multiLevelType w:val="hybridMultilevel"/>
    <w:tmpl w:val="4C8E44E2"/>
    <w:lvl w:ilvl="0" w:tplc="140A0001">
      <w:start w:val="1"/>
      <w:numFmt w:val="bullet"/>
      <w:lvlText w:val=""/>
      <w:lvlJc w:val="left"/>
      <w:pPr>
        <w:ind w:left="720" w:hanging="360"/>
      </w:pPr>
      <w:rPr>
        <w:rFonts w:ascii="Symbol" w:hAnsi="Symbol" w:hint="default"/>
      </w:rPr>
    </w:lvl>
    <w:lvl w:ilvl="1" w:tplc="E5BCDA00">
      <w:numFmt w:val="bullet"/>
      <w:lvlText w:val="·"/>
      <w:lvlJc w:val="left"/>
      <w:pPr>
        <w:ind w:left="1635" w:hanging="555"/>
      </w:pPr>
      <w:rPr>
        <w:rFonts w:ascii="Calibri" w:eastAsia="Times New Roman" w:hAnsi="Calibri" w:cs="Arial"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8">
    <w:nsid w:val="400B19AE"/>
    <w:multiLevelType w:val="hybridMultilevel"/>
    <w:tmpl w:val="E3282DFC"/>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9">
    <w:nsid w:val="4562077F"/>
    <w:multiLevelType w:val="hybridMultilevel"/>
    <w:tmpl w:val="26005470"/>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30">
    <w:nsid w:val="49295C70"/>
    <w:multiLevelType w:val="hybridMultilevel"/>
    <w:tmpl w:val="FD4E2A8C"/>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1">
    <w:nsid w:val="4B5F3220"/>
    <w:multiLevelType w:val="hybridMultilevel"/>
    <w:tmpl w:val="B86EF620"/>
    <w:lvl w:ilvl="0" w:tplc="72862264">
      <w:start w:val="1"/>
      <w:numFmt w:val="lowerLetter"/>
      <w:lvlText w:val="%1."/>
      <w:lvlJc w:val="left"/>
      <w:pPr>
        <w:ind w:left="2204" w:hanging="360"/>
      </w:pPr>
      <w:rPr>
        <w:rFonts w:hint="default"/>
      </w:rPr>
    </w:lvl>
    <w:lvl w:ilvl="1" w:tplc="100C0019">
      <w:start w:val="1"/>
      <w:numFmt w:val="lowerLetter"/>
      <w:lvlText w:val="%2."/>
      <w:lvlJc w:val="left"/>
      <w:pPr>
        <w:ind w:left="4320" w:hanging="360"/>
      </w:pPr>
    </w:lvl>
    <w:lvl w:ilvl="2" w:tplc="100C001B" w:tentative="1">
      <w:start w:val="1"/>
      <w:numFmt w:val="lowerRoman"/>
      <w:lvlText w:val="%3."/>
      <w:lvlJc w:val="right"/>
      <w:pPr>
        <w:ind w:left="5040" w:hanging="180"/>
      </w:pPr>
    </w:lvl>
    <w:lvl w:ilvl="3" w:tplc="100C000F" w:tentative="1">
      <w:start w:val="1"/>
      <w:numFmt w:val="decimal"/>
      <w:lvlText w:val="%4."/>
      <w:lvlJc w:val="left"/>
      <w:pPr>
        <w:ind w:left="5760" w:hanging="360"/>
      </w:pPr>
    </w:lvl>
    <w:lvl w:ilvl="4" w:tplc="100C0019" w:tentative="1">
      <w:start w:val="1"/>
      <w:numFmt w:val="lowerLetter"/>
      <w:lvlText w:val="%5."/>
      <w:lvlJc w:val="left"/>
      <w:pPr>
        <w:ind w:left="6480" w:hanging="360"/>
      </w:pPr>
    </w:lvl>
    <w:lvl w:ilvl="5" w:tplc="100C001B" w:tentative="1">
      <w:start w:val="1"/>
      <w:numFmt w:val="lowerRoman"/>
      <w:lvlText w:val="%6."/>
      <w:lvlJc w:val="right"/>
      <w:pPr>
        <w:ind w:left="7200" w:hanging="180"/>
      </w:pPr>
    </w:lvl>
    <w:lvl w:ilvl="6" w:tplc="100C000F" w:tentative="1">
      <w:start w:val="1"/>
      <w:numFmt w:val="decimal"/>
      <w:lvlText w:val="%7."/>
      <w:lvlJc w:val="left"/>
      <w:pPr>
        <w:ind w:left="7920" w:hanging="360"/>
      </w:pPr>
    </w:lvl>
    <w:lvl w:ilvl="7" w:tplc="100C0019" w:tentative="1">
      <w:start w:val="1"/>
      <w:numFmt w:val="lowerLetter"/>
      <w:lvlText w:val="%8."/>
      <w:lvlJc w:val="left"/>
      <w:pPr>
        <w:ind w:left="8640" w:hanging="360"/>
      </w:pPr>
    </w:lvl>
    <w:lvl w:ilvl="8" w:tplc="100C001B" w:tentative="1">
      <w:start w:val="1"/>
      <w:numFmt w:val="lowerRoman"/>
      <w:lvlText w:val="%9."/>
      <w:lvlJc w:val="right"/>
      <w:pPr>
        <w:ind w:left="9360" w:hanging="180"/>
      </w:pPr>
    </w:lvl>
  </w:abstractNum>
  <w:abstractNum w:abstractNumId="32">
    <w:nsid w:val="4E5F6031"/>
    <w:multiLevelType w:val="hybridMultilevel"/>
    <w:tmpl w:val="406AAAA4"/>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33">
    <w:nsid w:val="54256659"/>
    <w:multiLevelType w:val="hybridMultilevel"/>
    <w:tmpl w:val="B86EF620"/>
    <w:lvl w:ilvl="0" w:tplc="72862264">
      <w:start w:val="1"/>
      <w:numFmt w:val="lowerLetter"/>
      <w:lvlText w:val="%1."/>
      <w:lvlJc w:val="left"/>
      <w:pPr>
        <w:ind w:left="2204" w:hanging="360"/>
      </w:pPr>
      <w:rPr>
        <w:rFonts w:hint="default"/>
      </w:rPr>
    </w:lvl>
    <w:lvl w:ilvl="1" w:tplc="100C0019">
      <w:start w:val="1"/>
      <w:numFmt w:val="lowerLetter"/>
      <w:lvlText w:val="%2."/>
      <w:lvlJc w:val="left"/>
      <w:pPr>
        <w:ind w:left="4320" w:hanging="360"/>
      </w:pPr>
    </w:lvl>
    <w:lvl w:ilvl="2" w:tplc="100C001B" w:tentative="1">
      <w:start w:val="1"/>
      <w:numFmt w:val="lowerRoman"/>
      <w:lvlText w:val="%3."/>
      <w:lvlJc w:val="right"/>
      <w:pPr>
        <w:ind w:left="5040" w:hanging="180"/>
      </w:pPr>
    </w:lvl>
    <w:lvl w:ilvl="3" w:tplc="100C000F" w:tentative="1">
      <w:start w:val="1"/>
      <w:numFmt w:val="decimal"/>
      <w:lvlText w:val="%4."/>
      <w:lvlJc w:val="left"/>
      <w:pPr>
        <w:ind w:left="5760" w:hanging="360"/>
      </w:pPr>
    </w:lvl>
    <w:lvl w:ilvl="4" w:tplc="100C0019" w:tentative="1">
      <w:start w:val="1"/>
      <w:numFmt w:val="lowerLetter"/>
      <w:lvlText w:val="%5."/>
      <w:lvlJc w:val="left"/>
      <w:pPr>
        <w:ind w:left="6480" w:hanging="360"/>
      </w:pPr>
    </w:lvl>
    <w:lvl w:ilvl="5" w:tplc="100C001B" w:tentative="1">
      <w:start w:val="1"/>
      <w:numFmt w:val="lowerRoman"/>
      <w:lvlText w:val="%6."/>
      <w:lvlJc w:val="right"/>
      <w:pPr>
        <w:ind w:left="7200" w:hanging="180"/>
      </w:pPr>
    </w:lvl>
    <w:lvl w:ilvl="6" w:tplc="100C000F" w:tentative="1">
      <w:start w:val="1"/>
      <w:numFmt w:val="decimal"/>
      <w:lvlText w:val="%7."/>
      <w:lvlJc w:val="left"/>
      <w:pPr>
        <w:ind w:left="7920" w:hanging="360"/>
      </w:pPr>
    </w:lvl>
    <w:lvl w:ilvl="7" w:tplc="100C0019" w:tentative="1">
      <w:start w:val="1"/>
      <w:numFmt w:val="lowerLetter"/>
      <w:lvlText w:val="%8."/>
      <w:lvlJc w:val="left"/>
      <w:pPr>
        <w:ind w:left="8640" w:hanging="360"/>
      </w:pPr>
    </w:lvl>
    <w:lvl w:ilvl="8" w:tplc="100C001B" w:tentative="1">
      <w:start w:val="1"/>
      <w:numFmt w:val="lowerRoman"/>
      <w:lvlText w:val="%9."/>
      <w:lvlJc w:val="right"/>
      <w:pPr>
        <w:ind w:left="9360" w:hanging="180"/>
      </w:pPr>
    </w:lvl>
  </w:abstractNum>
  <w:abstractNum w:abstractNumId="34">
    <w:nsid w:val="60486F2B"/>
    <w:multiLevelType w:val="hybridMultilevel"/>
    <w:tmpl w:val="F9EECE60"/>
    <w:lvl w:ilvl="0" w:tplc="100C0015">
      <w:start w:val="1"/>
      <w:numFmt w:val="upperLetter"/>
      <w:lvlText w:val="%1."/>
      <w:lvlJc w:val="left"/>
      <w:pPr>
        <w:ind w:left="720" w:hanging="360"/>
      </w:pPr>
    </w:lvl>
    <w:lvl w:ilvl="1" w:tplc="0B46E7AE">
      <w:start w:val="1"/>
      <w:numFmt w:val="lowerLetter"/>
      <w:lvlText w:val="%2."/>
      <w:lvlJc w:val="left"/>
      <w:pPr>
        <w:ind w:left="1440" w:hanging="360"/>
      </w:pPr>
      <w:rPr>
        <w:rFonts w:hint="default"/>
      </w:rPr>
    </w:lvl>
    <w:lvl w:ilvl="2" w:tplc="459E461E">
      <w:start w:val="1"/>
      <w:numFmt w:val="lowerLetter"/>
      <w:lvlText w:val="%3."/>
      <w:lvlJc w:val="left"/>
      <w:pPr>
        <w:ind w:left="2340" w:hanging="360"/>
      </w:pPr>
      <w:rPr>
        <w:rFonts w:hint="default"/>
      </w:rPr>
    </w:lvl>
    <w:lvl w:ilvl="3" w:tplc="5764062A">
      <w:start w:val="1"/>
      <w:numFmt w:val="lowerLetter"/>
      <w:lvlText w:val="%4."/>
      <w:lvlJc w:val="left"/>
      <w:pPr>
        <w:ind w:left="2880" w:hanging="360"/>
      </w:pPr>
      <w:rPr>
        <w:rFonts w:hint="default"/>
      </w:rPr>
    </w:lvl>
    <w:lvl w:ilvl="4" w:tplc="C21AE828">
      <w:start w:val="1"/>
      <w:numFmt w:val="lowerLetter"/>
      <w:lvlText w:val="%5."/>
      <w:lvlJc w:val="left"/>
      <w:pPr>
        <w:ind w:left="3600" w:hanging="360"/>
      </w:pPr>
      <w:rPr>
        <w:rFonts w:hint="default"/>
      </w:r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5">
    <w:nsid w:val="64C105D7"/>
    <w:multiLevelType w:val="hybridMultilevel"/>
    <w:tmpl w:val="B86EF620"/>
    <w:lvl w:ilvl="0" w:tplc="72862264">
      <w:start w:val="1"/>
      <w:numFmt w:val="lowerLetter"/>
      <w:lvlText w:val="%1."/>
      <w:lvlJc w:val="left"/>
      <w:pPr>
        <w:ind w:left="2204" w:hanging="360"/>
      </w:pPr>
      <w:rPr>
        <w:rFonts w:hint="default"/>
      </w:rPr>
    </w:lvl>
    <w:lvl w:ilvl="1" w:tplc="100C0019">
      <w:start w:val="1"/>
      <w:numFmt w:val="lowerLetter"/>
      <w:lvlText w:val="%2."/>
      <w:lvlJc w:val="left"/>
      <w:pPr>
        <w:ind w:left="4320" w:hanging="360"/>
      </w:pPr>
    </w:lvl>
    <w:lvl w:ilvl="2" w:tplc="100C001B" w:tentative="1">
      <w:start w:val="1"/>
      <w:numFmt w:val="lowerRoman"/>
      <w:lvlText w:val="%3."/>
      <w:lvlJc w:val="right"/>
      <w:pPr>
        <w:ind w:left="5040" w:hanging="180"/>
      </w:pPr>
    </w:lvl>
    <w:lvl w:ilvl="3" w:tplc="100C000F" w:tentative="1">
      <w:start w:val="1"/>
      <w:numFmt w:val="decimal"/>
      <w:lvlText w:val="%4."/>
      <w:lvlJc w:val="left"/>
      <w:pPr>
        <w:ind w:left="5760" w:hanging="360"/>
      </w:pPr>
    </w:lvl>
    <w:lvl w:ilvl="4" w:tplc="100C0019" w:tentative="1">
      <w:start w:val="1"/>
      <w:numFmt w:val="lowerLetter"/>
      <w:lvlText w:val="%5."/>
      <w:lvlJc w:val="left"/>
      <w:pPr>
        <w:ind w:left="6480" w:hanging="360"/>
      </w:pPr>
    </w:lvl>
    <w:lvl w:ilvl="5" w:tplc="100C001B" w:tentative="1">
      <w:start w:val="1"/>
      <w:numFmt w:val="lowerRoman"/>
      <w:lvlText w:val="%6."/>
      <w:lvlJc w:val="right"/>
      <w:pPr>
        <w:ind w:left="7200" w:hanging="180"/>
      </w:pPr>
    </w:lvl>
    <w:lvl w:ilvl="6" w:tplc="100C000F" w:tentative="1">
      <w:start w:val="1"/>
      <w:numFmt w:val="decimal"/>
      <w:lvlText w:val="%7."/>
      <w:lvlJc w:val="left"/>
      <w:pPr>
        <w:ind w:left="7920" w:hanging="360"/>
      </w:pPr>
    </w:lvl>
    <w:lvl w:ilvl="7" w:tplc="100C0019" w:tentative="1">
      <w:start w:val="1"/>
      <w:numFmt w:val="lowerLetter"/>
      <w:lvlText w:val="%8."/>
      <w:lvlJc w:val="left"/>
      <w:pPr>
        <w:ind w:left="8640" w:hanging="360"/>
      </w:pPr>
    </w:lvl>
    <w:lvl w:ilvl="8" w:tplc="100C001B" w:tentative="1">
      <w:start w:val="1"/>
      <w:numFmt w:val="lowerRoman"/>
      <w:lvlText w:val="%9."/>
      <w:lvlJc w:val="right"/>
      <w:pPr>
        <w:ind w:left="9360" w:hanging="180"/>
      </w:pPr>
    </w:lvl>
  </w:abstractNum>
  <w:abstractNum w:abstractNumId="36">
    <w:nsid w:val="66133209"/>
    <w:multiLevelType w:val="hybridMultilevel"/>
    <w:tmpl w:val="B86EF620"/>
    <w:lvl w:ilvl="0" w:tplc="72862264">
      <w:start w:val="1"/>
      <w:numFmt w:val="lowerLetter"/>
      <w:lvlText w:val="%1."/>
      <w:lvlJc w:val="left"/>
      <w:pPr>
        <w:ind w:left="2204" w:hanging="360"/>
      </w:pPr>
      <w:rPr>
        <w:rFonts w:hint="default"/>
      </w:rPr>
    </w:lvl>
    <w:lvl w:ilvl="1" w:tplc="100C0019">
      <w:start w:val="1"/>
      <w:numFmt w:val="lowerLetter"/>
      <w:lvlText w:val="%2."/>
      <w:lvlJc w:val="left"/>
      <w:pPr>
        <w:ind w:left="4320" w:hanging="360"/>
      </w:pPr>
    </w:lvl>
    <w:lvl w:ilvl="2" w:tplc="100C001B" w:tentative="1">
      <w:start w:val="1"/>
      <w:numFmt w:val="lowerRoman"/>
      <w:lvlText w:val="%3."/>
      <w:lvlJc w:val="right"/>
      <w:pPr>
        <w:ind w:left="5040" w:hanging="180"/>
      </w:pPr>
    </w:lvl>
    <w:lvl w:ilvl="3" w:tplc="100C000F" w:tentative="1">
      <w:start w:val="1"/>
      <w:numFmt w:val="decimal"/>
      <w:lvlText w:val="%4."/>
      <w:lvlJc w:val="left"/>
      <w:pPr>
        <w:ind w:left="5760" w:hanging="360"/>
      </w:pPr>
    </w:lvl>
    <w:lvl w:ilvl="4" w:tplc="100C0019" w:tentative="1">
      <w:start w:val="1"/>
      <w:numFmt w:val="lowerLetter"/>
      <w:lvlText w:val="%5."/>
      <w:lvlJc w:val="left"/>
      <w:pPr>
        <w:ind w:left="6480" w:hanging="360"/>
      </w:pPr>
    </w:lvl>
    <w:lvl w:ilvl="5" w:tplc="100C001B" w:tentative="1">
      <w:start w:val="1"/>
      <w:numFmt w:val="lowerRoman"/>
      <w:lvlText w:val="%6."/>
      <w:lvlJc w:val="right"/>
      <w:pPr>
        <w:ind w:left="7200" w:hanging="180"/>
      </w:pPr>
    </w:lvl>
    <w:lvl w:ilvl="6" w:tplc="100C000F" w:tentative="1">
      <w:start w:val="1"/>
      <w:numFmt w:val="decimal"/>
      <w:lvlText w:val="%7."/>
      <w:lvlJc w:val="left"/>
      <w:pPr>
        <w:ind w:left="7920" w:hanging="360"/>
      </w:pPr>
    </w:lvl>
    <w:lvl w:ilvl="7" w:tplc="100C0019" w:tentative="1">
      <w:start w:val="1"/>
      <w:numFmt w:val="lowerLetter"/>
      <w:lvlText w:val="%8."/>
      <w:lvlJc w:val="left"/>
      <w:pPr>
        <w:ind w:left="8640" w:hanging="360"/>
      </w:pPr>
    </w:lvl>
    <w:lvl w:ilvl="8" w:tplc="100C001B" w:tentative="1">
      <w:start w:val="1"/>
      <w:numFmt w:val="lowerRoman"/>
      <w:lvlText w:val="%9."/>
      <w:lvlJc w:val="right"/>
      <w:pPr>
        <w:ind w:left="9360" w:hanging="180"/>
      </w:pPr>
    </w:lvl>
  </w:abstractNum>
  <w:abstractNum w:abstractNumId="37">
    <w:nsid w:val="6721195B"/>
    <w:multiLevelType w:val="hybridMultilevel"/>
    <w:tmpl w:val="B86EF620"/>
    <w:lvl w:ilvl="0" w:tplc="72862264">
      <w:start w:val="1"/>
      <w:numFmt w:val="lowerLetter"/>
      <w:lvlText w:val="%1."/>
      <w:lvlJc w:val="left"/>
      <w:pPr>
        <w:ind w:left="2204" w:hanging="360"/>
      </w:pPr>
      <w:rPr>
        <w:rFonts w:hint="default"/>
      </w:rPr>
    </w:lvl>
    <w:lvl w:ilvl="1" w:tplc="100C0019">
      <w:start w:val="1"/>
      <w:numFmt w:val="lowerLetter"/>
      <w:lvlText w:val="%2."/>
      <w:lvlJc w:val="left"/>
      <w:pPr>
        <w:ind w:left="4320" w:hanging="360"/>
      </w:pPr>
    </w:lvl>
    <w:lvl w:ilvl="2" w:tplc="100C001B" w:tentative="1">
      <w:start w:val="1"/>
      <w:numFmt w:val="lowerRoman"/>
      <w:lvlText w:val="%3."/>
      <w:lvlJc w:val="right"/>
      <w:pPr>
        <w:ind w:left="5040" w:hanging="180"/>
      </w:pPr>
    </w:lvl>
    <w:lvl w:ilvl="3" w:tplc="100C000F" w:tentative="1">
      <w:start w:val="1"/>
      <w:numFmt w:val="decimal"/>
      <w:lvlText w:val="%4."/>
      <w:lvlJc w:val="left"/>
      <w:pPr>
        <w:ind w:left="5760" w:hanging="360"/>
      </w:pPr>
    </w:lvl>
    <w:lvl w:ilvl="4" w:tplc="100C0019" w:tentative="1">
      <w:start w:val="1"/>
      <w:numFmt w:val="lowerLetter"/>
      <w:lvlText w:val="%5."/>
      <w:lvlJc w:val="left"/>
      <w:pPr>
        <w:ind w:left="6480" w:hanging="360"/>
      </w:pPr>
    </w:lvl>
    <w:lvl w:ilvl="5" w:tplc="100C001B" w:tentative="1">
      <w:start w:val="1"/>
      <w:numFmt w:val="lowerRoman"/>
      <w:lvlText w:val="%6."/>
      <w:lvlJc w:val="right"/>
      <w:pPr>
        <w:ind w:left="7200" w:hanging="180"/>
      </w:pPr>
    </w:lvl>
    <w:lvl w:ilvl="6" w:tplc="100C000F" w:tentative="1">
      <w:start w:val="1"/>
      <w:numFmt w:val="decimal"/>
      <w:lvlText w:val="%7."/>
      <w:lvlJc w:val="left"/>
      <w:pPr>
        <w:ind w:left="7920" w:hanging="360"/>
      </w:pPr>
    </w:lvl>
    <w:lvl w:ilvl="7" w:tplc="100C0019" w:tentative="1">
      <w:start w:val="1"/>
      <w:numFmt w:val="lowerLetter"/>
      <w:lvlText w:val="%8."/>
      <w:lvlJc w:val="left"/>
      <w:pPr>
        <w:ind w:left="8640" w:hanging="360"/>
      </w:pPr>
    </w:lvl>
    <w:lvl w:ilvl="8" w:tplc="100C001B" w:tentative="1">
      <w:start w:val="1"/>
      <w:numFmt w:val="lowerRoman"/>
      <w:lvlText w:val="%9."/>
      <w:lvlJc w:val="right"/>
      <w:pPr>
        <w:ind w:left="9360" w:hanging="180"/>
      </w:pPr>
    </w:lvl>
  </w:abstractNum>
  <w:abstractNum w:abstractNumId="38">
    <w:nsid w:val="686378D8"/>
    <w:multiLevelType w:val="hybridMultilevel"/>
    <w:tmpl w:val="8440F4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68B4147B"/>
    <w:multiLevelType w:val="hybridMultilevel"/>
    <w:tmpl w:val="74E26938"/>
    <w:lvl w:ilvl="0" w:tplc="175EB2D8">
      <w:start w:val="1"/>
      <w:numFmt w:val="lowerLetter"/>
      <w:lvlText w:val="%1."/>
      <w:lvlJc w:val="left"/>
      <w:pPr>
        <w:ind w:left="1713" w:hanging="360"/>
      </w:pPr>
      <w:rPr>
        <w:rFonts w:hint="default"/>
      </w:rPr>
    </w:lvl>
    <w:lvl w:ilvl="1" w:tplc="100C0019" w:tentative="1">
      <w:start w:val="1"/>
      <w:numFmt w:val="lowerLetter"/>
      <w:lvlText w:val="%2."/>
      <w:lvlJc w:val="left"/>
      <w:pPr>
        <w:ind w:left="2433" w:hanging="360"/>
      </w:pPr>
    </w:lvl>
    <w:lvl w:ilvl="2" w:tplc="100C001B" w:tentative="1">
      <w:start w:val="1"/>
      <w:numFmt w:val="lowerRoman"/>
      <w:lvlText w:val="%3."/>
      <w:lvlJc w:val="right"/>
      <w:pPr>
        <w:ind w:left="3153" w:hanging="180"/>
      </w:pPr>
    </w:lvl>
    <w:lvl w:ilvl="3" w:tplc="100C000F" w:tentative="1">
      <w:start w:val="1"/>
      <w:numFmt w:val="decimal"/>
      <w:lvlText w:val="%4."/>
      <w:lvlJc w:val="left"/>
      <w:pPr>
        <w:ind w:left="3873" w:hanging="360"/>
      </w:pPr>
    </w:lvl>
    <w:lvl w:ilvl="4" w:tplc="100C0019" w:tentative="1">
      <w:start w:val="1"/>
      <w:numFmt w:val="lowerLetter"/>
      <w:lvlText w:val="%5."/>
      <w:lvlJc w:val="left"/>
      <w:pPr>
        <w:ind w:left="4593" w:hanging="360"/>
      </w:pPr>
    </w:lvl>
    <w:lvl w:ilvl="5" w:tplc="100C001B" w:tentative="1">
      <w:start w:val="1"/>
      <w:numFmt w:val="lowerRoman"/>
      <w:lvlText w:val="%6."/>
      <w:lvlJc w:val="right"/>
      <w:pPr>
        <w:ind w:left="5313" w:hanging="180"/>
      </w:pPr>
    </w:lvl>
    <w:lvl w:ilvl="6" w:tplc="100C000F" w:tentative="1">
      <w:start w:val="1"/>
      <w:numFmt w:val="decimal"/>
      <w:lvlText w:val="%7."/>
      <w:lvlJc w:val="left"/>
      <w:pPr>
        <w:ind w:left="6033" w:hanging="360"/>
      </w:pPr>
    </w:lvl>
    <w:lvl w:ilvl="7" w:tplc="100C0019" w:tentative="1">
      <w:start w:val="1"/>
      <w:numFmt w:val="lowerLetter"/>
      <w:lvlText w:val="%8."/>
      <w:lvlJc w:val="left"/>
      <w:pPr>
        <w:ind w:left="6753" w:hanging="360"/>
      </w:pPr>
    </w:lvl>
    <w:lvl w:ilvl="8" w:tplc="100C001B" w:tentative="1">
      <w:start w:val="1"/>
      <w:numFmt w:val="lowerRoman"/>
      <w:lvlText w:val="%9."/>
      <w:lvlJc w:val="right"/>
      <w:pPr>
        <w:ind w:left="7473" w:hanging="180"/>
      </w:pPr>
    </w:lvl>
  </w:abstractNum>
  <w:abstractNum w:abstractNumId="40">
    <w:nsid w:val="6943767A"/>
    <w:multiLevelType w:val="hybridMultilevel"/>
    <w:tmpl w:val="EBF2456C"/>
    <w:lvl w:ilvl="0" w:tplc="140A0001">
      <w:start w:val="1"/>
      <w:numFmt w:val="bullet"/>
      <w:lvlText w:val=""/>
      <w:lvlJc w:val="left"/>
      <w:pPr>
        <w:ind w:left="644" w:hanging="360"/>
      </w:pPr>
      <w:rPr>
        <w:rFonts w:ascii="Symbol" w:hAnsi="Symbol" w:hint="default"/>
      </w:rPr>
    </w:lvl>
    <w:lvl w:ilvl="1" w:tplc="140A0003" w:tentative="1">
      <w:start w:val="1"/>
      <w:numFmt w:val="bullet"/>
      <w:lvlText w:val="o"/>
      <w:lvlJc w:val="left"/>
      <w:pPr>
        <w:ind w:left="1364" w:hanging="360"/>
      </w:pPr>
      <w:rPr>
        <w:rFonts w:ascii="Courier New" w:hAnsi="Courier New" w:cs="Courier New" w:hint="default"/>
      </w:rPr>
    </w:lvl>
    <w:lvl w:ilvl="2" w:tplc="140A0005" w:tentative="1">
      <w:start w:val="1"/>
      <w:numFmt w:val="bullet"/>
      <w:lvlText w:val=""/>
      <w:lvlJc w:val="left"/>
      <w:pPr>
        <w:ind w:left="2084" w:hanging="360"/>
      </w:pPr>
      <w:rPr>
        <w:rFonts w:ascii="Wingdings" w:hAnsi="Wingdings" w:hint="default"/>
      </w:rPr>
    </w:lvl>
    <w:lvl w:ilvl="3" w:tplc="140A0001" w:tentative="1">
      <w:start w:val="1"/>
      <w:numFmt w:val="bullet"/>
      <w:lvlText w:val=""/>
      <w:lvlJc w:val="left"/>
      <w:pPr>
        <w:ind w:left="2804" w:hanging="360"/>
      </w:pPr>
      <w:rPr>
        <w:rFonts w:ascii="Symbol" w:hAnsi="Symbol" w:hint="default"/>
      </w:rPr>
    </w:lvl>
    <w:lvl w:ilvl="4" w:tplc="140A0003" w:tentative="1">
      <w:start w:val="1"/>
      <w:numFmt w:val="bullet"/>
      <w:lvlText w:val="o"/>
      <w:lvlJc w:val="left"/>
      <w:pPr>
        <w:ind w:left="3524" w:hanging="360"/>
      </w:pPr>
      <w:rPr>
        <w:rFonts w:ascii="Courier New" w:hAnsi="Courier New" w:cs="Courier New" w:hint="default"/>
      </w:rPr>
    </w:lvl>
    <w:lvl w:ilvl="5" w:tplc="140A0005" w:tentative="1">
      <w:start w:val="1"/>
      <w:numFmt w:val="bullet"/>
      <w:lvlText w:val=""/>
      <w:lvlJc w:val="left"/>
      <w:pPr>
        <w:ind w:left="4244" w:hanging="360"/>
      </w:pPr>
      <w:rPr>
        <w:rFonts w:ascii="Wingdings" w:hAnsi="Wingdings" w:hint="default"/>
      </w:rPr>
    </w:lvl>
    <w:lvl w:ilvl="6" w:tplc="140A0001" w:tentative="1">
      <w:start w:val="1"/>
      <w:numFmt w:val="bullet"/>
      <w:lvlText w:val=""/>
      <w:lvlJc w:val="left"/>
      <w:pPr>
        <w:ind w:left="4964" w:hanging="360"/>
      </w:pPr>
      <w:rPr>
        <w:rFonts w:ascii="Symbol" w:hAnsi="Symbol" w:hint="default"/>
      </w:rPr>
    </w:lvl>
    <w:lvl w:ilvl="7" w:tplc="140A0003" w:tentative="1">
      <w:start w:val="1"/>
      <w:numFmt w:val="bullet"/>
      <w:lvlText w:val="o"/>
      <w:lvlJc w:val="left"/>
      <w:pPr>
        <w:ind w:left="5684" w:hanging="360"/>
      </w:pPr>
      <w:rPr>
        <w:rFonts w:ascii="Courier New" w:hAnsi="Courier New" w:cs="Courier New" w:hint="default"/>
      </w:rPr>
    </w:lvl>
    <w:lvl w:ilvl="8" w:tplc="140A0005" w:tentative="1">
      <w:start w:val="1"/>
      <w:numFmt w:val="bullet"/>
      <w:lvlText w:val=""/>
      <w:lvlJc w:val="left"/>
      <w:pPr>
        <w:ind w:left="6404" w:hanging="360"/>
      </w:pPr>
      <w:rPr>
        <w:rFonts w:ascii="Wingdings" w:hAnsi="Wingdings" w:hint="default"/>
      </w:rPr>
    </w:lvl>
  </w:abstractNum>
  <w:abstractNum w:abstractNumId="41">
    <w:nsid w:val="699C51FB"/>
    <w:multiLevelType w:val="hybridMultilevel"/>
    <w:tmpl w:val="9D2C5004"/>
    <w:lvl w:ilvl="0" w:tplc="910ABD18">
      <w:start w:val="1"/>
      <w:numFmt w:val="bullet"/>
      <w:lvlText w:val="–"/>
      <w:lvlJc w:val="left"/>
      <w:pPr>
        <w:ind w:left="720" w:hanging="360"/>
      </w:pPr>
      <w:rPr>
        <w:rFonts w:ascii="Times New Roman" w:hAnsi="Times New Roman" w:cs="Times New Roman" w:hint="default"/>
        <w:u w:color="000000"/>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42">
    <w:nsid w:val="784A755C"/>
    <w:multiLevelType w:val="hybridMultilevel"/>
    <w:tmpl w:val="8CCA925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79BE4298"/>
    <w:multiLevelType w:val="hybridMultilevel"/>
    <w:tmpl w:val="E5E2A03E"/>
    <w:lvl w:ilvl="0" w:tplc="140A0017">
      <w:start w:val="1"/>
      <w:numFmt w:val="lowerLetter"/>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4">
    <w:nsid w:val="7B7744A8"/>
    <w:multiLevelType w:val="hybridMultilevel"/>
    <w:tmpl w:val="B86EF620"/>
    <w:lvl w:ilvl="0" w:tplc="72862264">
      <w:start w:val="1"/>
      <w:numFmt w:val="lowerLetter"/>
      <w:lvlText w:val="%1."/>
      <w:lvlJc w:val="left"/>
      <w:pPr>
        <w:ind w:left="2204" w:hanging="360"/>
      </w:pPr>
      <w:rPr>
        <w:rFonts w:hint="default"/>
      </w:rPr>
    </w:lvl>
    <w:lvl w:ilvl="1" w:tplc="100C0019">
      <w:start w:val="1"/>
      <w:numFmt w:val="lowerLetter"/>
      <w:lvlText w:val="%2."/>
      <w:lvlJc w:val="left"/>
      <w:pPr>
        <w:ind w:left="4320" w:hanging="360"/>
      </w:pPr>
    </w:lvl>
    <w:lvl w:ilvl="2" w:tplc="100C001B" w:tentative="1">
      <w:start w:val="1"/>
      <w:numFmt w:val="lowerRoman"/>
      <w:lvlText w:val="%3."/>
      <w:lvlJc w:val="right"/>
      <w:pPr>
        <w:ind w:left="5040" w:hanging="180"/>
      </w:pPr>
    </w:lvl>
    <w:lvl w:ilvl="3" w:tplc="100C000F" w:tentative="1">
      <w:start w:val="1"/>
      <w:numFmt w:val="decimal"/>
      <w:lvlText w:val="%4."/>
      <w:lvlJc w:val="left"/>
      <w:pPr>
        <w:ind w:left="5760" w:hanging="360"/>
      </w:pPr>
    </w:lvl>
    <w:lvl w:ilvl="4" w:tplc="100C0019" w:tentative="1">
      <w:start w:val="1"/>
      <w:numFmt w:val="lowerLetter"/>
      <w:lvlText w:val="%5."/>
      <w:lvlJc w:val="left"/>
      <w:pPr>
        <w:ind w:left="6480" w:hanging="360"/>
      </w:pPr>
    </w:lvl>
    <w:lvl w:ilvl="5" w:tplc="100C001B" w:tentative="1">
      <w:start w:val="1"/>
      <w:numFmt w:val="lowerRoman"/>
      <w:lvlText w:val="%6."/>
      <w:lvlJc w:val="right"/>
      <w:pPr>
        <w:ind w:left="7200" w:hanging="180"/>
      </w:pPr>
    </w:lvl>
    <w:lvl w:ilvl="6" w:tplc="100C000F" w:tentative="1">
      <w:start w:val="1"/>
      <w:numFmt w:val="decimal"/>
      <w:lvlText w:val="%7."/>
      <w:lvlJc w:val="left"/>
      <w:pPr>
        <w:ind w:left="7920" w:hanging="360"/>
      </w:pPr>
    </w:lvl>
    <w:lvl w:ilvl="7" w:tplc="100C0019" w:tentative="1">
      <w:start w:val="1"/>
      <w:numFmt w:val="lowerLetter"/>
      <w:lvlText w:val="%8."/>
      <w:lvlJc w:val="left"/>
      <w:pPr>
        <w:ind w:left="8640" w:hanging="360"/>
      </w:pPr>
    </w:lvl>
    <w:lvl w:ilvl="8" w:tplc="100C001B" w:tentative="1">
      <w:start w:val="1"/>
      <w:numFmt w:val="lowerRoman"/>
      <w:lvlText w:val="%9."/>
      <w:lvlJc w:val="right"/>
      <w:pPr>
        <w:ind w:left="9360" w:hanging="180"/>
      </w:pPr>
    </w:lvl>
  </w:abstractNum>
  <w:abstractNum w:abstractNumId="45">
    <w:nsid w:val="7C34189F"/>
    <w:multiLevelType w:val="hybridMultilevel"/>
    <w:tmpl w:val="84A4F8FE"/>
    <w:lvl w:ilvl="0" w:tplc="0B46E7AE">
      <w:start w:val="1"/>
      <w:numFmt w:val="lowerLetter"/>
      <w:lvlText w:val="%1."/>
      <w:lvlJc w:val="left"/>
      <w:pPr>
        <w:ind w:left="1353" w:hanging="360"/>
      </w:pPr>
      <w:rPr>
        <w:rFonts w:hint="default"/>
      </w:rPr>
    </w:lvl>
    <w:lvl w:ilvl="1" w:tplc="100C0019" w:tentative="1">
      <w:start w:val="1"/>
      <w:numFmt w:val="lowerLetter"/>
      <w:lvlText w:val="%2."/>
      <w:lvlJc w:val="left"/>
      <w:pPr>
        <w:ind w:left="2073" w:hanging="360"/>
      </w:pPr>
    </w:lvl>
    <w:lvl w:ilvl="2" w:tplc="100C001B" w:tentative="1">
      <w:start w:val="1"/>
      <w:numFmt w:val="lowerRoman"/>
      <w:lvlText w:val="%3."/>
      <w:lvlJc w:val="right"/>
      <w:pPr>
        <w:ind w:left="2793" w:hanging="180"/>
      </w:pPr>
    </w:lvl>
    <w:lvl w:ilvl="3" w:tplc="100C000F" w:tentative="1">
      <w:start w:val="1"/>
      <w:numFmt w:val="decimal"/>
      <w:lvlText w:val="%4."/>
      <w:lvlJc w:val="left"/>
      <w:pPr>
        <w:ind w:left="3513" w:hanging="360"/>
      </w:pPr>
    </w:lvl>
    <w:lvl w:ilvl="4" w:tplc="100C0019" w:tentative="1">
      <w:start w:val="1"/>
      <w:numFmt w:val="lowerLetter"/>
      <w:lvlText w:val="%5."/>
      <w:lvlJc w:val="left"/>
      <w:pPr>
        <w:ind w:left="4233" w:hanging="360"/>
      </w:pPr>
    </w:lvl>
    <w:lvl w:ilvl="5" w:tplc="100C001B" w:tentative="1">
      <w:start w:val="1"/>
      <w:numFmt w:val="lowerRoman"/>
      <w:lvlText w:val="%6."/>
      <w:lvlJc w:val="right"/>
      <w:pPr>
        <w:ind w:left="4953" w:hanging="180"/>
      </w:pPr>
    </w:lvl>
    <w:lvl w:ilvl="6" w:tplc="100C000F" w:tentative="1">
      <w:start w:val="1"/>
      <w:numFmt w:val="decimal"/>
      <w:lvlText w:val="%7."/>
      <w:lvlJc w:val="left"/>
      <w:pPr>
        <w:ind w:left="5673" w:hanging="360"/>
      </w:pPr>
    </w:lvl>
    <w:lvl w:ilvl="7" w:tplc="100C0019" w:tentative="1">
      <w:start w:val="1"/>
      <w:numFmt w:val="lowerLetter"/>
      <w:lvlText w:val="%8."/>
      <w:lvlJc w:val="left"/>
      <w:pPr>
        <w:ind w:left="6393" w:hanging="360"/>
      </w:pPr>
    </w:lvl>
    <w:lvl w:ilvl="8" w:tplc="100C001B" w:tentative="1">
      <w:start w:val="1"/>
      <w:numFmt w:val="lowerRoman"/>
      <w:lvlText w:val="%9."/>
      <w:lvlJc w:val="right"/>
      <w:pPr>
        <w:ind w:left="7113" w:hanging="180"/>
      </w:pPr>
    </w:lvl>
  </w:abstractNum>
  <w:abstractNum w:abstractNumId="46">
    <w:nsid w:val="7DED3F42"/>
    <w:multiLevelType w:val="hybridMultilevel"/>
    <w:tmpl w:val="482AF994"/>
    <w:lvl w:ilvl="0" w:tplc="74E8684A">
      <w:start w:val="1"/>
      <w:numFmt w:val="lowerLetter"/>
      <w:lvlText w:val="%1."/>
      <w:lvlJc w:val="left"/>
      <w:pPr>
        <w:ind w:left="3600" w:hanging="360"/>
      </w:pPr>
      <w:rPr>
        <w:rFonts w:hint="default"/>
      </w:rPr>
    </w:lvl>
    <w:lvl w:ilvl="1" w:tplc="100C0019" w:tentative="1">
      <w:start w:val="1"/>
      <w:numFmt w:val="lowerLetter"/>
      <w:lvlText w:val="%2."/>
      <w:lvlJc w:val="left"/>
      <w:pPr>
        <w:ind w:left="4320" w:hanging="360"/>
      </w:pPr>
    </w:lvl>
    <w:lvl w:ilvl="2" w:tplc="100C001B" w:tentative="1">
      <w:start w:val="1"/>
      <w:numFmt w:val="lowerRoman"/>
      <w:lvlText w:val="%3."/>
      <w:lvlJc w:val="right"/>
      <w:pPr>
        <w:ind w:left="5040" w:hanging="180"/>
      </w:pPr>
    </w:lvl>
    <w:lvl w:ilvl="3" w:tplc="100C000F" w:tentative="1">
      <w:start w:val="1"/>
      <w:numFmt w:val="decimal"/>
      <w:lvlText w:val="%4."/>
      <w:lvlJc w:val="left"/>
      <w:pPr>
        <w:ind w:left="5760" w:hanging="360"/>
      </w:pPr>
    </w:lvl>
    <w:lvl w:ilvl="4" w:tplc="100C0019" w:tentative="1">
      <w:start w:val="1"/>
      <w:numFmt w:val="lowerLetter"/>
      <w:lvlText w:val="%5."/>
      <w:lvlJc w:val="left"/>
      <w:pPr>
        <w:ind w:left="6480" w:hanging="360"/>
      </w:pPr>
    </w:lvl>
    <w:lvl w:ilvl="5" w:tplc="100C001B" w:tentative="1">
      <w:start w:val="1"/>
      <w:numFmt w:val="lowerRoman"/>
      <w:lvlText w:val="%6."/>
      <w:lvlJc w:val="right"/>
      <w:pPr>
        <w:ind w:left="7200" w:hanging="180"/>
      </w:pPr>
    </w:lvl>
    <w:lvl w:ilvl="6" w:tplc="100C000F" w:tentative="1">
      <w:start w:val="1"/>
      <w:numFmt w:val="decimal"/>
      <w:lvlText w:val="%7."/>
      <w:lvlJc w:val="left"/>
      <w:pPr>
        <w:ind w:left="7920" w:hanging="360"/>
      </w:pPr>
    </w:lvl>
    <w:lvl w:ilvl="7" w:tplc="100C0019" w:tentative="1">
      <w:start w:val="1"/>
      <w:numFmt w:val="lowerLetter"/>
      <w:lvlText w:val="%8."/>
      <w:lvlJc w:val="left"/>
      <w:pPr>
        <w:ind w:left="8640" w:hanging="360"/>
      </w:pPr>
    </w:lvl>
    <w:lvl w:ilvl="8" w:tplc="100C001B" w:tentative="1">
      <w:start w:val="1"/>
      <w:numFmt w:val="lowerRoman"/>
      <w:lvlText w:val="%9."/>
      <w:lvlJc w:val="right"/>
      <w:pPr>
        <w:ind w:left="9360" w:hanging="180"/>
      </w:pPr>
    </w:lvl>
  </w:abstractNum>
  <w:num w:numId="1">
    <w:abstractNumId w:val="13"/>
  </w:num>
  <w:num w:numId="2">
    <w:abstractNumId w:val="21"/>
  </w:num>
  <w:num w:numId="3">
    <w:abstractNumId w:val="38"/>
  </w:num>
  <w:num w:numId="4">
    <w:abstractNumId w:val="4"/>
  </w:num>
  <w:num w:numId="5">
    <w:abstractNumId w:val="26"/>
  </w:num>
  <w:num w:numId="6">
    <w:abstractNumId w:val="3"/>
  </w:num>
  <w:num w:numId="7">
    <w:abstractNumId w:val="23"/>
  </w:num>
  <w:num w:numId="8">
    <w:abstractNumId w:val="34"/>
  </w:num>
  <w:num w:numId="9">
    <w:abstractNumId w:val="45"/>
  </w:num>
  <w:num w:numId="10">
    <w:abstractNumId w:val="30"/>
  </w:num>
  <w:num w:numId="11">
    <w:abstractNumId w:val="1"/>
  </w:num>
  <w:num w:numId="12">
    <w:abstractNumId w:val="17"/>
  </w:num>
  <w:num w:numId="13">
    <w:abstractNumId w:val="12"/>
  </w:num>
  <w:num w:numId="14">
    <w:abstractNumId w:val="39"/>
  </w:num>
  <w:num w:numId="15">
    <w:abstractNumId w:val="46"/>
  </w:num>
  <w:num w:numId="16">
    <w:abstractNumId w:val="8"/>
  </w:num>
  <w:num w:numId="17">
    <w:abstractNumId w:val="33"/>
  </w:num>
  <w:num w:numId="18">
    <w:abstractNumId w:val="11"/>
  </w:num>
  <w:num w:numId="19">
    <w:abstractNumId w:val="31"/>
  </w:num>
  <w:num w:numId="20">
    <w:abstractNumId w:val="14"/>
  </w:num>
  <w:num w:numId="21">
    <w:abstractNumId w:val="25"/>
  </w:num>
  <w:num w:numId="22">
    <w:abstractNumId w:val="35"/>
  </w:num>
  <w:num w:numId="23">
    <w:abstractNumId w:val="6"/>
  </w:num>
  <w:num w:numId="24">
    <w:abstractNumId w:val="44"/>
  </w:num>
  <w:num w:numId="25">
    <w:abstractNumId w:val="36"/>
  </w:num>
  <w:num w:numId="26">
    <w:abstractNumId w:val="16"/>
  </w:num>
  <w:num w:numId="27">
    <w:abstractNumId w:val="37"/>
  </w:num>
  <w:num w:numId="28">
    <w:abstractNumId w:val="22"/>
  </w:num>
  <w:num w:numId="29">
    <w:abstractNumId w:val="27"/>
  </w:num>
  <w:num w:numId="30">
    <w:abstractNumId w:val="40"/>
  </w:num>
  <w:num w:numId="31">
    <w:abstractNumId w:val="24"/>
  </w:num>
  <w:num w:numId="32">
    <w:abstractNumId w:val="28"/>
  </w:num>
  <w:num w:numId="33">
    <w:abstractNumId w:val="32"/>
  </w:num>
  <w:num w:numId="34">
    <w:abstractNumId w:val="29"/>
  </w:num>
  <w:num w:numId="35">
    <w:abstractNumId w:val="10"/>
  </w:num>
  <w:num w:numId="36">
    <w:abstractNumId w:val="20"/>
  </w:num>
  <w:num w:numId="37">
    <w:abstractNumId w:val="0"/>
  </w:num>
  <w:num w:numId="38">
    <w:abstractNumId w:val="7"/>
  </w:num>
  <w:num w:numId="39">
    <w:abstractNumId w:val="9"/>
  </w:num>
  <w:num w:numId="40">
    <w:abstractNumId w:val="41"/>
  </w:num>
  <w:num w:numId="41">
    <w:abstractNumId w:val="42"/>
  </w:num>
  <w:num w:numId="42">
    <w:abstractNumId w:val="15"/>
  </w:num>
  <w:num w:numId="43">
    <w:abstractNumId w:val="19"/>
  </w:num>
  <w:num w:numId="44">
    <w:abstractNumId w:val="18"/>
  </w:num>
  <w:num w:numId="45">
    <w:abstractNumId w:val="5"/>
  </w:num>
  <w:num w:numId="46">
    <w:abstractNumId w:val="2"/>
  </w:num>
  <w:num w:numId="47">
    <w:abstractNumId w:val="43"/>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hdrShapeDefaults>
    <o:shapedefaults v:ext="edit" spidmax="44034"/>
  </w:hdrShapeDefaults>
  <w:footnotePr>
    <w:footnote w:id="-1"/>
    <w:footnote w:id="0"/>
  </w:footnotePr>
  <w:endnotePr>
    <w:endnote w:id="-1"/>
    <w:endnote w:id="0"/>
  </w:endnotePr>
  <w:compat/>
  <w:rsids>
    <w:rsidRoot w:val="006B748D"/>
    <w:rsid w:val="000005A7"/>
    <w:rsid w:val="00007267"/>
    <w:rsid w:val="000109F8"/>
    <w:rsid w:val="00010F02"/>
    <w:rsid w:val="0001116E"/>
    <w:rsid w:val="00011C5B"/>
    <w:rsid w:val="00012BCB"/>
    <w:rsid w:val="000134CA"/>
    <w:rsid w:val="000137FB"/>
    <w:rsid w:val="00015611"/>
    <w:rsid w:val="0002117F"/>
    <w:rsid w:val="00022161"/>
    <w:rsid w:val="00022E9A"/>
    <w:rsid w:val="00023EAD"/>
    <w:rsid w:val="0002451B"/>
    <w:rsid w:val="0002547B"/>
    <w:rsid w:val="000255FA"/>
    <w:rsid w:val="00025D42"/>
    <w:rsid w:val="0002780C"/>
    <w:rsid w:val="00034D24"/>
    <w:rsid w:val="000363DF"/>
    <w:rsid w:val="00037503"/>
    <w:rsid w:val="0004735B"/>
    <w:rsid w:val="000501A5"/>
    <w:rsid w:val="00054FB7"/>
    <w:rsid w:val="00055659"/>
    <w:rsid w:val="00056D57"/>
    <w:rsid w:val="00060C07"/>
    <w:rsid w:val="00060E69"/>
    <w:rsid w:val="0006113A"/>
    <w:rsid w:val="00061CBC"/>
    <w:rsid w:val="00063BB1"/>
    <w:rsid w:val="00065602"/>
    <w:rsid w:val="00066D60"/>
    <w:rsid w:val="000670AF"/>
    <w:rsid w:val="00073DAC"/>
    <w:rsid w:val="00081FAF"/>
    <w:rsid w:val="00083C51"/>
    <w:rsid w:val="00091B3D"/>
    <w:rsid w:val="000921C3"/>
    <w:rsid w:val="00094E67"/>
    <w:rsid w:val="00095042"/>
    <w:rsid w:val="00095635"/>
    <w:rsid w:val="000968DC"/>
    <w:rsid w:val="00096E38"/>
    <w:rsid w:val="000A3B7C"/>
    <w:rsid w:val="000A422A"/>
    <w:rsid w:val="000A4581"/>
    <w:rsid w:val="000B0FC7"/>
    <w:rsid w:val="000B348D"/>
    <w:rsid w:val="000B4D91"/>
    <w:rsid w:val="000B7950"/>
    <w:rsid w:val="000C22B9"/>
    <w:rsid w:val="000C30F6"/>
    <w:rsid w:val="000C5E47"/>
    <w:rsid w:val="000C7F71"/>
    <w:rsid w:val="000D21C3"/>
    <w:rsid w:val="000D436A"/>
    <w:rsid w:val="000D4CB8"/>
    <w:rsid w:val="000D521A"/>
    <w:rsid w:val="000D7E92"/>
    <w:rsid w:val="000E702C"/>
    <w:rsid w:val="000F439E"/>
    <w:rsid w:val="000F5EF5"/>
    <w:rsid w:val="001057BF"/>
    <w:rsid w:val="00105DEE"/>
    <w:rsid w:val="00107D1C"/>
    <w:rsid w:val="00107EDE"/>
    <w:rsid w:val="001127DD"/>
    <w:rsid w:val="00113168"/>
    <w:rsid w:val="0011445F"/>
    <w:rsid w:val="0011520C"/>
    <w:rsid w:val="00115510"/>
    <w:rsid w:val="001156D9"/>
    <w:rsid w:val="0011681A"/>
    <w:rsid w:val="0012698C"/>
    <w:rsid w:val="0013251C"/>
    <w:rsid w:val="001342D7"/>
    <w:rsid w:val="00140C03"/>
    <w:rsid w:val="001413D6"/>
    <w:rsid w:val="00141D25"/>
    <w:rsid w:val="001429F5"/>
    <w:rsid w:val="00143592"/>
    <w:rsid w:val="00150B33"/>
    <w:rsid w:val="001510FB"/>
    <w:rsid w:val="00154354"/>
    <w:rsid w:val="00157C68"/>
    <w:rsid w:val="00160FF9"/>
    <w:rsid w:val="001650B9"/>
    <w:rsid w:val="00170AB6"/>
    <w:rsid w:val="001739C3"/>
    <w:rsid w:val="001764A3"/>
    <w:rsid w:val="00177B60"/>
    <w:rsid w:val="00177D91"/>
    <w:rsid w:val="0018378F"/>
    <w:rsid w:val="001865E6"/>
    <w:rsid w:val="001869DE"/>
    <w:rsid w:val="00186A51"/>
    <w:rsid w:val="001933BF"/>
    <w:rsid w:val="0019751C"/>
    <w:rsid w:val="00197635"/>
    <w:rsid w:val="001A08FC"/>
    <w:rsid w:val="001A0C64"/>
    <w:rsid w:val="001A4665"/>
    <w:rsid w:val="001A5294"/>
    <w:rsid w:val="001A548D"/>
    <w:rsid w:val="001B0F05"/>
    <w:rsid w:val="001B27EB"/>
    <w:rsid w:val="001B2C20"/>
    <w:rsid w:val="001B2C25"/>
    <w:rsid w:val="001B3C81"/>
    <w:rsid w:val="001B699D"/>
    <w:rsid w:val="001B6FEE"/>
    <w:rsid w:val="001B77BD"/>
    <w:rsid w:val="001C21ED"/>
    <w:rsid w:val="001C2616"/>
    <w:rsid w:val="001C2AAD"/>
    <w:rsid w:val="001C319B"/>
    <w:rsid w:val="001C3783"/>
    <w:rsid w:val="001C555E"/>
    <w:rsid w:val="001C5B9F"/>
    <w:rsid w:val="001C5C2A"/>
    <w:rsid w:val="001D07A7"/>
    <w:rsid w:val="001D10D7"/>
    <w:rsid w:val="001D4D3E"/>
    <w:rsid w:val="001D6A77"/>
    <w:rsid w:val="001D6AC7"/>
    <w:rsid w:val="001D727B"/>
    <w:rsid w:val="001D7D8F"/>
    <w:rsid w:val="001E4BBA"/>
    <w:rsid w:val="001E56F3"/>
    <w:rsid w:val="001E6E21"/>
    <w:rsid w:val="001E78AB"/>
    <w:rsid w:val="001F312F"/>
    <w:rsid w:val="001F3889"/>
    <w:rsid w:val="001F3AD3"/>
    <w:rsid w:val="001F6603"/>
    <w:rsid w:val="00200731"/>
    <w:rsid w:val="00200A4E"/>
    <w:rsid w:val="00200EAC"/>
    <w:rsid w:val="0020160D"/>
    <w:rsid w:val="00202DED"/>
    <w:rsid w:val="00204025"/>
    <w:rsid w:val="00205997"/>
    <w:rsid w:val="00210A49"/>
    <w:rsid w:val="00211319"/>
    <w:rsid w:val="00212307"/>
    <w:rsid w:val="00217C81"/>
    <w:rsid w:val="00221091"/>
    <w:rsid w:val="00221D55"/>
    <w:rsid w:val="0022283B"/>
    <w:rsid w:val="00222A70"/>
    <w:rsid w:val="00224688"/>
    <w:rsid w:val="00226C8C"/>
    <w:rsid w:val="00226E5C"/>
    <w:rsid w:val="0022737E"/>
    <w:rsid w:val="00233A89"/>
    <w:rsid w:val="00243FD4"/>
    <w:rsid w:val="0025293E"/>
    <w:rsid w:val="00253E0D"/>
    <w:rsid w:val="00262A1D"/>
    <w:rsid w:val="00264DE0"/>
    <w:rsid w:val="00264EF4"/>
    <w:rsid w:val="00265076"/>
    <w:rsid w:val="00265F10"/>
    <w:rsid w:val="00266296"/>
    <w:rsid w:val="002666BD"/>
    <w:rsid w:val="00270D78"/>
    <w:rsid w:val="00271F9E"/>
    <w:rsid w:val="00272865"/>
    <w:rsid w:val="00272F1A"/>
    <w:rsid w:val="002775E7"/>
    <w:rsid w:val="00281DA4"/>
    <w:rsid w:val="002859D4"/>
    <w:rsid w:val="00290A28"/>
    <w:rsid w:val="002941F1"/>
    <w:rsid w:val="00294A51"/>
    <w:rsid w:val="002A0939"/>
    <w:rsid w:val="002A24B2"/>
    <w:rsid w:val="002A6C78"/>
    <w:rsid w:val="002B49D2"/>
    <w:rsid w:val="002B4AE1"/>
    <w:rsid w:val="002B63DA"/>
    <w:rsid w:val="002B766D"/>
    <w:rsid w:val="002C3CD3"/>
    <w:rsid w:val="002C4449"/>
    <w:rsid w:val="002C455F"/>
    <w:rsid w:val="002C6CB1"/>
    <w:rsid w:val="002C6F0E"/>
    <w:rsid w:val="002C6F67"/>
    <w:rsid w:val="002D0A35"/>
    <w:rsid w:val="002D189D"/>
    <w:rsid w:val="002D19D2"/>
    <w:rsid w:val="002D56DD"/>
    <w:rsid w:val="002D5791"/>
    <w:rsid w:val="002D633A"/>
    <w:rsid w:val="002E7F15"/>
    <w:rsid w:val="002F05DD"/>
    <w:rsid w:val="002F637A"/>
    <w:rsid w:val="00303D4B"/>
    <w:rsid w:val="003062E7"/>
    <w:rsid w:val="00306DAD"/>
    <w:rsid w:val="00316256"/>
    <w:rsid w:val="00316394"/>
    <w:rsid w:val="00316A7C"/>
    <w:rsid w:val="00320317"/>
    <w:rsid w:val="00320508"/>
    <w:rsid w:val="003226AA"/>
    <w:rsid w:val="00324CEB"/>
    <w:rsid w:val="00327F79"/>
    <w:rsid w:val="003304E2"/>
    <w:rsid w:val="00333CF2"/>
    <w:rsid w:val="00335D05"/>
    <w:rsid w:val="003365B0"/>
    <w:rsid w:val="003369F7"/>
    <w:rsid w:val="00337831"/>
    <w:rsid w:val="00340DB9"/>
    <w:rsid w:val="0034394F"/>
    <w:rsid w:val="00343E4A"/>
    <w:rsid w:val="00346C0E"/>
    <w:rsid w:val="0035181D"/>
    <w:rsid w:val="00351D06"/>
    <w:rsid w:val="00353BF7"/>
    <w:rsid w:val="00357804"/>
    <w:rsid w:val="00357BA8"/>
    <w:rsid w:val="003662A4"/>
    <w:rsid w:val="003675BE"/>
    <w:rsid w:val="00367E77"/>
    <w:rsid w:val="003732C6"/>
    <w:rsid w:val="0037461B"/>
    <w:rsid w:val="00377E17"/>
    <w:rsid w:val="00382D84"/>
    <w:rsid w:val="00383036"/>
    <w:rsid w:val="00384A86"/>
    <w:rsid w:val="00384AD1"/>
    <w:rsid w:val="00387BF2"/>
    <w:rsid w:val="00391C53"/>
    <w:rsid w:val="00393E34"/>
    <w:rsid w:val="00394B02"/>
    <w:rsid w:val="003954AE"/>
    <w:rsid w:val="003A1BEA"/>
    <w:rsid w:val="003A2DDC"/>
    <w:rsid w:val="003A3A90"/>
    <w:rsid w:val="003A745F"/>
    <w:rsid w:val="003A796F"/>
    <w:rsid w:val="003A7B03"/>
    <w:rsid w:val="003A7FC5"/>
    <w:rsid w:val="003B0BE9"/>
    <w:rsid w:val="003B163B"/>
    <w:rsid w:val="003B18CA"/>
    <w:rsid w:val="003B207A"/>
    <w:rsid w:val="003B21C9"/>
    <w:rsid w:val="003B2715"/>
    <w:rsid w:val="003B2A37"/>
    <w:rsid w:val="003B38EA"/>
    <w:rsid w:val="003B57E9"/>
    <w:rsid w:val="003B691A"/>
    <w:rsid w:val="003C14E0"/>
    <w:rsid w:val="003C27C0"/>
    <w:rsid w:val="003C5108"/>
    <w:rsid w:val="003C6167"/>
    <w:rsid w:val="003D16E9"/>
    <w:rsid w:val="003D31BA"/>
    <w:rsid w:val="003D4F9C"/>
    <w:rsid w:val="003D5F9B"/>
    <w:rsid w:val="003D7281"/>
    <w:rsid w:val="003E29E3"/>
    <w:rsid w:val="003E40EF"/>
    <w:rsid w:val="003E7CB5"/>
    <w:rsid w:val="003F2E4F"/>
    <w:rsid w:val="003F3F91"/>
    <w:rsid w:val="003F4988"/>
    <w:rsid w:val="003F63E8"/>
    <w:rsid w:val="003F714C"/>
    <w:rsid w:val="003F72D6"/>
    <w:rsid w:val="004005D1"/>
    <w:rsid w:val="00400852"/>
    <w:rsid w:val="00400B76"/>
    <w:rsid w:val="00400D69"/>
    <w:rsid w:val="00400F41"/>
    <w:rsid w:val="00402286"/>
    <w:rsid w:val="00411112"/>
    <w:rsid w:val="00411218"/>
    <w:rsid w:val="00411CE6"/>
    <w:rsid w:val="0041258E"/>
    <w:rsid w:val="004135D1"/>
    <w:rsid w:val="0041494A"/>
    <w:rsid w:val="00416316"/>
    <w:rsid w:val="00417354"/>
    <w:rsid w:val="00420704"/>
    <w:rsid w:val="00420787"/>
    <w:rsid w:val="00423067"/>
    <w:rsid w:val="004230EB"/>
    <w:rsid w:val="00424036"/>
    <w:rsid w:val="00424E99"/>
    <w:rsid w:val="004268CB"/>
    <w:rsid w:val="004314C4"/>
    <w:rsid w:val="00431DBC"/>
    <w:rsid w:val="00440E4E"/>
    <w:rsid w:val="004419EA"/>
    <w:rsid w:val="004451BA"/>
    <w:rsid w:val="0044588D"/>
    <w:rsid w:val="0044649C"/>
    <w:rsid w:val="00446713"/>
    <w:rsid w:val="00447E1D"/>
    <w:rsid w:val="00452D9D"/>
    <w:rsid w:val="0045340C"/>
    <w:rsid w:val="00456267"/>
    <w:rsid w:val="00461AC5"/>
    <w:rsid w:val="00465559"/>
    <w:rsid w:val="00466199"/>
    <w:rsid w:val="0046743B"/>
    <w:rsid w:val="0047649D"/>
    <w:rsid w:val="00481875"/>
    <w:rsid w:val="004834F8"/>
    <w:rsid w:val="00485842"/>
    <w:rsid w:val="00486287"/>
    <w:rsid w:val="00486DAB"/>
    <w:rsid w:val="004874E1"/>
    <w:rsid w:val="004901FF"/>
    <w:rsid w:val="004931B2"/>
    <w:rsid w:val="00493A26"/>
    <w:rsid w:val="0049474C"/>
    <w:rsid w:val="004A4060"/>
    <w:rsid w:val="004B0861"/>
    <w:rsid w:val="004B2D82"/>
    <w:rsid w:val="004B7538"/>
    <w:rsid w:val="004B789F"/>
    <w:rsid w:val="004C0728"/>
    <w:rsid w:val="004C310B"/>
    <w:rsid w:val="004C42A1"/>
    <w:rsid w:val="004C64E8"/>
    <w:rsid w:val="004C7E85"/>
    <w:rsid w:val="004D089C"/>
    <w:rsid w:val="004D0E18"/>
    <w:rsid w:val="004D6C94"/>
    <w:rsid w:val="004D76FF"/>
    <w:rsid w:val="004E15AE"/>
    <w:rsid w:val="004E5120"/>
    <w:rsid w:val="004E5C3E"/>
    <w:rsid w:val="004E5E72"/>
    <w:rsid w:val="004E6174"/>
    <w:rsid w:val="004E6927"/>
    <w:rsid w:val="004F21BA"/>
    <w:rsid w:val="004F31F6"/>
    <w:rsid w:val="004F413A"/>
    <w:rsid w:val="004F66CA"/>
    <w:rsid w:val="004F6EC3"/>
    <w:rsid w:val="0050129C"/>
    <w:rsid w:val="00501985"/>
    <w:rsid w:val="00505676"/>
    <w:rsid w:val="00505929"/>
    <w:rsid w:val="00505D8C"/>
    <w:rsid w:val="00505E2D"/>
    <w:rsid w:val="00506B55"/>
    <w:rsid w:val="00510B7E"/>
    <w:rsid w:val="00511830"/>
    <w:rsid w:val="00511AE9"/>
    <w:rsid w:val="0051246A"/>
    <w:rsid w:val="00514164"/>
    <w:rsid w:val="00515C5F"/>
    <w:rsid w:val="005167FD"/>
    <w:rsid w:val="00521ABB"/>
    <w:rsid w:val="00521C70"/>
    <w:rsid w:val="00522EE4"/>
    <w:rsid w:val="005256CC"/>
    <w:rsid w:val="00526AD2"/>
    <w:rsid w:val="00526C41"/>
    <w:rsid w:val="0052784D"/>
    <w:rsid w:val="00530566"/>
    <w:rsid w:val="0053095B"/>
    <w:rsid w:val="00532AB5"/>
    <w:rsid w:val="005350A7"/>
    <w:rsid w:val="005357AC"/>
    <w:rsid w:val="005415DC"/>
    <w:rsid w:val="00543273"/>
    <w:rsid w:val="00544821"/>
    <w:rsid w:val="0054490E"/>
    <w:rsid w:val="00547238"/>
    <w:rsid w:val="00547684"/>
    <w:rsid w:val="005531F7"/>
    <w:rsid w:val="00554056"/>
    <w:rsid w:val="0055440A"/>
    <w:rsid w:val="00554640"/>
    <w:rsid w:val="00554FBA"/>
    <w:rsid w:val="005603A3"/>
    <w:rsid w:val="005651BE"/>
    <w:rsid w:val="00570DE1"/>
    <w:rsid w:val="00575982"/>
    <w:rsid w:val="00576044"/>
    <w:rsid w:val="00577548"/>
    <w:rsid w:val="00581873"/>
    <w:rsid w:val="0058250F"/>
    <w:rsid w:val="00585F38"/>
    <w:rsid w:val="00587780"/>
    <w:rsid w:val="00592B7E"/>
    <w:rsid w:val="00592B9B"/>
    <w:rsid w:val="0059383F"/>
    <w:rsid w:val="00594D4E"/>
    <w:rsid w:val="00595135"/>
    <w:rsid w:val="0059755D"/>
    <w:rsid w:val="005A0364"/>
    <w:rsid w:val="005A070D"/>
    <w:rsid w:val="005A10F2"/>
    <w:rsid w:val="005A5017"/>
    <w:rsid w:val="005A6AFC"/>
    <w:rsid w:val="005B106C"/>
    <w:rsid w:val="005B520F"/>
    <w:rsid w:val="005B7D2F"/>
    <w:rsid w:val="005C11BF"/>
    <w:rsid w:val="005C151C"/>
    <w:rsid w:val="005C36FD"/>
    <w:rsid w:val="005C56C7"/>
    <w:rsid w:val="005C5C0F"/>
    <w:rsid w:val="005C7A50"/>
    <w:rsid w:val="005C7F0E"/>
    <w:rsid w:val="005D0E8E"/>
    <w:rsid w:val="005D1773"/>
    <w:rsid w:val="005D3198"/>
    <w:rsid w:val="005D57F2"/>
    <w:rsid w:val="005E25F4"/>
    <w:rsid w:val="005E49AF"/>
    <w:rsid w:val="005E5A87"/>
    <w:rsid w:val="005E5FFA"/>
    <w:rsid w:val="005E6C84"/>
    <w:rsid w:val="005E6D94"/>
    <w:rsid w:val="005E7880"/>
    <w:rsid w:val="005F169F"/>
    <w:rsid w:val="005F351C"/>
    <w:rsid w:val="005F43AB"/>
    <w:rsid w:val="005F5562"/>
    <w:rsid w:val="005F65ED"/>
    <w:rsid w:val="005F6A72"/>
    <w:rsid w:val="005F72DA"/>
    <w:rsid w:val="006012D1"/>
    <w:rsid w:val="00606A2A"/>
    <w:rsid w:val="00607197"/>
    <w:rsid w:val="006074D0"/>
    <w:rsid w:val="006113C1"/>
    <w:rsid w:val="00616CC0"/>
    <w:rsid w:val="006172DB"/>
    <w:rsid w:val="006173DB"/>
    <w:rsid w:val="0061766F"/>
    <w:rsid w:val="00621D9F"/>
    <w:rsid w:val="00624018"/>
    <w:rsid w:val="00625046"/>
    <w:rsid w:val="006268D8"/>
    <w:rsid w:val="0062741C"/>
    <w:rsid w:val="006314F1"/>
    <w:rsid w:val="00631A85"/>
    <w:rsid w:val="00632234"/>
    <w:rsid w:val="00632CB1"/>
    <w:rsid w:val="00633B86"/>
    <w:rsid w:val="00633BC6"/>
    <w:rsid w:val="00634D1A"/>
    <w:rsid w:val="00636BB8"/>
    <w:rsid w:val="00636C79"/>
    <w:rsid w:val="006427EB"/>
    <w:rsid w:val="00643EBD"/>
    <w:rsid w:val="0065008F"/>
    <w:rsid w:val="00650470"/>
    <w:rsid w:val="00650A01"/>
    <w:rsid w:val="006542DB"/>
    <w:rsid w:val="006557E7"/>
    <w:rsid w:val="006569AF"/>
    <w:rsid w:val="006608A0"/>
    <w:rsid w:val="006631F1"/>
    <w:rsid w:val="0066396F"/>
    <w:rsid w:val="00665B8C"/>
    <w:rsid w:val="00665E09"/>
    <w:rsid w:val="00666C54"/>
    <w:rsid w:val="006769EE"/>
    <w:rsid w:val="00677CE1"/>
    <w:rsid w:val="00681B10"/>
    <w:rsid w:val="00684E23"/>
    <w:rsid w:val="00686452"/>
    <w:rsid w:val="0068709E"/>
    <w:rsid w:val="00687C2F"/>
    <w:rsid w:val="00687E89"/>
    <w:rsid w:val="00690AB3"/>
    <w:rsid w:val="00693517"/>
    <w:rsid w:val="00694347"/>
    <w:rsid w:val="006963FF"/>
    <w:rsid w:val="006979C3"/>
    <w:rsid w:val="00697A54"/>
    <w:rsid w:val="00697D3A"/>
    <w:rsid w:val="006A2D0A"/>
    <w:rsid w:val="006A372F"/>
    <w:rsid w:val="006A5DA1"/>
    <w:rsid w:val="006A5FEB"/>
    <w:rsid w:val="006A6E20"/>
    <w:rsid w:val="006A7E0B"/>
    <w:rsid w:val="006A7FE9"/>
    <w:rsid w:val="006B13AF"/>
    <w:rsid w:val="006B21C9"/>
    <w:rsid w:val="006B22FA"/>
    <w:rsid w:val="006B4464"/>
    <w:rsid w:val="006B748D"/>
    <w:rsid w:val="006B7BA0"/>
    <w:rsid w:val="006C6B44"/>
    <w:rsid w:val="006D363A"/>
    <w:rsid w:val="006D6CDE"/>
    <w:rsid w:val="006E178A"/>
    <w:rsid w:val="006E2FEA"/>
    <w:rsid w:val="006E4D6E"/>
    <w:rsid w:val="006E7FF0"/>
    <w:rsid w:val="006F1A30"/>
    <w:rsid w:val="006F361E"/>
    <w:rsid w:val="006F3E8F"/>
    <w:rsid w:val="006F745A"/>
    <w:rsid w:val="006F7978"/>
    <w:rsid w:val="00702015"/>
    <w:rsid w:val="00702E9D"/>
    <w:rsid w:val="00703A26"/>
    <w:rsid w:val="00704A87"/>
    <w:rsid w:val="00704F35"/>
    <w:rsid w:val="00706E94"/>
    <w:rsid w:val="0071038B"/>
    <w:rsid w:val="007113CF"/>
    <w:rsid w:val="00712563"/>
    <w:rsid w:val="00712B1E"/>
    <w:rsid w:val="0071360B"/>
    <w:rsid w:val="0071559F"/>
    <w:rsid w:val="00715B56"/>
    <w:rsid w:val="00720785"/>
    <w:rsid w:val="0073141A"/>
    <w:rsid w:val="00732A0A"/>
    <w:rsid w:val="00734464"/>
    <w:rsid w:val="0073632D"/>
    <w:rsid w:val="00737257"/>
    <w:rsid w:val="00742649"/>
    <w:rsid w:val="00746469"/>
    <w:rsid w:val="00746C5E"/>
    <w:rsid w:val="00752DF8"/>
    <w:rsid w:val="00752FD6"/>
    <w:rsid w:val="00754425"/>
    <w:rsid w:val="00760650"/>
    <w:rsid w:val="007618AE"/>
    <w:rsid w:val="00763BBE"/>
    <w:rsid w:val="00763C00"/>
    <w:rsid w:val="00763FB1"/>
    <w:rsid w:val="0076480A"/>
    <w:rsid w:val="00767429"/>
    <w:rsid w:val="00767BFF"/>
    <w:rsid w:val="007701AA"/>
    <w:rsid w:val="00770ADE"/>
    <w:rsid w:val="00773FE0"/>
    <w:rsid w:val="00774E1B"/>
    <w:rsid w:val="007751FE"/>
    <w:rsid w:val="00777993"/>
    <w:rsid w:val="00777A24"/>
    <w:rsid w:val="00780BD6"/>
    <w:rsid w:val="00781AD9"/>
    <w:rsid w:val="00783E57"/>
    <w:rsid w:val="0078420D"/>
    <w:rsid w:val="007845C6"/>
    <w:rsid w:val="00786737"/>
    <w:rsid w:val="00786892"/>
    <w:rsid w:val="00787021"/>
    <w:rsid w:val="007921AB"/>
    <w:rsid w:val="0079661F"/>
    <w:rsid w:val="007A0119"/>
    <w:rsid w:val="007A04E2"/>
    <w:rsid w:val="007A23F6"/>
    <w:rsid w:val="007A25E6"/>
    <w:rsid w:val="007A2649"/>
    <w:rsid w:val="007A613F"/>
    <w:rsid w:val="007B352D"/>
    <w:rsid w:val="007B41A1"/>
    <w:rsid w:val="007B682A"/>
    <w:rsid w:val="007B6D01"/>
    <w:rsid w:val="007B771C"/>
    <w:rsid w:val="007C1198"/>
    <w:rsid w:val="007C12DC"/>
    <w:rsid w:val="007C180D"/>
    <w:rsid w:val="007C7AE2"/>
    <w:rsid w:val="007D0B32"/>
    <w:rsid w:val="007D2144"/>
    <w:rsid w:val="007D2356"/>
    <w:rsid w:val="007D59DB"/>
    <w:rsid w:val="007D7CD7"/>
    <w:rsid w:val="007E0F2F"/>
    <w:rsid w:val="007E1843"/>
    <w:rsid w:val="007E286A"/>
    <w:rsid w:val="007E406A"/>
    <w:rsid w:val="007F0083"/>
    <w:rsid w:val="007F0719"/>
    <w:rsid w:val="007F0FA6"/>
    <w:rsid w:val="007F5846"/>
    <w:rsid w:val="007F65D9"/>
    <w:rsid w:val="007F79F7"/>
    <w:rsid w:val="00800079"/>
    <w:rsid w:val="00800E48"/>
    <w:rsid w:val="00802CAE"/>
    <w:rsid w:val="00804F61"/>
    <w:rsid w:val="008056E8"/>
    <w:rsid w:val="00805C04"/>
    <w:rsid w:val="0081036E"/>
    <w:rsid w:val="008126C3"/>
    <w:rsid w:val="00813612"/>
    <w:rsid w:val="00816371"/>
    <w:rsid w:val="00821BC7"/>
    <w:rsid w:val="0082455B"/>
    <w:rsid w:val="008265F1"/>
    <w:rsid w:val="0083287F"/>
    <w:rsid w:val="00836C0D"/>
    <w:rsid w:val="00837A9D"/>
    <w:rsid w:val="00840100"/>
    <w:rsid w:val="00842F54"/>
    <w:rsid w:val="0085019C"/>
    <w:rsid w:val="00852373"/>
    <w:rsid w:val="008523C7"/>
    <w:rsid w:val="00852489"/>
    <w:rsid w:val="00852B5C"/>
    <w:rsid w:val="008556BD"/>
    <w:rsid w:val="00855C9A"/>
    <w:rsid w:val="0085694B"/>
    <w:rsid w:val="00860333"/>
    <w:rsid w:val="008624D5"/>
    <w:rsid w:val="008645E0"/>
    <w:rsid w:val="008748F9"/>
    <w:rsid w:val="00874D82"/>
    <w:rsid w:val="00881E9D"/>
    <w:rsid w:val="00881EF8"/>
    <w:rsid w:val="008820F2"/>
    <w:rsid w:val="008859D4"/>
    <w:rsid w:val="00890B54"/>
    <w:rsid w:val="0089248A"/>
    <w:rsid w:val="008A40DA"/>
    <w:rsid w:val="008A47D5"/>
    <w:rsid w:val="008A4F81"/>
    <w:rsid w:val="008A5E52"/>
    <w:rsid w:val="008A6C35"/>
    <w:rsid w:val="008A6EBC"/>
    <w:rsid w:val="008B32AC"/>
    <w:rsid w:val="008B4AB7"/>
    <w:rsid w:val="008B5CE2"/>
    <w:rsid w:val="008C1415"/>
    <w:rsid w:val="008C36C3"/>
    <w:rsid w:val="008C3F69"/>
    <w:rsid w:val="008C77F9"/>
    <w:rsid w:val="008D18D2"/>
    <w:rsid w:val="008D1AC6"/>
    <w:rsid w:val="008D1D3C"/>
    <w:rsid w:val="008D26FD"/>
    <w:rsid w:val="008D35B8"/>
    <w:rsid w:val="008D37CE"/>
    <w:rsid w:val="008D4523"/>
    <w:rsid w:val="008D5432"/>
    <w:rsid w:val="008D727A"/>
    <w:rsid w:val="008E3A9F"/>
    <w:rsid w:val="008E3BC4"/>
    <w:rsid w:val="008F248A"/>
    <w:rsid w:val="008F6F61"/>
    <w:rsid w:val="008F729F"/>
    <w:rsid w:val="00900843"/>
    <w:rsid w:val="0090289E"/>
    <w:rsid w:val="009050D9"/>
    <w:rsid w:val="00905FAA"/>
    <w:rsid w:val="00910004"/>
    <w:rsid w:val="00910B53"/>
    <w:rsid w:val="0091275C"/>
    <w:rsid w:val="00920126"/>
    <w:rsid w:val="00924211"/>
    <w:rsid w:val="009247DE"/>
    <w:rsid w:val="009247ED"/>
    <w:rsid w:val="0092713F"/>
    <w:rsid w:val="00927DE8"/>
    <w:rsid w:val="00931114"/>
    <w:rsid w:val="009312D9"/>
    <w:rsid w:val="00933323"/>
    <w:rsid w:val="00935E9F"/>
    <w:rsid w:val="00937CFA"/>
    <w:rsid w:val="009440CC"/>
    <w:rsid w:val="00951B79"/>
    <w:rsid w:val="0095209D"/>
    <w:rsid w:val="00952BF0"/>
    <w:rsid w:val="009560C7"/>
    <w:rsid w:val="009601CA"/>
    <w:rsid w:val="00967059"/>
    <w:rsid w:val="009674A8"/>
    <w:rsid w:val="00973441"/>
    <w:rsid w:val="00973721"/>
    <w:rsid w:val="00975DC0"/>
    <w:rsid w:val="00976365"/>
    <w:rsid w:val="0097650E"/>
    <w:rsid w:val="0098070F"/>
    <w:rsid w:val="00980DBA"/>
    <w:rsid w:val="00983CEB"/>
    <w:rsid w:val="009858F8"/>
    <w:rsid w:val="009870F7"/>
    <w:rsid w:val="0098769F"/>
    <w:rsid w:val="009933FC"/>
    <w:rsid w:val="009952D5"/>
    <w:rsid w:val="00996134"/>
    <w:rsid w:val="009975AE"/>
    <w:rsid w:val="009B0209"/>
    <w:rsid w:val="009B3284"/>
    <w:rsid w:val="009B46F0"/>
    <w:rsid w:val="009B5D90"/>
    <w:rsid w:val="009B7606"/>
    <w:rsid w:val="009B7B40"/>
    <w:rsid w:val="009C0F0B"/>
    <w:rsid w:val="009C0F58"/>
    <w:rsid w:val="009C43D6"/>
    <w:rsid w:val="009C5298"/>
    <w:rsid w:val="009D0F24"/>
    <w:rsid w:val="009D24A2"/>
    <w:rsid w:val="009E09AF"/>
    <w:rsid w:val="009E7705"/>
    <w:rsid w:val="009F0DA4"/>
    <w:rsid w:val="009F1968"/>
    <w:rsid w:val="009F5946"/>
    <w:rsid w:val="00A01369"/>
    <w:rsid w:val="00A04420"/>
    <w:rsid w:val="00A063C8"/>
    <w:rsid w:val="00A06892"/>
    <w:rsid w:val="00A07575"/>
    <w:rsid w:val="00A10339"/>
    <w:rsid w:val="00A10D29"/>
    <w:rsid w:val="00A1353F"/>
    <w:rsid w:val="00A1400A"/>
    <w:rsid w:val="00A170A0"/>
    <w:rsid w:val="00A20452"/>
    <w:rsid w:val="00A20AAE"/>
    <w:rsid w:val="00A22328"/>
    <w:rsid w:val="00A26045"/>
    <w:rsid w:val="00A277EC"/>
    <w:rsid w:val="00A31A7D"/>
    <w:rsid w:val="00A324D2"/>
    <w:rsid w:val="00A33D5C"/>
    <w:rsid w:val="00A4146E"/>
    <w:rsid w:val="00A52FD4"/>
    <w:rsid w:val="00A5522C"/>
    <w:rsid w:val="00A56926"/>
    <w:rsid w:val="00A57A7F"/>
    <w:rsid w:val="00A6130B"/>
    <w:rsid w:val="00A6197E"/>
    <w:rsid w:val="00A627AB"/>
    <w:rsid w:val="00A67520"/>
    <w:rsid w:val="00A70DB7"/>
    <w:rsid w:val="00A7129C"/>
    <w:rsid w:val="00A72ABF"/>
    <w:rsid w:val="00A75766"/>
    <w:rsid w:val="00A75877"/>
    <w:rsid w:val="00A7648E"/>
    <w:rsid w:val="00A77C5D"/>
    <w:rsid w:val="00A82171"/>
    <w:rsid w:val="00A8390E"/>
    <w:rsid w:val="00A84F07"/>
    <w:rsid w:val="00A863D8"/>
    <w:rsid w:val="00A8652A"/>
    <w:rsid w:val="00A91CAE"/>
    <w:rsid w:val="00A937BA"/>
    <w:rsid w:val="00A93D0A"/>
    <w:rsid w:val="00A94260"/>
    <w:rsid w:val="00A95CF3"/>
    <w:rsid w:val="00AA73AD"/>
    <w:rsid w:val="00AA75AB"/>
    <w:rsid w:val="00AB1962"/>
    <w:rsid w:val="00AC35E8"/>
    <w:rsid w:val="00AC4D4A"/>
    <w:rsid w:val="00AC6BF1"/>
    <w:rsid w:val="00AD2F41"/>
    <w:rsid w:val="00AD4E91"/>
    <w:rsid w:val="00AD5332"/>
    <w:rsid w:val="00AD57B3"/>
    <w:rsid w:val="00AD62CD"/>
    <w:rsid w:val="00AE28A0"/>
    <w:rsid w:val="00AE305B"/>
    <w:rsid w:val="00AE30CD"/>
    <w:rsid w:val="00AF1273"/>
    <w:rsid w:val="00AF16A5"/>
    <w:rsid w:val="00AF3C7A"/>
    <w:rsid w:val="00AF5016"/>
    <w:rsid w:val="00AF5F52"/>
    <w:rsid w:val="00AF6859"/>
    <w:rsid w:val="00AF71A8"/>
    <w:rsid w:val="00B00165"/>
    <w:rsid w:val="00B00A5F"/>
    <w:rsid w:val="00B00D0C"/>
    <w:rsid w:val="00B00E88"/>
    <w:rsid w:val="00B0165B"/>
    <w:rsid w:val="00B07D84"/>
    <w:rsid w:val="00B11671"/>
    <w:rsid w:val="00B153B2"/>
    <w:rsid w:val="00B17D36"/>
    <w:rsid w:val="00B20E18"/>
    <w:rsid w:val="00B210D0"/>
    <w:rsid w:val="00B22EBC"/>
    <w:rsid w:val="00B23CE6"/>
    <w:rsid w:val="00B26DBC"/>
    <w:rsid w:val="00B31CDB"/>
    <w:rsid w:val="00B32D61"/>
    <w:rsid w:val="00B340D8"/>
    <w:rsid w:val="00B372E7"/>
    <w:rsid w:val="00B414E8"/>
    <w:rsid w:val="00B427EA"/>
    <w:rsid w:val="00B430E9"/>
    <w:rsid w:val="00B43D56"/>
    <w:rsid w:val="00B44505"/>
    <w:rsid w:val="00B46FF5"/>
    <w:rsid w:val="00B508C2"/>
    <w:rsid w:val="00B518D1"/>
    <w:rsid w:val="00B53A7A"/>
    <w:rsid w:val="00B54604"/>
    <w:rsid w:val="00B55A99"/>
    <w:rsid w:val="00B5727A"/>
    <w:rsid w:val="00B6047F"/>
    <w:rsid w:val="00B63243"/>
    <w:rsid w:val="00B632CC"/>
    <w:rsid w:val="00B64FBD"/>
    <w:rsid w:val="00B654E7"/>
    <w:rsid w:val="00B658B3"/>
    <w:rsid w:val="00B679B8"/>
    <w:rsid w:val="00B67F59"/>
    <w:rsid w:val="00B700E4"/>
    <w:rsid w:val="00B718B2"/>
    <w:rsid w:val="00B72133"/>
    <w:rsid w:val="00B72294"/>
    <w:rsid w:val="00B734A9"/>
    <w:rsid w:val="00B74FCD"/>
    <w:rsid w:val="00B7610D"/>
    <w:rsid w:val="00B76947"/>
    <w:rsid w:val="00B8118E"/>
    <w:rsid w:val="00B818EC"/>
    <w:rsid w:val="00B81B4A"/>
    <w:rsid w:val="00B84D61"/>
    <w:rsid w:val="00B9296E"/>
    <w:rsid w:val="00B93D22"/>
    <w:rsid w:val="00B93D47"/>
    <w:rsid w:val="00B94F19"/>
    <w:rsid w:val="00B9596B"/>
    <w:rsid w:val="00B970C2"/>
    <w:rsid w:val="00BA0345"/>
    <w:rsid w:val="00BA3C02"/>
    <w:rsid w:val="00BA4C3E"/>
    <w:rsid w:val="00BB1D1D"/>
    <w:rsid w:val="00BB1FF3"/>
    <w:rsid w:val="00BB228E"/>
    <w:rsid w:val="00BB4010"/>
    <w:rsid w:val="00BB6662"/>
    <w:rsid w:val="00BB7597"/>
    <w:rsid w:val="00BB761C"/>
    <w:rsid w:val="00BC0038"/>
    <w:rsid w:val="00BC05D2"/>
    <w:rsid w:val="00BC2E40"/>
    <w:rsid w:val="00BC39A9"/>
    <w:rsid w:val="00BC39D7"/>
    <w:rsid w:val="00BC51F3"/>
    <w:rsid w:val="00BC551E"/>
    <w:rsid w:val="00BC6D5C"/>
    <w:rsid w:val="00BD695E"/>
    <w:rsid w:val="00BD6F86"/>
    <w:rsid w:val="00BE101B"/>
    <w:rsid w:val="00BE1872"/>
    <w:rsid w:val="00BE1CAB"/>
    <w:rsid w:val="00BE3E23"/>
    <w:rsid w:val="00BF14C7"/>
    <w:rsid w:val="00BF23A9"/>
    <w:rsid w:val="00BF4A79"/>
    <w:rsid w:val="00BF5229"/>
    <w:rsid w:val="00BF54BE"/>
    <w:rsid w:val="00BF7048"/>
    <w:rsid w:val="00C05D96"/>
    <w:rsid w:val="00C0613F"/>
    <w:rsid w:val="00C06C05"/>
    <w:rsid w:val="00C1138C"/>
    <w:rsid w:val="00C116ED"/>
    <w:rsid w:val="00C136AA"/>
    <w:rsid w:val="00C137B5"/>
    <w:rsid w:val="00C14A8E"/>
    <w:rsid w:val="00C14EA2"/>
    <w:rsid w:val="00C15B9E"/>
    <w:rsid w:val="00C17EE8"/>
    <w:rsid w:val="00C2154F"/>
    <w:rsid w:val="00C21794"/>
    <w:rsid w:val="00C21FF5"/>
    <w:rsid w:val="00C23A0C"/>
    <w:rsid w:val="00C25EEB"/>
    <w:rsid w:val="00C26348"/>
    <w:rsid w:val="00C31B03"/>
    <w:rsid w:val="00C324F9"/>
    <w:rsid w:val="00C405D2"/>
    <w:rsid w:val="00C4386D"/>
    <w:rsid w:val="00C43A0F"/>
    <w:rsid w:val="00C50689"/>
    <w:rsid w:val="00C53896"/>
    <w:rsid w:val="00C55319"/>
    <w:rsid w:val="00C5708F"/>
    <w:rsid w:val="00C615BA"/>
    <w:rsid w:val="00C630C3"/>
    <w:rsid w:val="00C63E77"/>
    <w:rsid w:val="00C643AF"/>
    <w:rsid w:val="00C64A3E"/>
    <w:rsid w:val="00C66BE9"/>
    <w:rsid w:val="00C66EE6"/>
    <w:rsid w:val="00C67F97"/>
    <w:rsid w:val="00C712AD"/>
    <w:rsid w:val="00C716A1"/>
    <w:rsid w:val="00C71C93"/>
    <w:rsid w:val="00C7239D"/>
    <w:rsid w:val="00C73335"/>
    <w:rsid w:val="00C7429A"/>
    <w:rsid w:val="00C80A1E"/>
    <w:rsid w:val="00C8418B"/>
    <w:rsid w:val="00C856B0"/>
    <w:rsid w:val="00C85AD5"/>
    <w:rsid w:val="00C87099"/>
    <w:rsid w:val="00C878CD"/>
    <w:rsid w:val="00C91E17"/>
    <w:rsid w:val="00C92CED"/>
    <w:rsid w:val="00C979E2"/>
    <w:rsid w:val="00CA1410"/>
    <w:rsid w:val="00CA2D1B"/>
    <w:rsid w:val="00CA63C5"/>
    <w:rsid w:val="00CA63DC"/>
    <w:rsid w:val="00CB09B8"/>
    <w:rsid w:val="00CB1791"/>
    <w:rsid w:val="00CB61CE"/>
    <w:rsid w:val="00CC11A6"/>
    <w:rsid w:val="00CC1825"/>
    <w:rsid w:val="00CC3B4A"/>
    <w:rsid w:val="00CC5451"/>
    <w:rsid w:val="00CC770C"/>
    <w:rsid w:val="00CE037C"/>
    <w:rsid w:val="00CE04A9"/>
    <w:rsid w:val="00CE1BFA"/>
    <w:rsid w:val="00CE314C"/>
    <w:rsid w:val="00CE5CFC"/>
    <w:rsid w:val="00CE6007"/>
    <w:rsid w:val="00CF1791"/>
    <w:rsid w:val="00CF3322"/>
    <w:rsid w:val="00CF5AC8"/>
    <w:rsid w:val="00CF6821"/>
    <w:rsid w:val="00CF7553"/>
    <w:rsid w:val="00D00177"/>
    <w:rsid w:val="00D005EA"/>
    <w:rsid w:val="00D00856"/>
    <w:rsid w:val="00D00EB2"/>
    <w:rsid w:val="00D020B2"/>
    <w:rsid w:val="00D020E4"/>
    <w:rsid w:val="00D06716"/>
    <w:rsid w:val="00D10B43"/>
    <w:rsid w:val="00D118AC"/>
    <w:rsid w:val="00D14AF5"/>
    <w:rsid w:val="00D209E7"/>
    <w:rsid w:val="00D2337C"/>
    <w:rsid w:val="00D23E36"/>
    <w:rsid w:val="00D242A1"/>
    <w:rsid w:val="00D245D2"/>
    <w:rsid w:val="00D24857"/>
    <w:rsid w:val="00D266FB"/>
    <w:rsid w:val="00D303FE"/>
    <w:rsid w:val="00D3319C"/>
    <w:rsid w:val="00D33224"/>
    <w:rsid w:val="00D355DF"/>
    <w:rsid w:val="00D40A32"/>
    <w:rsid w:val="00D40EAA"/>
    <w:rsid w:val="00D44028"/>
    <w:rsid w:val="00D52597"/>
    <w:rsid w:val="00D5318D"/>
    <w:rsid w:val="00D5479E"/>
    <w:rsid w:val="00D551FB"/>
    <w:rsid w:val="00D55405"/>
    <w:rsid w:val="00D61A44"/>
    <w:rsid w:val="00D64944"/>
    <w:rsid w:val="00D73949"/>
    <w:rsid w:val="00D73B5A"/>
    <w:rsid w:val="00D762A6"/>
    <w:rsid w:val="00D76BE2"/>
    <w:rsid w:val="00D7729C"/>
    <w:rsid w:val="00D81C69"/>
    <w:rsid w:val="00D821FD"/>
    <w:rsid w:val="00D87FA3"/>
    <w:rsid w:val="00D9029C"/>
    <w:rsid w:val="00D902C8"/>
    <w:rsid w:val="00D94A44"/>
    <w:rsid w:val="00D97695"/>
    <w:rsid w:val="00DA129B"/>
    <w:rsid w:val="00DA17AE"/>
    <w:rsid w:val="00DA1B71"/>
    <w:rsid w:val="00DA1F2F"/>
    <w:rsid w:val="00DA37B5"/>
    <w:rsid w:val="00DA3BC8"/>
    <w:rsid w:val="00DA794D"/>
    <w:rsid w:val="00DB1061"/>
    <w:rsid w:val="00DB3DD2"/>
    <w:rsid w:val="00DB40F2"/>
    <w:rsid w:val="00DB4CBA"/>
    <w:rsid w:val="00DC2177"/>
    <w:rsid w:val="00DC234A"/>
    <w:rsid w:val="00DC23B1"/>
    <w:rsid w:val="00DC3A88"/>
    <w:rsid w:val="00DC50DD"/>
    <w:rsid w:val="00DC53B5"/>
    <w:rsid w:val="00DC62D3"/>
    <w:rsid w:val="00DC6F95"/>
    <w:rsid w:val="00DD01A8"/>
    <w:rsid w:val="00DD13AC"/>
    <w:rsid w:val="00DD214F"/>
    <w:rsid w:val="00DD236F"/>
    <w:rsid w:val="00DD68FD"/>
    <w:rsid w:val="00DD768F"/>
    <w:rsid w:val="00DE3913"/>
    <w:rsid w:val="00DF2120"/>
    <w:rsid w:val="00DF2886"/>
    <w:rsid w:val="00DF671A"/>
    <w:rsid w:val="00DF7A94"/>
    <w:rsid w:val="00E003D1"/>
    <w:rsid w:val="00E008D1"/>
    <w:rsid w:val="00E00DCB"/>
    <w:rsid w:val="00E10DDA"/>
    <w:rsid w:val="00E11991"/>
    <w:rsid w:val="00E12058"/>
    <w:rsid w:val="00E13437"/>
    <w:rsid w:val="00E13CB3"/>
    <w:rsid w:val="00E13F56"/>
    <w:rsid w:val="00E14211"/>
    <w:rsid w:val="00E14335"/>
    <w:rsid w:val="00E21E6C"/>
    <w:rsid w:val="00E2342C"/>
    <w:rsid w:val="00E272B2"/>
    <w:rsid w:val="00E2778E"/>
    <w:rsid w:val="00E279B5"/>
    <w:rsid w:val="00E306C7"/>
    <w:rsid w:val="00E31287"/>
    <w:rsid w:val="00E35B14"/>
    <w:rsid w:val="00E36365"/>
    <w:rsid w:val="00E43304"/>
    <w:rsid w:val="00E510A0"/>
    <w:rsid w:val="00E54BEF"/>
    <w:rsid w:val="00E56D50"/>
    <w:rsid w:val="00E61E82"/>
    <w:rsid w:val="00E6305C"/>
    <w:rsid w:val="00E63B45"/>
    <w:rsid w:val="00E70931"/>
    <w:rsid w:val="00E73601"/>
    <w:rsid w:val="00E76558"/>
    <w:rsid w:val="00E8143D"/>
    <w:rsid w:val="00E81462"/>
    <w:rsid w:val="00E82016"/>
    <w:rsid w:val="00E829AD"/>
    <w:rsid w:val="00E82FCE"/>
    <w:rsid w:val="00E836AD"/>
    <w:rsid w:val="00E8395E"/>
    <w:rsid w:val="00E848CB"/>
    <w:rsid w:val="00E84FFC"/>
    <w:rsid w:val="00E85FC1"/>
    <w:rsid w:val="00E93FC6"/>
    <w:rsid w:val="00E97709"/>
    <w:rsid w:val="00E97A7C"/>
    <w:rsid w:val="00EA0AAD"/>
    <w:rsid w:val="00EA11AE"/>
    <w:rsid w:val="00EA1299"/>
    <w:rsid w:val="00EA16D6"/>
    <w:rsid w:val="00EA2B02"/>
    <w:rsid w:val="00EA2CD1"/>
    <w:rsid w:val="00EA3C2B"/>
    <w:rsid w:val="00EA3D92"/>
    <w:rsid w:val="00EA525B"/>
    <w:rsid w:val="00EA5691"/>
    <w:rsid w:val="00EA57E4"/>
    <w:rsid w:val="00EB23BB"/>
    <w:rsid w:val="00EB2C21"/>
    <w:rsid w:val="00EB360B"/>
    <w:rsid w:val="00EB5FB1"/>
    <w:rsid w:val="00EB6B04"/>
    <w:rsid w:val="00EB786E"/>
    <w:rsid w:val="00EC04BD"/>
    <w:rsid w:val="00EC3339"/>
    <w:rsid w:val="00EC3F6A"/>
    <w:rsid w:val="00EC46E0"/>
    <w:rsid w:val="00EC5060"/>
    <w:rsid w:val="00EC6021"/>
    <w:rsid w:val="00EC6A00"/>
    <w:rsid w:val="00ED4F1A"/>
    <w:rsid w:val="00ED54F9"/>
    <w:rsid w:val="00ED6A85"/>
    <w:rsid w:val="00EE2C95"/>
    <w:rsid w:val="00EE30D8"/>
    <w:rsid w:val="00EE4949"/>
    <w:rsid w:val="00EE5157"/>
    <w:rsid w:val="00EE7611"/>
    <w:rsid w:val="00EF2326"/>
    <w:rsid w:val="00EF2E1C"/>
    <w:rsid w:val="00F0000B"/>
    <w:rsid w:val="00F0169D"/>
    <w:rsid w:val="00F02D2A"/>
    <w:rsid w:val="00F0506D"/>
    <w:rsid w:val="00F0573F"/>
    <w:rsid w:val="00F07BBC"/>
    <w:rsid w:val="00F07E01"/>
    <w:rsid w:val="00F104DB"/>
    <w:rsid w:val="00F10BDD"/>
    <w:rsid w:val="00F139D4"/>
    <w:rsid w:val="00F14010"/>
    <w:rsid w:val="00F145B6"/>
    <w:rsid w:val="00F14C59"/>
    <w:rsid w:val="00F17B47"/>
    <w:rsid w:val="00F20592"/>
    <w:rsid w:val="00F20AB1"/>
    <w:rsid w:val="00F21051"/>
    <w:rsid w:val="00F23292"/>
    <w:rsid w:val="00F234FD"/>
    <w:rsid w:val="00F25405"/>
    <w:rsid w:val="00F25453"/>
    <w:rsid w:val="00F25B57"/>
    <w:rsid w:val="00F269B1"/>
    <w:rsid w:val="00F2759F"/>
    <w:rsid w:val="00F307CB"/>
    <w:rsid w:val="00F354CC"/>
    <w:rsid w:val="00F36238"/>
    <w:rsid w:val="00F413FF"/>
    <w:rsid w:val="00F416E6"/>
    <w:rsid w:val="00F418FC"/>
    <w:rsid w:val="00F43644"/>
    <w:rsid w:val="00F446FD"/>
    <w:rsid w:val="00F467D9"/>
    <w:rsid w:val="00F46FF2"/>
    <w:rsid w:val="00F5304A"/>
    <w:rsid w:val="00F55A6F"/>
    <w:rsid w:val="00F561A3"/>
    <w:rsid w:val="00F62D93"/>
    <w:rsid w:val="00F646A0"/>
    <w:rsid w:val="00F64998"/>
    <w:rsid w:val="00F64EC2"/>
    <w:rsid w:val="00F67106"/>
    <w:rsid w:val="00F7256E"/>
    <w:rsid w:val="00F745E5"/>
    <w:rsid w:val="00F80CC7"/>
    <w:rsid w:val="00F819F8"/>
    <w:rsid w:val="00F83159"/>
    <w:rsid w:val="00F83B22"/>
    <w:rsid w:val="00F852E4"/>
    <w:rsid w:val="00F870B4"/>
    <w:rsid w:val="00F87446"/>
    <w:rsid w:val="00F9392E"/>
    <w:rsid w:val="00F94911"/>
    <w:rsid w:val="00F94C59"/>
    <w:rsid w:val="00F956FE"/>
    <w:rsid w:val="00F9643A"/>
    <w:rsid w:val="00F976B6"/>
    <w:rsid w:val="00FA0223"/>
    <w:rsid w:val="00FA12A3"/>
    <w:rsid w:val="00FA247C"/>
    <w:rsid w:val="00FA621D"/>
    <w:rsid w:val="00FA728A"/>
    <w:rsid w:val="00FB0D34"/>
    <w:rsid w:val="00FB1826"/>
    <w:rsid w:val="00FB4B57"/>
    <w:rsid w:val="00FB4DDB"/>
    <w:rsid w:val="00FB5CA6"/>
    <w:rsid w:val="00FC0AA8"/>
    <w:rsid w:val="00FD253B"/>
    <w:rsid w:val="00FD29A7"/>
    <w:rsid w:val="00FD5894"/>
    <w:rsid w:val="00FE0518"/>
    <w:rsid w:val="00FE0757"/>
    <w:rsid w:val="00FE0887"/>
    <w:rsid w:val="00FE0A66"/>
    <w:rsid w:val="00FE4170"/>
    <w:rsid w:val="00FE55E7"/>
    <w:rsid w:val="00FE5639"/>
    <w:rsid w:val="00FE776F"/>
    <w:rsid w:val="00FF5F3D"/>
    <w:rsid w:val="00FF6F0E"/>
  </w:rsids>
  <m:mathPr>
    <m:mathFont m:val="Cambria Math"/>
    <m:brkBin m:val="before"/>
    <m:brkBinSub m:val="--"/>
    <m:smallFrac m:val="off"/>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FFA"/>
    <w:pPr>
      <w:spacing w:after="160" w:line="259" w:lineRule="auto"/>
    </w:pPr>
    <w:rPr>
      <w:sz w:val="22"/>
      <w:szCs w:val="22"/>
      <w:lang w:val="es-ES" w:eastAsia="en-US"/>
    </w:rPr>
  </w:style>
  <w:style w:type="paragraph" w:styleId="Heading1">
    <w:name w:val="heading 1"/>
    <w:basedOn w:val="Normal"/>
    <w:next w:val="Normal"/>
    <w:link w:val="Heading1Char"/>
    <w:uiPriority w:val="9"/>
    <w:qFormat/>
    <w:rsid w:val="003E29E3"/>
    <w:pPr>
      <w:keepNext/>
      <w:keepLines/>
      <w:spacing w:before="240" w:after="0"/>
      <w:outlineLvl w:val="0"/>
    </w:pPr>
    <w:rPr>
      <w:rFonts w:ascii="Calibri Light" w:eastAsia="Times New Roman" w:hAnsi="Calibri Light"/>
      <w:color w:val="2E74B5"/>
      <w:sz w:val="32"/>
      <w:szCs w:val="32"/>
    </w:rPr>
  </w:style>
  <w:style w:type="paragraph" w:styleId="Heading2">
    <w:name w:val="heading 2"/>
    <w:basedOn w:val="Normal"/>
    <w:link w:val="Heading2Char"/>
    <w:uiPriority w:val="9"/>
    <w:qFormat/>
    <w:rsid w:val="001F3AD3"/>
    <w:pPr>
      <w:spacing w:before="100" w:beforeAutospacing="1" w:after="100" w:afterAutospacing="1" w:line="240" w:lineRule="auto"/>
      <w:outlineLvl w:val="1"/>
    </w:pPr>
    <w:rPr>
      <w:rFonts w:ascii="Times New Roman" w:eastAsia="Times New Roman" w:hAnsi="Times New Roman"/>
      <w:b/>
      <w:bCs/>
      <w:sz w:val="36"/>
      <w:szCs w:val="36"/>
      <w:lang w:val="es-CR" w:eastAsia="es-CR"/>
    </w:rPr>
  </w:style>
  <w:style w:type="paragraph" w:styleId="Heading3">
    <w:name w:val="heading 3"/>
    <w:basedOn w:val="Normal"/>
    <w:next w:val="Normal"/>
    <w:link w:val="Heading3Char"/>
    <w:uiPriority w:val="9"/>
    <w:unhideWhenUsed/>
    <w:qFormat/>
    <w:rsid w:val="00C31B03"/>
    <w:pPr>
      <w:keepNext/>
      <w:keepLines/>
      <w:spacing w:before="200" w:after="0"/>
      <w:outlineLvl w:val="2"/>
    </w:pPr>
    <w:rPr>
      <w:rFonts w:ascii="Calibri Light" w:eastAsia="Times New Roman" w:hAnsi="Calibri Light"/>
      <w:b/>
      <w:bCs/>
      <w:color w:val="5B9BD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B748D"/>
    <w:pPr>
      <w:ind w:left="720"/>
      <w:contextualSpacing/>
    </w:pPr>
  </w:style>
  <w:style w:type="paragraph" w:styleId="BalloonText">
    <w:name w:val="Balloon Text"/>
    <w:basedOn w:val="Normal"/>
    <w:link w:val="BalloonTextChar"/>
    <w:uiPriority w:val="99"/>
    <w:semiHidden/>
    <w:unhideWhenUsed/>
    <w:rsid w:val="00C15B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5B9E"/>
    <w:rPr>
      <w:rFonts w:ascii="Segoe UI" w:hAnsi="Segoe UI" w:cs="Segoe UI"/>
      <w:sz w:val="18"/>
      <w:szCs w:val="18"/>
    </w:rPr>
  </w:style>
  <w:style w:type="paragraph" w:customStyle="1" w:styleId="Normal1">
    <w:name w:val="Normal1"/>
    <w:rsid w:val="00C15B9E"/>
    <w:pPr>
      <w:jc w:val="both"/>
    </w:pPr>
    <w:rPr>
      <w:rFonts w:cs="Calibri"/>
      <w:color w:val="000000"/>
      <w:sz w:val="22"/>
      <w:lang w:val="es-CR" w:eastAsia="es-CR"/>
    </w:rPr>
  </w:style>
  <w:style w:type="paragraph" w:customStyle="1" w:styleId="yiv9302730780msolistparagraph">
    <w:name w:val="yiv9302730780msolistparagraph"/>
    <w:basedOn w:val="Normal"/>
    <w:rsid w:val="00007267"/>
    <w:pPr>
      <w:spacing w:before="100" w:beforeAutospacing="1" w:after="100" w:afterAutospacing="1" w:line="240" w:lineRule="auto"/>
    </w:pPr>
    <w:rPr>
      <w:rFonts w:ascii="Times New Roman" w:eastAsia="Times New Roman" w:hAnsi="Times New Roman"/>
      <w:sz w:val="24"/>
      <w:szCs w:val="24"/>
      <w:lang w:eastAsia="es-ES"/>
    </w:rPr>
  </w:style>
  <w:style w:type="character" w:styleId="Hyperlink">
    <w:name w:val="Hyperlink"/>
    <w:basedOn w:val="DefaultParagraphFont"/>
    <w:uiPriority w:val="99"/>
    <w:unhideWhenUsed/>
    <w:rsid w:val="009312D9"/>
    <w:rPr>
      <w:color w:val="0563C1"/>
      <w:u w:val="single"/>
    </w:rPr>
  </w:style>
  <w:style w:type="table" w:styleId="TableGrid">
    <w:name w:val="Table Grid"/>
    <w:basedOn w:val="TableNormal"/>
    <w:uiPriority w:val="59"/>
    <w:rsid w:val="001764A3"/>
    <w:rPr>
      <w:lang w:val="es-C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5oscura-nfasis21">
    <w:name w:val="Tabla de cuadrícula 5 oscura - Énfasis 21"/>
    <w:basedOn w:val="TableNormal"/>
    <w:uiPriority w:val="50"/>
    <w:rsid w:val="00211319"/>
    <w:rPr>
      <w:lang w:val="es-CR"/>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Tabladecuadrcula5oscura-nfasis61">
    <w:name w:val="Tabla de cuadrícula 5 oscura - Énfasis 61"/>
    <w:basedOn w:val="TableNormal"/>
    <w:uiPriority w:val="50"/>
    <w:rsid w:val="00211319"/>
    <w:rPr>
      <w:lang w:val="es-CR"/>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4-nfasis51">
    <w:name w:val="Tabla de cuadrícula 4 - Énfasis 51"/>
    <w:basedOn w:val="TableNormal"/>
    <w:uiPriority w:val="49"/>
    <w:rsid w:val="008056E8"/>
    <w:rPr>
      <w:lang w:val="es-CR"/>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styleId="CommentReference">
    <w:name w:val="annotation reference"/>
    <w:basedOn w:val="DefaultParagraphFont"/>
    <w:semiHidden/>
    <w:unhideWhenUsed/>
    <w:rsid w:val="006B7BA0"/>
    <w:rPr>
      <w:sz w:val="16"/>
      <w:szCs w:val="16"/>
    </w:rPr>
  </w:style>
  <w:style w:type="paragraph" w:styleId="CommentText">
    <w:name w:val="annotation text"/>
    <w:basedOn w:val="Normal"/>
    <w:link w:val="CommentTextChar"/>
    <w:unhideWhenUsed/>
    <w:rsid w:val="006B7BA0"/>
    <w:pPr>
      <w:spacing w:line="240" w:lineRule="auto"/>
    </w:pPr>
    <w:rPr>
      <w:sz w:val="20"/>
      <w:szCs w:val="20"/>
    </w:rPr>
  </w:style>
  <w:style w:type="character" w:customStyle="1" w:styleId="CommentTextChar">
    <w:name w:val="Comment Text Char"/>
    <w:basedOn w:val="DefaultParagraphFont"/>
    <w:link w:val="CommentText"/>
    <w:rsid w:val="006B7BA0"/>
    <w:rPr>
      <w:sz w:val="20"/>
      <w:szCs w:val="20"/>
    </w:rPr>
  </w:style>
  <w:style w:type="paragraph" w:styleId="CommentSubject">
    <w:name w:val="annotation subject"/>
    <w:basedOn w:val="CommentText"/>
    <w:next w:val="CommentText"/>
    <w:link w:val="CommentSubjectChar"/>
    <w:uiPriority w:val="99"/>
    <w:semiHidden/>
    <w:unhideWhenUsed/>
    <w:rsid w:val="006B7BA0"/>
    <w:rPr>
      <w:b/>
      <w:bCs/>
    </w:rPr>
  </w:style>
  <w:style w:type="character" w:customStyle="1" w:styleId="CommentSubjectChar">
    <w:name w:val="Comment Subject Char"/>
    <w:basedOn w:val="CommentTextChar"/>
    <w:link w:val="CommentSubject"/>
    <w:uiPriority w:val="99"/>
    <w:semiHidden/>
    <w:rsid w:val="006B7BA0"/>
    <w:rPr>
      <w:b/>
      <w:bCs/>
      <w:sz w:val="20"/>
      <w:szCs w:val="20"/>
    </w:rPr>
  </w:style>
  <w:style w:type="paragraph" w:styleId="Revision">
    <w:name w:val="Revision"/>
    <w:hidden/>
    <w:uiPriority w:val="99"/>
    <w:semiHidden/>
    <w:rsid w:val="00624018"/>
    <w:rPr>
      <w:sz w:val="22"/>
      <w:szCs w:val="22"/>
      <w:lang w:val="es-ES" w:eastAsia="en-US"/>
    </w:rPr>
  </w:style>
  <w:style w:type="paragraph" w:styleId="FootnoteText">
    <w:name w:val="footnote text"/>
    <w:basedOn w:val="Normal"/>
    <w:link w:val="FootnoteTextChar"/>
    <w:uiPriority w:val="99"/>
    <w:unhideWhenUsed/>
    <w:rsid w:val="00B8118E"/>
    <w:pPr>
      <w:spacing w:after="0" w:line="240" w:lineRule="auto"/>
    </w:pPr>
    <w:rPr>
      <w:sz w:val="20"/>
      <w:szCs w:val="20"/>
      <w:lang w:val="es-CR"/>
    </w:rPr>
  </w:style>
  <w:style w:type="character" w:customStyle="1" w:styleId="FootnoteTextChar">
    <w:name w:val="Footnote Text Char"/>
    <w:basedOn w:val="DefaultParagraphFont"/>
    <w:link w:val="FootnoteText"/>
    <w:uiPriority w:val="99"/>
    <w:rsid w:val="00B8118E"/>
    <w:rPr>
      <w:sz w:val="20"/>
      <w:szCs w:val="20"/>
      <w:lang w:val="es-CR"/>
    </w:rPr>
  </w:style>
  <w:style w:type="character" w:styleId="FootnoteReference">
    <w:name w:val="footnote reference"/>
    <w:basedOn w:val="DefaultParagraphFont"/>
    <w:uiPriority w:val="99"/>
    <w:unhideWhenUsed/>
    <w:rsid w:val="00B8118E"/>
    <w:rPr>
      <w:vertAlign w:val="superscript"/>
    </w:rPr>
  </w:style>
  <w:style w:type="paragraph" w:styleId="Header">
    <w:name w:val="header"/>
    <w:basedOn w:val="Normal"/>
    <w:link w:val="HeaderChar"/>
    <w:uiPriority w:val="99"/>
    <w:unhideWhenUsed/>
    <w:rsid w:val="0049474C"/>
    <w:pPr>
      <w:tabs>
        <w:tab w:val="center" w:pos="4419"/>
        <w:tab w:val="right" w:pos="8838"/>
      </w:tabs>
      <w:spacing w:after="0" w:line="240" w:lineRule="auto"/>
    </w:pPr>
  </w:style>
  <w:style w:type="character" w:customStyle="1" w:styleId="HeaderChar">
    <w:name w:val="Header Char"/>
    <w:basedOn w:val="DefaultParagraphFont"/>
    <w:link w:val="Header"/>
    <w:uiPriority w:val="99"/>
    <w:rsid w:val="0049474C"/>
  </w:style>
  <w:style w:type="paragraph" w:styleId="Footer">
    <w:name w:val="footer"/>
    <w:basedOn w:val="Normal"/>
    <w:link w:val="FooterChar"/>
    <w:uiPriority w:val="99"/>
    <w:unhideWhenUsed/>
    <w:rsid w:val="0049474C"/>
    <w:pPr>
      <w:tabs>
        <w:tab w:val="center" w:pos="4419"/>
        <w:tab w:val="right" w:pos="8838"/>
      </w:tabs>
      <w:spacing w:after="0" w:line="240" w:lineRule="auto"/>
    </w:pPr>
  </w:style>
  <w:style w:type="character" w:customStyle="1" w:styleId="FooterChar">
    <w:name w:val="Footer Char"/>
    <w:basedOn w:val="DefaultParagraphFont"/>
    <w:link w:val="Footer"/>
    <w:uiPriority w:val="99"/>
    <w:rsid w:val="0049474C"/>
  </w:style>
  <w:style w:type="paragraph" w:styleId="NormalWeb">
    <w:name w:val="Normal (Web)"/>
    <w:basedOn w:val="Normal"/>
    <w:uiPriority w:val="99"/>
    <w:unhideWhenUsed/>
    <w:rsid w:val="00CB61CE"/>
    <w:pPr>
      <w:spacing w:before="100" w:beforeAutospacing="1" w:after="100" w:afterAutospacing="1" w:line="240" w:lineRule="auto"/>
    </w:pPr>
    <w:rPr>
      <w:rFonts w:ascii="Times New Roman" w:eastAsia="Times New Roman" w:hAnsi="Times New Roman"/>
      <w:sz w:val="24"/>
      <w:szCs w:val="24"/>
      <w:lang w:val="es-CR" w:eastAsia="es-CR"/>
    </w:rPr>
  </w:style>
  <w:style w:type="paragraph" w:customStyle="1" w:styleId="Default">
    <w:name w:val="Default"/>
    <w:rsid w:val="00A937BA"/>
    <w:pPr>
      <w:autoSpaceDE w:val="0"/>
      <w:autoSpaceDN w:val="0"/>
      <w:adjustRightInd w:val="0"/>
    </w:pPr>
    <w:rPr>
      <w:rFonts w:ascii="Times New Roman" w:eastAsia="Times New Roman" w:hAnsi="Times New Roman"/>
      <w:color w:val="000000"/>
      <w:sz w:val="24"/>
      <w:szCs w:val="24"/>
      <w:lang w:val="es-CR" w:eastAsia="es-CR"/>
    </w:rPr>
  </w:style>
  <w:style w:type="character" w:styleId="Strong">
    <w:name w:val="Strong"/>
    <w:basedOn w:val="DefaultParagraphFont"/>
    <w:uiPriority w:val="22"/>
    <w:qFormat/>
    <w:rsid w:val="00C405D2"/>
    <w:rPr>
      <w:b/>
      <w:bCs/>
    </w:rPr>
  </w:style>
  <w:style w:type="character" w:customStyle="1" w:styleId="screen-reader-text">
    <w:name w:val="screen-reader-text"/>
    <w:basedOn w:val="DefaultParagraphFont"/>
    <w:rsid w:val="00C405D2"/>
  </w:style>
  <w:style w:type="character" w:customStyle="1" w:styleId="apple-converted-space">
    <w:name w:val="apple-converted-space"/>
    <w:basedOn w:val="DefaultParagraphFont"/>
    <w:rsid w:val="005D3198"/>
  </w:style>
  <w:style w:type="paragraph" w:styleId="BodyText">
    <w:name w:val="Body Text"/>
    <w:basedOn w:val="Normal"/>
    <w:link w:val="BodyTextChar"/>
    <w:uiPriority w:val="99"/>
    <w:unhideWhenUsed/>
    <w:rsid w:val="00805C04"/>
    <w:pPr>
      <w:spacing w:before="100" w:beforeAutospacing="1" w:after="100" w:afterAutospacing="1" w:line="240" w:lineRule="auto"/>
    </w:pPr>
    <w:rPr>
      <w:rFonts w:ascii="Times New Roman" w:eastAsia="Times New Roman" w:hAnsi="Times New Roman"/>
      <w:sz w:val="24"/>
      <w:szCs w:val="24"/>
      <w:lang w:val="es-CR" w:eastAsia="es-CR"/>
    </w:rPr>
  </w:style>
  <w:style w:type="character" w:customStyle="1" w:styleId="BodyTextChar">
    <w:name w:val="Body Text Char"/>
    <w:basedOn w:val="DefaultParagraphFont"/>
    <w:link w:val="BodyText"/>
    <w:uiPriority w:val="99"/>
    <w:rsid w:val="00805C04"/>
    <w:rPr>
      <w:rFonts w:ascii="Times New Roman" w:eastAsia="Times New Roman" w:hAnsi="Times New Roman" w:cs="Times New Roman"/>
      <w:sz w:val="24"/>
      <w:szCs w:val="24"/>
      <w:lang w:val="es-CR" w:eastAsia="es-CR"/>
    </w:rPr>
  </w:style>
  <w:style w:type="character" w:customStyle="1" w:styleId="object">
    <w:name w:val="object"/>
    <w:basedOn w:val="DefaultParagraphFont"/>
    <w:rsid w:val="00805C04"/>
  </w:style>
  <w:style w:type="character" w:styleId="Emphasis">
    <w:name w:val="Emphasis"/>
    <w:basedOn w:val="DefaultParagraphFont"/>
    <w:uiPriority w:val="20"/>
    <w:qFormat/>
    <w:rsid w:val="00526C41"/>
    <w:rPr>
      <w:i/>
      <w:iCs/>
    </w:rPr>
  </w:style>
  <w:style w:type="character" w:customStyle="1" w:styleId="Heading2Char">
    <w:name w:val="Heading 2 Char"/>
    <w:basedOn w:val="DefaultParagraphFont"/>
    <w:link w:val="Heading2"/>
    <w:uiPriority w:val="9"/>
    <w:rsid w:val="001F3AD3"/>
    <w:rPr>
      <w:rFonts w:ascii="Times New Roman" w:eastAsia="Times New Roman" w:hAnsi="Times New Roman" w:cs="Times New Roman"/>
      <w:b/>
      <w:bCs/>
      <w:sz w:val="36"/>
      <w:szCs w:val="36"/>
      <w:lang w:val="es-CR" w:eastAsia="es-CR"/>
    </w:rPr>
  </w:style>
  <w:style w:type="character" w:customStyle="1" w:styleId="zmsearchresult">
    <w:name w:val="zmsearchresult"/>
    <w:rsid w:val="00F64998"/>
  </w:style>
  <w:style w:type="paragraph" w:styleId="HTMLPreformatted">
    <w:name w:val="HTML Preformatted"/>
    <w:basedOn w:val="Normal"/>
    <w:link w:val="HTMLPreformattedChar"/>
    <w:unhideWhenUsed/>
    <w:rsid w:val="00521A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R" w:eastAsia="es-CR"/>
    </w:rPr>
  </w:style>
  <w:style w:type="character" w:customStyle="1" w:styleId="HTMLPreformattedChar">
    <w:name w:val="HTML Preformatted Char"/>
    <w:basedOn w:val="DefaultParagraphFont"/>
    <w:link w:val="HTMLPreformatted"/>
    <w:uiPriority w:val="99"/>
    <w:rsid w:val="00521ABB"/>
    <w:rPr>
      <w:rFonts w:ascii="Courier New" w:eastAsia="Times New Roman" w:hAnsi="Courier New" w:cs="Courier New"/>
      <w:sz w:val="20"/>
      <w:szCs w:val="20"/>
      <w:lang w:val="es-CR" w:eastAsia="es-CR"/>
    </w:rPr>
  </w:style>
  <w:style w:type="character" w:customStyle="1" w:styleId="Heading1Char">
    <w:name w:val="Heading 1 Char"/>
    <w:basedOn w:val="DefaultParagraphFont"/>
    <w:link w:val="Heading1"/>
    <w:uiPriority w:val="9"/>
    <w:rsid w:val="003E29E3"/>
    <w:rPr>
      <w:rFonts w:ascii="Calibri Light" w:eastAsia="Times New Roman" w:hAnsi="Calibri Light" w:cs="Times New Roman"/>
      <w:color w:val="2E74B5"/>
      <w:sz w:val="32"/>
      <w:szCs w:val="32"/>
    </w:rPr>
  </w:style>
  <w:style w:type="character" w:customStyle="1" w:styleId="ListParagraphChar">
    <w:name w:val="List Paragraph Char"/>
    <w:link w:val="ListParagraph"/>
    <w:uiPriority w:val="34"/>
    <w:rsid w:val="003E29E3"/>
  </w:style>
  <w:style w:type="paragraph" w:styleId="NoSpacing">
    <w:name w:val="No Spacing"/>
    <w:link w:val="NoSpacingChar"/>
    <w:uiPriority w:val="1"/>
    <w:qFormat/>
    <w:rsid w:val="003E29E3"/>
    <w:rPr>
      <w:sz w:val="22"/>
      <w:szCs w:val="22"/>
      <w:lang w:val="es-CR" w:eastAsia="en-US"/>
    </w:rPr>
  </w:style>
  <w:style w:type="character" w:customStyle="1" w:styleId="NoSpacingChar">
    <w:name w:val="No Spacing Char"/>
    <w:basedOn w:val="DefaultParagraphFont"/>
    <w:link w:val="NoSpacing"/>
    <w:uiPriority w:val="1"/>
    <w:rsid w:val="003E29E3"/>
    <w:rPr>
      <w:sz w:val="22"/>
      <w:szCs w:val="22"/>
      <w:lang w:val="es-CR" w:eastAsia="en-US" w:bidi="ar-SA"/>
    </w:rPr>
  </w:style>
  <w:style w:type="paragraph" w:customStyle="1" w:styleId="yiv1018153416msonormal">
    <w:name w:val="yiv1018153416msonormal"/>
    <w:basedOn w:val="Normal"/>
    <w:rsid w:val="00505929"/>
    <w:pPr>
      <w:spacing w:before="100" w:beforeAutospacing="1" w:after="100" w:afterAutospacing="1" w:line="240" w:lineRule="auto"/>
    </w:pPr>
    <w:rPr>
      <w:rFonts w:ascii="Times New Roman" w:eastAsia="Times New Roman" w:hAnsi="Times New Roman"/>
      <w:sz w:val="24"/>
      <w:szCs w:val="24"/>
      <w:lang w:val="en-US"/>
    </w:rPr>
  </w:style>
  <w:style w:type="table" w:styleId="LightList-Accent3">
    <w:name w:val="Light List Accent 3"/>
    <w:basedOn w:val="TableNormal"/>
    <w:uiPriority w:val="61"/>
    <w:rsid w:val="00264EF4"/>
    <w:rPr>
      <w:rFonts w:eastAsia="Times New Roman"/>
      <w:lang w:val="es-CR" w:eastAsia="es-CR"/>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Car">
    <w:name w:val="Car"/>
    <w:basedOn w:val="Normal"/>
    <w:semiHidden/>
    <w:rsid w:val="00210A49"/>
    <w:pPr>
      <w:spacing w:line="240" w:lineRule="exact"/>
    </w:pPr>
    <w:rPr>
      <w:rFonts w:ascii="Verdana" w:eastAsia="Times New Roman" w:hAnsi="Verdana"/>
      <w:sz w:val="20"/>
      <w:szCs w:val="21"/>
      <w:lang w:val="en-AU"/>
    </w:rPr>
  </w:style>
  <w:style w:type="paragraph" w:customStyle="1" w:styleId="Pa7">
    <w:name w:val="Pa7"/>
    <w:basedOn w:val="Default"/>
    <w:next w:val="Default"/>
    <w:uiPriority w:val="99"/>
    <w:rsid w:val="00B00D0C"/>
    <w:pPr>
      <w:spacing w:line="241" w:lineRule="atLeast"/>
    </w:pPr>
    <w:rPr>
      <w:rFonts w:ascii="Futura LT" w:hAnsi="Futura LT"/>
      <w:color w:val="auto"/>
      <w:lang w:eastAsia="en-US"/>
    </w:rPr>
  </w:style>
  <w:style w:type="paragraph" w:customStyle="1" w:styleId="Pa9">
    <w:name w:val="Pa9"/>
    <w:basedOn w:val="Default"/>
    <w:next w:val="Default"/>
    <w:uiPriority w:val="99"/>
    <w:rsid w:val="00B00D0C"/>
    <w:pPr>
      <w:spacing w:line="201" w:lineRule="atLeast"/>
    </w:pPr>
    <w:rPr>
      <w:rFonts w:ascii="Futura LT" w:hAnsi="Futura LT"/>
      <w:color w:val="auto"/>
      <w:lang w:eastAsia="en-US"/>
    </w:rPr>
  </w:style>
  <w:style w:type="character" w:customStyle="1" w:styleId="spelle">
    <w:name w:val="spelle"/>
    <w:basedOn w:val="DefaultParagraphFont"/>
    <w:rsid w:val="009C43D6"/>
  </w:style>
  <w:style w:type="paragraph" w:customStyle="1" w:styleId="pa14">
    <w:name w:val="pa14"/>
    <w:basedOn w:val="Normal"/>
    <w:rsid w:val="006B13AF"/>
    <w:pPr>
      <w:spacing w:before="100" w:beforeAutospacing="1" w:after="100" w:afterAutospacing="1" w:line="240" w:lineRule="auto"/>
    </w:pPr>
    <w:rPr>
      <w:rFonts w:ascii="Times New Roman" w:eastAsia="Times New Roman" w:hAnsi="Times New Roman"/>
      <w:sz w:val="24"/>
      <w:szCs w:val="24"/>
      <w:lang w:val="es-CR" w:eastAsia="es-CR"/>
    </w:rPr>
  </w:style>
  <w:style w:type="paragraph" w:customStyle="1" w:styleId="pa5">
    <w:name w:val="pa5"/>
    <w:basedOn w:val="Normal"/>
    <w:rsid w:val="006B13AF"/>
    <w:pPr>
      <w:spacing w:before="100" w:beforeAutospacing="1" w:after="100" w:afterAutospacing="1" w:line="240" w:lineRule="auto"/>
    </w:pPr>
    <w:rPr>
      <w:rFonts w:ascii="Times New Roman" w:eastAsia="Times New Roman" w:hAnsi="Times New Roman"/>
      <w:sz w:val="24"/>
      <w:szCs w:val="24"/>
      <w:lang w:val="es-CR" w:eastAsia="es-CR"/>
    </w:rPr>
  </w:style>
  <w:style w:type="paragraph" w:customStyle="1" w:styleId="pa4">
    <w:name w:val="pa4"/>
    <w:basedOn w:val="Normal"/>
    <w:rsid w:val="006B13AF"/>
    <w:pPr>
      <w:spacing w:before="100" w:beforeAutospacing="1" w:after="100" w:afterAutospacing="1" w:line="240" w:lineRule="auto"/>
    </w:pPr>
    <w:rPr>
      <w:rFonts w:ascii="Times New Roman" w:eastAsia="Times New Roman" w:hAnsi="Times New Roman"/>
      <w:sz w:val="24"/>
      <w:szCs w:val="24"/>
      <w:lang w:val="es-CR" w:eastAsia="es-CR"/>
    </w:rPr>
  </w:style>
  <w:style w:type="paragraph" w:styleId="PlainText">
    <w:name w:val="Plain Text"/>
    <w:basedOn w:val="Normal"/>
    <w:link w:val="PlainTextChar"/>
    <w:uiPriority w:val="99"/>
    <w:unhideWhenUsed/>
    <w:rsid w:val="00095042"/>
    <w:pPr>
      <w:spacing w:after="0" w:line="240" w:lineRule="auto"/>
    </w:pPr>
    <w:rPr>
      <w:rFonts w:ascii="Consolas" w:hAnsi="Consolas"/>
      <w:sz w:val="21"/>
      <w:szCs w:val="21"/>
      <w:lang w:val="es-CR"/>
    </w:rPr>
  </w:style>
  <w:style w:type="character" w:customStyle="1" w:styleId="PlainTextChar">
    <w:name w:val="Plain Text Char"/>
    <w:basedOn w:val="DefaultParagraphFont"/>
    <w:link w:val="PlainText"/>
    <w:uiPriority w:val="99"/>
    <w:rsid w:val="00095042"/>
    <w:rPr>
      <w:rFonts w:ascii="Consolas" w:eastAsia="Calibri" w:hAnsi="Consolas" w:cs="Times New Roman"/>
      <w:sz w:val="21"/>
      <w:szCs w:val="21"/>
      <w:lang w:val="es-CR"/>
    </w:rPr>
  </w:style>
  <w:style w:type="paragraph" w:customStyle="1" w:styleId="Car1">
    <w:name w:val="Car1"/>
    <w:basedOn w:val="Normal"/>
    <w:semiHidden/>
    <w:rsid w:val="0044588D"/>
    <w:pPr>
      <w:spacing w:line="240" w:lineRule="exact"/>
    </w:pPr>
    <w:rPr>
      <w:rFonts w:ascii="Verdana" w:eastAsia="Times New Roman" w:hAnsi="Verdana"/>
      <w:sz w:val="20"/>
      <w:szCs w:val="21"/>
      <w:lang w:val="en-AU"/>
    </w:rPr>
  </w:style>
  <w:style w:type="paragraph" w:customStyle="1" w:styleId="CuerpoA">
    <w:name w:val="Cuerpo A"/>
    <w:rsid w:val="00C55319"/>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ES_tradnl" w:eastAsia="es-CR"/>
    </w:rPr>
  </w:style>
  <w:style w:type="character" w:customStyle="1" w:styleId="Ninguno">
    <w:name w:val="Ninguno"/>
    <w:rsid w:val="00C55319"/>
    <w:rPr>
      <w:lang w:val="es-ES_tradnl"/>
    </w:rPr>
  </w:style>
  <w:style w:type="paragraph" w:customStyle="1" w:styleId="Body1">
    <w:name w:val="Body 1"/>
    <w:rsid w:val="00F446FD"/>
    <w:pPr>
      <w:outlineLvl w:val="0"/>
    </w:pPr>
    <w:rPr>
      <w:rFonts w:ascii="Times New Roman" w:eastAsia="Arial Unicode MS" w:hAnsi="Times New Roman"/>
      <w:color w:val="000000"/>
      <w:sz w:val="24"/>
      <w:u w:color="000000"/>
      <w:lang w:val="en-US" w:eastAsia="en-US"/>
    </w:rPr>
  </w:style>
  <w:style w:type="table" w:customStyle="1" w:styleId="GridTable4Accent1">
    <w:name w:val="Grid Table 4 Accent 1"/>
    <w:basedOn w:val="TableNormal"/>
    <w:uiPriority w:val="49"/>
    <w:rsid w:val="00C7429A"/>
    <w:rPr>
      <w:lang w:val="es-CR"/>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5DarkAccent5">
    <w:name w:val="Grid Table 5 Dark Accent 5"/>
    <w:basedOn w:val="TableNormal"/>
    <w:uiPriority w:val="50"/>
    <w:rsid w:val="00337831"/>
    <w:rPr>
      <w:lang w:val="es-CR"/>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paragraph" w:customStyle="1" w:styleId="SingleTxtG">
    <w:name w:val="_ Single Txt_G"/>
    <w:basedOn w:val="Normal"/>
    <w:rsid w:val="00337831"/>
    <w:pPr>
      <w:spacing w:after="120" w:line="240" w:lineRule="atLeast"/>
      <w:ind w:left="1134" w:right="1134"/>
      <w:jc w:val="both"/>
    </w:pPr>
    <w:rPr>
      <w:rFonts w:ascii="Times New Roman" w:eastAsia="Times New Roman" w:hAnsi="Times New Roman"/>
      <w:sz w:val="20"/>
      <w:szCs w:val="20"/>
      <w:lang w:eastAsia="es-ES"/>
    </w:rPr>
  </w:style>
  <w:style w:type="paragraph" w:styleId="TOCHeading">
    <w:name w:val="TOC Heading"/>
    <w:basedOn w:val="Heading1"/>
    <w:next w:val="Normal"/>
    <w:uiPriority w:val="39"/>
    <w:unhideWhenUsed/>
    <w:qFormat/>
    <w:rsid w:val="00DB3DD2"/>
    <w:pPr>
      <w:spacing w:before="480" w:line="276" w:lineRule="auto"/>
      <w:outlineLvl w:val="9"/>
    </w:pPr>
    <w:rPr>
      <w:b/>
      <w:bCs/>
      <w:sz w:val="28"/>
      <w:szCs w:val="28"/>
      <w:lang w:val="fr-FR"/>
    </w:rPr>
  </w:style>
  <w:style w:type="paragraph" w:styleId="TOC2">
    <w:name w:val="toc 2"/>
    <w:basedOn w:val="Normal"/>
    <w:next w:val="Normal"/>
    <w:autoRedefine/>
    <w:uiPriority w:val="39"/>
    <w:unhideWhenUsed/>
    <w:qFormat/>
    <w:rsid w:val="00DB3DD2"/>
    <w:pPr>
      <w:spacing w:after="100" w:line="276" w:lineRule="auto"/>
      <w:ind w:left="220"/>
    </w:pPr>
    <w:rPr>
      <w:rFonts w:eastAsia="Times New Roman"/>
      <w:lang w:val="fr-FR"/>
    </w:rPr>
  </w:style>
  <w:style w:type="paragraph" w:styleId="TOC1">
    <w:name w:val="toc 1"/>
    <w:basedOn w:val="Normal"/>
    <w:next w:val="Normal"/>
    <w:autoRedefine/>
    <w:uiPriority w:val="39"/>
    <w:unhideWhenUsed/>
    <w:qFormat/>
    <w:rsid w:val="001E6E21"/>
    <w:pPr>
      <w:tabs>
        <w:tab w:val="left" w:pos="440"/>
        <w:tab w:val="right" w:leader="dot" w:pos="9629"/>
      </w:tabs>
      <w:spacing w:after="100" w:line="276" w:lineRule="auto"/>
    </w:pPr>
    <w:rPr>
      <w:rFonts w:eastAsia="Times New Roman"/>
      <w:lang w:val="fr-FR"/>
    </w:rPr>
  </w:style>
  <w:style w:type="paragraph" w:styleId="TOC3">
    <w:name w:val="toc 3"/>
    <w:basedOn w:val="Normal"/>
    <w:next w:val="Normal"/>
    <w:autoRedefine/>
    <w:uiPriority w:val="39"/>
    <w:unhideWhenUsed/>
    <w:qFormat/>
    <w:rsid w:val="00DB3DD2"/>
    <w:pPr>
      <w:spacing w:after="100" w:line="276" w:lineRule="auto"/>
      <w:ind w:left="440"/>
    </w:pPr>
    <w:rPr>
      <w:rFonts w:eastAsia="Times New Roman"/>
      <w:lang w:val="fr-FR"/>
    </w:rPr>
  </w:style>
  <w:style w:type="paragraph" w:customStyle="1" w:styleId="mce">
    <w:name w:val="mce"/>
    <w:basedOn w:val="Normal"/>
    <w:rsid w:val="00CA2D1B"/>
    <w:pPr>
      <w:spacing w:before="100" w:beforeAutospacing="1" w:after="100" w:afterAutospacing="1" w:line="240" w:lineRule="auto"/>
    </w:pPr>
    <w:rPr>
      <w:rFonts w:ascii="Times New Roman" w:eastAsia="Times New Roman" w:hAnsi="Times New Roman"/>
      <w:sz w:val="24"/>
      <w:szCs w:val="24"/>
      <w:lang w:val="es-CR" w:eastAsia="es-CR"/>
    </w:rPr>
  </w:style>
  <w:style w:type="character" w:customStyle="1" w:styleId="Heading3Char">
    <w:name w:val="Heading 3 Char"/>
    <w:basedOn w:val="DefaultParagraphFont"/>
    <w:link w:val="Heading3"/>
    <w:uiPriority w:val="9"/>
    <w:rsid w:val="00C31B03"/>
    <w:rPr>
      <w:rFonts w:ascii="Calibri Light" w:eastAsia="Times New Roman" w:hAnsi="Calibri Light" w:cs="Times New Roman"/>
      <w:b/>
      <w:bCs/>
      <w:color w:val="5B9BD5"/>
    </w:rPr>
  </w:style>
  <w:style w:type="paragraph" w:styleId="TOC4">
    <w:name w:val="toc 4"/>
    <w:basedOn w:val="Normal"/>
    <w:next w:val="Normal"/>
    <w:autoRedefine/>
    <w:uiPriority w:val="39"/>
    <w:unhideWhenUsed/>
    <w:rsid w:val="00EA525B"/>
    <w:pPr>
      <w:spacing w:after="100" w:line="276" w:lineRule="auto"/>
      <w:ind w:left="660"/>
    </w:pPr>
    <w:rPr>
      <w:rFonts w:eastAsia="Times New Roman"/>
      <w:lang w:val="fr-CH" w:eastAsia="fr-CH"/>
    </w:rPr>
  </w:style>
  <w:style w:type="paragraph" w:styleId="TOC5">
    <w:name w:val="toc 5"/>
    <w:basedOn w:val="Normal"/>
    <w:next w:val="Normal"/>
    <w:autoRedefine/>
    <w:uiPriority w:val="39"/>
    <w:unhideWhenUsed/>
    <w:rsid w:val="00EA525B"/>
    <w:pPr>
      <w:spacing w:after="100" w:line="276" w:lineRule="auto"/>
      <w:ind w:left="880"/>
    </w:pPr>
    <w:rPr>
      <w:rFonts w:eastAsia="Times New Roman"/>
      <w:lang w:val="fr-CH" w:eastAsia="fr-CH"/>
    </w:rPr>
  </w:style>
  <w:style w:type="paragraph" w:styleId="TOC6">
    <w:name w:val="toc 6"/>
    <w:basedOn w:val="Normal"/>
    <w:next w:val="Normal"/>
    <w:autoRedefine/>
    <w:uiPriority w:val="39"/>
    <w:unhideWhenUsed/>
    <w:rsid w:val="00EA525B"/>
    <w:pPr>
      <w:spacing w:after="100" w:line="276" w:lineRule="auto"/>
      <w:ind w:left="1100"/>
    </w:pPr>
    <w:rPr>
      <w:rFonts w:eastAsia="Times New Roman"/>
      <w:lang w:val="fr-CH" w:eastAsia="fr-CH"/>
    </w:rPr>
  </w:style>
  <w:style w:type="paragraph" w:styleId="TOC7">
    <w:name w:val="toc 7"/>
    <w:basedOn w:val="Normal"/>
    <w:next w:val="Normal"/>
    <w:autoRedefine/>
    <w:uiPriority w:val="39"/>
    <w:unhideWhenUsed/>
    <w:rsid w:val="00EA525B"/>
    <w:pPr>
      <w:spacing w:after="100" w:line="276" w:lineRule="auto"/>
      <w:ind w:left="1320"/>
    </w:pPr>
    <w:rPr>
      <w:rFonts w:eastAsia="Times New Roman"/>
      <w:lang w:val="fr-CH" w:eastAsia="fr-CH"/>
    </w:rPr>
  </w:style>
  <w:style w:type="paragraph" w:styleId="TOC8">
    <w:name w:val="toc 8"/>
    <w:basedOn w:val="Normal"/>
    <w:next w:val="Normal"/>
    <w:autoRedefine/>
    <w:uiPriority w:val="39"/>
    <w:unhideWhenUsed/>
    <w:rsid w:val="00EA525B"/>
    <w:pPr>
      <w:spacing w:after="100" w:line="276" w:lineRule="auto"/>
      <w:ind w:left="1540"/>
    </w:pPr>
    <w:rPr>
      <w:rFonts w:eastAsia="Times New Roman"/>
      <w:lang w:val="fr-CH" w:eastAsia="fr-CH"/>
    </w:rPr>
  </w:style>
  <w:style w:type="paragraph" w:styleId="TOC9">
    <w:name w:val="toc 9"/>
    <w:basedOn w:val="Normal"/>
    <w:next w:val="Normal"/>
    <w:autoRedefine/>
    <w:uiPriority w:val="39"/>
    <w:unhideWhenUsed/>
    <w:rsid w:val="00EA525B"/>
    <w:pPr>
      <w:spacing w:after="100" w:line="276" w:lineRule="auto"/>
      <w:ind w:left="1760"/>
    </w:pPr>
    <w:rPr>
      <w:rFonts w:eastAsia="Times New Roman"/>
      <w:lang w:val="fr-CH" w:eastAsia="fr-CH"/>
    </w:rPr>
  </w:style>
  <w:style w:type="character" w:customStyle="1" w:styleId="object5">
    <w:name w:val="object5"/>
    <w:basedOn w:val="DefaultParagraphFont"/>
    <w:rsid w:val="00335D05"/>
  </w:style>
  <w:style w:type="character" w:customStyle="1" w:styleId="zmsearchresult4">
    <w:name w:val="zmsearchresult4"/>
    <w:basedOn w:val="DefaultParagraphFont"/>
    <w:rsid w:val="00335D05"/>
  </w:style>
  <w:style w:type="character" w:customStyle="1" w:styleId="zmsearchresult6">
    <w:name w:val="zmsearchresult6"/>
    <w:basedOn w:val="DefaultParagraphFont"/>
    <w:rsid w:val="00335D05"/>
  </w:style>
  <w:style w:type="character" w:customStyle="1" w:styleId="object7">
    <w:name w:val="object7"/>
    <w:basedOn w:val="DefaultParagraphFont"/>
    <w:rsid w:val="00335D05"/>
  </w:style>
  <w:style w:type="character" w:customStyle="1" w:styleId="zmsearchresult8">
    <w:name w:val="zmsearchresult8"/>
    <w:basedOn w:val="DefaultParagraphFont"/>
    <w:rsid w:val="00335D05"/>
  </w:style>
  <w:style w:type="table" w:customStyle="1" w:styleId="Tramemoyenne11">
    <w:name w:val="Trame moyenne 11"/>
    <w:basedOn w:val="TableNormal"/>
    <w:uiPriority w:val="63"/>
    <w:rsid w:val="00737257"/>
    <w:rPr>
      <w:rFonts w:asciiTheme="minorHAnsi" w:eastAsiaTheme="minorEastAsia" w:hAnsiTheme="minorHAnsi" w:cstheme="minorBidi"/>
      <w:sz w:val="24"/>
      <w:szCs w:val="24"/>
      <w:lang w:val="es-ES" w:eastAsia="en-US"/>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s>
</file>

<file path=word/webSettings.xml><?xml version="1.0" encoding="utf-8"?>
<w:webSettings xmlns:r="http://schemas.openxmlformats.org/officeDocument/2006/relationships" xmlns:w="http://schemas.openxmlformats.org/wordprocessingml/2006/main">
  <w:divs>
    <w:div w:id="113252855">
      <w:bodyDiv w:val="1"/>
      <w:marLeft w:val="0"/>
      <w:marRight w:val="0"/>
      <w:marTop w:val="0"/>
      <w:marBottom w:val="0"/>
      <w:divBdr>
        <w:top w:val="none" w:sz="0" w:space="0" w:color="auto"/>
        <w:left w:val="none" w:sz="0" w:space="0" w:color="auto"/>
        <w:bottom w:val="none" w:sz="0" w:space="0" w:color="auto"/>
        <w:right w:val="none" w:sz="0" w:space="0" w:color="auto"/>
      </w:divBdr>
    </w:div>
    <w:div w:id="157382467">
      <w:bodyDiv w:val="1"/>
      <w:marLeft w:val="0"/>
      <w:marRight w:val="0"/>
      <w:marTop w:val="0"/>
      <w:marBottom w:val="0"/>
      <w:divBdr>
        <w:top w:val="none" w:sz="0" w:space="0" w:color="auto"/>
        <w:left w:val="none" w:sz="0" w:space="0" w:color="auto"/>
        <w:bottom w:val="none" w:sz="0" w:space="0" w:color="auto"/>
        <w:right w:val="none" w:sz="0" w:space="0" w:color="auto"/>
      </w:divBdr>
    </w:div>
    <w:div w:id="192691744">
      <w:bodyDiv w:val="1"/>
      <w:marLeft w:val="0"/>
      <w:marRight w:val="0"/>
      <w:marTop w:val="0"/>
      <w:marBottom w:val="0"/>
      <w:divBdr>
        <w:top w:val="none" w:sz="0" w:space="0" w:color="auto"/>
        <w:left w:val="none" w:sz="0" w:space="0" w:color="auto"/>
        <w:bottom w:val="none" w:sz="0" w:space="0" w:color="auto"/>
        <w:right w:val="none" w:sz="0" w:space="0" w:color="auto"/>
      </w:divBdr>
    </w:div>
    <w:div w:id="320626522">
      <w:bodyDiv w:val="1"/>
      <w:marLeft w:val="0"/>
      <w:marRight w:val="0"/>
      <w:marTop w:val="0"/>
      <w:marBottom w:val="0"/>
      <w:divBdr>
        <w:top w:val="none" w:sz="0" w:space="0" w:color="auto"/>
        <w:left w:val="none" w:sz="0" w:space="0" w:color="auto"/>
        <w:bottom w:val="none" w:sz="0" w:space="0" w:color="auto"/>
        <w:right w:val="none" w:sz="0" w:space="0" w:color="auto"/>
      </w:divBdr>
      <w:divsChild>
        <w:div w:id="1708522">
          <w:marLeft w:val="0"/>
          <w:marRight w:val="0"/>
          <w:marTop w:val="0"/>
          <w:marBottom w:val="0"/>
          <w:divBdr>
            <w:top w:val="none" w:sz="0" w:space="0" w:color="auto"/>
            <w:left w:val="none" w:sz="0" w:space="0" w:color="auto"/>
            <w:bottom w:val="none" w:sz="0" w:space="0" w:color="auto"/>
            <w:right w:val="none" w:sz="0" w:space="0" w:color="auto"/>
          </w:divBdr>
        </w:div>
        <w:div w:id="78604531">
          <w:marLeft w:val="0"/>
          <w:marRight w:val="0"/>
          <w:marTop w:val="0"/>
          <w:marBottom w:val="0"/>
          <w:divBdr>
            <w:top w:val="none" w:sz="0" w:space="0" w:color="auto"/>
            <w:left w:val="none" w:sz="0" w:space="0" w:color="auto"/>
            <w:bottom w:val="none" w:sz="0" w:space="0" w:color="auto"/>
            <w:right w:val="none" w:sz="0" w:space="0" w:color="auto"/>
          </w:divBdr>
        </w:div>
        <w:div w:id="87777615">
          <w:marLeft w:val="0"/>
          <w:marRight w:val="0"/>
          <w:marTop w:val="0"/>
          <w:marBottom w:val="0"/>
          <w:divBdr>
            <w:top w:val="none" w:sz="0" w:space="0" w:color="auto"/>
            <w:left w:val="none" w:sz="0" w:space="0" w:color="auto"/>
            <w:bottom w:val="none" w:sz="0" w:space="0" w:color="auto"/>
            <w:right w:val="none" w:sz="0" w:space="0" w:color="auto"/>
          </w:divBdr>
        </w:div>
        <w:div w:id="111091898">
          <w:marLeft w:val="0"/>
          <w:marRight w:val="0"/>
          <w:marTop w:val="0"/>
          <w:marBottom w:val="0"/>
          <w:divBdr>
            <w:top w:val="none" w:sz="0" w:space="0" w:color="auto"/>
            <w:left w:val="none" w:sz="0" w:space="0" w:color="auto"/>
            <w:bottom w:val="none" w:sz="0" w:space="0" w:color="auto"/>
            <w:right w:val="none" w:sz="0" w:space="0" w:color="auto"/>
          </w:divBdr>
        </w:div>
        <w:div w:id="135802232">
          <w:marLeft w:val="0"/>
          <w:marRight w:val="0"/>
          <w:marTop w:val="0"/>
          <w:marBottom w:val="0"/>
          <w:divBdr>
            <w:top w:val="none" w:sz="0" w:space="0" w:color="auto"/>
            <w:left w:val="none" w:sz="0" w:space="0" w:color="auto"/>
            <w:bottom w:val="none" w:sz="0" w:space="0" w:color="auto"/>
            <w:right w:val="none" w:sz="0" w:space="0" w:color="auto"/>
          </w:divBdr>
          <w:divsChild>
            <w:div w:id="1551654378">
              <w:marLeft w:val="0"/>
              <w:marRight w:val="0"/>
              <w:marTop w:val="0"/>
              <w:marBottom w:val="0"/>
              <w:divBdr>
                <w:top w:val="none" w:sz="0" w:space="0" w:color="auto"/>
                <w:left w:val="none" w:sz="0" w:space="0" w:color="auto"/>
                <w:bottom w:val="none" w:sz="0" w:space="0" w:color="auto"/>
                <w:right w:val="none" w:sz="0" w:space="0" w:color="auto"/>
              </w:divBdr>
            </w:div>
          </w:divsChild>
        </w:div>
        <w:div w:id="296689147">
          <w:marLeft w:val="0"/>
          <w:marRight w:val="0"/>
          <w:marTop w:val="0"/>
          <w:marBottom w:val="0"/>
          <w:divBdr>
            <w:top w:val="none" w:sz="0" w:space="0" w:color="auto"/>
            <w:left w:val="none" w:sz="0" w:space="0" w:color="auto"/>
            <w:bottom w:val="none" w:sz="0" w:space="0" w:color="auto"/>
            <w:right w:val="none" w:sz="0" w:space="0" w:color="auto"/>
          </w:divBdr>
        </w:div>
        <w:div w:id="340935591">
          <w:marLeft w:val="0"/>
          <w:marRight w:val="0"/>
          <w:marTop w:val="0"/>
          <w:marBottom w:val="0"/>
          <w:divBdr>
            <w:top w:val="none" w:sz="0" w:space="0" w:color="auto"/>
            <w:left w:val="none" w:sz="0" w:space="0" w:color="auto"/>
            <w:bottom w:val="none" w:sz="0" w:space="0" w:color="auto"/>
            <w:right w:val="none" w:sz="0" w:space="0" w:color="auto"/>
          </w:divBdr>
        </w:div>
        <w:div w:id="611284762">
          <w:marLeft w:val="0"/>
          <w:marRight w:val="0"/>
          <w:marTop w:val="0"/>
          <w:marBottom w:val="0"/>
          <w:divBdr>
            <w:top w:val="none" w:sz="0" w:space="0" w:color="auto"/>
            <w:left w:val="none" w:sz="0" w:space="0" w:color="auto"/>
            <w:bottom w:val="none" w:sz="0" w:space="0" w:color="auto"/>
            <w:right w:val="none" w:sz="0" w:space="0" w:color="auto"/>
          </w:divBdr>
        </w:div>
        <w:div w:id="694427168">
          <w:marLeft w:val="0"/>
          <w:marRight w:val="0"/>
          <w:marTop w:val="0"/>
          <w:marBottom w:val="0"/>
          <w:divBdr>
            <w:top w:val="none" w:sz="0" w:space="0" w:color="auto"/>
            <w:left w:val="none" w:sz="0" w:space="0" w:color="auto"/>
            <w:bottom w:val="none" w:sz="0" w:space="0" w:color="auto"/>
            <w:right w:val="none" w:sz="0" w:space="0" w:color="auto"/>
          </w:divBdr>
        </w:div>
        <w:div w:id="1148129887">
          <w:marLeft w:val="0"/>
          <w:marRight w:val="0"/>
          <w:marTop w:val="0"/>
          <w:marBottom w:val="0"/>
          <w:divBdr>
            <w:top w:val="none" w:sz="0" w:space="0" w:color="auto"/>
            <w:left w:val="none" w:sz="0" w:space="0" w:color="auto"/>
            <w:bottom w:val="none" w:sz="0" w:space="0" w:color="auto"/>
            <w:right w:val="none" w:sz="0" w:space="0" w:color="auto"/>
          </w:divBdr>
        </w:div>
        <w:div w:id="1199470104">
          <w:marLeft w:val="0"/>
          <w:marRight w:val="0"/>
          <w:marTop w:val="0"/>
          <w:marBottom w:val="0"/>
          <w:divBdr>
            <w:top w:val="none" w:sz="0" w:space="0" w:color="auto"/>
            <w:left w:val="none" w:sz="0" w:space="0" w:color="auto"/>
            <w:bottom w:val="none" w:sz="0" w:space="0" w:color="auto"/>
            <w:right w:val="none" w:sz="0" w:space="0" w:color="auto"/>
          </w:divBdr>
        </w:div>
        <w:div w:id="1220745348">
          <w:marLeft w:val="0"/>
          <w:marRight w:val="0"/>
          <w:marTop w:val="0"/>
          <w:marBottom w:val="0"/>
          <w:divBdr>
            <w:top w:val="none" w:sz="0" w:space="0" w:color="auto"/>
            <w:left w:val="none" w:sz="0" w:space="0" w:color="auto"/>
            <w:bottom w:val="none" w:sz="0" w:space="0" w:color="auto"/>
            <w:right w:val="none" w:sz="0" w:space="0" w:color="auto"/>
          </w:divBdr>
        </w:div>
        <w:div w:id="1366171839">
          <w:marLeft w:val="0"/>
          <w:marRight w:val="0"/>
          <w:marTop w:val="0"/>
          <w:marBottom w:val="0"/>
          <w:divBdr>
            <w:top w:val="none" w:sz="0" w:space="0" w:color="auto"/>
            <w:left w:val="none" w:sz="0" w:space="0" w:color="auto"/>
            <w:bottom w:val="none" w:sz="0" w:space="0" w:color="auto"/>
            <w:right w:val="none" w:sz="0" w:space="0" w:color="auto"/>
          </w:divBdr>
        </w:div>
        <w:div w:id="1393384458">
          <w:marLeft w:val="0"/>
          <w:marRight w:val="0"/>
          <w:marTop w:val="0"/>
          <w:marBottom w:val="0"/>
          <w:divBdr>
            <w:top w:val="none" w:sz="0" w:space="0" w:color="auto"/>
            <w:left w:val="none" w:sz="0" w:space="0" w:color="auto"/>
            <w:bottom w:val="none" w:sz="0" w:space="0" w:color="auto"/>
            <w:right w:val="none" w:sz="0" w:space="0" w:color="auto"/>
          </w:divBdr>
        </w:div>
        <w:div w:id="1423841178">
          <w:marLeft w:val="0"/>
          <w:marRight w:val="0"/>
          <w:marTop w:val="0"/>
          <w:marBottom w:val="0"/>
          <w:divBdr>
            <w:top w:val="none" w:sz="0" w:space="0" w:color="auto"/>
            <w:left w:val="none" w:sz="0" w:space="0" w:color="auto"/>
            <w:bottom w:val="none" w:sz="0" w:space="0" w:color="auto"/>
            <w:right w:val="none" w:sz="0" w:space="0" w:color="auto"/>
          </w:divBdr>
        </w:div>
        <w:div w:id="1498155249">
          <w:marLeft w:val="0"/>
          <w:marRight w:val="0"/>
          <w:marTop w:val="0"/>
          <w:marBottom w:val="0"/>
          <w:divBdr>
            <w:top w:val="none" w:sz="0" w:space="0" w:color="auto"/>
            <w:left w:val="none" w:sz="0" w:space="0" w:color="auto"/>
            <w:bottom w:val="none" w:sz="0" w:space="0" w:color="auto"/>
            <w:right w:val="none" w:sz="0" w:space="0" w:color="auto"/>
          </w:divBdr>
        </w:div>
        <w:div w:id="1658342218">
          <w:marLeft w:val="0"/>
          <w:marRight w:val="0"/>
          <w:marTop w:val="0"/>
          <w:marBottom w:val="0"/>
          <w:divBdr>
            <w:top w:val="none" w:sz="0" w:space="0" w:color="auto"/>
            <w:left w:val="none" w:sz="0" w:space="0" w:color="auto"/>
            <w:bottom w:val="none" w:sz="0" w:space="0" w:color="auto"/>
            <w:right w:val="none" w:sz="0" w:space="0" w:color="auto"/>
          </w:divBdr>
        </w:div>
        <w:div w:id="2032563270">
          <w:marLeft w:val="0"/>
          <w:marRight w:val="0"/>
          <w:marTop w:val="0"/>
          <w:marBottom w:val="0"/>
          <w:divBdr>
            <w:top w:val="none" w:sz="0" w:space="0" w:color="auto"/>
            <w:left w:val="none" w:sz="0" w:space="0" w:color="auto"/>
            <w:bottom w:val="none" w:sz="0" w:space="0" w:color="auto"/>
            <w:right w:val="none" w:sz="0" w:space="0" w:color="auto"/>
          </w:divBdr>
        </w:div>
      </w:divsChild>
    </w:div>
    <w:div w:id="327750987">
      <w:bodyDiv w:val="1"/>
      <w:marLeft w:val="0"/>
      <w:marRight w:val="0"/>
      <w:marTop w:val="0"/>
      <w:marBottom w:val="0"/>
      <w:divBdr>
        <w:top w:val="none" w:sz="0" w:space="0" w:color="auto"/>
        <w:left w:val="none" w:sz="0" w:space="0" w:color="auto"/>
        <w:bottom w:val="none" w:sz="0" w:space="0" w:color="auto"/>
        <w:right w:val="none" w:sz="0" w:space="0" w:color="auto"/>
      </w:divBdr>
      <w:divsChild>
        <w:div w:id="1458261995">
          <w:marLeft w:val="0"/>
          <w:marRight w:val="0"/>
          <w:marTop w:val="0"/>
          <w:marBottom w:val="0"/>
          <w:divBdr>
            <w:top w:val="none" w:sz="0" w:space="0" w:color="auto"/>
            <w:left w:val="none" w:sz="0" w:space="0" w:color="auto"/>
            <w:bottom w:val="none" w:sz="0" w:space="0" w:color="auto"/>
            <w:right w:val="none" w:sz="0" w:space="0" w:color="auto"/>
          </w:divBdr>
        </w:div>
      </w:divsChild>
    </w:div>
    <w:div w:id="371997612">
      <w:bodyDiv w:val="1"/>
      <w:marLeft w:val="0"/>
      <w:marRight w:val="0"/>
      <w:marTop w:val="0"/>
      <w:marBottom w:val="0"/>
      <w:divBdr>
        <w:top w:val="none" w:sz="0" w:space="0" w:color="auto"/>
        <w:left w:val="none" w:sz="0" w:space="0" w:color="auto"/>
        <w:bottom w:val="none" w:sz="0" w:space="0" w:color="auto"/>
        <w:right w:val="none" w:sz="0" w:space="0" w:color="auto"/>
      </w:divBdr>
    </w:div>
    <w:div w:id="506407972">
      <w:bodyDiv w:val="1"/>
      <w:marLeft w:val="0"/>
      <w:marRight w:val="0"/>
      <w:marTop w:val="0"/>
      <w:marBottom w:val="0"/>
      <w:divBdr>
        <w:top w:val="none" w:sz="0" w:space="0" w:color="auto"/>
        <w:left w:val="none" w:sz="0" w:space="0" w:color="auto"/>
        <w:bottom w:val="none" w:sz="0" w:space="0" w:color="auto"/>
        <w:right w:val="none" w:sz="0" w:space="0" w:color="auto"/>
      </w:divBdr>
    </w:div>
    <w:div w:id="575936518">
      <w:bodyDiv w:val="1"/>
      <w:marLeft w:val="0"/>
      <w:marRight w:val="0"/>
      <w:marTop w:val="0"/>
      <w:marBottom w:val="0"/>
      <w:divBdr>
        <w:top w:val="none" w:sz="0" w:space="0" w:color="auto"/>
        <w:left w:val="none" w:sz="0" w:space="0" w:color="auto"/>
        <w:bottom w:val="none" w:sz="0" w:space="0" w:color="auto"/>
        <w:right w:val="none" w:sz="0" w:space="0" w:color="auto"/>
      </w:divBdr>
    </w:div>
    <w:div w:id="1045174621">
      <w:bodyDiv w:val="1"/>
      <w:marLeft w:val="0"/>
      <w:marRight w:val="0"/>
      <w:marTop w:val="0"/>
      <w:marBottom w:val="0"/>
      <w:divBdr>
        <w:top w:val="none" w:sz="0" w:space="0" w:color="auto"/>
        <w:left w:val="none" w:sz="0" w:space="0" w:color="auto"/>
        <w:bottom w:val="none" w:sz="0" w:space="0" w:color="auto"/>
        <w:right w:val="none" w:sz="0" w:space="0" w:color="auto"/>
      </w:divBdr>
      <w:divsChild>
        <w:div w:id="1152285770">
          <w:marLeft w:val="0"/>
          <w:marRight w:val="0"/>
          <w:marTop w:val="480"/>
          <w:marBottom w:val="480"/>
          <w:divBdr>
            <w:top w:val="none" w:sz="0" w:space="0" w:color="auto"/>
            <w:left w:val="none" w:sz="0" w:space="0" w:color="auto"/>
            <w:bottom w:val="none" w:sz="0" w:space="0" w:color="auto"/>
            <w:right w:val="none" w:sz="0" w:space="0" w:color="auto"/>
          </w:divBdr>
        </w:div>
      </w:divsChild>
    </w:div>
    <w:div w:id="1211919942">
      <w:bodyDiv w:val="1"/>
      <w:marLeft w:val="0"/>
      <w:marRight w:val="0"/>
      <w:marTop w:val="0"/>
      <w:marBottom w:val="0"/>
      <w:divBdr>
        <w:top w:val="none" w:sz="0" w:space="0" w:color="auto"/>
        <w:left w:val="none" w:sz="0" w:space="0" w:color="auto"/>
        <w:bottom w:val="none" w:sz="0" w:space="0" w:color="auto"/>
        <w:right w:val="none" w:sz="0" w:space="0" w:color="auto"/>
      </w:divBdr>
    </w:div>
    <w:div w:id="1324046125">
      <w:bodyDiv w:val="1"/>
      <w:marLeft w:val="0"/>
      <w:marRight w:val="0"/>
      <w:marTop w:val="0"/>
      <w:marBottom w:val="0"/>
      <w:divBdr>
        <w:top w:val="none" w:sz="0" w:space="0" w:color="auto"/>
        <w:left w:val="none" w:sz="0" w:space="0" w:color="auto"/>
        <w:bottom w:val="none" w:sz="0" w:space="0" w:color="auto"/>
        <w:right w:val="none" w:sz="0" w:space="0" w:color="auto"/>
      </w:divBdr>
      <w:divsChild>
        <w:div w:id="1317415627">
          <w:marLeft w:val="0"/>
          <w:marRight w:val="0"/>
          <w:marTop w:val="0"/>
          <w:marBottom w:val="0"/>
          <w:divBdr>
            <w:top w:val="none" w:sz="0" w:space="0" w:color="auto"/>
            <w:left w:val="none" w:sz="0" w:space="0" w:color="auto"/>
            <w:bottom w:val="none" w:sz="0" w:space="0" w:color="auto"/>
            <w:right w:val="none" w:sz="0" w:space="0" w:color="auto"/>
          </w:divBdr>
          <w:divsChild>
            <w:div w:id="56518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498722">
      <w:bodyDiv w:val="1"/>
      <w:marLeft w:val="0"/>
      <w:marRight w:val="0"/>
      <w:marTop w:val="0"/>
      <w:marBottom w:val="0"/>
      <w:divBdr>
        <w:top w:val="none" w:sz="0" w:space="0" w:color="auto"/>
        <w:left w:val="none" w:sz="0" w:space="0" w:color="auto"/>
        <w:bottom w:val="none" w:sz="0" w:space="0" w:color="auto"/>
        <w:right w:val="none" w:sz="0" w:space="0" w:color="auto"/>
      </w:divBdr>
    </w:div>
    <w:div w:id="1355493843">
      <w:bodyDiv w:val="1"/>
      <w:marLeft w:val="0"/>
      <w:marRight w:val="0"/>
      <w:marTop w:val="0"/>
      <w:marBottom w:val="0"/>
      <w:divBdr>
        <w:top w:val="none" w:sz="0" w:space="0" w:color="auto"/>
        <w:left w:val="none" w:sz="0" w:space="0" w:color="auto"/>
        <w:bottom w:val="none" w:sz="0" w:space="0" w:color="auto"/>
        <w:right w:val="none" w:sz="0" w:space="0" w:color="auto"/>
      </w:divBdr>
      <w:divsChild>
        <w:div w:id="1262379240">
          <w:marLeft w:val="0"/>
          <w:marRight w:val="0"/>
          <w:marTop w:val="0"/>
          <w:marBottom w:val="0"/>
          <w:divBdr>
            <w:top w:val="none" w:sz="0" w:space="0" w:color="auto"/>
            <w:left w:val="none" w:sz="0" w:space="0" w:color="auto"/>
            <w:bottom w:val="none" w:sz="0" w:space="0" w:color="auto"/>
            <w:right w:val="none" w:sz="0" w:space="0" w:color="auto"/>
          </w:divBdr>
        </w:div>
      </w:divsChild>
    </w:div>
    <w:div w:id="1378119420">
      <w:bodyDiv w:val="1"/>
      <w:marLeft w:val="0"/>
      <w:marRight w:val="0"/>
      <w:marTop w:val="0"/>
      <w:marBottom w:val="0"/>
      <w:divBdr>
        <w:top w:val="none" w:sz="0" w:space="0" w:color="auto"/>
        <w:left w:val="none" w:sz="0" w:space="0" w:color="auto"/>
        <w:bottom w:val="none" w:sz="0" w:space="0" w:color="auto"/>
        <w:right w:val="none" w:sz="0" w:space="0" w:color="auto"/>
      </w:divBdr>
    </w:div>
    <w:div w:id="1543981510">
      <w:bodyDiv w:val="1"/>
      <w:marLeft w:val="0"/>
      <w:marRight w:val="0"/>
      <w:marTop w:val="0"/>
      <w:marBottom w:val="0"/>
      <w:divBdr>
        <w:top w:val="none" w:sz="0" w:space="0" w:color="auto"/>
        <w:left w:val="none" w:sz="0" w:space="0" w:color="auto"/>
        <w:bottom w:val="none" w:sz="0" w:space="0" w:color="auto"/>
        <w:right w:val="none" w:sz="0" w:space="0" w:color="auto"/>
      </w:divBdr>
    </w:div>
    <w:div w:id="1551259753">
      <w:bodyDiv w:val="1"/>
      <w:marLeft w:val="0"/>
      <w:marRight w:val="0"/>
      <w:marTop w:val="0"/>
      <w:marBottom w:val="0"/>
      <w:divBdr>
        <w:top w:val="none" w:sz="0" w:space="0" w:color="auto"/>
        <w:left w:val="none" w:sz="0" w:space="0" w:color="auto"/>
        <w:bottom w:val="none" w:sz="0" w:space="0" w:color="auto"/>
        <w:right w:val="none" w:sz="0" w:space="0" w:color="auto"/>
      </w:divBdr>
      <w:divsChild>
        <w:div w:id="54940530">
          <w:marLeft w:val="0"/>
          <w:marRight w:val="0"/>
          <w:marTop w:val="0"/>
          <w:marBottom w:val="0"/>
          <w:divBdr>
            <w:top w:val="none" w:sz="0" w:space="0" w:color="auto"/>
            <w:left w:val="none" w:sz="0" w:space="0" w:color="auto"/>
            <w:bottom w:val="none" w:sz="0" w:space="0" w:color="auto"/>
            <w:right w:val="none" w:sz="0" w:space="0" w:color="auto"/>
          </w:divBdr>
          <w:divsChild>
            <w:div w:id="23620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461892">
      <w:bodyDiv w:val="1"/>
      <w:marLeft w:val="0"/>
      <w:marRight w:val="0"/>
      <w:marTop w:val="0"/>
      <w:marBottom w:val="0"/>
      <w:divBdr>
        <w:top w:val="none" w:sz="0" w:space="0" w:color="auto"/>
        <w:left w:val="none" w:sz="0" w:space="0" w:color="auto"/>
        <w:bottom w:val="none" w:sz="0" w:space="0" w:color="auto"/>
        <w:right w:val="none" w:sz="0" w:space="0" w:color="auto"/>
      </w:divBdr>
    </w:div>
    <w:div w:id="1719629357">
      <w:bodyDiv w:val="1"/>
      <w:marLeft w:val="0"/>
      <w:marRight w:val="0"/>
      <w:marTop w:val="0"/>
      <w:marBottom w:val="0"/>
      <w:divBdr>
        <w:top w:val="none" w:sz="0" w:space="0" w:color="auto"/>
        <w:left w:val="none" w:sz="0" w:space="0" w:color="auto"/>
        <w:bottom w:val="none" w:sz="0" w:space="0" w:color="auto"/>
        <w:right w:val="none" w:sz="0" w:space="0" w:color="auto"/>
      </w:divBdr>
      <w:divsChild>
        <w:div w:id="548885693">
          <w:marLeft w:val="0"/>
          <w:marRight w:val="0"/>
          <w:marTop w:val="0"/>
          <w:marBottom w:val="0"/>
          <w:divBdr>
            <w:top w:val="none" w:sz="0" w:space="0" w:color="auto"/>
            <w:left w:val="none" w:sz="0" w:space="0" w:color="auto"/>
            <w:bottom w:val="none" w:sz="0" w:space="0" w:color="auto"/>
            <w:right w:val="none" w:sz="0" w:space="0" w:color="auto"/>
          </w:divBdr>
        </w:div>
        <w:div w:id="1364405882">
          <w:marLeft w:val="0"/>
          <w:marRight w:val="0"/>
          <w:marTop w:val="0"/>
          <w:marBottom w:val="0"/>
          <w:divBdr>
            <w:top w:val="none" w:sz="0" w:space="0" w:color="auto"/>
            <w:left w:val="none" w:sz="0" w:space="0" w:color="auto"/>
            <w:bottom w:val="none" w:sz="0" w:space="0" w:color="auto"/>
            <w:right w:val="none" w:sz="0" w:space="0" w:color="auto"/>
          </w:divBdr>
        </w:div>
        <w:div w:id="1679575281">
          <w:marLeft w:val="0"/>
          <w:marRight w:val="0"/>
          <w:marTop w:val="0"/>
          <w:marBottom w:val="0"/>
          <w:divBdr>
            <w:top w:val="none" w:sz="0" w:space="0" w:color="auto"/>
            <w:left w:val="none" w:sz="0" w:space="0" w:color="auto"/>
            <w:bottom w:val="none" w:sz="0" w:space="0" w:color="auto"/>
            <w:right w:val="none" w:sz="0" w:space="0" w:color="auto"/>
          </w:divBdr>
        </w:div>
        <w:div w:id="1730499969">
          <w:marLeft w:val="0"/>
          <w:marRight w:val="0"/>
          <w:marTop w:val="0"/>
          <w:marBottom w:val="0"/>
          <w:divBdr>
            <w:top w:val="none" w:sz="0" w:space="0" w:color="auto"/>
            <w:left w:val="none" w:sz="0" w:space="0" w:color="auto"/>
            <w:bottom w:val="none" w:sz="0" w:space="0" w:color="auto"/>
            <w:right w:val="none" w:sz="0" w:space="0" w:color="auto"/>
          </w:divBdr>
        </w:div>
      </w:divsChild>
    </w:div>
    <w:div w:id="1861120450">
      <w:bodyDiv w:val="1"/>
      <w:marLeft w:val="0"/>
      <w:marRight w:val="0"/>
      <w:marTop w:val="0"/>
      <w:marBottom w:val="0"/>
      <w:divBdr>
        <w:top w:val="none" w:sz="0" w:space="0" w:color="auto"/>
        <w:left w:val="none" w:sz="0" w:space="0" w:color="auto"/>
        <w:bottom w:val="none" w:sz="0" w:space="0" w:color="auto"/>
        <w:right w:val="none" w:sz="0" w:space="0" w:color="auto"/>
      </w:divBdr>
      <w:divsChild>
        <w:div w:id="228469590">
          <w:marLeft w:val="274"/>
          <w:marRight w:val="0"/>
          <w:marTop w:val="58"/>
          <w:marBottom w:val="0"/>
          <w:divBdr>
            <w:top w:val="none" w:sz="0" w:space="0" w:color="auto"/>
            <w:left w:val="none" w:sz="0" w:space="0" w:color="auto"/>
            <w:bottom w:val="none" w:sz="0" w:space="0" w:color="auto"/>
            <w:right w:val="none" w:sz="0" w:space="0" w:color="auto"/>
          </w:divBdr>
        </w:div>
        <w:div w:id="1701121822">
          <w:marLeft w:val="274"/>
          <w:marRight w:val="0"/>
          <w:marTop w:val="58"/>
          <w:marBottom w:val="0"/>
          <w:divBdr>
            <w:top w:val="none" w:sz="0" w:space="0" w:color="auto"/>
            <w:left w:val="none" w:sz="0" w:space="0" w:color="auto"/>
            <w:bottom w:val="none" w:sz="0" w:space="0" w:color="auto"/>
            <w:right w:val="none" w:sz="0" w:space="0" w:color="auto"/>
          </w:divBdr>
        </w:div>
        <w:div w:id="1836214947">
          <w:marLeft w:val="274"/>
          <w:marRight w:val="0"/>
          <w:marTop w:val="58"/>
          <w:marBottom w:val="0"/>
          <w:divBdr>
            <w:top w:val="none" w:sz="0" w:space="0" w:color="auto"/>
            <w:left w:val="none" w:sz="0" w:space="0" w:color="auto"/>
            <w:bottom w:val="none" w:sz="0" w:space="0" w:color="auto"/>
            <w:right w:val="none" w:sz="0" w:space="0" w:color="auto"/>
          </w:divBdr>
        </w:div>
      </w:divsChild>
    </w:div>
    <w:div w:id="1864048312">
      <w:bodyDiv w:val="1"/>
      <w:marLeft w:val="0"/>
      <w:marRight w:val="0"/>
      <w:marTop w:val="0"/>
      <w:marBottom w:val="0"/>
      <w:divBdr>
        <w:top w:val="none" w:sz="0" w:space="0" w:color="auto"/>
        <w:left w:val="none" w:sz="0" w:space="0" w:color="auto"/>
        <w:bottom w:val="none" w:sz="0" w:space="0" w:color="auto"/>
        <w:right w:val="none" w:sz="0" w:space="0" w:color="auto"/>
      </w:divBdr>
    </w:div>
    <w:div w:id="1935822691">
      <w:bodyDiv w:val="1"/>
      <w:marLeft w:val="0"/>
      <w:marRight w:val="0"/>
      <w:marTop w:val="0"/>
      <w:marBottom w:val="0"/>
      <w:divBdr>
        <w:top w:val="none" w:sz="0" w:space="0" w:color="auto"/>
        <w:left w:val="none" w:sz="0" w:space="0" w:color="auto"/>
        <w:bottom w:val="none" w:sz="0" w:space="0" w:color="auto"/>
        <w:right w:val="none" w:sz="0" w:space="0" w:color="auto"/>
      </w:divBdr>
    </w:div>
    <w:div w:id="1947692014">
      <w:bodyDiv w:val="1"/>
      <w:marLeft w:val="0"/>
      <w:marRight w:val="0"/>
      <w:marTop w:val="0"/>
      <w:marBottom w:val="0"/>
      <w:divBdr>
        <w:top w:val="none" w:sz="0" w:space="0" w:color="auto"/>
        <w:left w:val="none" w:sz="0" w:space="0" w:color="auto"/>
        <w:bottom w:val="none" w:sz="0" w:space="0" w:color="auto"/>
        <w:right w:val="none" w:sz="0" w:space="0" w:color="auto"/>
      </w:divBdr>
    </w:div>
    <w:div w:id="2000303205">
      <w:bodyDiv w:val="1"/>
      <w:marLeft w:val="0"/>
      <w:marRight w:val="0"/>
      <w:marTop w:val="0"/>
      <w:marBottom w:val="0"/>
      <w:divBdr>
        <w:top w:val="none" w:sz="0" w:space="0" w:color="auto"/>
        <w:left w:val="none" w:sz="0" w:space="0" w:color="auto"/>
        <w:bottom w:val="none" w:sz="0" w:space="0" w:color="auto"/>
        <w:right w:val="none" w:sz="0" w:space="0" w:color="auto"/>
      </w:divBdr>
      <w:divsChild>
        <w:div w:id="740719592">
          <w:marLeft w:val="0"/>
          <w:marRight w:val="0"/>
          <w:marTop w:val="0"/>
          <w:marBottom w:val="0"/>
          <w:divBdr>
            <w:top w:val="none" w:sz="0" w:space="0" w:color="auto"/>
            <w:left w:val="none" w:sz="0" w:space="0" w:color="auto"/>
            <w:bottom w:val="none" w:sz="0" w:space="0" w:color="auto"/>
            <w:right w:val="none" w:sz="0" w:space="0" w:color="auto"/>
          </w:divBdr>
        </w:div>
      </w:divsChild>
    </w:div>
    <w:div w:id="2055229993">
      <w:bodyDiv w:val="1"/>
      <w:marLeft w:val="0"/>
      <w:marRight w:val="0"/>
      <w:marTop w:val="0"/>
      <w:marBottom w:val="0"/>
      <w:divBdr>
        <w:top w:val="none" w:sz="0" w:space="0" w:color="auto"/>
        <w:left w:val="none" w:sz="0" w:space="0" w:color="auto"/>
        <w:bottom w:val="none" w:sz="0" w:space="0" w:color="auto"/>
        <w:right w:val="none" w:sz="0" w:space="0" w:color="auto"/>
      </w:divBdr>
    </w:div>
    <w:div w:id="206413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emf"/><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poder-judicial.go.cr/observatoriodegenero/" TargetMode="External"/><Relationship Id="rId14" Type="http://schemas.openxmlformats.org/officeDocument/2006/relationships/hyperlink" Target="http://www.nacion.com/nacional/comunidades/Indigenas-conmemoran-pedido-educacion_0_1298870142.html"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90DEAE-46D0-422F-898F-2AFF8CD2F4BD}"/>
</file>

<file path=customXml/itemProps2.xml><?xml version="1.0" encoding="utf-8"?>
<ds:datastoreItem xmlns:ds="http://schemas.openxmlformats.org/officeDocument/2006/customXml" ds:itemID="{65ECD4D1-1F2B-4927-96B5-FEC5710BF69A}"/>
</file>

<file path=customXml/itemProps3.xml><?xml version="1.0" encoding="utf-8"?>
<ds:datastoreItem xmlns:ds="http://schemas.openxmlformats.org/officeDocument/2006/customXml" ds:itemID="{1CA3458D-A1B8-4C57-B251-62E63556207D}"/>
</file>

<file path=customXml/itemProps4.xml><?xml version="1.0" encoding="utf-8"?>
<ds:datastoreItem xmlns:ds="http://schemas.openxmlformats.org/officeDocument/2006/customXml" ds:itemID="{C4E1D9FB-D576-492B-BC6C-D0128EFFC25F}"/>
</file>

<file path=docProps/app.xml><?xml version="1.0" encoding="utf-8"?>
<Properties xmlns="http://schemas.openxmlformats.org/officeDocument/2006/extended-properties" xmlns:vt="http://schemas.openxmlformats.org/officeDocument/2006/docPropsVTypes">
  <Template>Normal</Template>
  <TotalTime>0</TotalTime>
  <Pages>88</Pages>
  <Words>41105</Words>
  <Characters>226083</Characters>
  <Application>Microsoft Office Word</Application>
  <DocSecurity>0</DocSecurity>
  <Lines>1884</Lines>
  <Paragraphs>533</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
      <vt:lpstr/>
      <vt:lpstr/>
    </vt:vector>
  </TitlesOfParts>
  <Company/>
  <LinksUpToDate>false</LinksUpToDate>
  <CharactersWithSpaces>266655</CharactersWithSpaces>
  <SharedDoc>false</SharedDoc>
  <HLinks>
    <vt:vector size="708" baseType="variant">
      <vt:variant>
        <vt:i4>1572921</vt:i4>
      </vt:variant>
      <vt:variant>
        <vt:i4>704</vt:i4>
      </vt:variant>
      <vt:variant>
        <vt:i4>0</vt:i4>
      </vt:variant>
      <vt:variant>
        <vt:i4>5</vt:i4>
      </vt:variant>
      <vt:variant>
        <vt:lpwstr/>
      </vt:variant>
      <vt:variant>
        <vt:lpwstr>_Toc446093283</vt:lpwstr>
      </vt:variant>
      <vt:variant>
        <vt:i4>1572921</vt:i4>
      </vt:variant>
      <vt:variant>
        <vt:i4>698</vt:i4>
      </vt:variant>
      <vt:variant>
        <vt:i4>0</vt:i4>
      </vt:variant>
      <vt:variant>
        <vt:i4>5</vt:i4>
      </vt:variant>
      <vt:variant>
        <vt:lpwstr/>
      </vt:variant>
      <vt:variant>
        <vt:lpwstr>_Toc446093282</vt:lpwstr>
      </vt:variant>
      <vt:variant>
        <vt:i4>1572921</vt:i4>
      </vt:variant>
      <vt:variant>
        <vt:i4>692</vt:i4>
      </vt:variant>
      <vt:variant>
        <vt:i4>0</vt:i4>
      </vt:variant>
      <vt:variant>
        <vt:i4>5</vt:i4>
      </vt:variant>
      <vt:variant>
        <vt:lpwstr/>
      </vt:variant>
      <vt:variant>
        <vt:lpwstr>_Toc446093281</vt:lpwstr>
      </vt:variant>
      <vt:variant>
        <vt:i4>1572921</vt:i4>
      </vt:variant>
      <vt:variant>
        <vt:i4>686</vt:i4>
      </vt:variant>
      <vt:variant>
        <vt:i4>0</vt:i4>
      </vt:variant>
      <vt:variant>
        <vt:i4>5</vt:i4>
      </vt:variant>
      <vt:variant>
        <vt:lpwstr/>
      </vt:variant>
      <vt:variant>
        <vt:lpwstr>_Toc446093280</vt:lpwstr>
      </vt:variant>
      <vt:variant>
        <vt:i4>1507385</vt:i4>
      </vt:variant>
      <vt:variant>
        <vt:i4>680</vt:i4>
      </vt:variant>
      <vt:variant>
        <vt:i4>0</vt:i4>
      </vt:variant>
      <vt:variant>
        <vt:i4>5</vt:i4>
      </vt:variant>
      <vt:variant>
        <vt:lpwstr/>
      </vt:variant>
      <vt:variant>
        <vt:lpwstr>_Toc446093279</vt:lpwstr>
      </vt:variant>
      <vt:variant>
        <vt:i4>1507385</vt:i4>
      </vt:variant>
      <vt:variant>
        <vt:i4>674</vt:i4>
      </vt:variant>
      <vt:variant>
        <vt:i4>0</vt:i4>
      </vt:variant>
      <vt:variant>
        <vt:i4>5</vt:i4>
      </vt:variant>
      <vt:variant>
        <vt:lpwstr/>
      </vt:variant>
      <vt:variant>
        <vt:lpwstr>_Toc446093278</vt:lpwstr>
      </vt:variant>
      <vt:variant>
        <vt:i4>1507385</vt:i4>
      </vt:variant>
      <vt:variant>
        <vt:i4>668</vt:i4>
      </vt:variant>
      <vt:variant>
        <vt:i4>0</vt:i4>
      </vt:variant>
      <vt:variant>
        <vt:i4>5</vt:i4>
      </vt:variant>
      <vt:variant>
        <vt:lpwstr/>
      </vt:variant>
      <vt:variant>
        <vt:lpwstr>_Toc446093277</vt:lpwstr>
      </vt:variant>
      <vt:variant>
        <vt:i4>1507385</vt:i4>
      </vt:variant>
      <vt:variant>
        <vt:i4>662</vt:i4>
      </vt:variant>
      <vt:variant>
        <vt:i4>0</vt:i4>
      </vt:variant>
      <vt:variant>
        <vt:i4>5</vt:i4>
      </vt:variant>
      <vt:variant>
        <vt:lpwstr/>
      </vt:variant>
      <vt:variant>
        <vt:lpwstr>_Toc446093276</vt:lpwstr>
      </vt:variant>
      <vt:variant>
        <vt:i4>1507385</vt:i4>
      </vt:variant>
      <vt:variant>
        <vt:i4>656</vt:i4>
      </vt:variant>
      <vt:variant>
        <vt:i4>0</vt:i4>
      </vt:variant>
      <vt:variant>
        <vt:i4>5</vt:i4>
      </vt:variant>
      <vt:variant>
        <vt:lpwstr/>
      </vt:variant>
      <vt:variant>
        <vt:lpwstr>_Toc446093275</vt:lpwstr>
      </vt:variant>
      <vt:variant>
        <vt:i4>1507385</vt:i4>
      </vt:variant>
      <vt:variant>
        <vt:i4>650</vt:i4>
      </vt:variant>
      <vt:variant>
        <vt:i4>0</vt:i4>
      </vt:variant>
      <vt:variant>
        <vt:i4>5</vt:i4>
      </vt:variant>
      <vt:variant>
        <vt:lpwstr/>
      </vt:variant>
      <vt:variant>
        <vt:lpwstr>_Toc446093274</vt:lpwstr>
      </vt:variant>
      <vt:variant>
        <vt:i4>1507385</vt:i4>
      </vt:variant>
      <vt:variant>
        <vt:i4>644</vt:i4>
      </vt:variant>
      <vt:variant>
        <vt:i4>0</vt:i4>
      </vt:variant>
      <vt:variant>
        <vt:i4>5</vt:i4>
      </vt:variant>
      <vt:variant>
        <vt:lpwstr/>
      </vt:variant>
      <vt:variant>
        <vt:lpwstr>_Toc446093273</vt:lpwstr>
      </vt:variant>
      <vt:variant>
        <vt:i4>1507385</vt:i4>
      </vt:variant>
      <vt:variant>
        <vt:i4>638</vt:i4>
      </vt:variant>
      <vt:variant>
        <vt:i4>0</vt:i4>
      </vt:variant>
      <vt:variant>
        <vt:i4>5</vt:i4>
      </vt:variant>
      <vt:variant>
        <vt:lpwstr/>
      </vt:variant>
      <vt:variant>
        <vt:lpwstr>_Toc446093272</vt:lpwstr>
      </vt:variant>
      <vt:variant>
        <vt:i4>1507385</vt:i4>
      </vt:variant>
      <vt:variant>
        <vt:i4>632</vt:i4>
      </vt:variant>
      <vt:variant>
        <vt:i4>0</vt:i4>
      </vt:variant>
      <vt:variant>
        <vt:i4>5</vt:i4>
      </vt:variant>
      <vt:variant>
        <vt:lpwstr/>
      </vt:variant>
      <vt:variant>
        <vt:lpwstr>_Toc446093271</vt:lpwstr>
      </vt:variant>
      <vt:variant>
        <vt:i4>1507385</vt:i4>
      </vt:variant>
      <vt:variant>
        <vt:i4>626</vt:i4>
      </vt:variant>
      <vt:variant>
        <vt:i4>0</vt:i4>
      </vt:variant>
      <vt:variant>
        <vt:i4>5</vt:i4>
      </vt:variant>
      <vt:variant>
        <vt:lpwstr/>
      </vt:variant>
      <vt:variant>
        <vt:lpwstr>_Toc446093270</vt:lpwstr>
      </vt:variant>
      <vt:variant>
        <vt:i4>1441849</vt:i4>
      </vt:variant>
      <vt:variant>
        <vt:i4>620</vt:i4>
      </vt:variant>
      <vt:variant>
        <vt:i4>0</vt:i4>
      </vt:variant>
      <vt:variant>
        <vt:i4>5</vt:i4>
      </vt:variant>
      <vt:variant>
        <vt:lpwstr/>
      </vt:variant>
      <vt:variant>
        <vt:lpwstr>_Toc446093269</vt:lpwstr>
      </vt:variant>
      <vt:variant>
        <vt:i4>1441849</vt:i4>
      </vt:variant>
      <vt:variant>
        <vt:i4>614</vt:i4>
      </vt:variant>
      <vt:variant>
        <vt:i4>0</vt:i4>
      </vt:variant>
      <vt:variant>
        <vt:i4>5</vt:i4>
      </vt:variant>
      <vt:variant>
        <vt:lpwstr/>
      </vt:variant>
      <vt:variant>
        <vt:lpwstr>_Toc446093268</vt:lpwstr>
      </vt:variant>
      <vt:variant>
        <vt:i4>1441849</vt:i4>
      </vt:variant>
      <vt:variant>
        <vt:i4>608</vt:i4>
      </vt:variant>
      <vt:variant>
        <vt:i4>0</vt:i4>
      </vt:variant>
      <vt:variant>
        <vt:i4>5</vt:i4>
      </vt:variant>
      <vt:variant>
        <vt:lpwstr/>
      </vt:variant>
      <vt:variant>
        <vt:lpwstr>_Toc446093267</vt:lpwstr>
      </vt:variant>
      <vt:variant>
        <vt:i4>1441849</vt:i4>
      </vt:variant>
      <vt:variant>
        <vt:i4>602</vt:i4>
      </vt:variant>
      <vt:variant>
        <vt:i4>0</vt:i4>
      </vt:variant>
      <vt:variant>
        <vt:i4>5</vt:i4>
      </vt:variant>
      <vt:variant>
        <vt:lpwstr/>
      </vt:variant>
      <vt:variant>
        <vt:lpwstr>_Toc446093266</vt:lpwstr>
      </vt:variant>
      <vt:variant>
        <vt:i4>1441849</vt:i4>
      </vt:variant>
      <vt:variant>
        <vt:i4>596</vt:i4>
      </vt:variant>
      <vt:variant>
        <vt:i4>0</vt:i4>
      </vt:variant>
      <vt:variant>
        <vt:i4>5</vt:i4>
      </vt:variant>
      <vt:variant>
        <vt:lpwstr/>
      </vt:variant>
      <vt:variant>
        <vt:lpwstr>_Toc446093265</vt:lpwstr>
      </vt:variant>
      <vt:variant>
        <vt:i4>1441849</vt:i4>
      </vt:variant>
      <vt:variant>
        <vt:i4>590</vt:i4>
      </vt:variant>
      <vt:variant>
        <vt:i4>0</vt:i4>
      </vt:variant>
      <vt:variant>
        <vt:i4>5</vt:i4>
      </vt:variant>
      <vt:variant>
        <vt:lpwstr/>
      </vt:variant>
      <vt:variant>
        <vt:lpwstr>_Toc446093264</vt:lpwstr>
      </vt:variant>
      <vt:variant>
        <vt:i4>1441849</vt:i4>
      </vt:variant>
      <vt:variant>
        <vt:i4>584</vt:i4>
      </vt:variant>
      <vt:variant>
        <vt:i4>0</vt:i4>
      </vt:variant>
      <vt:variant>
        <vt:i4>5</vt:i4>
      </vt:variant>
      <vt:variant>
        <vt:lpwstr/>
      </vt:variant>
      <vt:variant>
        <vt:lpwstr>_Toc446093263</vt:lpwstr>
      </vt:variant>
      <vt:variant>
        <vt:i4>1441849</vt:i4>
      </vt:variant>
      <vt:variant>
        <vt:i4>578</vt:i4>
      </vt:variant>
      <vt:variant>
        <vt:i4>0</vt:i4>
      </vt:variant>
      <vt:variant>
        <vt:i4>5</vt:i4>
      </vt:variant>
      <vt:variant>
        <vt:lpwstr/>
      </vt:variant>
      <vt:variant>
        <vt:lpwstr>_Toc446093262</vt:lpwstr>
      </vt:variant>
      <vt:variant>
        <vt:i4>1441849</vt:i4>
      </vt:variant>
      <vt:variant>
        <vt:i4>572</vt:i4>
      </vt:variant>
      <vt:variant>
        <vt:i4>0</vt:i4>
      </vt:variant>
      <vt:variant>
        <vt:i4>5</vt:i4>
      </vt:variant>
      <vt:variant>
        <vt:lpwstr/>
      </vt:variant>
      <vt:variant>
        <vt:lpwstr>_Toc446093261</vt:lpwstr>
      </vt:variant>
      <vt:variant>
        <vt:i4>1441849</vt:i4>
      </vt:variant>
      <vt:variant>
        <vt:i4>566</vt:i4>
      </vt:variant>
      <vt:variant>
        <vt:i4>0</vt:i4>
      </vt:variant>
      <vt:variant>
        <vt:i4>5</vt:i4>
      </vt:variant>
      <vt:variant>
        <vt:lpwstr/>
      </vt:variant>
      <vt:variant>
        <vt:lpwstr>_Toc446093260</vt:lpwstr>
      </vt:variant>
      <vt:variant>
        <vt:i4>1376313</vt:i4>
      </vt:variant>
      <vt:variant>
        <vt:i4>560</vt:i4>
      </vt:variant>
      <vt:variant>
        <vt:i4>0</vt:i4>
      </vt:variant>
      <vt:variant>
        <vt:i4>5</vt:i4>
      </vt:variant>
      <vt:variant>
        <vt:lpwstr/>
      </vt:variant>
      <vt:variant>
        <vt:lpwstr>_Toc446093259</vt:lpwstr>
      </vt:variant>
      <vt:variant>
        <vt:i4>1376313</vt:i4>
      </vt:variant>
      <vt:variant>
        <vt:i4>554</vt:i4>
      </vt:variant>
      <vt:variant>
        <vt:i4>0</vt:i4>
      </vt:variant>
      <vt:variant>
        <vt:i4>5</vt:i4>
      </vt:variant>
      <vt:variant>
        <vt:lpwstr/>
      </vt:variant>
      <vt:variant>
        <vt:lpwstr>_Toc446093258</vt:lpwstr>
      </vt:variant>
      <vt:variant>
        <vt:i4>1376313</vt:i4>
      </vt:variant>
      <vt:variant>
        <vt:i4>548</vt:i4>
      </vt:variant>
      <vt:variant>
        <vt:i4>0</vt:i4>
      </vt:variant>
      <vt:variant>
        <vt:i4>5</vt:i4>
      </vt:variant>
      <vt:variant>
        <vt:lpwstr/>
      </vt:variant>
      <vt:variant>
        <vt:lpwstr>_Toc446093257</vt:lpwstr>
      </vt:variant>
      <vt:variant>
        <vt:i4>1376313</vt:i4>
      </vt:variant>
      <vt:variant>
        <vt:i4>542</vt:i4>
      </vt:variant>
      <vt:variant>
        <vt:i4>0</vt:i4>
      </vt:variant>
      <vt:variant>
        <vt:i4>5</vt:i4>
      </vt:variant>
      <vt:variant>
        <vt:lpwstr/>
      </vt:variant>
      <vt:variant>
        <vt:lpwstr>_Toc446093256</vt:lpwstr>
      </vt:variant>
      <vt:variant>
        <vt:i4>1376313</vt:i4>
      </vt:variant>
      <vt:variant>
        <vt:i4>536</vt:i4>
      </vt:variant>
      <vt:variant>
        <vt:i4>0</vt:i4>
      </vt:variant>
      <vt:variant>
        <vt:i4>5</vt:i4>
      </vt:variant>
      <vt:variant>
        <vt:lpwstr/>
      </vt:variant>
      <vt:variant>
        <vt:lpwstr>_Toc446093255</vt:lpwstr>
      </vt:variant>
      <vt:variant>
        <vt:i4>1376313</vt:i4>
      </vt:variant>
      <vt:variant>
        <vt:i4>530</vt:i4>
      </vt:variant>
      <vt:variant>
        <vt:i4>0</vt:i4>
      </vt:variant>
      <vt:variant>
        <vt:i4>5</vt:i4>
      </vt:variant>
      <vt:variant>
        <vt:lpwstr/>
      </vt:variant>
      <vt:variant>
        <vt:lpwstr>_Toc446093254</vt:lpwstr>
      </vt:variant>
      <vt:variant>
        <vt:i4>1376313</vt:i4>
      </vt:variant>
      <vt:variant>
        <vt:i4>524</vt:i4>
      </vt:variant>
      <vt:variant>
        <vt:i4>0</vt:i4>
      </vt:variant>
      <vt:variant>
        <vt:i4>5</vt:i4>
      </vt:variant>
      <vt:variant>
        <vt:lpwstr/>
      </vt:variant>
      <vt:variant>
        <vt:lpwstr>_Toc446093253</vt:lpwstr>
      </vt:variant>
      <vt:variant>
        <vt:i4>1376313</vt:i4>
      </vt:variant>
      <vt:variant>
        <vt:i4>518</vt:i4>
      </vt:variant>
      <vt:variant>
        <vt:i4>0</vt:i4>
      </vt:variant>
      <vt:variant>
        <vt:i4>5</vt:i4>
      </vt:variant>
      <vt:variant>
        <vt:lpwstr/>
      </vt:variant>
      <vt:variant>
        <vt:lpwstr>_Toc446093252</vt:lpwstr>
      </vt:variant>
      <vt:variant>
        <vt:i4>1376313</vt:i4>
      </vt:variant>
      <vt:variant>
        <vt:i4>512</vt:i4>
      </vt:variant>
      <vt:variant>
        <vt:i4>0</vt:i4>
      </vt:variant>
      <vt:variant>
        <vt:i4>5</vt:i4>
      </vt:variant>
      <vt:variant>
        <vt:lpwstr/>
      </vt:variant>
      <vt:variant>
        <vt:lpwstr>_Toc446093251</vt:lpwstr>
      </vt:variant>
      <vt:variant>
        <vt:i4>1376313</vt:i4>
      </vt:variant>
      <vt:variant>
        <vt:i4>506</vt:i4>
      </vt:variant>
      <vt:variant>
        <vt:i4>0</vt:i4>
      </vt:variant>
      <vt:variant>
        <vt:i4>5</vt:i4>
      </vt:variant>
      <vt:variant>
        <vt:lpwstr/>
      </vt:variant>
      <vt:variant>
        <vt:lpwstr>_Toc446093250</vt:lpwstr>
      </vt:variant>
      <vt:variant>
        <vt:i4>1310777</vt:i4>
      </vt:variant>
      <vt:variant>
        <vt:i4>500</vt:i4>
      </vt:variant>
      <vt:variant>
        <vt:i4>0</vt:i4>
      </vt:variant>
      <vt:variant>
        <vt:i4>5</vt:i4>
      </vt:variant>
      <vt:variant>
        <vt:lpwstr/>
      </vt:variant>
      <vt:variant>
        <vt:lpwstr>_Toc446093249</vt:lpwstr>
      </vt:variant>
      <vt:variant>
        <vt:i4>1310777</vt:i4>
      </vt:variant>
      <vt:variant>
        <vt:i4>494</vt:i4>
      </vt:variant>
      <vt:variant>
        <vt:i4>0</vt:i4>
      </vt:variant>
      <vt:variant>
        <vt:i4>5</vt:i4>
      </vt:variant>
      <vt:variant>
        <vt:lpwstr/>
      </vt:variant>
      <vt:variant>
        <vt:lpwstr>_Toc446093248</vt:lpwstr>
      </vt:variant>
      <vt:variant>
        <vt:i4>1310777</vt:i4>
      </vt:variant>
      <vt:variant>
        <vt:i4>488</vt:i4>
      </vt:variant>
      <vt:variant>
        <vt:i4>0</vt:i4>
      </vt:variant>
      <vt:variant>
        <vt:i4>5</vt:i4>
      </vt:variant>
      <vt:variant>
        <vt:lpwstr/>
      </vt:variant>
      <vt:variant>
        <vt:lpwstr>_Toc446093247</vt:lpwstr>
      </vt:variant>
      <vt:variant>
        <vt:i4>1310777</vt:i4>
      </vt:variant>
      <vt:variant>
        <vt:i4>482</vt:i4>
      </vt:variant>
      <vt:variant>
        <vt:i4>0</vt:i4>
      </vt:variant>
      <vt:variant>
        <vt:i4>5</vt:i4>
      </vt:variant>
      <vt:variant>
        <vt:lpwstr/>
      </vt:variant>
      <vt:variant>
        <vt:lpwstr>_Toc446093246</vt:lpwstr>
      </vt:variant>
      <vt:variant>
        <vt:i4>1310777</vt:i4>
      </vt:variant>
      <vt:variant>
        <vt:i4>476</vt:i4>
      </vt:variant>
      <vt:variant>
        <vt:i4>0</vt:i4>
      </vt:variant>
      <vt:variant>
        <vt:i4>5</vt:i4>
      </vt:variant>
      <vt:variant>
        <vt:lpwstr/>
      </vt:variant>
      <vt:variant>
        <vt:lpwstr>_Toc446093245</vt:lpwstr>
      </vt:variant>
      <vt:variant>
        <vt:i4>1310777</vt:i4>
      </vt:variant>
      <vt:variant>
        <vt:i4>470</vt:i4>
      </vt:variant>
      <vt:variant>
        <vt:i4>0</vt:i4>
      </vt:variant>
      <vt:variant>
        <vt:i4>5</vt:i4>
      </vt:variant>
      <vt:variant>
        <vt:lpwstr/>
      </vt:variant>
      <vt:variant>
        <vt:lpwstr>_Toc446093244</vt:lpwstr>
      </vt:variant>
      <vt:variant>
        <vt:i4>1310777</vt:i4>
      </vt:variant>
      <vt:variant>
        <vt:i4>464</vt:i4>
      </vt:variant>
      <vt:variant>
        <vt:i4>0</vt:i4>
      </vt:variant>
      <vt:variant>
        <vt:i4>5</vt:i4>
      </vt:variant>
      <vt:variant>
        <vt:lpwstr/>
      </vt:variant>
      <vt:variant>
        <vt:lpwstr>_Toc446093243</vt:lpwstr>
      </vt:variant>
      <vt:variant>
        <vt:i4>1310777</vt:i4>
      </vt:variant>
      <vt:variant>
        <vt:i4>458</vt:i4>
      </vt:variant>
      <vt:variant>
        <vt:i4>0</vt:i4>
      </vt:variant>
      <vt:variant>
        <vt:i4>5</vt:i4>
      </vt:variant>
      <vt:variant>
        <vt:lpwstr/>
      </vt:variant>
      <vt:variant>
        <vt:lpwstr>_Toc446093242</vt:lpwstr>
      </vt:variant>
      <vt:variant>
        <vt:i4>1310777</vt:i4>
      </vt:variant>
      <vt:variant>
        <vt:i4>452</vt:i4>
      </vt:variant>
      <vt:variant>
        <vt:i4>0</vt:i4>
      </vt:variant>
      <vt:variant>
        <vt:i4>5</vt:i4>
      </vt:variant>
      <vt:variant>
        <vt:lpwstr/>
      </vt:variant>
      <vt:variant>
        <vt:lpwstr>_Toc446093241</vt:lpwstr>
      </vt:variant>
      <vt:variant>
        <vt:i4>1310777</vt:i4>
      </vt:variant>
      <vt:variant>
        <vt:i4>446</vt:i4>
      </vt:variant>
      <vt:variant>
        <vt:i4>0</vt:i4>
      </vt:variant>
      <vt:variant>
        <vt:i4>5</vt:i4>
      </vt:variant>
      <vt:variant>
        <vt:lpwstr/>
      </vt:variant>
      <vt:variant>
        <vt:lpwstr>_Toc446093240</vt:lpwstr>
      </vt:variant>
      <vt:variant>
        <vt:i4>1245241</vt:i4>
      </vt:variant>
      <vt:variant>
        <vt:i4>440</vt:i4>
      </vt:variant>
      <vt:variant>
        <vt:i4>0</vt:i4>
      </vt:variant>
      <vt:variant>
        <vt:i4>5</vt:i4>
      </vt:variant>
      <vt:variant>
        <vt:lpwstr/>
      </vt:variant>
      <vt:variant>
        <vt:lpwstr>_Toc446093239</vt:lpwstr>
      </vt:variant>
      <vt:variant>
        <vt:i4>1245241</vt:i4>
      </vt:variant>
      <vt:variant>
        <vt:i4>434</vt:i4>
      </vt:variant>
      <vt:variant>
        <vt:i4>0</vt:i4>
      </vt:variant>
      <vt:variant>
        <vt:i4>5</vt:i4>
      </vt:variant>
      <vt:variant>
        <vt:lpwstr/>
      </vt:variant>
      <vt:variant>
        <vt:lpwstr>_Toc446093238</vt:lpwstr>
      </vt:variant>
      <vt:variant>
        <vt:i4>1245241</vt:i4>
      </vt:variant>
      <vt:variant>
        <vt:i4>428</vt:i4>
      </vt:variant>
      <vt:variant>
        <vt:i4>0</vt:i4>
      </vt:variant>
      <vt:variant>
        <vt:i4>5</vt:i4>
      </vt:variant>
      <vt:variant>
        <vt:lpwstr/>
      </vt:variant>
      <vt:variant>
        <vt:lpwstr>_Toc446093237</vt:lpwstr>
      </vt:variant>
      <vt:variant>
        <vt:i4>1245241</vt:i4>
      </vt:variant>
      <vt:variant>
        <vt:i4>422</vt:i4>
      </vt:variant>
      <vt:variant>
        <vt:i4>0</vt:i4>
      </vt:variant>
      <vt:variant>
        <vt:i4>5</vt:i4>
      </vt:variant>
      <vt:variant>
        <vt:lpwstr/>
      </vt:variant>
      <vt:variant>
        <vt:lpwstr>_Toc446093236</vt:lpwstr>
      </vt:variant>
      <vt:variant>
        <vt:i4>1245241</vt:i4>
      </vt:variant>
      <vt:variant>
        <vt:i4>416</vt:i4>
      </vt:variant>
      <vt:variant>
        <vt:i4>0</vt:i4>
      </vt:variant>
      <vt:variant>
        <vt:i4>5</vt:i4>
      </vt:variant>
      <vt:variant>
        <vt:lpwstr/>
      </vt:variant>
      <vt:variant>
        <vt:lpwstr>_Toc446093235</vt:lpwstr>
      </vt:variant>
      <vt:variant>
        <vt:i4>1245241</vt:i4>
      </vt:variant>
      <vt:variant>
        <vt:i4>410</vt:i4>
      </vt:variant>
      <vt:variant>
        <vt:i4>0</vt:i4>
      </vt:variant>
      <vt:variant>
        <vt:i4>5</vt:i4>
      </vt:variant>
      <vt:variant>
        <vt:lpwstr/>
      </vt:variant>
      <vt:variant>
        <vt:lpwstr>_Toc446093234</vt:lpwstr>
      </vt:variant>
      <vt:variant>
        <vt:i4>1245241</vt:i4>
      </vt:variant>
      <vt:variant>
        <vt:i4>404</vt:i4>
      </vt:variant>
      <vt:variant>
        <vt:i4>0</vt:i4>
      </vt:variant>
      <vt:variant>
        <vt:i4>5</vt:i4>
      </vt:variant>
      <vt:variant>
        <vt:lpwstr/>
      </vt:variant>
      <vt:variant>
        <vt:lpwstr>_Toc446093233</vt:lpwstr>
      </vt:variant>
      <vt:variant>
        <vt:i4>1245241</vt:i4>
      </vt:variant>
      <vt:variant>
        <vt:i4>398</vt:i4>
      </vt:variant>
      <vt:variant>
        <vt:i4>0</vt:i4>
      </vt:variant>
      <vt:variant>
        <vt:i4>5</vt:i4>
      </vt:variant>
      <vt:variant>
        <vt:lpwstr/>
      </vt:variant>
      <vt:variant>
        <vt:lpwstr>_Toc446093232</vt:lpwstr>
      </vt:variant>
      <vt:variant>
        <vt:i4>1245241</vt:i4>
      </vt:variant>
      <vt:variant>
        <vt:i4>392</vt:i4>
      </vt:variant>
      <vt:variant>
        <vt:i4>0</vt:i4>
      </vt:variant>
      <vt:variant>
        <vt:i4>5</vt:i4>
      </vt:variant>
      <vt:variant>
        <vt:lpwstr/>
      </vt:variant>
      <vt:variant>
        <vt:lpwstr>_Toc446093231</vt:lpwstr>
      </vt:variant>
      <vt:variant>
        <vt:i4>1245241</vt:i4>
      </vt:variant>
      <vt:variant>
        <vt:i4>386</vt:i4>
      </vt:variant>
      <vt:variant>
        <vt:i4>0</vt:i4>
      </vt:variant>
      <vt:variant>
        <vt:i4>5</vt:i4>
      </vt:variant>
      <vt:variant>
        <vt:lpwstr/>
      </vt:variant>
      <vt:variant>
        <vt:lpwstr>_Toc446093230</vt:lpwstr>
      </vt:variant>
      <vt:variant>
        <vt:i4>1179705</vt:i4>
      </vt:variant>
      <vt:variant>
        <vt:i4>380</vt:i4>
      </vt:variant>
      <vt:variant>
        <vt:i4>0</vt:i4>
      </vt:variant>
      <vt:variant>
        <vt:i4>5</vt:i4>
      </vt:variant>
      <vt:variant>
        <vt:lpwstr/>
      </vt:variant>
      <vt:variant>
        <vt:lpwstr>_Toc446093229</vt:lpwstr>
      </vt:variant>
      <vt:variant>
        <vt:i4>1179705</vt:i4>
      </vt:variant>
      <vt:variant>
        <vt:i4>374</vt:i4>
      </vt:variant>
      <vt:variant>
        <vt:i4>0</vt:i4>
      </vt:variant>
      <vt:variant>
        <vt:i4>5</vt:i4>
      </vt:variant>
      <vt:variant>
        <vt:lpwstr/>
      </vt:variant>
      <vt:variant>
        <vt:lpwstr>_Toc446093228</vt:lpwstr>
      </vt:variant>
      <vt:variant>
        <vt:i4>1179705</vt:i4>
      </vt:variant>
      <vt:variant>
        <vt:i4>368</vt:i4>
      </vt:variant>
      <vt:variant>
        <vt:i4>0</vt:i4>
      </vt:variant>
      <vt:variant>
        <vt:i4>5</vt:i4>
      </vt:variant>
      <vt:variant>
        <vt:lpwstr/>
      </vt:variant>
      <vt:variant>
        <vt:lpwstr>_Toc446093227</vt:lpwstr>
      </vt:variant>
      <vt:variant>
        <vt:i4>1179705</vt:i4>
      </vt:variant>
      <vt:variant>
        <vt:i4>362</vt:i4>
      </vt:variant>
      <vt:variant>
        <vt:i4>0</vt:i4>
      </vt:variant>
      <vt:variant>
        <vt:i4>5</vt:i4>
      </vt:variant>
      <vt:variant>
        <vt:lpwstr/>
      </vt:variant>
      <vt:variant>
        <vt:lpwstr>_Toc446093226</vt:lpwstr>
      </vt:variant>
      <vt:variant>
        <vt:i4>1179705</vt:i4>
      </vt:variant>
      <vt:variant>
        <vt:i4>356</vt:i4>
      </vt:variant>
      <vt:variant>
        <vt:i4>0</vt:i4>
      </vt:variant>
      <vt:variant>
        <vt:i4>5</vt:i4>
      </vt:variant>
      <vt:variant>
        <vt:lpwstr/>
      </vt:variant>
      <vt:variant>
        <vt:lpwstr>_Toc446093225</vt:lpwstr>
      </vt:variant>
      <vt:variant>
        <vt:i4>1179705</vt:i4>
      </vt:variant>
      <vt:variant>
        <vt:i4>350</vt:i4>
      </vt:variant>
      <vt:variant>
        <vt:i4>0</vt:i4>
      </vt:variant>
      <vt:variant>
        <vt:i4>5</vt:i4>
      </vt:variant>
      <vt:variant>
        <vt:lpwstr/>
      </vt:variant>
      <vt:variant>
        <vt:lpwstr>_Toc446093224</vt:lpwstr>
      </vt:variant>
      <vt:variant>
        <vt:i4>1179705</vt:i4>
      </vt:variant>
      <vt:variant>
        <vt:i4>344</vt:i4>
      </vt:variant>
      <vt:variant>
        <vt:i4>0</vt:i4>
      </vt:variant>
      <vt:variant>
        <vt:i4>5</vt:i4>
      </vt:variant>
      <vt:variant>
        <vt:lpwstr/>
      </vt:variant>
      <vt:variant>
        <vt:lpwstr>_Toc446093223</vt:lpwstr>
      </vt:variant>
      <vt:variant>
        <vt:i4>1179705</vt:i4>
      </vt:variant>
      <vt:variant>
        <vt:i4>338</vt:i4>
      </vt:variant>
      <vt:variant>
        <vt:i4>0</vt:i4>
      </vt:variant>
      <vt:variant>
        <vt:i4>5</vt:i4>
      </vt:variant>
      <vt:variant>
        <vt:lpwstr/>
      </vt:variant>
      <vt:variant>
        <vt:lpwstr>_Toc446093222</vt:lpwstr>
      </vt:variant>
      <vt:variant>
        <vt:i4>1179705</vt:i4>
      </vt:variant>
      <vt:variant>
        <vt:i4>332</vt:i4>
      </vt:variant>
      <vt:variant>
        <vt:i4>0</vt:i4>
      </vt:variant>
      <vt:variant>
        <vt:i4>5</vt:i4>
      </vt:variant>
      <vt:variant>
        <vt:lpwstr/>
      </vt:variant>
      <vt:variant>
        <vt:lpwstr>_Toc446093221</vt:lpwstr>
      </vt:variant>
      <vt:variant>
        <vt:i4>1179705</vt:i4>
      </vt:variant>
      <vt:variant>
        <vt:i4>326</vt:i4>
      </vt:variant>
      <vt:variant>
        <vt:i4>0</vt:i4>
      </vt:variant>
      <vt:variant>
        <vt:i4>5</vt:i4>
      </vt:variant>
      <vt:variant>
        <vt:lpwstr/>
      </vt:variant>
      <vt:variant>
        <vt:lpwstr>_Toc446093220</vt:lpwstr>
      </vt:variant>
      <vt:variant>
        <vt:i4>1114169</vt:i4>
      </vt:variant>
      <vt:variant>
        <vt:i4>320</vt:i4>
      </vt:variant>
      <vt:variant>
        <vt:i4>0</vt:i4>
      </vt:variant>
      <vt:variant>
        <vt:i4>5</vt:i4>
      </vt:variant>
      <vt:variant>
        <vt:lpwstr/>
      </vt:variant>
      <vt:variant>
        <vt:lpwstr>_Toc446093219</vt:lpwstr>
      </vt:variant>
      <vt:variant>
        <vt:i4>1114169</vt:i4>
      </vt:variant>
      <vt:variant>
        <vt:i4>314</vt:i4>
      </vt:variant>
      <vt:variant>
        <vt:i4>0</vt:i4>
      </vt:variant>
      <vt:variant>
        <vt:i4>5</vt:i4>
      </vt:variant>
      <vt:variant>
        <vt:lpwstr/>
      </vt:variant>
      <vt:variant>
        <vt:lpwstr>_Toc446093218</vt:lpwstr>
      </vt:variant>
      <vt:variant>
        <vt:i4>1114169</vt:i4>
      </vt:variant>
      <vt:variant>
        <vt:i4>308</vt:i4>
      </vt:variant>
      <vt:variant>
        <vt:i4>0</vt:i4>
      </vt:variant>
      <vt:variant>
        <vt:i4>5</vt:i4>
      </vt:variant>
      <vt:variant>
        <vt:lpwstr/>
      </vt:variant>
      <vt:variant>
        <vt:lpwstr>_Toc446093217</vt:lpwstr>
      </vt:variant>
      <vt:variant>
        <vt:i4>1114169</vt:i4>
      </vt:variant>
      <vt:variant>
        <vt:i4>302</vt:i4>
      </vt:variant>
      <vt:variant>
        <vt:i4>0</vt:i4>
      </vt:variant>
      <vt:variant>
        <vt:i4>5</vt:i4>
      </vt:variant>
      <vt:variant>
        <vt:lpwstr/>
      </vt:variant>
      <vt:variant>
        <vt:lpwstr>_Toc446093216</vt:lpwstr>
      </vt:variant>
      <vt:variant>
        <vt:i4>1114169</vt:i4>
      </vt:variant>
      <vt:variant>
        <vt:i4>296</vt:i4>
      </vt:variant>
      <vt:variant>
        <vt:i4>0</vt:i4>
      </vt:variant>
      <vt:variant>
        <vt:i4>5</vt:i4>
      </vt:variant>
      <vt:variant>
        <vt:lpwstr/>
      </vt:variant>
      <vt:variant>
        <vt:lpwstr>_Toc446093215</vt:lpwstr>
      </vt:variant>
      <vt:variant>
        <vt:i4>1114169</vt:i4>
      </vt:variant>
      <vt:variant>
        <vt:i4>290</vt:i4>
      </vt:variant>
      <vt:variant>
        <vt:i4>0</vt:i4>
      </vt:variant>
      <vt:variant>
        <vt:i4>5</vt:i4>
      </vt:variant>
      <vt:variant>
        <vt:lpwstr/>
      </vt:variant>
      <vt:variant>
        <vt:lpwstr>_Toc446093214</vt:lpwstr>
      </vt:variant>
      <vt:variant>
        <vt:i4>1114169</vt:i4>
      </vt:variant>
      <vt:variant>
        <vt:i4>284</vt:i4>
      </vt:variant>
      <vt:variant>
        <vt:i4>0</vt:i4>
      </vt:variant>
      <vt:variant>
        <vt:i4>5</vt:i4>
      </vt:variant>
      <vt:variant>
        <vt:lpwstr/>
      </vt:variant>
      <vt:variant>
        <vt:lpwstr>_Toc446093213</vt:lpwstr>
      </vt:variant>
      <vt:variant>
        <vt:i4>1114169</vt:i4>
      </vt:variant>
      <vt:variant>
        <vt:i4>278</vt:i4>
      </vt:variant>
      <vt:variant>
        <vt:i4>0</vt:i4>
      </vt:variant>
      <vt:variant>
        <vt:i4>5</vt:i4>
      </vt:variant>
      <vt:variant>
        <vt:lpwstr/>
      </vt:variant>
      <vt:variant>
        <vt:lpwstr>_Toc446093212</vt:lpwstr>
      </vt:variant>
      <vt:variant>
        <vt:i4>1114169</vt:i4>
      </vt:variant>
      <vt:variant>
        <vt:i4>272</vt:i4>
      </vt:variant>
      <vt:variant>
        <vt:i4>0</vt:i4>
      </vt:variant>
      <vt:variant>
        <vt:i4>5</vt:i4>
      </vt:variant>
      <vt:variant>
        <vt:lpwstr/>
      </vt:variant>
      <vt:variant>
        <vt:lpwstr>_Toc446093211</vt:lpwstr>
      </vt:variant>
      <vt:variant>
        <vt:i4>1114169</vt:i4>
      </vt:variant>
      <vt:variant>
        <vt:i4>266</vt:i4>
      </vt:variant>
      <vt:variant>
        <vt:i4>0</vt:i4>
      </vt:variant>
      <vt:variant>
        <vt:i4>5</vt:i4>
      </vt:variant>
      <vt:variant>
        <vt:lpwstr/>
      </vt:variant>
      <vt:variant>
        <vt:lpwstr>_Toc446093210</vt:lpwstr>
      </vt:variant>
      <vt:variant>
        <vt:i4>1048633</vt:i4>
      </vt:variant>
      <vt:variant>
        <vt:i4>260</vt:i4>
      </vt:variant>
      <vt:variant>
        <vt:i4>0</vt:i4>
      </vt:variant>
      <vt:variant>
        <vt:i4>5</vt:i4>
      </vt:variant>
      <vt:variant>
        <vt:lpwstr/>
      </vt:variant>
      <vt:variant>
        <vt:lpwstr>_Toc446093209</vt:lpwstr>
      </vt:variant>
      <vt:variant>
        <vt:i4>1048633</vt:i4>
      </vt:variant>
      <vt:variant>
        <vt:i4>254</vt:i4>
      </vt:variant>
      <vt:variant>
        <vt:i4>0</vt:i4>
      </vt:variant>
      <vt:variant>
        <vt:i4>5</vt:i4>
      </vt:variant>
      <vt:variant>
        <vt:lpwstr/>
      </vt:variant>
      <vt:variant>
        <vt:lpwstr>_Toc446093208</vt:lpwstr>
      </vt:variant>
      <vt:variant>
        <vt:i4>1048633</vt:i4>
      </vt:variant>
      <vt:variant>
        <vt:i4>248</vt:i4>
      </vt:variant>
      <vt:variant>
        <vt:i4>0</vt:i4>
      </vt:variant>
      <vt:variant>
        <vt:i4>5</vt:i4>
      </vt:variant>
      <vt:variant>
        <vt:lpwstr/>
      </vt:variant>
      <vt:variant>
        <vt:lpwstr>_Toc446093207</vt:lpwstr>
      </vt:variant>
      <vt:variant>
        <vt:i4>1048633</vt:i4>
      </vt:variant>
      <vt:variant>
        <vt:i4>242</vt:i4>
      </vt:variant>
      <vt:variant>
        <vt:i4>0</vt:i4>
      </vt:variant>
      <vt:variant>
        <vt:i4>5</vt:i4>
      </vt:variant>
      <vt:variant>
        <vt:lpwstr/>
      </vt:variant>
      <vt:variant>
        <vt:lpwstr>_Toc446093206</vt:lpwstr>
      </vt:variant>
      <vt:variant>
        <vt:i4>1048633</vt:i4>
      </vt:variant>
      <vt:variant>
        <vt:i4>236</vt:i4>
      </vt:variant>
      <vt:variant>
        <vt:i4>0</vt:i4>
      </vt:variant>
      <vt:variant>
        <vt:i4>5</vt:i4>
      </vt:variant>
      <vt:variant>
        <vt:lpwstr/>
      </vt:variant>
      <vt:variant>
        <vt:lpwstr>_Toc446093205</vt:lpwstr>
      </vt:variant>
      <vt:variant>
        <vt:i4>1048633</vt:i4>
      </vt:variant>
      <vt:variant>
        <vt:i4>230</vt:i4>
      </vt:variant>
      <vt:variant>
        <vt:i4>0</vt:i4>
      </vt:variant>
      <vt:variant>
        <vt:i4>5</vt:i4>
      </vt:variant>
      <vt:variant>
        <vt:lpwstr/>
      </vt:variant>
      <vt:variant>
        <vt:lpwstr>_Toc446093204</vt:lpwstr>
      </vt:variant>
      <vt:variant>
        <vt:i4>1048633</vt:i4>
      </vt:variant>
      <vt:variant>
        <vt:i4>224</vt:i4>
      </vt:variant>
      <vt:variant>
        <vt:i4>0</vt:i4>
      </vt:variant>
      <vt:variant>
        <vt:i4>5</vt:i4>
      </vt:variant>
      <vt:variant>
        <vt:lpwstr/>
      </vt:variant>
      <vt:variant>
        <vt:lpwstr>_Toc446093203</vt:lpwstr>
      </vt:variant>
      <vt:variant>
        <vt:i4>1048633</vt:i4>
      </vt:variant>
      <vt:variant>
        <vt:i4>218</vt:i4>
      </vt:variant>
      <vt:variant>
        <vt:i4>0</vt:i4>
      </vt:variant>
      <vt:variant>
        <vt:i4>5</vt:i4>
      </vt:variant>
      <vt:variant>
        <vt:lpwstr/>
      </vt:variant>
      <vt:variant>
        <vt:lpwstr>_Toc446093202</vt:lpwstr>
      </vt:variant>
      <vt:variant>
        <vt:i4>1048633</vt:i4>
      </vt:variant>
      <vt:variant>
        <vt:i4>212</vt:i4>
      </vt:variant>
      <vt:variant>
        <vt:i4>0</vt:i4>
      </vt:variant>
      <vt:variant>
        <vt:i4>5</vt:i4>
      </vt:variant>
      <vt:variant>
        <vt:lpwstr/>
      </vt:variant>
      <vt:variant>
        <vt:lpwstr>_Toc446093201</vt:lpwstr>
      </vt:variant>
      <vt:variant>
        <vt:i4>1048633</vt:i4>
      </vt:variant>
      <vt:variant>
        <vt:i4>206</vt:i4>
      </vt:variant>
      <vt:variant>
        <vt:i4>0</vt:i4>
      </vt:variant>
      <vt:variant>
        <vt:i4>5</vt:i4>
      </vt:variant>
      <vt:variant>
        <vt:lpwstr/>
      </vt:variant>
      <vt:variant>
        <vt:lpwstr>_Toc446093200</vt:lpwstr>
      </vt:variant>
      <vt:variant>
        <vt:i4>1638458</vt:i4>
      </vt:variant>
      <vt:variant>
        <vt:i4>200</vt:i4>
      </vt:variant>
      <vt:variant>
        <vt:i4>0</vt:i4>
      </vt:variant>
      <vt:variant>
        <vt:i4>5</vt:i4>
      </vt:variant>
      <vt:variant>
        <vt:lpwstr/>
      </vt:variant>
      <vt:variant>
        <vt:lpwstr>_Toc446093199</vt:lpwstr>
      </vt:variant>
      <vt:variant>
        <vt:i4>1638458</vt:i4>
      </vt:variant>
      <vt:variant>
        <vt:i4>194</vt:i4>
      </vt:variant>
      <vt:variant>
        <vt:i4>0</vt:i4>
      </vt:variant>
      <vt:variant>
        <vt:i4>5</vt:i4>
      </vt:variant>
      <vt:variant>
        <vt:lpwstr/>
      </vt:variant>
      <vt:variant>
        <vt:lpwstr>_Toc446093198</vt:lpwstr>
      </vt:variant>
      <vt:variant>
        <vt:i4>1638458</vt:i4>
      </vt:variant>
      <vt:variant>
        <vt:i4>188</vt:i4>
      </vt:variant>
      <vt:variant>
        <vt:i4>0</vt:i4>
      </vt:variant>
      <vt:variant>
        <vt:i4>5</vt:i4>
      </vt:variant>
      <vt:variant>
        <vt:lpwstr/>
      </vt:variant>
      <vt:variant>
        <vt:lpwstr>_Toc446093197</vt:lpwstr>
      </vt:variant>
      <vt:variant>
        <vt:i4>1638458</vt:i4>
      </vt:variant>
      <vt:variant>
        <vt:i4>182</vt:i4>
      </vt:variant>
      <vt:variant>
        <vt:i4>0</vt:i4>
      </vt:variant>
      <vt:variant>
        <vt:i4>5</vt:i4>
      </vt:variant>
      <vt:variant>
        <vt:lpwstr/>
      </vt:variant>
      <vt:variant>
        <vt:lpwstr>_Toc446093196</vt:lpwstr>
      </vt:variant>
      <vt:variant>
        <vt:i4>1638458</vt:i4>
      </vt:variant>
      <vt:variant>
        <vt:i4>176</vt:i4>
      </vt:variant>
      <vt:variant>
        <vt:i4>0</vt:i4>
      </vt:variant>
      <vt:variant>
        <vt:i4>5</vt:i4>
      </vt:variant>
      <vt:variant>
        <vt:lpwstr/>
      </vt:variant>
      <vt:variant>
        <vt:lpwstr>_Toc446093195</vt:lpwstr>
      </vt:variant>
      <vt:variant>
        <vt:i4>1638458</vt:i4>
      </vt:variant>
      <vt:variant>
        <vt:i4>170</vt:i4>
      </vt:variant>
      <vt:variant>
        <vt:i4>0</vt:i4>
      </vt:variant>
      <vt:variant>
        <vt:i4>5</vt:i4>
      </vt:variant>
      <vt:variant>
        <vt:lpwstr/>
      </vt:variant>
      <vt:variant>
        <vt:lpwstr>_Toc446093194</vt:lpwstr>
      </vt:variant>
      <vt:variant>
        <vt:i4>1638458</vt:i4>
      </vt:variant>
      <vt:variant>
        <vt:i4>164</vt:i4>
      </vt:variant>
      <vt:variant>
        <vt:i4>0</vt:i4>
      </vt:variant>
      <vt:variant>
        <vt:i4>5</vt:i4>
      </vt:variant>
      <vt:variant>
        <vt:lpwstr/>
      </vt:variant>
      <vt:variant>
        <vt:lpwstr>_Toc446093193</vt:lpwstr>
      </vt:variant>
      <vt:variant>
        <vt:i4>1638458</vt:i4>
      </vt:variant>
      <vt:variant>
        <vt:i4>158</vt:i4>
      </vt:variant>
      <vt:variant>
        <vt:i4>0</vt:i4>
      </vt:variant>
      <vt:variant>
        <vt:i4>5</vt:i4>
      </vt:variant>
      <vt:variant>
        <vt:lpwstr/>
      </vt:variant>
      <vt:variant>
        <vt:lpwstr>_Toc446093192</vt:lpwstr>
      </vt:variant>
      <vt:variant>
        <vt:i4>1638458</vt:i4>
      </vt:variant>
      <vt:variant>
        <vt:i4>152</vt:i4>
      </vt:variant>
      <vt:variant>
        <vt:i4>0</vt:i4>
      </vt:variant>
      <vt:variant>
        <vt:i4>5</vt:i4>
      </vt:variant>
      <vt:variant>
        <vt:lpwstr/>
      </vt:variant>
      <vt:variant>
        <vt:lpwstr>_Toc446093191</vt:lpwstr>
      </vt:variant>
      <vt:variant>
        <vt:i4>1638458</vt:i4>
      </vt:variant>
      <vt:variant>
        <vt:i4>146</vt:i4>
      </vt:variant>
      <vt:variant>
        <vt:i4>0</vt:i4>
      </vt:variant>
      <vt:variant>
        <vt:i4>5</vt:i4>
      </vt:variant>
      <vt:variant>
        <vt:lpwstr/>
      </vt:variant>
      <vt:variant>
        <vt:lpwstr>_Toc446093190</vt:lpwstr>
      </vt:variant>
      <vt:variant>
        <vt:i4>1572922</vt:i4>
      </vt:variant>
      <vt:variant>
        <vt:i4>140</vt:i4>
      </vt:variant>
      <vt:variant>
        <vt:i4>0</vt:i4>
      </vt:variant>
      <vt:variant>
        <vt:i4>5</vt:i4>
      </vt:variant>
      <vt:variant>
        <vt:lpwstr/>
      </vt:variant>
      <vt:variant>
        <vt:lpwstr>_Toc446093189</vt:lpwstr>
      </vt:variant>
      <vt:variant>
        <vt:i4>1572922</vt:i4>
      </vt:variant>
      <vt:variant>
        <vt:i4>134</vt:i4>
      </vt:variant>
      <vt:variant>
        <vt:i4>0</vt:i4>
      </vt:variant>
      <vt:variant>
        <vt:i4>5</vt:i4>
      </vt:variant>
      <vt:variant>
        <vt:lpwstr/>
      </vt:variant>
      <vt:variant>
        <vt:lpwstr>_Toc446093188</vt:lpwstr>
      </vt:variant>
      <vt:variant>
        <vt:i4>1572922</vt:i4>
      </vt:variant>
      <vt:variant>
        <vt:i4>128</vt:i4>
      </vt:variant>
      <vt:variant>
        <vt:i4>0</vt:i4>
      </vt:variant>
      <vt:variant>
        <vt:i4>5</vt:i4>
      </vt:variant>
      <vt:variant>
        <vt:lpwstr/>
      </vt:variant>
      <vt:variant>
        <vt:lpwstr>_Toc446093187</vt:lpwstr>
      </vt:variant>
      <vt:variant>
        <vt:i4>1572922</vt:i4>
      </vt:variant>
      <vt:variant>
        <vt:i4>122</vt:i4>
      </vt:variant>
      <vt:variant>
        <vt:i4>0</vt:i4>
      </vt:variant>
      <vt:variant>
        <vt:i4>5</vt:i4>
      </vt:variant>
      <vt:variant>
        <vt:lpwstr/>
      </vt:variant>
      <vt:variant>
        <vt:lpwstr>_Toc446093186</vt:lpwstr>
      </vt:variant>
      <vt:variant>
        <vt:i4>1572922</vt:i4>
      </vt:variant>
      <vt:variant>
        <vt:i4>116</vt:i4>
      </vt:variant>
      <vt:variant>
        <vt:i4>0</vt:i4>
      </vt:variant>
      <vt:variant>
        <vt:i4>5</vt:i4>
      </vt:variant>
      <vt:variant>
        <vt:lpwstr/>
      </vt:variant>
      <vt:variant>
        <vt:lpwstr>_Toc446093185</vt:lpwstr>
      </vt:variant>
      <vt:variant>
        <vt:i4>1572922</vt:i4>
      </vt:variant>
      <vt:variant>
        <vt:i4>110</vt:i4>
      </vt:variant>
      <vt:variant>
        <vt:i4>0</vt:i4>
      </vt:variant>
      <vt:variant>
        <vt:i4>5</vt:i4>
      </vt:variant>
      <vt:variant>
        <vt:lpwstr/>
      </vt:variant>
      <vt:variant>
        <vt:lpwstr>_Toc446093184</vt:lpwstr>
      </vt:variant>
      <vt:variant>
        <vt:i4>1572922</vt:i4>
      </vt:variant>
      <vt:variant>
        <vt:i4>104</vt:i4>
      </vt:variant>
      <vt:variant>
        <vt:i4>0</vt:i4>
      </vt:variant>
      <vt:variant>
        <vt:i4>5</vt:i4>
      </vt:variant>
      <vt:variant>
        <vt:lpwstr/>
      </vt:variant>
      <vt:variant>
        <vt:lpwstr>_Toc446093183</vt:lpwstr>
      </vt:variant>
      <vt:variant>
        <vt:i4>1572922</vt:i4>
      </vt:variant>
      <vt:variant>
        <vt:i4>98</vt:i4>
      </vt:variant>
      <vt:variant>
        <vt:i4>0</vt:i4>
      </vt:variant>
      <vt:variant>
        <vt:i4>5</vt:i4>
      </vt:variant>
      <vt:variant>
        <vt:lpwstr/>
      </vt:variant>
      <vt:variant>
        <vt:lpwstr>_Toc446093182</vt:lpwstr>
      </vt:variant>
      <vt:variant>
        <vt:i4>1572922</vt:i4>
      </vt:variant>
      <vt:variant>
        <vt:i4>92</vt:i4>
      </vt:variant>
      <vt:variant>
        <vt:i4>0</vt:i4>
      </vt:variant>
      <vt:variant>
        <vt:i4>5</vt:i4>
      </vt:variant>
      <vt:variant>
        <vt:lpwstr/>
      </vt:variant>
      <vt:variant>
        <vt:lpwstr>_Toc446093181</vt:lpwstr>
      </vt:variant>
      <vt:variant>
        <vt:i4>1572922</vt:i4>
      </vt:variant>
      <vt:variant>
        <vt:i4>86</vt:i4>
      </vt:variant>
      <vt:variant>
        <vt:i4>0</vt:i4>
      </vt:variant>
      <vt:variant>
        <vt:i4>5</vt:i4>
      </vt:variant>
      <vt:variant>
        <vt:lpwstr/>
      </vt:variant>
      <vt:variant>
        <vt:lpwstr>_Toc446093180</vt:lpwstr>
      </vt:variant>
      <vt:variant>
        <vt:i4>1507386</vt:i4>
      </vt:variant>
      <vt:variant>
        <vt:i4>80</vt:i4>
      </vt:variant>
      <vt:variant>
        <vt:i4>0</vt:i4>
      </vt:variant>
      <vt:variant>
        <vt:i4>5</vt:i4>
      </vt:variant>
      <vt:variant>
        <vt:lpwstr/>
      </vt:variant>
      <vt:variant>
        <vt:lpwstr>_Toc446093179</vt:lpwstr>
      </vt:variant>
      <vt:variant>
        <vt:i4>1507386</vt:i4>
      </vt:variant>
      <vt:variant>
        <vt:i4>74</vt:i4>
      </vt:variant>
      <vt:variant>
        <vt:i4>0</vt:i4>
      </vt:variant>
      <vt:variant>
        <vt:i4>5</vt:i4>
      </vt:variant>
      <vt:variant>
        <vt:lpwstr/>
      </vt:variant>
      <vt:variant>
        <vt:lpwstr>_Toc446093178</vt:lpwstr>
      </vt:variant>
      <vt:variant>
        <vt:i4>1507386</vt:i4>
      </vt:variant>
      <vt:variant>
        <vt:i4>68</vt:i4>
      </vt:variant>
      <vt:variant>
        <vt:i4>0</vt:i4>
      </vt:variant>
      <vt:variant>
        <vt:i4>5</vt:i4>
      </vt:variant>
      <vt:variant>
        <vt:lpwstr/>
      </vt:variant>
      <vt:variant>
        <vt:lpwstr>_Toc446093177</vt:lpwstr>
      </vt:variant>
      <vt:variant>
        <vt:i4>1507386</vt:i4>
      </vt:variant>
      <vt:variant>
        <vt:i4>62</vt:i4>
      </vt:variant>
      <vt:variant>
        <vt:i4>0</vt:i4>
      </vt:variant>
      <vt:variant>
        <vt:i4>5</vt:i4>
      </vt:variant>
      <vt:variant>
        <vt:lpwstr/>
      </vt:variant>
      <vt:variant>
        <vt:lpwstr>_Toc446093176</vt:lpwstr>
      </vt:variant>
      <vt:variant>
        <vt:i4>1507386</vt:i4>
      </vt:variant>
      <vt:variant>
        <vt:i4>56</vt:i4>
      </vt:variant>
      <vt:variant>
        <vt:i4>0</vt:i4>
      </vt:variant>
      <vt:variant>
        <vt:i4>5</vt:i4>
      </vt:variant>
      <vt:variant>
        <vt:lpwstr/>
      </vt:variant>
      <vt:variant>
        <vt:lpwstr>_Toc446093175</vt:lpwstr>
      </vt:variant>
      <vt:variant>
        <vt:i4>1507386</vt:i4>
      </vt:variant>
      <vt:variant>
        <vt:i4>50</vt:i4>
      </vt:variant>
      <vt:variant>
        <vt:i4>0</vt:i4>
      </vt:variant>
      <vt:variant>
        <vt:i4>5</vt:i4>
      </vt:variant>
      <vt:variant>
        <vt:lpwstr/>
      </vt:variant>
      <vt:variant>
        <vt:lpwstr>_Toc446093174</vt:lpwstr>
      </vt:variant>
      <vt:variant>
        <vt:i4>1507386</vt:i4>
      </vt:variant>
      <vt:variant>
        <vt:i4>44</vt:i4>
      </vt:variant>
      <vt:variant>
        <vt:i4>0</vt:i4>
      </vt:variant>
      <vt:variant>
        <vt:i4>5</vt:i4>
      </vt:variant>
      <vt:variant>
        <vt:lpwstr/>
      </vt:variant>
      <vt:variant>
        <vt:lpwstr>_Toc446093173</vt:lpwstr>
      </vt:variant>
      <vt:variant>
        <vt:i4>1507386</vt:i4>
      </vt:variant>
      <vt:variant>
        <vt:i4>38</vt:i4>
      </vt:variant>
      <vt:variant>
        <vt:i4>0</vt:i4>
      </vt:variant>
      <vt:variant>
        <vt:i4>5</vt:i4>
      </vt:variant>
      <vt:variant>
        <vt:lpwstr/>
      </vt:variant>
      <vt:variant>
        <vt:lpwstr>_Toc446093172</vt:lpwstr>
      </vt:variant>
      <vt:variant>
        <vt:i4>1507386</vt:i4>
      </vt:variant>
      <vt:variant>
        <vt:i4>32</vt:i4>
      </vt:variant>
      <vt:variant>
        <vt:i4>0</vt:i4>
      </vt:variant>
      <vt:variant>
        <vt:i4>5</vt:i4>
      </vt:variant>
      <vt:variant>
        <vt:lpwstr/>
      </vt:variant>
      <vt:variant>
        <vt:lpwstr>_Toc446093171</vt:lpwstr>
      </vt:variant>
      <vt:variant>
        <vt:i4>1507386</vt:i4>
      </vt:variant>
      <vt:variant>
        <vt:i4>26</vt:i4>
      </vt:variant>
      <vt:variant>
        <vt:i4>0</vt:i4>
      </vt:variant>
      <vt:variant>
        <vt:i4>5</vt:i4>
      </vt:variant>
      <vt:variant>
        <vt:lpwstr/>
      </vt:variant>
      <vt:variant>
        <vt:lpwstr>_Toc446093170</vt:lpwstr>
      </vt:variant>
      <vt:variant>
        <vt:i4>1441850</vt:i4>
      </vt:variant>
      <vt:variant>
        <vt:i4>20</vt:i4>
      </vt:variant>
      <vt:variant>
        <vt:i4>0</vt:i4>
      </vt:variant>
      <vt:variant>
        <vt:i4>5</vt:i4>
      </vt:variant>
      <vt:variant>
        <vt:lpwstr/>
      </vt:variant>
      <vt:variant>
        <vt:lpwstr>_Toc446093169</vt:lpwstr>
      </vt:variant>
      <vt:variant>
        <vt:i4>1441850</vt:i4>
      </vt:variant>
      <vt:variant>
        <vt:i4>14</vt:i4>
      </vt:variant>
      <vt:variant>
        <vt:i4>0</vt:i4>
      </vt:variant>
      <vt:variant>
        <vt:i4>5</vt:i4>
      </vt:variant>
      <vt:variant>
        <vt:lpwstr/>
      </vt:variant>
      <vt:variant>
        <vt:lpwstr>_Toc446093168</vt:lpwstr>
      </vt:variant>
      <vt:variant>
        <vt:i4>1441850</vt:i4>
      </vt:variant>
      <vt:variant>
        <vt:i4>8</vt:i4>
      </vt:variant>
      <vt:variant>
        <vt:i4>0</vt:i4>
      </vt:variant>
      <vt:variant>
        <vt:i4>5</vt:i4>
      </vt:variant>
      <vt:variant>
        <vt:lpwstr/>
      </vt:variant>
      <vt:variant>
        <vt:lpwstr>_Toc446093167</vt:lpwstr>
      </vt:variant>
      <vt:variant>
        <vt:i4>1441850</vt:i4>
      </vt:variant>
      <vt:variant>
        <vt:i4>2</vt:i4>
      </vt:variant>
      <vt:variant>
        <vt:i4>0</vt:i4>
      </vt:variant>
      <vt:variant>
        <vt:i4>5</vt:i4>
      </vt:variant>
      <vt:variant>
        <vt:lpwstr/>
      </vt:variant>
      <vt:variant>
        <vt:lpwstr>_Toc446093166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Yolanda Delgado Cascante</dc:creator>
  <cp:lastModifiedBy>MPONUG05</cp:lastModifiedBy>
  <cp:revision>2</cp:revision>
  <cp:lastPrinted>2016-03-18T11:51:00Z</cp:lastPrinted>
  <dcterms:created xsi:type="dcterms:W3CDTF">2016-03-19T04:57:00Z</dcterms:created>
  <dcterms:modified xsi:type="dcterms:W3CDTF">2016-03-19T04:57:00Z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