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C3AC09C" w14:textId="326E8E5D" w:rsidR="00870FE1" w:rsidRDefault="001D29F1" w:rsidP="00F22F78">
      <w:pPr>
        <w:ind w:left="5040" w:firstLine="720"/>
      </w:pPr>
      <w:r>
        <w:rPr>
          <w:noProof/>
        </w:rPr>
        <w:drawing>
          <wp:anchor distT="0" distB="0" distL="114300" distR="114300" simplePos="0" relativeHeight="251658242" behindDoc="1" locked="0" layoutInCell="1" allowOverlap="1" wp14:anchorId="2313164B" wp14:editId="5E15012C">
            <wp:simplePos x="0" y="0"/>
            <wp:positionH relativeFrom="column">
              <wp:posOffset>1087120</wp:posOffset>
            </wp:positionH>
            <wp:positionV relativeFrom="paragraph">
              <wp:posOffset>793750</wp:posOffset>
            </wp:positionV>
            <wp:extent cx="2408201" cy="577850"/>
            <wp:effectExtent l="0" t="0" r="0" b="0"/>
            <wp:wrapNone/>
            <wp:docPr id="1585820624" name="Picture 1" descr="A blue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5820624" name="Picture 1" descr="A blue text on a white background&#10;&#10;Description automatically generated"/>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408201" cy="577850"/>
                    </a:xfrm>
                    <a:prstGeom prst="rect">
                      <a:avLst/>
                    </a:prstGeom>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8241" behindDoc="1" locked="0" layoutInCell="1" allowOverlap="1" wp14:anchorId="574046C0" wp14:editId="6FD08B8D">
            <wp:simplePos x="0" y="0"/>
            <wp:positionH relativeFrom="margin">
              <wp:align>left</wp:align>
            </wp:positionH>
            <wp:positionV relativeFrom="paragraph">
              <wp:posOffset>69850</wp:posOffset>
            </wp:positionV>
            <wp:extent cx="889000" cy="1246414"/>
            <wp:effectExtent l="0" t="0" r="6350" b="0"/>
            <wp:wrapNone/>
            <wp:docPr id="725092106" name="Picture 1" descr="A logo for a bar associ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5092106" name="Picture 1" descr="A logo for a bar association&#10;&#10;Description automatically generated"/>
                    <pic:cNvPicPr/>
                  </pic:nvPicPr>
                  <pic:blipFill>
                    <a:blip r:embed="rId12" cstate="print">
                      <a:extLst>
                        <a:ext uri="{28A0092B-C50C-407E-A947-70E740481C1C}">
                          <a14:useLocalDpi xmlns:a14="http://schemas.microsoft.com/office/drawing/2010/main" val="0"/>
                        </a:ext>
                      </a:extLst>
                    </a:blip>
                    <a:stretch>
                      <a:fillRect/>
                    </a:stretch>
                  </pic:blipFill>
                  <pic:spPr>
                    <a:xfrm>
                      <a:off x="0" y="0"/>
                      <a:ext cx="889000" cy="1246414"/>
                    </a:xfrm>
                    <a:prstGeom prst="rect">
                      <a:avLst/>
                    </a:prstGeom>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8240" behindDoc="1" locked="0" layoutInCell="1" allowOverlap="1" wp14:anchorId="43515617" wp14:editId="48C614C6">
            <wp:simplePos x="0" y="0"/>
            <wp:positionH relativeFrom="column">
              <wp:posOffset>1358900</wp:posOffset>
            </wp:positionH>
            <wp:positionV relativeFrom="paragraph">
              <wp:posOffset>0</wp:posOffset>
            </wp:positionV>
            <wp:extent cx="2780665" cy="551180"/>
            <wp:effectExtent l="0" t="0" r="635" b="1270"/>
            <wp:wrapTight wrapText="bothSides">
              <wp:wrapPolygon edited="0">
                <wp:start x="0" y="0"/>
                <wp:lineTo x="0" y="20903"/>
                <wp:lineTo x="21457" y="20903"/>
                <wp:lineTo x="21457" y="0"/>
                <wp:lineTo x="0" y="0"/>
              </wp:wrapPolygon>
            </wp:wrapTight>
            <wp:docPr id="1264708468" name="Afbeelding 1" descr="Afbeelding met tekst, grafische vormgeving, zoogdier, Graphics&#10;&#10;Automatisch gegenereerde beschrij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4708468" name="Afbeelding 1" descr="Afbeelding met tekst, grafische vormgeving, zoogdier, Graphics&#10;&#10;Automatisch gegenereerde beschrijving"/>
                    <pic:cNvPicPr/>
                  </pic:nvPicPr>
                  <pic:blipFill>
                    <a:blip r:embed="rId13" cstate="print">
                      <a:extLst>
                        <a:ext uri="{28A0092B-C50C-407E-A947-70E740481C1C}">
                          <a14:useLocalDpi xmlns:a14="http://schemas.microsoft.com/office/drawing/2010/main" val="0"/>
                        </a:ext>
                      </a:extLst>
                    </a:blip>
                    <a:stretch>
                      <a:fillRect/>
                    </a:stretch>
                  </pic:blipFill>
                  <pic:spPr>
                    <a:xfrm>
                      <a:off x="0" y="0"/>
                      <a:ext cx="2780665" cy="551180"/>
                    </a:xfrm>
                    <a:prstGeom prst="rect">
                      <a:avLst/>
                    </a:prstGeom>
                  </pic:spPr>
                </pic:pic>
              </a:graphicData>
            </a:graphic>
            <wp14:sizeRelH relativeFrom="margin">
              <wp14:pctWidth>0</wp14:pctWidth>
            </wp14:sizeRelH>
            <wp14:sizeRelV relativeFrom="margin">
              <wp14:pctHeight>0</wp14:pctHeight>
            </wp14:sizeRelV>
          </wp:anchor>
        </w:drawing>
      </w:r>
      <w:r w:rsidR="66B94AD0">
        <w:rPr>
          <w:noProof/>
        </w:rPr>
        <w:drawing>
          <wp:inline distT="0" distB="0" distL="0" distR="0" wp14:anchorId="128B1257" wp14:editId="241EF14C">
            <wp:extent cx="1526108" cy="441325"/>
            <wp:effectExtent l="0" t="0" r="0" b="0"/>
            <wp:docPr id="536869991" name="Picture 5368699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4" cstate="print">
                      <a:extLst>
                        <a:ext uri="{28A0092B-C50C-407E-A947-70E740481C1C}">
                          <a14:useLocalDpi xmlns:a14="http://schemas.microsoft.com/office/drawing/2010/main" val="0"/>
                        </a:ext>
                      </a:extLst>
                    </a:blip>
                    <a:stretch>
                      <a:fillRect/>
                    </a:stretch>
                  </pic:blipFill>
                  <pic:spPr>
                    <a:xfrm>
                      <a:off x="0" y="0"/>
                      <a:ext cx="1557895" cy="450517"/>
                    </a:xfrm>
                    <a:prstGeom prst="rect">
                      <a:avLst/>
                    </a:prstGeom>
                  </pic:spPr>
                </pic:pic>
              </a:graphicData>
            </a:graphic>
          </wp:inline>
        </w:drawing>
      </w:r>
      <w:bookmarkStart w:id="0" w:name="_Toc161325321"/>
    </w:p>
    <w:p w14:paraId="31D7847D" w14:textId="5E616725" w:rsidR="00870FE1" w:rsidRPr="00F22F78" w:rsidRDefault="00F22F78" w:rsidP="00F22F78">
      <w:pPr>
        <w:spacing w:before="0"/>
        <w:rPr>
          <w:sz w:val="18"/>
          <w:szCs w:val="18"/>
        </w:rPr>
      </w:pPr>
      <w:bookmarkStart w:id="1" w:name="_Hlk168503873"/>
      <w:bookmarkEnd w:id="1"/>
      <w:r>
        <w:tab/>
      </w:r>
      <w:r>
        <w:tab/>
      </w:r>
      <w:r>
        <w:tab/>
      </w:r>
      <w:r>
        <w:tab/>
      </w:r>
      <w:r>
        <w:tab/>
      </w:r>
      <w:r>
        <w:tab/>
      </w:r>
      <w:r>
        <w:tab/>
      </w:r>
      <w:r>
        <w:tab/>
      </w:r>
      <w:r w:rsidRPr="00F22F78">
        <w:rPr>
          <w:sz w:val="18"/>
          <w:szCs w:val="18"/>
        </w:rPr>
        <w:t>Human Rights Implementation Centre</w:t>
      </w:r>
    </w:p>
    <w:p w14:paraId="69CCE573" w14:textId="3A7CFDB1" w:rsidR="00730E92" w:rsidRPr="004B46CE" w:rsidRDefault="00730E92" w:rsidP="00A879AB">
      <w:pPr>
        <w:pStyle w:val="Title"/>
        <w:jc w:val="center"/>
      </w:pPr>
      <w:r w:rsidRPr="004B46CE">
        <w:t xml:space="preserve">Submission to the Committee </w:t>
      </w:r>
      <w:r w:rsidR="0096673A">
        <w:t>a</w:t>
      </w:r>
      <w:r w:rsidRPr="004B46CE">
        <w:t xml:space="preserve">gainst Torture’s </w:t>
      </w:r>
      <w:r w:rsidR="0096673A">
        <w:t>review</w:t>
      </w:r>
      <w:r w:rsidR="00456A83" w:rsidRPr="004B46CE">
        <w:t xml:space="preserve"> of </w:t>
      </w:r>
      <w:proofErr w:type="gramStart"/>
      <w:r w:rsidR="000B38B0">
        <w:t>Turkey</w:t>
      </w:r>
      <w:proofErr w:type="gramEnd"/>
      <w:r w:rsidR="004D7351">
        <w:t xml:space="preserve"> </w:t>
      </w:r>
      <w:r w:rsidRPr="004B46CE">
        <w:t xml:space="preserve">at its </w:t>
      </w:r>
      <w:r w:rsidR="004D7351">
        <w:t>80</w:t>
      </w:r>
      <w:r w:rsidRPr="004B46CE">
        <w:t>th Session</w:t>
      </w:r>
      <w:bookmarkEnd w:id="0"/>
      <w:r w:rsidR="0096673A">
        <w:t>, 8-16 July 2024</w:t>
      </w:r>
    </w:p>
    <w:p w14:paraId="0AF80BDB" w14:textId="46B1AB84" w:rsidR="00C04EF6" w:rsidRPr="001621EB" w:rsidRDefault="001621EB" w:rsidP="00BC332F">
      <w:pPr>
        <w:jc w:val="both"/>
      </w:pPr>
      <w:r>
        <w:t xml:space="preserve">Submitted on </w:t>
      </w:r>
      <w:r w:rsidR="00BB6CAD">
        <w:t>10 Ju</w:t>
      </w:r>
      <w:r w:rsidR="000B38B0">
        <w:t>ne</w:t>
      </w:r>
      <w:r w:rsidR="00BB6CAD">
        <w:t xml:space="preserve"> 2024 by:</w:t>
      </w:r>
    </w:p>
    <w:p w14:paraId="286206B9" w14:textId="73C0FB78" w:rsidR="00D672BA" w:rsidRPr="001621EB" w:rsidRDefault="00306444" w:rsidP="0002792E">
      <w:pPr>
        <w:jc w:val="both"/>
      </w:pPr>
      <w:r w:rsidRPr="004458B7">
        <w:rPr>
          <w:b/>
          <w:bCs/>
        </w:rPr>
        <w:t>The Law Society of England and Wales</w:t>
      </w:r>
      <w:r w:rsidRPr="001621EB">
        <w:t xml:space="preserve"> is the professional body representing more than 200,000 solicitors in England and Wales. </w:t>
      </w:r>
      <w:r w:rsidR="0078783C" w:rsidRPr="0078783C">
        <w:t xml:space="preserve">Its aims include upholding the independence of the legal profession, the rule of law and human rights around the world. </w:t>
      </w:r>
      <w:r w:rsidR="00855442">
        <w:t>E</w:t>
      </w:r>
      <w:r w:rsidR="0078783C" w:rsidRPr="0078783C">
        <w:t>stablished by Royal Charter (the "Charter of the Society") in 1845</w:t>
      </w:r>
      <w:r w:rsidR="00855442">
        <w:t>, i</w:t>
      </w:r>
      <w:r w:rsidR="0078783C" w:rsidRPr="0078783C">
        <w:t>ts activities are established by statute</w:t>
      </w:r>
      <w:r w:rsidR="0017025B">
        <w:t>.</w:t>
      </w:r>
      <w:r w:rsidR="00855442">
        <w:t xml:space="preserve"> </w:t>
      </w:r>
      <w:r w:rsidR="0017025B">
        <w:t>I</w:t>
      </w:r>
      <w:r w:rsidR="00E940BA">
        <w:t xml:space="preserve">t was granted </w:t>
      </w:r>
      <w:r w:rsidRPr="001621EB">
        <w:t xml:space="preserve">special consultative status with the </w:t>
      </w:r>
      <w:r w:rsidR="00D17398">
        <w:t xml:space="preserve">UN </w:t>
      </w:r>
      <w:r w:rsidRPr="001621EB">
        <w:t xml:space="preserve">Economic and Social Council of the </w:t>
      </w:r>
      <w:r w:rsidR="00D17398">
        <w:t xml:space="preserve">in </w:t>
      </w:r>
      <w:r w:rsidRPr="001621EB">
        <w:t>2014.</w:t>
      </w:r>
    </w:p>
    <w:p w14:paraId="07A76D37" w14:textId="6F8386AB" w:rsidR="00D672BA" w:rsidRPr="001621EB" w:rsidRDefault="00626CF5" w:rsidP="0002792E">
      <w:pPr>
        <w:jc w:val="both"/>
      </w:pPr>
      <w:r w:rsidRPr="001621EB">
        <w:t xml:space="preserve">Contact: </w:t>
      </w:r>
      <w:r w:rsidR="009A1E26" w:rsidRPr="001621EB">
        <w:t>Dr Debra Long</w:t>
      </w:r>
      <w:r w:rsidRPr="001621EB">
        <w:t>, International Policy Manager on Rule of Law and Huma</w:t>
      </w:r>
      <w:r w:rsidR="00654890" w:rsidRPr="001621EB">
        <w:t>n</w:t>
      </w:r>
      <w:r w:rsidRPr="001621EB">
        <w:t xml:space="preserve"> Rights, </w:t>
      </w:r>
      <w:hyperlink r:id="rId15" w:history="1">
        <w:r w:rsidRPr="001621EB">
          <w:rPr>
            <w:rStyle w:val="Hyperlink"/>
            <w:rFonts w:asciiTheme="minorHAnsi" w:hAnsiTheme="minorHAnsi"/>
            <w:color w:val="auto"/>
          </w:rPr>
          <w:t>debra.long@lawsociety.org.uk</w:t>
        </w:r>
      </w:hyperlink>
      <w:r w:rsidR="00A107C6">
        <w:rPr>
          <w:rStyle w:val="Hyperlink"/>
          <w:rFonts w:asciiTheme="minorHAnsi" w:hAnsiTheme="minorHAnsi"/>
          <w:color w:val="auto"/>
        </w:rPr>
        <w:t xml:space="preserve"> </w:t>
      </w:r>
    </w:p>
    <w:p w14:paraId="6BA265FC" w14:textId="1D51C618" w:rsidR="00402A08" w:rsidRPr="00A1296C" w:rsidRDefault="00402A08" w:rsidP="0002792E">
      <w:pPr>
        <w:jc w:val="both"/>
      </w:pPr>
      <w:r w:rsidRPr="00402A08">
        <w:rPr>
          <w:b/>
          <w:bCs/>
        </w:rPr>
        <w:t xml:space="preserve">Lawyers for Lawyers </w:t>
      </w:r>
      <w:r>
        <w:rPr>
          <w:b/>
          <w:bCs/>
        </w:rPr>
        <w:t>(L4L)</w:t>
      </w:r>
      <w:r w:rsidRPr="00402A08">
        <w:t xml:space="preserve"> is an independent, </w:t>
      </w:r>
      <w:proofErr w:type="gramStart"/>
      <w:r w:rsidRPr="00402A08">
        <w:t>non-political</w:t>
      </w:r>
      <w:proofErr w:type="gramEnd"/>
      <w:r w:rsidRPr="00402A08">
        <w:t xml:space="preserve"> and not-for-profit lawyers’ organisation established in 1986. </w:t>
      </w:r>
      <w:r>
        <w:t>Its</w:t>
      </w:r>
      <w:r w:rsidRPr="00402A08">
        <w:t xml:space="preserve"> mission is to promote the independent functioning of lawyers and the legal profession across the world in accordance with internationally recogni</w:t>
      </w:r>
      <w:r w:rsidR="00A107C6">
        <w:t>s</w:t>
      </w:r>
      <w:r w:rsidRPr="00402A08">
        <w:t>ed norms and standards</w:t>
      </w:r>
      <w:r>
        <w:t xml:space="preserve"> by </w:t>
      </w:r>
      <w:r w:rsidRPr="00402A08">
        <w:t>support</w:t>
      </w:r>
      <w:r>
        <w:t>ing</w:t>
      </w:r>
      <w:r w:rsidRPr="00402A08">
        <w:t xml:space="preserve"> lawyers who are at risk </w:t>
      </w:r>
      <w:proofErr w:type="gramStart"/>
      <w:r w:rsidRPr="00402A08">
        <w:t>as a result of</w:t>
      </w:r>
      <w:proofErr w:type="gramEnd"/>
      <w:r w:rsidRPr="00402A08">
        <w:t xml:space="preserve"> discharging their professional duties</w:t>
      </w:r>
      <w:r>
        <w:t>.</w:t>
      </w:r>
      <w:r w:rsidRPr="00402A08">
        <w:t xml:space="preserve"> Lawyers for Lawyers was granted special consultative status with the UN Economic and Social Council in July 2013.</w:t>
      </w:r>
    </w:p>
    <w:p w14:paraId="06305265" w14:textId="77777777" w:rsidR="005F5750" w:rsidRDefault="00402A08" w:rsidP="00825735">
      <w:r>
        <w:t xml:space="preserve">Contact: Tara Fiechter, Programme Officer, </w:t>
      </w:r>
      <w:hyperlink r:id="rId16" w:history="1">
        <w:r w:rsidR="00A107C6" w:rsidRPr="006E1CC0">
          <w:rPr>
            <w:rStyle w:val="Hyperlink"/>
            <w:rFonts w:asciiTheme="minorHAnsi" w:hAnsiTheme="minorHAnsi"/>
            <w:color w:val="auto"/>
          </w:rPr>
          <w:t>t.fiechter@lawyersforlawyers.nl</w:t>
        </w:r>
      </w:hyperlink>
      <w:r w:rsidR="00A107C6" w:rsidRPr="006E1CC0">
        <w:t xml:space="preserve"> </w:t>
      </w:r>
    </w:p>
    <w:p w14:paraId="7FF6B346" w14:textId="77777777" w:rsidR="00F92379" w:rsidRDefault="005F5750" w:rsidP="0002792E">
      <w:pPr>
        <w:jc w:val="both"/>
      </w:pPr>
      <w:r w:rsidRPr="005F5750">
        <w:rPr>
          <w:b/>
          <w:bCs/>
        </w:rPr>
        <w:t>The International Bar Association’s Human Rights Institute (IBAHRI)</w:t>
      </w:r>
      <w:r>
        <w:t xml:space="preserve"> was es</w:t>
      </w:r>
      <w:r w:rsidRPr="005F5750">
        <w:t xml:space="preserve">tablished in 1995 under the honorary presidency of emblematic human rights defender, the late Nelson Mandela, </w:t>
      </w:r>
      <w:r>
        <w:t xml:space="preserve">and </w:t>
      </w:r>
      <w:proofErr w:type="gramStart"/>
      <w:r w:rsidRPr="005F5750">
        <w:t>works</w:t>
      </w:r>
      <w:proofErr w:type="gramEnd"/>
      <w:r w:rsidRPr="005F5750">
        <w:t xml:space="preserve"> with the global legal community and partner civil society organisations to promote and protect human rights and the independence of the legal profession worldwide. The IBAHRI is a substantively autonomous entity within the International Bar Association, the world’s leading organisation of international legal practitioners, bar associations and law societies, with over 80,000 individual lawyers, and 190 bar associations and law societies across more than 160 countries. Under the IBAHRI’s By-Laws, the Institute is governed by an independent Council and is under the Directorship of Baroness Helena Kennedy LT KC.</w:t>
      </w:r>
    </w:p>
    <w:p w14:paraId="6F11D7F7" w14:textId="75BB0282" w:rsidR="30E77A26" w:rsidRDefault="30E77A26" w:rsidP="2FF58BDB">
      <w:pPr>
        <w:jc w:val="both"/>
      </w:pPr>
      <w:r>
        <w:t>Contact: Zara Iqbal, Programme Lawyer,</w:t>
      </w:r>
      <w:r w:rsidRPr="00F841F4">
        <w:t xml:space="preserve"> </w:t>
      </w:r>
      <w:hyperlink r:id="rId17">
        <w:r w:rsidRPr="00F841F4">
          <w:rPr>
            <w:rStyle w:val="Hyperlink"/>
            <w:rFonts w:asciiTheme="minorHAnsi" w:hAnsiTheme="minorHAnsi"/>
            <w:color w:val="auto"/>
          </w:rPr>
          <w:t>Zara.Iqbal@int-bar.org</w:t>
        </w:r>
      </w:hyperlink>
    </w:p>
    <w:p w14:paraId="7538D0ED" w14:textId="2308A5C3" w:rsidR="00ED71AB" w:rsidRPr="006842F0" w:rsidRDefault="00F92379" w:rsidP="0002792E">
      <w:pPr>
        <w:jc w:val="both"/>
        <w:rPr>
          <w:rFonts w:cs="Open Sans"/>
        </w:rPr>
      </w:pPr>
      <w:r w:rsidRPr="006842F0">
        <w:rPr>
          <w:b/>
          <w:bCs/>
        </w:rPr>
        <w:t>The Human Rights Implementation Centre (HRIC)</w:t>
      </w:r>
      <w:r w:rsidRPr="006842F0">
        <w:t xml:space="preserve"> of the University of Bristol Law School was established in 2009 </w:t>
      </w:r>
      <w:r w:rsidR="00C1132F" w:rsidRPr="006842F0">
        <w:rPr>
          <w:rFonts w:cs="Open Sans"/>
        </w:rPr>
        <w:t xml:space="preserve">to enhance the implementation of human rights worldwide through research, </w:t>
      </w:r>
      <w:proofErr w:type="gramStart"/>
      <w:r w:rsidR="00C1132F" w:rsidRPr="006842F0">
        <w:rPr>
          <w:rFonts w:cs="Open Sans"/>
        </w:rPr>
        <w:t>education</w:t>
      </w:r>
      <w:proofErr w:type="gramEnd"/>
      <w:r w:rsidR="00C1132F" w:rsidRPr="006842F0">
        <w:rPr>
          <w:rFonts w:cs="Open Sans"/>
        </w:rPr>
        <w:t xml:space="preserve"> and discussion. </w:t>
      </w:r>
      <w:r w:rsidR="00F513C0" w:rsidRPr="006842F0">
        <w:rPr>
          <w:rFonts w:cs="Open Sans"/>
        </w:rPr>
        <w:t xml:space="preserve">The </w:t>
      </w:r>
      <w:r w:rsidR="00913208" w:rsidRPr="006842F0">
        <w:rPr>
          <w:rFonts w:cs="Open Sans"/>
        </w:rPr>
        <w:t xml:space="preserve">HRIC conducts </w:t>
      </w:r>
      <w:r w:rsidR="00F513C0" w:rsidRPr="006842F0">
        <w:rPr>
          <w:rFonts w:cs="Open Sans"/>
        </w:rPr>
        <w:t>international</w:t>
      </w:r>
      <w:r w:rsidR="006842F0">
        <w:rPr>
          <w:rFonts w:cs="Open Sans"/>
        </w:rPr>
        <w:t xml:space="preserve">ly recognised </w:t>
      </w:r>
      <w:r w:rsidR="00F513C0" w:rsidRPr="006842F0">
        <w:rPr>
          <w:rFonts w:cs="Open Sans"/>
        </w:rPr>
        <w:t>research aimed at enhancing implementation of human rights</w:t>
      </w:r>
      <w:r w:rsidR="00E03D5A">
        <w:rPr>
          <w:rFonts w:cs="Open Sans"/>
        </w:rPr>
        <w:t>. D</w:t>
      </w:r>
      <w:r w:rsidR="004B79B9" w:rsidRPr="006842F0">
        <w:rPr>
          <w:rFonts w:cs="Open Sans"/>
        </w:rPr>
        <w:t xml:space="preserve">rawing on the findings of its research, </w:t>
      </w:r>
      <w:r w:rsidR="00E03D5A">
        <w:rPr>
          <w:rFonts w:cs="Open Sans"/>
        </w:rPr>
        <w:t xml:space="preserve">the HRIC </w:t>
      </w:r>
      <w:r w:rsidR="00951002" w:rsidRPr="006842F0">
        <w:rPr>
          <w:rFonts w:cs="Open Sans"/>
        </w:rPr>
        <w:t xml:space="preserve">provides </w:t>
      </w:r>
      <w:r w:rsidR="00F513C0" w:rsidRPr="006842F0">
        <w:rPr>
          <w:rFonts w:cs="Open Sans"/>
        </w:rPr>
        <w:t xml:space="preserve">expert advice on the implementation of human rights directly to treaty bodies, governments, national human rights </w:t>
      </w:r>
      <w:proofErr w:type="gramStart"/>
      <w:r w:rsidR="00F513C0" w:rsidRPr="006842F0">
        <w:rPr>
          <w:rFonts w:cs="Open Sans"/>
        </w:rPr>
        <w:t>institutions</w:t>
      </w:r>
      <w:proofErr w:type="gramEnd"/>
      <w:r w:rsidR="00F513C0" w:rsidRPr="006842F0">
        <w:rPr>
          <w:rFonts w:cs="Open Sans"/>
        </w:rPr>
        <w:t xml:space="preserve"> and non-governmental organisations</w:t>
      </w:r>
      <w:r w:rsidR="004B79B9" w:rsidRPr="006842F0">
        <w:rPr>
          <w:rFonts w:cs="Open Sans"/>
        </w:rPr>
        <w:t xml:space="preserve">. The HRIC </w:t>
      </w:r>
      <w:r w:rsidR="00317757" w:rsidRPr="006842F0">
        <w:rPr>
          <w:rFonts w:cs="Open Sans"/>
        </w:rPr>
        <w:t xml:space="preserve">is </w:t>
      </w:r>
      <w:r w:rsidR="005A1951">
        <w:rPr>
          <w:rFonts w:cs="Open Sans"/>
        </w:rPr>
        <w:t>one of the l</w:t>
      </w:r>
      <w:r w:rsidR="00317757" w:rsidRPr="006842F0">
        <w:rPr>
          <w:rFonts w:cs="Open Sans"/>
        </w:rPr>
        <w:t>eading organisation</w:t>
      </w:r>
      <w:r w:rsidR="005A1951">
        <w:rPr>
          <w:rFonts w:cs="Open Sans"/>
        </w:rPr>
        <w:t>s</w:t>
      </w:r>
      <w:r w:rsidR="00317757" w:rsidRPr="006842F0">
        <w:rPr>
          <w:rFonts w:cs="Open Sans"/>
        </w:rPr>
        <w:t xml:space="preserve"> working on the prevention of torture and other forms of ill-treatment and </w:t>
      </w:r>
      <w:proofErr w:type="gramStart"/>
      <w:r w:rsidR="00317757" w:rsidRPr="006842F0">
        <w:rPr>
          <w:rFonts w:cs="Open Sans"/>
        </w:rPr>
        <w:t>many</w:t>
      </w:r>
      <w:proofErr w:type="gramEnd"/>
      <w:r w:rsidR="00317757" w:rsidRPr="006842F0">
        <w:rPr>
          <w:rFonts w:cs="Open Sans"/>
        </w:rPr>
        <w:t xml:space="preserve"> of its projects intersect with this issue. </w:t>
      </w:r>
    </w:p>
    <w:p w14:paraId="1299997A" w14:textId="0DE9FDC7" w:rsidR="00A33356" w:rsidRDefault="00A33356" w:rsidP="0002792E">
      <w:pPr>
        <w:jc w:val="both"/>
        <w:rPr>
          <w:rStyle w:val="Hyperlink"/>
          <w:rFonts w:asciiTheme="minorHAnsi" w:hAnsiTheme="minorHAnsi" w:cs="Open Sans"/>
          <w:color w:val="auto"/>
        </w:rPr>
      </w:pPr>
      <w:r w:rsidRPr="006842F0">
        <w:rPr>
          <w:rFonts w:cs="Open Sans"/>
        </w:rPr>
        <w:t xml:space="preserve">Contact: Prof. Rachel Murray, Director of the HRIC, </w:t>
      </w:r>
      <w:hyperlink r:id="rId18" w:history="1">
        <w:r w:rsidR="00825735" w:rsidRPr="006842F0">
          <w:rPr>
            <w:rStyle w:val="Hyperlink"/>
            <w:rFonts w:asciiTheme="minorHAnsi" w:hAnsiTheme="minorHAnsi" w:cs="Open Sans"/>
            <w:color w:val="auto"/>
          </w:rPr>
          <w:t>rachel.murray@bristol.ac.uk</w:t>
        </w:r>
      </w:hyperlink>
    </w:p>
    <w:p w14:paraId="017AD6A8" w14:textId="77777777" w:rsidR="00825735" w:rsidRDefault="00825735" w:rsidP="00F513C0">
      <w:pPr>
        <w:jc w:val="both"/>
        <w:rPr>
          <w:rFonts w:cs="Open Sans"/>
          <w:color w:val="333333"/>
        </w:rPr>
      </w:pPr>
    </w:p>
    <w:p w14:paraId="207F9092" w14:textId="33C14A19" w:rsidR="009A16BE" w:rsidRDefault="009A16BE">
      <w:pPr>
        <w:spacing w:before="0" w:after="160" w:line="259" w:lineRule="auto"/>
        <w:rPr>
          <w:rFonts w:cs="Open Sans"/>
          <w:color w:val="333333"/>
        </w:rPr>
      </w:pPr>
      <w:r>
        <w:rPr>
          <w:rFonts w:cs="Open Sans"/>
          <w:color w:val="333333"/>
        </w:rPr>
        <w:br w:type="page"/>
      </w:r>
    </w:p>
    <w:bookmarkStart w:id="2" w:name="_Toc161325322" w:displacedByCustomXml="next"/>
    <w:bookmarkStart w:id="3" w:name="_Toc161212476" w:displacedByCustomXml="next"/>
    <w:sdt>
      <w:sdtPr>
        <w:rPr>
          <w:rFonts w:eastAsiaTheme="minorEastAsia" w:cstheme="minorBidi"/>
          <w:color w:val="auto"/>
          <w:sz w:val="22"/>
          <w:szCs w:val="22"/>
          <w:lang w:val="en-GB"/>
        </w:rPr>
        <w:id w:val="785423722"/>
        <w:docPartObj>
          <w:docPartGallery w:val="Table of Contents"/>
          <w:docPartUnique/>
        </w:docPartObj>
      </w:sdtPr>
      <w:sdtEndPr/>
      <w:sdtContent>
        <w:p w14:paraId="184B157A" w14:textId="64FC53A8" w:rsidR="005949C0" w:rsidRPr="00A33356" w:rsidRDefault="005949C0">
          <w:pPr>
            <w:pStyle w:val="TOCHeading"/>
          </w:pPr>
          <w:r w:rsidRPr="00A33356">
            <w:t>Contents</w:t>
          </w:r>
        </w:p>
        <w:p w14:paraId="28B3BC99" w14:textId="650A704F" w:rsidR="004A56B8" w:rsidRPr="00A33356" w:rsidRDefault="5D662AA7">
          <w:pPr>
            <w:pStyle w:val="TOC1"/>
            <w:tabs>
              <w:tab w:val="right" w:leader="dot" w:pos="9016"/>
            </w:tabs>
            <w:rPr>
              <w:rFonts w:eastAsiaTheme="minorEastAsia"/>
              <w:noProof/>
              <w:kern w:val="2"/>
              <w:sz w:val="24"/>
              <w:szCs w:val="24"/>
              <w:lang w:eastAsia="en-GB"/>
              <w14:ligatures w14:val="standardContextual"/>
            </w:rPr>
          </w:pPr>
          <w:r w:rsidRPr="00A33356">
            <w:fldChar w:fldCharType="begin"/>
          </w:r>
          <w:r w:rsidR="005949C0" w:rsidRPr="00A33356">
            <w:instrText>TOC \o "1-3" \h \z \u</w:instrText>
          </w:r>
          <w:r w:rsidRPr="00A33356">
            <w:fldChar w:fldCharType="separate"/>
          </w:r>
          <w:hyperlink w:anchor="_Toc168534110" w:history="1">
            <w:r w:rsidR="004A56B8" w:rsidRPr="00A33356">
              <w:rPr>
                <w:rStyle w:val="Hyperlink"/>
                <w:rFonts w:asciiTheme="minorHAnsi" w:hAnsiTheme="minorHAnsi"/>
                <w:noProof/>
              </w:rPr>
              <w:t>Introduction</w:t>
            </w:r>
            <w:r w:rsidR="004A56B8" w:rsidRPr="00A33356">
              <w:rPr>
                <w:noProof/>
                <w:webHidden/>
              </w:rPr>
              <w:tab/>
            </w:r>
            <w:r w:rsidR="004A56B8" w:rsidRPr="00A33356">
              <w:rPr>
                <w:noProof/>
                <w:webHidden/>
              </w:rPr>
              <w:fldChar w:fldCharType="begin"/>
            </w:r>
            <w:r w:rsidR="004A56B8" w:rsidRPr="00A33356">
              <w:rPr>
                <w:noProof/>
                <w:webHidden/>
              </w:rPr>
              <w:instrText xml:space="preserve"> PAGEREF _Toc168534110 \h </w:instrText>
            </w:r>
            <w:r w:rsidR="004A56B8" w:rsidRPr="00A33356">
              <w:rPr>
                <w:noProof/>
                <w:webHidden/>
              </w:rPr>
            </w:r>
            <w:r w:rsidR="004A56B8" w:rsidRPr="00A33356">
              <w:rPr>
                <w:noProof/>
                <w:webHidden/>
              </w:rPr>
              <w:fldChar w:fldCharType="separate"/>
            </w:r>
            <w:r w:rsidR="006375AE">
              <w:rPr>
                <w:noProof/>
                <w:webHidden/>
              </w:rPr>
              <w:t>4</w:t>
            </w:r>
            <w:r w:rsidR="004A56B8" w:rsidRPr="00A33356">
              <w:rPr>
                <w:noProof/>
                <w:webHidden/>
              </w:rPr>
              <w:fldChar w:fldCharType="end"/>
            </w:r>
          </w:hyperlink>
        </w:p>
        <w:p w14:paraId="1256FA8C" w14:textId="39C4A128" w:rsidR="004A56B8" w:rsidRPr="00A33356" w:rsidRDefault="00FC386D">
          <w:pPr>
            <w:pStyle w:val="TOC1"/>
            <w:tabs>
              <w:tab w:val="right" w:leader="dot" w:pos="9016"/>
            </w:tabs>
            <w:rPr>
              <w:rFonts w:eastAsiaTheme="minorEastAsia"/>
              <w:noProof/>
              <w:kern w:val="2"/>
              <w:sz w:val="24"/>
              <w:szCs w:val="24"/>
              <w:lang w:eastAsia="en-GB"/>
              <w14:ligatures w14:val="standardContextual"/>
            </w:rPr>
          </w:pPr>
          <w:hyperlink w:anchor="_Toc168534111" w:history="1">
            <w:r w:rsidR="004A56B8" w:rsidRPr="00A33356">
              <w:rPr>
                <w:rStyle w:val="Hyperlink"/>
                <w:rFonts w:asciiTheme="minorHAnsi" w:hAnsiTheme="minorHAnsi"/>
                <w:noProof/>
              </w:rPr>
              <w:t>Right to access and communicate in confidence with a lawyer</w:t>
            </w:r>
            <w:r w:rsidR="004A56B8" w:rsidRPr="00A33356">
              <w:rPr>
                <w:noProof/>
                <w:webHidden/>
              </w:rPr>
              <w:tab/>
            </w:r>
            <w:r w:rsidR="004A56B8" w:rsidRPr="00A33356">
              <w:rPr>
                <w:noProof/>
                <w:webHidden/>
              </w:rPr>
              <w:fldChar w:fldCharType="begin"/>
            </w:r>
            <w:r w:rsidR="004A56B8" w:rsidRPr="00A33356">
              <w:rPr>
                <w:noProof/>
                <w:webHidden/>
              </w:rPr>
              <w:instrText xml:space="preserve"> PAGEREF _Toc168534111 \h </w:instrText>
            </w:r>
            <w:r w:rsidR="004A56B8" w:rsidRPr="00A33356">
              <w:rPr>
                <w:noProof/>
                <w:webHidden/>
              </w:rPr>
            </w:r>
            <w:r w:rsidR="004A56B8" w:rsidRPr="00A33356">
              <w:rPr>
                <w:noProof/>
                <w:webHidden/>
              </w:rPr>
              <w:fldChar w:fldCharType="separate"/>
            </w:r>
            <w:r w:rsidR="006375AE">
              <w:rPr>
                <w:noProof/>
                <w:webHidden/>
              </w:rPr>
              <w:t>4</w:t>
            </w:r>
            <w:r w:rsidR="004A56B8" w:rsidRPr="00A33356">
              <w:rPr>
                <w:noProof/>
                <w:webHidden/>
              </w:rPr>
              <w:fldChar w:fldCharType="end"/>
            </w:r>
          </w:hyperlink>
        </w:p>
        <w:p w14:paraId="2DD692D8" w14:textId="5F8E2E59" w:rsidR="004A56B8" w:rsidRPr="00A33356" w:rsidRDefault="00FC386D">
          <w:pPr>
            <w:pStyle w:val="TOC1"/>
            <w:tabs>
              <w:tab w:val="right" w:leader="dot" w:pos="9016"/>
            </w:tabs>
            <w:rPr>
              <w:rFonts w:eastAsiaTheme="minorEastAsia"/>
              <w:noProof/>
              <w:kern w:val="2"/>
              <w:sz w:val="24"/>
              <w:szCs w:val="24"/>
              <w:lang w:eastAsia="en-GB"/>
              <w14:ligatures w14:val="standardContextual"/>
            </w:rPr>
          </w:pPr>
          <w:hyperlink w:anchor="_Toc168534112" w:history="1">
            <w:r w:rsidR="004A56B8" w:rsidRPr="00A33356">
              <w:rPr>
                <w:rStyle w:val="Hyperlink"/>
                <w:rFonts w:asciiTheme="minorHAnsi" w:hAnsiTheme="minorHAnsi"/>
                <w:noProof/>
              </w:rPr>
              <w:t>Complaints of torture or ill-treatment</w:t>
            </w:r>
            <w:r w:rsidR="004A56B8" w:rsidRPr="00A33356">
              <w:rPr>
                <w:noProof/>
                <w:webHidden/>
              </w:rPr>
              <w:tab/>
            </w:r>
            <w:r w:rsidR="004A56B8" w:rsidRPr="00A33356">
              <w:rPr>
                <w:noProof/>
                <w:webHidden/>
              </w:rPr>
              <w:fldChar w:fldCharType="begin"/>
            </w:r>
            <w:r w:rsidR="004A56B8" w:rsidRPr="00A33356">
              <w:rPr>
                <w:noProof/>
                <w:webHidden/>
              </w:rPr>
              <w:instrText xml:space="preserve"> PAGEREF _Toc168534112 \h </w:instrText>
            </w:r>
            <w:r w:rsidR="004A56B8" w:rsidRPr="00A33356">
              <w:rPr>
                <w:noProof/>
                <w:webHidden/>
              </w:rPr>
            </w:r>
            <w:r w:rsidR="004A56B8" w:rsidRPr="00A33356">
              <w:rPr>
                <w:noProof/>
                <w:webHidden/>
              </w:rPr>
              <w:fldChar w:fldCharType="separate"/>
            </w:r>
            <w:r w:rsidR="006375AE">
              <w:rPr>
                <w:noProof/>
                <w:webHidden/>
              </w:rPr>
              <w:t>5</w:t>
            </w:r>
            <w:r w:rsidR="004A56B8" w:rsidRPr="00A33356">
              <w:rPr>
                <w:noProof/>
                <w:webHidden/>
              </w:rPr>
              <w:fldChar w:fldCharType="end"/>
            </w:r>
          </w:hyperlink>
        </w:p>
        <w:p w14:paraId="1BCC34F9" w14:textId="2C599D97" w:rsidR="004A56B8" w:rsidRPr="00A33356" w:rsidRDefault="00FC386D">
          <w:pPr>
            <w:pStyle w:val="TOC1"/>
            <w:tabs>
              <w:tab w:val="right" w:leader="dot" w:pos="9016"/>
            </w:tabs>
            <w:rPr>
              <w:rFonts w:eastAsiaTheme="minorEastAsia"/>
              <w:noProof/>
              <w:kern w:val="2"/>
              <w:sz w:val="24"/>
              <w:szCs w:val="24"/>
              <w:lang w:eastAsia="en-GB"/>
              <w14:ligatures w14:val="standardContextual"/>
            </w:rPr>
          </w:pPr>
          <w:hyperlink w:anchor="_Toc168534113" w:history="1">
            <w:r w:rsidR="004A56B8" w:rsidRPr="00A33356">
              <w:rPr>
                <w:rStyle w:val="Hyperlink"/>
                <w:rFonts w:asciiTheme="minorHAnsi" w:hAnsiTheme="minorHAnsi"/>
                <w:noProof/>
              </w:rPr>
              <w:t>Independence of the judiciary and the administration of justice</w:t>
            </w:r>
            <w:r w:rsidR="004A56B8" w:rsidRPr="00A33356">
              <w:rPr>
                <w:noProof/>
                <w:webHidden/>
              </w:rPr>
              <w:tab/>
            </w:r>
            <w:r w:rsidR="004A56B8" w:rsidRPr="00A33356">
              <w:rPr>
                <w:noProof/>
                <w:webHidden/>
              </w:rPr>
              <w:fldChar w:fldCharType="begin"/>
            </w:r>
            <w:r w:rsidR="004A56B8" w:rsidRPr="00A33356">
              <w:rPr>
                <w:noProof/>
                <w:webHidden/>
              </w:rPr>
              <w:instrText xml:space="preserve"> PAGEREF _Toc168534113 \h </w:instrText>
            </w:r>
            <w:r w:rsidR="004A56B8" w:rsidRPr="00A33356">
              <w:rPr>
                <w:noProof/>
                <w:webHidden/>
              </w:rPr>
            </w:r>
            <w:r w:rsidR="004A56B8" w:rsidRPr="00A33356">
              <w:rPr>
                <w:noProof/>
                <w:webHidden/>
              </w:rPr>
              <w:fldChar w:fldCharType="separate"/>
            </w:r>
            <w:r w:rsidR="006375AE">
              <w:rPr>
                <w:noProof/>
                <w:webHidden/>
              </w:rPr>
              <w:t>6</w:t>
            </w:r>
            <w:r w:rsidR="004A56B8" w:rsidRPr="00A33356">
              <w:rPr>
                <w:noProof/>
                <w:webHidden/>
              </w:rPr>
              <w:fldChar w:fldCharType="end"/>
            </w:r>
          </w:hyperlink>
        </w:p>
        <w:p w14:paraId="0418F965" w14:textId="5807A55F" w:rsidR="004A56B8" w:rsidRPr="00A33356" w:rsidRDefault="00FC386D">
          <w:pPr>
            <w:pStyle w:val="TOC2"/>
            <w:tabs>
              <w:tab w:val="right" w:leader="dot" w:pos="9016"/>
            </w:tabs>
            <w:rPr>
              <w:rFonts w:eastAsiaTheme="minorEastAsia"/>
              <w:noProof/>
              <w:kern w:val="2"/>
              <w:sz w:val="24"/>
              <w:szCs w:val="24"/>
              <w:lang w:eastAsia="en-GB"/>
              <w14:ligatures w14:val="standardContextual"/>
            </w:rPr>
          </w:pPr>
          <w:hyperlink w:anchor="_Toc168534114" w:history="1">
            <w:r w:rsidR="004A56B8" w:rsidRPr="00A33356">
              <w:rPr>
                <w:rStyle w:val="Hyperlink"/>
                <w:rFonts w:asciiTheme="minorHAnsi" w:hAnsiTheme="minorHAnsi"/>
                <w:noProof/>
              </w:rPr>
              <w:t>Diminishing independence of bar associations</w:t>
            </w:r>
            <w:r w:rsidR="004A56B8" w:rsidRPr="00A33356">
              <w:rPr>
                <w:noProof/>
                <w:webHidden/>
              </w:rPr>
              <w:tab/>
            </w:r>
            <w:r w:rsidR="004A56B8" w:rsidRPr="00A33356">
              <w:rPr>
                <w:noProof/>
                <w:webHidden/>
              </w:rPr>
              <w:fldChar w:fldCharType="begin"/>
            </w:r>
            <w:r w:rsidR="004A56B8" w:rsidRPr="00A33356">
              <w:rPr>
                <w:noProof/>
                <w:webHidden/>
              </w:rPr>
              <w:instrText xml:space="preserve"> PAGEREF _Toc168534114 \h </w:instrText>
            </w:r>
            <w:r w:rsidR="004A56B8" w:rsidRPr="00A33356">
              <w:rPr>
                <w:noProof/>
                <w:webHidden/>
              </w:rPr>
            </w:r>
            <w:r w:rsidR="004A56B8" w:rsidRPr="00A33356">
              <w:rPr>
                <w:noProof/>
                <w:webHidden/>
              </w:rPr>
              <w:fldChar w:fldCharType="separate"/>
            </w:r>
            <w:r w:rsidR="006375AE">
              <w:rPr>
                <w:noProof/>
                <w:webHidden/>
              </w:rPr>
              <w:t>7</w:t>
            </w:r>
            <w:r w:rsidR="004A56B8" w:rsidRPr="00A33356">
              <w:rPr>
                <w:noProof/>
                <w:webHidden/>
              </w:rPr>
              <w:fldChar w:fldCharType="end"/>
            </w:r>
          </w:hyperlink>
        </w:p>
        <w:p w14:paraId="4D244F5D" w14:textId="58CD04EF" w:rsidR="004A56B8" w:rsidRPr="00A33356" w:rsidRDefault="00FC386D">
          <w:pPr>
            <w:pStyle w:val="TOC2"/>
            <w:tabs>
              <w:tab w:val="right" w:leader="dot" w:pos="9016"/>
            </w:tabs>
            <w:rPr>
              <w:rFonts w:eastAsiaTheme="minorEastAsia"/>
              <w:noProof/>
              <w:kern w:val="2"/>
              <w:sz w:val="24"/>
              <w:szCs w:val="24"/>
              <w:lang w:eastAsia="en-GB"/>
              <w14:ligatures w14:val="standardContextual"/>
            </w:rPr>
          </w:pPr>
          <w:hyperlink w:anchor="_Toc168534115" w:history="1">
            <w:r w:rsidR="004A56B8" w:rsidRPr="00A33356">
              <w:rPr>
                <w:rStyle w:val="Hyperlink"/>
                <w:rFonts w:asciiTheme="minorHAnsi" w:hAnsiTheme="minorHAnsi"/>
                <w:noProof/>
              </w:rPr>
              <w:t>Unlawful restrictions on admission to the legal profession</w:t>
            </w:r>
            <w:r w:rsidR="004A56B8" w:rsidRPr="00A33356">
              <w:rPr>
                <w:noProof/>
                <w:webHidden/>
              </w:rPr>
              <w:tab/>
            </w:r>
            <w:r w:rsidR="004A56B8" w:rsidRPr="00A33356">
              <w:rPr>
                <w:noProof/>
                <w:webHidden/>
              </w:rPr>
              <w:fldChar w:fldCharType="begin"/>
            </w:r>
            <w:r w:rsidR="004A56B8" w:rsidRPr="00A33356">
              <w:rPr>
                <w:noProof/>
                <w:webHidden/>
              </w:rPr>
              <w:instrText xml:space="preserve"> PAGEREF _Toc168534115 \h </w:instrText>
            </w:r>
            <w:r w:rsidR="004A56B8" w:rsidRPr="00A33356">
              <w:rPr>
                <w:noProof/>
                <w:webHidden/>
              </w:rPr>
            </w:r>
            <w:r w:rsidR="004A56B8" w:rsidRPr="00A33356">
              <w:rPr>
                <w:noProof/>
                <w:webHidden/>
              </w:rPr>
              <w:fldChar w:fldCharType="separate"/>
            </w:r>
            <w:r w:rsidR="006375AE">
              <w:rPr>
                <w:noProof/>
                <w:webHidden/>
              </w:rPr>
              <w:t>9</w:t>
            </w:r>
            <w:r w:rsidR="004A56B8" w:rsidRPr="00A33356">
              <w:rPr>
                <w:noProof/>
                <w:webHidden/>
              </w:rPr>
              <w:fldChar w:fldCharType="end"/>
            </w:r>
          </w:hyperlink>
        </w:p>
        <w:p w14:paraId="05057B0E" w14:textId="46133065" w:rsidR="004A56B8" w:rsidRPr="00A33356" w:rsidRDefault="00FC386D">
          <w:pPr>
            <w:pStyle w:val="TOC2"/>
            <w:tabs>
              <w:tab w:val="right" w:leader="dot" w:pos="9016"/>
            </w:tabs>
            <w:rPr>
              <w:rFonts w:eastAsiaTheme="minorEastAsia"/>
              <w:noProof/>
              <w:kern w:val="2"/>
              <w:sz w:val="24"/>
              <w:szCs w:val="24"/>
              <w:lang w:eastAsia="en-GB"/>
              <w14:ligatures w14:val="standardContextual"/>
            </w:rPr>
          </w:pPr>
          <w:hyperlink w:anchor="_Toc168534116" w:history="1">
            <w:r w:rsidR="004A56B8" w:rsidRPr="00A33356">
              <w:rPr>
                <w:rStyle w:val="Hyperlink"/>
                <w:rFonts w:asciiTheme="minorHAnsi" w:hAnsiTheme="minorHAnsi"/>
                <w:noProof/>
              </w:rPr>
              <w:t>Violations of international and domestic legal safeguards governing lawyers</w:t>
            </w:r>
            <w:r w:rsidR="004A56B8" w:rsidRPr="00A33356">
              <w:rPr>
                <w:noProof/>
                <w:webHidden/>
              </w:rPr>
              <w:tab/>
            </w:r>
            <w:r w:rsidR="004A56B8" w:rsidRPr="00A33356">
              <w:rPr>
                <w:noProof/>
                <w:webHidden/>
              </w:rPr>
              <w:fldChar w:fldCharType="begin"/>
            </w:r>
            <w:r w:rsidR="004A56B8" w:rsidRPr="00A33356">
              <w:rPr>
                <w:noProof/>
                <w:webHidden/>
              </w:rPr>
              <w:instrText xml:space="preserve"> PAGEREF _Toc168534116 \h </w:instrText>
            </w:r>
            <w:r w:rsidR="004A56B8" w:rsidRPr="00A33356">
              <w:rPr>
                <w:noProof/>
                <w:webHidden/>
              </w:rPr>
            </w:r>
            <w:r w:rsidR="004A56B8" w:rsidRPr="00A33356">
              <w:rPr>
                <w:noProof/>
                <w:webHidden/>
              </w:rPr>
              <w:fldChar w:fldCharType="separate"/>
            </w:r>
            <w:r w:rsidR="006375AE">
              <w:rPr>
                <w:noProof/>
                <w:webHidden/>
              </w:rPr>
              <w:t>10</w:t>
            </w:r>
            <w:r w:rsidR="004A56B8" w:rsidRPr="00A33356">
              <w:rPr>
                <w:noProof/>
                <w:webHidden/>
              </w:rPr>
              <w:fldChar w:fldCharType="end"/>
            </w:r>
          </w:hyperlink>
        </w:p>
        <w:p w14:paraId="3E4E7A83" w14:textId="1BF2268C" w:rsidR="004A56B8" w:rsidRPr="00A33356" w:rsidRDefault="00FC386D">
          <w:pPr>
            <w:pStyle w:val="TOC2"/>
            <w:tabs>
              <w:tab w:val="right" w:leader="dot" w:pos="9016"/>
            </w:tabs>
            <w:rPr>
              <w:rFonts w:eastAsiaTheme="minorEastAsia"/>
              <w:noProof/>
              <w:kern w:val="2"/>
              <w:sz w:val="24"/>
              <w:szCs w:val="24"/>
              <w:lang w:eastAsia="en-GB"/>
              <w14:ligatures w14:val="standardContextual"/>
            </w:rPr>
          </w:pPr>
          <w:hyperlink w:anchor="_Toc168534117" w:history="1">
            <w:r w:rsidR="004A56B8" w:rsidRPr="00A33356">
              <w:rPr>
                <w:rStyle w:val="Hyperlink"/>
                <w:rFonts w:asciiTheme="minorHAnsi" w:hAnsiTheme="minorHAnsi"/>
                <w:noProof/>
              </w:rPr>
              <w:t>Targeting of lawyers as defenders of human rights and the rule of law</w:t>
            </w:r>
            <w:r w:rsidR="004A56B8" w:rsidRPr="00A33356">
              <w:rPr>
                <w:noProof/>
                <w:webHidden/>
              </w:rPr>
              <w:tab/>
            </w:r>
            <w:r w:rsidR="004A56B8" w:rsidRPr="00A33356">
              <w:rPr>
                <w:noProof/>
                <w:webHidden/>
              </w:rPr>
              <w:fldChar w:fldCharType="begin"/>
            </w:r>
            <w:r w:rsidR="004A56B8" w:rsidRPr="00A33356">
              <w:rPr>
                <w:noProof/>
                <w:webHidden/>
              </w:rPr>
              <w:instrText xml:space="preserve"> PAGEREF _Toc168534117 \h </w:instrText>
            </w:r>
            <w:r w:rsidR="004A56B8" w:rsidRPr="00A33356">
              <w:rPr>
                <w:noProof/>
                <w:webHidden/>
              </w:rPr>
            </w:r>
            <w:r w:rsidR="004A56B8" w:rsidRPr="00A33356">
              <w:rPr>
                <w:noProof/>
                <w:webHidden/>
              </w:rPr>
              <w:fldChar w:fldCharType="separate"/>
            </w:r>
            <w:r w:rsidR="006375AE">
              <w:rPr>
                <w:noProof/>
                <w:webHidden/>
              </w:rPr>
              <w:t>10</w:t>
            </w:r>
            <w:r w:rsidR="004A56B8" w:rsidRPr="00A33356">
              <w:rPr>
                <w:noProof/>
                <w:webHidden/>
              </w:rPr>
              <w:fldChar w:fldCharType="end"/>
            </w:r>
          </w:hyperlink>
        </w:p>
        <w:p w14:paraId="63BED6CB" w14:textId="06C247A5" w:rsidR="004A56B8" w:rsidRPr="00A33356" w:rsidRDefault="00FC386D">
          <w:pPr>
            <w:pStyle w:val="TOC2"/>
            <w:tabs>
              <w:tab w:val="right" w:leader="dot" w:pos="9016"/>
            </w:tabs>
            <w:rPr>
              <w:rFonts w:eastAsiaTheme="minorEastAsia"/>
              <w:noProof/>
              <w:kern w:val="2"/>
              <w:sz w:val="24"/>
              <w:szCs w:val="24"/>
              <w:lang w:eastAsia="en-GB"/>
              <w14:ligatures w14:val="standardContextual"/>
            </w:rPr>
          </w:pPr>
          <w:hyperlink w:anchor="_Toc168534118" w:history="1">
            <w:r w:rsidR="004A56B8" w:rsidRPr="00A33356">
              <w:rPr>
                <w:rStyle w:val="Hyperlink"/>
                <w:rFonts w:asciiTheme="minorHAnsi" w:hAnsiTheme="minorHAnsi"/>
                <w:noProof/>
              </w:rPr>
              <w:t>Cases of lawyers from Çağdaş Hukukçular Derneği (ÇHD) and others</w:t>
            </w:r>
            <w:r w:rsidR="004A56B8" w:rsidRPr="00A33356">
              <w:rPr>
                <w:noProof/>
                <w:webHidden/>
              </w:rPr>
              <w:tab/>
            </w:r>
            <w:r w:rsidR="004A56B8" w:rsidRPr="00A33356">
              <w:rPr>
                <w:noProof/>
                <w:webHidden/>
              </w:rPr>
              <w:fldChar w:fldCharType="begin"/>
            </w:r>
            <w:r w:rsidR="004A56B8" w:rsidRPr="00A33356">
              <w:rPr>
                <w:noProof/>
                <w:webHidden/>
              </w:rPr>
              <w:instrText xml:space="preserve"> PAGEREF _Toc168534118 \h </w:instrText>
            </w:r>
            <w:r w:rsidR="004A56B8" w:rsidRPr="00A33356">
              <w:rPr>
                <w:noProof/>
                <w:webHidden/>
              </w:rPr>
            </w:r>
            <w:r w:rsidR="004A56B8" w:rsidRPr="00A33356">
              <w:rPr>
                <w:noProof/>
                <w:webHidden/>
              </w:rPr>
              <w:fldChar w:fldCharType="separate"/>
            </w:r>
            <w:r w:rsidR="006375AE">
              <w:rPr>
                <w:noProof/>
                <w:webHidden/>
              </w:rPr>
              <w:t>12</w:t>
            </w:r>
            <w:r w:rsidR="004A56B8" w:rsidRPr="00A33356">
              <w:rPr>
                <w:noProof/>
                <w:webHidden/>
              </w:rPr>
              <w:fldChar w:fldCharType="end"/>
            </w:r>
          </w:hyperlink>
        </w:p>
        <w:p w14:paraId="2B431678" w14:textId="39658EBD" w:rsidR="004A56B8" w:rsidRPr="00A33356" w:rsidRDefault="00FC386D">
          <w:pPr>
            <w:pStyle w:val="TOC1"/>
            <w:tabs>
              <w:tab w:val="right" w:leader="dot" w:pos="9016"/>
            </w:tabs>
            <w:rPr>
              <w:rFonts w:eastAsiaTheme="minorEastAsia"/>
              <w:noProof/>
              <w:kern w:val="2"/>
              <w:sz w:val="24"/>
              <w:szCs w:val="24"/>
              <w:lang w:eastAsia="en-GB"/>
              <w14:ligatures w14:val="standardContextual"/>
            </w:rPr>
          </w:pPr>
          <w:hyperlink w:anchor="_Toc168534119" w:history="1">
            <w:r w:rsidR="004A56B8" w:rsidRPr="00A33356">
              <w:rPr>
                <w:rStyle w:val="Hyperlink"/>
                <w:rFonts w:asciiTheme="minorHAnsi" w:hAnsiTheme="minorHAnsi"/>
                <w:noProof/>
              </w:rPr>
              <w:t>Conditions of detention</w:t>
            </w:r>
            <w:r w:rsidR="004A56B8" w:rsidRPr="00A33356">
              <w:rPr>
                <w:noProof/>
                <w:webHidden/>
              </w:rPr>
              <w:tab/>
            </w:r>
            <w:r w:rsidR="004A56B8" w:rsidRPr="00A33356">
              <w:rPr>
                <w:noProof/>
                <w:webHidden/>
              </w:rPr>
              <w:fldChar w:fldCharType="begin"/>
            </w:r>
            <w:r w:rsidR="004A56B8" w:rsidRPr="00A33356">
              <w:rPr>
                <w:noProof/>
                <w:webHidden/>
              </w:rPr>
              <w:instrText xml:space="preserve"> PAGEREF _Toc168534119 \h </w:instrText>
            </w:r>
            <w:r w:rsidR="004A56B8" w:rsidRPr="00A33356">
              <w:rPr>
                <w:noProof/>
                <w:webHidden/>
              </w:rPr>
            </w:r>
            <w:r w:rsidR="004A56B8" w:rsidRPr="00A33356">
              <w:rPr>
                <w:noProof/>
                <w:webHidden/>
              </w:rPr>
              <w:fldChar w:fldCharType="separate"/>
            </w:r>
            <w:r w:rsidR="006375AE">
              <w:rPr>
                <w:noProof/>
                <w:webHidden/>
              </w:rPr>
              <w:t>14</w:t>
            </w:r>
            <w:r w:rsidR="004A56B8" w:rsidRPr="00A33356">
              <w:rPr>
                <w:noProof/>
                <w:webHidden/>
              </w:rPr>
              <w:fldChar w:fldCharType="end"/>
            </w:r>
          </w:hyperlink>
        </w:p>
        <w:p w14:paraId="47C1C293" w14:textId="0EC5A17D" w:rsidR="004A56B8" w:rsidRPr="00A33356" w:rsidRDefault="00FC386D">
          <w:pPr>
            <w:pStyle w:val="TOC2"/>
            <w:tabs>
              <w:tab w:val="right" w:leader="dot" w:pos="9016"/>
            </w:tabs>
            <w:rPr>
              <w:rFonts w:eastAsiaTheme="minorEastAsia"/>
              <w:noProof/>
              <w:kern w:val="2"/>
              <w:sz w:val="24"/>
              <w:szCs w:val="24"/>
              <w:lang w:eastAsia="en-GB"/>
              <w14:ligatures w14:val="standardContextual"/>
            </w:rPr>
          </w:pPr>
          <w:hyperlink w:anchor="_Toc168534120" w:history="1">
            <w:r w:rsidR="004A56B8" w:rsidRPr="00A33356">
              <w:rPr>
                <w:rStyle w:val="Hyperlink"/>
                <w:rFonts w:asciiTheme="minorHAnsi" w:hAnsiTheme="minorHAnsi"/>
                <w:noProof/>
              </w:rPr>
              <w:t>Personal searches</w:t>
            </w:r>
            <w:r w:rsidR="004A56B8" w:rsidRPr="00A33356">
              <w:rPr>
                <w:noProof/>
                <w:webHidden/>
              </w:rPr>
              <w:tab/>
            </w:r>
            <w:r w:rsidR="004A56B8" w:rsidRPr="00A33356">
              <w:rPr>
                <w:noProof/>
                <w:webHidden/>
              </w:rPr>
              <w:fldChar w:fldCharType="begin"/>
            </w:r>
            <w:r w:rsidR="004A56B8" w:rsidRPr="00A33356">
              <w:rPr>
                <w:noProof/>
                <w:webHidden/>
              </w:rPr>
              <w:instrText xml:space="preserve"> PAGEREF _Toc168534120 \h </w:instrText>
            </w:r>
            <w:r w:rsidR="004A56B8" w:rsidRPr="00A33356">
              <w:rPr>
                <w:noProof/>
                <w:webHidden/>
              </w:rPr>
            </w:r>
            <w:r w:rsidR="004A56B8" w:rsidRPr="00A33356">
              <w:rPr>
                <w:noProof/>
                <w:webHidden/>
              </w:rPr>
              <w:fldChar w:fldCharType="separate"/>
            </w:r>
            <w:r w:rsidR="006375AE">
              <w:rPr>
                <w:noProof/>
                <w:webHidden/>
              </w:rPr>
              <w:t>14</w:t>
            </w:r>
            <w:r w:rsidR="004A56B8" w:rsidRPr="00A33356">
              <w:rPr>
                <w:noProof/>
                <w:webHidden/>
              </w:rPr>
              <w:fldChar w:fldCharType="end"/>
            </w:r>
          </w:hyperlink>
        </w:p>
        <w:p w14:paraId="6F525818" w14:textId="43AACA76" w:rsidR="004A56B8" w:rsidRPr="00A33356" w:rsidRDefault="00FC386D">
          <w:pPr>
            <w:pStyle w:val="TOC2"/>
            <w:tabs>
              <w:tab w:val="right" w:leader="dot" w:pos="9016"/>
            </w:tabs>
            <w:rPr>
              <w:rFonts w:eastAsiaTheme="minorEastAsia"/>
              <w:noProof/>
              <w:kern w:val="2"/>
              <w:sz w:val="24"/>
              <w:szCs w:val="24"/>
              <w:lang w:eastAsia="en-GB"/>
              <w14:ligatures w14:val="standardContextual"/>
            </w:rPr>
          </w:pPr>
          <w:hyperlink w:anchor="_Toc168534121" w:history="1">
            <w:r w:rsidR="004A56B8" w:rsidRPr="00A33356">
              <w:rPr>
                <w:rStyle w:val="Hyperlink"/>
                <w:rFonts w:asciiTheme="minorHAnsi" w:hAnsiTheme="minorHAnsi"/>
                <w:noProof/>
              </w:rPr>
              <w:t>Access to medical services and treatment</w:t>
            </w:r>
            <w:r w:rsidR="004A56B8" w:rsidRPr="00A33356">
              <w:rPr>
                <w:noProof/>
                <w:webHidden/>
              </w:rPr>
              <w:tab/>
            </w:r>
            <w:r w:rsidR="004A56B8" w:rsidRPr="00A33356">
              <w:rPr>
                <w:noProof/>
                <w:webHidden/>
              </w:rPr>
              <w:fldChar w:fldCharType="begin"/>
            </w:r>
            <w:r w:rsidR="004A56B8" w:rsidRPr="00A33356">
              <w:rPr>
                <w:noProof/>
                <w:webHidden/>
              </w:rPr>
              <w:instrText xml:space="preserve"> PAGEREF _Toc168534121 \h </w:instrText>
            </w:r>
            <w:r w:rsidR="004A56B8" w:rsidRPr="00A33356">
              <w:rPr>
                <w:noProof/>
                <w:webHidden/>
              </w:rPr>
            </w:r>
            <w:r w:rsidR="004A56B8" w:rsidRPr="00A33356">
              <w:rPr>
                <w:noProof/>
                <w:webHidden/>
              </w:rPr>
              <w:fldChar w:fldCharType="separate"/>
            </w:r>
            <w:r w:rsidR="006375AE">
              <w:rPr>
                <w:noProof/>
                <w:webHidden/>
              </w:rPr>
              <w:t>14</w:t>
            </w:r>
            <w:r w:rsidR="004A56B8" w:rsidRPr="00A33356">
              <w:rPr>
                <w:noProof/>
                <w:webHidden/>
              </w:rPr>
              <w:fldChar w:fldCharType="end"/>
            </w:r>
          </w:hyperlink>
        </w:p>
        <w:p w14:paraId="450A70A1" w14:textId="690391F2" w:rsidR="004A56B8" w:rsidRPr="00A33356" w:rsidRDefault="00FC386D">
          <w:pPr>
            <w:pStyle w:val="TOC2"/>
            <w:tabs>
              <w:tab w:val="right" w:leader="dot" w:pos="9016"/>
            </w:tabs>
            <w:rPr>
              <w:rFonts w:eastAsiaTheme="minorEastAsia"/>
              <w:noProof/>
              <w:kern w:val="2"/>
              <w:sz w:val="24"/>
              <w:szCs w:val="24"/>
              <w:lang w:eastAsia="en-GB"/>
              <w14:ligatures w14:val="standardContextual"/>
            </w:rPr>
          </w:pPr>
          <w:hyperlink w:anchor="_Toc168534122" w:history="1">
            <w:r w:rsidR="004A56B8" w:rsidRPr="00A33356">
              <w:rPr>
                <w:rStyle w:val="Hyperlink"/>
                <w:rFonts w:asciiTheme="minorHAnsi" w:hAnsiTheme="minorHAnsi"/>
                <w:noProof/>
              </w:rPr>
              <w:t>Small group isolation</w:t>
            </w:r>
            <w:r w:rsidR="004A56B8" w:rsidRPr="00A33356">
              <w:rPr>
                <w:noProof/>
                <w:webHidden/>
              </w:rPr>
              <w:tab/>
            </w:r>
            <w:r w:rsidR="004A56B8" w:rsidRPr="00A33356">
              <w:rPr>
                <w:noProof/>
                <w:webHidden/>
              </w:rPr>
              <w:fldChar w:fldCharType="begin"/>
            </w:r>
            <w:r w:rsidR="004A56B8" w:rsidRPr="00A33356">
              <w:rPr>
                <w:noProof/>
                <w:webHidden/>
              </w:rPr>
              <w:instrText xml:space="preserve"> PAGEREF _Toc168534122 \h </w:instrText>
            </w:r>
            <w:r w:rsidR="004A56B8" w:rsidRPr="00A33356">
              <w:rPr>
                <w:noProof/>
                <w:webHidden/>
              </w:rPr>
            </w:r>
            <w:r w:rsidR="004A56B8" w:rsidRPr="00A33356">
              <w:rPr>
                <w:noProof/>
                <w:webHidden/>
              </w:rPr>
              <w:fldChar w:fldCharType="separate"/>
            </w:r>
            <w:r w:rsidR="006375AE">
              <w:rPr>
                <w:noProof/>
                <w:webHidden/>
              </w:rPr>
              <w:t>15</w:t>
            </w:r>
            <w:r w:rsidR="004A56B8" w:rsidRPr="00A33356">
              <w:rPr>
                <w:noProof/>
                <w:webHidden/>
              </w:rPr>
              <w:fldChar w:fldCharType="end"/>
            </w:r>
          </w:hyperlink>
        </w:p>
        <w:p w14:paraId="3C8F9725" w14:textId="0D1D4949" w:rsidR="004A56B8" w:rsidRPr="00A33356" w:rsidRDefault="00FC386D">
          <w:pPr>
            <w:pStyle w:val="TOC2"/>
            <w:tabs>
              <w:tab w:val="right" w:leader="dot" w:pos="9016"/>
            </w:tabs>
            <w:rPr>
              <w:rFonts w:eastAsiaTheme="minorEastAsia"/>
              <w:noProof/>
              <w:kern w:val="2"/>
              <w:sz w:val="24"/>
              <w:szCs w:val="24"/>
              <w:lang w:eastAsia="en-GB"/>
              <w14:ligatures w14:val="standardContextual"/>
            </w:rPr>
          </w:pPr>
          <w:hyperlink w:anchor="_Toc168534123" w:history="1">
            <w:r w:rsidR="004A56B8" w:rsidRPr="00A33356">
              <w:rPr>
                <w:rStyle w:val="Hyperlink"/>
                <w:rFonts w:asciiTheme="minorHAnsi" w:hAnsiTheme="minorHAnsi"/>
                <w:noProof/>
              </w:rPr>
              <w:t>Recommendations</w:t>
            </w:r>
            <w:r w:rsidR="004A56B8" w:rsidRPr="00A33356">
              <w:rPr>
                <w:noProof/>
                <w:webHidden/>
              </w:rPr>
              <w:tab/>
            </w:r>
            <w:r w:rsidR="004A56B8" w:rsidRPr="00A33356">
              <w:rPr>
                <w:noProof/>
                <w:webHidden/>
              </w:rPr>
              <w:fldChar w:fldCharType="begin"/>
            </w:r>
            <w:r w:rsidR="004A56B8" w:rsidRPr="00A33356">
              <w:rPr>
                <w:noProof/>
                <w:webHidden/>
              </w:rPr>
              <w:instrText xml:space="preserve"> PAGEREF _Toc168534123 \h </w:instrText>
            </w:r>
            <w:r w:rsidR="004A56B8" w:rsidRPr="00A33356">
              <w:rPr>
                <w:noProof/>
                <w:webHidden/>
              </w:rPr>
            </w:r>
            <w:r w:rsidR="004A56B8" w:rsidRPr="00A33356">
              <w:rPr>
                <w:noProof/>
                <w:webHidden/>
              </w:rPr>
              <w:fldChar w:fldCharType="separate"/>
            </w:r>
            <w:r w:rsidR="006375AE">
              <w:rPr>
                <w:noProof/>
                <w:webHidden/>
              </w:rPr>
              <w:t>16</w:t>
            </w:r>
            <w:r w:rsidR="004A56B8" w:rsidRPr="00A33356">
              <w:rPr>
                <w:noProof/>
                <w:webHidden/>
              </w:rPr>
              <w:fldChar w:fldCharType="end"/>
            </w:r>
          </w:hyperlink>
        </w:p>
        <w:p w14:paraId="6C60521C" w14:textId="6BA64B4B" w:rsidR="5D662AA7" w:rsidRDefault="5D662AA7" w:rsidP="001D29F1">
          <w:pPr>
            <w:pStyle w:val="TOC2"/>
            <w:tabs>
              <w:tab w:val="right" w:leader="dot" w:pos="9015"/>
            </w:tabs>
            <w:ind w:left="0"/>
            <w:rPr>
              <w:rStyle w:val="Hyperlink"/>
            </w:rPr>
          </w:pPr>
          <w:r w:rsidRPr="00A33356">
            <w:fldChar w:fldCharType="end"/>
          </w:r>
        </w:p>
      </w:sdtContent>
    </w:sdt>
    <w:p w14:paraId="14E284A1" w14:textId="53E73E83" w:rsidR="00EF02D2" w:rsidRDefault="00EF02D2">
      <w:pPr>
        <w:spacing w:before="0" w:after="160" w:line="259" w:lineRule="auto"/>
        <w:rPr>
          <w:rFonts w:eastAsiaTheme="majorEastAsia" w:cstheme="majorBidi"/>
          <w:color w:val="004D71"/>
          <w:sz w:val="28"/>
          <w:szCs w:val="32"/>
        </w:rPr>
      </w:pPr>
    </w:p>
    <w:p w14:paraId="73A7D93C" w14:textId="77777777" w:rsidR="009A16BE" w:rsidRDefault="009A16BE">
      <w:pPr>
        <w:spacing w:before="0" w:after="160" w:line="259" w:lineRule="auto"/>
        <w:rPr>
          <w:rFonts w:eastAsiaTheme="majorEastAsia" w:cstheme="majorBidi"/>
          <w:color w:val="004D71"/>
          <w:sz w:val="28"/>
          <w:szCs w:val="32"/>
        </w:rPr>
      </w:pPr>
      <w:bookmarkStart w:id="4" w:name="_Toc168534110"/>
      <w:r>
        <w:br w:type="page"/>
      </w:r>
    </w:p>
    <w:p w14:paraId="04B4BBE2" w14:textId="50DAC441" w:rsidR="00FF2555" w:rsidRPr="002112DE" w:rsidRDefault="5E24439C" w:rsidP="001D29F1">
      <w:pPr>
        <w:pStyle w:val="Heading1"/>
        <w:jc w:val="both"/>
      </w:pPr>
      <w:r w:rsidRPr="002112DE">
        <w:t>Introduction</w:t>
      </w:r>
      <w:bookmarkEnd w:id="3"/>
      <w:bookmarkEnd w:id="2"/>
      <w:bookmarkEnd w:id="4"/>
    </w:p>
    <w:p w14:paraId="0FDB4050" w14:textId="2ACE9F54" w:rsidR="00AC7313" w:rsidRDefault="004514B3" w:rsidP="001D29F1">
      <w:pPr>
        <w:jc w:val="both"/>
      </w:pPr>
      <w:r>
        <w:t xml:space="preserve">The Law Society of England and Wales </w:t>
      </w:r>
      <w:r w:rsidR="00E73AE8">
        <w:t>(</w:t>
      </w:r>
      <w:r>
        <w:t>the Law Society)</w:t>
      </w:r>
      <w:r w:rsidR="00DE566C">
        <w:t xml:space="preserve">, </w:t>
      </w:r>
      <w:r w:rsidR="00DE566C" w:rsidRPr="00363960">
        <w:t>the International Bar Association</w:t>
      </w:r>
      <w:r w:rsidR="00303533" w:rsidRPr="00363960">
        <w:t>’s Human Rights Institute (IBAHRI), Lawyers for Lawyers</w:t>
      </w:r>
      <w:r>
        <w:t xml:space="preserve"> </w:t>
      </w:r>
      <w:r w:rsidR="00B85512">
        <w:t xml:space="preserve">and the Human Rights Implementation Centre (HRIC) </w:t>
      </w:r>
      <w:r>
        <w:t xml:space="preserve">welcome the opportunity to submit written information to the Committee </w:t>
      </w:r>
      <w:r w:rsidR="00B4132E">
        <w:t xml:space="preserve">against Torture (hereinafter ‘the Committee’) </w:t>
      </w:r>
      <w:r>
        <w:t xml:space="preserve">for its consideration of </w:t>
      </w:r>
      <w:r w:rsidR="00A626D3">
        <w:t xml:space="preserve">the </w:t>
      </w:r>
      <w:r w:rsidR="00913281">
        <w:t xml:space="preserve">fifth periodic report of </w:t>
      </w:r>
      <w:r w:rsidR="000B38B0">
        <w:t>Turkey</w:t>
      </w:r>
      <w:r w:rsidR="00913281" w:rsidRPr="00913281">
        <w:t xml:space="preserve"> </w:t>
      </w:r>
      <w:r w:rsidR="008F562A">
        <w:t xml:space="preserve">at its </w:t>
      </w:r>
      <w:r w:rsidR="00913281">
        <w:t>80</w:t>
      </w:r>
      <w:r w:rsidR="008F562A" w:rsidRPr="245241BA">
        <w:rPr>
          <w:vertAlign w:val="superscript"/>
        </w:rPr>
        <w:t>th</w:t>
      </w:r>
      <w:r w:rsidR="008F562A">
        <w:t xml:space="preserve"> </w:t>
      </w:r>
      <w:r w:rsidR="00706448">
        <w:t>s</w:t>
      </w:r>
      <w:r w:rsidR="008F562A">
        <w:t>ession</w:t>
      </w:r>
      <w:r>
        <w:t>.</w:t>
      </w:r>
      <w:r w:rsidR="00A54F81">
        <w:t xml:space="preserve"> </w:t>
      </w:r>
      <w:r w:rsidR="004C6B50">
        <w:t xml:space="preserve">The information in this report relates </w:t>
      </w:r>
      <w:r w:rsidR="005E6E68">
        <w:t>to topics raised in the List of Issues</w:t>
      </w:r>
      <w:r w:rsidR="00CF263E">
        <w:t xml:space="preserve"> and</w:t>
      </w:r>
      <w:r w:rsidR="00D12424">
        <w:t xml:space="preserve"> </w:t>
      </w:r>
      <w:r w:rsidR="00CF263E">
        <w:t>responds</w:t>
      </w:r>
      <w:r w:rsidR="00D12424">
        <w:t xml:space="preserve"> to </w:t>
      </w:r>
      <w:r w:rsidR="00AC7313">
        <w:t xml:space="preserve">the periodic report. </w:t>
      </w:r>
    </w:p>
    <w:p w14:paraId="27E072E7" w14:textId="28003366" w:rsidR="00E735CB" w:rsidRDefault="00AC7313" w:rsidP="001D29F1">
      <w:pPr>
        <w:jc w:val="both"/>
        <w:rPr>
          <w:rFonts w:ascii="CIDFont+F6" w:hAnsi="CIDFont+F6" w:cs="CIDFont+F6"/>
          <w:color w:val="111111"/>
          <w:sz w:val="24"/>
          <w:szCs w:val="24"/>
        </w:rPr>
      </w:pPr>
      <w:r>
        <w:t xml:space="preserve">This </w:t>
      </w:r>
      <w:r w:rsidR="000A6C35">
        <w:t>report</w:t>
      </w:r>
      <w:r>
        <w:t xml:space="preserve"> is </w:t>
      </w:r>
      <w:r w:rsidR="00F61FDD">
        <w:t xml:space="preserve">based on </w:t>
      </w:r>
      <w:r w:rsidR="009C3A32">
        <w:t xml:space="preserve">interviews </w:t>
      </w:r>
      <w:r w:rsidR="007971E8">
        <w:t>with lawyers and other research conducted</w:t>
      </w:r>
      <w:r w:rsidR="00806DFB">
        <w:t xml:space="preserve"> by the </w:t>
      </w:r>
      <w:r w:rsidR="00B85512">
        <w:t>Law Society, IBAHRI and Lawyers for Lawyers</w:t>
      </w:r>
      <w:r w:rsidR="00F962E4">
        <w:t>. This includes</w:t>
      </w:r>
      <w:r w:rsidR="000C58A4">
        <w:t xml:space="preserve"> </w:t>
      </w:r>
      <w:r w:rsidR="00F04A09">
        <w:t xml:space="preserve">a </w:t>
      </w:r>
      <w:r w:rsidR="000C58A4">
        <w:t xml:space="preserve">fact-finding mission </w:t>
      </w:r>
      <w:r w:rsidR="004F2D28">
        <w:t xml:space="preserve">to </w:t>
      </w:r>
      <w:r w:rsidR="000B38B0">
        <w:t>Turkey</w:t>
      </w:r>
      <w:r w:rsidR="004F2D28" w:rsidRPr="00913281">
        <w:t xml:space="preserve"> </w:t>
      </w:r>
      <w:r w:rsidR="004F2D28">
        <w:t xml:space="preserve">in November 2023 </w:t>
      </w:r>
      <w:r w:rsidR="000C58A4">
        <w:t>conducted by the Law Society</w:t>
      </w:r>
      <w:r w:rsidR="00662A34">
        <w:t xml:space="preserve"> </w:t>
      </w:r>
      <w:r w:rsidR="000C58A4">
        <w:t xml:space="preserve">as part of </w:t>
      </w:r>
      <w:r w:rsidR="00F61FDD">
        <w:t xml:space="preserve">an international delegation representing 27 </w:t>
      </w:r>
      <w:r w:rsidR="00662A34">
        <w:t xml:space="preserve">legal and human rights </w:t>
      </w:r>
      <w:r w:rsidR="00A264B2">
        <w:t>organisations</w:t>
      </w:r>
      <w:r w:rsidR="008F2234">
        <w:t xml:space="preserve"> </w:t>
      </w:r>
      <w:r w:rsidR="00F61FDD">
        <w:t xml:space="preserve">to interview </w:t>
      </w:r>
      <w:r w:rsidR="005D3C2C">
        <w:t xml:space="preserve">detained </w:t>
      </w:r>
      <w:r w:rsidR="00F61FDD">
        <w:t xml:space="preserve">lawyers </w:t>
      </w:r>
      <w:r w:rsidR="005D3C2C">
        <w:t>and</w:t>
      </w:r>
      <w:r w:rsidR="00F61FDD">
        <w:t xml:space="preserve"> observe</w:t>
      </w:r>
      <w:r w:rsidR="005D3C2C">
        <w:t xml:space="preserve"> </w:t>
      </w:r>
      <w:r w:rsidR="00F61FDD">
        <w:t>court hearings</w:t>
      </w:r>
      <w:r w:rsidR="00746508">
        <w:t>.</w:t>
      </w:r>
      <w:r w:rsidR="00BB5237">
        <w:rPr>
          <w:rStyle w:val="FootnoteReference"/>
        </w:rPr>
        <w:footnoteReference w:id="2"/>
      </w:r>
      <w:r w:rsidR="00746508">
        <w:t xml:space="preserve"> </w:t>
      </w:r>
      <w:r w:rsidR="00402A08">
        <w:t>It also includes information gathered through conversations with lawyers and bar associations and observation missions as part of Lawyers for Lawyers’ ongoing trial monitoring programme</w:t>
      </w:r>
      <w:r w:rsidR="00C31D3F">
        <w:t xml:space="preserve">. </w:t>
      </w:r>
      <w:r w:rsidR="00AD5709" w:rsidRPr="00AD5709">
        <w:t>Additionally, IBAHRI has conducted numerous trial observations and organises regular roundtables with Turkish lawyers</w:t>
      </w:r>
      <w:r w:rsidR="00AD5709">
        <w:t xml:space="preserve">, and in </w:t>
      </w:r>
      <w:r w:rsidR="00AD5709" w:rsidRPr="00AD5709">
        <w:t xml:space="preserve">2024 </w:t>
      </w:r>
      <w:r w:rsidR="00AD5709">
        <w:t xml:space="preserve">published a detailed </w:t>
      </w:r>
      <w:r w:rsidR="00AD5709" w:rsidRPr="00AD5709">
        <w:t>report</w:t>
      </w:r>
      <w:r w:rsidR="00AD5709">
        <w:rPr>
          <w:rStyle w:val="FootnoteReference"/>
        </w:rPr>
        <w:footnoteReference w:id="3"/>
      </w:r>
      <w:r w:rsidR="00AD5709" w:rsidRPr="006602B4">
        <w:t xml:space="preserve"> </w:t>
      </w:r>
      <w:r w:rsidR="00AD5709" w:rsidRPr="00AD5709">
        <w:t xml:space="preserve">highlighting the declining independence </w:t>
      </w:r>
      <w:r w:rsidR="00AD5709">
        <w:t xml:space="preserve">and targeting </w:t>
      </w:r>
      <w:r w:rsidR="00AD5709" w:rsidRPr="00AD5709">
        <w:t xml:space="preserve">of the legal profession in </w:t>
      </w:r>
      <w:proofErr w:type="gramStart"/>
      <w:r w:rsidR="00AD5709" w:rsidRPr="00AD5709">
        <w:t>Turkey</w:t>
      </w:r>
      <w:proofErr w:type="gramEnd"/>
      <w:r w:rsidR="00AD5709" w:rsidRPr="00AD5709">
        <w:t xml:space="preserve">. </w:t>
      </w:r>
      <w:r w:rsidR="00EB7A76">
        <w:t xml:space="preserve">All other sources are referenced throughout. </w:t>
      </w:r>
    </w:p>
    <w:p w14:paraId="2E6C15F0" w14:textId="78CDDA0C" w:rsidR="005032C3" w:rsidRPr="00BF4628" w:rsidRDefault="00E735CB" w:rsidP="001D29F1">
      <w:pPr>
        <w:pStyle w:val="Heading1"/>
        <w:jc w:val="both"/>
      </w:pPr>
      <w:bookmarkStart w:id="5" w:name="_Toc168534111"/>
      <w:r w:rsidRPr="004573F3">
        <w:t>Right to access and communicate in confidence with a lawyer</w:t>
      </w:r>
      <w:bookmarkEnd w:id="5"/>
    </w:p>
    <w:p w14:paraId="2472451D" w14:textId="700EF4A1" w:rsidR="005032C3" w:rsidRDefault="00967CF1" w:rsidP="001D29F1">
      <w:pPr>
        <w:jc w:val="both"/>
      </w:pPr>
      <w:r>
        <w:t>The following information is provided in response to the Committee’s request for information on the existence of p</w:t>
      </w:r>
      <w:r w:rsidR="00402A08">
        <w:t>rompt access to a lawyer for suspects detained for terrorist offences</w:t>
      </w:r>
      <w:r>
        <w:t xml:space="preserve"> and </w:t>
      </w:r>
      <w:r w:rsidR="00024C02">
        <w:t>the</w:t>
      </w:r>
      <w:r>
        <w:t xml:space="preserve"> invocation of the Law on the Fight against Terrorism to deny access to a lawyer for the first 24 hours at the request of a prosecutor and by the decision of a judge (LOIPR, para 4).</w:t>
      </w:r>
    </w:p>
    <w:p w14:paraId="31EDF122" w14:textId="77777777" w:rsidR="00326E6C" w:rsidRDefault="00326E6C" w:rsidP="001D29F1">
      <w:pPr>
        <w:jc w:val="both"/>
      </w:pPr>
      <w:r w:rsidRPr="00326E6C">
        <w:t>The European Commission for Democracy Through Law (Venice Commission) in its Opinion No. 865 / 2016 on Decree Laws no. 667-76 (adopted following the failed coup), expressed regret that some temporary provisions have been made permanent in Decree Law no. 676, dated 29 October 2016, or this may be inferred from the wording of the Decree. This includes the possibility to be detained without access to a lawyer for 24 hours, in Article 154/2 of the Criminal Procedure Code, which has been made permanent.</w:t>
      </w:r>
      <w:r w:rsidRPr="00326E6C">
        <w:rPr>
          <w:rStyle w:val="FootnoteReference"/>
        </w:rPr>
        <w:footnoteReference w:id="4"/>
      </w:r>
      <w:r>
        <w:t xml:space="preserve"> </w:t>
      </w:r>
    </w:p>
    <w:p w14:paraId="02C1CDFD" w14:textId="77777777" w:rsidR="00326E6C" w:rsidRDefault="00D30382" w:rsidP="001D29F1">
      <w:pPr>
        <w:jc w:val="both"/>
      </w:pPr>
      <w:r>
        <w:t>During</w:t>
      </w:r>
      <w:r w:rsidR="008B00D7">
        <w:t xml:space="preserve"> </w:t>
      </w:r>
      <w:r w:rsidR="003C11FD" w:rsidRPr="003C11FD">
        <w:t xml:space="preserve">coordinated dawns raids in </w:t>
      </w:r>
      <w:proofErr w:type="gramStart"/>
      <w:r w:rsidR="003C11FD" w:rsidRPr="003C11FD">
        <w:t>Turkey</w:t>
      </w:r>
      <w:proofErr w:type="gramEnd"/>
      <w:r w:rsidR="003C11FD" w:rsidRPr="003C11FD">
        <w:t xml:space="preserve"> </w:t>
      </w:r>
      <w:r w:rsidR="003C11FD">
        <w:t>on 25 April 2023</w:t>
      </w:r>
      <w:r>
        <w:t>,</w:t>
      </w:r>
      <w:r w:rsidR="008B00D7">
        <w:t xml:space="preserve"> 25 lawyers were arbitrarily arrested</w:t>
      </w:r>
      <w:r>
        <w:t xml:space="preserve"> and denied</w:t>
      </w:r>
      <w:r w:rsidR="008B00D7">
        <w:t xml:space="preserve"> access to a lawyer based on decision no. 2023/1628 of the </w:t>
      </w:r>
      <w:r w:rsidR="008B00D7" w:rsidRPr="008B00D7">
        <w:t>Diyarbakır 3rd Criminal Judgeship of Peace</w:t>
      </w:r>
      <w:r w:rsidR="008B00D7">
        <w:t>. The lawyers’ defence</w:t>
      </w:r>
      <w:r>
        <w:t xml:space="preserve"> counsel</w:t>
      </w:r>
      <w:r w:rsidR="008B00D7">
        <w:t xml:space="preserve"> lodged an appeal against this decision</w:t>
      </w:r>
      <w:r>
        <w:t xml:space="preserve"> on the same day</w:t>
      </w:r>
      <w:r w:rsidR="008B00D7">
        <w:t xml:space="preserve"> which was rejected without justification by the </w:t>
      </w:r>
      <w:proofErr w:type="gramStart"/>
      <w:r w:rsidR="008B00D7">
        <w:t>aforementioned Judgeship</w:t>
      </w:r>
      <w:proofErr w:type="gramEnd"/>
      <w:r w:rsidR="008B00D7">
        <w:t xml:space="preserve"> on 28 April 2023, three days after the restriction was imposed. </w:t>
      </w:r>
      <w:r w:rsidR="009657EA" w:rsidRPr="009657EA">
        <w:t xml:space="preserve"> </w:t>
      </w:r>
      <w:r w:rsidR="00326E6C" w:rsidRPr="009657EA">
        <w:t xml:space="preserve">In both instances, their lawyers were </w:t>
      </w:r>
      <w:r w:rsidR="00326E6C">
        <w:t xml:space="preserve">also </w:t>
      </w:r>
      <w:r w:rsidR="00326E6C" w:rsidRPr="009657EA">
        <w:t>denied access to the case files</w:t>
      </w:r>
      <w:r w:rsidR="00326E6C">
        <w:t>, which</w:t>
      </w:r>
      <w:r w:rsidR="00326E6C" w:rsidRPr="009657EA">
        <w:t xml:space="preserve"> prevent</w:t>
      </w:r>
      <w:r w:rsidR="00326E6C">
        <w:t>ed</w:t>
      </w:r>
      <w:r w:rsidR="00326E6C" w:rsidRPr="009657EA">
        <w:t xml:space="preserve"> them from knowing the grounds of the arrest</w:t>
      </w:r>
      <w:r w:rsidR="00326E6C">
        <w:t xml:space="preserve">, further </w:t>
      </w:r>
      <w:r w:rsidR="00326E6C" w:rsidRPr="009657EA">
        <w:t xml:space="preserve">hampering their ability to effectively challenge the invocation of </w:t>
      </w:r>
      <w:r w:rsidR="00326E6C">
        <w:t>A</w:t>
      </w:r>
      <w:r w:rsidR="00326E6C" w:rsidRPr="009657EA">
        <w:t>rticle 154/2 of the C</w:t>
      </w:r>
      <w:r w:rsidR="00326E6C">
        <w:t xml:space="preserve">riminal </w:t>
      </w:r>
      <w:r w:rsidR="00326E6C" w:rsidRPr="009657EA">
        <w:t>P</w:t>
      </w:r>
      <w:r w:rsidR="00326E6C">
        <w:t>rocedure Code</w:t>
      </w:r>
      <w:r w:rsidR="00326E6C" w:rsidRPr="009657EA">
        <w:t xml:space="preserve"> with Decree Law no. 676</w:t>
      </w:r>
      <w:r w:rsidR="00326E6C">
        <w:t>.</w:t>
      </w:r>
    </w:p>
    <w:p w14:paraId="64166646" w14:textId="453EBA3B" w:rsidR="00022FB9" w:rsidRDefault="00022FB9" w:rsidP="001D29F1">
      <w:pPr>
        <w:jc w:val="both"/>
      </w:pPr>
      <w:r>
        <w:t>More recently, four lawyers (</w:t>
      </w:r>
      <w:r w:rsidRPr="00022FB9">
        <w:t>Didem Baydar Ünsal, Berrak Çağlar, Seda Şaraldı and Betül Vangölü Kozağaçlı</w:t>
      </w:r>
      <w:r>
        <w:t>) from the Progressive Lawyers’ Association (ÇHD) were arbitrarily detained following a raid on their office in Istanbul on 6 February 2024. They were subsequently denied access to a lawyer for 24 hours</w:t>
      </w:r>
      <w:r w:rsidR="00026B61">
        <w:t xml:space="preserve"> </w:t>
      </w:r>
      <w:proofErr w:type="gramStart"/>
      <w:r w:rsidR="00026B61">
        <w:t>on the basis of</w:t>
      </w:r>
      <w:proofErr w:type="gramEnd"/>
      <w:r w:rsidR="00026B61">
        <w:t xml:space="preserve"> Anti-Terror Law No. 3713</w:t>
      </w:r>
      <w:r>
        <w:t>.</w:t>
      </w:r>
    </w:p>
    <w:p w14:paraId="0967F2D8" w14:textId="0913B9CA" w:rsidR="0046193A" w:rsidRDefault="00BF5819" w:rsidP="001D29F1">
      <w:pPr>
        <w:jc w:val="both"/>
      </w:pPr>
      <w:bookmarkStart w:id="6" w:name="_Hlk168503671"/>
      <w:r>
        <w:t>Lawyers from Asrin Hukuk Burosu</w:t>
      </w:r>
      <w:r w:rsidR="0046193A">
        <w:t xml:space="preserve"> (Asrin law firm)</w:t>
      </w:r>
      <w:r>
        <w:t xml:space="preserve"> have reported </w:t>
      </w:r>
      <w:r w:rsidR="00FC52CE">
        <w:t xml:space="preserve">severe </w:t>
      </w:r>
      <w:r>
        <w:t>difficulties in accessing and communicating with their clients detained at</w:t>
      </w:r>
      <w:r w:rsidR="00FC52CE" w:rsidRPr="00FC52CE">
        <w:t xml:space="preserve"> </w:t>
      </w:r>
      <w:r w:rsidR="00FC52CE" w:rsidRPr="0075208F">
        <w:t>İmralı</w:t>
      </w:r>
      <w:r w:rsidR="00FC52CE">
        <w:t xml:space="preserve"> </w:t>
      </w:r>
      <w:r w:rsidR="00EB5127">
        <w:t xml:space="preserve">F-Type High Security </w:t>
      </w:r>
      <w:r w:rsidR="00FC52CE">
        <w:t>Prison</w:t>
      </w:r>
      <w:r w:rsidR="0075208F">
        <w:t xml:space="preserve">. </w:t>
      </w:r>
      <w:r w:rsidR="006263B3">
        <w:t>According to information received, l</w:t>
      </w:r>
      <w:r w:rsidR="0075208F">
        <w:t>awyers were allowed to meet their clients anytime and in any form until 2005, when the law ch</w:t>
      </w:r>
      <w:r w:rsidR="00FC52CE">
        <w:t xml:space="preserve">anged and visits were restricted to </w:t>
      </w:r>
      <w:r w:rsidR="00DB6463">
        <w:t>one</w:t>
      </w:r>
      <w:r w:rsidR="00FC52CE">
        <w:t xml:space="preserve"> hour per week only. Lawyers </w:t>
      </w:r>
      <w:r w:rsidR="006263B3">
        <w:t xml:space="preserve">then </w:t>
      </w:r>
      <w:r w:rsidR="00FC52CE">
        <w:t xml:space="preserve">had to apply to the public prosecutor for permission for visits. In addition, the visits were to be held in the presence of a prison guard and subject to </w:t>
      </w:r>
      <w:r w:rsidR="006263B3">
        <w:t xml:space="preserve">being </w:t>
      </w:r>
      <w:r w:rsidR="00FC52CE">
        <w:t>record</w:t>
      </w:r>
      <w:r w:rsidR="006263B3">
        <w:t>ed</w:t>
      </w:r>
      <w:r w:rsidR="00FC52CE">
        <w:t xml:space="preserve">. </w:t>
      </w:r>
      <w:bookmarkEnd w:id="6"/>
      <w:r w:rsidR="006263B3">
        <w:t>Since</w:t>
      </w:r>
      <w:r w:rsidR="0075208F">
        <w:t xml:space="preserve"> July </w:t>
      </w:r>
      <w:r w:rsidR="006263B3">
        <w:t>2011, no visits by lawyers had been granted</w:t>
      </w:r>
      <w:r w:rsidR="00FC52CE">
        <w:t xml:space="preserve">. </w:t>
      </w:r>
      <w:r w:rsidR="008B3F7F">
        <w:t>Even after lifting the state of emergency</w:t>
      </w:r>
      <w:r w:rsidR="006263B3">
        <w:t xml:space="preserve"> in July 2018,</w:t>
      </w:r>
      <w:r w:rsidR="008B3F7F">
        <w:t xml:space="preserve"> all prisoners in</w:t>
      </w:r>
      <w:r w:rsidR="008B3F7F" w:rsidRPr="008B3F7F">
        <w:t xml:space="preserve"> </w:t>
      </w:r>
      <w:r w:rsidR="008B3F7F" w:rsidRPr="0075208F">
        <w:t>İmralı</w:t>
      </w:r>
      <w:r w:rsidR="008B3F7F">
        <w:t xml:space="preserve"> Island Prison continued to be denied visits by their lawyers</w:t>
      </w:r>
      <w:r w:rsidR="006263B3">
        <w:t xml:space="preserve"> (and family)</w:t>
      </w:r>
      <w:r w:rsidR="008B3F7F">
        <w:t>.</w:t>
      </w:r>
      <w:r w:rsidR="00EB5127">
        <w:rPr>
          <w:rStyle w:val="FootnoteReference"/>
        </w:rPr>
        <w:footnoteReference w:id="5"/>
      </w:r>
      <w:r w:rsidR="008B3F7F">
        <w:t xml:space="preserve"> Decisions to refuse access to lawyers were repeatedly taken by the </w:t>
      </w:r>
      <w:r w:rsidR="006263B3">
        <w:t>competent</w:t>
      </w:r>
      <w:r w:rsidR="008B3F7F">
        <w:t xml:space="preserve"> enforcement judge, each time for a period of six months, on the basis of section 59 of the Law on the Execution of Sentences and Security Measures.</w:t>
      </w:r>
      <w:r w:rsidR="0046193A">
        <w:t xml:space="preserve"> Clients who have been detained since 2015 were also</w:t>
      </w:r>
      <w:r w:rsidR="00DB6463">
        <w:t xml:space="preserve"> </w:t>
      </w:r>
      <w:r w:rsidR="0046193A">
        <w:t>not allowed to correspond with their lawyers via email or telephone.</w:t>
      </w:r>
    </w:p>
    <w:p w14:paraId="70626807" w14:textId="1B954E2C" w:rsidR="005032C3" w:rsidRPr="00527A87" w:rsidRDefault="0046193A" w:rsidP="001D29F1">
      <w:pPr>
        <w:pStyle w:val="Heading1"/>
        <w:jc w:val="both"/>
        <w:rPr>
          <w:color w:val="auto"/>
          <w:sz w:val="22"/>
          <w:szCs w:val="22"/>
        </w:rPr>
      </w:pPr>
      <w:r w:rsidRPr="00527A87">
        <w:rPr>
          <w:color w:val="auto"/>
          <w:sz w:val="22"/>
          <w:szCs w:val="22"/>
        </w:rPr>
        <w:t>From 6</w:t>
      </w:r>
      <w:r w:rsidR="00DB6463" w:rsidRPr="00527A87">
        <w:rPr>
          <w:color w:val="auto"/>
          <w:sz w:val="22"/>
          <w:szCs w:val="22"/>
        </w:rPr>
        <w:t xml:space="preserve"> </w:t>
      </w:r>
      <w:r w:rsidRPr="00527A87">
        <w:rPr>
          <w:color w:val="auto"/>
          <w:sz w:val="22"/>
          <w:szCs w:val="22"/>
        </w:rPr>
        <w:t>– 17 May 2019, the European Committee for the Prevention of Torture and Inhuman or Degrading Treatment or Punishment (CPT) visited İmralı Island Prison.</w:t>
      </w:r>
      <w:r w:rsidR="00EB5127" w:rsidRPr="00527A87">
        <w:rPr>
          <w:rStyle w:val="FootnoteReference"/>
          <w:rFonts w:asciiTheme="minorHAnsi" w:hAnsiTheme="minorHAnsi"/>
          <w:color w:val="auto"/>
          <w:sz w:val="22"/>
          <w:szCs w:val="22"/>
        </w:rPr>
        <w:footnoteReference w:id="6"/>
      </w:r>
      <w:r w:rsidRPr="00527A87">
        <w:rPr>
          <w:color w:val="auto"/>
          <w:sz w:val="22"/>
          <w:szCs w:val="22"/>
        </w:rPr>
        <w:t xml:space="preserve"> Prior to this visit, the judicial ban on lawyers’ visits was lifted, which allowed lawyers from Asrin law firm to visit their client Abdullah Öcalan for the first time since July 2011.</w:t>
      </w:r>
      <w:r w:rsidR="008519B8" w:rsidRPr="00527A87">
        <w:rPr>
          <w:rStyle w:val="FootnoteReference"/>
          <w:rFonts w:asciiTheme="minorHAnsi" w:hAnsiTheme="minorHAnsi"/>
          <w:color w:val="auto"/>
          <w:sz w:val="22"/>
          <w:szCs w:val="22"/>
        </w:rPr>
        <w:footnoteReference w:id="7"/>
      </w:r>
      <w:r w:rsidRPr="00527A87">
        <w:rPr>
          <w:color w:val="auto"/>
          <w:sz w:val="22"/>
          <w:szCs w:val="22"/>
        </w:rPr>
        <w:t xml:space="preserve"> </w:t>
      </w:r>
      <w:r w:rsidR="00FC52CE" w:rsidRPr="00527A87">
        <w:rPr>
          <w:color w:val="auto"/>
          <w:sz w:val="22"/>
          <w:szCs w:val="22"/>
        </w:rPr>
        <w:t xml:space="preserve">Following </w:t>
      </w:r>
      <w:r w:rsidRPr="00527A87">
        <w:rPr>
          <w:color w:val="auto"/>
          <w:sz w:val="22"/>
          <w:szCs w:val="22"/>
        </w:rPr>
        <w:t xml:space="preserve">the visit, protests </w:t>
      </w:r>
      <w:r w:rsidR="00B713AE" w:rsidRPr="00527A87">
        <w:rPr>
          <w:color w:val="auto"/>
          <w:sz w:val="22"/>
          <w:szCs w:val="22"/>
        </w:rPr>
        <w:t>by prisoners to</w:t>
      </w:r>
      <w:r w:rsidR="00FC52CE" w:rsidRPr="00527A87">
        <w:rPr>
          <w:color w:val="auto"/>
          <w:sz w:val="22"/>
          <w:szCs w:val="22"/>
        </w:rPr>
        <w:t xml:space="preserve"> demand</w:t>
      </w:r>
      <w:r w:rsidR="00B713AE" w:rsidRPr="00527A87">
        <w:rPr>
          <w:color w:val="auto"/>
          <w:sz w:val="22"/>
          <w:szCs w:val="22"/>
        </w:rPr>
        <w:t xml:space="preserve"> their</w:t>
      </w:r>
      <w:r w:rsidR="00FC52CE" w:rsidRPr="00527A87">
        <w:rPr>
          <w:color w:val="auto"/>
          <w:sz w:val="22"/>
          <w:szCs w:val="22"/>
        </w:rPr>
        <w:t xml:space="preserve"> right to visits</w:t>
      </w:r>
      <w:r w:rsidR="00B713AE" w:rsidRPr="00527A87">
        <w:rPr>
          <w:color w:val="auto"/>
          <w:sz w:val="22"/>
          <w:szCs w:val="22"/>
        </w:rPr>
        <w:t xml:space="preserve"> </w:t>
      </w:r>
      <w:r w:rsidRPr="00527A87">
        <w:rPr>
          <w:color w:val="auto"/>
          <w:sz w:val="22"/>
          <w:szCs w:val="22"/>
        </w:rPr>
        <w:t>(including wide-spread hunger strikes) erupted. Consequently, t</w:t>
      </w:r>
      <w:r w:rsidR="00FC52CE" w:rsidRPr="00527A87">
        <w:rPr>
          <w:color w:val="auto"/>
          <w:sz w:val="22"/>
          <w:szCs w:val="22"/>
        </w:rPr>
        <w:t xml:space="preserve">he Asrin lawyers </w:t>
      </w:r>
      <w:r w:rsidRPr="00527A87">
        <w:rPr>
          <w:color w:val="auto"/>
          <w:sz w:val="22"/>
          <w:szCs w:val="22"/>
        </w:rPr>
        <w:t>were</w:t>
      </w:r>
      <w:r w:rsidR="00FC52CE" w:rsidRPr="00527A87">
        <w:rPr>
          <w:color w:val="auto"/>
          <w:sz w:val="22"/>
          <w:szCs w:val="22"/>
        </w:rPr>
        <w:t xml:space="preserve"> able to visits their clients for</w:t>
      </w:r>
      <w:r w:rsidRPr="00527A87">
        <w:rPr>
          <w:color w:val="auto"/>
          <w:sz w:val="22"/>
          <w:szCs w:val="22"/>
        </w:rPr>
        <w:t xml:space="preserve"> another</w:t>
      </w:r>
      <w:r w:rsidR="00FC52CE" w:rsidRPr="00527A87">
        <w:rPr>
          <w:color w:val="auto"/>
          <w:sz w:val="22"/>
          <w:szCs w:val="22"/>
        </w:rPr>
        <w:t xml:space="preserve"> </w:t>
      </w:r>
      <w:r w:rsidRPr="00527A87">
        <w:rPr>
          <w:color w:val="auto"/>
          <w:sz w:val="22"/>
          <w:szCs w:val="22"/>
        </w:rPr>
        <w:t xml:space="preserve">four times before requests were systematically </w:t>
      </w:r>
      <w:r w:rsidR="00DB6463" w:rsidRPr="00527A87">
        <w:rPr>
          <w:color w:val="auto"/>
          <w:sz w:val="22"/>
          <w:szCs w:val="22"/>
        </w:rPr>
        <w:t>refused</w:t>
      </w:r>
      <w:r w:rsidRPr="00527A87">
        <w:rPr>
          <w:color w:val="auto"/>
          <w:sz w:val="22"/>
          <w:szCs w:val="22"/>
        </w:rPr>
        <w:t xml:space="preserve"> again from 7 August 2019 onwards</w:t>
      </w:r>
      <w:r w:rsidR="00FC52CE" w:rsidRPr="00527A87">
        <w:rPr>
          <w:color w:val="auto"/>
          <w:sz w:val="22"/>
          <w:szCs w:val="22"/>
        </w:rPr>
        <w:t xml:space="preserve">. </w:t>
      </w:r>
      <w:r w:rsidR="006263B3" w:rsidRPr="00527A87">
        <w:rPr>
          <w:color w:val="auto"/>
          <w:sz w:val="22"/>
          <w:szCs w:val="22"/>
        </w:rPr>
        <w:t>Since March 2021, clients are kept in complete isolation.</w:t>
      </w:r>
      <w:r w:rsidR="00EB5127" w:rsidRPr="00527A87">
        <w:rPr>
          <w:color w:val="auto"/>
          <w:sz w:val="22"/>
          <w:szCs w:val="22"/>
        </w:rPr>
        <w:t xml:space="preserve"> </w:t>
      </w:r>
      <w:bookmarkStart w:id="7" w:name="_Toc168534112"/>
      <w:r w:rsidR="00627394" w:rsidRPr="00527A87">
        <w:rPr>
          <w:color w:val="auto"/>
          <w:sz w:val="22"/>
          <w:szCs w:val="22"/>
        </w:rPr>
        <w:t>Complaints of torture or ill-treatment</w:t>
      </w:r>
      <w:bookmarkEnd w:id="7"/>
      <w:r w:rsidR="00627394" w:rsidRPr="00527A87">
        <w:rPr>
          <w:color w:val="auto"/>
          <w:sz w:val="22"/>
          <w:szCs w:val="22"/>
        </w:rPr>
        <w:t xml:space="preserve"> </w:t>
      </w:r>
    </w:p>
    <w:p w14:paraId="00E5DBE8" w14:textId="2895E67A" w:rsidR="005032C3" w:rsidRPr="005F5750" w:rsidRDefault="00182014" w:rsidP="001D29F1">
      <w:pPr>
        <w:jc w:val="both"/>
      </w:pPr>
      <w:r w:rsidRPr="005F5750">
        <w:t xml:space="preserve">The following information </w:t>
      </w:r>
      <w:r w:rsidR="0025405D" w:rsidRPr="005F5750">
        <w:t>is provided in response</w:t>
      </w:r>
      <w:r w:rsidRPr="005F5750">
        <w:t xml:space="preserve"> to the </w:t>
      </w:r>
      <w:r w:rsidR="0050143F" w:rsidRPr="005F5750">
        <w:t xml:space="preserve">Committee’s request for information on </w:t>
      </w:r>
      <w:r w:rsidR="005032C3" w:rsidRPr="005F5750">
        <w:t>complaints of torture or ill-treatment</w:t>
      </w:r>
      <w:r w:rsidR="0050143F" w:rsidRPr="005F5750">
        <w:t xml:space="preserve"> and </w:t>
      </w:r>
      <w:r w:rsidR="005032C3" w:rsidRPr="005F5750">
        <w:t xml:space="preserve">any investigations or </w:t>
      </w:r>
      <w:r w:rsidR="00284E6F" w:rsidRPr="005F5750">
        <w:t xml:space="preserve">accountability </w:t>
      </w:r>
      <w:r w:rsidR="005032C3" w:rsidRPr="005F5750">
        <w:t>for such actions</w:t>
      </w:r>
      <w:r w:rsidR="00284E6F" w:rsidRPr="005F5750">
        <w:t xml:space="preserve"> (LOIPR, para. 11). </w:t>
      </w:r>
    </w:p>
    <w:p w14:paraId="7F9D9EE3" w14:textId="7A91ED50" w:rsidR="0096019B" w:rsidRPr="005F5750" w:rsidRDefault="008A670E" w:rsidP="001D29F1">
      <w:pPr>
        <w:jc w:val="both"/>
      </w:pPr>
      <w:r w:rsidRPr="005F5750">
        <w:t xml:space="preserve">Among the eight detained lawyers interviewed by the international delegation </w:t>
      </w:r>
      <w:r w:rsidR="000D4B65" w:rsidRPr="005F5750">
        <w:t xml:space="preserve">during their fact-finding mission in November 2023, at least </w:t>
      </w:r>
      <w:r w:rsidR="001244DB" w:rsidRPr="005F5750">
        <w:t>five of the lawyers (specifically Oya Aslan, Engin Gökoğlu, Barkin Timtik, Aytaç Ünsal and Özgür Yilmaz) have reported being subjected to torture and other ill-treatment while in detention. In 2017</w:t>
      </w:r>
      <w:r w:rsidR="001D62C0" w:rsidRPr="005F5750">
        <w:t>,</w:t>
      </w:r>
      <w:r w:rsidR="001244DB" w:rsidRPr="005F5750">
        <w:t xml:space="preserve"> it was reported that Özgür Yilmaz was tortured while in police detention in Istanbul. In 2016</w:t>
      </w:r>
      <w:r w:rsidR="001D62C0" w:rsidRPr="005F5750">
        <w:t>,</w:t>
      </w:r>
      <w:r w:rsidR="001244DB" w:rsidRPr="005F5750">
        <w:t xml:space="preserve"> Barkin Timtik reported being beaten while being transferred from prison. Oya Aslan made a complaint during her trial that she had been tortured following her arrest in 2019, but no action was taken by the Court or other authorities. Engin Gökoğlu’s arm was broken by prison officers during a transfer from one facility to another. He submitted a complaint about his injury to the authorities, but this has led to him being charged with an additional offence of resisting a public officer and facing a further trial. In 2018, Aytaç Ünsal reported being beaten while being transferred to the prison. He made an individual application to the Constitutional Court. On 14 December 2023, the Court accepted the application and announced that the state violated the prohibition of torture and ill-treatment.</w:t>
      </w:r>
    </w:p>
    <w:p w14:paraId="2492CDE8" w14:textId="300F15F5" w:rsidR="001244DB" w:rsidRPr="005F5750" w:rsidRDefault="001244DB" w:rsidP="001D29F1">
      <w:pPr>
        <w:jc w:val="both"/>
      </w:pPr>
      <w:r w:rsidRPr="005F5750">
        <w:t>In addition</w:t>
      </w:r>
      <w:r w:rsidR="00C422D2" w:rsidRPr="005F5750">
        <w:t xml:space="preserve"> to the ab</w:t>
      </w:r>
      <w:r w:rsidR="009D6AE0" w:rsidRPr="005F5750">
        <w:t xml:space="preserve">solute </w:t>
      </w:r>
      <w:r w:rsidR="00C35489" w:rsidRPr="005F5750">
        <w:t>prohibition</w:t>
      </w:r>
      <w:r w:rsidR="009D6AE0" w:rsidRPr="005F5750">
        <w:t xml:space="preserve"> of torture and obligations under Article 13 of UNCAT to conduct a prompt and impartial investigation</w:t>
      </w:r>
      <w:r w:rsidR="007C715D" w:rsidRPr="005F5750">
        <w:t xml:space="preserve"> and protect complainants against ill-treatment or intimidation</w:t>
      </w:r>
      <w:r w:rsidR="00C35489" w:rsidRPr="005F5750">
        <w:t xml:space="preserve"> </w:t>
      </w:r>
      <w:r w:rsidR="00942525" w:rsidRPr="005F5750">
        <w:t>because</w:t>
      </w:r>
      <w:r w:rsidR="00C35489" w:rsidRPr="005F5750">
        <w:t xml:space="preserve"> of their complaint or evidence</w:t>
      </w:r>
      <w:r w:rsidRPr="005F5750">
        <w:t xml:space="preserve">, </w:t>
      </w:r>
      <w:r w:rsidR="004C5E09" w:rsidRPr="005F5750">
        <w:t xml:space="preserve">under international law, </w:t>
      </w:r>
      <w:r w:rsidRPr="005F5750">
        <w:t>for injuries occurring while in detention</w:t>
      </w:r>
      <w:r w:rsidR="008E3851" w:rsidRPr="005F5750">
        <w:t xml:space="preserve">, </w:t>
      </w:r>
      <w:r w:rsidRPr="005F5750">
        <w:t xml:space="preserve">the burden </w:t>
      </w:r>
      <w:r w:rsidR="004C5E09" w:rsidRPr="005F5750">
        <w:t xml:space="preserve">is </w:t>
      </w:r>
      <w:r w:rsidRPr="005F5750">
        <w:t>on the State to account for th</w:t>
      </w:r>
      <w:r w:rsidR="009961C9" w:rsidRPr="005F5750">
        <w:t>e</w:t>
      </w:r>
      <w:r w:rsidR="00067298" w:rsidRPr="005F5750">
        <w:t xml:space="preserve"> injuries</w:t>
      </w:r>
      <w:r w:rsidRPr="005F5750">
        <w:t xml:space="preserve"> and provide a</w:t>
      </w:r>
      <w:r w:rsidR="00067298" w:rsidRPr="005F5750">
        <w:t xml:space="preserve"> satisfactory and convincing </w:t>
      </w:r>
      <w:r w:rsidRPr="005F5750">
        <w:t>explanation as to how the</w:t>
      </w:r>
      <w:r w:rsidR="009961C9" w:rsidRPr="005F5750">
        <w:t>y</w:t>
      </w:r>
      <w:r w:rsidRPr="005F5750">
        <w:t xml:space="preserve"> occurred.</w:t>
      </w:r>
      <w:r w:rsidR="00FD7E4D" w:rsidRPr="00A26825">
        <w:rPr>
          <w:vertAlign w:val="superscript"/>
        </w:rPr>
        <w:footnoteReference w:id="8"/>
      </w:r>
    </w:p>
    <w:p w14:paraId="6A47FC46" w14:textId="4B4A2001" w:rsidR="0096019B" w:rsidRPr="005F5750" w:rsidRDefault="001244DB" w:rsidP="001D29F1">
      <w:pPr>
        <w:jc w:val="both"/>
      </w:pPr>
      <w:r w:rsidRPr="005F5750">
        <w:t>Under international law, the use of force is permitted only when strictly necessary and, even then, it must be appropriate and reasonable to the situation. Rule 82(1) of the Nelson Mandela Rules requires that prison staff shall not use force “except in self-defence or in cases of attempted escape, or active or passive physical resistance to an order based on law or regulations. Prison staff who have recourse to force must use no more than is strictly necessary and must report the incident immediately to the prison director.” Rule 43 also states that instruments of restraint must never be used as a sanction for disciplinary offences.</w:t>
      </w:r>
    </w:p>
    <w:p w14:paraId="3A780E76" w14:textId="15F0E1ED" w:rsidR="002B063F" w:rsidRDefault="001244DB" w:rsidP="001D29F1">
      <w:pPr>
        <w:jc w:val="both"/>
      </w:pPr>
      <w:r w:rsidRPr="005F5750">
        <w:t>The injuries sustained by Oya Aslan, Engin Gökoğlu, Barkin Timtik and Aytaç Ünsal while in detention indicate violations of UNCAT</w:t>
      </w:r>
      <w:r w:rsidR="005106ED" w:rsidRPr="005F5750">
        <w:t>, as well as Article 7 of the ICCPR and Article 3 of the ECHR</w:t>
      </w:r>
      <w:r w:rsidRPr="005F5750">
        <w:t xml:space="preserve">. </w:t>
      </w:r>
      <w:r w:rsidR="6CB4385C" w:rsidRPr="005F5750">
        <w:t xml:space="preserve">They also indicate the use of force in a manner and context that is contrary to the Nelson Mandela Rules. </w:t>
      </w:r>
      <w:r w:rsidRPr="005F5750">
        <w:t xml:space="preserve">The authorities have also failed to </w:t>
      </w:r>
      <w:proofErr w:type="gramStart"/>
      <w:r w:rsidRPr="005F5750">
        <w:t>carry out</w:t>
      </w:r>
      <w:proofErr w:type="gramEnd"/>
      <w:r w:rsidRPr="005F5750">
        <w:t xml:space="preserve"> an effective investigation into the allegations of torture and other ill-treatment, and regarding the complaint made by Engin Gökoğlu, he has faced reprisals in violation of Article 13 of the UNCAT.</w:t>
      </w:r>
    </w:p>
    <w:p w14:paraId="5498FC8C" w14:textId="15F0E1ED" w:rsidR="00441FC3" w:rsidRPr="00531F0D" w:rsidRDefault="00531F0D" w:rsidP="001D29F1">
      <w:pPr>
        <w:pStyle w:val="Heading1"/>
        <w:jc w:val="both"/>
      </w:pPr>
      <w:bookmarkStart w:id="8" w:name="_Toc168534113"/>
      <w:r w:rsidRPr="00AA1E1B">
        <w:t>Independence of the judiciary and the administration of justice</w:t>
      </w:r>
      <w:bookmarkEnd w:id="8"/>
    </w:p>
    <w:p w14:paraId="23B7FDB6" w14:textId="19307647" w:rsidR="00557F9B" w:rsidRDefault="00441FC3" w:rsidP="001D29F1">
      <w:pPr>
        <w:shd w:val="clear" w:color="auto" w:fill="FFFFFF" w:themeFill="background1"/>
        <w:spacing w:before="0" w:after="0"/>
        <w:ind w:right="-20"/>
        <w:jc w:val="both"/>
      </w:pPr>
      <w:r>
        <w:t xml:space="preserve">In response to the Committee’s request for </w:t>
      </w:r>
      <w:r w:rsidRPr="00441FC3">
        <w:t xml:space="preserve">updated information about </w:t>
      </w:r>
      <w:proofErr w:type="gramStart"/>
      <w:r>
        <w:t>Turkey’s</w:t>
      </w:r>
      <w:proofErr w:type="gramEnd"/>
      <w:r w:rsidRPr="00441FC3">
        <w:t xml:space="preserve"> ability to ensure the independence of the judiciary and the administration of justice</w:t>
      </w:r>
      <w:r w:rsidR="00202FCF">
        <w:t xml:space="preserve"> </w:t>
      </w:r>
      <w:r w:rsidR="000369C0">
        <w:t xml:space="preserve">following the </w:t>
      </w:r>
      <w:r w:rsidR="00D23013">
        <w:t xml:space="preserve">detention of </w:t>
      </w:r>
      <w:r w:rsidR="00D23013" w:rsidRPr="0015748B">
        <w:t>2,740 judges and prosecutors on suspicion of carrying out activities against national security</w:t>
      </w:r>
      <w:r w:rsidR="001F19CA" w:rsidRPr="0015748B">
        <w:t xml:space="preserve"> </w:t>
      </w:r>
      <w:r w:rsidR="001F19CA">
        <w:t xml:space="preserve">in 2016 </w:t>
      </w:r>
      <w:r w:rsidR="00202FCF">
        <w:t xml:space="preserve">(LOIPR, para. </w:t>
      </w:r>
      <w:r w:rsidR="00EC065D">
        <w:t xml:space="preserve">17), </w:t>
      </w:r>
      <w:proofErr w:type="gramStart"/>
      <w:r w:rsidR="00EC065D">
        <w:t>Turkey’s</w:t>
      </w:r>
      <w:proofErr w:type="gramEnd"/>
      <w:r w:rsidR="00EC065D">
        <w:t xml:space="preserve"> periodic report </w:t>
      </w:r>
      <w:r w:rsidR="001349E6">
        <w:t xml:space="preserve">highlights </w:t>
      </w:r>
      <w:r w:rsidR="002E5FBA" w:rsidRPr="002E5FBA">
        <w:t>Article 159 of the Constitution</w:t>
      </w:r>
      <w:r w:rsidR="002E5FBA">
        <w:t xml:space="preserve"> and Articles </w:t>
      </w:r>
      <w:r w:rsidR="00263D9C" w:rsidRPr="005D06F7">
        <w:rPr>
          <w:rFonts w:cs="Arial"/>
        </w:rPr>
        <w:t xml:space="preserve">3/6 </w:t>
      </w:r>
      <w:r w:rsidR="00263D9C">
        <w:rPr>
          <w:rFonts w:cs="Arial"/>
        </w:rPr>
        <w:t xml:space="preserve">and 3/7 </w:t>
      </w:r>
      <w:r w:rsidR="00263D9C" w:rsidRPr="005D06F7">
        <w:rPr>
          <w:rFonts w:cs="Arial"/>
        </w:rPr>
        <w:t xml:space="preserve">of the Law No. </w:t>
      </w:r>
      <w:r w:rsidR="00263D9C" w:rsidRPr="0012537E">
        <w:t>6087</w:t>
      </w:r>
      <w:r w:rsidR="00263D9C" w:rsidRPr="005D06F7">
        <w:rPr>
          <w:rFonts w:cs="Arial"/>
        </w:rPr>
        <w:t xml:space="preserve"> on the Council of Judges and Prosecutors</w:t>
      </w:r>
      <w:r w:rsidR="00263D9C">
        <w:rPr>
          <w:rFonts w:cs="Arial"/>
        </w:rPr>
        <w:t xml:space="preserve">, which provide </w:t>
      </w:r>
      <w:r w:rsidR="005F1FBC">
        <w:rPr>
          <w:rFonts w:cs="Arial"/>
        </w:rPr>
        <w:t xml:space="preserve">for the </w:t>
      </w:r>
      <w:r w:rsidR="005F1FBC" w:rsidRPr="005F1FBC">
        <w:rPr>
          <w:rFonts w:cs="Arial"/>
        </w:rPr>
        <w:t xml:space="preserve">independence of the courts and the </w:t>
      </w:r>
      <w:r w:rsidR="005F1FBC">
        <w:rPr>
          <w:rFonts w:cs="Arial"/>
        </w:rPr>
        <w:t xml:space="preserve">security of </w:t>
      </w:r>
      <w:r w:rsidR="005F1FBC" w:rsidRPr="005F1FBC">
        <w:rPr>
          <w:rFonts w:cs="Arial"/>
        </w:rPr>
        <w:t>tenure of judges and prosecutors</w:t>
      </w:r>
      <w:r w:rsidR="005F1FBC">
        <w:rPr>
          <w:rFonts w:cs="Arial"/>
        </w:rPr>
        <w:t xml:space="preserve">. </w:t>
      </w:r>
    </w:p>
    <w:p w14:paraId="2C2FEA8D" w14:textId="4DC64DE9" w:rsidR="00FD6E46" w:rsidRPr="002D11E4" w:rsidRDefault="00FD6E46" w:rsidP="001D29F1">
      <w:pPr>
        <w:jc w:val="both"/>
      </w:pPr>
      <w:r w:rsidRPr="002D11E4">
        <w:t xml:space="preserve">Although Turkish law provides for an independent judiciary, in practice the executive branch dominates the Council of Judges and Prosecutors, the body responsible for assigning judges and prosecutors to the country’s courts and for their discipline. Out of the </w:t>
      </w:r>
      <w:proofErr w:type="gramStart"/>
      <w:r w:rsidRPr="002D11E4">
        <w:t>13</w:t>
      </w:r>
      <w:proofErr w:type="gramEnd"/>
      <w:r w:rsidRPr="002D11E4">
        <w:t xml:space="preserve"> judges who sit on the Board, the president directly appoints six. Although the </w:t>
      </w:r>
      <w:r w:rsidR="0021552F" w:rsidRPr="002D11E4">
        <w:t>C</w:t>
      </w:r>
      <w:r w:rsidRPr="002D11E4">
        <w:t xml:space="preserve">onstitution provides tenure for judges, the Board of Judges and Prosecutors controls the careers of judges and prosecutors through appointments, transfers, promotions, and discipline, including reprimands and expulsions. </w:t>
      </w:r>
    </w:p>
    <w:p w14:paraId="4545DEB7" w14:textId="4AC31EB4" w:rsidR="00FD6E46" w:rsidRPr="002D11E4" w:rsidRDefault="00FD6E46" w:rsidP="001D29F1">
      <w:pPr>
        <w:jc w:val="both"/>
      </w:pPr>
      <w:r w:rsidRPr="002D11E4">
        <w:t xml:space="preserve">Immediately following the 2016 coup attempt, the government suspended, detained, or fired nearly one-third of the judiciary, who were accused of affiliation with the </w:t>
      </w:r>
      <w:r w:rsidR="00DF5E77" w:rsidRPr="002A6E91">
        <w:t>Gülen</w:t>
      </w:r>
      <w:r w:rsidR="00DF5E77" w:rsidRPr="002D11E4">
        <w:t xml:space="preserve"> movement</w:t>
      </w:r>
      <w:r w:rsidRPr="002D11E4">
        <w:t xml:space="preserve"> alleged to be behind the attempted coup. </w:t>
      </w:r>
    </w:p>
    <w:p w14:paraId="59FCF663" w14:textId="2FF083D7" w:rsidR="00A52A3B" w:rsidRPr="002D11E4" w:rsidRDefault="00FD6E46" w:rsidP="001D29F1">
      <w:pPr>
        <w:jc w:val="both"/>
      </w:pPr>
      <w:r w:rsidRPr="002D11E4">
        <w:t>The lack of judicial independence is evidenced by events occurring during the fact-finding mission which constitute the greatest constitutional crisis in the history of the country. Specifically, on 8 November 2023, judges from the Court of Cassation filed a criminal complaint against judges from the Constitutional Court. This incident was sparked by a Constitutional Court decision in the case of Mr Can Atalay, a prominent human rights lawyer and activist who was elected to Parliament as an opposition MP in May 2023, while serving an 18-year prison sentence. In a decision issued on 25 October 2023, the Constitutional Court ruled that Mr Atalay should be released from prison. Turkish law provides that a convict</w:t>
      </w:r>
      <w:r w:rsidR="00C66B8C" w:rsidRPr="002D11E4">
        <w:t>ed person</w:t>
      </w:r>
      <w:r w:rsidRPr="002D11E4">
        <w:t xml:space="preserve"> who is eligible to run in parliamentary elections and who is elected must be released from prison to serve in </w:t>
      </w:r>
      <w:r w:rsidR="00C10A27" w:rsidRPr="002D11E4">
        <w:t>Parliament but</w:t>
      </w:r>
      <w:r w:rsidRPr="002D11E4">
        <w:t xml:space="preserve"> must return to serve the remainder of their prison sentence after their term in Parliament ends. The Constitutional Court held that Mr Atalay’s continued detention infringed his rights to “engage in political activities” as an MP, and instructed the Court of Cassation to reverse its earlier ruling ordering that Mr Atalay remain in prison. Subsequently</w:t>
      </w:r>
      <w:r w:rsidR="00C60E82" w:rsidRPr="002D11E4">
        <w:t>,</w:t>
      </w:r>
      <w:r w:rsidRPr="002D11E4">
        <w:t xml:space="preserve"> in a decision dated 8 November 2023, the 3rd Criminal Chamber of the Court of Cassation refused to comply with the Constitutional Court’s decision, and, remarkably, filed</w:t>
      </w:r>
      <w:r w:rsidR="00A52A3B" w:rsidRPr="002D11E4">
        <w:t xml:space="preserve"> a criminal complaint against those members of the Constitutional Court who had ruled in favour of Mr Atalay's release. </w:t>
      </w:r>
    </w:p>
    <w:p w14:paraId="58851CB7" w14:textId="1B28AEA9" w:rsidR="00A52A3B" w:rsidRPr="002D11E4" w:rsidRDefault="00A52A3B" w:rsidP="001D29F1">
      <w:pPr>
        <w:jc w:val="both"/>
      </w:pPr>
      <w:r w:rsidRPr="002D11E4">
        <w:t>Commentators have widely characteri</w:t>
      </w:r>
      <w:r w:rsidR="00425118" w:rsidRPr="002D11E4">
        <w:t>s</w:t>
      </w:r>
      <w:r w:rsidRPr="002D11E4">
        <w:t xml:space="preserve">ed the Court of Cassation’s decision as more political than </w:t>
      </w:r>
      <w:r w:rsidR="00C10A27" w:rsidRPr="002D11E4">
        <w:t>legal and</w:t>
      </w:r>
      <w:r w:rsidRPr="002D11E4">
        <w:t xml:space="preserve"> have emphasi</w:t>
      </w:r>
      <w:r w:rsidR="00425118" w:rsidRPr="002D11E4">
        <w:t>s</w:t>
      </w:r>
      <w:r w:rsidRPr="002D11E4">
        <w:t xml:space="preserve">ed that the Court of Cassation’s decision on its face appears to contravene Article 153 of the </w:t>
      </w:r>
      <w:r w:rsidR="00546468" w:rsidRPr="002D11E4">
        <w:t>C</w:t>
      </w:r>
      <w:r w:rsidRPr="002D11E4">
        <w:t>onstitution, which provides that “The decisions of the Constitutional Court “are binding on the legislative, executive and judicial organs, administrative authorities, real and legal persons” (emphasis added)</w:t>
      </w:r>
      <w:r w:rsidR="00546468" w:rsidRPr="002D11E4">
        <w:t xml:space="preserve">. </w:t>
      </w:r>
    </w:p>
    <w:p w14:paraId="09A0145F" w14:textId="3AE26C23" w:rsidR="00557F9B" w:rsidRPr="002D11E4" w:rsidRDefault="00A52A3B" w:rsidP="001D29F1">
      <w:pPr>
        <w:jc w:val="both"/>
      </w:pPr>
      <w:r w:rsidRPr="002D11E4">
        <w:t>As of early February 2024, the impasse between the Constitutional Court and the Court of Cassation continues. In the meantime, majority loyalists ejected Mr Atalay from Parliament on 30 January 2024. Mr Atalay’s opposition party has appealed that action to the Constitutional Court.</w:t>
      </w:r>
    </w:p>
    <w:p w14:paraId="07B3771A" w14:textId="5CB30B32" w:rsidR="00947819" w:rsidRPr="00500012" w:rsidRDefault="00862E89" w:rsidP="001D29F1">
      <w:pPr>
        <w:pStyle w:val="Heading2"/>
        <w:jc w:val="both"/>
      </w:pPr>
      <w:bookmarkStart w:id="9" w:name="_Toc168534114"/>
      <w:r w:rsidRPr="00500012">
        <w:t>Diminishing independence of bar associations</w:t>
      </w:r>
      <w:bookmarkEnd w:id="9"/>
    </w:p>
    <w:p w14:paraId="06264FC9" w14:textId="3212CF16" w:rsidR="00D64762" w:rsidRDefault="00D64762" w:rsidP="001D29F1">
      <w:pPr>
        <w:jc w:val="both"/>
      </w:pPr>
      <w:r>
        <w:t xml:space="preserve">Under Article 135 of the Constitution, </w:t>
      </w:r>
      <w:r w:rsidR="001513C2">
        <w:t>b</w:t>
      </w:r>
      <w:r>
        <w:t xml:space="preserve">ar </w:t>
      </w:r>
      <w:r w:rsidR="001513C2">
        <w:t>a</w:t>
      </w:r>
      <w:r>
        <w:t>ssociations are independent professional bodies having the characteristics of public institutions.</w:t>
      </w:r>
      <w:r>
        <w:rPr>
          <w:rStyle w:val="FootnoteReference"/>
          <w:szCs w:val="24"/>
        </w:rPr>
        <w:footnoteReference w:id="9"/>
      </w:r>
      <w:r>
        <w:rPr>
          <w:sz w:val="16"/>
          <w:szCs w:val="16"/>
        </w:rPr>
        <w:t xml:space="preserve"> </w:t>
      </w:r>
      <w:r>
        <w:t xml:space="preserve">However, Presidential Decree No. 5 (Presidential Decree as to the State Inspection Institution) </w:t>
      </w:r>
      <w:r w:rsidR="004219DF">
        <w:t xml:space="preserve">granted </w:t>
      </w:r>
      <w:r>
        <w:t xml:space="preserve">the Turkish </w:t>
      </w:r>
      <w:r w:rsidR="00112663">
        <w:t>executive</w:t>
      </w:r>
      <w:r w:rsidR="00C15735">
        <w:t xml:space="preserve"> </w:t>
      </w:r>
      <w:r>
        <w:t xml:space="preserve">the authority to inspect </w:t>
      </w:r>
      <w:r w:rsidR="00C15735">
        <w:t xml:space="preserve">bar associations </w:t>
      </w:r>
      <w:r>
        <w:t>and to suspend their chairpersons and board members (Article 6).</w:t>
      </w:r>
      <w:r w:rsidRPr="00D64762">
        <w:rPr>
          <w:vertAlign w:val="superscript"/>
        </w:rPr>
        <w:footnoteReference w:id="10"/>
      </w:r>
      <w:r w:rsidRPr="00D64762">
        <w:rPr>
          <w:vertAlign w:val="superscript"/>
        </w:rPr>
        <w:t xml:space="preserve"> </w:t>
      </w:r>
      <w:r>
        <w:t xml:space="preserve"> </w:t>
      </w:r>
      <w:r w:rsidR="00D972A2">
        <w:t>This power</w:t>
      </w:r>
      <w:r>
        <w:t xml:space="preserve"> to suspend a </w:t>
      </w:r>
      <w:r w:rsidR="00746002">
        <w:t>b</w:t>
      </w:r>
      <w:r>
        <w:t xml:space="preserve">ar </w:t>
      </w:r>
      <w:r w:rsidR="00D972A2">
        <w:t>a</w:t>
      </w:r>
      <w:r>
        <w:t>ssociation’s elected executives has significantly impaired their independence, impartiality, and ability to challenge systematic human rights abuses of the State, especially those targeting the legal profession.</w:t>
      </w:r>
    </w:p>
    <w:p w14:paraId="398690BD" w14:textId="3F0A3880" w:rsidR="00947819" w:rsidRPr="007339A2" w:rsidRDefault="00947819" w:rsidP="001D29F1">
      <w:pPr>
        <w:jc w:val="both"/>
      </w:pPr>
      <w:r w:rsidRPr="007339A2">
        <w:t xml:space="preserve">Increasing interference by the government in the functioning of bar associations, including through the imposition of regulatory measures and administrative constraints, has curtailed the ability of bar associations to </w:t>
      </w:r>
      <w:r w:rsidR="004243B3" w:rsidRPr="007339A2">
        <w:t>effectively protect</w:t>
      </w:r>
      <w:r w:rsidRPr="007339A2">
        <w:t xml:space="preserve"> the legal profession.</w:t>
      </w:r>
      <w:r w:rsidR="007E7D28" w:rsidRPr="007339A2">
        <w:t xml:space="preserve"> </w:t>
      </w:r>
      <w:r w:rsidRPr="007339A2">
        <w:t xml:space="preserve">The Special Rapporteur on the Independence of Judges and Lawyers noted that in </w:t>
      </w:r>
      <w:proofErr w:type="gramStart"/>
      <w:r w:rsidRPr="007339A2">
        <w:t>Turkey</w:t>
      </w:r>
      <w:proofErr w:type="gramEnd"/>
      <w:r w:rsidRPr="007339A2">
        <w:t>, over 34 lawyers’ associations had been shut down by decrees and had all their assets</w:t>
      </w:r>
      <w:r w:rsidR="003403FD" w:rsidRPr="007339A2">
        <w:t xml:space="preserve"> c</w:t>
      </w:r>
      <w:r w:rsidRPr="007339A2">
        <w:t>onfiscated without</w:t>
      </w:r>
      <w:r w:rsidR="003403FD" w:rsidRPr="007339A2">
        <w:t xml:space="preserve"> </w:t>
      </w:r>
      <w:r w:rsidRPr="007339A2">
        <w:t>compensation following the declaration of the state of emergency in</w:t>
      </w:r>
      <w:r w:rsidR="007339A2" w:rsidRPr="007339A2">
        <w:t xml:space="preserve"> </w:t>
      </w:r>
      <w:r w:rsidRPr="007339A2">
        <w:t xml:space="preserve">June 2016. </w:t>
      </w:r>
      <w:r w:rsidR="007339A2">
        <w:t>C</w:t>
      </w:r>
      <w:r w:rsidRPr="007339A2">
        <w:t>hairs, board members and ordinary members of those</w:t>
      </w:r>
      <w:r w:rsidR="003403FD" w:rsidRPr="007339A2">
        <w:t xml:space="preserve"> </w:t>
      </w:r>
      <w:r w:rsidRPr="007339A2">
        <w:t>associations have also been prosecuted and sentenced to long-term</w:t>
      </w:r>
      <w:r w:rsidR="003403FD" w:rsidRPr="007339A2">
        <w:t xml:space="preserve"> </w:t>
      </w:r>
      <w:r w:rsidRPr="007339A2">
        <w:t>imprisonment.</w:t>
      </w:r>
      <w:r w:rsidR="004C43C6" w:rsidRPr="007339A2">
        <w:rPr>
          <w:vertAlign w:val="superscript"/>
        </w:rPr>
        <w:footnoteReference w:id="11"/>
      </w:r>
    </w:p>
    <w:p w14:paraId="6A3A26D2" w14:textId="77777777" w:rsidR="0020007C" w:rsidRDefault="00947819" w:rsidP="001D29F1">
      <w:pPr>
        <w:jc w:val="both"/>
      </w:pPr>
      <w:r w:rsidRPr="00244C21">
        <w:t>The closure or threat of closure</w:t>
      </w:r>
      <w:r w:rsidR="00A71856" w:rsidRPr="00244C21">
        <w:t xml:space="preserve"> </w:t>
      </w:r>
      <w:r w:rsidRPr="00244C21">
        <w:t>by authorities has had</w:t>
      </w:r>
      <w:r w:rsidR="003403FD" w:rsidRPr="00244C21">
        <w:t xml:space="preserve"> </w:t>
      </w:r>
      <w:r w:rsidRPr="00244C21">
        <w:t>a chilling effect on the ability of lawyers’ associations to act</w:t>
      </w:r>
      <w:r w:rsidR="003403FD" w:rsidRPr="00244C21">
        <w:t xml:space="preserve"> </w:t>
      </w:r>
      <w:r w:rsidRPr="00244C21">
        <w:t>independently and in the interest and protection of the legal</w:t>
      </w:r>
      <w:r w:rsidR="003403FD" w:rsidRPr="00244C21">
        <w:t xml:space="preserve"> </w:t>
      </w:r>
      <w:r w:rsidRPr="00244C21">
        <w:t xml:space="preserve">profession. Prominent bar associations in </w:t>
      </w:r>
      <w:proofErr w:type="gramStart"/>
      <w:r w:rsidRPr="00244C21">
        <w:t>Turkey</w:t>
      </w:r>
      <w:proofErr w:type="gramEnd"/>
      <w:r w:rsidRPr="00244C21">
        <w:t xml:space="preserve"> have played an</w:t>
      </w:r>
      <w:r w:rsidR="003403FD" w:rsidRPr="00244C21">
        <w:t xml:space="preserve"> </w:t>
      </w:r>
      <w:r w:rsidRPr="00244C21">
        <w:t>increasingly important role in documenting human rights abuses and</w:t>
      </w:r>
      <w:r w:rsidR="003403FD" w:rsidRPr="00244C21">
        <w:t xml:space="preserve"> </w:t>
      </w:r>
      <w:r w:rsidRPr="00244C21">
        <w:t>the deep erosion of the rule of law and fair trial rights, and as a result</w:t>
      </w:r>
      <w:r w:rsidR="003403FD" w:rsidRPr="00244C21">
        <w:t xml:space="preserve"> </w:t>
      </w:r>
      <w:r w:rsidRPr="00244C21">
        <w:t>have been targeted by the government.</w:t>
      </w:r>
      <w:r w:rsidR="003403FD" w:rsidRPr="00244C21">
        <w:t xml:space="preserve"> </w:t>
      </w:r>
    </w:p>
    <w:p w14:paraId="68F35C38" w14:textId="4B14E551" w:rsidR="00450ACA" w:rsidRDefault="0020007C" w:rsidP="001D29F1">
      <w:pPr>
        <w:jc w:val="both"/>
      </w:pPr>
      <w:r w:rsidRPr="00187C9B">
        <w:t>T</w:t>
      </w:r>
      <w:r w:rsidR="00450ACA" w:rsidRPr="00187C9B">
        <w:t xml:space="preserve">he passing of a controversial law </w:t>
      </w:r>
      <w:r w:rsidR="004E3CA5" w:rsidRPr="00187C9B">
        <w:t xml:space="preserve">in 2020 </w:t>
      </w:r>
      <w:r w:rsidR="00450ACA" w:rsidRPr="00187C9B">
        <w:t xml:space="preserve">amending the </w:t>
      </w:r>
      <w:r w:rsidR="00F46357">
        <w:t>Code</w:t>
      </w:r>
      <w:r w:rsidR="00450ACA" w:rsidRPr="00187C9B">
        <w:t xml:space="preserve"> on Lawyers (Law no. 7249) </w:t>
      </w:r>
      <w:r w:rsidR="000A6B27" w:rsidRPr="00187C9B">
        <w:t xml:space="preserve">also reduced the independence </w:t>
      </w:r>
      <w:r w:rsidR="00D54AD8" w:rsidRPr="00187C9B">
        <w:t xml:space="preserve">of bar associations </w:t>
      </w:r>
      <w:r w:rsidR="000A6B27" w:rsidRPr="00187C9B">
        <w:t>by</w:t>
      </w:r>
      <w:r w:rsidR="00450ACA" w:rsidRPr="00187C9B">
        <w:t xml:space="preserve"> </w:t>
      </w:r>
      <w:r w:rsidR="00351469">
        <w:t xml:space="preserve">allowing </w:t>
      </w:r>
      <w:r w:rsidR="007F7FA2">
        <w:t>cities with more than 5</w:t>
      </w:r>
      <w:r w:rsidR="00351469">
        <w:t>,</w:t>
      </w:r>
      <w:r w:rsidR="007F7FA2">
        <w:t xml:space="preserve">000 registered lawyers </w:t>
      </w:r>
      <w:r w:rsidR="00351469">
        <w:t>to</w:t>
      </w:r>
      <w:r w:rsidR="007F7FA2">
        <w:t xml:space="preserve"> have multiple provincial bar </w:t>
      </w:r>
      <w:r w:rsidR="00403C90">
        <w:t>associations and</w:t>
      </w:r>
      <w:r w:rsidR="00351469">
        <w:t xml:space="preserve"> reforming</w:t>
      </w:r>
      <w:r w:rsidR="007F7FA2">
        <w:t xml:space="preserve"> the U</w:t>
      </w:r>
      <w:r w:rsidR="00351469">
        <w:t>nion of Turkish Bar Associations (U</w:t>
      </w:r>
      <w:r w:rsidR="007F7FA2">
        <w:t>TBA</w:t>
      </w:r>
      <w:r w:rsidR="00351469">
        <w:t>)</w:t>
      </w:r>
      <w:r w:rsidR="007F7FA2">
        <w:t xml:space="preserve"> electoral system </w:t>
      </w:r>
      <w:r w:rsidR="00B55EE4">
        <w:t>to disturb</w:t>
      </w:r>
      <w:r w:rsidR="007F7FA2">
        <w:t xml:space="preserve"> proportional representation of provincial bar associations at the national level.</w:t>
      </w:r>
      <w:r w:rsidR="00791387">
        <w:rPr>
          <w:rStyle w:val="FootnoteReference"/>
        </w:rPr>
        <w:footnoteReference w:id="12"/>
      </w:r>
      <w:r w:rsidR="007F7FA2">
        <w:t xml:space="preserve"> These amendments </w:t>
      </w:r>
      <w:r w:rsidR="00550457">
        <w:t>d</w:t>
      </w:r>
      <w:r w:rsidR="00450ACA" w:rsidRPr="00187C9B">
        <w:t xml:space="preserve">isempower </w:t>
      </w:r>
      <w:r w:rsidR="00196E2F">
        <w:t>the bigger</w:t>
      </w:r>
      <w:r w:rsidR="00450ACA" w:rsidRPr="00187C9B">
        <w:t xml:space="preserve"> bar associations</w:t>
      </w:r>
      <w:r w:rsidR="00BE76A6" w:rsidRPr="00187C9B">
        <w:t xml:space="preserve"> in Turkey’s main cities</w:t>
      </w:r>
      <w:r w:rsidR="00550457">
        <w:t xml:space="preserve"> </w:t>
      </w:r>
      <w:r w:rsidR="00196E2F">
        <w:t xml:space="preserve">which </w:t>
      </w:r>
      <w:r w:rsidR="00BE76A6" w:rsidRPr="00187C9B">
        <w:t>have criticised the government for breaches of human rights and the rule of law.</w:t>
      </w:r>
      <w:r w:rsidR="00393243" w:rsidRPr="00187C9B">
        <w:rPr>
          <w:vertAlign w:val="superscript"/>
        </w:rPr>
        <w:footnoteReference w:id="13"/>
      </w:r>
      <w:r w:rsidR="00EF3C67">
        <w:t xml:space="preserve"> </w:t>
      </w:r>
      <w:r w:rsidR="00450ACA" w:rsidRPr="004E4072">
        <w:t>This law is in clear breach of the UN Basic Principles on the Role of Lawyers and the Council of Europe Committee of Ministers’ Recommendation No. R (2000) 21, which require</w:t>
      </w:r>
      <w:r w:rsidR="00EF3C67" w:rsidRPr="004E4072">
        <w:t xml:space="preserve"> </w:t>
      </w:r>
      <w:r w:rsidR="00450ACA" w:rsidRPr="004E4072">
        <w:t>that</w:t>
      </w:r>
      <w:r w:rsidR="00EF3C67" w:rsidRPr="004E4072">
        <w:t xml:space="preserve"> </w:t>
      </w:r>
      <w:r w:rsidR="004E4072" w:rsidRPr="004E4072">
        <w:t xml:space="preserve">a </w:t>
      </w:r>
      <w:r w:rsidR="00EF3C67" w:rsidRPr="004E4072">
        <w:t>professional lawyers’ association be self-governing, independent of the authorities and the public, and able to exercise its functions without external interference from government or other actors</w:t>
      </w:r>
      <w:r w:rsidR="004E4072" w:rsidRPr="004E4072">
        <w:t xml:space="preserve">. </w:t>
      </w:r>
    </w:p>
    <w:p w14:paraId="6B459B0E" w14:textId="6248B1E4" w:rsidR="007B26C1" w:rsidRPr="00CA74B5" w:rsidRDefault="00450ACA" w:rsidP="001D29F1">
      <w:pPr>
        <w:autoSpaceDE w:val="0"/>
        <w:autoSpaceDN w:val="0"/>
        <w:adjustRightInd w:val="0"/>
        <w:spacing w:before="0" w:after="0"/>
        <w:jc w:val="both"/>
      </w:pPr>
      <w:r w:rsidRPr="00DD1182">
        <w:t xml:space="preserve">Bar </w:t>
      </w:r>
      <w:r w:rsidR="00DD1182" w:rsidRPr="00DD1182">
        <w:t>a</w:t>
      </w:r>
      <w:r w:rsidRPr="00DD1182">
        <w:t>ssociations have been further targeted through</w:t>
      </w:r>
      <w:r w:rsidR="00DE4652" w:rsidRPr="00DD1182">
        <w:t xml:space="preserve"> </w:t>
      </w:r>
      <w:r w:rsidRPr="00DD1182">
        <w:t>investigations and smear campaigns for exercising their legitimate</w:t>
      </w:r>
      <w:r w:rsidR="00DE4652" w:rsidRPr="00DD1182">
        <w:t xml:space="preserve"> </w:t>
      </w:r>
      <w:r w:rsidRPr="00DD1182">
        <w:t xml:space="preserve">functions and roles. </w:t>
      </w:r>
      <w:r w:rsidR="002C4F4C" w:rsidRPr="002A6E91">
        <w:t>Following a report on torture by the Ankara Bar Association to the Ankara security directorate in July of 2019, the Deputy Interior Minister accused the Bar Association of having links with the Gülen movement</w:t>
      </w:r>
      <w:r w:rsidR="002A6E91" w:rsidRPr="002A6E91">
        <w:t xml:space="preserve">; this was </w:t>
      </w:r>
      <w:r w:rsidR="002C4F4C" w:rsidRPr="002A6E91">
        <w:t>followed by a wave of arrest</w:t>
      </w:r>
      <w:r w:rsidR="76C045C4" w:rsidRPr="002A6E91">
        <w:t>s</w:t>
      </w:r>
      <w:r w:rsidR="002C4F4C" w:rsidRPr="002A6E91">
        <w:t xml:space="preserve"> against</w:t>
      </w:r>
      <w:r w:rsidR="002A6E91" w:rsidRPr="002A6E91">
        <w:t xml:space="preserve"> </w:t>
      </w:r>
      <w:r w:rsidR="002C4F4C" w:rsidRPr="002A6E91">
        <w:t>lawyers for using the ByLock App.</w:t>
      </w:r>
      <w:r w:rsidR="002C4F4C" w:rsidRPr="002A6E91">
        <w:rPr>
          <w:vertAlign w:val="superscript"/>
        </w:rPr>
        <w:footnoteReference w:id="14"/>
      </w:r>
      <w:r w:rsidR="002A6E91">
        <w:t xml:space="preserve"> </w:t>
      </w:r>
      <w:r w:rsidRPr="00DD1182">
        <w:t>In 2022, the Interior Minister publicly accused the</w:t>
      </w:r>
      <w:r w:rsidR="00DE4652" w:rsidRPr="00DD1182">
        <w:t xml:space="preserve"> </w:t>
      </w:r>
      <w:r w:rsidRPr="00DD1182">
        <w:t>Diyarbakır Bar Association of supporting terrorism several times</w:t>
      </w:r>
      <w:r w:rsidR="00DD1182" w:rsidRPr="00DD1182">
        <w:t xml:space="preserve"> – </w:t>
      </w:r>
      <w:r w:rsidRPr="00DD1182">
        <w:t>without providing sufficient evidence, witnesses, or legal grounds</w:t>
      </w:r>
      <w:r w:rsidR="00E67816" w:rsidRPr="00DD1182">
        <w:rPr>
          <w:vertAlign w:val="superscript"/>
        </w:rPr>
        <w:footnoteReference w:id="15"/>
      </w:r>
      <w:r w:rsidR="00DD1182" w:rsidRPr="00DD1182">
        <w:t xml:space="preserve"> – </w:t>
      </w:r>
      <w:r w:rsidRPr="00DD1182">
        <w:t xml:space="preserve">prompting criminal investigations into its board. In one instance, </w:t>
      </w:r>
      <w:r w:rsidR="00184962">
        <w:t xml:space="preserve">Turkish </w:t>
      </w:r>
      <w:r w:rsidRPr="00DD1182">
        <w:t>Penal</w:t>
      </w:r>
      <w:r w:rsidR="00DE4652" w:rsidRPr="00DD1182">
        <w:t xml:space="preserve"> </w:t>
      </w:r>
      <w:r w:rsidRPr="00DD1182">
        <w:t>Code Article 301, “Insulting the Turkish nation, state, government,</w:t>
      </w:r>
      <w:r w:rsidR="00DE4652" w:rsidRPr="00DD1182">
        <w:t xml:space="preserve"> </w:t>
      </w:r>
      <w:r w:rsidRPr="00DD1182">
        <w:t>Parliament, and its judicial bodies”, was applied following the release</w:t>
      </w:r>
      <w:r w:rsidR="00DE4652" w:rsidRPr="00DD1182">
        <w:t xml:space="preserve"> </w:t>
      </w:r>
      <w:r w:rsidRPr="00DD1182">
        <w:t>of a press statement by the bar that referenced the Armenian</w:t>
      </w:r>
      <w:r w:rsidR="00DE4652" w:rsidRPr="00DD1182">
        <w:t xml:space="preserve"> </w:t>
      </w:r>
      <w:r w:rsidRPr="00DD1182">
        <w:t>Genocide.</w:t>
      </w:r>
      <w:r w:rsidR="008E27A7" w:rsidRPr="00157D27">
        <w:rPr>
          <w:vertAlign w:val="superscript"/>
        </w:rPr>
        <w:footnoteReference w:id="16"/>
      </w:r>
      <w:r w:rsidRPr="00DD1182">
        <w:t xml:space="preserve"> Article 301 is infamously used to threaten and target</w:t>
      </w:r>
      <w:r w:rsidR="00DE4652" w:rsidRPr="00DD1182">
        <w:t xml:space="preserve"> </w:t>
      </w:r>
      <w:r w:rsidR="007B26C1" w:rsidRPr="00DD1182">
        <w:t>members of the public who voice an opinion contrary to the official position of the government.</w:t>
      </w:r>
      <w:r w:rsidR="005D20B6" w:rsidRPr="00157D27">
        <w:rPr>
          <w:vertAlign w:val="superscript"/>
        </w:rPr>
        <w:footnoteReference w:id="17"/>
      </w:r>
      <w:r w:rsidR="007B26C1" w:rsidRPr="00DD1182">
        <w:t xml:space="preserve"> Prior to this, Turkish authorities invoked </w:t>
      </w:r>
      <w:r w:rsidR="007B26C1" w:rsidRPr="00C35A0E">
        <w:t>Art</w:t>
      </w:r>
      <w:r w:rsidR="00157D27" w:rsidRPr="00C35A0E">
        <w:t>icle</w:t>
      </w:r>
      <w:r w:rsidR="007B26C1" w:rsidRPr="00C35A0E">
        <w:t xml:space="preserve"> 216 of the T</w:t>
      </w:r>
      <w:r w:rsidR="00C35A0E" w:rsidRPr="00C35A0E">
        <w:t xml:space="preserve">urkish </w:t>
      </w:r>
      <w:r w:rsidR="007B26C1" w:rsidRPr="00C35A0E">
        <w:t>P</w:t>
      </w:r>
      <w:r w:rsidR="00C35A0E" w:rsidRPr="00C35A0E">
        <w:t xml:space="preserve">enal </w:t>
      </w:r>
      <w:r w:rsidR="007B26C1" w:rsidRPr="00C35A0E">
        <w:t>C</w:t>
      </w:r>
      <w:r w:rsidR="00C35A0E" w:rsidRPr="00C35A0E">
        <w:t>ode</w:t>
      </w:r>
      <w:r w:rsidR="007B26C1" w:rsidRPr="00DD1182">
        <w:t xml:space="preserve"> to investigate the Diyarbakır Bar Association following their release of a press statement condemning anti-LGBTQ+ </w:t>
      </w:r>
      <w:r w:rsidR="007B26C1" w:rsidRPr="00CA74B5">
        <w:t>rhetoric by the President of Religious Affairs.</w:t>
      </w:r>
    </w:p>
    <w:p w14:paraId="1260D4CD" w14:textId="0BD47A66" w:rsidR="007B26C1" w:rsidRPr="00C43AF0" w:rsidRDefault="007B26C1" w:rsidP="001D29F1">
      <w:pPr>
        <w:jc w:val="both"/>
      </w:pPr>
      <w:r w:rsidRPr="00CA74B5">
        <w:t xml:space="preserve">Although </w:t>
      </w:r>
      <w:proofErr w:type="gramStart"/>
      <w:r w:rsidRPr="00CA74B5">
        <w:t>some</w:t>
      </w:r>
      <w:proofErr w:type="gramEnd"/>
      <w:r w:rsidRPr="00CA74B5">
        <w:t xml:space="preserve"> prosecutions later resulted in acquittals, the initiation of these prosecutions </w:t>
      </w:r>
      <w:r w:rsidR="00CA74B5" w:rsidRPr="00CA74B5">
        <w:t>had</w:t>
      </w:r>
      <w:r w:rsidRPr="00CA74B5">
        <w:t xml:space="preserve"> a </w:t>
      </w:r>
      <w:r w:rsidR="00CA74B5" w:rsidRPr="00CA74B5">
        <w:t xml:space="preserve">significant </w:t>
      </w:r>
      <w:r w:rsidRPr="00CA74B5">
        <w:t xml:space="preserve">chilling effect </w:t>
      </w:r>
      <w:r w:rsidR="00CA74B5" w:rsidRPr="00CA74B5">
        <w:t>on</w:t>
      </w:r>
      <w:r w:rsidRPr="00CA74B5">
        <w:t xml:space="preserve"> the independence </w:t>
      </w:r>
      <w:r w:rsidR="00CA74B5" w:rsidRPr="00CA74B5">
        <w:t xml:space="preserve">and legitimate activities </w:t>
      </w:r>
      <w:r w:rsidRPr="00CA74B5">
        <w:t>of bar associations.</w:t>
      </w:r>
    </w:p>
    <w:p w14:paraId="69E30890" w14:textId="372807AC" w:rsidR="00A12791" w:rsidRDefault="00862E89" w:rsidP="001D29F1">
      <w:pPr>
        <w:pStyle w:val="Heading2"/>
        <w:jc w:val="both"/>
      </w:pPr>
      <w:bookmarkStart w:id="10" w:name="_Toc168534115"/>
      <w:r>
        <w:t>Unlawful restrictions on admission to the legal profession</w:t>
      </w:r>
      <w:bookmarkEnd w:id="10"/>
    </w:p>
    <w:p w14:paraId="77FF39D0" w14:textId="6957C303" w:rsidR="00D71EC4" w:rsidRDefault="001631A0" w:rsidP="001D29F1">
      <w:pPr>
        <w:jc w:val="both"/>
      </w:pPr>
      <w:r w:rsidRPr="00AF0E1F">
        <w:t>T</w:t>
      </w:r>
      <w:r w:rsidR="0016636A" w:rsidRPr="00AF0E1F">
        <w:t xml:space="preserve">he government </w:t>
      </w:r>
      <w:r w:rsidRPr="00AF0E1F">
        <w:t xml:space="preserve">has also </w:t>
      </w:r>
      <w:r w:rsidR="0016636A" w:rsidRPr="00AF0E1F">
        <w:t>interfere</w:t>
      </w:r>
      <w:r w:rsidRPr="00AF0E1F">
        <w:t>d</w:t>
      </w:r>
      <w:r w:rsidR="0016636A" w:rsidRPr="00AF0E1F">
        <w:t xml:space="preserve"> with the legal profession </w:t>
      </w:r>
      <w:r w:rsidR="00205CB7" w:rsidRPr="00AF0E1F">
        <w:t>through</w:t>
      </w:r>
      <w:r w:rsidR="00AE32A6" w:rsidRPr="00AF0E1F">
        <w:t xml:space="preserve"> the process for</w:t>
      </w:r>
      <w:r w:rsidR="0016636A" w:rsidRPr="00AF0E1F">
        <w:t xml:space="preserve"> admission to the bar, to </w:t>
      </w:r>
      <w:r w:rsidR="0013066D" w:rsidRPr="00AF0E1F">
        <w:t>prevent</w:t>
      </w:r>
      <w:r w:rsidR="0016636A" w:rsidRPr="00AF0E1F">
        <w:t xml:space="preserve"> dissidents </w:t>
      </w:r>
      <w:r w:rsidR="0013066D" w:rsidRPr="00AF0E1F">
        <w:t xml:space="preserve">or individuals deemed ‘undesirable’ </w:t>
      </w:r>
      <w:r w:rsidR="0016636A" w:rsidRPr="00AF0E1F">
        <w:t xml:space="preserve">from practicing law in the first place. </w:t>
      </w:r>
      <w:r w:rsidR="00196A08" w:rsidRPr="00AF103B">
        <w:t xml:space="preserve">Under Law No. 1136 (the Code of Lawyers), all persons who successfully complete their apprenticeship as a lawyer or serve as a judge or prosecutor for at least five years, is admitted to the profession of lawyer. Since July 2016, however, the Turkish Ministry of Justice has interpreted </w:t>
      </w:r>
      <w:r w:rsidR="00196A08" w:rsidRPr="0007771F">
        <w:t>the Article of the Decree Laws</w:t>
      </w:r>
      <w:r w:rsidR="00196A08" w:rsidRPr="00AF103B">
        <w:t xml:space="preserve"> – that “those dismissed from service under paragraph one shall no longer be employed in public service” – to prevent dismissed public servants from entering a legal apprenticeship. In this way, school academics, judges and prosecutors who were dismissed under the Emergency Regime have been denied the profession of lawyer, despite fulfilling all legal requirements.</w:t>
      </w:r>
      <w:r w:rsidR="00196A08" w:rsidRPr="00D71EC4">
        <w:rPr>
          <w:vertAlign w:val="superscript"/>
        </w:rPr>
        <w:footnoteReference w:id="18"/>
      </w:r>
    </w:p>
    <w:p w14:paraId="4E4ADE0C" w14:textId="34E53730" w:rsidR="00EA3A02" w:rsidRPr="00AF0E1F" w:rsidRDefault="00D71EC4" w:rsidP="001D29F1">
      <w:pPr>
        <w:jc w:val="both"/>
      </w:pPr>
      <w:r>
        <w:t xml:space="preserve">The </w:t>
      </w:r>
      <w:r w:rsidR="0016636A" w:rsidRPr="00AF0E1F">
        <w:t xml:space="preserve">Ministry of Justice </w:t>
      </w:r>
      <w:r w:rsidR="009C4521" w:rsidRPr="00AF0E1F">
        <w:t>has</w:t>
      </w:r>
      <w:r w:rsidR="0016636A" w:rsidRPr="00AF0E1F">
        <w:t xml:space="preserve"> </w:t>
      </w:r>
      <w:r>
        <w:t xml:space="preserve">also </w:t>
      </w:r>
      <w:r w:rsidR="00E63E58">
        <w:t>challenged the</w:t>
      </w:r>
      <w:r w:rsidR="0016636A" w:rsidRPr="00AF0E1F">
        <w:t xml:space="preserve"> bar </w:t>
      </w:r>
      <w:r w:rsidR="00CD4752">
        <w:t xml:space="preserve">associations’ </w:t>
      </w:r>
      <w:r w:rsidR="0016636A" w:rsidRPr="00AF0E1F">
        <w:t>admission decisions</w:t>
      </w:r>
      <w:r w:rsidR="00CD4752" w:rsidRPr="00CD4752">
        <w:t xml:space="preserve"> </w:t>
      </w:r>
      <w:r w:rsidR="00CD4752" w:rsidRPr="00AF0E1F">
        <w:t>in administrative courts</w:t>
      </w:r>
      <w:r w:rsidR="009C4521" w:rsidRPr="00AF0E1F">
        <w:t xml:space="preserve">. </w:t>
      </w:r>
      <w:r w:rsidR="00DD29B7" w:rsidRPr="00AF0E1F">
        <w:t>According to a 2021 report, ‘Lawyers Without Licences’</w:t>
      </w:r>
      <w:r w:rsidR="004A0184">
        <w:t>,</w:t>
      </w:r>
      <w:r w:rsidR="00B627D2" w:rsidRPr="00BD6C94">
        <w:rPr>
          <w:vertAlign w:val="superscript"/>
        </w:rPr>
        <w:footnoteReference w:id="19"/>
      </w:r>
      <w:r w:rsidR="00DD29B7" w:rsidRPr="00AF0E1F">
        <w:t xml:space="preserve"> </w:t>
      </w:r>
      <w:proofErr w:type="gramStart"/>
      <w:r w:rsidR="00DD29B7" w:rsidRPr="00AF0E1F">
        <w:t xml:space="preserve">1,252 </w:t>
      </w:r>
      <w:r w:rsidR="00E63E58" w:rsidRPr="00AF0E1F">
        <w:t xml:space="preserve">annulment </w:t>
      </w:r>
      <w:r w:rsidR="00DD29B7" w:rsidRPr="00AF0E1F">
        <w:t>cases had been filed by the Ministry of Justice</w:t>
      </w:r>
      <w:proofErr w:type="gramEnd"/>
      <w:r w:rsidR="00DD29B7" w:rsidRPr="00AF0E1F">
        <w:t xml:space="preserve"> against decisions of the Union of Turkish Bar Association</w:t>
      </w:r>
      <w:r w:rsidR="00E216CF" w:rsidRPr="00AF0E1F">
        <w:t>s</w:t>
      </w:r>
      <w:r w:rsidR="00DD29B7" w:rsidRPr="00AF0E1F">
        <w:t xml:space="preserve"> to admit certain individuals to the profession of lawyer. In 376 cases, the licences of the lawyers were annulled; in 175 cases, the Ministry’s request was denied; 701 cases were still pending. The report concluded that “interference with the profession of lawyer aims to dissuade dissident students at universities from exercising their rights and freedoms, to exclude from the profession individuals who are not deemed “agreeable”, to “cleanse” the future of the profession of lawyer from individuals with certain opinions, and to leave “a certain group of people” defenceless, without lawyers.”</w:t>
      </w:r>
      <w:r w:rsidR="00DD29B7" w:rsidRPr="00AE5C22">
        <w:rPr>
          <w:vertAlign w:val="superscript"/>
        </w:rPr>
        <w:t>32</w:t>
      </w:r>
    </w:p>
    <w:p w14:paraId="0ACCD3BD" w14:textId="0537803F" w:rsidR="00546CE7" w:rsidRDefault="00151E12" w:rsidP="001D29F1">
      <w:pPr>
        <w:autoSpaceDE w:val="0"/>
        <w:autoSpaceDN w:val="0"/>
        <w:adjustRightInd w:val="0"/>
        <w:spacing w:before="0" w:after="0"/>
        <w:jc w:val="both"/>
        <w:rPr>
          <w:rFonts w:ascii="CIDFont+F2" w:hAnsi="CIDFont+F2" w:cs="CIDFont+F2"/>
          <w:sz w:val="31"/>
          <w:szCs w:val="31"/>
        </w:rPr>
      </w:pPr>
      <w:r w:rsidRPr="00151E12">
        <w:rPr>
          <w:rFonts w:ascii="CIDFont+F2" w:hAnsi="CIDFont+F2" w:cs="CIDFont+F2"/>
          <w:noProof/>
          <w:sz w:val="31"/>
          <w:szCs w:val="31"/>
        </w:rPr>
        <w:drawing>
          <wp:inline distT="0" distB="0" distL="0" distR="0" wp14:anchorId="1073A0E1" wp14:editId="2D8AB5A5">
            <wp:extent cx="4311650" cy="2518410"/>
            <wp:effectExtent l="0" t="0" r="0" b="0"/>
            <wp:docPr id="181559234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4311650" cy="2518410"/>
                    </a:xfrm>
                    <a:prstGeom prst="rect">
                      <a:avLst/>
                    </a:prstGeom>
                    <a:noFill/>
                    <a:ln>
                      <a:noFill/>
                    </a:ln>
                  </pic:spPr>
                </pic:pic>
              </a:graphicData>
            </a:graphic>
          </wp:inline>
        </w:drawing>
      </w:r>
    </w:p>
    <w:p w14:paraId="2EA504D4" w14:textId="652788E3" w:rsidR="00F72810" w:rsidRPr="00B93F38" w:rsidRDefault="00EE4DB7" w:rsidP="001D29F1">
      <w:pPr>
        <w:pStyle w:val="Heading2"/>
        <w:jc w:val="both"/>
      </w:pPr>
      <w:bookmarkStart w:id="11" w:name="_Toc168534116"/>
      <w:r w:rsidRPr="00B93F38">
        <w:t>Violations of international and domestic legal safeguards governing lawyers</w:t>
      </w:r>
      <w:bookmarkEnd w:id="11"/>
    </w:p>
    <w:p w14:paraId="4469F26A" w14:textId="77777777" w:rsidR="00D40B4F" w:rsidRDefault="007E3FE2" w:rsidP="001D29F1">
      <w:pPr>
        <w:jc w:val="both"/>
      </w:pPr>
      <w:r w:rsidRPr="00B64269">
        <w:t xml:space="preserve">Lawyers have been targeted </w:t>
      </w:r>
      <w:r w:rsidR="00022939" w:rsidRPr="00B64269">
        <w:t xml:space="preserve">in </w:t>
      </w:r>
      <w:proofErr w:type="gramStart"/>
      <w:r w:rsidR="00022939" w:rsidRPr="00B64269">
        <w:t>Turkey</w:t>
      </w:r>
      <w:proofErr w:type="gramEnd"/>
      <w:r w:rsidR="00022939" w:rsidRPr="00B64269">
        <w:t xml:space="preserve"> because of the clients they represent and have been associated </w:t>
      </w:r>
      <w:r w:rsidR="001A76E1" w:rsidRPr="00B64269">
        <w:t xml:space="preserve">and identified </w:t>
      </w:r>
      <w:r w:rsidR="00022939" w:rsidRPr="00B64269">
        <w:t xml:space="preserve">with their clients causes or </w:t>
      </w:r>
      <w:r w:rsidR="001A76E1" w:rsidRPr="00B64269">
        <w:t>alleged</w:t>
      </w:r>
      <w:r w:rsidR="00022939" w:rsidRPr="00B64269">
        <w:t xml:space="preserve"> </w:t>
      </w:r>
      <w:r w:rsidR="001A76E1" w:rsidRPr="00B64269">
        <w:t xml:space="preserve">offences, in violation of international standards. </w:t>
      </w:r>
      <w:r w:rsidRPr="00B64269">
        <w:t xml:space="preserve">OHCHR </w:t>
      </w:r>
      <w:r w:rsidR="001A76E1" w:rsidRPr="00B64269">
        <w:t xml:space="preserve">has </w:t>
      </w:r>
      <w:r w:rsidRPr="00B64269">
        <w:t xml:space="preserve">observed a pattern </w:t>
      </w:r>
      <w:r w:rsidR="001A76E1" w:rsidRPr="00B64269">
        <w:t>of</w:t>
      </w:r>
      <w:r w:rsidRPr="00B64269">
        <w:t xml:space="preserve"> persecution of lawyers representing individuals accused of terrorism offences, where they are associated with their clients’ political views (or alleged political views) in the discharge of their professional duties and are consequently prosecuted for the same</w:t>
      </w:r>
      <w:r w:rsidR="00D419CB" w:rsidRPr="00B64269">
        <w:t>,</w:t>
      </w:r>
      <w:r w:rsidRPr="00B64269">
        <w:t xml:space="preserve"> or other related </w:t>
      </w:r>
      <w:r w:rsidRPr="00555D75">
        <w:t>offences</w:t>
      </w:r>
      <w:r w:rsidR="00D419CB" w:rsidRPr="00555D75">
        <w:t>,</w:t>
      </w:r>
      <w:r w:rsidRPr="00555D75">
        <w:t xml:space="preserve"> </w:t>
      </w:r>
      <w:r w:rsidR="00D419CB" w:rsidRPr="00555D75">
        <w:t>for which their</w:t>
      </w:r>
      <w:r w:rsidRPr="00555D75">
        <w:t xml:space="preserve"> clients are accused.</w:t>
      </w:r>
      <w:r w:rsidRPr="00B2124C">
        <w:rPr>
          <w:vertAlign w:val="superscript"/>
        </w:rPr>
        <w:footnoteReference w:id="20"/>
      </w:r>
      <w:r w:rsidRPr="00555D75">
        <w:t xml:space="preserve"> </w:t>
      </w:r>
      <w:r w:rsidR="00B64269" w:rsidRPr="00555D75">
        <w:t xml:space="preserve">This is a clear violation of the UN Basic </w:t>
      </w:r>
      <w:r w:rsidRPr="00555D75">
        <w:t>Principles on the Role of Lawyers, particularly paragraphs 16 and 18, which protect legal professionals from identification with their clients and the right to legal recourse.</w:t>
      </w:r>
      <w:r w:rsidR="00555D75" w:rsidRPr="00D40B4F">
        <w:rPr>
          <w:vertAlign w:val="superscript"/>
        </w:rPr>
        <w:footnoteReference w:id="21"/>
      </w:r>
      <w:r w:rsidRPr="00555D75">
        <w:t xml:space="preserve"> </w:t>
      </w:r>
    </w:p>
    <w:p w14:paraId="2D19F690" w14:textId="557E61D4" w:rsidR="00A52A3B" w:rsidRPr="005444BB" w:rsidRDefault="007F2AA8" w:rsidP="001D29F1">
      <w:pPr>
        <w:jc w:val="both"/>
      </w:pPr>
      <w:r w:rsidRPr="005444BB">
        <w:t xml:space="preserve">Article 1 of the </w:t>
      </w:r>
      <w:r w:rsidR="00D66021" w:rsidRPr="005444BB">
        <w:t xml:space="preserve">Turkish </w:t>
      </w:r>
      <w:r w:rsidRPr="005444BB">
        <w:t xml:space="preserve">Code of Lawyers </w:t>
      </w:r>
      <w:r w:rsidR="00D66021" w:rsidRPr="005444BB">
        <w:t xml:space="preserve">(No. 1136 of 1969) </w:t>
      </w:r>
      <w:r w:rsidRPr="005444BB">
        <w:t>classifies</w:t>
      </w:r>
      <w:r w:rsidR="00F72810" w:rsidRPr="005444BB">
        <w:t xml:space="preserve"> </w:t>
      </w:r>
      <w:r w:rsidRPr="005444BB">
        <w:t>the legal profession as an independent public service and a liberal profession.</w:t>
      </w:r>
      <w:r w:rsidR="00F72810" w:rsidRPr="005444BB">
        <w:t xml:space="preserve"> </w:t>
      </w:r>
      <w:r w:rsidR="005444BB" w:rsidRPr="005444BB">
        <w:t xml:space="preserve">Under </w:t>
      </w:r>
      <w:r w:rsidR="00EE4273" w:rsidRPr="005444BB">
        <w:t>Art</w:t>
      </w:r>
      <w:r w:rsidR="00EE4273">
        <w:t xml:space="preserve">icles </w:t>
      </w:r>
      <w:r w:rsidRPr="005444BB">
        <w:t>58- 6</w:t>
      </w:r>
      <w:r w:rsidR="007B54C9">
        <w:t>1</w:t>
      </w:r>
      <w:r w:rsidR="005444BB" w:rsidRPr="005444BB">
        <w:t xml:space="preserve"> of the Code</w:t>
      </w:r>
      <w:r w:rsidRPr="005444BB">
        <w:t>, a lawyer can only be prosecuted under a</w:t>
      </w:r>
      <w:r w:rsidR="00F72810" w:rsidRPr="005444BB">
        <w:t xml:space="preserve"> </w:t>
      </w:r>
      <w:r w:rsidRPr="005444BB">
        <w:t>special procedure</w:t>
      </w:r>
      <w:r w:rsidR="005444BB" w:rsidRPr="005444BB">
        <w:t>, whereby</w:t>
      </w:r>
      <w:r w:rsidR="00494C0A">
        <w:t xml:space="preserve"> </w:t>
      </w:r>
      <w:r w:rsidRPr="005444BB">
        <w:t>lawyers cannot be detained and remanded for pretrial detention</w:t>
      </w:r>
      <w:r w:rsidR="00494C0A">
        <w:t xml:space="preserve"> and </w:t>
      </w:r>
      <w:r w:rsidRPr="005444BB">
        <w:t xml:space="preserve">a lawyer can </w:t>
      </w:r>
      <w:r w:rsidR="00494C0A">
        <w:t xml:space="preserve">only </w:t>
      </w:r>
      <w:r w:rsidRPr="005444BB">
        <w:t xml:space="preserve">be prosecuted </w:t>
      </w:r>
      <w:r w:rsidR="00EE4273">
        <w:t>if</w:t>
      </w:r>
      <w:r w:rsidRPr="005444BB">
        <w:t xml:space="preserve"> the Minister of Justice gives</w:t>
      </w:r>
      <w:r w:rsidR="00B64D91" w:rsidRPr="005444BB">
        <w:t xml:space="preserve"> </w:t>
      </w:r>
      <w:r w:rsidRPr="005444BB">
        <w:t>authori</w:t>
      </w:r>
      <w:r w:rsidR="00494C0A">
        <w:t>s</w:t>
      </w:r>
      <w:r w:rsidRPr="005444BB">
        <w:t>ation</w:t>
      </w:r>
      <w:r w:rsidR="00A96EE8">
        <w:t>, unless caught in</w:t>
      </w:r>
      <w:r w:rsidRPr="005444BB">
        <w:t xml:space="preserve"> flagrante</w:t>
      </w:r>
      <w:r w:rsidR="00B64D91" w:rsidRPr="005444BB">
        <w:t xml:space="preserve"> </w:t>
      </w:r>
      <w:r w:rsidRPr="005444BB">
        <w:t>delicto</w:t>
      </w:r>
      <w:r w:rsidR="00E6617C" w:rsidRPr="00FE49BC">
        <w:rPr>
          <w:vertAlign w:val="superscript"/>
        </w:rPr>
        <w:footnoteReference w:id="22"/>
      </w:r>
      <w:r w:rsidR="008A6670">
        <w:t xml:space="preserve"> (in the process or immediately after committing a crime).</w:t>
      </w:r>
      <w:r w:rsidR="00334381" w:rsidRPr="00FE49BC">
        <w:rPr>
          <w:vertAlign w:val="superscript"/>
        </w:rPr>
        <w:footnoteReference w:id="23"/>
      </w:r>
    </w:p>
    <w:p w14:paraId="394E65DC" w14:textId="47B4CB96" w:rsidR="004E4E89" w:rsidRPr="00931B24" w:rsidRDefault="00B8594D" w:rsidP="001D29F1">
      <w:pPr>
        <w:jc w:val="both"/>
      </w:pPr>
      <w:r w:rsidRPr="00AE0C6E">
        <w:t xml:space="preserve">However, in violation of the special procedure, </w:t>
      </w:r>
      <w:proofErr w:type="gramStart"/>
      <w:r w:rsidRPr="00AE0C6E">
        <w:t>some</w:t>
      </w:r>
      <w:proofErr w:type="gramEnd"/>
      <w:r w:rsidRPr="00AE0C6E">
        <w:t xml:space="preserve"> 1</w:t>
      </w:r>
      <w:r w:rsidR="00295821" w:rsidRPr="00AE0C6E">
        <w:t>,</w:t>
      </w:r>
      <w:r w:rsidRPr="00AE0C6E">
        <w:t>700 lawyers have been arrested and prosecuted without the ex-ante authori</w:t>
      </w:r>
      <w:r w:rsidR="00295821" w:rsidRPr="00AE0C6E">
        <w:t>s</w:t>
      </w:r>
      <w:r w:rsidRPr="00AE0C6E">
        <w:t xml:space="preserve">ation that should be given by the Minister of Justice </w:t>
      </w:r>
      <w:r w:rsidR="00C10A27">
        <w:t>as a prerequisite to prosecution</w:t>
      </w:r>
      <w:r w:rsidRPr="00AE0C6E">
        <w:t>. Moreover, at least 655 lawyers have been remanded to pretrial detention through the widespread misinterpretation of in flagrante delicto</w:t>
      </w:r>
      <w:r w:rsidRPr="00B90614">
        <w:rPr>
          <w:vertAlign w:val="superscript"/>
        </w:rPr>
        <w:footnoteReference w:id="24"/>
      </w:r>
      <w:r w:rsidRPr="00AE0C6E">
        <w:t xml:space="preserve"> </w:t>
      </w:r>
      <w:r w:rsidRPr="00931B24">
        <w:t>and</w:t>
      </w:r>
      <w:r w:rsidR="00AE0C6E" w:rsidRPr="00931B24">
        <w:t xml:space="preserve"> </w:t>
      </w:r>
      <w:r w:rsidRPr="00931B24">
        <w:t>the misapplication of Art</w:t>
      </w:r>
      <w:r w:rsidR="00295821" w:rsidRPr="00931B24">
        <w:t>icle</w:t>
      </w:r>
      <w:r w:rsidRPr="00931B24">
        <w:t xml:space="preserve"> 314 of </w:t>
      </w:r>
      <w:r w:rsidR="00295821" w:rsidRPr="00931B24">
        <w:t xml:space="preserve">the </w:t>
      </w:r>
      <w:r w:rsidRPr="00931B24">
        <w:t>Penal Code.</w:t>
      </w:r>
    </w:p>
    <w:p w14:paraId="2ACC2178" w14:textId="2D4A9574" w:rsidR="00987146" w:rsidRDefault="00FE7F1E" w:rsidP="001D29F1">
      <w:pPr>
        <w:jc w:val="both"/>
      </w:pPr>
      <w:r w:rsidRPr="00931B24">
        <w:t>In all, t</w:t>
      </w:r>
      <w:r w:rsidR="008109E3" w:rsidRPr="00931B24">
        <w:t xml:space="preserve">he Turkish government's sustained assault on the legal profession and bar associations has </w:t>
      </w:r>
      <w:r w:rsidRPr="00931B24">
        <w:t>severely threatened</w:t>
      </w:r>
      <w:r w:rsidR="008109E3" w:rsidRPr="00931B24">
        <w:t xml:space="preserve"> the pillars of justice and the rule of law in the country. The systematic crackdown has resulted in the erosion of the independence of legal institutions, undermining the very foundations of a democratic society. This alarming trend not only violates the fundamental principles of human rights but also raises serious concerns about the country's commitment to its international obligations.</w:t>
      </w:r>
    </w:p>
    <w:p w14:paraId="00B13A2E" w14:textId="4EABAA48" w:rsidR="005D280C" w:rsidRDefault="009F16E6" w:rsidP="001D29F1">
      <w:pPr>
        <w:pStyle w:val="Heading2"/>
        <w:jc w:val="both"/>
      </w:pPr>
      <w:bookmarkStart w:id="12" w:name="_Toc168534117"/>
      <w:r>
        <w:t>Targeting of lawyers as defenders of human rights and the rule of law</w:t>
      </w:r>
      <w:bookmarkEnd w:id="12"/>
      <w:r>
        <w:t xml:space="preserve"> </w:t>
      </w:r>
    </w:p>
    <w:p w14:paraId="7D5EB9C7" w14:textId="3ECFDFCE" w:rsidR="005D280C" w:rsidRPr="00606C72" w:rsidRDefault="005D280C" w:rsidP="001D29F1">
      <w:pPr>
        <w:jc w:val="both"/>
      </w:pPr>
      <w:r>
        <w:t xml:space="preserve">Since 2016, the legal profession </w:t>
      </w:r>
      <w:r w:rsidR="009E78A9">
        <w:t xml:space="preserve">in </w:t>
      </w:r>
      <w:proofErr w:type="gramStart"/>
      <w:r w:rsidR="009E78A9">
        <w:t>Turkey</w:t>
      </w:r>
      <w:proofErr w:type="gramEnd"/>
      <w:r>
        <w:t xml:space="preserve"> has faced </w:t>
      </w:r>
      <w:r w:rsidR="009E78A9">
        <w:t>sustained</w:t>
      </w:r>
      <w:r>
        <w:t xml:space="preserve"> arbitrary detainment, imprisonment, unfair tr</w:t>
      </w:r>
      <w:r w:rsidR="70E857BF">
        <w:t>i</w:t>
      </w:r>
      <w:r>
        <w:t xml:space="preserve">als, and widespread harassment from authorities, often charged with overbroad and vague counter-terrorism offences, in violation of </w:t>
      </w:r>
      <w:r w:rsidR="00087752">
        <w:t xml:space="preserve">the </w:t>
      </w:r>
      <w:r>
        <w:t xml:space="preserve">UN Basic Principles on the Role of Lawyers. In </w:t>
      </w:r>
      <w:proofErr w:type="gramStart"/>
      <w:r>
        <w:t>77</w:t>
      </w:r>
      <w:proofErr w:type="gramEnd"/>
      <w:r>
        <w:t xml:space="preserve"> of Turkey’s 81 provinces, lawyers have been detained, prosecuted, and convicted due to alleged terror-</w:t>
      </w:r>
      <w:r w:rsidR="00087752">
        <w:t>related</w:t>
      </w:r>
      <w:r>
        <w:t xml:space="preserve"> offen</w:t>
      </w:r>
      <w:r w:rsidR="00087752">
        <w:t>c</w:t>
      </w:r>
      <w:r>
        <w:t>es</w:t>
      </w:r>
      <w:r w:rsidR="00C809FB">
        <w:t>. This has resulted</w:t>
      </w:r>
      <w:r>
        <w:t xml:space="preserve"> in the prosecution of over 1</w:t>
      </w:r>
      <w:r w:rsidR="00C809FB">
        <w:t>,</w:t>
      </w:r>
      <w:r>
        <w:t>700 lawyers</w:t>
      </w:r>
      <w:r w:rsidR="00C809FB">
        <w:t>,</w:t>
      </w:r>
      <w:r>
        <w:t xml:space="preserve"> </w:t>
      </w:r>
      <w:r w:rsidR="00C809FB">
        <w:t xml:space="preserve">as </w:t>
      </w:r>
      <w:r w:rsidR="00B2536F">
        <w:t>mentioned above</w:t>
      </w:r>
      <w:r>
        <w:t xml:space="preserve">. </w:t>
      </w:r>
      <w:r w:rsidR="00B653C0">
        <w:t>IBAHRI reported in 2024 that</w:t>
      </w:r>
      <w:r>
        <w:t xml:space="preserve"> at least 553 lawyers have been sentenced to a total of 3</w:t>
      </w:r>
      <w:r w:rsidR="0088003A">
        <w:t>,</w:t>
      </w:r>
      <w:r>
        <w:t>380 years in prison</w:t>
      </w:r>
      <w:r w:rsidR="00C90588">
        <w:t>.</w:t>
      </w:r>
      <w:r>
        <w:t xml:space="preserve"> All 553 lawyers have been charged with terror-related offen</w:t>
      </w:r>
      <w:r w:rsidR="00C90588">
        <w:t>c</w:t>
      </w:r>
      <w:r>
        <w:t xml:space="preserve">es; the two main </w:t>
      </w:r>
      <w:r w:rsidR="00C90588">
        <w:t>charges brought against</w:t>
      </w:r>
      <w:r>
        <w:t xml:space="preserve"> them </w:t>
      </w:r>
      <w:r w:rsidR="00C90588">
        <w:t>are</w:t>
      </w:r>
      <w:r>
        <w:t xml:space="preserve"> (a) membership of an armed terrorist organisation, and (b) forming and leading an armed terrorist organisation.</w:t>
      </w:r>
    </w:p>
    <w:p w14:paraId="360A15A8" w14:textId="595A6FE3" w:rsidR="005D280C" w:rsidRPr="00606C72" w:rsidRDefault="005D280C" w:rsidP="001D29F1">
      <w:pPr>
        <w:jc w:val="both"/>
      </w:pPr>
      <w:proofErr w:type="gramStart"/>
      <w:r w:rsidRPr="00606C72">
        <w:t>Turkey’s</w:t>
      </w:r>
      <w:proofErr w:type="gramEnd"/>
      <w:r w:rsidRPr="00606C72">
        <w:t xml:space="preserve"> anti-terrorism legislation consists of two separate laws: the Turkish Penal Code </w:t>
      </w:r>
      <w:r w:rsidR="005A26D1" w:rsidRPr="00606C72">
        <w:t>N</w:t>
      </w:r>
      <w:r w:rsidRPr="00606C72">
        <w:t>o. 5237</w:t>
      </w:r>
      <w:r w:rsidR="002418E3" w:rsidRPr="00606C72">
        <w:t xml:space="preserve"> (TPC)</w:t>
      </w:r>
      <w:r w:rsidRPr="00606C72">
        <w:t xml:space="preserve"> and the Anti-Terrorism Law No. 3713. Article 314</w:t>
      </w:r>
      <w:r w:rsidR="00C4232D" w:rsidRPr="00606C72">
        <w:t xml:space="preserve"> </w:t>
      </w:r>
      <w:r w:rsidRPr="00606C72">
        <w:t xml:space="preserve">of the </w:t>
      </w:r>
      <w:r w:rsidR="007257D3" w:rsidRPr="00606C72">
        <w:t>TPC</w:t>
      </w:r>
      <w:r w:rsidRPr="00606C72">
        <w:t xml:space="preserve"> criminalises the establishment and/or commanding of an armed terrorist organisation, and membership of an armed organi</w:t>
      </w:r>
      <w:r w:rsidR="00C4232D" w:rsidRPr="00606C72">
        <w:t>s</w:t>
      </w:r>
      <w:r w:rsidRPr="00606C72">
        <w:t>ation.</w:t>
      </w:r>
      <w:r w:rsidR="00C4232D" w:rsidRPr="00606C72">
        <w:t xml:space="preserve"> </w:t>
      </w:r>
      <w:r w:rsidR="00C4232D" w:rsidRPr="00606C72">
        <w:footnoteReference w:id="25"/>
      </w:r>
      <w:r w:rsidR="00C4232D" w:rsidRPr="00606C72">
        <w:t xml:space="preserve"> </w:t>
      </w:r>
      <w:r w:rsidRPr="00606C72">
        <w:t xml:space="preserve">Under the </w:t>
      </w:r>
      <w:r w:rsidR="009754E1" w:rsidRPr="00606C72">
        <w:t>TPC</w:t>
      </w:r>
      <w:r w:rsidRPr="00606C72">
        <w:t>, these two offences carry a penalty of 7.5 to 22.5 years imprisonment.</w:t>
      </w:r>
    </w:p>
    <w:p w14:paraId="27FA5FED" w14:textId="638D4818" w:rsidR="005D280C" w:rsidRPr="00606C72" w:rsidRDefault="005D280C" w:rsidP="001D29F1">
      <w:pPr>
        <w:jc w:val="both"/>
      </w:pPr>
      <w:proofErr w:type="gramStart"/>
      <w:r w:rsidRPr="00606C72">
        <w:t>Turkey</w:t>
      </w:r>
      <w:proofErr w:type="gramEnd"/>
      <w:r w:rsidRPr="00606C72">
        <w:t xml:space="preserve"> has been arbitrarily using these anti-terrorism laws to target dissidents, particularly lawyers, journalists, and opposition politicians. The law's overly ambiguous and broad definition of terrorism and membership to a terrorist organisation enables the</w:t>
      </w:r>
      <w:r w:rsidR="0044407B">
        <w:t xml:space="preserve"> </w:t>
      </w:r>
      <w:r w:rsidRPr="00606C72">
        <w:t>classification of lawyers, including human rights defenders, as "terrorist offenders”, increasing arbitrary prosecutions and judicial intervention.</w:t>
      </w:r>
    </w:p>
    <w:p w14:paraId="43A7871F" w14:textId="3795BBEB" w:rsidR="005D280C" w:rsidRPr="00FD3CE2" w:rsidRDefault="007257D3" w:rsidP="001D29F1">
      <w:pPr>
        <w:jc w:val="both"/>
      </w:pPr>
      <w:r w:rsidRPr="00606C72">
        <w:t>Article 314 of the TPC</w:t>
      </w:r>
      <w:r w:rsidR="005D280C" w:rsidRPr="00606C72">
        <w:t xml:space="preserve"> does not contain a definition of either an armed organi</w:t>
      </w:r>
      <w:r w:rsidR="003F498D" w:rsidRPr="00606C72">
        <w:t>s</w:t>
      </w:r>
      <w:r w:rsidR="005D280C" w:rsidRPr="00606C72">
        <w:t>ation or an armed group. The lack of legal definitions and criteria for an armed terrorist organi</w:t>
      </w:r>
      <w:r w:rsidR="003F498D" w:rsidRPr="00606C72">
        <w:t>s</w:t>
      </w:r>
      <w:r w:rsidR="005D280C" w:rsidRPr="00606C72">
        <w:t>ation, and the crime of membership in such an armed terrorist organi</w:t>
      </w:r>
      <w:r w:rsidR="003F498D" w:rsidRPr="00606C72">
        <w:t>s</w:t>
      </w:r>
      <w:r w:rsidR="005D280C" w:rsidRPr="00606C72">
        <w:t xml:space="preserve">ation, make them prone to arbitrary application. The vague formulation of the criminal provisions on the security of the state and terrorism, and their overly broad interpretation by Turkish judges and prosecutors, make all lawyers and other human rights defenders a prospective victim of </w:t>
      </w:r>
      <w:r w:rsidR="005D280C" w:rsidRPr="00FD3CE2">
        <w:t xml:space="preserve">judicial harassment </w:t>
      </w:r>
      <w:proofErr w:type="gramStart"/>
      <w:r w:rsidR="005D280C" w:rsidRPr="00FD3CE2">
        <w:t>as a result of</w:t>
      </w:r>
      <w:proofErr w:type="gramEnd"/>
      <w:r w:rsidR="005D280C" w:rsidRPr="00FD3CE2">
        <w:t xml:space="preserve"> carrying out their legitimate professional duties.</w:t>
      </w:r>
    </w:p>
    <w:p w14:paraId="73A04539" w14:textId="77777777" w:rsidR="00F8370B" w:rsidRDefault="005D280C" w:rsidP="001D29F1">
      <w:pPr>
        <w:jc w:val="both"/>
      </w:pPr>
      <w:r w:rsidRPr="00FD3CE2">
        <w:t xml:space="preserve">In 2020, the Grand Chamber of the European Court of Human Rights </w:t>
      </w:r>
      <w:r w:rsidR="00FE7BB1">
        <w:t xml:space="preserve">(ECtHR) </w:t>
      </w:r>
      <w:r w:rsidRPr="00FD3CE2">
        <w:t xml:space="preserve">concluded that </w:t>
      </w:r>
      <w:r w:rsidR="009F73EB" w:rsidRPr="00FD3CE2">
        <w:t xml:space="preserve">Article 314 </w:t>
      </w:r>
      <w:r w:rsidRPr="00FD3CE2">
        <w:t xml:space="preserve">was not foreseeable and did not bear the quality of law. </w:t>
      </w:r>
      <w:r w:rsidR="00FD3CE2" w:rsidRPr="00FD3CE2">
        <w:t>It further found that Article 314</w:t>
      </w:r>
      <w:r w:rsidRPr="00FD3CE2">
        <w:t xml:space="preserve"> does not afford adequate protection against arbitrary interference by national authorities and</w:t>
      </w:r>
      <w:r w:rsidR="00FD3CE2" w:rsidRPr="00FD3CE2">
        <w:t xml:space="preserve"> </w:t>
      </w:r>
      <w:r w:rsidRPr="00FD3CE2">
        <w:t>that its broad interpretation, without concrete evidence, equates freedom of expression with belonging to or leading an armed organisation.</w:t>
      </w:r>
      <w:r w:rsidRPr="00FD3CE2">
        <w:rPr>
          <w:vertAlign w:val="superscript"/>
        </w:rPr>
        <w:footnoteReference w:id="26"/>
      </w:r>
      <w:r w:rsidR="0069794A">
        <w:t xml:space="preserve"> </w:t>
      </w:r>
    </w:p>
    <w:p w14:paraId="6225A64A" w14:textId="1CE1F351" w:rsidR="005D280C" w:rsidRPr="0069794A" w:rsidRDefault="00706B48" w:rsidP="001D29F1">
      <w:pPr>
        <w:jc w:val="both"/>
      </w:pPr>
      <w:r w:rsidRPr="000E7D73">
        <w:t>Additionally, lawyers charged with terrorism-related offences face a reversed burden of proof, in violation of the presumption of innocence. The Turkish Court of Cassation has ruled that the mere use of a certain bank account or secure messaging app constitutes evidence of membership of, as well as aiding and abetting, a terrorist organisation. In 2023, in response to this systematic practice by the courts and its adjudication over the use of the ByLock app, the ECtHR ruled that such an approach violated Art</w:t>
      </w:r>
      <w:r>
        <w:t>icle</w:t>
      </w:r>
      <w:r w:rsidRPr="000E7D73">
        <w:t xml:space="preserve"> 7 of the ECHR to</w:t>
      </w:r>
      <w:r>
        <w:t xml:space="preserve"> </w:t>
      </w:r>
      <w:r w:rsidRPr="000E7D73">
        <w:t>provide effective safeguards against arbitrary prosecution, conviction and punishment</w:t>
      </w:r>
      <w:r w:rsidR="0003348A">
        <w:t>.</w:t>
      </w:r>
      <w:r w:rsidR="00D022C3" w:rsidRPr="00D022C3">
        <w:rPr>
          <w:vertAlign w:val="superscript"/>
        </w:rPr>
        <w:footnoteReference w:id="27"/>
      </w:r>
      <w:r w:rsidR="0003348A">
        <w:t xml:space="preserve"> </w:t>
      </w:r>
      <w:r w:rsidR="00C10D72">
        <w:t>According to the ECtHR, t</w:t>
      </w:r>
      <w:r w:rsidR="0003348A">
        <w:t>his landmark judgment a</w:t>
      </w:r>
      <w:r w:rsidRPr="000E7D73">
        <w:t>ffect</w:t>
      </w:r>
      <w:r w:rsidR="00D022C3">
        <w:t>s</w:t>
      </w:r>
      <w:r w:rsidRPr="000E7D73">
        <w:t xml:space="preserve"> more than 8,000 </w:t>
      </w:r>
      <w:r w:rsidR="00D022C3">
        <w:t xml:space="preserve">pending </w:t>
      </w:r>
      <w:r w:rsidRPr="000E7D73">
        <w:t xml:space="preserve">cases </w:t>
      </w:r>
      <w:r w:rsidR="00C10D72" w:rsidRPr="0069794A">
        <w:t>and 100,000 potential cases</w:t>
      </w:r>
      <w:r w:rsidR="00C10D72" w:rsidRPr="000E7D73">
        <w:t xml:space="preserve"> </w:t>
      </w:r>
      <w:r w:rsidR="00C10D72">
        <w:t>linked to</w:t>
      </w:r>
      <w:r w:rsidRPr="000E7D73">
        <w:t xml:space="preserve"> convictions </w:t>
      </w:r>
      <w:r w:rsidR="00C10D72">
        <w:t>under</w:t>
      </w:r>
      <w:r w:rsidRPr="000E7D73">
        <w:t xml:space="preserve"> Article 314 of </w:t>
      </w:r>
      <w:r w:rsidR="00C10D72">
        <w:t>the TPC</w:t>
      </w:r>
      <w:r w:rsidRPr="000E7D73">
        <w:t>.</w:t>
      </w:r>
      <w:r w:rsidR="005D280C" w:rsidRPr="0069794A">
        <w:t xml:space="preserve"> The </w:t>
      </w:r>
      <w:r w:rsidR="00FE7BB1" w:rsidRPr="0069794A">
        <w:t>court</w:t>
      </w:r>
      <w:r w:rsidR="005D280C" w:rsidRPr="0069794A">
        <w:t xml:space="preserve"> also ordered a retrial of the applicant and the adoption of general measures to prevent similar violations.</w:t>
      </w:r>
      <w:r w:rsidR="005D280C" w:rsidRPr="0069794A">
        <w:rPr>
          <w:vertAlign w:val="superscript"/>
        </w:rPr>
        <w:footnoteReference w:id="28"/>
      </w:r>
    </w:p>
    <w:p w14:paraId="02A3C626" w14:textId="2D4F02A6" w:rsidR="005D280C" w:rsidRDefault="005D280C" w:rsidP="001D29F1">
      <w:pPr>
        <w:jc w:val="both"/>
      </w:pPr>
      <w:r w:rsidRPr="000E7D73">
        <w:t>However, in total disregard of the ECtHR rulings which serve as directly applicable precedents for the case at hand, the Ankara</w:t>
      </w:r>
      <w:r w:rsidR="005F57BF" w:rsidRPr="005F57BF">
        <w:t xml:space="preserve"> </w:t>
      </w:r>
      <w:r w:rsidR="005F57BF" w:rsidRPr="000E7D73">
        <w:t xml:space="preserve">Regional Appeal </w:t>
      </w:r>
      <w:r w:rsidRPr="000E7D73">
        <w:t xml:space="preserve">Court </w:t>
      </w:r>
      <w:r w:rsidR="003172C3" w:rsidRPr="000E7D73">
        <w:t>on 27 December 2023</w:t>
      </w:r>
      <w:r w:rsidR="00F67352">
        <w:t xml:space="preserve"> </w:t>
      </w:r>
      <w:r w:rsidRPr="000E7D73">
        <w:t xml:space="preserve">sentenced 19 lawyers to more than 125 years for </w:t>
      </w:r>
      <w:r w:rsidR="005A27F5">
        <w:t>conducting</w:t>
      </w:r>
      <w:r w:rsidRPr="000E7D73">
        <w:t xml:space="preserve"> </w:t>
      </w:r>
      <w:r w:rsidR="005A27F5">
        <w:t>their legitimate professional</w:t>
      </w:r>
      <w:r w:rsidRPr="000E7D73">
        <w:t xml:space="preserve"> activities, including client representation.</w:t>
      </w:r>
      <w:r w:rsidRPr="00F67352">
        <w:rPr>
          <w:vertAlign w:val="superscript"/>
        </w:rPr>
        <w:footnoteReference w:id="29"/>
      </w:r>
      <w:r w:rsidRPr="000E7D73">
        <w:t xml:space="preserve"> </w:t>
      </w:r>
      <w:r w:rsidR="005A27F5">
        <w:t xml:space="preserve">The </w:t>
      </w:r>
      <w:r w:rsidRPr="000E7D73">
        <w:t>Court stated: “Although some of the defendants and their legal counsels have claimed in their oral and written submissions that the judgment of the ECtHR in Yüksel Yalçınkaya v. Turkey constitutes a precedent for them, there is no final judgment of the ECtHR regarding the violation of the European Convention on Human Rights (ECHR) and its additional protocols concerning the defendants. In light of the ECtHR judgment in Yüksel Yalçınkaya v. Turkey, … it has been concluded that the violations referred to in that judgment relate only to the finding of violations specific to the application in that particular case and that the violations of the principles of the right to a fair trial under Article 6, ECHR, and the principles of legality in criminal matters and punishment under Article 7 ECHR referred to in the judgment are not applicable to the defendants”.</w:t>
      </w:r>
      <w:r w:rsidRPr="00476376">
        <w:rPr>
          <w:vertAlign w:val="superscript"/>
        </w:rPr>
        <w:footnoteReference w:id="30"/>
      </w:r>
    </w:p>
    <w:p w14:paraId="0C2089E7" w14:textId="1DD3EB08" w:rsidR="00C10A27" w:rsidRPr="000E7D73" w:rsidRDefault="00C10A27" w:rsidP="001D29F1">
      <w:pPr>
        <w:jc w:val="both"/>
      </w:pPr>
      <w:r w:rsidRPr="00BB04B8">
        <w:t xml:space="preserve">The case of Yalçınkaya further demonstrates the strained relationship between </w:t>
      </w:r>
      <w:proofErr w:type="gramStart"/>
      <w:r w:rsidRPr="00BB04B8">
        <w:t>Turkey</w:t>
      </w:r>
      <w:proofErr w:type="gramEnd"/>
      <w:r w:rsidRPr="00BB04B8">
        <w:t xml:space="preserve"> and the ECtHR with regards to ongoing non-implementation. The Court is clear that the overall responsibility under Article 46 (1) of the ECHR for implementing its judgment rests with the </w:t>
      </w:r>
      <w:proofErr w:type="gramStart"/>
      <w:r w:rsidRPr="00BB04B8">
        <w:t>state as a whole</w:t>
      </w:r>
      <w:proofErr w:type="gramEnd"/>
      <w:r w:rsidRPr="00BB04B8">
        <w:t>. However, it explicitly finds that the breaches in this case are systemic in nature and arise directly from the interpretation and application of national law by national courts. The Court’s indication of general measures, including specific direction to the national courts, is a procedural manifestation of the principle of subsidiarity (Yalçınkaya, para. 417)  – one that is in line with the ongoing dynamic evolution of the subsidiarity principle. Failure by the State to take necessary corrective action, such as a refusal by national courts to apply the ECtHR ruling, constitutes a failure to execute the judgment in accordance with Article 46. A failure to execute a ruling of the Court to which the State is party is a failure to implement the provisions of the treaty.</w:t>
      </w:r>
    </w:p>
    <w:p w14:paraId="76A5DD16" w14:textId="3D36B0C2" w:rsidR="00987146" w:rsidRDefault="007124CC" w:rsidP="001D29F1">
      <w:pPr>
        <w:pStyle w:val="Heading2"/>
        <w:jc w:val="both"/>
      </w:pPr>
      <w:bookmarkStart w:id="13" w:name="_Toc168534118"/>
      <w:r>
        <w:t xml:space="preserve">Cases of lawyers from </w:t>
      </w:r>
      <w:r w:rsidRPr="00E21A9A">
        <w:t xml:space="preserve">Çağdaş Hukukçular Derneği </w:t>
      </w:r>
      <w:r>
        <w:t>(</w:t>
      </w:r>
      <w:r w:rsidRPr="00E21A9A">
        <w:t>ÇHD</w:t>
      </w:r>
      <w:r>
        <w:t>) and others</w:t>
      </w:r>
      <w:bookmarkEnd w:id="13"/>
    </w:p>
    <w:p w14:paraId="6A9CB239" w14:textId="03B8DE7E" w:rsidR="001F161F" w:rsidRPr="007124CC" w:rsidRDefault="003B532E" w:rsidP="001D29F1">
      <w:pPr>
        <w:jc w:val="both"/>
      </w:pPr>
      <w:r w:rsidRPr="007124CC">
        <w:t xml:space="preserve">In response to the Committee’s request for information </w:t>
      </w:r>
      <w:r w:rsidR="00085BB3" w:rsidRPr="007124CC">
        <w:t xml:space="preserve">on the current status of the Contemporary Lawyers Association (Çağdaş Hukukçular Derneği - </w:t>
      </w:r>
      <w:r w:rsidR="0086659E" w:rsidRPr="007124CC">
        <w:t>ÇHD</w:t>
      </w:r>
      <w:r w:rsidR="00085BB3" w:rsidRPr="007124CC">
        <w:t xml:space="preserve">) and the Mesopotamia Lawyers Association (Mezopotamya Hukukçular Derneği), which were closed on 22 November 2016 by emergency decree No. 677, and on the status and whereabouts of Selçuk Kozağaçli, the head of the Contemporary Lawyers Association, who was arrested on 13 November 2017 </w:t>
      </w:r>
      <w:r w:rsidRPr="007124CC">
        <w:t>(LOIPR, para. 1</w:t>
      </w:r>
      <w:r w:rsidR="00084605" w:rsidRPr="007124CC">
        <w:t>9</w:t>
      </w:r>
      <w:r w:rsidRPr="007124CC">
        <w:t xml:space="preserve">), </w:t>
      </w:r>
      <w:proofErr w:type="gramStart"/>
      <w:r w:rsidRPr="007124CC">
        <w:t>Turkey’s</w:t>
      </w:r>
      <w:proofErr w:type="gramEnd"/>
      <w:r w:rsidRPr="007124CC">
        <w:t xml:space="preserve"> periodic report</w:t>
      </w:r>
      <w:r w:rsidR="00BD5BCB" w:rsidRPr="007124CC">
        <w:t xml:space="preserve"> </w:t>
      </w:r>
      <w:r w:rsidR="00085BB3" w:rsidRPr="007124CC">
        <w:t xml:space="preserve">only noted that </w:t>
      </w:r>
      <w:r w:rsidR="00BD5BCB" w:rsidRPr="007124CC">
        <w:t>judicial procedures regarding the</w:t>
      </w:r>
      <w:r w:rsidR="00085BB3" w:rsidRPr="007124CC">
        <w:t>se</w:t>
      </w:r>
      <w:r w:rsidR="00BD5BCB" w:rsidRPr="007124CC">
        <w:t xml:space="preserve"> individuals continue</w:t>
      </w:r>
      <w:r w:rsidR="00085BB3" w:rsidRPr="007124CC">
        <w:t xml:space="preserve">. </w:t>
      </w:r>
    </w:p>
    <w:p w14:paraId="22D54E91" w14:textId="1DC041E6" w:rsidR="006146F7" w:rsidRPr="007124CC" w:rsidRDefault="006146F7" w:rsidP="001D29F1">
      <w:pPr>
        <w:jc w:val="both"/>
      </w:pPr>
      <w:r w:rsidRPr="007124CC">
        <w:t xml:space="preserve">On 6 November 2023, a team from the international delegation attended a hearing in the case of eight lawyers arrested on 16 March 2016. Seven of them are members of the Özgürlük için Hukukçular Derneği (ÖHD) - the Lawyers for Freedom Association, which provides legal support to victims of human rights violations. The eighth lawyer (Tamer Doğan) is a member of the Progressive Lawyers Association (ÇHD). ÖHD, like </w:t>
      </w:r>
      <w:proofErr w:type="gramStart"/>
      <w:r w:rsidRPr="007124CC">
        <w:t>many</w:t>
      </w:r>
      <w:proofErr w:type="gramEnd"/>
      <w:r w:rsidRPr="007124CC">
        <w:t xml:space="preserve"> others, was banned under the state of emergency declared in 2016. </w:t>
      </w:r>
    </w:p>
    <w:p w14:paraId="6F908FFE" w14:textId="6EAB6D17" w:rsidR="006146F7" w:rsidRPr="007124CC" w:rsidRDefault="006146F7" w:rsidP="001D29F1">
      <w:pPr>
        <w:jc w:val="both"/>
      </w:pPr>
      <w:r w:rsidRPr="007124CC">
        <w:t xml:space="preserve">The lawyers in this case are accused of participation in a terrorist organisation. The hearing was short and focused on the illegality of telephone tapping and the advisability of hearing a witness at a future hearing. </w:t>
      </w:r>
    </w:p>
    <w:p w14:paraId="3E1166AB" w14:textId="37BAE968" w:rsidR="00D02ADB" w:rsidRPr="007124CC" w:rsidRDefault="006146F7" w:rsidP="001D29F1">
      <w:pPr>
        <w:jc w:val="both"/>
      </w:pPr>
      <w:r w:rsidRPr="007124CC">
        <w:t xml:space="preserve">During the hearing, the defence stated that the wiretaps do not contain any incriminating evidence. Furthermore, the defence argued that the wiretaps are illegal on two main grounds – first, because proceedings have been initiated against the magistrate who issued the order for the wiretaps, who has since been challenged in several other similar cases based on the magistrate’s political connections; </w:t>
      </w:r>
      <w:r w:rsidR="00C10A27" w:rsidRPr="007124CC">
        <w:t>and</w:t>
      </w:r>
      <w:r w:rsidRPr="007124CC">
        <w:t xml:space="preserve"> second, because the wiretaps were extended for an excessive duration. </w:t>
      </w:r>
    </w:p>
    <w:p w14:paraId="3A75590C" w14:textId="21ED3A4F" w:rsidR="00D02ADB" w:rsidRPr="007124CC" w:rsidRDefault="006146F7" w:rsidP="001D29F1">
      <w:pPr>
        <w:jc w:val="both"/>
      </w:pPr>
      <w:r w:rsidRPr="006146F7">
        <w:t xml:space="preserve">Regarding the request for a hearing, the defence explained that the hearing would </w:t>
      </w:r>
      <w:r w:rsidRPr="007124CC">
        <w:t xml:space="preserve">concern an anonymous witness who was heard only during the police procedure, such that the accused had not had an opportunity to examine the witness. The defence team also argued that the veracity of the witness’s testimony is </w:t>
      </w:r>
      <w:r w:rsidR="00C10A27">
        <w:t>questionable</w:t>
      </w:r>
      <w:r w:rsidR="00C10A27" w:rsidRPr="007124CC">
        <w:t xml:space="preserve"> because</w:t>
      </w:r>
      <w:r w:rsidRPr="007124CC">
        <w:t xml:space="preserve"> authorities regularly obtain such statements in exchange for the dismissal of criminal charges against the person making the statement, under a “repentants” procedure. </w:t>
      </w:r>
    </w:p>
    <w:p w14:paraId="63C66E95" w14:textId="027B50F3" w:rsidR="00D02ADB" w:rsidRDefault="006146F7" w:rsidP="001D29F1">
      <w:pPr>
        <w:jc w:val="both"/>
      </w:pPr>
      <w:r w:rsidRPr="007124CC">
        <w:t xml:space="preserve">The case was adjourned until 8 February 2024 to allow the hearing of the witness. </w:t>
      </w:r>
      <w:r w:rsidR="00A4517C">
        <w:t>During that hearing, t</w:t>
      </w:r>
      <w:r w:rsidR="00AC0333">
        <w:t xml:space="preserve">he </w:t>
      </w:r>
      <w:r w:rsidR="00AB485E">
        <w:t>anonymous witness</w:t>
      </w:r>
      <w:r w:rsidR="00A4517C">
        <w:t xml:space="preserve"> </w:t>
      </w:r>
      <w:r w:rsidR="00AC0333">
        <w:t>could be heard with a distorted voice</w:t>
      </w:r>
      <w:r w:rsidR="00A4517C">
        <w:t>. He</w:t>
      </w:r>
      <w:r w:rsidR="00AC0333">
        <w:t xml:space="preserve"> testified that one of the other defendants in the case (not a lawyer) organised and coordinated activities on behalf of the PKK</w:t>
      </w:r>
      <w:r w:rsidR="00945ED1">
        <w:t>’s ‘committee for prisoners’</w:t>
      </w:r>
      <w:r w:rsidR="00AC0333">
        <w:t xml:space="preserve"> </w:t>
      </w:r>
      <w:r w:rsidR="00A4517C">
        <w:t xml:space="preserve">between 2010 and 2024 </w:t>
      </w:r>
      <w:r w:rsidR="00AC0333">
        <w:t>and maintained links with the accused lawyers</w:t>
      </w:r>
      <w:r w:rsidR="00A4517C">
        <w:t xml:space="preserve">. </w:t>
      </w:r>
      <w:r w:rsidR="00945ED1">
        <w:t>The lawyers’ role was allegedly to uphold contact between the PKK and the prisoners.</w:t>
      </w:r>
      <w:r w:rsidR="006C2815">
        <w:rPr>
          <w:rStyle w:val="FootnoteReference"/>
        </w:rPr>
        <w:footnoteReference w:id="31"/>
      </w:r>
      <w:r w:rsidR="00945ED1">
        <w:t xml:space="preserve"> The defence challenged the reliability of the witness, based on the </w:t>
      </w:r>
      <w:proofErr w:type="gramStart"/>
      <w:r w:rsidR="00945ED1">
        <w:t>anonymity</w:t>
      </w:r>
      <w:proofErr w:type="gramEnd"/>
      <w:r w:rsidR="00945ED1">
        <w:t xml:space="preserve"> and claimed the witness was reading a statement prepared by the police. </w:t>
      </w:r>
      <w:r w:rsidR="00A4517C">
        <w:t>The witness did not respond to questions about whether he was being prosecuted himself. The defence requested more time to respond to the allegations and prepare expert reports. The case was again adjourned until 30 April 2024.</w:t>
      </w:r>
      <w:r w:rsidR="006C2815">
        <w:rPr>
          <w:rStyle w:val="FootnoteReference"/>
        </w:rPr>
        <w:footnoteReference w:id="32"/>
      </w:r>
    </w:p>
    <w:p w14:paraId="09944994" w14:textId="2F8DA3BA" w:rsidR="008B08C2" w:rsidRPr="007124CC" w:rsidRDefault="008B08C2" w:rsidP="001D29F1">
      <w:pPr>
        <w:jc w:val="both"/>
      </w:pPr>
      <w:r>
        <w:t>During the hearing on 30 April 2024, the prosecutor requested more time to prepare his final opinion. The hearing was again adjourned until 4 July 2024.</w:t>
      </w:r>
      <w:r w:rsidR="006C2815">
        <w:rPr>
          <w:rStyle w:val="FootnoteReference"/>
        </w:rPr>
        <w:footnoteReference w:id="33"/>
      </w:r>
    </w:p>
    <w:p w14:paraId="02D33112" w14:textId="2920B333" w:rsidR="00D02ADB" w:rsidRPr="007124CC" w:rsidRDefault="006146F7" w:rsidP="001D29F1">
      <w:pPr>
        <w:jc w:val="both"/>
      </w:pPr>
      <w:r w:rsidRPr="007124CC">
        <w:t xml:space="preserve">The international delegation noted that the facts which led to criminal proceedings against the lawyers fall within the scope of their professional practice, since they are accused of being associated with terrorist organisations based on their work providing legal advice for clients alleged to be members of such organisations. </w:t>
      </w:r>
    </w:p>
    <w:p w14:paraId="6990684D" w14:textId="55B4CBC2" w:rsidR="00D02ADB" w:rsidRPr="007124CC" w:rsidRDefault="006146F7" w:rsidP="001D29F1">
      <w:pPr>
        <w:jc w:val="both"/>
      </w:pPr>
      <w:r w:rsidRPr="007124CC">
        <w:t xml:space="preserve">Pursuant to Principle 16 of the Basic Principles, lawyers must be able to perform all their professional functions without intimidation, hindrance, </w:t>
      </w:r>
      <w:r w:rsidR="00C10A27" w:rsidRPr="007124CC">
        <w:t>harassment,</w:t>
      </w:r>
      <w:r w:rsidRPr="007124CC">
        <w:t xml:space="preserve"> or improper interference, and are not to suffer, or be threatened with, prosecution or administrative, economic</w:t>
      </w:r>
      <w:r w:rsidR="00C10A27">
        <w:t>,</w:t>
      </w:r>
      <w:r w:rsidRPr="007124CC">
        <w:t xml:space="preserve"> or other sanctions for any action taken in accordance with recognised professional duties, standards</w:t>
      </w:r>
      <w:r w:rsidR="00C10A27">
        <w:t>,</w:t>
      </w:r>
      <w:r w:rsidRPr="007124CC">
        <w:t xml:space="preserve"> and ethics. Furthermore, Principle 18 enshrines the recognised principle that lawyers must not be identified with their clients or their clients' causes </w:t>
      </w:r>
      <w:proofErr w:type="gramStart"/>
      <w:r w:rsidRPr="007124CC">
        <w:t>as a result of</w:t>
      </w:r>
      <w:proofErr w:type="gramEnd"/>
      <w:r w:rsidRPr="007124CC">
        <w:t xml:space="preserve"> discharging their functions. The court hearing that the international delegation observed raises concerns that these Principles are not being respected in practice. </w:t>
      </w:r>
    </w:p>
    <w:p w14:paraId="55FC4B4F" w14:textId="1EA5CD60" w:rsidR="001F161F" w:rsidRPr="007124CC" w:rsidRDefault="006146F7" w:rsidP="001D29F1">
      <w:pPr>
        <w:jc w:val="both"/>
      </w:pPr>
      <w:r w:rsidRPr="007124CC">
        <w:t>The international delegation is also concerned about the fundamental fairness of the trial proceedings. Specifically, doubts have been raised about the impartiality of the judge who ordered the wiretapping on which the prosecution relies. In addition, the fact that the defence</w:t>
      </w:r>
      <w:r w:rsidR="007A179A" w:rsidRPr="007124CC">
        <w:t xml:space="preserve"> team was denied the right to examine a witness for the prosecution constitutes a grave violation of the six defendant lawyers’ right to equality of arms. Article 14(3)(e) of the ICCPR and Article 6(3)(d) of the ECHR require that persons being tried are permitted to examine, or have examined, the witnesses against them. </w:t>
      </w:r>
    </w:p>
    <w:p w14:paraId="19CBA3DD" w14:textId="52DDC4FA" w:rsidR="001F161F" w:rsidRDefault="00515B9E" w:rsidP="001D29F1">
      <w:pPr>
        <w:pStyle w:val="Heading1"/>
        <w:jc w:val="both"/>
        <w:rPr>
          <w:rFonts w:ascii="Avenir Next LT Pro" w:eastAsia="Avenir Next LT Pro" w:hAnsi="Avenir Next LT Pro" w:cs="Avenir Next LT Pro"/>
          <w:color w:val="004D71" w:themeColor="text1"/>
        </w:rPr>
      </w:pPr>
      <w:bookmarkStart w:id="14" w:name="_Toc168534119"/>
      <w:r w:rsidRPr="00733EFB">
        <w:t>Conditions</w:t>
      </w:r>
      <w:r>
        <w:t xml:space="preserve"> of detention</w:t>
      </w:r>
      <w:bookmarkEnd w:id="14"/>
      <w:r>
        <w:t xml:space="preserve"> </w:t>
      </w:r>
    </w:p>
    <w:p w14:paraId="03B0798D" w14:textId="6F10CFDC" w:rsidR="002A49B3" w:rsidRPr="002A49B3" w:rsidRDefault="00F602CA" w:rsidP="001D29F1">
      <w:pPr>
        <w:jc w:val="both"/>
      </w:pPr>
      <w:r>
        <w:t xml:space="preserve">The Committee in its </w:t>
      </w:r>
      <w:r w:rsidR="00270ADE">
        <w:t xml:space="preserve">LOIPR requested information on occasional abuse and degrading treatment (para. </w:t>
      </w:r>
      <w:r w:rsidR="002A49B3" w:rsidRPr="002A49B3">
        <w:t>31</w:t>
      </w:r>
      <w:r w:rsidR="00270ADE">
        <w:t>)</w:t>
      </w:r>
      <w:r w:rsidR="00AF3EB9">
        <w:t>;</w:t>
      </w:r>
      <w:r w:rsidR="00270ADE">
        <w:t xml:space="preserve"> </w:t>
      </w:r>
      <w:r w:rsidR="00B040A3">
        <w:t>access to medical practitioners and treatment (para. 48(e))</w:t>
      </w:r>
      <w:r w:rsidR="00AF3EB9">
        <w:t xml:space="preserve">; and prolonged solitary confinement </w:t>
      </w:r>
      <w:r w:rsidR="004936AE">
        <w:t>(para. 49).</w:t>
      </w:r>
      <w:r w:rsidR="00347AC0">
        <w:t xml:space="preserve"> The following information relates. </w:t>
      </w:r>
    </w:p>
    <w:p w14:paraId="478C9A32" w14:textId="77777777" w:rsidR="00444548" w:rsidRDefault="00444548" w:rsidP="001D29F1">
      <w:pPr>
        <w:pStyle w:val="Heading2"/>
        <w:jc w:val="both"/>
      </w:pPr>
      <w:bookmarkStart w:id="15" w:name="_Toc168534120"/>
      <w:r>
        <w:t>Personal searches</w:t>
      </w:r>
      <w:bookmarkEnd w:id="15"/>
    </w:p>
    <w:p w14:paraId="54EE98AF" w14:textId="13F9A420" w:rsidR="00444548" w:rsidRDefault="00444548" w:rsidP="001D29F1">
      <w:pPr>
        <w:jc w:val="both"/>
      </w:pPr>
      <w:r>
        <w:t xml:space="preserve">While international standards permit personal searches of prisoners, such searches must be conducted in a manner </w:t>
      </w:r>
      <w:r w:rsidR="004546DB">
        <w:t>that is</w:t>
      </w:r>
      <w:r>
        <w:t xml:space="preserve"> respectful of the inherent dignity and privacy of the person being searched</w:t>
      </w:r>
      <w:r w:rsidR="009525CA">
        <w:t>,</w:t>
      </w:r>
      <w:r w:rsidR="004546DB">
        <w:rPr>
          <w:rStyle w:val="FootnoteReference"/>
        </w:rPr>
        <w:footnoteReference w:id="34"/>
      </w:r>
      <w:r>
        <w:t xml:space="preserve"> must not be used to harass, intimidate</w:t>
      </w:r>
      <w:r w:rsidR="00C10A27">
        <w:t>,</w:t>
      </w:r>
      <w:r>
        <w:t xml:space="preserve"> or unnecessarily intrude upon a prisoner’s privacy</w:t>
      </w:r>
      <w:r w:rsidR="009525CA">
        <w:t>,</w:t>
      </w:r>
      <w:r w:rsidR="0097419D">
        <w:rPr>
          <w:rStyle w:val="FootnoteReference"/>
        </w:rPr>
        <w:footnoteReference w:id="35"/>
      </w:r>
      <w:r w:rsidR="009525CA">
        <w:t xml:space="preserve"> and </w:t>
      </w:r>
      <w:r>
        <w:t xml:space="preserve">intrusive searches </w:t>
      </w:r>
      <w:r w:rsidR="00A975B5">
        <w:t>-</w:t>
      </w:r>
      <w:r>
        <w:t xml:space="preserve"> permissible only if absolutely necessary</w:t>
      </w:r>
      <w:r w:rsidR="00A975B5">
        <w:t xml:space="preserve"> -</w:t>
      </w:r>
      <w:r>
        <w:t xml:space="preserve"> must be undertaken by trained staff of the same sex as the prisoner.</w:t>
      </w:r>
      <w:r w:rsidR="00A975B5">
        <w:rPr>
          <w:rStyle w:val="FootnoteReference"/>
        </w:rPr>
        <w:footnoteReference w:id="36"/>
      </w:r>
    </w:p>
    <w:p w14:paraId="7D9BCC2C" w14:textId="5B4F4D71" w:rsidR="001F161F" w:rsidRDefault="00444548" w:rsidP="001D29F1">
      <w:pPr>
        <w:jc w:val="both"/>
      </w:pPr>
      <w:r>
        <w:t xml:space="preserve">While the lawyers interviewed confirmed that personal searches were undertaken by staff of the same sex as themselves, the international delegation </w:t>
      </w:r>
      <w:r w:rsidR="00673DC8">
        <w:t>i</w:t>
      </w:r>
      <w:r>
        <w:t xml:space="preserve">s concerned that personal and intrusive searches are being undertaken frequently, and, for </w:t>
      </w:r>
      <w:proofErr w:type="gramStart"/>
      <w:r>
        <w:t>some</w:t>
      </w:r>
      <w:proofErr w:type="gramEnd"/>
      <w:r>
        <w:t>, whenever they have a visitor.</w:t>
      </w:r>
      <w:r w:rsidR="00673DC8">
        <w:t xml:space="preserve"> </w:t>
      </w:r>
      <w:r>
        <w:t xml:space="preserve">The international delegation is concerned that searches are being conducted with excessive frequency and disproportionately </w:t>
      </w:r>
      <w:proofErr w:type="gramStart"/>
      <w:r>
        <w:t>so as to</w:t>
      </w:r>
      <w:proofErr w:type="gramEnd"/>
      <w:r>
        <w:t xml:space="preserve"> interfere with the dignity and privacy of prisoners in contravention of Article 10 of the ICCPR, Rule 52(1) of the Nelson Mandela Rules and other international standards.</w:t>
      </w:r>
    </w:p>
    <w:p w14:paraId="0F56C920" w14:textId="70887E20" w:rsidR="00863A84" w:rsidRDefault="005643B6" w:rsidP="001D29F1">
      <w:pPr>
        <w:pStyle w:val="Heading2"/>
        <w:jc w:val="both"/>
      </w:pPr>
      <w:bookmarkStart w:id="16" w:name="_Toc168534121"/>
      <w:r>
        <w:t>Access to medical services and treatment</w:t>
      </w:r>
      <w:bookmarkEnd w:id="16"/>
    </w:p>
    <w:p w14:paraId="064EE4CC" w14:textId="59D293EB" w:rsidR="005643B6" w:rsidRDefault="00F1521D" w:rsidP="001D29F1">
      <w:pPr>
        <w:jc w:val="both"/>
      </w:pPr>
      <w:r>
        <w:t xml:space="preserve">The international delegation was informed that when prisoners require medical treatment outside of the prison, the vehicle used to transport them is one which has extremely small individual ‘cells’ that restrict the movement of the prisoners. These compartments are so small that the individual inside cannot move, and their arms are ‘pinned’ to their sides. There is also poor ventilation in these vehicles. This causes physical suffering and, for </w:t>
      </w:r>
      <w:proofErr w:type="gramStart"/>
      <w:r>
        <w:t>some</w:t>
      </w:r>
      <w:proofErr w:type="gramEnd"/>
      <w:r>
        <w:t>, can trigger migraines or claustrophobia. Due to the physical suffering caused by this mode of transport, the international delegation was told that the lawyers, and other prisoners, are deciding not to be seen at healthcare facilities outside of the prisons, and consequently are not receiving necessary treatment and services.</w:t>
      </w:r>
    </w:p>
    <w:p w14:paraId="4DDB9CF9" w14:textId="7CD4AB87" w:rsidR="00197A47" w:rsidRDefault="00197A47" w:rsidP="001D29F1">
      <w:pPr>
        <w:jc w:val="both"/>
      </w:pPr>
      <w:r>
        <w:t xml:space="preserve">Similarly, </w:t>
      </w:r>
      <w:proofErr w:type="gramStart"/>
      <w:r>
        <w:t>some of</w:t>
      </w:r>
      <w:proofErr w:type="gramEnd"/>
      <w:r>
        <w:t xml:space="preserve"> the lawyers reported that, if they are outside of the prison, they have remained handcuffed for the entirety of their medical examination and treatment. One individual reported that they remained in handcuffs while being treated for a neurological condition.</w:t>
      </w:r>
      <w:r w:rsidR="006E1843">
        <w:t xml:space="preserve"> </w:t>
      </w:r>
      <w:r w:rsidR="005F6F61">
        <w:t>Under i</w:t>
      </w:r>
      <w:r>
        <w:t>nternational standards</w:t>
      </w:r>
      <w:r w:rsidR="005F6F61">
        <w:t xml:space="preserve">, </w:t>
      </w:r>
      <w:r>
        <w:t xml:space="preserve">instruments of restraint, such as handcuffs, </w:t>
      </w:r>
      <w:r w:rsidR="005F6F61">
        <w:t>must only be</w:t>
      </w:r>
      <w:r>
        <w:t xml:space="preserve"> used when no lesser form of control would be effective to address the risk</w:t>
      </w:r>
      <w:r w:rsidR="004A1B4A">
        <w:t>,</w:t>
      </w:r>
      <w:r>
        <w:t xml:space="preserve"> </w:t>
      </w:r>
      <w:r w:rsidR="006A7472">
        <w:t>and any</w:t>
      </w:r>
      <w:r>
        <w:t xml:space="preserve"> restraint must be the least intrusive method that is necessary based on the level and nature of the risks posed, and imposed only for the time period required.</w:t>
      </w:r>
      <w:r w:rsidR="00C44CC2">
        <w:rPr>
          <w:rStyle w:val="FootnoteReference"/>
        </w:rPr>
        <w:footnoteReference w:id="37"/>
      </w:r>
    </w:p>
    <w:p w14:paraId="7D21D000" w14:textId="64A15798" w:rsidR="00197A47" w:rsidRDefault="00197A47" w:rsidP="001D29F1">
      <w:pPr>
        <w:jc w:val="both"/>
      </w:pPr>
      <w:r>
        <w:t>The CPT has expressed concern about restraining individuals when receiving a medical consultation or intervention except in exceptional cases.</w:t>
      </w:r>
      <w:r w:rsidR="000F349B">
        <w:rPr>
          <w:rStyle w:val="FootnoteReference"/>
        </w:rPr>
        <w:footnoteReference w:id="38"/>
      </w:r>
      <w:r>
        <w:t xml:space="preserve"> Likewise, the European Court of Human Rights has also expressed concern about the practice of handcuffing prisoners during medical treatment, which in certain circumstances may amount to a violation of Article 3 or Article 8 of the ECHR. For example, the European Court has held that handcuffing a physically weak, sick prisoner while taking him to a hospital was a violation of Article 3 of the ECHR.</w:t>
      </w:r>
      <w:r w:rsidR="000F349B">
        <w:rPr>
          <w:rStyle w:val="FootnoteReference"/>
        </w:rPr>
        <w:footnoteReference w:id="39"/>
      </w:r>
    </w:p>
    <w:p w14:paraId="68F905FB" w14:textId="1D401D6C" w:rsidR="009E5104" w:rsidRDefault="00197A47" w:rsidP="001D29F1">
      <w:pPr>
        <w:jc w:val="both"/>
      </w:pPr>
      <w:r>
        <w:t xml:space="preserve">The international delegation is also concerned that </w:t>
      </w:r>
      <w:proofErr w:type="gramStart"/>
      <w:r>
        <w:t>some of</w:t>
      </w:r>
      <w:proofErr w:type="gramEnd"/>
      <w:r>
        <w:t xml:space="preserve"> the lawyers are required to attend mandatory psychological consultations. A failure to attend will result in a loss of privileges and disciplinary measures. Rather than being a measure designed to benefit the mental health of prisoners, the international delegation is concerned that this requirement is applied as a potentially punitive measure. The obligation to provide healthcare to prisoners must be implemented in a way that respects the doctrine of informed consent.</w:t>
      </w:r>
    </w:p>
    <w:p w14:paraId="498DA671" w14:textId="77777777" w:rsidR="00A0368F" w:rsidRDefault="00A0368F" w:rsidP="001D29F1">
      <w:pPr>
        <w:pStyle w:val="Heading2"/>
        <w:jc w:val="both"/>
      </w:pPr>
      <w:bookmarkStart w:id="17" w:name="_Toc168534122"/>
      <w:r>
        <w:t>Small group isolation</w:t>
      </w:r>
      <w:bookmarkEnd w:id="17"/>
    </w:p>
    <w:p w14:paraId="1538B2F8" w14:textId="48547301" w:rsidR="007C2480" w:rsidRDefault="00A0368F" w:rsidP="001D29F1">
      <w:pPr>
        <w:jc w:val="both"/>
      </w:pPr>
      <w:r>
        <w:t xml:space="preserve">All the lawyers interviewed during the fact-finding mission were being held in small group isolation with extremely limited contact with other individuals. </w:t>
      </w:r>
      <w:r w:rsidR="003639D0">
        <w:t>Independent research has shown that the detrimental effects of small group isolation are comparable to those of solitary confinement, such as a deterioration in prisoners’ mental health.</w:t>
      </w:r>
      <w:r w:rsidR="003639D0">
        <w:rPr>
          <w:rStyle w:val="FootnoteReference"/>
        </w:rPr>
        <w:footnoteReference w:id="40"/>
      </w:r>
    </w:p>
    <w:p w14:paraId="0BAE347B" w14:textId="49707DBC" w:rsidR="00997D85" w:rsidRDefault="00A0368F" w:rsidP="001D29F1">
      <w:pPr>
        <w:jc w:val="both"/>
      </w:pPr>
      <w:r>
        <w:t xml:space="preserve">Aycan Çiçek, Aytaç Ünsal, Engin Gökoğlu, Süleyman Gökten, and Özgür Yilmaz are held in Kandira¸ Edirne, and Tekirdag prisons, which are all F-type high security prisons. F-type prisons are designed around people being held in either single-person or three-person cells that include </w:t>
      </w:r>
      <w:proofErr w:type="gramStart"/>
      <w:r>
        <w:t>a very small</w:t>
      </w:r>
      <w:proofErr w:type="gramEnd"/>
      <w:r>
        <w:t xml:space="preserve"> ‘yard’ exclusive to those cells. A similar small isolation group system is also implemented in Silivri high security prison where Oya Aslan, Selçuk Kozağaçlı, Behiç Aşçı and Barkin T</w:t>
      </w:r>
      <w:r w:rsidR="00A55A22">
        <w:t>i</w:t>
      </w:r>
      <w:r>
        <w:t xml:space="preserve">mtik are detained. </w:t>
      </w:r>
    </w:p>
    <w:p w14:paraId="30440881" w14:textId="77777777" w:rsidR="00F22B25" w:rsidRDefault="00A0368F" w:rsidP="001D29F1">
      <w:pPr>
        <w:jc w:val="both"/>
      </w:pPr>
      <w:r>
        <w:t xml:space="preserve">F-type prisons, and this type of small group isolation practice, </w:t>
      </w:r>
      <w:r w:rsidR="00F82443">
        <w:t>create an</w:t>
      </w:r>
      <w:r>
        <w:t xml:space="preserve"> isolating environment and lack of communal activities for prisoners outside of the cells. The international delegation was informed by the detained lawyers that the isolating conditions are one of the most difficult and distressing aspects of their detention. Aycan Çiçek is held in a two-person cell, while the others are held in three-person cells. They all have extremely little opportunity to socialise with individuals outside of their cell. Although the prison rules provide that prisoners may be allowed to spend a couple of hours periodically with </w:t>
      </w:r>
      <w:proofErr w:type="gramStart"/>
      <w:r>
        <w:t>a few</w:t>
      </w:r>
      <w:proofErr w:type="gramEnd"/>
      <w:r>
        <w:t xml:space="preserve"> people from neighbouring cells (the numbers and regularity varied between prisons), we were informed that in practice this rarely happens. </w:t>
      </w:r>
    </w:p>
    <w:p w14:paraId="524E6D4D" w14:textId="27241BE1" w:rsidR="00AC67CD" w:rsidRDefault="00A0368F" w:rsidP="001D29F1">
      <w:pPr>
        <w:jc w:val="both"/>
      </w:pPr>
      <w:r>
        <w:t xml:space="preserve">Contact with other prisoners is frequently denied or </w:t>
      </w:r>
      <w:r w:rsidR="001257D4">
        <w:t xml:space="preserve">severely </w:t>
      </w:r>
      <w:r>
        <w:t>restricted</w:t>
      </w:r>
      <w:r w:rsidR="001257D4">
        <w:t>, including</w:t>
      </w:r>
      <w:r>
        <w:t xml:space="preserve"> as a disciplinary measure.</w:t>
      </w:r>
      <w:r w:rsidR="00027629">
        <w:t xml:space="preserve"> </w:t>
      </w:r>
      <w:r>
        <w:t xml:space="preserve">One of the lawyers interviewed </w:t>
      </w:r>
      <w:r w:rsidR="00AD61FE">
        <w:t xml:space="preserve">informed the delegation that although they should be entitled to 10 hours of contact per week with up to </w:t>
      </w:r>
      <w:proofErr w:type="gramStart"/>
      <w:r w:rsidR="00AD61FE">
        <w:t>10</w:t>
      </w:r>
      <w:proofErr w:type="gramEnd"/>
      <w:r w:rsidR="00AD61FE">
        <w:t xml:space="preserve"> people, this time was restricted to 2 hours per week due to disciplinary measures being applied.</w:t>
      </w:r>
      <w:r w:rsidR="001E2ABF">
        <w:t xml:space="preserve"> Another lawyer </w:t>
      </w:r>
      <w:r>
        <w:t xml:space="preserve">informed the delegation that, although prisoners should be able to have contact with up to </w:t>
      </w:r>
      <w:proofErr w:type="gramStart"/>
      <w:r>
        <w:t>5</w:t>
      </w:r>
      <w:proofErr w:type="gramEnd"/>
      <w:r>
        <w:t xml:space="preserve"> people for two hours at least once a month, this contact has been denied and they had not had any contact with others outside of their cell for a couple of months. They stated that the only means to communicate with other prisoners was via a small hole in the cell door. Similar reports were provided by other lawyers interviewed</w:t>
      </w:r>
      <w:r w:rsidR="00742D58">
        <w:t>, who</w:t>
      </w:r>
      <w:r>
        <w:t xml:space="preserve"> use small ventilation holes to communicate with other individuals either verbally or by other means. </w:t>
      </w:r>
    </w:p>
    <w:p w14:paraId="6AB26A23" w14:textId="168CDABA" w:rsidR="00AC67CD" w:rsidRDefault="000D1FA2" w:rsidP="001D29F1">
      <w:pPr>
        <w:pStyle w:val="Heading2"/>
        <w:jc w:val="both"/>
      </w:pPr>
      <w:bookmarkStart w:id="18" w:name="_Toc168534123"/>
      <w:r>
        <w:t>Recommendations</w:t>
      </w:r>
      <w:bookmarkEnd w:id="18"/>
    </w:p>
    <w:p w14:paraId="691F2BC5" w14:textId="217BB411" w:rsidR="00FB24BC" w:rsidRDefault="00FB24BC" w:rsidP="001D29F1">
      <w:pPr>
        <w:jc w:val="both"/>
      </w:pPr>
      <w:r>
        <w:t xml:space="preserve">Our organisations </w:t>
      </w:r>
      <w:r w:rsidR="001A1507">
        <w:t xml:space="preserve">respectfully </w:t>
      </w:r>
      <w:r w:rsidR="005B7D85">
        <w:t>call on the</w:t>
      </w:r>
      <w:r w:rsidR="001A1507">
        <w:t xml:space="preserve"> Committee to urge t</w:t>
      </w:r>
      <w:r w:rsidR="005078EC">
        <w:t xml:space="preserve">he government of </w:t>
      </w:r>
      <w:proofErr w:type="gramStart"/>
      <w:r w:rsidR="005078EC">
        <w:t>Turkey</w:t>
      </w:r>
      <w:proofErr w:type="gramEnd"/>
      <w:r w:rsidR="005078EC">
        <w:t xml:space="preserve"> to:</w:t>
      </w:r>
    </w:p>
    <w:p w14:paraId="569B26D7" w14:textId="684D1EE0" w:rsidR="00C10A27" w:rsidRDefault="00C10A27" w:rsidP="001D29F1">
      <w:pPr>
        <w:pStyle w:val="paragraph"/>
        <w:numPr>
          <w:ilvl w:val="0"/>
          <w:numId w:val="30"/>
        </w:numPr>
        <w:spacing w:before="0" w:beforeAutospacing="0" w:after="0" w:afterAutospacing="0"/>
        <w:jc w:val="both"/>
        <w:textAlignment w:val="baseline"/>
        <w:rPr>
          <w:rStyle w:val="normaltextrun"/>
          <w:rFonts w:ascii="Avenir Next LT Pro" w:hAnsi="Avenir Next LT Pro"/>
          <w:sz w:val="22"/>
          <w:szCs w:val="22"/>
        </w:rPr>
      </w:pPr>
      <w:r>
        <w:rPr>
          <w:rStyle w:val="normaltextrun"/>
          <w:rFonts w:ascii="Avenir Next LT Pro" w:hAnsi="Avenir Next LT Pro"/>
          <w:sz w:val="22"/>
          <w:szCs w:val="22"/>
        </w:rPr>
        <w:t xml:space="preserve">Immediately cease </w:t>
      </w:r>
      <w:r w:rsidRPr="00802D87">
        <w:rPr>
          <w:rStyle w:val="normaltextrun"/>
          <w:rFonts w:ascii="Avenir Next LT Pro" w:hAnsi="Avenir Next LT Pro"/>
          <w:sz w:val="22"/>
          <w:szCs w:val="22"/>
        </w:rPr>
        <w:t>all acts of intimidation and harassment, including arbitrary arrest and detention, against lawyers in Turkey</w:t>
      </w:r>
      <w:r>
        <w:rPr>
          <w:rStyle w:val="normaltextrun"/>
          <w:rFonts w:ascii="Avenir Next LT Pro" w:hAnsi="Avenir Next LT Pro"/>
          <w:sz w:val="22"/>
          <w:szCs w:val="22"/>
        </w:rPr>
        <w:t>;</w:t>
      </w:r>
    </w:p>
    <w:p w14:paraId="192DF35B" w14:textId="1A0CBD07" w:rsidR="00C10A27" w:rsidRPr="00CF6A5E" w:rsidRDefault="00C10A27" w:rsidP="001D29F1">
      <w:pPr>
        <w:pStyle w:val="paragraph"/>
        <w:numPr>
          <w:ilvl w:val="0"/>
          <w:numId w:val="30"/>
        </w:numPr>
        <w:spacing w:before="0" w:beforeAutospacing="0" w:after="0" w:afterAutospacing="0"/>
        <w:jc w:val="both"/>
        <w:textAlignment w:val="baseline"/>
        <w:rPr>
          <w:rStyle w:val="eop"/>
          <w:rFonts w:ascii="Avenir Next LT Pro" w:hAnsi="Avenir Next LT Pro"/>
          <w:sz w:val="22"/>
          <w:szCs w:val="22"/>
        </w:rPr>
      </w:pPr>
      <w:r>
        <w:rPr>
          <w:rStyle w:val="normaltextrun"/>
          <w:rFonts w:ascii="Avenir Next LT Pro" w:hAnsi="Avenir Next LT Pro"/>
          <w:sz w:val="22"/>
          <w:szCs w:val="22"/>
        </w:rPr>
        <w:t>Ensure that all lawyers can practice their profession without undue interference and in a free and enabling environment, in compliance with international standards on the independence of the legal profession;</w:t>
      </w:r>
    </w:p>
    <w:p w14:paraId="12DD9718" w14:textId="58E4AD2D" w:rsidR="00C10A27" w:rsidRDefault="00C10A27" w:rsidP="001D29F1">
      <w:pPr>
        <w:pStyle w:val="paragraph"/>
        <w:numPr>
          <w:ilvl w:val="0"/>
          <w:numId w:val="30"/>
        </w:numPr>
        <w:spacing w:before="0" w:beforeAutospacing="0" w:after="0" w:afterAutospacing="0"/>
        <w:jc w:val="both"/>
        <w:textAlignment w:val="baseline"/>
        <w:rPr>
          <w:rStyle w:val="normaltextrun"/>
          <w:rFonts w:ascii="Avenir Next LT Pro" w:hAnsi="Avenir Next LT Pro"/>
          <w:sz w:val="22"/>
          <w:szCs w:val="22"/>
        </w:rPr>
      </w:pPr>
      <w:r>
        <w:rPr>
          <w:rStyle w:val="normaltextrun"/>
          <w:rFonts w:ascii="Avenir Next LT Pro" w:hAnsi="Avenir Next LT Pro"/>
          <w:sz w:val="22"/>
          <w:szCs w:val="22"/>
        </w:rPr>
        <w:t>E</w:t>
      </w:r>
      <w:r w:rsidRPr="00CF6A5E">
        <w:rPr>
          <w:rStyle w:val="normaltextrun"/>
          <w:rFonts w:ascii="Avenir Next LT Pro" w:hAnsi="Avenir Next LT Pro"/>
          <w:sz w:val="22"/>
          <w:szCs w:val="22"/>
        </w:rPr>
        <w:t xml:space="preserve">nsure that lawyers in </w:t>
      </w:r>
      <w:proofErr w:type="gramStart"/>
      <w:r w:rsidRPr="00CF6A5E">
        <w:rPr>
          <w:rStyle w:val="normaltextrun"/>
          <w:rFonts w:ascii="Avenir Next LT Pro" w:hAnsi="Avenir Next LT Pro"/>
          <w:sz w:val="22"/>
          <w:szCs w:val="22"/>
        </w:rPr>
        <w:t>Turkey</w:t>
      </w:r>
      <w:proofErr w:type="gramEnd"/>
      <w:r w:rsidRPr="00CF6A5E">
        <w:rPr>
          <w:rStyle w:val="normaltextrun"/>
          <w:rFonts w:ascii="Avenir Next LT Pro" w:hAnsi="Avenir Next LT Pro"/>
          <w:sz w:val="22"/>
          <w:szCs w:val="22"/>
        </w:rPr>
        <w:t xml:space="preserve"> are not identified with their clients and clients’ causes</w:t>
      </w:r>
      <w:r>
        <w:rPr>
          <w:rStyle w:val="normaltextrun"/>
          <w:rFonts w:ascii="Avenir Next LT Pro" w:hAnsi="Avenir Next LT Pro"/>
          <w:sz w:val="22"/>
          <w:szCs w:val="22"/>
        </w:rPr>
        <w:t>;</w:t>
      </w:r>
    </w:p>
    <w:p w14:paraId="59FA2D90" w14:textId="77777777" w:rsidR="00C10A27" w:rsidRPr="003851B0" w:rsidRDefault="00C10A27" w:rsidP="001D29F1">
      <w:pPr>
        <w:pStyle w:val="paragraph"/>
        <w:numPr>
          <w:ilvl w:val="0"/>
          <w:numId w:val="30"/>
        </w:numPr>
        <w:spacing w:before="0" w:after="0"/>
        <w:jc w:val="both"/>
        <w:textAlignment w:val="baseline"/>
        <w:rPr>
          <w:rStyle w:val="normaltextrun"/>
          <w:rFonts w:ascii="Avenir Next LT Pro" w:hAnsi="Avenir Next LT Pro"/>
          <w:sz w:val="22"/>
          <w:szCs w:val="22"/>
        </w:rPr>
      </w:pPr>
      <w:r w:rsidRPr="003851B0">
        <w:rPr>
          <w:rStyle w:val="normaltextrun"/>
          <w:rFonts w:ascii="Avenir Next LT Pro" w:hAnsi="Avenir Next LT Pro"/>
          <w:sz w:val="22"/>
          <w:szCs w:val="22"/>
        </w:rPr>
        <w:t>Immediately end the interference in, and systematic persecution</w:t>
      </w:r>
      <w:r>
        <w:rPr>
          <w:rStyle w:val="normaltextrun"/>
          <w:rFonts w:ascii="Avenir Next LT Pro" w:hAnsi="Avenir Next LT Pro"/>
          <w:sz w:val="22"/>
          <w:szCs w:val="22"/>
        </w:rPr>
        <w:t xml:space="preserve"> </w:t>
      </w:r>
      <w:r w:rsidRPr="003851B0">
        <w:rPr>
          <w:rStyle w:val="normaltextrun"/>
          <w:rFonts w:ascii="Avenir Next LT Pro" w:hAnsi="Avenir Next LT Pro"/>
          <w:sz w:val="22"/>
          <w:szCs w:val="22"/>
        </w:rPr>
        <w:t>of, ba</w:t>
      </w:r>
      <w:r>
        <w:rPr>
          <w:rStyle w:val="normaltextrun"/>
          <w:rFonts w:ascii="Avenir Next LT Pro" w:hAnsi="Avenir Next LT Pro"/>
          <w:sz w:val="22"/>
          <w:szCs w:val="22"/>
        </w:rPr>
        <w:t xml:space="preserve">r </w:t>
      </w:r>
      <w:r w:rsidRPr="003851B0">
        <w:rPr>
          <w:rStyle w:val="normaltextrun"/>
          <w:rFonts w:ascii="Avenir Next LT Pro" w:hAnsi="Avenir Next LT Pro"/>
          <w:sz w:val="22"/>
          <w:szCs w:val="22"/>
        </w:rPr>
        <w:t>associations and lawyers’ associations and the arbitrary</w:t>
      </w:r>
      <w:r>
        <w:rPr>
          <w:rStyle w:val="normaltextrun"/>
          <w:rFonts w:ascii="Avenir Next LT Pro" w:hAnsi="Avenir Next LT Pro"/>
          <w:sz w:val="22"/>
          <w:szCs w:val="22"/>
        </w:rPr>
        <w:t xml:space="preserve"> </w:t>
      </w:r>
      <w:r w:rsidRPr="003851B0">
        <w:rPr>
          <w:rStyle w:val="normaltextrun"/>
          <w:rFonts w:ascii="Avenir Next LT Pro" w:hAnsi="Avenir Next LT Pro"/>
          <w:sz w:val="22"/>
          <w:szCs w:val="22"/>
        </w:rPr>
        <w:t>arrest and prosecution of their members;</w:t>
      </w:r>
    </w:p>
    <w:p w14:paraId="6DB2CFD7" w14:textId="0D827F0B" w:rsidR="00C10A27" w:rsidRDefault="00C10A27" w:rsidP="001D29F1">
      <w:pPr>
        <w:pStyle w:val="paragraph"/>
        <w:numPr>
          <w:ilvl w:val="0"/>
          <w:numId w:val="30"/>
        </w:numPr>
        <w:spacing w:before="0" w:beforeAutospacing="0" w:after="0" w:afterAutospacing="0"/>
        <w:jc w:val="both"/>
        <w:textAlignment w:val="baseline"/>
        <w:rPr>
          <w:rStyle w:val="normaltextrun"/>
          <w:rFonts w:ascii="Avenir Next LT Pro" w:hAnsi="Avenir Next LT Pro"/>
          <w:sz w:val="22"/>
          <w:szCs w:val="22"/>
        </w:rPr>
      </w:pPr>
      <w:r w:rsidRPr="00CF6A5E">
        <w:rPr>
          <w:rStyle w:val="normaltextrun"/>
          <w:rFonts w:ascii="Avenir Next LT Pro" w:hAnsi="Avenir Next LT Pro"/>
          <w:sz w:val="22"/>
          <w:szCs w:val="22"/>
        </w:rPr>
        <w:t xml:space="preserve">Immediately and unconditionally release Oya Aslan, Aycan Çiçek, Engin Gökoğlu, Süleyman Gökten, Selçuk Kozağaçlı, Barkin Timtik, Aytaç Ünsal and Özgür Yilmaz. </w:t>
      </w:r>
    </w:p>
    <w:p w14:paraId="7FDC65D6" w14:textId="43AA4C4E" w:rsidR="00C10A27" w:rsidRDefault="00C10A27" w:rsidP="001D29F1">
      <w:pPr>
        <w:pStyle w:val="paragraph"/>
        <w:numPr>
          <w:ilvl w:val="0"/>
          <w:numId w:val="30"/>
        </w:numPr>
        <w:spacing w:before="0" w:beforeAutospacing="0" w:after="0" w:afterAutospacing="0"/>
        <w:jc w:val="both"/>
        <w:textAlignment w:val="baseline"/>
        <w:rPr>
          <w:rStyle w:val="normaltextrun"/>
          <w:rFonts w:ascii="Avenir Next LT Pro" w:hAnsi="Avenir Next LT Pro"/>
          <w:sz w:val="22"/>
          <w:szCs w:val="22"/>
        </w:rPr>
      </w:pPr>
      <w:r>
        <w:rPr>
          <w:rStyle w:val="normaltextrun"/>
          <w:rFonts w:ascii="Avenir Next LT Pro" w:hAnsi="Avenir Next LT Pro"/>
          <w:sz w:val="22"/>
          <w:szCs w:val="22"/>
        </w:rPr>
        <w:t>P</w:t>
      </w:r>
      <w:r w:rsidRPr="00CF6A5E">
        <w:rPr>
          <w:rStyle w:val="normaltextrun"/>
          <w:rFonts w:ascii="Avenir Next LT Pro" w:hAnsi="Avenir Next LT Pro"/>
          <w:sz w:val="22"/>
          <w:szCs w:val="22"/>
        </w:rPr>
        <w:t>ending the release of the</w:t>
      </w:r>
      <w:r>
        <w:rPr>
          <w:rStyle w:val="normaltextrun"/>
          <w:rFonts w:ascii="Avenir Next LT Pro" w:hAnsi="Avenir Next LT Pro"/>
          <w:sz w:val="22"/>
          <w:szCs w:val="22"/>
        </w:rPr>
        <w:t>se</w:t>
      </w:r>
      <w:r w:rsidRPr="00CF6A5E">
        <w:rPr>
          <w:rStyle w:val="normaltextrun"/>
          <w:rFonts w:ascii="Avenir Next LT Pro" w:hAnsi="Avenir Next LT Pro"/>
          <w:sz w:val="22"/>
          <w:szCs w:val="22"/>
        </w:rPr>
        <w:t xml:space="preserve"> lawyers</w:t>
      </w:r>
      <w:r>
        <w:rPr>
          <w:rStyle w:val="normaltextrun"/>
          <w:rFonts w:ascii="Avenir Next LT Pro" w:hAnsi="Avenir Next LT Pro"/>
          <w:sz w:val="22"/>
          <w:szCs w:val="22"/>
        </w:rPr>
        <w:t>,</w:t>
      </w:r>
      <w:r w:rsidRPr="00CF6A5E">
        <w:rPr>
          <w:rStyle w:val="normaltextrun"/>
          <w:rFonts w:ascii="Avenir Next LT Pro" w:hAnsi="Avenir Next LT Pro"/>
          <w:sz w:val="22"/>
          <w:szCs w:val="22"/>
        </w:rPr>
        <w:t xml:space="preserve"> ensure that they are held in conditions that are in conformity with </w:t>
      </w:r>
      <w:r>
        <w:rPr>
          <w:rStyle w:val="normaltextrun"/>
          <w:rFonts w:ascii="Avenir Next LT Pro" w:hAnsi="Avenir Next LT Pro"/>
          <w:sz w:val="22"/>
          <w:szCs w:val="22"/>
        </w:rPr>
        <w:t xml:space="preserve">the UNCAT and other </w:t>
      </w:r>
      <w:r w:rsidRPr="00CF6A5E">
        <w:rPr>
          <w:rStyle w:val="normaltextrun"/>
          <w:rFonts w:ascii="Avenir Next LT Pro" w:hAnsi="Avenir Next LT Pro"/>
          <w:sz w:val="22"/>
          <w:szCs w:val="22"/>
        </w:rPr>
        <w:t>international standards for the treatment of prisoners</w:t>
      </w:r>
      <w:r>
        <w:rPr>
          <w:rStyle w:val="normaltextrun"/>
          <w:rFonts w:ascii="Avenir Next LT Pro" w:hAnsi="Avenir Next LT Pro"/>
          <w:sz w:val="22"/>
          <w:szCs w:val="22"/>
        </w:rPr>
        <w:t>;</w:t>
      </w:r>
    </w:p>
    <w:p w14:paraId="453BB0F6" w14:textId="21877800" w:rsidR="00C10A27" w:rsidRPr="00BB04B8" w:rsidRDefault="00C10A27" w:rsidP="001D29F1">
      <w:pPr>
        <w:pStyle w:val="paragraph"/>
        <w:numPr>
          <w:ilvl w:val="0"/>
          <w:numId w:val="30"/>
        </w:numPr>
        <w:spacing w:before="0" w:beforeAutospacing="0" w:after="0" w:afterAutospacing="0"/>
        <w:jc w:val="both"/>
        <w:textAlignment w:val="baseline"/>
        <w:rPr>
          <w:rStyle w:val="normaltextrun"/>
          <w:rFonts w:ascii="Avenir Next LT Pro" w:hAnsi="Avenir Next LT Pro"/>
          <w:sz w:val="22"/>
          <w:szCs w:val="22"/>
        </w:rPr>
      </w:pPr>
      <w:r w:rsidRPr="003851B0">
        <w:rPr>
          <w:rStyle w:val="normaltextrun"/>
          <w:rFonts w:ascii="Avenir Next LT Pro" w:hAnsi="Avenir Next LT Pro"/>
          <w:sz w:val="22"/>
          <w:szCs w:val="22"/>
        </w:rPr>
        <w:t xml:space="preserve">Urge full implementation of all </w:t>
      </w:r>
      <w:r w:rsidR="00EE57A7">
        <w:rPr>
          <w:rStyle w:val="normaltextrun"/>
          <w:rFonts w:ascii="Avenir Next LT Pro" w:hAnsi="Avenir Next LT Pro"/>
          <w:sz w:val="22"/>
          <w:szCs w:val="22"/>
        </w:rPr>
        <w:t>E</w:t>
      </w:r>
      <w:r w:rsidR="004C1C4F">
        <w:rPr>
          <w:rStyle w:val="normaltextrun"/>
          <w:rFonts w:ascii="Avenir Next LT Pro" w:hAnsi="Avenir Next LT Pro"/>
          <w:sz w:val="22"/>
          <w:szCs w:val="22"/>
        </w:rPr>
        <w:t>C</w:t>
      </w:r>
      <w:r w:rsidRPr="003851B0">
        <w:rPr>
          <w:rStyle w:val="normaltextrun"/>
          <w:rFonts w:ascii="Avenir Next LT Pro" w:hAnsi="Avenir Next LT Pro"/>
          <w:sz w:val="22"/>
          <w:szCs w:val="22"/>
        </w:rPr>
        <w:t>t</w:t>
      </w:r>
      <w:r w:rsidR="00EE57A7">
        <w:rPr>
          <w:rStyle w:val="normaltextrun"/>
          <w:rFonts w:ascii="Avenir Next LT Pro" w:hAnsi="Avenir Next LT Pro"/>
          <w:sz w:val="22"/>
          <w:szCs w:val="22"/>
        </w:rPr>
        <w:t>HR</w:t>
      </w:r>
      <w:r w:rsidRPr="003851B0">
        <w:rPr>
          <w:rStyle w:val="normaltextrun"/>
          <w:rFonts w:ascii="Avenir Next LT Pro" w:hAnsi="Avenir Next LT Pro"/>
          <w:sz w:val="22"/>
          <w:szCs w:val="22"/>
        </w:rPr>
        <w:t xml:space="preserve"> rulings, particularly those related to torture and ill-treatment of lawyers, and to ensure accountability for officials responsible for these violations;</w:t>
      </w:r>
    </w:p>
    <w:p w14:paraId="1E00AEB4" w14:textId="290C2846" w:rsidR="00C10A27" w:rsidRDefault="00C10A27" w:rsidP="001D29F1">
      <w:pPr>
        <w:pStyle w:val="paragraph"/>
        <w:numPr>
          <w:ilvl w:val="0"/>
          <w:numId w:val="30"/>
        </w:numPr>
        <w:spacing w:before="0" w:beforeAutospacing="0" w:after="0" w:afterAutospacing="0"/>
        <w:jc w:val="both"/>
        <w:textAlignment w:val="baseline"/>
        <w:rPr>
          <w:rStyle w:val="normaltextrun"/>
          <w:rFonts w:ascii="Avenir Next LT Pro" w:hAnsi="Avenir Next LT Pro"/>
          <w:sz w:val="22"/>
          <w:szCs w:val="22"/>
        </w:rPr>
      </w:pPr>
      <w:r w:rsidRPr="00CF6A5E">
        <w:rPr>
          <w:rStyle w:val="normaltextrun"/>
          <w:rFonts w:ascii="Avenir Next LT Pro" w:hAnsi="Avenir Next LT Pro"/>
          <w:sz w:val="22"/>
          <w:szCs w:val="22"/>
        </w:rPr>
        <w:t>Conduct an independent and impartial enquiry into the alleged torture</w:t>
      </w:r>
      <w:r>
        <w:rPr>
          <w:rStyle w:val="normaltextrun"/>
          <w:rFonts w:ascii="Avenir Next LT Pro" w:hAnsi="Avenir Next LT Pro"/>
          <w:sz w:val="22"/>
          <w:szCs w:val="22"/>
        </w:rPr>
        <w:t>,</w:t>
      </w:r>
      <w:r w:rsidRPr="00CF6A5E">
        <w:rPr>
          <w:rStyle w:val="normaltextrun"/>
          <w:rFonts w:ascii="Avenir Next LT Pro" w:hAnsi="Avenir Next LT Pro"/>
          <w:sz w:val="22"/>
          <w:szCs w:val="22"/>
        </w:rPr>
        <w:t xml:space="preserve"> and other ill-treatment</w:t>
      </w:r>
      <w:r>
        <w:rPr>
          <w:rStyle w:val="normaltextrun"/>
          <w:rFonts w:ascii="Avenir Next LT Pro" w:hAnsi="Avenir Next LT Pro"/>
          <w:sz w:val="22"/>
          <w:szCs w:val="22"/>
        </w:rPr>
        <w:t>,</w:t>
      </w:r>
      <w:r w:rsidRPr="00CF6A5E">
        <w:rPr>
          <w:rStyle w:val="normaltextrun"/>
          <w:rFonts w:ascii="Avenir Next LT Pro" w:hAnsi="Avenir Next LT Pro"/>
          <w:sz w:val="22"/>
          <w:szCs w:val="22"/>
        </w:rPr>
        <w:t xml:space="preserve"> of Oya Aslan, Engin Gökoğlu, Barkin Timtik and Aytaç Ünsal and bring any suspected perpetrators to justice</w:t>
      </w:r>
      <w:r>
        <w:rPr>
          <w:rStyle w:val="normaltextrun"/>
          <w:rFonts w:ascii="Avenir Next LT Pro" w:hAnsi="Avenir Next LT Pro"/>
          <w:sz w:val="22"/>
          <w:szCs w:val="22"/>
        </w:rPr>
        <w:t>,</w:t>
      </w:r>
      <w:r w:rsidRPr="00CF6A5E">
        <w:rPr>
          <w:rStyle w:val="normaltextrun"/>
          <w:rFonts w:ascii="Avenir Next LT Pro" w:hAnsi="Avenir Next LT Pro"/>
          <w:sz w:val="22"/>
          <w:szCs w:val="22"/>
        </w:rPr>
        <w:t xml:space="preserve"> in</w:t>
      </w:r>
      <w:r>
        <w:rPr>
          <w:rStyle w:val="normaltextrun"/>
          <w:rFonts w:ascii="Avenir Next LT Pro" w:hAnsi="Avenir Next LT Pro"/>
          <w:sz w:val="22"/>
          <w:szCs w:val="22"/>
        </w:rPr>
        <w:t xml:space="preserve"> trials meeting international standards for a fair trial;</w:t>
      </w:r>
    </w:p>
    <w:p w14:paraId="1B3AE0FF" w14:textId="77777777" w:rsidR="00C10A27" w:rsidRPr="003851B0" w:rsidRDefault="00C10A27" w:rsidP="001D29F1">
      <w:pPr>
        <w:pStyle w:val="paragraph"/>
        <w:numPr>
          <w:ilvl w:val="0"/>
          <w:numId w:val="30"/>
        </w:numPr>
        <w:spacing w:before="0" w:beforeAutospacing="0" w:after="0" w:afterAutospacing="0"/>
        <w:jc w:val="both"/>
        <w:textAlignment w:val="baseline"/>
        <w:rPr>
          <w:rStyle w:val="normaltextrun"/>
          <w:rFonts w:ascii="Avenir Next LT Pro" w:hAnsi="Avenir Next LT Pro"/>
          <w:sz w:val="22"/>
          <w:szCs w:val="22"/>
        </w:rPr>
      </w:pPr>
      <w:r w:rsidRPr="003851B0">
        <w:rPr>
          <w:rStyle w:val="normaltextrun"/>
          <w:rFonts w:ascii="Avenir Next LT Pro" w:hAnsi="Avenir Next LT Pro"/>
          <w:sz w:val="22"/>
          <w:szCs w:val="22"/>
        </w:rPr>
        <w:t>Ensure the independent and prompt investigation and</w:t>
      </w:r>
      <w:r>
        <w:rPr>
          <w:rStyle w:val="normaltextrun"/>
          <w:rFonts w:ascii="Avenir Next LT Pro" w:hAnsi="Avenir Next LT Pro"/>
          <w:sz w:val="22"/>
          <w:szCs w:val="22"/>
        </w:rPr>
        <w:t xml:space="preserve"> </w:t>
      </w:r>
      <w:r w:rsidRPr="003851B0">
        <w:rPr>
          <w:rStyle w:val="normaltextrun"/>
          <w:rFonts w:ascii="Avenir Next LT Pro" w:hAnsi="Avenir Next LT Pro"/>
          <w:sz w:val="22"/>
          <w:szCs w:val="22"/>
        </w:rPr>
        <w:t>prosecution of all cases of torture and ill-treatment of lawyers</w:t>
      </w:r>
      <w:r>
        <w:rPr>
          <w:rStyle w:val="normaltextrun"/>
          <w:rFonts w:ascii="Avenir Next LT Pro" w:hAnsi="Avenir Next LT Pro"/>
          <w:sz w:val="22"/>
          <w:szCs w:val="22"/>
        </w:rPr>
        <w:t xml:space="preserve"> </w:t>
      </w:r>
      <w:r w:rsidRPr="003851B0">
        <w:rPr>
          <w:rStyle w:val="normaltextrun"/>
          <w:rFonts w:ascii="Avenir Next LT Pro" w:hAnsi="Avenir Next LT Pro"/>
          <w:sz w:val="22"/>
          <w:szCs w:val="22"/>
        </w:rPr>
        <w:t>committed by law enforcement officers, in accordance with</w:t>
      </w:r>
      <w:r>
        <w:rPr>
          <w:rStyle w:val="normaltextrun"/>
          <w:rFonts w:ascii="Avenir Next LT Pro" w:hAnsi="Avenir Next LT Pro"/>
          <w:sz w:val="22"/>
          <w:szCs w:val="22"/>
        </w:rPr>
        <w:t xml:space="preserve"> </w:t>
      </w:r>
      <w:r w:rsidRPr="003851B0">
        <w:rPr>
          <w:rStyle w:val="normaltextrun"/>
          <w:rFonts w:ascii="Avenir Next LT Pro" w:hAnsi="Avenir Next LT Pro"/>
          <w:sz w:val="22"/>
          <w:szCs w:val="22"/>
        </w:rPr>
        <w:t>applicable international standards;</w:t>
      </w:r>
    </w:p>
    <w:p w14:paraId="3CD6538E" w14:textId="74EE415D" w:rsidR="00C10A27" w:rsidRPr="003851B0" w:rsidRDefault="00C10A27" w:rsidP="001D29F1">
      <w:pPr>
        <w:pStyle w:val="paragraph"/>
        <w:numPr>
          <w:ilvl w:val="0"/>
          <w:numId w:val="30"/>
        </w:numPr>
        <w:spacing w:before="0" w:beforeAutospacing="0" w:after="0" w:afterAutospacing="0"/>
        <w:jc w:val="both"/>
        <w:textAlignment w:val="baseline"/>
        <w:rPr>
          <w:rStyle w:val="normaltextrun"/>
          <w:rFonts w:ascii="Avenir Next LT Pro" w:hAnsi="Avenir Next LT Pro"/>
          <w:sz w:val="22"/>
          <w:szCs w:val="22"/>
        </w:rPr>
      </w:pPr>
      <w:r w:rsidRPr="003851B0">
        <w:rPr>
          <w:rStyle w:val="normaltextrun"/>
          <w:rFonts w:ascii="Avenir Next LT Pro" w:hAnsi="Avenir Next LT Pro"/>
          <w:sz w:val="22"/>
          <w:szCs w:val="22"/>
        </w:rPr>
        <w:t>Ensure that all victims of torture and ill-treatment obtain redress, including an enforceable right to fair and adequate compensation and the means for as full rehabilitation as possible;</w:t>
      </w:r>
    </w:p>
    <w:p w14:paraId="05503BEA" w14:textId="38CC1ECE" w:rsidR="00C10A27" w:rsidRDefault="00C10A27" w:rsidP="001D29F1">
      <w:pPr>
        <w:pStyle w:val="paragraph"/>
        <w:numPr>
          <w:ilvl w:val="0"/>
          <w:numId w:val="30"/>
        </w:numPr>
        <w:spacing w:before="0" w:beforeAutospacing="0" w:after="0" w:afterAutospacing="0"/>
        <w:jc w:val="both"/>
        <w:textAlignment w:val="baseline"/>
        <w:rPr>
          <w:rStyle w:val="normaltextrun"/>
          <w:rFonts w:ascii="Avenir Next LT Pro" w:hAnsi="Avenir Next LT Pro"/>
          <w:sz w:val="22"/>
          <w:szCs w:val="22"/>
        </w:rPr>
      </w:pPr>
      <w:r>
        <w:rPr>
          <w:rStyle w:val="normaltextrun"/>
          <w:rFonts w:ascii="Avenir Next LT Pro" w:hAnsi="Avenir Next LT Pro"/>
          <w:sz w:val="22"/>
          <w:szCs w:val="22"/>
        </w:rPr>
        <w:t xml:space="preserve">Ensure that </w:t>
      </w:r>
      <w:r w:rsidRPr="00782302">
        <w:rPr>
          <w:rStyle w:val="normaltextrun"/>
          <w:rFonts w:ascii="Avenir Next LT Pro" w:hAnsi="Avenir Next LT Pro"/>
          <w:sz w:val="22"/>
          <w:szCs w:val="22"/>
        </w:rPr>
        <w:t>an</w:t>
      </w:r>
      <w:r>
        <w:rPr>
          <w:rStyle w:val="normaltextrun"/>
          <w:rFonts w:ascii="Avenir Next LT Pro" w:hAnsi="Avenir Next LT Pro"/>
          <w:sz w:val="22"/>
          <w:szCs w:val="22"/>
        </w:rPr>
        <w:t xml:space="preserve"> immediate</w:t>
      </w:r>
      <w:r w:rsidRPr="00782302">
        <w:rPr>
          <w:rStyle w:val="normaltextrun"/>
          <w:rFonts w:ascii="Avenir Next LT Pro" w:hAnsi="Avenir Next LT Pro"/>
          <w:sz w:val="22"/>
          <w:szCs w:val="22"/>
        </w:rPr>
        <w:t xml:space="preserve"> independent review of cases </w:t>
      </w:r>
      <w:r>
        <w:rPr>
          <w:rStyle w:val="normaltextrun"/>
          <w:rFonts w:ascii="Avenir Next LT Pro" w:hAnsi="Avenir Next LT Pro"/>
          <w:sz w:val="22"/>
          <w:szCs w:val="22"/>
        </w:rPr>
        <w:t xml:space="preserve">is conducted </w:t>
      </w:r>
      <w:r w:rsidRPr="00782302">
        <w:rPr>
          <w:rStyle w:val="normaltextrun"/>
          <w:rFonts w:ascii="Avenir Next LT Pro" w:hAnsi="Avenir Next LT Pro"/>
          <w:sz w:val="22"/>
          <w:szCs w:val="22"/>
        </w:rPr>
        <w:t xml:space="preserve">in which </w:t>
      </w:r>
      <w:r>
        <w:rPr>
          <w:rStyle w:val="normaltextrun"/>
          <w:rFonts w:ascii="Avenir Next LT Pro" w:hAnsi="Avenir Next LT Pro"/>
          <w:sz w:val="22"/>
          <w:szCs w:val="22"/>
        </w:rPr>
        <w:t xml:space="preserve">lawyers </w:t>
      </w:r>
      <w:r w:rsidRPr="00782302">
        <w:rPr>
          <w:rStyle w:val="normaltextrun"/>
          <w:rFonts w:ascii="Avenir Next LT Pro" w:hAnsi="Avenir Next LT Pro"/>
          <w:sz w:val="22"/>
          <w:szCs w:val="22"/>
        </w:rPr>
        <w:t>are presently on trial or appealing sentences handed down against them for membership in, engaging in propaganda for, or facilitating the activities of a terrorist organi</w:t>
      </w:r>
      <w:r>
        <w:rPr>
          <w:rStyle w:val="normaltextrun"/>
          <w:rFonts w:ascii="Avenir Next LT Pro" w:hAnsi="Avenir Next LT Pro"/>
          <w:sz w:val="22"/>
          <w:szCs w:val="22"/>
        </w:rPr>
        <w:t>s</w:t>
      </w:r>
      <w:r w:rsidRPr="00782302">
        <w:rPr>
          <w:rStyle w:val="normaltextrun"/>
          <w:rFonts w:ascii="Avenir Next LT Pro" w:hAnsi="Avenir Next LT Pro"/>
          <w:sz w:val="22"/>
          <w:szCs w:val="22"/>
        </w:rPr>
        <w:t>ation</w:t>
      </w:r>
      <w:r>
        <w:rPr>
          <w:rStyle w:val="normaltextrun"/>
          <w:rFonts w:ascii="Avenir Next LT Pro" w:hAnsi="Avenir Next LT Pro"/>
          <w:sz w:val="22"/>
          <w:szCs w:val="22"/>
        </w:rPr>
        <w:t>;</w:t>
      </w:r>
    </w:p>
    <w:p w14:paraId="721744DD" w14:textId="273081BC" w:rsidR="00C10A27" w:rsidRDefault="00C10A27" w:rsidP="001D29F1">
      <w:pPr>
        <w:pStyle w:val="paragraph"/>
        <w:numPr>
          <w:ilvl w:val="0"/>
          <w:numId w:val="30"/>
        </w:numPr>
        <w:spacing w:before="0" w:beforeAutospacing="0" w:after="0" w:afterAutospacing="0"/>
        <w:jc w:val="both"/>
        <w:textAlignment w:val="baseline"/>
        <w:rPr>
          <w:rStyle w:val="normaltextrun"/>
          <w:rFonts w:ascii="Avenir Next LT Pro" w:hAnsi="Avenir Next LT Pro"/>
          <w:sz w:val="22"/>
          <w:szCs w:val="22"/>
        </w:rPr>
      </w:pPr>
      <w:r w:rsidRPr="00EA30DC">
        <w:rPr>
          <w:rStyle w:val="normaltextrun"/>
          <w:rFonts w:ascii="Avenir Next LT Pro" w:hAnsi="Avenir Next LT Pro"/>
          <w:sz w:val="22"/>
          <w:szCs w:val="22"/>
        </w:rPr>
        <w:t>Ensure that all persons deprived of their liberty receive timely and appropriate medical treatment</w:t>
      </w:r>
      <w:r>
        <w:rPr>
          <w:rStyle w:val="normaltextrun"/>
          <w:rFonts w:ascii="Avenir Next LT Pro" w:hAnsi="Avenir Next LT Pro"/>
          <w:sz w:val="22"/>
          <w:szCs w:val="22"/>
        </w:rPr>
        <w:t>;</w:t>
      </w:r>
    </w:p>
    <w:p w14:paraId="01B9CFB8" w14:textId="5EBD3A99" w:rsidR="00C10A27" w:rsidRPr="00187722" w:rsidRDefault="00C10A27" w:rsidP="001D29F1">
      <w:pPr>
        <w:pStyle w:val="paragraph"/>
        <w:numPr>
          <w:ilvl w:val="0"/>
          <w:numId w:val="30"/>
        </w:numPr>
        <w:spacing w:before="0" w:beforeAutospacing="0" w:after="0" w:afterAutospacing="0"/>
        <w:jc w:val="both"/>
        <w:textAlignment w:val="baseline"/>
        <w:rPr>
          <w:rStyle w:val="normaltextrun"/>
          <w:rFonts w:ascii="Avenir Next LT Pro" w:hAnsi="Avenir Next LT Pro"/>
          <w:sz w:val="22"/>
          <w:szCs w:val="22"/>
        </w:rPr>
      </w:pPr>
      <w:r>
        <w:rPr>
          <w:rStyle w:val="normaltextrun"/>
          <w:rFonts w:ascii="Avenir Next LT Pro" w:hAnsi="Avenir Next LT Pro"/>
          <w:sz w:val="22"/>
          <w:szCs w:val="22"/>
        </w:rPr>
        <w:t>Ensure that the use of instruments of restraint on persons deprived of their liberty is in conformity with international law;</w:t>
      </w:r>
    </w:p>
    <w:p w14:paraId="50627C04" w14:textId="2612F2FD" w:rsidR="00C10A27" w:rsidRDefault="00C10A27" w:rsidP="001D29F1">
      <w:pPr>
        <w:pStyle w:val="paragraph"/>
        <w:numPr>
          <w:ilvl w:val="0"/>
          <w:numId w:val="30"/>
        </w:numPr>
        <w:spacing w:before="0" w:beforeAutospacing="0" w:after="0" w:afterAutospacing="0"/>
        <w:jc w:val="both"/>
        <w:textAlignment w:val="baseline"/>
        <w:rPr>
          <w:rStyle w:val="normaltextrun"/>
          <w:rFonts w:ascii="Avenir Next LT Pro" w:hAnsi="Avenir Next LT Pro"/>
          <w:sz w:val="22"/>
          <w:szCs w:val="22"/>
        </w:rPr>
      </w:pPr>
      <w:r>
        <w:rPr>
          <w:rStyle w:val="normaltextrun"/>
          <w:rFonts w:ascii="Avenir Next LT Pro" w:hAnsi="Avenir Next LT Pro"/>
          <w:sz w:val="22"/>
          <w:szCs w:val="22"/>
        </w:rPr>
        <w:t>Ensure that all persons deprived of their liberty are transported to and from their place of deprivation of liberty in conditions that are in conformity with Article 16 of the Convention; and</w:t>
      </w:r>
    </w:p>
    <w:p w14:paraId="6D3C8BCE" w14:textId="74FF7174" w:rsidR="00C10A27" w:rsidRPr="00EA30DC" w:rsidRDefault="00C10A27" w:rsidP="001D29F1">
      <w:pPr>
        <w:pStyle w:val="paragraph"/>
        <w:numPr>
          <w:ilvl w:val="0"/>
          <w:numId w:val="30"/>
        </w:numPr>
        <w:spacing w:before="0" w:beforeAutospacing="0" w:after="0" w:afterAutospacing="0"/>
        <w:jc w:val="both"/>
        <w:textAlignment w:val="baseline"/>
        <w:rPr>
          <w:rStyle w:val="normaltextrun"/>
          <w:rFonts w:ascii="Avenir Next LT Pro" w:hAnsi="Avenir Next LT Pro"/>
          <w:sz w:val="22"/>
          <w:szCs w:val="22"/>
        </w:rPr>
      </w:pPr>
      <w:r>
        <w:rPr>
          <w:rStyle w:val="normaltextrun"/>
          <w:rFonts w:ascii="Avenir Next LT Pro" w:hAnsi="Avenir Next LT Pro"/>
          <w:sz w:val="22"/>
          <w:szCs w:val="22"/>
        </w:rPr>
        <w:t xml:space="preserve">End the practice of small group isolation and ensure that all persons deprived of their liberty have access to exercise and recreational activities and materials. </w:t>
      </w:r>
    </w:p>
    <w:p w14:paraId="1388D569" w14:textId="40CBFA5D" w:rsidR="00FE642A" w:rsidRPr="00C10A27" w:rsidRDefault="00FE642A" w:rsidP="001D29F1">
      <w:pPr>
        <w:pStyle w:val="paragraph"/>
        <w:spacing w:before="0" w:beforeAutospacing="0" w:after="0" w:afterAutospacing="0"/>
        <w:jc w:val="both"/>
        <w:textAlignment w:val="baseline"/>
        <w:rPr>
          <w:rFonts w:ascii="Avenir Next LT Pro" w:hAnsi="Avenir Next LT Pro"/>
          <w:sz w:val="22"/>
          <w:szCs w:val="22"/>
        </w:rPr>
      </w:pPr>
    </w:p>
    <w:p w14:paraId="03BE40A2" w14:textId="77777777" w:rsidR="00FB24BC" w:rsidRPr="00FB24BC" w:rsidRDefault="00FB24BC" w:rsidP="001D29F1">
      <w:pPr>
        <w:jc w:val="both"/>
      </w:pPr>
    </w:p>
    <w:sectPr w:rsidR="00FB24BC" w:rsidRPr="00FB24BC" w:rsidSect="00972CC5">
      <w:footerReference w:type="default" r:id="rId20"/>
      <w:headerReference w:type="first" r:id="rId21"/>
      <w:footerReference w:type="first" r:id="rId22"/>
      <w:pgSz w:w="11906" w:h="16838"/>
      <w:pgMar w:top="1440" w:right="1440" w:bottom="1440" w:left="1440" w:header="0" w:footer="35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F616720" w14:textId="77777777" w:rsidR="009C3C4B" w:rsidRDefault="009C3C4B" w:rsidP="00345D59">
      <w:pPr>
        <w:spacing w:before="0" w:after="0"/>
      </w:pPr>
      <w:r>
        <w:separator/>
      </w:r>
    </w:p>
  </w:endnote>
  <w:endnote w:type="continuationSeparator" w:id="0">
    <w:p w14:paraId="020973BF" w14:textId="77777777" w:rsidR="009C3C4B" w:rsidRDefault="009C3C4B" w:rsidP="00345D59">
      <w:pPr>
        <w:spacing w:before="0" w:after="0"/>
      </w:pPr>
      <w:r>
        <w:continuationSeparator/>
      </w:r>
    </w:p>
  </w:endnote>
  <w:endnote w:type="continuationNotice" w:id="1">
    <w:p w14:paraId="7B5BA8B5" w14:textId="77777777" w:rsidR="009C3C4B" w:rsidRDefault="009C3C4B">
      <w:pPr>
        <w:spacing w:before="0"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venir Next LT Pro">
    <w:panose1 w:val="00000000000000000000"/>
    <w:charset w:val="00"/>
    <w:family w:val="roman"/>
    <w:notTrueType/>
    <w:pitch w:val="default"/>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roman"/>
    <w:pitch w:val="fixed"/>
    <w:sig w:usb0="00000001" w:usb1="08070000" w:usb2="00000010" w:usb3="00000000" w:csb0="00020000"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Open Sans">
    <w:charset w:val="00"/>
    <w:family w:val="swiss"/>
    <w:pitch w:val="variable"/>
    <w:sig w:usb0="E00002EF" w:usb1="4000205B" w:usb2="00000028" w:usb3="00000000" w:csb0="0000019F" w:csb1="00000000"/>
  </w:font>
  <w:font w:name="CIDFont+F6">
    <w:altName w:val="Calibri"/>
    <w:panose1 w:val="00000000000000000000"/>
    <w:charset w:val="00"/>
    <w:family w:val="auto"/>
    <w:notTrueType/>
    <w:pitch w:val="default"/>
    <w:sig w:usb0="00000003" w:usb1="00000000" w:usb2="00000000" w:usb3="00000000" w:csb0="00000001" w:csb1="00000000"/>
  </w:font>
  <w:font w:name="CIDFont+F1">
    <w:altName w:val="Calibri"/>
    <w:panose1 w:val="00000000000000000000"/>
    <w:charset w:val="00"/>
    <w:family w:val="auto"/>
    <w:notTrueType/>
    <w:pitch w:val="default"/>
    <w:sig w:usb0="00000003" w:usb1="00000000" w:usb2="00000000" w:usb3="00000000" w:csb0="00000001" w:csb1="00000000"/>
  </w:font>
  <w:font w:name="CIDFont+F2">
    <w:altName w:val="Calibri"/>
    <w:panose1 w:val="00000000000000000000"/>
    <w:charset w:val="EE"/>
    <w:family w:val="auto"/>
    <w:notTrueType/>
    <w:pitch w:val="default"/>
    <w:sig w:usb0="00000005" w:usb1="00000000" w:usb2="00000000" w:usb3="00000000" w:csb0="00000002"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358152969"/>
      <w:docPartObj>
        <w:docPartGallery w:val="Page Numbers (Bottom of Page)"/>
        <w:docPartUnique/>
      </w:docPartObj>
    </w:sdtPr>
    <w:sdtEndPr/>
    <w:sdtContent>
      <w:sdt>
        <w:sdtPr>
          <w:id w:val="-1769616900"/>
          <w:docPartObj>
            <w:docPartGallery w:val="Page Numbers (Top of Page)"/>
            <w:docPartUnique/>
          </w:docPartObj>
        </w:sdtPr>
        <w:sdtEndPr/>
        <w:sdtContent>
          <w:p w14:paraId="19B201A4" w14:textId="1D81A71D" w:rsidR="00345D59" w:rsidRPr="00936805" w:rsidRDefault="00936805" w:rsidP="00ED1826">
            <w:pPr>
              <w:pStyle w:val="Footer"/>
              <w:tabs>
                <w:tab w:val="clear" w:pos="4513"/>
                <w:tab w:val="clear" w:pos="9026"/>
              </w:tabs>
              <w:ind w:right="-472"/>
              <w:jc w:val="both"/>
            </w:pPr>
            <w:r w:rsidRPr="00936805">
              <w:ptab w:relativeTo="margin" w:alignment="left" w:leader="none"/>
            </w:r>
            <w:r w:rsidR="00345D59" w:rsidRPr="00936805">
              <w:t xml:space="preserve">Page </w:t>
            </w:r>
            <w:r w:rsidR="00345D59" w:rsidRPr="00936805">
              <w:rPr>
                <w:b/>
                <w:bCs/>
                <w:sz w:val="24"/>
                <w:szCs w:val="24"/>
              </w:rPr>
              <w:fldChar w:fldCharType="begin"/>
            </w:r>
            <w:r w:rsidR="00345D59" w:rsidRPr="00936805">
              <w:rPr>
                <w:b/>
                <w:bCs/>
              </w:rPr>
              <w:instrText xml:space="preserve"> PAGE </w:instrText>
            </w:r>
            <w:r w:rsidR="00345D59" w:rsidRPr="00936805">
              <w:rPr>
                <w:b/>
                <w:bCs/>
                <w:sz w:val="24"/>
                <w:szCs w:val="24"/>
              </w:rPr>
              <w:fldChar w:fldCharType="separate"/>
            </w:r>
            <w:r w:rsidR="00345D59" w:rsidRPr="00936805">
              <w:rPr>
                <w:b/>
                <w:bCs/>
                <w:noProof/>
              </w:rPr>
              <w:t>2</w:t>
            </w:r>
            <w:r w:rsidR="00345D59" w:rsidRPr="00936805">
              <w:rPr>
                <w:b/>
                <w:bCs/>
                <w:sz w:val="24"/>
                <w:szCs w:val="24"/>
              </w:rPr>
              <w:fldChar w:fldCharType="end"/>
            </w:r>
            <w:r w:rsidR="00345D59" w:rsidRPr="00936805">
              <w:t xml:space="preserve"> of </w:t>
            </w:r>
            <w:r w:rsidR="00345D59" w:rsidRPr="00936805">
              <w:rPr>
                <w:b/>
                <w:bCs/>
                <w:sz w:val="24"/>
                <w:szCs w:val="24"/>
              </w:rPr>
              <w:fldChar w:fldCharType="begin"/>
            </w:r>
            <w:r w:rsidR="00345D59" w:rsidRPr="00936805">
              <w:rPr>
                <w:b/>
                <w:bCs/>
              </w:rPr>
              <w:instrText xml:space="preserve"> NUMPAGES  </w:instrText>
            </w:r>
            <w:r w:rsidR="00345D59" w:rsidRPr="00936805">
              <w:rPr>
                <w:b/>
                <w:bCs/>
                <w:sz w:val="24"/>
                <w:szCs w:val="24"/>
              </w:rPr>
              <w:fldChar w:fldCharType="separate"/>
            </w:r>
            <w:r w:rsidR="00345D59" w:rsidRPr="00936805">
              <w:rPr>
                <w:b/>
                <w:bCs/>
                <w:noProof/>
              </w:rPr>
              <w:t>2</w:t>
            </w:r>
            <w:r w:rsidR="00345D59" w:rsidRPr="00936805">
              <w:rPr>
                <w:b/>
                <w:bCs/>
                <w:sz w:val="24"/>
                <w:szCs w:val="24"/>
              </w:rPr>
              <w:fldChar w:fldCharType="end"/>
            </w:r>
          </w:p>
        </w:sdtContent>
      </w:sdt>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0B4D129" w14:textId="77777777" w:rsidR="00936805" w:rsidRPr="00554AC3" w:rsidRDefault="00790CBC" w:rsidP="00ED1826">
    <w:pPr>
      <w:ind w:left="709" w:right="-472"/>
      <w:jc w:val="right"/>
      <w:rPr>
        <w:sz w:val="16"/>
        <w:szCs w:val="16"/>
      </w:rPr>
    </w:pPr>
    <w:r>
      <w:ptab w:relativeTo="indent" w:alignment="left" w:leader="none"/>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642646C" w14:textId="77777777" w:rsidR="009C3C4B" w:rsidRDefault="009C3C4B" w:rsidP="00345D59">
      <w:pPr>
        <w:spacing w:before="0" w:after="0"/>
      </w:pPr>
      <w:r>
        <w:separator/>
      </w:r>
    </w:p>
  </w:footnote>
  <w:footnote w:type="continuationSeparator" w:id="0">
    <w:p w14:paraId="216FEAD7" w14:textId="77777777" w:rsidR="009C3C4B" w:rsidRDefault="009C3C4B" w:rsidP="00345D59">
      <w:pPr>
        <w:spacing w:before="0" w:after="0"/>
      </w:pPr>
      <w:r>
        <w:continuationSeparator/>
      </w:r>
    </w:p>
  </w:footnote>
  <w:footnote w:type="continuationNotice" w:id="1">
    <w:p w14:paraId="1CD494D8" w14:textId="77777777" w:rsidR="009C3C4B" w:rsidRDefault="009C3C4B">
      <w:pPr>
        <w:spacing w:before="0" w:after="0"/>
      </w:pPr>
    </w:p>
  </w:footnote>
  <w:footnote w:id="2">
    <w:p w14:paraId="721414AA" w14:textId="3E36AE47" w:rsidR="00BB5237" w:rsidRPr="001D29F1" w:rsidRDefault="00BB5237" w:rsidP="007A18DE">
      <w:pPr>
        <w:pStyle w:val="Footer"/>
        <w:rPr>
          <w:color w:val="auto"/>
          <w:sz w:val="16"/>
          <w:szCs w:val="16"/>
        </w:rPr>
      </w:pPr>
      <w:r w:rsidRPr="001D29F1">
        <w:rPr>
          <w:rStyle w:val="FootnoteReference"/>
          <w:rFonts w:asciiTheme="minorHAnsi" w:hAnsiTheme="minorHAnsi"/>
          <w:sz w:val="16"/>
          <w:szCs w:val="16"/>
        </w:rPr>
        <w:footnoteRef/>
      </w:r>
      <w:r w:rsidRPr="001D29F1">
        <w:rPr>
          <w:sz w:val="16"/>
          <w:szCs w:val="16"/>
        </w:rPr>
        <w:t xml:space="preserve"> </w:t>
      </w:r>
      <w:r w:rsidRPr="001D29F1">
        <w:rPr>
          <w:i/>
          <w:iCs/>
          <w:color w:val="auto"/>
          <w:sz w:val="16"/>
          <w:szCs w:val="16"/>
        </w:rPr>
        <w:t>Report of an Independent International Fact-finding Mission to Turkey Examining the Treatment of Lawyers Deprived of their Liberty and Observing Trial Proceedings</w:t>
      </w:r>
      <w:r w:rsidR="00045A29" w:rsidRPr="001D29F1">
        <w:rPr>
          <w:i/>
          <w:iCs/>
          <w:color w:val="auto"/>
          <w:sz w:val="16"/>
          <w:szCs w:val="16"/>
        </w:rPr>
        <w:t xml:space="preserve">, </w:t>
      </w:r>
      <w:r w:rsidRPr="001D29F1">
        <w:rPr>
          <w:i/>
          <w:iCs/>
          <w:color w:val="auto"/>
          <w:sz w:val="16"/>
          <w:szCs w:val="16"/>
        </w:rPr>
        <w:t>6-10 November 2023</w:t>
      </w:r>
      <w:r w:rsidR="009E105A" w:rsidRPr="001D29F1">
        <w:rPr>
          <w:color w:val="auto"/>
          <w:sz w:val="16"/>
          <w:szCs w:val="16"/>
        </w:rPr>
        <w:t xml:space="preserve">, February 2024, available at </w:t>
      </w:r>
      <w:hyperlink r:id="rId1" w:history="1">
        <w:r w:rsidR="001936D2" w:rsidRPr="001D29F1">
          <w:rPr>
            <w:rStyle w:val="Hyperlink"/>
            <w:rFonts w:asciiTheme="minorHAnsi" w:hAnsiTheme="minorHAnsi"/>
            <w:sz w:val="16"/>
            <w:szCs w:val="16"/>
          </w:rPr>
          <w:t>https://www.lawsociety.org.uk/campaigns/international-rule-of-law/news/results-of-our-recent-fact-finding-mission-in-turkey</w:t>
        </w:r>
      </w:hyperlink>
      <w:r w:rsidR="001936D2" w:rsidRPr="001D29F1">
        <w:rPr>
          <w:color w:val="auto"/>
          <w:sz w:val="16"/>
          <w:szCs w:val="16"/>
        </w:rPr>
        <w:t xml:space="preserve">. </w:t>
      </w:r>
    </w:p>
  </w:footnote>
  <w:footnote w:id="3">
    <w:p w14:paraId="49776EA4" w14:textId="0E0965EB" w:rsidR="00AD5709" w:rsidRPr="001D29F1" w:rsidRDefault="00AD5709" w:rsidP="007A18DE">
      <w:pPr>
        <w:pStyle w:val="FootnoteText"/>
        <w:ind w:left="0" w:right="0" w:firstLine="0"/>
        <w:rPr>
          <w:rFonts w:asciiTheme="minorHAnsi" w:hAnsiTheme="minorHAnsi" w:cstheme="minorBidi"/>
          <w:sz w:val="16"/>
          <w:szCs w:val="16"/>
          <w:lang w:eastAsia="en-US"/>
        </w:rPr>
      </w:pPr>
      <w:r w:rsidRPr="001D29F1">
        <w:rPr>
          <w:rStyle w:val="FootnoteReference"/>
          <w:rFonts w:asciiTheme="minorHAnsi" w:hAnsiTheme="minorHAnsi"/>
          <w:sz w:val="16"/>
          <w:szCs w:val="16"/>
        </w:rPr>
        <w:footnoteRef/>
      </w:r>
      <w:r w:rsidR="00C10A27" w:rsidRPr="001D29F1">
        <w:rPr>
          <w:rFonts w:asciiTheme="minorHAnsi" w:hAnsiTheme="minorHAnsi"/>
          <w:sz w:val="16"/>
          <w:szCs w:val="16"/>
        </w:rPr>
        <w:t xml:space="preserve"> IBAHRI and TALI, </w:t>
      </w:r>
      <w:r w:rsidRPr="001D29F1">
        <w:rPr>
          <w:rFonts w:asciiTheme="minorHAnsi" w:hAnsiTheme="minorHAnsi" w:cstheme="minorBidi"/>
          <w:i/>
          <w:iCs/>
          <w:sz w:val="16"/>
          <w:szCs w:val="16"/>
          <w:lang w:eastAsia="en-US"/>
        </w:rPr>
        <w:t>A Profession on Trial: The Systematic Crackdown Against Lawyers in Turkey</w:t>
      </w:r>
      <w:r w:rsidRPr="001D29F1">
        <w:rPr>
          <w:rFonts w:asciiTheme="minorHAnsi" w:hAnsiTheme="minorHAnsi" w:cstheme="minorBidi"/>
          <w:sz w:val="16"/>
          <w:szCs w:val="16"/>
          <w:lang w:eastAsia="en-US"/>
        </w:rPr>
        <w:t xml:space="preserve">, 13 February 2024, available at </w:t>
      </w:r>
      <w:hyperlink r:id="rId2" w:history="1">
        <w:r w:rsidR="00C10A27" w:rsidRPr="001D29F1">
          <w:rPr>
            <w:rStyle w:val="Hyperlink"/>
            <w:rFonts w:asciiTheme="minorHAnsi" w:hAnsiTheme="minorHAnsi" w:cstheme="minorBidi"/>
            <w:sz w:val="16"/>
            <w:szCs w:val="16"/>
            <w:lang w:eastAsia="en-US"/>
          </w:rPr>
          <w:t>https://www.ibanet.org/Turkey-IBAHRI-and-TALI-release-report-documenting-mass-imprisonment-of-lawyers</w:t>
        </w:r>
      </w:hyperlink>
      <w:r w:rsidR="00C10A27" w:rsidRPr="001D29F1">
        <w:rPr>
          <w:rFonts w:asciiTheme="minorHAnsi" w:hAnsiTheme="minorHAnsi" w:cstheme="minorBidi"/>
          <w:sz w:val="16"/>
          <w:szCs w:val="16"/>
          <w:lang w:eastAsia="en-US"/>
        </w:rPr>
        <w:t xml:space="preserve">. </w:t>
      </w:r>
    </w:p>
  </w:footnote>
  <w:footnote w:id="4">
    <w:p w14:paraId="10487C32" w14:textId="3F744CF9" w:rsidR="00326E6C" w:rsidRPr="001D29F1" w:rsidRDefault="00326E6C" w:rsidP="00326E6C">
      <w:pPr>
        <w:pStyle w:val="FootnoteText"/>
        <w:tabs>
          <w:tab w:val="clear" w:pos="1021"/>
          <w:tab w:val="right" w:pos="0"/>
        </w:tabs>
        <w:ind w:left="0" w:firstLine="0"/>
        <w:rPr>
          <w:rFonts w:asciiTheme="minorHAnsi" w:hAnsiTheme="minorHAnsi"/>
          <w:sz w:val="16"/>
          <w:szCs w:val="16"/>
        </w:rPr>
      </w:pPr>
      <w:r w:rsidRPr="001D29F1">
        <w:rPr>
          <w:rStyle w:val="FootnoteReference"/>
          <w:rFonts w:asciiTheme="minorHAnsi" w:hAnsiTheme="minorHAnsi"/>
          <w:sz w:val="16"/>
          <w:szCs w:val="16"/>
        </w:rPr>
        <w:footnoteRef/>
      </w:r>
      <w:r w:rsidRPr="001D29F1">
        <w:rPr>
          <w:rFonts w:asciiTheme="minorHAnsi" w:hAnsiTheme="minorHAnsi"/>
          <w:sz w:val="16"/>
          <w:szCs w:val="16"/>
        </w:rPr>
        <w:t xml:space="preserve"> European Commission for Democracy and Law (Venice Commission) in its opinion No. 865 / 2016 on Decree Laws no. 667-76, 12 December 2015, para. 154, available at: </w:t>
      </w:r>
      <w:hyperlink r:id="rId3" w:history="1">
        <w:r w:rsidRPr="001D29F1">
          <w:rPr>
            <w:rStyle w:val="Hyperlink"/>
            <w:rFonts w:asciiTheme="minorHAnsi" w:hAnsiTheme="minorHAnsi"/>
            <w:sz w:val="16"/>
            <w:szCs w:val="16"/>
          </w:rPr>
          <w:t>default.aspx (coe.int)</w:t>
        </w:r>
      </w:hyperlink>
    </w:p>
  </w:footnote>
  <w:footnote w:id="5">
    <w:p w14:paraId="0B1B3ABB" w14:textId="2E9D2CC0" w:rsidR="00EB5127" w:rsidRPr="001D29F1" w:rsidRDefault="00EB5127" w:rsidP="007A18DE">
      <w:pPr>
        <w:pStyle w:val="FootnoteText"/>
        <w:ind w:left="0" w:right="0" w:firstLine="0"/>
        <w:rPr>
          <w:rFonts w:asciiTheme="minorHAnsi" w:hAnsiTheme="minorHAnsi"/>
          <w:sz w:val="16"/>
          <w:szCs w:val="16"/>
        </w:rPr>
      </w:pPr>
      <w:r w:rsidRPr="001D29F1">
        <w:rPr>
          <w:rStyle w:val="FootnoteReference"/>
          <w:rFonts w:asciiTheme="minorHAnsi" w:hAnsiTheme="minorHAnsi"/>
          <w:sz w:val="16"/>
          <w:szCs w:val="16"/>
        </w:rPr>
        <w:footnoteRef/>
      </w:r>
      <w:r w:rsidRPr="001D29F1">
        <w:rPr>
          <w:rFonts w:asciiTheme="minorHAnsi" w:hAnsiTheme="minorHAnsi"/>
          <w:sz w:val="16"/>
          <w:szCs w:val="16"/>
        </w:rPr>
        <w:t xml:space="preserve"> ‘Lawyers of Asrın Hukuk Bürosu severely hindered in assisting their clients’</w:t>
      </w:r>
      <w:r w:rsidR="004A56B8" w:rsidRPr="001D29F1">
        <w:rPr>
          <w:rFonts w:asciiTheme="minorHAnsi" w:hAnsiTheme="minorHAnsi"/>
          <w:sz w:val="16"/>
          <w:szCs w:val="16"/>
        </w:rPr>
        <w:t xml:space="preserve">, </w:t>
      </w:r>
      <w:r w:rsidRPr="001D29F1">
        <w:rPr>
          <w:rFonts w:asciiTheme="minorHAnsi" w:hAnsiTheme="minorHAnsi"/>
          <w:sz w:val="16"/>
          <w:szCs w:val="16"/>
        </w:rPr>
        <w:t>Lawyers for Lawyers, 5 April 2022</w:t>
      </w:r>
      <w:r w:rsidR="004A56B8" w:rsidRPr="001D29F1">
        <w:rPr>
          <w:rFonts w:asciiTheme="minorHAnsi" w:hAnsiTheme="minorHAnsi"/>
          <w:sz w:val="16"/>
          <w:szCs w:val="16"/>
        </w:rPr>
        <w:t>,</w:t>
      </w:r>
      <w:r w:rsidRPr="001D29F1">
        <w:rPr>
          <w:rFonts w:asciiTheme="minorHAnsi" w:hAnsiTheme="minorHAnsi"/>
          <w:sz w:val="16"/>
          <w:szCs w:val="16"/>
        </w:rPr>
        <w:t xml:space="preserve"> available at </w:t>
      </w:r>
      <w:hyperlink r:id="rId4" w:history="1">
        <w:r w:rsidR="007A18DE" w:rsidRPr="001D29F1">
          <w:rPr>
            <w:rStyle w:val="Hyperlink"/>
            <w:rFonts w:asciiTheme="minorHAnsi" w:hAnsiTheme="minorHAnsi"/>
            <w:sz w:val="16"/>
            <w:szCs w:val="16"/>
          </w:rPr>
          <w:t>https://lawyersforlawyers.org/en/lawyers-of-asrin-hukuk-burosu-severely-hindered-in-assisting-their-clients/</w:t>
        </w:r>
      </w:hyperlink>
      <w:r w:rsidRPr="001D29F1">
        <w:rPr>
          <w:rFonts w:asciiTheme="minorHAnsi" w:hAnsiTheme="minorHAnsi"/>
          <w:sz w:val="16"/>
          <w:szCs w:val="16"/>
        </w:rPr>
        <w:t>.</w:t>
      </w:r>
      <w:r w:rsidR="007A18DE" w:rsidRPr="001D29F1">
        <w:rPr>
          <w:rFonts w:asciiTheme="minorHAnsi" w:hAnsiTheme="minorHAnsi"/>
          <w:sz w:val="16"/>
          <w:szCs w:val="16"/>
        </w:rPr>
        <w:t xml:space="preserve"> </w:t>
      </w:r>
    </w:p>
  </w:footnote>
  <w:footnote w:id="6">
    <w:p w14:paraId="7B0A60D8" w14:textId="5C728CB0" w:rsidR="00EB5127" w:rsidRPr="001D29F1" w:rsidRDefault="00EB5127" w:rsidP="007A18DE">
      <w:pPr>
        <w:pStyle w:val="FootnoteText"/>
        <w:ind w:left="0" w:right="0" w:firstLine="0"/>
        <w:rPr>
          <w:rFonts w:asciiTheme="minorHAnsi" w:hAnsiTheme="minorHAnsi"/>
          <w:i/>
          <w:iCs/>
          <w:sz w:val="16"/>
          <w:szCs w:val="16"/>
        </w:rPr>
      </w:pPr>
      <w:r w:rsidRPr="001D29F1">
        <w:rPr>
          <w:rStyle w:val="FootnoteReference"/>
          <w:rFonts w:asciiTheme="minorHAnsi" w:hAnsiTheme="minorHAnsi"/>
          <w:sz w:val="16"/>
          <w:szCs w:val="16"/>
        </w:rPr>
        <w:footnoteRef/>
      </w:r>
      <w:r w:rsidRPr="001D29F1">
        <w:rPr>
          <w:rFonts w:asciiTheme="minorHAnsi" w:hAnsiTheme="minorHAnsi"/>
          <w:sz w:val="16"/>
          <w:szCs w:val="16"/>
        </w:rPr>
        <w:t xml:space="preserve"> </w:t>
      </w:r>
      <w:r w:rsidRPr="001D29F1">
        <w:rPr>
          <w:rFonts w:asciiTheme="minorHAnsi" w:hAnsiTheme="minorHAnsi"/>
          <w:i/>
          <w:iCs/>
          <w:sz w:val="16"/>
          <w:szCs w:val="16"/>
        </w:rPr>
        <w:t>Report to the Turkish Government on the visit to Turkey carried out by the European Committee on the Prevention of Torture and Inhuman or Degrading Treatment (CPT) From 6 May to 17 May</w:t>
      </w:r>
      <w:r w:rsidR="00684F76" w:rsidRPr="001D29F1">
        <w:rPr>
          <w:rFonts w:asciiTheme="minorHAnsi" w:hAnsiTheme="minorHAnsi"/>
          <w:sz w:val="16"/>
          <w:szCs w:val="16"/>
        </w:rPr>
        <w:t xml:space="preserve">, </w:t>
      </w:r>
      <w:r w:rsidRPr="001D29F1">
        <w:rPr>
          <w:rFonts w:asciiTheme="minorHAnsi" w:hAnsiTheme="minorHAnsi"/>
          <w:sz w:val="16"/>
          <w:szCs w:val="16"/>
        </w:rPr>
        <w:t>CPT/Inf (2020) 24</w:t>
      </w:r>
      <w:r w:rsidR="00684F76" w:rsidRPr="001D29F1">
        <w:rPr>
          <w:rFonts w:asciiTheme="minorHAnsi" w:hAnsiTheme="minorHAnsi"/>
          <w:sz w:val="16"/>
          <w:szCs w:val="16"/>
        </w:rPr>
        <w:t>,</w:t>
      </w:r>
      <w:r w:rsidRPr="001D29F1">
        <w:rPr>
          <w:rFonts w:asciiTheme="minorHAnsi" w:hAnsiTheme="minorHAnsi"/>
          <w:sz w:val="16"/>
          <w:szCs w:val="16"/>
        </w:rPr>
        <w:t xml:space="preserve"> available at: </w:t>
      </w:r>
      <w:hyperlink r:id="rId5" w:anchor="{%22sort%22:[%22cptdocumentdate%20descending,cptdocumentid%20ascending,cptsectionnumber%20ascending%22],%22cptstate%22:[%22TUR%22],%22cptsectionid%22:[%22p-tur-20190506-en-1%22]}" w:history="1">
        <w:r w:rsidR="006827FC" w:rsidRPr="001D29F1">
          <w:rPr>
            <w:rStyle w:val="Hyperlink"/>
            <w:rFonts w:asciiTheme="minorHAnsi" w:hAnsiTheme="minorHAnsi"/>
            <w:sz w:val="16"/>
            <w:szCs w:val="16"/>
          </w:rPr>
          <w:t>https://hudoc.cpt.coe.int/eng/#{%22sort%22:[%22cptdocumentdate%20descending,cptdocumentid%20ascending,cptsectionnumber%20ascending%22],%22cptstate%22:[%22TUR%22],%22cptsectionid%22:[%22p-tur-20190506-en-1%22]}</w:t>
        </w:r>
      </w:hyperlink>
      <w:r w:rsidRPr="001D29F1">
        <w:rPr>
          <w:rFonts w:asciiTheme="minorHAnsi" w:hAnsiTheme="minorHAnsi"/>
          <w:sz w:val="16"/>
          <w:szCs w:val="16"/>
        </w:rPr>
        <w:t>.</w:t>
      </w:r>
      <w:r w:rsidR="006827FC" w:rsidRPr="001D29F1">
        <w:rPr>
          <w:rFonts w:asciiTheme="minorHAnsi" w:hAnsiTheme="minorHAnsi"/>
          <w:sz w:val="16"/>
          <w:szCs w:val="16"/>
        </w:rPr>
        <w:t xml:space="preserve"> </w:t>
      </w:r>
    </w:p>
  </w:footnote>
  <w:footnote w:id="7">
    <w:p w14:paraId="498B798D" w14:textId="69561B34" w:rsidR="00CD2FF7" w:rsidRPr="001D29F1" w:rsidRDefault="008519B8" w:rsidP="000E50B2">
      <w:pPr>
        <w:pStyle w:val="FootnoteText"/>
        <w:tabs>
          <w:tab w:val="clear" w:pos="1021"/>
          <w:tab w:val="right" w:pos="0"/>
        </w:tabs>
        <w:ind w:left="0" w:firstLine="0"/>
        <w:rPr>
          <w:rFonts w:asciiTheme="minorHAnsi" w:hAnsiTheme="minorHAnsi" w:cs="Segoe UI"/>
          <w:sz w:val="16"/>
          <w:szCs w:val="16"/>
          <w:lang w:eastAsia="en-US"/>
        </w:rPr>
      </w:pPr>
      <w:r w:rsidRPr="001D29F1">
        <w:rPr>
          <w:rStyle w:val="FootnoteReference"/>
          <w:rFonts w:asciiTheme="minorHAnsi" w:hAnsiTheme="minorHAnsi"/>
          <w:sz w:val="16"/>
          <w:szCs w:val="16"/>
        </w:rPr>
        <w:footnoteRef/>
      </w:r>
      <w:r w:rsidRPr="001D29F1">
        <w:rPr>
          <w:rFonts w:asciiTheme="minorHAnsi" w:hAnsiTheme="minorHAnsi"/>
          <w:sz w:val="16"/>
          <w:szCs w:val="16"/>
        </w:rPr>
        <w:t xml:space="preserve"> </w:t>
      </w:r>
      <w:r w:rsidR="00552677" w:rsidRPr="001D29F1">
        <w:rPr>
          <w:rFonts w:asciiTheme="minorHAnsi" w:hAnsiTheme="minorHAnsi"/>
          <w:sz w:val="16"/>
          <w:szCs w:val="16"/>
        </w:rPr>
        <w:t>The European Court of Human Rights found violations of Article</w:t>
      </w:r>
      <w:r w:rsidR="00052D33" w:rsidRPr="001D29F1">
        <w:rPr>
          <w:rFonts w:asciiTheme="minorHAnsi" w:hAnsiTheme="minorHAnsi"/>
          <w:sz w:val="16"/>
          <w:szCs w:val="16"/>
        </w:rPr>
        <w:t>s</w:t>
      </w:r>
      <w:r w:rsidR="00552677" w:rsidRPr="001D29F1">
        <w:rPr>
          <w:rFonts w:asciiTheme="minorHAnsi" w:hAnsiTheme="minorHAnsi"/>
          <w:sz w:val="16"/>
          <w:szCs w:val="16"/>
        </w:rPr>
        <w:t xml:space="preserve"> 3</w:t>
      </w:r>
      <w:r w:rsidR="00B75A82" w:rsidRPr="001D29F1">
        <w:rPr>
          <w:rFonts w:asciiTheme="minorHAnsi" w:hAnsiTheme="minorHAnsi"/>
          <w:sz w:val="16"/>
          <w:szCs w:val="16"/>
        </w:rPr>
        <w:t xml:space="preserve">, </w:t>
      </w:r>
      <w:r w:rsidR="00052D33" w:rsidRPr="001D29F1">
        <w:rPr>
          <w:rFonts w:asciiTheme="minorHAnsi" w:hAnsiTheme="minorHAnsi"/>
          <w:sz w:val="16"/>
          <w:szCs w:val="16"/>
        </w:rPr>
        <w:t>5(4)</w:t>
      </w:r>
      <w:r w:rsidR="00B75A82" w:rsidRPr="001D29F1">
        <w:rPr>
          <w:rFonts w:asciiTheme="minorHAnsi" w:hAnsiTheme="minorHAnsi"/>
          <w:sz w:val="16"/>
          <w:szCs w:val="16"/>
        </w:rPr>
        <w:t xml:space="preserve"> and 6</w:t>
      </w:r>
      <w:r w:rsidR="00052D33" w:rsidRPr="001D29F1">
        <w:rPr>
          <w:rFonts w:asciiTheme="minorHAnsi" w:hAnsiTheme="minorHAnsi"/>
          <w:sz w:val="16"/>
          <w:szCs w:val="16"/>
        </w:rPr>
        <w:t xml:space="preserve"> </w:t>
      </w:r>
      <w:r w:rsidR="00552677" w:rsidRPr="001D29F1">
        <w:rPr>
          <w:rFonts w:asciiTheme="minorHAnsi" w:hAnsiTheme="minorHAnsi"/>
          <w:sz w:val="16"/>
          <w:szCs w:val="16"/>
        </w:rPr>
        <w:t xml:space="preserve">of the European Convention on Human Rights, inter alia, due to the restrictions on access to lawyers for Mr Öcalan, see </w:t>
      </w:r>
      <w:r w:rsidR="00552677" w:rsidRPr="001D29F1">
        <w:rPr>
          <w:rFonts w:asciiTheme="minorHAnsi" w:hAnsiTheme="minorHAnsi" w:cs="Segoe UI"/>
          <w:i/>
          <w:iCs/>
          <w:sz w:val="16"/>
          <w:szCs w:val="16"/>
          <w:lang w:eastAsia="en-US"/>
        </w:rPr>
        <w:t xml:space="preserve">Öcalan v Turkey (no. 1), </w:t>
      </w:r>
      <w:r w:rsidR="00227F31" w:rsidRPr="001D29F1">
        <w:rPr>
          <w:rFonts w:asciiTheme="minorHAnsi" w:hAnsiTheme="minorHAnsi" w:cs="Segoe UI"/>
          <w:sz w:val="16"/>
          <w:szCs w:val="16"/>
          <w:lang w:eastAsia="en-US"/>
        </w:rPr>
        <w:t>Application no. 46221/99</w:t>
      </w:r>
      <w:r w:rsidR="00CD2FF7" w:rsidRPr="001D29F1">
        <w:rPr>
          <w:rFonts w:asciiTheme="minorHAnsi" w:hAnsiTheme="minorHAnsi" w:cs="Segoe UI"/>
          <w:sz w:val="16"/>
          <w:szCs w:val="16"/>
          <w:lang w:eastAsia="en-US"/>
        </w:rPr>
        <w:t xml:space="preserve"> (2005)</w:t>
      </w:r>
      <w:r w:rsidR="00227F31" w:rsidRPr="001D29F1">
        <w:rPr>
          <w:rFonts w:asciiTheme="minorHAnsi" w:hAnsiTheme="minorHAnsi" w:cs="Segoe UI"/>
          <w:sz w:val="16"/>
          <w:szCs w:val="16"/>
          <w:lang w:eastAsia="en-US"/>
        </w:rPr>
        <w:t>,</w:t>
      </w:r>
      <w:r w:rsidR="00227F31" w:rsidRPr="001D29F1">
        <w:rPr>
          <w:rFonts w:asciiTheme="minorHAnsi" w:hAnsiTheme="minorHAnsi" w:cs="Segoe UI"/>
          <w:i/>
          <w:iCs/>
          <w:sz w:val="16"/>
          <w:szCs w:val="16"/>
          <w:lang w:eastAsia="en-US"/>
        </w:rPr>
        <w:t xml:space="preserve"> </w:t>
      </w:r>
      <w:r w:rsidR="00552677" w:rsidRPr="001D29F1">
        <w:rPr>
          <w:rFonts w:asciiTheme="minorHAnsi" w:hAnsiTheme="minorHAnsi" w:cs="Segoe UI"/>
          <w:sz w:val="16"/>
          <w:szCs w:val="16"/>
          <w:lang w:eastAsia="en-US"/>
        </w:rPr>
        <w:t>available at:</w:t>
      </w:r>
      <w:r w:rsidR="005465BA" w:rsidRPr="001D29F1">
        <w:rPr>
          <w:rFonts w:asciiTheme="minorHAnsi" w:hAnsiTheme="minorHAnsi" w:cs="Segoe UI"/>
          <w:sz w:val="16"/>
          <w:szCs w:val="16"/>
          <w:lang w:eastAsia="en-US"/>
        </w:rPr>
        <w:t xml:space="preserve"> </w:t>
      </w:r>
      <w:hyperlink r:id="rId6" w:history="1">
        <w:r w:rsidR="005465BA" w:rsidRPr="001D29F1">
          <w:rPr>
            <w:rStyle w:val="Hyperlink"/>
            <w:rFonts w:asciiTheme="minorHAnsi" w:hAnsiTheme="minorHAnsi" w:cs="Segoe UI"/>
            <w:sz w:val="16"/>
            <w:szCs w:val="16"/>
            <w:lang w:eastAsia="en-US"/>
          </w:rPr>
          <w:t>https://hudoc.echr.coe.int/eng?i=001-69022</w:t>
        </w:r>
      </w:hyperlink>
      <w:r w:rsidR="005465BA" w:rsidRPr="001D29F1">
        <w:rPr>
          <w:rFonts w:asciiTheme="minorHAnsi" w:hAnsiTheme="minorHAnsi" w:cs="Segoe UI"/>
          <w:sz w:val="16"/>
          <w:szCs w:val="16"/>
          <w:lang w:eastAsia="en-US"/>
        </w:rPr>
        <w:t xml:space="preserve">; </w:t>
      </w:r>
      <w:r w:rsidR="00552677" w:rsidRPr="001D29F1">
        <w:rPr>
          <w:rFonts w:asciiTheme="minorHAnsi" w:hAnsiTheme="minorHAnsi" w:cs="Segoe UI"/>
          <w:i/>
          <w:iCs/>
          <w:sz w:val="16"/>
          <w:szCs w:val="16"/>
          <w:lang w:eastAsia="en-US"/>
        </w:rPr>
        <w:t>Öcalan v Turkey (no. 2),</w:t>
      </w:r>
      <w:r w:rsidR="000E50B2" w:rsidRPr="001D29F1">
        <w:rPr>
          <w:rFonts w:asciiTheme="minorHAnsi" w:hAnsiTheme="minorHAnsi" w:cs="Segoe UI"/>
          <w:i/>
          <w:iCs/>
          <w:sz w:val="16"/>
          <w:szCs w:val="16"/>
          <w:lang w:eastAsia="en-US"/>
        </w:rPr>
        <w:t xml:space="preserve"> </w:t>
      </w:r>
      <w:r w:rsidR="00E140E0" w:rsidRPr="001D29F1">
        <w:rPr>
          <w:rFonts w:asciiTheme="minorHAnsi" w:hAnsiTheme="minorHAnsi" w:cs="Segoe UI"/>
          <w:sz w:val="16"/>
          <w:szCs w:val="16"/>
          <w:lang w:eastAsia="en-US"/>
        </w:rPr>
        <w:t>Applications nos. 24069/03, 197/04, 6201/06 and 10464/07</w:t>
      </w:r>
      <w:r w:rsidR="00142494" w:rsidRPr="001D29F1">
        <w:rPr>
          <w:rFonts w:asciiTheme="minorHAnsi" w:hAnsiTheme="minorHAnsi" w:cs="Segoe UI"/>
          <w:sz w:val="16"/>
          <w:szCs w:val="16"/>
          <w:lang w:eastAsia="en-US"/>
        </w:rPr>
        <w:t xml:space="preserve"> (2014)</w:t>
      </w:r>
      <w:r w:rsidR="000E50B2" w:rsidRPr="001D29F1">
        <w:rPr>
          <w:rFonts w:asciiTheme="minorHAnsi" w:hAnsiTheme="minorHAnsi" w:cs="Segoe UI"/>
          <w:sz w:val="16"/>
          <w:szCs w:val="16"/>
          <w:lang w:eastAsia="en-US"/>
        </w:rPr>
        <w:t xml:space="preserve">, </w:t>
      </w:r>
      <w:r w:rsidR="005A1924" w:rsidRPr="001D29F1">
        <w:rPr>
          <w:rFonts w:asciiTheme="minorHAnsi" w:hAnsiTheme="minorHAnsi" w:cs="Segoe UI"/>
          <w:i/>
          <w:iCs/>
          <w:sz w:val="16"/>
          <w:szCs w:val="16"/>
          <w:lang w:eastAsia="en-US"/>
        </w:rPr>
        <w:t xml:space="preserve"> </w:t>
      </w:r>
      <w:r w:rsidR="00552677" w:rsidRPr="001D29F1">
        <w:rPr>
          <w:rFonts w:asciiTheme="minorHAnsi" w:hAnsiTheme="minorHAnsi" w:cs="Segoe UI"/>
          <w:sz w:val="16"/>
          <w:szCs w:val="16"/>
          <w:lang w:eastAsia="en-US"/>
        </w:rPr>
        <w:t>paras. 131-135, 146, available at:</w:t>
      </w:r>
      <w:r w:rsidR="00552677" w:rsidRPr="001D29F1">
        <w:rPr>
          <w:rFonts w:asciiTheme="minorHAnsi" w:hAnsiTheme="minorHAnsi" w:cs="Segoe UI"/>
          <w:i/>
          <w:iCs/>
          <w:sz w:val="16"/>
          <w:szCs w:val="16"/>
          <w:lang w:eastAsia="en-US"/>
        </w:rPr>
        <w:t xml:space="preserve"> </w:t>
      </w:r>
      <w:hyperlink r:id="rId7" w:history="1">
        <w:r w:rsidR="00CD2FF7" w:rsidRPr="001D29F1">
          <w:rPr>
            <w:rStyle w:val="Hyperlink"/>
            <w:rFonts w:asciiTheme="minorHAnsi" w:hAnsiTheme="minorHAnsi" w:cs="Segoe UI"/>
            <w:sz w:val="16"/>
            <w:szCs w:val="16"/>
            <w:lang w:eastAsia="en-US"/>
          </w:rPr>
          <w:t>https://hudoc.echr.coe.int/eng?i=001-142087</w:t>
        </w:r>
      </w:hyperlink>
    </w:p>
  </w:footnote>
  <w:footnote w:id="8">
    <w:p w14:paraId="7667A29E" w14:textId="563D96F7" w:rsidR="00FD7E4D" w:rsidRPr="001D29F1" w:rsidRDefault="00FD7E4D" w:rsidP="007A18DE">
      <w:pPr>
        <w:pStyle w:val="FootnoteText"/>
        <w:spacing w:line="240" w:lineRule="auto"/>
        <w:ind w:left="0" w:right="0" w:firstLine="0"/>
        <w:rPr>
          <w:rFonts w:asciiTheme="minorHAnsi" w:hAnsiTheme="minorHAnsi"/>
          <w:sz w:val="16"/>
          <w:szCs w:val="16"/>
        </w:rPr>
      </w:pPr>
      <w:r w:rsidRPr="001D29F1">
        <w:rPr>
          <w:rStyle w:val="FootnoteReference"/>
          <w:rFonts w:asciiTheme="minorHAnsi" w:hAnsiTheme="minorHAnsi"/>
          <w:sz w:val="16"/>
          <w:szCs w:val="16"/>
        </w:rPr>
        <w:footnoteRef/>
      </w:r>
      <w:r w:rsidRPr="001D29F1">
        <w:rPr>
          <w:rFonts w:asciiTheme="minorHAnsi" w:hAnsiTheme="minorHAnsi"/>
          <w:sz w:val="16"/>
          <w:szCs w:val="16"/>
        </w:rPr>
        <w:t xml:space="preserve"> </w:t>
      </w:r>
      <w:r w:rsidRPr="001D29F1">
        <w:rPr>
          <w:rFonts w:asciiTheme="minorHAnsi" w:hAnsiTheme="minorHAnsi"/>
          <w:i/>
          <w:iCs/>
          <w:sz w:val="16"/>
          <w:szCs w:val="16"/>
        </w:rPr>
        <w:t>Mammadov (Jalaloglu) v Azerbaijan</w:t>
      </w:r>
      <w:r w:rsidRPr="001D29F1">
        <w:rPr>
          <w:rFonts w:asciiTheme="minorHAnsi" w:hAnsiTheme="minorHAnsi"/>
          <w:sz w:val="16"/>
          <w:szCs w:val="16"/>
        </w:rPr>
        <w:t xml:space="preserve">, European Court of Human Rights Application no. 34445/04 (2007), para. 62. </w:t>
      </w:r>
    </w:p>
  </w:footnote>
  <w:footnote w:id="9">
    <w:p w14:paraId="5D2798AA" w14:textId="52BDABBA" w:rsidR="00D64762" w:rsidRPr="001D29F1" w:rsidRDefault="00D64762" w:rsidP="007A18DE">
      <w:pPr>
        <w:autoSpaceDE w:val="0"/>
        <w:autoSpaceDN w:val="0"/>
        <w:adjustRightInd w:val="0"/>
        <w:spacing w:before="0" w:after="0"/>
        <w:rPr>
          <w:sz w:val="16"/>
          <w:szCs w:val="16"/>
        </w:rPr>
      </w:pPr>
      <w:r w:rsidRPr="001D29F1">
        <w:rPr>
          <w:rStyle w:val="FootnoteReference"/>
          <w:rFonts w:asciiTheme="minorHAnsi" w:hAnsiTheme="minorHAnsi"/>
          <w:sz w:val="16"/>
          <w:szCs w:val="16"/>
        </w:rPr>
        <w:footnoteRef/>
      </w:r>
      <w:r w:rsidRPr="001D29F1">
        <w:rPr>
          <w:sz w:val="16"/>
          <w:szCs w:val="16"/>
        </w:rPr>
        <w:t xml:space="preserve"> </w:t>
      </w:r>
      <w:r w:rsidRPr="001D29F1">
        <w:rPr>
          <w:rFonts w:cs="CIDFont+F1"/>
          <w:sz w:val="16"/>
          <w:szCs w:val="16"/>
        </w:rPr>
        <w:t xml:space="preserve">Article 135 </w:t>
      </w:r>
      <w:r w:rsidR="001513C2" w:rsidRPr="001D29F1">
        <w:rPr>
          <w:rFonts w:cs="CIDFont+F2"/>
          <w:sz w:val="16"/>
          <w:szCs w:val="16"/>
        </w:rPr>
        <w:t>of the Constitution states:</w:t>
      </w:r>
      <w:r w:rsidRPr="001D29F1">
        <w:rPr>
          <w:rFonts w:cs="CIDFont+F2"/>
          <w:sz w:val="16"/>
          <w:szCs w:val="16"/>
        </w:rPr>
        <w:t xml:space="preserve"> </w:t>
      </w:r>
      <w:r w:rsidRPr="001D29F1">
        <w:rPr>
          <w:rFonts w:cs="CIDFont+F1"/>
          <w:sz w:val="16"/>
          <w:szCs w:val="16"/>
        </w:rPr>
        <w:t>Professional organizations having the characteristics of public institutions and their</w:t>
      </w:r>
      <w:r w:rsidR="001513C2" w:rsidRPr="001D29F1">
        <w:rPr>
          <w:rFonts w:cs="CIDFont+F1"/>
          <w:sz w:val="16"/>
          <w:szCs w:val="16"/>
        </w:rPr>
        <w:t xml:space="preserve"> </w:t>
      </w:r>
      <w:r w:rsidRPr="001D29F1">
        <w:rPr>
          <w:rFonts w:cs="CIDFont+F1"/>
          <w:sz w:val="16"/>
          <w:szCs w:val="16"/>
        </w:rPr>
        <w:t>higher bodies are public corporate bodies established by law, with the objectives of meeting the</w:t>
      </w:r>
      <w:r w:rsidR="001513C2" w:rsidRPr="001D29F1">
        <w:rPr>
          <w:rFonts w:cs="CIDFont+F1"/>
          <w:sz w:val="16"/>
          <w:szCs w:val="16"/>
        </w:rPr>
        <w:t xml:space="preserve"> </w:t>
      </w:r>
      <w:r w:rsidRPr="001D29F1">
        <w:rPr>
          <w:rFonts w:cs="CIDFont+F1"/>
          <w:sz w:val="16"/>
          <w:szCs w:val="16"/>
        </w:rPr>
        <w:t>common needs of the members of a given profession, to facilitate their professional activities, to ensure</w:t>
      </w:r>
      <w:r w:rsidR="001513C2" w:rsidRPr="001D29F1">
        <w:rPr>
          <w:rFonts w:cs="CIDFont+F1"/>
          <w:sz w:val="16"/>
          <w:szCs w:val="16"/>
        </w:rPr>
        <w:t xml:space="preserve"> </w:t>
      </w:r>
      <w:r w:rsidRPr="001D29F1">
        <w:rPr>
          <w:rFonts w:cs="CIDFont+F1"/>
          <w:sz w:val="16"/>
          <w:szCs w:val="16"/>
        </w:rPr>
        <w:t>the development of the profession in keeping with common interests, to safeguard professional</w:t>
      </w:r>
      <w:r w:rsidR="001513C2" w:rsidRPr="001D29F1">
        <w:rPr>
          <w:rFonts w:cs="CIDFont+F1"/>
          <w:sz w:val="16"/>
          <w:szCs w:val="16"/>
        </w:rPr>
        <w:t xml:space="preserve"> </w:t>
      </w:r>
      <w:r w:rsidRPr="001D29F1">
        <w:rPr>
          <w:rFonts w:cs="CIDFont+F1"/>
          <w:sz w:val="16"/>
          <w:szCs w:val="16"/>
        </w:rPr>
        <w:t>discipline and ethics in order to ensure integrity and trust in relations among its members and with the</w:t>
      </w:r>
      <w:r w:rsidR="001513C2" w:rsidRPr="001D29F1">
        <w:rPr>
          <w:rFonts w:cs="CIDFont+F1"/>
          <w:sz w:val="16"/>
          <w:szCs w:val="16"/>
        </w:rPr>
        <w:t xml:space="preserve"> </w:t>
      </w:r>
      <w:r w:rsidRPr="001D29F1">
        <w:rPr>
          <w:rFonts w:cs="CIDFont+F1"/>
          <w:sz w:val="16"/>
          <w:szCs w:val="16"/>
        </w:rPr>
        <w:t>public; their organs shall be elected by secret ballot by their members in accordance with the procedure</w:t>
      </w:r>
      <w:r w:rsidR="001513C2" w:rsidRPr="001D29F1">
        <w:rPr>
          <w:rFonts w:cs="CIDFont+F1"/>
          <w:sz w:val="16"/>
          <w:szCs w:val="16"/>
        </w:rPr>
        <w:t xml:space="preserve"> </w:t>
      </w:r>
      <w:r w:rsidRPr="001D29F1">
        <w:rPr>
          <w:rFonts w:cs="CIDFont+F1"/>
          <w:sz w:val="16"/>
          <w:szCs w:val="16"/>
        </w:rPr>
        <w:t xml:space="preserve">set forth in the law, and under judicial supervision. </w:t>
      </w:r>
    </w:p>
  </w:footnote>
  <w:footnote w:id="10">
    <w:p w14:paraId="70095A3E" w14:textId="03766065" w:rsidR="00D64762" w:rsidRPr="001D29F1" w:rsidRDefault="00D64762" w:rsidP="007A18DE">
      <w:pPr>
        <w:autoSpaceDE w:val="0"/>
        <w:autoSpaceDN w:val="0"/>
        <w:adjustRightInd w:val="0"/>
        <w:spacing w:before="0" w:after="0"/>
        <w:rPr>
          <w:sz w:val="16"/>
          <w:szCs w:val="16"/>
        </w:rPr>
      </w:pPr>
      <w:r w:rsidRPr="001D29F1">
        <w:rPr>
          <w:rStyle w:val="FootnoteReference"/>
          <w:rFonts w:asciiTheme="minorHAnsi" w:hAnsiTheme="minorHAnsi"/>
          <w:sz w:val="16"/>
          <w:szCs w:val="16"/>
        </w:rPr>
        <w:footnoteRef/>
      </w:r>
      <w:r w:rsidRPr="001D29F1">
        <w:rPr>
          <w:sz w:val="16"/>
          <w:szCs w:val="16"/>
        </w:rPr>
        <w:t xml:space="preserve"> </w:t>
      </w:r>
      <w:hyperlink r:id="rId8" w:history="1">
        <w:r w:rsidR="006D7969" w:rsidRPr="001D29F1">
          <w:rPr>
            <w:rStyle w:val="Hyperlink"/>
            <w:rFonts w:asciiTheme="minorHAnsi" w:hAnsiTheme="minorHAnsi" w:cs="CIDFont+F1"/>
            <w:sz w:val="16"/>
            <w:szCs w:val="16"/>
          </w:rPr>
          <w:t>https://arrestedlawyers.org/2018/09/24/erdogan-gets-infinite-authority-over-the-national-and-provincial-bar-associations/</w:t>
        </w:r>
      </w:hyperlink>
      <w:r w:rsidR="006D7969" w:rsidRPr="001D29F1">
        <w:rPr>
          <w:rFonts w:cs="CIDFont+F1"/>
          <w:color w:val="0000FF"/>
          <w:sz w:val="16"/>
          <w:szCs w:val="16"/>
        </w:rPr>
        <w:t xml:space="preserve"> </w:t>
      </w:r>
    </w:p>
  </w:footnote>
  <w:footnote w:id="11">
    <w:p w14:paraId="3478EEE0" w14:textId="3D4D619D" w:rsidR="004C43C6" w:rsidRPr="001D29F1" w:rsidRDefault="004C43C6" w:rsidP="007A18DE">
      <w:pPr>
        <w:autoSpaceDE w:val="0"/>
        <w:autoSpaceDN w:val="0"/>
        <w:adjustRightInd w:val="0"/>
        <w:spacing w:before="0" w:after="0"/>
        <w:rPr>
          <w:sz w:val="16"/>
          <w:szCs w:val="16"/>
        </w:rPr>
      </w:pPr>
      <w:r w:rsidRPr="001D29F1">
        <w:rPr>
          <w:rStyle w:val="FootnoteReference"/>
          <w:rFonts w:asciiTheme="minorHAnsi" w:hAnsiTheme="minorHAnsi"/>
          <w:sz w:val="16"/>
          <w:szCs w:val="16"/>
        </w:rPr>
        <w:footnoteRef/>
      </w:r>
      <w:r w:rsidRPr="001D29F1">
        <w:rPr>
          <w:sz w:val="16"/>
          <w:szCs w:val="16"/>
        </w:rPr>
        <w:t xml:space="preserve"> </w:t>
      </w:r>
      <w:r w:rsidR="00F02477" w:rsidRPr="001D29F1">
        <w:rPr>
          <w:rFonts w:cs="CIDFont+F1"/>
          <w:sz w:val="16"/>
          <w:szCs w:val="16"/>
        </w:rPr>
        <w:t>A/73/365,</w:t>
      </w:r>
      <w:r w:rsidR="006D7969" w:rsidRPr="001D29F1">
        <w:rPr>
          <w:rFonts w:cs="CIDFont+F1"/>
          <w:sz w:val="16"/>
          <w:szCs w:val="16"/>
        </w:rPr>
        <w:t xml:space="preserve"> para</w:t>
      </w:r>
      <w:r w:rsidR="00F02477" w:rsidRPr="001D29F1">
        <w:rPr>
          <w:rFonts w:cs="CIDFont+F1"/>
          <w:sz w:val="16"/>
          <w:szCs w:val="16"/>
        </w:rPr>
        <w:t>.</w:t>
      </w:r>
      <w:r w:rsidR="007A18DE" w:rsidRPr="001D29F1">
        <w:rPr>
          <w:rFonts w:cs="CIDFont+F1"/>
          <w:sz w:val="16"/>
          <w:szCs w:val="16"/>
        </w:rPr>
        <w:t xml:space="preserve"> </w:t>
      </w:r>
      <w:r w:rsidR="00F02477" w:rsidRPr="001D29F1">
        <w:rPr>
          <w:rFonts w:cs="CIDFont+F1"/>
          <w:sz w:val="16"/>
          <w:szCs w:val="16"/>
        </w:rPr>
        <w:t xml:space="preserve">36. </w:t>
      </w:r>
    </w:p>
  </w:footnote>
  <w:footnote w:id="12">
    <w:p w14:paraId="7BAE20ED" w14:textId="351DCE78" w:rsidR="00791387" w:rsidRPr="001D29F1" w:rsidRDefault="00791387" w:rsidP="007A18DE">
      <w:pPr>
        <w:pStyle w:val="FootnoteText"/>
        <w:ind w:left="0" w:right="0" w:firstLine="0"/>
        <w:rPr>
          <w:rFonts w:asciiTheme="minorHAnsi" w:hAnsiTheme="minorHAnsi"/>
          <w:sz w:val="16"/>
          <w:szCs w:val="16"/>
        </w:rPr>
      </w:pPr>
      <w:r w:rsidRPr="001D29F1">
        <w:rPr>
          <w:rFonts w:asciiTheme="minorHAnsi" w:hAnsiTheme="minorHAnsi" w:cs="CIDFont+F1"/>
          <w:sz w:val="16"/>
          <w:szCs w:val="16"/>
          <w:vertAlign w:val="superscript"/>
          <w:lang w:eastAsia="en-US"/>
        </w:rPr>
        <w:footnoteRef/>
      </w:r>
      <w:r w:rsidR="0058491C" w:rsidRPr="001D29F1">
        <w:rPr>
          <w:rFonts w:asciiTheme="minorHAnsi" w:hAnsiTheme="minorHAnsi" w:cs="CIDFont+F1"/>
          <w:sz w:val="16"/>
          <w:szCs w:val="16"/>
          <w:vertAlign w:val="superscript"/>
          <w:lang w:eastAsia="en-US"/>
        </w:rPr>
        <w:t xml:space="preserve"> </w:t>
      </w:r>
      <w:r w:rsidR="0058491C" w:rsidRPr="001D29F1">
        <w:rPr>
          <w:rFonts w:asciiTheme="minorHAnsi" w:hAnsiTheme="minorHAnsi" w:cs="CIDFont+F1"/>
          <w:sz w:val="16"/>
          <w:szCs w:val="16"/>
          <w:lang w:eastAsia="en-US"/>
        </w:rPr>
        <w:t xml:space="preserve">Benan Molu and İdil Özcan, </w:t>
      </w:r>
      <w:r w:rsidR="0058491C" w:rsidRPr="001D29F1">
        <w:rPr>
          <w:rFonts w:asciiTheme="minorHAnsi" w:hAnsiTheme="minorHAnsi" w:cs="CIDFont+F1"/>
          <w:i/>
          <w:iCs/>
          <w:sz w:val="16"/>
          <w:szCs w:val="16"/>
          <w:lang w:eastAsia="en-US"/>
        </w:rPr>
        <w:t>Stifling Lawyers and Bar Associations:</w:t>
      </w:r>
      <w:r w:rsidR="00926E66" w:rsidRPr="001D29F1">
        <w:rPr>
          <w:rFonts w:asciiTheme="minorHAnsi" w:hAnsiTheme="minorHAnsi" w:cs="CIDFont+F1"/>
          <w:i/>
          <w:iCs/>
          <w:sz w:val="16"/>
          <w:szCs w:val="16"/>
          <w:lang w:eastAsia="en-US"/>
        </w:rPr>
        <w:t xml:space="preserve"> </w:t>
      </w:r>
      <w:r w:rsidR="0058491C" w:rsidRPr="001D29F1">
        <w:rPr>
          <w:rFonts w:asciiTheme="minorHAnsi" w:hAnsiTheme="minorHAnsi" w:cs="CIDFont+F1"/>
          <w:i/>
          <w:iCs/>
          <w:sz w:val="16"/>
          <w:szCs w:val="16"/>
          <w:lang w:eastAsia="en-US"/>
        </w:rPr>
        <w:t>Restrictions undermining the right</w:t>
      </w:r>
      <w:r w:rsidR="00926E66" w:rsidRPr="001D29F1">
        <w:rPr>
          <w:rFonts w:asciiTheme="minorHAnsi" w:hAnsiTheme="minorHAnsi" w:cs="CIDFont+F1"/>
          <w:i/>
          <w:iCs/>
          <w:sz w:val="16"/>
          <w:szCs w:val="16"/>
          <w:lang w:eastAsia="en-US"/>
        </w:rPr>
        <w:t xml:space="preserve"> </w:t>
      </w:r>
      <w:r w:rsidR="0058491C" w:rsidRPr="001D29F1">
        <w:rPr>
          <w:rFonts w:asciiTheme="minorHAnsi" w:hAnsiTheme="minorHAnsi" w:cs="CIDFont+F1"/>
          <w:i/>
          <w:iCs/>
          <w:sz w:val="16"/>
          <w:szCs w:val="16"/>
          <w:lang w:eastAsia="en-US"/>
        </w:rPr>
        <w:t>to</w:t>
      </w:r>
      <w:r w:rsidR="00926E66" w:rsidRPr="001D29F1">
        <w:rPr>
          <w:rFonts w:asciiTheme="minorHAnsi" w:hAnsiTheme="minorHAnsi" w:cs="CIDFont+F1"/>
          <w:i/>
          <w:iCs/>
          <w:sz w:val="16"/>
          <w:szCs w:val="16"/>
          <w:lang w:eastAsia="en-US"/>
        </w:rPr>
        <w:t xml:space="preserve"> l</w:t>
      </w:r>
      <w:r w:rsidR="0058491C" w:rsidRPr="001D29F1">
        <w:rPr>
          <w:rFonts w:asciiTheme="minorHAnsi" w:hAnsiTheme="minorHAnsi" w:cs="CIDFont+F1"/>
          <w:i/>
          <w:iCs/>
          <w:sz w:val="16"/>
          <w:szCs w:val="16"/>
          <w:lang w:eastAsia="en-US"/>
        </w:rPr>
        <w:t xml:space="preserve">egal defense in </w:t>
      </w:r>
      <w:proofErr w:type="gramStart"/>
      <w:r w:rsidR="0058491C" w:rsidRPr="001D29F1">
        <w:rPr>
          <w:rFonts w:asciiTheme="minorHAnsi" w:hAnsiTheme="minorHAnsi" w:cs="CIDFont+F1"/>
          <w:i/>
          <w:iCs/>
          <w:sz w:val="16"/>
          <w:szCs w:val="16"/>
          <w:lang w:eastAsia="en-US"/>
        </w:rPr>
        <w:t>Turkey</w:t>
      </w:r>
      <w:proofErr w:type="gramEnd"/>
      <w:r w:rsidR="0058491C" w:rsidRPr="001D29F1">
        <w:rPr>
          <w:rFonts w:asciiTheme="minorHAnsi" w:hAnsiTheme="minorHAnsi" w:cs="CIDFont+F1"/>
          <w:sz w:val="16"/>
          <w:szCs w:val="16"/>
          <w:lang w:eastAsia="en-US"/>
        </w:rPr>
        <w:t>, March 2021</w:t>
      </w:r>
      <w:r w:rsidR="003A6F2B" w:rsidRPr="001D29F1">
        <w:rPr>
          <w:rFonts w:asciiTheme="minorHAnsi" w:hAnsiTheme="minorHAnsi" w:cs="CIDFont+F1"/>
          <w:sz w:val="16"/>
          <w:szCs w:val="16"/>
          <w:lang w:eastAsia="en-US"/>
        </w:rPr>
        <w:t>, p.3</w:t>
      </w:r>
      <w:r w:rsidR="00926E66" w:rsidRPr="001D29F1">
        <w:rPr>
          <w:rFonts w:asciiTheme="minorHAnsi" w:hAnsiTheme="minorHAnsi" w:cs="CIDFont+F1"/>
          <w:sz w:val="16"/>
          <w:szCs w:val="16"/>
          <w:lang w:eastAsia="en-US"/>
        </w:rPr>
        <w:t xml:space="preserve">. </w:t>
      </w:r>
      <w:hyperlink r:id="rId9" w:history="1">
        <w:r w:rsidR="00402033" w:rsidRPr="001D29F1">
          <w:rPr>
            <w:rStyle w:val="Hyperlink"/>
            <w:rFonts w:asciiTheme="minorHAnsi" w:hAnsiTheme="minorHAnsi"/>
            <w:sz w:val="16"/>
            <w:szCs w:val="16"/>
          </w:rPr>
          <w:t>https://freedomhouse.org/sites/default/files/2021-03/03312021_Freedom_House_Turkey_Policy_Brief-1-Stifling-Lawyers-and-Bar-Associations.pdf</w:t>
        </w:r>
      </w:hyperlink>
      <w:proofErr w:type="gramStart"/>
      <w:r w:rsidR="00926E66" w:rsidRPr="001D29F1">
        <w:rPr>
          <w:rFonts w:asciiTheme="minorHAnsi" w:hAnsiTheme="minorHAnsi"/>
          <w:sz w:val="16"/>
          <w:szCs w:val="16"/>
        </w:rPr>
        <w:t>.</w:t>
      </w:r>
      <w:r w:rsidR="00402033" w:rsidRPr="001D29F1">
        <w:rPr>
          <w:rFonts w:asciiTheme="minorHAnsi" w:hAnsiTheme="minorHAnsi"/>
          <w:sz w:val="16"/>
          <w:szCs w:val="16"/>
        </w:rPr>
        <w:t xml:space="preserve"> </w:t>
      </w:r>
      <w:r w:rsidR="00F07BAB" w:rsidRPr="001D29F1">
        <w:rPr>
          <w:rFonts w:asciiTheme="minorHAnsi" w:hAnsiTheme="minorHAnsi"/>
          <w:sz w:val="16"/>
          <w:szCs w:val="16"/>
        </w:rPr>
        <w:t xml:space="preserve"> </w:t>
      </w:r>
      <w:proofErr w:type="gramEnd"/>
    </w:p>
  </w:footnote>
  <w:footnote w:id="13">
    <w:p w14:paraId="44BDAACF" w14:textId="7C72CEE0" w:rsidR="00393243" w:rsidRPr="001D29F1" w:rsidRDefault="00393243" w:rsidP="007A18DE">
      <w:pPr>
        <w:autoSpaceDE w:val="0"/>
        <w:autoSpaceDN w:val="0"/>
        <w:adjustRightInd w:val="0"/>
        <w:spacing w:before="0" w:after="0"/>
        <w:rPr>
          <w:sz w:val="16"/>
          <w:szCs w:val="16"/>
        </w:rPr>
      </w:pPr>
      <w:r w:rsidRPr="001D29F1">
        <w:rPr>
          <w:rStyle w:val="FootnoteReference"/>
          <w:rFonts w:asciiTheme="minorHAnsi" w:hAnsiTheme="minorHAnsi"/>
          <w:sz w:val="16"/>
          <w:szCs w:val="16"/>
        </w:rPr>
        <w:footnoteRef/>
      </w:r>
      <w:r w:rsidRPr="001D29F1">
        <w:rPr>
          <w:sz w:val="16"/>
          <w:szCs w:val="16"/>
        </w:rPr>
        <w:t xml:space="preserve"> </w:t>
      </w:r>
      <w:r w:rsidR="004E3CA5" w:rsidRPr="001D29F1">
        <w:rPr>
          <w:rFonts w:cs="CIDFont+F1"/>
          <w:sz w:val="16"/>
          <w:szCs w:val="16"/>
        </w:rPr>
        <w:t>For example, after</w:t>
      </w:r>
      <w:r w:rsidRPr="001D29F1">
        <w:rPr>
          <w:rFonts w:cs="CIDFont+F1"/>
          <w:sz w:val="16"/>
          <w:szCs w:val="16"/>
        </w:rPr>
        <w:t xml:space="preserve"> Law no. 7249 a provincial bar association with less than 100 lawyers</w:t>
      </w:r>
      <w:r w:rsidR="004D79FE" w:rsidRPr="001D29F1">
        <w:rPr>
          <w:rFonts w:cs="CIDFont+F1"/>
          <w:sz w:val="16"/>
          <w:szCs w:val="16"/>
        </w:rPr>
        <w:t xml:space="preserve"> </w:t>
      </w:r>
      <w:r w:rsidRPr="001D29F1">
        <w:rPr>
          <w:rFonts w:cs="CIDFont+F1"/>
          <w:sz w:val="16"/>
          <w:szCs w:val="16"/>
        </w:rPr>
        <w:t>such as Ardahan in northeastern Turkey will be able to send 4 delegates, where it used to be able to send 3,</w:t>
      </w:r>
      <w:r w:rsidR="00CC0197" w:rsidRPr="001D29F1">
        <w:rPr>
          <w:rFonts w:cs="CIDFont+F1"/>
          <w:sz w:val="16"/>
          <w:szCs w:val="16"/>
        </w:rPr>
        <w:t xml:space="preserve"> </w:t>
      </w:r>
      <w:r w:rsidRPr="001D29F1">
        <w:rPr>
          <w:rFonts w:cs="CIDFont+F1"/>
          <w:sz w:val="16"/>
          <w:szCs w:val="16"/>
        </w:rPr>
        <w:t>but a bar association like Izmir in western Turkey with over 9</w:t>
      </w:r>
      <w:r w:rsidR="00CC0197" w:rsidRPr="001D29F1">
        <w:rPr>
          <w:rFonts w:cs="CIDFont+F1"/>
          <w:sz w:val="16"/>
          <w:szCs w:val="16"/>
        </w:rPr>
        <w:t>,</w:t>
      </w:r>
      <w:r w:rsidRPr="001D29F1">
        <w:rPr>
          <w:rFonts w:cs="CIDFont+F1"/>
          <w:sz w:val="16"/>
          <w:szCs w:val="16"/>
        </w:rPr>
        <w:t>500 lawyers, which used to be able to send 35,</w:t>
      </w:r>
      <w:r w:rsidR="00CC0197" w:rsidRPr="001D29F1">
        <w:rPr>
          <w:rFonts w:cs="CIDFont+F1"/>
          <w:sz w:val="16"/>
          <w:szCs w:val="16"/>
        </w:rPr>
        <w:t xml:space="preserve"> </w:t>
      </w:r>
      <w:r w:rsidRPr="001D29F1">
        <w:rPr>
          <w:rFonts w:cs="CIDFont+F1"/>
          <w:sz w:val="16"/>
          <w:szCs w:val="16"/>
        </w:rPr>
        <w:t>will now be able to send just 5 delegates. A delegate from Ardahan would, therefore, represent less than 25</w:t>
      </w:r>
      <w:r w:rsidR="00CC0197" w:rsidRPr="001D29F1">
        <w:rPr>
          <w:rFonts w:cs="CIDFont+F1"/>
          <w:sz w:val="16"/>
          <w:szCs w:val="16"/>
        </w:rPr>
        <w:t xml:space="preserve"> </w:t>
      </w:r>
      <w:r w:rsidRPr="001D29F1">
        <w:rPr>
          <w:rFonts w:cs="CIDFont+F1"/>
          <w:sz w:val="16"/>
          <w:szCs w:val="16"/>
        </w:rPr>
        <w:t>lawyers, while a delegate from Izmir would represent approximately 1</w:t>
      </w:r>
      <w:r w:rsidR="00CC0197" w:rsidRPr="001D29F1">
        <w:rPr>
          <w:rFonts w:cs="CIDFont+F1"/>
          <w:sz w:val="16"/>
          <w:szCs w:val="16"/>
        </w:rPr>
        <w:t>,</w:t>
      </w:r>
      <w:r w:rsidRPr="001D29F1">
        <w:rPr>
          <w:rFonts w:cs="CIDFont+F1"/>
          <w:sz w:val="16"/>
          <w:szCs w:val="16"/>
        </w:rPr>
        <w:t>900. Such a radical imbalance which</w:t>
      </w:r>
      <w:r w:rsidR="00CC0197" w:rsidRPr="001D29F1">
        <w:rPr>
          <w:rFonts w:cs="CIDFont+F1"/>
          <w:sz w:val="16"/>
          <w:szCs w:val="16"/>
        </w:rPr>
        <w:t xml:space="preserve"> </w:t>
      </w:r>
      <w:r w:rsidRPr="001D29F1">
        <w:rPr>
          <w:rFonts w:cs="CIDFont+F1"/>
          <w:sz w:val="16"/>
          <w:szCs w:val="16"/>
        </w:rPr>
        <w:t xml:space="preserve">disproportionally gives </w:t>
      </w:r>
      <w:r w:rsidR="00CC0197" w:rsidRPr="001D29F1">
        <w:rPr>
          <w:rFonts w:cs="CIDFont+F1"/>
          <w:sz w:val="16"/>
          <w:szCs w:val="16"/>
        </w:rPr>
        <w:t>p</w:t>
      </w:r>
      <w:r w:rsidRPr="001D29F1">
        <w:rPr>
          <w:rFonts w:cs="CIDFont+F1"/>
          <w:sz w:val="16"/>
          <w:szCs w:val="16"/>
        </w:rPr>
        <w:t>ower to bar associations that have very few members and seriously diminishes the</w:t>
      </w:r>
      <w:r w:rsidR="00187C9B" w:rsidRPr="001D29F1">
        <w:rPr>
          <w:rFonts w:cs="CIDFont+F1"/>
          <w:sz w:val="16"/>
          <w:szCs w:val="16"/>
        </w:rPr>
        <w:t xml:space="preserve"> </w:t>
      </w:r>
      <w:r w:rsidRPr="001D29F1">
        <w:rPr>
          <w:rFonts w:cs="CIDFont+F1"/>
          <w:sz w:val="16"/>
          <w:szCs w:val="16"/>
        </w:rPr>
        <w:t>influence of bars with thousands of members is neither more democratic nor more pluralistic, despite the</w:t>
      </w:r>
      <w:r w:rsidR="00187C9B" w:rsidRPr="001D29F1">
        <w:rPr>
          <w:rFonts w:cs="CIDFont+F1"/>
          <w:sz w:val="16"/>
          <w:szCs w:val="16"/>
        </w:rPr>
        <w:t xml:space="preserve"> </w:t>
      </w:r>
      <w:r w:rsidRPr="001D29F1">
        <w:rPr>
          <w:rFonts w:cs="CIDFont+F1"/>
          <w:sz w:val="16"/>
          <w:szCs w:val="16"/>
        </w:rPr>
        <w:t>government’s claim.</w:t>
      </w:r>
      <w:r w:rsidR="00F07BAB" w:rsidRPr="001D29F1">
        <w:rPr>
          <w:rFonts w:cs="CIDFont+F1"/>
          <w:sz w:val="16"/>
          <w:szCs w:val="16"/>
        </w:rPr>
        <w:t xml:space="preserve"> See</w:t>
      </w:r>
      <w:r w:rsidRPr="001D29F1">
        <w:rPr>
          <w:rFonts w:cs="CIDFont+F1"/>
          <w:sz w:val="16"/>
          <w:szCs w:val="16"/>
        </w:rPr>
        <w:t xml:space="preserve"> </w:t>
      </w:r>
      <w:hyperlink r:id="rId10" w:history="1">
        <w:r w:rsidR="00F90EB1" w:rsidRPr="001D29F1">
          <w:rPr>
            <w:rStyle w:val="Hyperlink"/>
            <w:rFonts w:asciiTheme="minorHAnsi" w:hAnsiTheme="minorHAnsi"/>
            <w:sz w:val="16"/>
            <w:szCs w:val="16"/>
          </w:rPr>
          <w:t>https://www.hrw.org/news/2020/07/07/reform-bar-associations-turkey-questions-and-answers</w:t>
        </w:r>
      </w:hyperlink>
      <w:r w:rsidR="00F90EB1" w:rsidRPr="001D29F1">
        <w:rPr>
          <w:sz w:val="16"/>
          <w:szCs w:val="16"/>
        </w:rPr>
        <w:t xml:space="preserve"> </w:t>
      </w:r>
      <w:r w:rsidR="00115C04" w:rsidRPr="001D29F1">
        <w:rPr>
          <w:rFonts w:cs="CIDFont+F1"/>
          <w:color w:val="0000FF"/>
          <w:sz w:val="16"/>
          <w:szCs w:val="16"/>
        </w:rPr>
        <w:t xml:space="preserve"> </w:t>
      </w:r>
    </w:p>
  </w:footnote>
  <w:footnote w:id="14">
    <w:p w14:paraId="6DC8B95D" w14:textId="02843699" w:rsidR="002C4F4C" w:rsidRPr="001D29F1" w:rsidRDefault="002C4F4C" w:rsidP="007A18DE">
      <w:pPr>
        <w:autoSpaceDE w:val="0"/>
        <w:autoSpaceDN w:val="0"/>
        <w:adjustRightInd w:val="0"/>
        <w:spacing w:before="0" w:after="0"/>
        <w:rPr>
          <w:sz w:val="16"/>
          <w:szCs w:val="16"/>
        </w:rPr>
      </w:pPr>
      <w:r w:rsidRPr="001D29F1">
        <w:rPr>
          <w:rStyle w:val="FootnoteReference"/>
          <w:rFonts w:asciiTheme="minorHAnsi" w:hAnsiTheme="minorHAnsi"/>
          <w:sz w:val="16"/>
          <w:szCs w:val="16"/>
        </w:rPr>
        <w:footnoteRef/>
      </w:r>
      <w:r w:rsidRPr="001D29F1">
        <w:rPr>
          <w:rFonts w:cs="CIDFont+F1"/>
          <w:sz w:val="16"/>
          <w:szCs w:val="16"/>
        </w:rPr>
        <w:t xml:space="preserve"> </w:t>
      </w:r>
      <w:hyperlink r:id="rId11" w:history="1">
        <w:r w:rsidR="00AF0E1F" w:rsidRPr="001D29F1">
          <w:rPr>
            <w:rStyle w:val="Hyperlink"/>
            <w:rFonts w:asciiTheme="minorHAnsi" w:hAnsiTheme="minorHAnsi" w:cs="CIDFont+F1"/>
            <w:sz w:val="16"/>
            <w:szCs w:val="16"/>
          </w:rPr>
          <w:t>https://www.al-monitor.com/originals/2019/10/turkey-nationalism-killer-penal-code-article-has-come-back.html</w:t>
        </w:r>
      </w:hyperlink>
      <w:r w:rsidR="00AF0E1F" w:rsidRPr="001D29F1">
        <w:rPr>
          <w:rFonts w:cs="CIDFont+F1"/>
          <w:sz w:val="16"/>
          <w:szCs w:val="16"/>
        </w:rPr>
        <w:t xml:space="preserve"> </w:t>
      </w:r>
    </w:p>
  </w:footnote>
  <w:footnote w:id="15">
    <w:p w14:paraId="76635CB7" w14:textId="2D3EA351" w:rsidR="00E67816" w:rsidRPr="001D29F1" w:rsidRDefault="00E67816" w:rsidP="007A18DE">
      <w:pPr>
        <w:pStyle w:val="FootnoteText"/>
        <w:spacing w:line="240" w:lineRule="auto"/>
        <w:ind w:left="0" w:right="0" w:firstLine="0"/>
        <w:rPr>
          <w:rFonts w:asciiTheme="minorHAnsi" w:hAnsiTheme="minorHAnsi"/>
          <w:sz w:val="16"/>
          <w:szCs w:val="16"/>
        </w:rPr>
      </w:pPr>
      <w:r w:rsidRPr="001D29F1">
        <w:rPr>
          <w:rStyle w:val="FootnoteReference"/>
          <w:rFonts w:asciiTheme="minorHAnsi" w:hAnsiTheme="minorHAnsi"/>
          <w:sz w:val="16"/>
          <w:szCs w:val="16"/>
        </w:rPr>
        <w:footnoteRef/>
      </w:r>
      <w:r w:rsidRPr="001D29F1">
        <w:rPr>
          <w:rFonts w:asciiTheme="minorHAnsi" w:hAnsiTheme="minorHAnsi"/>
          <w:sz w:val="16"/>
          <w:szCs w:val="16"/>
        </w:rPr>
        <w:t xml:space="preserve"> </w:t>
      </w:r>
      <w:hyperlink r:id="rId12" w:history="1">
        <w:r w:rsidRPr="001D29F1">
          <w:rPr>
            <w:rStyle w:val="Hyperlink"/>
            <w:rFonts w:asciiTheme="minorHAnsi" w:hAnsiTheme="minorHAnsi" w:cs="CIDFont+F1"/>
            <w:sz w:val="16"/>
            <w:szCs w:val="16"/>
          </w:rPr>
          <w:t>https://www.hrw.org/news/2020/07/07/reform-bar-associations-turkey-questions-and-answers</w:t>
        </w:r>
      </w:hyperlink>
      <w:r w:rsidRPr="001D29F1">
        <w:rPr>
          <w:rFonts w:asciiTheme="minorHAnsi" w:hAnsiTheme="minorHAnsi" w:cs="CIDFont+F1"/>
          <w:sz w:val="16"/>
          <w:szCs w:val="16"/>
        </w:rPr>
        <w:t xml:space="preserve"> </w:t>
      </w:r>
    </w:p>
  </w:footnote>
  <w:footnote w:id="16">
    <w:p w14:paraId="08E1B0B7" w14:textId="39A3B734" w:rsidR="008E27A7" w:rsidRPr="001D29F1" w:rsidRDefault="008E27A7" w:rsidP="007A18DE">
      <w:pPr>
        <w:pStyle w:val="FootnoteText"/>
        <w:spacing w:line="240" w:lineRule="auto"/>
        <w:ind w:left="0" w:right="0" w:firstLine="0"/>
        <w:rPr>
          <w:rFonts w:asciiTheme="minorHAnsi" w:hAnsiTheme="minorHAnsi"/>
          <w:sz w:val="16"/>
          <w:szCs w:val="16"/>
        </w:rPr>
      </w:pPr>
      <w:r w:rsidRPr="001D29F1">
        <w:rPr>
          <w:rStyle w:val="FootnoteReference"/>
          <w:rFonts w:asciiTheme="minorHAnsi" w:hAnsiTheme="minorHAnsi"/>
          <w:sz w:val="16"/>
          <w:szCs w:val="16"/>
        </w:rPr>
        <w:footnoteRef/>
      </w:r>
      <w:r w:rsidRPr="001D29F1">
        <w:rPr>
          <w:rFonts w:asciiTheme="minorHAnsi" w:hAnsiTheme="minorHAnsi"/>
          <w:sz w:val="16"/>
          <w:szCs w:val="16"/>
        </w:rPr>
        <w:t xml:space="preserve"> </w:t>
      </w:r>
      <w:hyperlink r:id="rId13" w:history="1">
        <w:r w:rsidR="000971A0" w:rsidRPr="001D29F1">
          <w:rPr>
            <w:rStyle w:val="Hyperlink"/>
            <w:rFonts w:asciiTheme="minorHAnsi" w:hAnsiTheme="minorHAnsi" w:cs="CIDFont+F1"/>
            <w:sz w:val="16"/>
            <w:szCs w:val="16"/>
          </w:rPr>
          <w:t>https://www.duvarenglish.com/seven-investigations-three-lawsuits-launched-on-diyarbakir-bar-for-armenian-genocide-remembrance-in-last-six-years-news-63498</w:t>
        </w:r>
      </w:hyperlink>
      <w:r w:rsidR="000971A0" w:rsidRPr="001D29F1">
        <w:rPr>
          <w:rFonts w:asciiTheme="minorHAnsi" w:hAnsiTheme="minorHAnsi" w:cs="CIDFont+F1"/>
          <w:color w:val="0000FF"/>
          <w:sz w:val="16"/>
          <w:szCs w:val="16"/>
        </w:rPr>
        <w:t xml:space="preserve"> </w:t>
      </w:r>
    </w:p>
  </w:footnote>
  <w:footnote w:id="17">
    <w:p w14:paraId="4F9CC9B1" w14:textId="198675AB" w:rsidR="005D20B6" w:rsidRPr="001D29F1" w:rsidRDefault="005D20B6" w:rsidP="007A18DE">
      <w:pPr>
        <w:autoSpaceDE w:val="0"/>
        <w:autoSpaceDN w:val="0"/>
        <w:adjustRightInd w:val="0"/>
        <w:spacing w:before="0" w:after="0"/>
        <w:rPr>
          <w:rFonts w:cs="CIDFont+F1"/>
          <w:sz w:val="16"/>
          <w:szCs w:val="16"/>
        </w:rPr>
      </w:pPr>
      <w:r w:rsidRPr="001D29F1">
        <w:rPr>
          <w:rStyle w:val="FootnoteReference"/>
          <w:rFonts w:asciiTheme="minorHAnsi" w:hAnsiTheme="minorHAnsi"/>
          <w:sz w:val="16"/>
          <w:szCs w:val="16"/>
        </w:rPr>
        <w:footnoteRef/>
      </w:r>
      <w:r w:rsidRPr="001D29F1">
        <w:rPr>
          <w:sz w:val="16"/>
          <w:szCs w:val="16"/>
        </w:rPr>
        <w:t xml:space="preserve"> </w:t>
      </w:r>
      <w:hyperlink r:id="rId14" w:history="1">
        <w:r w:rsidR="00AF0E1F" w:rsidRPr="001D29F1">
          <w:rPr>
            <w:rStyle w:val="Hyperlink"/>
            <w:rFonts w:asciiTheme="minorHAnsi" w:hAnsiTheme="minorHAnsi" w:cs="CIDFont+F1"/>
            <w:sz w:val="16"/>
            <w:szCs w:val="16"/>
          </w:rPr>
          <w:t>https://www.al-monitor.com/originals/2019/10/turkey-nationalism-killer-penal-code-article-has-come-back.html</w:t>
        </w:r>
      </w:hyperlink>
      <w:r w:rsidR="00AF0E1F" w:rsidRPr="001D29F1">
        <w:rPr>
          <w:rFonts w:cs="CIDFont+F1"/>
          <w:sz w:val="16"/>
          <w:szCs w:val="16"/>
        </w:rPr>
        <w:t xml:space="preserve"> </w:t>
      </w:r>
    </w:p>
  </w:footnote>
  <w:footnote w:id="18">
    <w:p w14:paraId="12818FAD" w14:textId="77777777" w:rsidR="00196A08" w:rsidRPr="001D29F1" w:rsidRDefault="00196A08" w:rsidP="007A18DE">
      <w:pPr>
        <w:autoSpaceDE w:val="0"/>
        <w:autoSpaceDN w:val="0"/>
        <w:adjustRightInd w:val="0"/>
        <w:spacing w:before="0" w:after="0"/>
        <w:rPr>
          <w:sz w:val="16"/>
          <w:szCs w:val="16"/>
        </w:rPr>
      </w:pPr>
      <w:r w:rsidRPr="001D29F1">
        <w:rPr>
          <w:rStyle w:val="FootnoteReference"/>
          <w:rFonts w:asciiTheme="minorHAnsi" w:hAnsiTheme="minorHAnsi"/>
          <w:sz w:val="16"/>
          <w:szCs w:val="16"/>
        </w:rPr>
        <w:footnoteRef/>
      </w:r>
      <w:r w:rsidRPr="001D29F1">
        <w:rPr>
          <w:sz w:val="16"/>
          <w:szCs w:val="16"/>
        </w:rPr>
        <w:t xml:space="preserve"> </w:t>
      </w:r>
      <w:hyperlink r:id="rId15" w:history="1">
        <w:r w:rsidRPr="001D29F1">
          <w:rPr>
            <w:rStyle w:val="Hyperlink"/>
            <w:rFonts w:asciiTheme="minorHAnsi" w:hAnsiTheme="minorHAnsi" w:cs="CIDFont+F1"/>
            <w:sz w:val="16"/>
            <w:szCs w:val="16"/>
          </w:rPr>
          <w:t>https://arrestedlawyers.org/2018/02/14/erdogan-regime-grasps-control-of-the-recruitment-mechanism-for-the-profession-of-law-with-the-cooperation-of-metin-feyzioglu/</w:t>
        </w:r>
      </w:hyperlink>
      <w:r w:rsidRPr="001D29F1">
        <w:rPr>
          <w:rFonts w:cs="CIDFont+F1"/>
          <w:color w:val="0000FF"/>
          <w:sz w:val="16"/>
          <w:szCs w:val="16"/>
        </w:rPr>
        <w:t xml:space="preserve"> </w:t>
      </w:r>
    </w:p>
  </w:footnote>
  <w:footnote w:id="19">
    <w:p w14:paraId="5E4BA152" w14:textId="2B185AAB" w:rsidR="00B627D2" w:rsidRPr="001D29F1" w:rsidRDefault="00B627D2" w:rsidP="007A18DE">
      <w:pPr>
        <w:pStyle w:val="FootnoteText"/>
        <w:spacing w:line="240" w:lineRule="auto"/>
        <w:ind w:left="0" w:right="0" w:firstLine="0"/>
        <w:rPr>
          <w:rFonts w:asciiTheme="minorHAnsi" w:hAnsiTheme="minorHAnsi"/>
          <w:sz w:val="16"/>
          <w:szCs w:val="16"/>
        </w:rPr>
      </w:pPr>
      <w:r w:rsidRPr="001D29F1">
        <w:rPr>
          <w:rStyle w:val="FootnoteReference"/>
          <w:rFonts w:asciiTheme="minorHAnsi" w:hAnsiTheme="minorHAnsi"/>
          <w:sz w:val="16"/>
          <w:szCs w:val="16"/>
        </w:rPr>
        <w:footnoteRef/>
      </w:r>
      <w:r w:rsidRPr="001D29F1">
        <w:rPr>
          <w:rFonts w:asciiTheme="minorHAnsi" w:hAnsiTheme="minorHAnsi"/>
          <w:sz w:val="16"/>
          <w:szCs w:val="16"/>
        </w:rPr>
        <w:t xml:space="preserve"> </w:t>
      </w:r>
      <w:r w:rsidR="006C4BAD" w:rsidRPr="001D29F1">
        <w:rPr>
          <w:rFonts w:asciiTheme="minorHAnsi" w:hAnsiTheme="minorHAnsi"/>
          <w:color w:val="000000"/>
          <w:sz w:val="16"/>
          <w:szCs w:val="16"/>
        </w:rPr>
        <w:t xml:space="preserve">Benan Molu and Idil Özcan, </w:t>
      </w:r>
      <w:r w:rsidR="006C4BAD" w:rsidRPr="001D29F1">
        <w:rPr>
          <w:rFonts w:asciiTheme="minorHAnsi" w:hAnsiTheme="minorHAnsi"/>
          <w:i/>
          <w:iCs/>
          <w:color w:val="000000"/>
          <w:sz w:val="16"/>
          <w:szCs w:val="16"/>
        </w:rPr>
        <w:t>Lawyers without Licences</w:t>
      </w:r>
      <w:r w:rsidR="006C4BAD" w:rsidRPr="001D29F1">
        <w:rPr>
          <w:rFonts w:asciiTheme="minorHAnsi" w:hAnsiTheme="minorHAnsi"/>
          <w:color w:val="000000"/>
          <w:sz w:val="16"/>
          <w:szCs w:val="16"/>
        </w:rPr>
        <w:t xml:space="preserve">, 2021. </w:t>
      </w:r>
      <w:hyperlink r:id="rId16" w:history="1">
        <w:r w:rsidR="007E21A6" w:rsidRPr="001D29F1">
          <w:rPr>
            <w:rStyle w:val="Hyperlink"/>
            <w:rFonts w:asciiTheme="minorHAnsi" w:hAnsiTheme="minorHAnsi"/>
            <w:sz w:val="16"/>
            <w:szCs w:val="16"/>
          </w:rPr>
          <w:t>https://www.tahirelcivakfi.org/storage/files/ae36e3a1-90bd-44bf-8817-08321ade8533/Ruhsatsiz-Avukatlar---INGILIZCE-(1).pdf</w:t>
        </w:r>
      </w:hyperlink>
      <w:r w:rsidR="007E21A6" w:rsidRPr="001D29F1">
        <w:rPr>
          <w:rFonts w:asciiTheme="minorHAnsi" w:hAnsiTheme="minorHAnsi"/>
          <w:color w:val="000000"/>
          <w:sz w:val="16"/>
          <w:szCs w:val="16"/>
        </w:rPr>
        <w:t xml:space="preserve"> </w:t>
      </w:r>
    </w:p>
  </w:footnote>
  <w:footnote w:id="20">
    <w:p w14:paraId="5321D452" w14:textId="7585C8C9" w:rsidR="007E3FE2" w:rsidRPr="001D29F1" w:rsidRDefault="007E3FE2" w:rsidP="007A18DE">
      <w:pPr>
        <w:autoSpaceDE w:val="0"/>
        <w:autoSpaceDN w:val="0"/>
        <w:adjustRightInd w:val="0"/>
        <w:spacing w:before="0" w:after="0"/>
        <w:rPr>
          <w:sz w:val="16"/>
          <w:szCs w:val="16"/>
        </w:rPr>
      </w:pPr>
      <w:r w:rsidRPr="001D29F1">
        <w:rPr>
          <w:rStyle w:val="FootnoteReference"/>
          <w:rFonts w:asciiTheme="minorHAnsi" w:hAnsiTheme="minorHAnsi"/>
          <w:sz w:val="16"/>
          <w:szCs w:val="16"/>
        </w:rPr>
        <w:footnoteRef/>
      </w:r>
      <w:r w:rsidRPr="001D29F1">
        <w:rPr>
          <w:sz w:val="16"/>
          <w:szCs w:val="16"/>
        </w:rPr>
        <w:t xml:space="preserve"> </w:t>
      </w:r>
      <w:r w:rsidRPr="001D29F1">
        <w:rPr>
          <w:rFonts w:cs="CIDFont+F1"/>
          <w:color w:val="000000"/>
          <w:sz w:val="16"/>
          <w:szCs w:val="16"/>
        </w:rPr>
        <w:t>Office of the UN High Commissioner for Human Rights</w:t>
      </w:r>
      <w:r w:rsidR="00402FAE" w:rsidRPr="001D29F1">
        <w:rPr>
          <w:rFonts w:cs="CIDFont+F1"/>
          <w:color w:val="000000"/>
          <w:sz w:val="16"/>
          <w:szCs w:val="16"/>
        </w:rPr>
        <w:t xml:space="preserve">, </w:t>
      </w:r>
      <w:r w:rsidR="00402FAE" w:rsidRPr="001D29F1">
        <w:rPr>
          <w:rFonts w:cs="CIDFont+F1"/>
          <w:i/>
          <w:iCs/>
          <w:color w:val="000000"/>
          <w:sz w:val="16"/>
          <w:szCs w:val="16"/>
        </w:rPr>
        <w:t>R</w:t>
      </w:r>
      <w:r w:rsidRPr="001D29F1">
        <w:rPr>
          <w:rFonts w:cs="CIDFont+F1"/>
          <w:i/>
          <w:iCs/>
          <w:color w:val="000000"/>
          <w:sz w:val="16"/>
          <w:szCs w:val="16"/>
        </w:rPr>
        <w:t xml:space="preserve">eport on the impact of the state of emergency on human rights in </w:t>
      </w:r>
      <w:proofErr w:type="gramStart"/>
      <w:r w:rsidRPr="001D29F1">
        <w:rPr>
          <w:rFonts w:cs="CIDFont+F1"/>
          <w:i/>
          <w:iCs/>
          <w:color w:val="000000"/>
          <w:sz w:val="16"/>
          <w:szCs w:val="16"/>
        </w:rPr>
        <w:t>Turkey</w:t>
      </w:r>
      <w:proofErr w:type="gramEnd"/>
      <w:r w:rsidRPr="001D29F1">
        <w:rPr>
          <w:rFonts w:cs="CIDFont+F1"/>
          <w:i/>
          <w:iCs/>
          <w:color w:val="000000"/>
          <w:sz w:val="16"/>
          <w:szCs w:val="16"/>
        </w:rPr>
        <w:t xml:space="preserve">, including an update on the South-East. January-December </w:t>
      </w:r>
      <w:r w:rsidR="00FB703C" w:rsidRPr="001D29F1">
        <w:rPr>
          <w:rFonts w:cs="CIDFont+F1"/>
          <w:i/>
          <w:iCs/>
          <w:color w:val="000000"/>
          <w:sz w:val="16"/>
          <w:szCs w:val="16"/>
        </w:rPr>
        <w:t>2</w:t>
      </w:r>
      <w:r w:rsidRPr="001D29F1">
        <w:rPr>
          <w:rFonts w:cs="CIDFont+F1"/>
          <w:i/>
          <w:iCs/>
          <w:color w:val="000000"/>
          <w:sz w:val="16"/>
          <w:szCs w:val="16"/>
        </w:rPr>
        <w:t>017</w:t>
      </w:r>
      <w:r w:rsidR="00402FAE" w:rsidRPr="001D29F1">
        <w:rPr>
          <w:rFonts w:cs="CIDFont+F1"/>
          <w:color w:val="000000"/>
          <w:sz w:val="16"/>
          <w:szCs w:val="16"/>
        </w:rPr>
        <w:t xml:space="preserve">, </w:t>
      </w:r>
      <w:hyperlink r:id="rId17" w:history="1">
        <w:r w:rsidR="00402FAE" w:rsidRPr="001D29F1">
          <w:rPr>
            <w:rStyle w:val="Hyperlink"/>
            <w:rFonts w:asciiTheme="minorHAnsi" w:hAnsiTheme="minorHAnsi" w:cs="CIDFont+F1"/>
            <w:sz w:val="16"/>
            <w:szCs w:val="16"/>
          </w:rPr>
          <w:t>www.ohchr.org/Documents/Countries/TR/2018-03-19_Second_OHCHR_Turkey_Report.pdf</w:t>
        </w:r>
      </w:hyperlink>
      <w:r w:rsidR="00C977DB" w:rsidRPr="001D29F1">
        <w:rPr>
          <w:rFonts w:cs="CIDFont+F1"/>
          <w:color w:val="0000FF"/>
          <w:sz w:val="16"/>
          <w:szCs w:val="16"/>
        </w:rPr>
        <w:t xml:space="preserve"> </w:t>
      </w:r>
    </w:p>
  </w:footnote>
  <w:footnote w:id="21">
    <w:p w14:paraId="3480980A" w14:textId="422AFA69" w:rsidR="00555D75" w:rsidRPr="001D29F1" w:rsidRDefault="00555D75" w:rsidP="007A18DE">
      <w:pPr>
        <w:autoSpaceDE w:val="0"/>
        <w:autoSpaceDN w:val="0"/>
        <w:adjustRightInd w:val="0"/>
        <w:spacing w:before="0" w:after="0"/>
        <w:rPr>
          <w:rFonts w:cs="CIDFont+F1"/>
          <w:color w:val="000000"/>
          <w:sz w:val="16"/>
          <w:szCs w:val="16"/>
        </w:rPr>
      </w:pPr>
      <w:r w:rsidRPr="001D29F1">
        <w:rPr>
          <w:rFonts w:cs="CIDFont+F1"/>
          <w:color w:val="000000"/>
          <w:sz w:val="16"/>
          <w:szCs w:val="16"/>
          <w:vertAlign w:val="superscript"/>
        </w:rPr>
        <w:footnoteRef/>
      </w:r>
      <w:r w:rsidRPr="001D29F1">
        <w:rPr>
          <w:rFonts w:cs="CIDFont+F1"/>
          <w:color w:val="000000"/>
          <w:sz w:val="16"/>
          <w:szCs w:val="16"/>
        </w:rPr>
        <w:t xml:space="preserve"> UN Basic Principles on the Role of Lawyers, </w:t>
      </w:r>
      <w:r w:rsidR="007A2E4D" w:rsidRPr="001D29F1">
        <w:rPr>
          <w:rFonts w:cs="CIDFont+F1"/>
          <w:color w:val="000000"/>
          <w:sz w:val="16"/>
          <w:szCs w:val="16"/>
        </w:rPr>
        <w:t xml:space="preserve">Paragraph 16: </w:t>
      </w:r>
      <w:r w:rsidRPr="001D29F1">
        <w:rPr>
          <w:rFonts w:cs="CIDFont+F1"/>
          <w:color w:val="000000"/>
          <w:sz w:val="16"/>
          <w:szCs w:val="16"/>
        </w:rPr>
        <w:t>“Governments shall ensure that lawyers (a) are able to perform all of their professional functions without intimidation, hindrance, harassment or improper interference; (b) are able to travel and to consult with their clients freely both within their own country and</w:t>
      </w:r>
      <w:r w:rsidR="007A2E4D" w:rsidRPr="001D29F1">
        <w:rPr>
          <w:rFonts w:cs="CIDFont+F1"/>
          <w:color w:val="000000"/>
          <w:sz w:val="16"/>
          <w:szCs w:val="16"/>
        </w:rPr>
        <w:t xml:space="preserve"> </w:t>
      </w:r>
      <w:r w:rsidRPr="001D29F1">
        <w:rPr>
          <w:rFonts w:cs="CIDFont+F1"/>
          <w:color w:val="000000"/>
          <w:sz w:val="16"/>
          <w:szCs w:val="16"/>
        </w:rPr>
        <w:t>abroad; and (c) shall not suffer, or be threatened with, prosecution or administrative, economic or other sanctions for any action taken in accordance with recognized professional duties, standards and ethics</w:t>
      </w:r>
      <w:r w:rsidR="007A2E4D" w:rsidRPr="001D29F1">
        <w:rPr>
          <w:rFonts w:cs="CIDFont+F1"/>
          <w:color w:val="000000"/>
          <w:sz w:val="16"/>
          <w:szCs w:val="16"/>
        </w:rPr>
        <w:t xml:space="preserve">”. Paragraph </w:t>
      </w:r>
      <w:r w:rsidRPr="001D29F1">
        <w:rPr>
          <w:rFonts w:cs="CIDFont+F1"/>
          <w:color w:val="000000"/>
          <w:sz w:val="16"/>
          <w:szCs w:val="16"/>
        </w:rPr>
        <w:t>18</w:t>
      </w:r>
      <w:r w:rsidR="007A2E4D" w:rsidRPr="001D29F1">
        <w:rPr>
          <w:rFonts w:cs="CIDFont+F1"/>
          <w:color w:val="000000"/>
          <w:sz w:val="16"/>
          <w:szCs w:val="16"/>
        </w:rPr>
        <w:t>:</w:t>
      </w:r>
      <w:r w:rsidRPr="001D29F1">
        <w:rPr>
          <w:rFonts w:cs="CIDFont+F1"/>
          <w:color w:val="000000"/>
          <w:sz w:val="16"/>
          <w:szCs w:val="16"/>
        </w:rPr>
        <w:t xml:space="preserve"> </w:t>
      </w:r>
      <w:r w:rsidR="007A2E4D" w:rsidRPr="001D29F1">
        <w:rPr>
          <w:rFonts w:cs="CIDFont+F1"/>
          <w:color w:val="000000"/>
          <w:sz w:val="16"/>
          <w:szCs w:val="16"/>
        </w:rPr>
        <w:t>“</w:t>
      </w:r>
      <w:r w:rsidRPr="001D29F1">
        <w:rPr>
          <w:rFonts w:cs="CIDFont+F1"/>
          <w:color w:val="000000"/>
          <w:sz w:val="16"/>
          <w:szCs w:val="16"/>
        </w:rPr>
        <w:t>Lawyers shall not be identified with their clients or their clients' causes as a result of discharging their functions.”</w:t>
      </w:r>
    </w:p>
  </w:footnote>
  <w:footnote w:id="22">
    <w:p w14:paraId="2822A166" w14:textId="4E112E94" w:rsidR="00E6617C" w:rsidRPr="001D29F1" w:rsidRDefault="00E6617C" w:rsidP="007A18DE">
      <w:pPr>
        <w:autoSpaceDE w:val="0"/>
        <w:autoSpaceDN w:val="0"/>
        <w:adjustRightInd w:val="0"/>
        <w:spacing w:before="0" w:after="0"/>
        <w:rPr>
          <w:sz w:val="16"/>
          <w:szCs w:val="16"/>
        </w:rPr>
      </w:pPr>
      <w:r w:rsidRPr="001D29F1">
        <w:rPr>
          <w:rStyle w:val="FootnoteReference"/>
          <w:rFonts w:asciiTheme="minorHAnsi" w:hAnsiTheme="minorHAnsi"/>
          <w:sz w:val="16"/>
          <w:szCs w:val="16"/>
        </w:rPr>
        <w:footnoteRef/>
      </w:r>
      <w:r w:rsidRPr="001D29F1">
        <w:rPr>
          <w:sz w:val="16"/>
          <w:szCs w:val="16"/>
        </w:rPr>
        <w:t xml:space="preserve"> </w:t>
      </w:r>
      <w:r w:rsidRPr="001D29F1">
        <w:rPr>
          <w:rFonts w:cs="CIDFont+F1"/>
          <w:sz w:val="16"/>
          <w:szCs w:val="16"/>
        </w:rPr>
        <w:t>Article 2</w:t>
      </w:r>
      <w:r w:rsidR="00D346B0" w:rsidRPr="001D29F1">
        <w:rPr>
          <w:rFonts w:cs="CIDFont+F1"/>
          <w:sz w:val="16"/>
          <w:szCs w:val="16"/>
        </w:rPr>
        <w:t>(j)</w:t>
      </w:r>
      <w:r w:rsidRPr="001D29F1">
        <w:rPr>
          <w:rFonts w:cs="CIDFont+F1"/>
          <w:sz w:val="16"/>
          <w:szCs w:val="16"/>
        </w:rPr>
        <w:t xml:space="preserve"> of the Criminal Procedures Code defines flagrante delicto: </w:t>
      </w:r>
      <w:r w:rsidR="00C10A27" w:rsidRPr="001D29F1">
        <w:rPr>
          <w:rFonts w:cs="CIDFont+F1"/>
          <w:sz w:val="16"/>
          <w:szCs w:val="16"/>
        </w:rPr>
        <w:t>“</w:t>
      </w:r>
      <w:proofErr w:type="gramStart"/>
      <w:r w:rsidR="00C10A27" w:rsidRPr="001D29F1">
        <w:rPr>
          <w:rFonts w:cs="CIDFont+F1"/>
          <w:sz w:val="16"/>
          <w:szCs w:val="16"/>
        </w:rPr>
        <w:t>1</w:t>
      </w:r>
      <w:proofErr w:type="gramEnd"/>
      <w:r w:rsidRPr="001D29F1">
        <w:rPr>
          <w:rFonts w:cs="CIDFont+F1"/>
          <w:sz w:val="16"/>
          <w:szCs w:val="16"/>
        </w:rPr>
        <w:t>. an offence in the process of being committed;</w:t>
      </w:r>
      <w:r w:rsidR="00CF3355" w:rsidRPr="001D29F1">
        <w:rPr>
          <w:rFonts w:cs="CIDFont+F1"/>
          <w:sz w:val="16"/>
          <w:szCs w:val="16"/>
        </w:rPr>
        <w:t xml:space="preserve"> 2. an offence that has just been committed, and an offence committed by an individual who has been pursued immediately after carrying out the act and has been apprehended by the police, the victim or other individuals; 3. an offence committed by an individual who has been apprehended in possession of items or evidence</w:t>
      </w:r>
      <w:r w:rsidR="002F558A" w:rsidRPr="001D29F1">
        <w:rPr>
          <w:rFonts w:cs="CIDFont+F1"/>
          <w:sz w:val="16"/>
          <w:szCs w:val="16"/>
        </w:rPr>
        <w:t xml:space="preserve"> </w:t>
      </w:r>
      <w:r w:rsidR="00CF3355" w:rsidRPr="001D29F1">
        <w:rPr>
          <w:rFonts w:cs="CIDFont+F1"/>
          <w:sz w:val="16"/>
          <w:szCs w:val="16"/>
        </w:rPr>
        <w:t>indicating that the act was carried out very recently.</w:t>
      </w:r>
      <w:r w:rsidR="001D28F4" w:rsidRPr="001D29F1">
        <w:rPr>
          <w:rFonts w:cs="CIDFont+F1"/>
          <w:sz w:val="16"/>
          <w:szCs w:val="16"/>
        </w:rPr>
        <w:t>”</w:t>
      </w:r>
    </w:p>
  </w:footnote>
  <w:footnote w:id="23">
    <w:p w14:paraId="35154387" w14:textId="472B2107" w:rsidR="00334381" w:rsidRPr="001D29F1" w:rsidRDefault="00334381" w:rsidP="007A18DE">
      <w:pPr>
        <w:autoSpaceDE w:val="0"/>
        <w:autoSpaceDN w:val="0"/>
        <w:adjustRightInd w:val="0"/>
        <w:spacing w:before="0" w:after="0"/>
        <w:rPr>
          <w:rFonts w:cs="CIDFont+F1"/>
          <w:color w:val="0000FF"/>
          <w:sz w:val="16"/>
          <w:szCs w:val="16"/>
        </w:rPr>
      </w:pPr>
      <w:r w:rsidRPr="001D29F1">
        <w:rPr>
          <w:rStyle w:val="FootnoteReference"/>
          <w:rFonts w:asciiTheme="minorHAnsi" w:hAnsiTheme="minorHAnsi"/>
          <w:sz w:val="16"/>
          <w:szCs w:val="16"/>
        </w:rPr>
        <w:footnoteRef/>
      </w:r>
      <w:r w:rsidRPr="001D29F1">
        <w:rPr>
          <w:sz w:val="16"/>
          <w:szCs w:val="16"/>
        </w:rPr>
        <w:t xml:space="preserve"> </w:t>
      </w:r>
      <w:r w:rsidRPr="001D29F1">
        <w:rPr>
          <w:rFonts w:cs="CIDFont+F1"/>
          <w:color w:val="000000"/>
          <w:sz w:val="16"/>
          <w:szCs w:val="16"/>
        </w:rPr>
        <w:t xml:space="preserve">In cases of discovery in flagrante delicto falling within the </w:t>
      </w:r>
      <w:proofErr w:type="gramStart"/>
      <w:r w:rsidRPr="001D29F1">
        <w:rPr>
          <w:rFonts w:cs="CIDFont+F1"/>
          <w:color w:val="000000"/>
          <w:sz w:val="16"/>
          <w:szCs w:val="16"/>
        </w:rPr>
        <w:t>jurisdiction</w:t>
      </w:r>
      <w:proofErr w:type="gramEnd"/>
      <w:r w:rsidRPr="001D29F1">
        <w:rPr>
          <w:rFonts w:cs="CIDFont+F1"/>
          <w:color w:val="000000"/>
          <w:sz w:val="16"/>
          <w:szCs w:val="16"/>
        </w:rPr>
        <w:t xml:space="preserve"> of the assize courts, the investigation shall be conducted in accordance with the rules of ordinary law. </w:t>
      </w:r>
      <w:hyperlink r:id="rId18" w:history="1">
        <w:r w:rsidR="00C977DB" w:rsidRPr="001D29F1">
          <w:rPr>
            <w:rStyle w:val="Hyperlink"/>
            <w:rFonts w:asciiTheme="minorHAnsi" w:hAnsiTheme="minorHAnsi" w:cs="CIDFont+F1"/>
            <w:sz w:val="16"/>
            <w:szCs w:val="16"/>
          </w:rPr>
          <w:t>https://arrestedlawyers.org/2021/07/05/ecthr-arrest-and-pretrial-detentions-of-justices-erdal-tercan-andalparslan-altan-is-unlawful/</w:t>
        </w:r>
      </w:hyperlink>
      <w:r w:rsidR="00C977DB" w:rsidRPr="001D29F1">
        <w:rPr>
          <w:rFonts w:cs="CIDFont+F1"/>
          <w:color w:val="0000FF"/>
          <w:sz w:val="16"/>
          <w:szCs w:val="16"/>
        </w:rPr>
        <w:t xml:space="preserve"> </w:t>
      </w:r>
    </w:p>
  </w:footnote>
  <w:footnote w:id="24">
    <w:p w14:paraId="6F6A6CD6" w14:textId="1791B264" w:rsidR="00B8594D" w:rsidRPr="001D29F1" w:rsidRDefault="00B8594D" w:rsidP="007A18DE">
      <w:pPr>
        <w:autoSpaceDE w:val="0"/>
        <w:autoSpaceDN w:val="0"/>
        <w:adjustRightInd w:val="0"/>
        <w:spacing w:before="0" w:after="0"/>
        <w:rPr>
          <w:sz w:val="16"/>
          <w:szCs w:val="16"/>
        </w:rPr>
      </w:pPr>
      <w:r w:rsidRPr="001D29F1">
        <w:rPr>
          <w:rStyle w:val="FootnoteReference"/>
          <w:rFonts w:asciiTheme="minorHAnsi" w:hAnsiTheme="minorHAnsi"/>
          <w:sz w:val="16"/>
          <w:szCs w:val="16"/>
        </w:rPr>
        <w:footnoteRef/>
      </w:r>
      <w:r w:rsidRPr="001D29F1">
        <w:rPr>
          <w:sz w:val="16"/>
          <w:szCs w:val="16"/>
        </w:rPr>
        <w:t xml:space="preserve"> </w:t>
      </w:r>
      <w:r w:rsidRPr="001D29F1">
        <w:rPr>
          <w:rFonts w:cs="CIDFont+F1"/>
          <w:sz w:val="16"/>
          <w:szCs w:val="16"/>
        </w:rPr>
        <w:t xml:space="preserve">Alparslan Altan v. </w:t>
      </w:r>
      <w:proofErr w:type="gramStart"/>
      <w:r w:rsidRPr="001D29F1">
        <w:rPr>
          <w:rFonts w:cs="CIDFont+F1"/>
          <w:sz w:val="16"/>
          <w:szCs w:val="16"/>
        </w:rPr>
        <w:t>Turkey</w:t>
      </w:r>
      <w:proofErr w:type="gramEnd"/>
      <w:r w:rsidRPr="001D29F1">
        <w:rPr>
          <w:rFonts w:cs="CIDFont+F1"/>
          <w:sz w:val="16"/>
          <w:szCs w:val="16"/>
        </w:rPr>
        <w:t xml:space="preserve"> (Application No. 12778/17) and </w:t>
      </w:r>
      <w:r w:rsidRPr="001D29F1">
        <w:rPr>
          <w:rFonts w:cs="CIDFont+F2"/>
          <w:sz w:val="16"/>
          <w:szCs w:val="16"/>
        </w:rPr>
        <w:t>Baş v Turkey (Application no. 66448/17)</w:t>
      </w:r>
      <w:r w:rsidR="00713C58" w:rsidRPr="001D29F1">
        <w:rPr>
          <w:rFonts w:cs="CIDFont+F2"/>
          <w:sz w:val="16"/>
          <w:szCs w:val="16"/>
        </w:rPr>
        <w:t xml:space="preserve">. </w:t>
      </w:r>
    </w:p>
  </w:footnote>
  <w:footnote w:id="25">
    <w:p w14:paraId="128C2E8E" w14:textId="77777777" w:rsidR="00C4232D" w:rsidRPr="001D29F1" w:rsidRDefault="00C4232D" w:rsidP="007A18DE">
      <w:pPr>
        <w:autoSpaceDE w:val="0"/>
        <w:autoSpaceDN w:val="0"/>
        <w:adjustRightInd w:val="0"/>
        <w:spacing w:before="0" w:after="0"/>
        <w:rPr>
          <w:rFonts w:cs="CIDFont+F1"/>
          <w:color w:val="000000"/>
          <w:sz w:val="16"/>
          <w:szCs w:val="16"/>
        </w:rPr>
      </w:pPr>
      <w:r w:rsidRPr="001D29F1">
        <w:rPr>
          <w:rStyle w:val="FootnoteReference"/>
          <w:rFonts w:asciiTheme="minorHAnsi" w:hAnsiTheme="minorHAnsi"/>
          <w:sz w:val="16"/>
          <w:szCs w:val="16"/>
        </w:rPr>
        <w:footnoteRef/>
      </w:r>
      <w:r w:rsidRPr="001D29F1">
        <w:rPr>
          <w:sz w:val="16"/>
          <w:szCs w:val="16"/>
        </w:rPr>
        <w:t xml:space="preserve"> </w:t>
      </w:r>
      <w:r w:rsidRPr="001D29F1">
        <w:rPr>
          <w:rFonts w:cs="CIDFont+F1"/>
          <w:color w:val="000000"/>
          <w:sz w:val="16"/>
          <w:szCs w:val="16"/>
        </w:rPr>
        <w:t>Article 314 (1) Any person who establishes or commands an armed organisation with the purpose of committing the offences listed in parts four and five of this chapter, shall be sentenced to a penalty of imprisonment for a term of ten to fifteen years. (2) Any person who becomes a member of the organisation defined in paragraph one shall be sentenced to a penalty of imprisonment for a term of five</w:t>
      </w:r>
    </w:p>
    <w:p w14:paraId="26E2CBD0" w14:textId="77777777" w:rsidR="00C4232D" w:rsidRPr="001D29F1" w:rsidRDefault="00C4232D" w:rsidP="007A18DE">
      <w:pPr>
        <w:autoSpaceDE w:val="0"/>
        <w:autoSpaceDN w:val="0"/>
        <w:adjustRightInd w:val="0"/>
        <w:spacing w:before="0" w:after="0"/>
        <w:rPr>
          <w:sz w:val="16"/>
          <w:szCs w:val="16"/>
        </w:rPr>
      </w:pPr>
      <w:r w:rsidRPr="001D29F1">
        <w:rPr>
          <w:rFonts w:cs="CIDFont+F1"/>
          <w:color w:val="000000"/>
          <w:sz w:val="16"/>
          <w:szCs w:val="16"/>
        </w:rPr>
        <w:t xml:space="preserve">to ten years. (3) Other provisions relating to the forming of an organisation </w:t>
      </w:r>
      <w:proofErr w:type="gramStart"/>
      <w:r w:rsidRPr="001D29F1">
        <w:rPr>
          <w:rFonts w:cs="CIDFont+F1"/>
          <w:color w:val="000000"/>
          <w:sz w:val="16"/>
          <w:szCs w:val="16"/>
        </w:rPr>
        <w:t>in order to</w:t>
      </w:r>
      <w:proofErr w:type="gramEnd"/>
      <w:r w:rsidRPr="001D29F1">
        <w:rPr>
          <w:rFonts w:cs="CIDFont+F1"/>
          <w:color w:val="000000"/>
          <w:sz w:val="16"/>
          <w:szCs w:val="16"/>
        </w:rPr>
        <w:t xml:space="preserve"> commit offences shall also be applicable to this offence. </w:t>
      </w:r>
      <w:r w:rsidRPr="001D29F1">
        <w:rPr>
          <w:rFonts w:cs="CIDFont+F1"/>
          <w:sz w:val="16"/>
          <w:szCs w:val="16"/>
        </w:rPr>
        <w:t>http://www.venice.coe.int/webforms/documents/?pdf=CDL- R</w:t>
      </w:r>
      <w:r w:rsidRPr="001D29F1">
        <w:rPr>
          <w:rFonts w:cs="CIDFont+F1"/>
          <w:color w:val="000000"/>
          <w:sz w:val="16"/>
          <w:szCs w:val="16"/>
        </w:rPr>
        <w:t xml:space="preserve">EF(2016)011-e </w:t>
      </w:r>
    </w:p>
  </w:footnote>
  <w:footnote w:id="26">
    <w:p w14:paraId="5F586B69" w14:textId="77777777" w:rsidR="005D280C" w:rsidRPr="001D29F1" w:rsidRDefault="005D280C" w:rsidP="007A18DE">
      <w:pPr>
        <w:autoSpaceDE w:val="0"/>
        <w:autoSpaceDN w:val="0"/>
        <w:adjustRightInd w:val="0"/>
        <w:spacing w:before="0" w:after="0"/>
        <w:rPr>
          <w:rFonts w:cs="CIDFont+F1"/>
          <w:sz w:val="16"/>
          <w:szCs w:val="16"/>
        </w:rPr>
      </w:pPr>
      <w:r w:rsidRPr="001D29F1">
        <w:rPr>
          <w:rStyle w:val="FootnoteReference"/>
          <w:rFonts w:asciiTheme="minorHAnsi" w:hAnsiTheme="minorHAnsi"/>
          <w:sz w:val="16"/>
          <w:szCs w:val="16"/>
        </w:rPr>
        <w:footnoteRef/>
      </w:r>
      <w:r w:rsidRPr="001D29F1">
        <w:rPr>
          <w:sz w:val="16"/>
          <w:szCs w:val="16"/>
        </w:rPr>
        <w:t xml:space="preserve"> </w:t>
      </w:r>
      <w:r w:rsidRPr="001D29F1">
        <w:rPr>
          <w:rFonts w:cs="CIDFont+F1"/>
          <w:sz w:val="16"/>
          <w:szCs w:val="16"/>
        </w:rPr>
        <w:t xml:space="preserve">Selahattin Demirtaş v. </w:t>
      </w:r>
      <w:proofErr w:type="gramStart"/>
      <w:r w:rsidRPr="001D29F1">
        <w:rPr>
          <w:rFonts w:cs="CIDFont+F1"/>
          <w:sz w:val="16"/>
          <w:szCs w:val="16"/>
        </w:rPr>
        <w:t>Turkey</w:t>
      </w:r>
      <w:proofErr w:type="gramEnd"/>
      <w:r w:rsidRPr="001D29F1">
        <w:rPr>
          <w:rFonts w:cs="CIDFont+F1"/>
          <w:sz w:val="16"/>
          <w:szCs w:val="16"/>
        </w:rPr>
        <w:t xml:space="preserve"> (No. 2) (Application no. 14305/17), https://ahvalnews.com/selahattindemirtas/</w:t>
      </w:r>
    </w:p>
    <w:p w14:paraId="5E1D9773" w14:textId="77777777" w:rsidR="005D280C" w:rsidRPr="001D29F1" w:rsidRDefault="005D280C" w:rsidP="007A18DE">
      <w:pPr>
        <w:pStyle w:val="FootnoteText"/>
        <w:spacing w:line="240" w:lineRule="auto"/>
        <w:ind w:left="0" w:right="0" w:firstLine="0"/>
        <w:rPr>
          <w:rFonts w:asciiTheme="minorHAnsi" w:hAnsiTheme="minorHAnsi"/>
          <w:sz w:val="16"/>
          <w:szCs w:val="16"/>
        </w:rPr>
      </w:pPr>
      <w:r w:rsidRPr="001D29F1">
        <w:rPr>
          <w:rFonts w:asciiTheme="minorHAnsi" w:hAnsiTheme="minorHAnsi" w:cs="CIDFont+F1"/>
          <w:sz w:val="16"/>
          <w:szCs w:val="16"/>
        </w:rPr>
        <w:t xml:space="preserve">turkeys-abuse-its-anti-terror-laws-and-significance-echrs-demirtas-judgment </w:t>
      </w:r>
    </w:p>
  </w:footnote>
  <w:footnote w:id="27">
    <w:p w14:paraId="3D7ED0BE" w14:textId="77777777" w:rsidR="00D022C3" w:rsidRPr="001D29F1" w:rsidRDefault="00D022C3" w:rsidP="007A18DE">
      <w:pPr>
        <w:pStyle w:val="FootnoteText"/>
        <w:spacing w:line="240" w:lineRule="auto"/>
        <w:ind w:left="0" w:right="0" w:firstLine="0"/>
        <w:rPr>
          <w:rFonts w:asciiTheme="minorHAnsi" w:hAnsiTheme="minorHAnsi"/>
          <w:sz w:val="16"/>
          <w:szCs w:val="16"/>
        </w:rPr>
      </w:pPr>
      <w:r w:rsidRPr="001D29F1">
        <w:rPr>
          <w:rStyle w:val="FootnoteReference"/>
          <w:rFonts w:asciiTheme="minorHAnsi" w:hAnsiTheme="minorHAnsi"/>
          <w:sz w:val="16"/>
          <w:szCs w:val="16"/>
        </w:rPr>
        <w:footnoteRef/>
      </w:r>
      <w:r w:rsidRPr="001D29F1">
        <w:rPr>
          <w:rFonts w:asciiTheme="minorHAnsi" w:hAnsiTheme="minorHAnsi"/>
          <w:sz w:val="16"/>
          <w:szCs w:val="16"/>
        </w:rPr>
        <w:t xml:space="preserve"> </w:t>
      </w:r>
      <w:r w:rsidRPr="001D29F1">
        <w:rPr>
          <w:rFonts w:asciiTheme="minorHAnsi" w:hAnsiTheme="minorHAnsi" w:cs="CIDFont+F1"/>
          <w:color w:val="272833"/>
          <w:sz w:val="16"/>
          <w:szCs w:val="16"/>
        </w:rPr>
        <w:t xml:space="preserve">Yüksel Yalçınkaya v. Türkiye (Application no. 15669/20) </w:t>
      </w:r>
    </w:p>
  </w:footnote>
  <w:footnote w:id="28">
    <w:p w14:paraId="3047FDBB" w14:textId="77777777" w:rsidR="005D280C" w:rsidRPr="001D29F1" w:rsidRDefault="005D280C" w:rsidP="007A18DE">
      <w:pPr>
        <w:autoSpaceDE w:val="0"/>
        <w:autoSpaceDN w:val="0"/>
        <w:adjustRightInd w:val="0"/>
        <w:spacing w:before="0" w:after="0"/>
        <w:rPr>
          <w:rFonts w:cs="CIDFont+F1"/>
          <w:sz w:val="16"/>
          <w:szCs w:val="16"/>
        </w:rPr>
      </w:pPr>
      <w:r w:rsidRPr="001D29F1">
        <w:rPr>
          <w:rStyle w:val="FootnoteReference"/>
          <w:rFonts w:asciiTheme="minorHAnsi" w:hAnsiTheme="minorHAnsi"/>
          <w:sz w:val="16"/>
          <w:szCs w:val="16"/>
        </w:rPr>
        <w:footnoteRef/>
      </w:r>
      <w:r w:rsidRPr="001D29F1">
        <w:rPr>
          <w:sz w:val="16"/>
          <w:szCs w:val="16"/>
        </w:rPr>
        <w:t xml:space="preserve"> </w:t>
      </w:r>
      <w:r w:rsidRPr="001D29F1">
        <w:rPr>
          <w:rFonts w:cs="CIDFont+F1"/>
          <w:sz w:val="16"/>
          <w:szCs w:val="16"/>
        </w:rPr>
        <w:t xml:space="preserve">Yildiz, Ali: Strasburg Weighs In On Political Persecution In </w:t>
      </w:r>
      <w:proofErr w:type="gramStart"/>
      <w:r w:rsidRPr="001D29F1">
        <w:rPr>
          <w:rFonts w:cs="CIDFont+F1"/>
          <w:sz w:val="16"/>
          <w:szCs w:val="16"/>
        </w:rPr>
        <w:t>Turkey</w:t>
      </w:r>
      <w:proofErr w:type="gramEnd"/>
      <w:r w:rsidRPr="001D29F1">
        <w:rPr>
          <w:rFonts w:cs="CIDFont+F1"/>
          <w:sz w:val="16"/>
          <w:szCs w:val="16"/>
        </w:rPr>
        <w:t>, VerfBlog, 2023/10/31,</w:t>
      </w:r>
    </w:p>
    <w:p w14:paraId="54DDB870" w14:textId="7505CCE7" w:rsidR="005D280C" w:rsidRPr="001D29F1" w:rsidRDefault="00FC386D" w:rsidP="007A18DE">
      <w:pPr>
        <w:pStyle w:val="FootnoteText"/>
        <w:spacing w:line="240" w:lineRule="auto"/>
        <w:ind w:left="0" w:right="0" w:firstLine="0"/>
        <w:rPr>
          <w:rFonts w:asciiTheme="minorHAnsi" w:hAnsiTheme="minorHAnsi"/>
          <w:sz w:val="16"/>
          <w:szCs w:val="16"/>
        </w:rPr>
      </w:pPr>
      <w:hyperlink r:id="rId19" w:history="1">
        <w:r w:rsidR="005D280C" w:rsidRPr="001D29F1">
          <w:rPr>
            <w:rStyle w:val="Hyperlink"/>
            <w:rFonts w:asciiTheme="minorHAnsi" w:hAnsiTheme="minorHAnsi" w:cs="CIDFont+F1"/>
            <w:sz w:val="16"/>
            <w:szCs w:val="16"/>
          </w:rPr>
          <w:t>https://verfassungsblog.de/strasburg-weighs-in-on-political-persecution-in-turkey/</w:t>
        </w:r>
      </w:hyperlink>
      <w:r w:rsidR="005D280C" w:rsidRPr="001D29F1">
        <w:rPr>
          <w:rFonts w:asciiTheme="minorHAnsi" w:hAnsiTheme="minorHAnsi" w:cs="CIDFont+F1"/>
          <w:sz w:val="16"/>
          <w:szCs w:val="16"/>
        </w:rPr>
        <w:t xml:space="preserve"> </w:t>
      </w:r>
    </w:p>
  </w:footnote>
  <w:footnote w:id="29">
    <w:p w14:paraId="76F5322B" w14:textId="77777777" w:rsidR="005D280C" w:rsidRPr="001D29F1" w:rsidRDefault="005D280C" w:rsidP="007A18DE">
      <w:pPr>
        <w:autoSpaceDE w:val="0"/>
        <w:autoSpaceDN w:val="0"/>
        <w:adjustRightInd w:val="0"/>
        <w:spacing w:before="0" w:after="0"/>
        <w:rPr>
          <w:rFonts w:cs="CIDFont+F1"/>
          <w:sz w:val="16"/>
          <w:szCs w:val="16"/>
        </w:rPr>
      </w:pPr>
      <w:r w:rsidRPr="001D29F1">
        <w:rPr>
          <w:rStyle w:val="FootnoteReference"/>
          <w:rFonts w:asciiTheme="minorHAnsi" w:hAnsiTheme="minorHAnsi"/>
          <w:sz w:val="16"/>
          <w:szCs w:val="16"/>
        </w:rPr>
        <w:footnoteRef/>
      </w:r>
      <w:r w:rsidRPr="001D29F1">
        <w:rPr>
          <w:sz w:val="16"/>
          <w:szCs w:val="16"/>
        </w:rPr>
        <w:t xml:space="preserve"> </w:t>
      </w:r>
      <w:r w:rsidRPr="001D29F1">
        <w:rPr>
          <w:rFonts w:cs="CIDFont+F1"/>
          <w:sz w:val="16"/>
          <w:szCs w:val="16"/>
        </w:rPr>
        <w:t>https://arrestedlawyers.org/2024/01/31/ankara-appeal-court-defies-echr-sentences-19-lawyers-to-125-</w:t>
      </w:r>
    </w:p>
    <w:p w14:paraId="37928B44" w14:textId="5170F221" w:rsidR="005D280C" w:rsidRPr="001D29F1" w:rsidRDefault="005D280C" w:rsidP="007A18DE">
      <w:pPr>
        <w:pStyle w:val="FootnoteText"/>
        <w:spacing w:line="240" w:lineRule="auto"/>
        <w:ind w:left="0" w:right="0" w:firstLine="0"/>
        <w:rPr>
          <w:rFonts w:asciiTheme="minorHAnsi" w:hAnsiTheme="minorHAnsi"/>
          <w:sz w:val="16"/>
          <w:szCs w:val="16"/>
        </w:rPr>
      </w:pPr>
      <w:r w:rsidRPr="001D29F1">
        <w:rPr>
          <w:rFonts w:asciiTheme="minorHAnsi" w:hAnsiTheme="minorHAnsi" w:cs="CIDFont+F1"/>
          <w:sz w:val="16"/>
          <w:szCs w:val="16"/>
        </w:rPr>
        <w:t>years/</w:t>
      </w:r>
      <w:r w:rsidR="00C977DB" w:rsidRPr="001D29F1">
        <w:rPr>
          <w:rFonts w:asciiTheme="minorHAnsi" w:hAnsiTheme="minorHAnsi" w:cs="CIDFont+F1"/>
          <w:sz w:val="16"/>
          <w:szCs w:val="16"/>
        </w:rPr>
        <w:t xml:space="preserve"> </w:t>
      </w:r>
    </w:p>
  </w:footnote>
  <w:footnote w:id="30">
    <w:p w14:paraId="0BF57C0F" w14:textId="77777777" w:rsidR="005D280C" w:rsidRPr="001D29F1" w:rsidRDefault="005D280C" w:rsidP="007A18DE">
      <w:pPr>
        <w:pStyle w:val="FootnoteText"/>
        <w:spacing w:line="240" w:lineRule="auto"/>
        <w:ind w:left="0" w:right="0" w:firstLine="0"/>
        <w:rPr>
          <w:rFonts w:asciiTheme="minorHAnsi" w:hAnsiTheme="minorHAnsi"/>
          <w:sz w:val="16"/>
          <w:szCs w:val="16"/>
        </w:rPr>
      </w:pPr>
      <w:r w:rsidRPr="001D29F1">
        <w:rPr>
          <w:rStyle w:val="FootnoteReference"/>
          <w:rFonts w:asciiTheme="minorHAnsi" w:hAnsiTheme="minorHAnsi"/>
          <w:sz w:val="16"/>
          <w:szCs w:val="16"/>
        </w:rPr>
        <w:footnoteRef/>
      </w:r>
      <w:r w:rsidRPr="001D29F1">
        <w:rPr>
          <w:rFonts w:asciiTheme="minorHAnsi" w:hAnsiTheme="minorHAnsi"/>
          <w:sz w:val="16"/>
          <w:szCs w:val="16"/>
        </w:rPr>
        <w:t xml:space="preserve"> </w:t>
      </w:r>
      <w:r w:rsidRPr="001D29F1">
        <w:rPr>
          <w:rFonts w:asciiTheme="minorHAnsi" w:hAnsiTheme="minorHAnsi" w:cs="CIDFont+F1"/>
          <w:color w:val="111111"/>
          <w:sz w:val="16"/>
          <w:szCs w:val="16"/>
        </w:rPr>
        <w:t xml:space="preserve">Ankara Regional Appeal Court’s 22nd Criminal Chamber, 27 December 2023. </w:t>
      </w:r>
    </w:p>
  </w:footnote>
  <w:footnote w:id="31">
    <w:p w14:paraId="505FA3C6" w14:textId="70434924" w:rsidR="006C2815" w:rsidRPr="001D29F1" w:rsidRDefault="006C2815" w:rsidP="007A18DE">
      <w:pPr>
        <w:pStyle w:val="FootnoteText"/>
        <w:ind w:left="0" w:right="0" w:firstLine="0"/>
        <w:rPr>
          <w:rFonts w:asciiTheme="minorHAnsi" w:hAnsiTheme="minorHAnsi"/>
          <w:sz w:val="16"/>
          <w:szCs w:val="16"/>
        </w:rPr>
      </w:pPr>
      <w:r w:rsidRPr="001D29F1">
        <w:rPr>
          <w:rStyle w:val="FootnoteReference"/>
          <w:rFonts w:asciiTheme="minorHAnsi" w:hAnsiTheme="minorHAnsi"/>
          <w:sz w:val="16"/>
          <w:szCs w:val="16"/>
        </w:rPr>
        <w:footnoteRef/>
      </w:r>
      <w:r w:rsidRPr="001D29F1">
        <w:rPr>
          <w:rFonts w:asciiTheme="minorHAnsi" w:hAnsiTheme="minorHAnsi"/>
          <w:sz w:val="16"/>
          <w:szCs w:val="16"/>
        </w:rPr>
        <w:t xml:space="preserve"> Lawyers for Lawyers, </w:t>
      </w:r>
      <w:r w:rsidRPr="001D29F1">
        <w:rPr>
          <w:rFonts w:asciiTheme="minorHAnsi" w:hAnsiTheme="minorHAnsi"/>
          <w:i/>
          <w:iCs/>
          <w:sz w:val="16"/>
          <w:szCs w:val="16"/>
        </w:rPr>
        <w:t>Trial Observation Mission Report: hearing in the ongoing trial against ÖHD-lawyers</w:t>
      </w:r>
      <w:r w:rsidRPr="001D29F1">
        <w:rPr>
          <w:rFonts w:asciiTheme="minorHAnsi" w:hAnsiTheme="minorHAnsi"/>
          <w:sz w:val="16"/>
          <w:szCs w:val="16"/>
        </w:rPr>
        <w:t xml:space="preserve">, 13 March 2024, p.3. </w:t>
      </w:r>
    </w:p>
  </w:footnote>
  <w:footnote w:id="32">
    <w:p w14:paraId="4FDD3C24" w14:textId="042698DF" w:rsidR="006C2815" w:rsidRPr="001D29F1" w:rsidRDefault="006C2815" w:rsidP="007A18DE">
      <w:pPr>
        <w:pStyle w:val="FootnoteText"/>
        <w:ind w:left="0" w:right="0" w:firstLine="0"/>
        <w:rPr>
          <w:rFonts w:asciiTheme="minorHAnsi" w:hAnsiTheme="minorHAnsi"/>
          <w:sz w:val="16"/>
          <w:szCs w:val="16"/>
        </w:rPr>
      </w:pPr>
      <w:r w:rsidRPr="001D29F1">
        <w:rPr>
          <w:rStyle w:val="FootnoteReference"/>
          <w:rFonts w:asciiTheme="minorHAnsi" w:hAnsiTheme="minorHAnsi"/>
          <w:sz w:val="16"/>
          <w:szCs w:val="16"/>
        </w:rPr>
        <w:footnoteRef/>
      </w:r>
      <w:r w:rsidRPr="001D29F1">
        <w:rPr>
          <w:rFonts w:asciiTheme="minorHAnsi" w:hAnsiTheme="minorHAnsi"/>
          <w:sz w:val="16"/>
          <w:szCs w:val="16"/>
        </w:rPr>
        <w:t xml:space="preserve"> Ibid. </w:t>
      </w:r>
    </w:p>
  </w:footnote>
  <w:footnote w:id="33">
    <w:p w14:paraId="67CED67B" w14:textId="608C1D16" w:rsidR="006C2815" w:rsidRPr="001D29F1" w:rsidRDefault="006C2815" w:rsidP="007A18DE">
      <w:pPr>
        <w:pStyle w:val="FootnoteText"/>
        <w:ind w:left="0" w:right="0" w:firstLine="0"/>
        <w:rPr>
          <w:rFonts w:asciiTheme="minorHAnsi" w:hAnsiTheme="minorHAnsi"/>
          <w:sz w:val="16"/>
          <w:szCs w:val="16"/>
        </w:rPr>
      </w:pPr>
      <w:r w:rsidRPr="001D29F1">
        <w:rPr>
          <w:rStyle w:val="FootnoteReference"/>
          <w:rFonts w:asciiTheme="minorHAnsi" w:hAnsiTheme="minorHAnsi"/>
          <w:sz w:val="16"/>
          <w:szCs w:val="16"/>
        </w:rPr>
        <w:footnoteRef/>
      </w:r>
      <w:r w:rsidRPr="001D29F1">
        <w:rPr>
          <w:rFonts w:asciiTheme="minorHAnsi" w:hAnsiTheme="minorHAnsi"/>
          <w:sz w:val="16"/>
          <w:szCs w:val="16"/>
        </w:rPr>
        <w:t xml:space="preserve"> </w:t>
      </w:r>
      <w:hyperlink r:id="rId20" w:history="1">
        <w:r w:rsidRPr="001D29F1">
          <w:rPr>
            <w:rStyle w:val="Hyperlink"/>
            <w:rFonts w:asciiTheme="minorHAnsi" w:hAnsiTheme="minorHAnsi"/>
            <w:sz w:val="16"/>
            <w:szCs w:val="16"/>
          </w:rPr>
          <w:t>https://mezopotamyaajansi35.com/GUNCEL/content/view/240583</w:t>
        </w:r>
      </w:hyperlink>
      <w:r w:rsidRPr="001D29F1">
        <w:rPr>
          <w:rFonts w:asciiTheme="minorHAnsi" w:hAnsiTheme="minorHAnsi"/>
          <w:sz w:val="16"/>
          <w:szCs w:val="16"/>
        </w:rPr>
        <w:t xml:space="preserve"> </w:t>
      </w:r>
    </w:p>
  </w:footnote>
  <w:footnote w:id="34">
    <w:p w14:paraId="28C0F39C" w14:textId="410BF9A5" w:rsidR="004546DB" w:rsidRPr="001D29F1" w:rsidRDefault="004546DB" w:rsidP="007A18DE">
      <w:pPr>
        <w:pStyle w:val="FootnoteText"/>
        <w:spacing w:line="240" w:lineRule="auto"/>
        <w:ind w:left="0" w:right="0" w:firstLine="0"/>
        <w:rPr>
          <w:rFonts w:asciiTheme="minorHAnsi" w:hAnsiTheme="minorHAnsi"/>
          <w:sz w:val="16"/>
          <w:szCs w:val="16"/>
        </w:rPr>
      </w:pPr>
      <w:r w:rsidRPr="001D29F1">
        <w:rPr>
          <w:rStyle w:val="FootnoteReference"/>
          <w:rFonts w:asciiTheme="minorHAnsi" w:hAnsiTheme="minorHAnsi"/>
          <w:sz w:val="16"/>
          <w:szCs w:val="16"/>
        </w:rPr>
        <w:footnoteRef/>
      </w:r>
      <w:r w:rsidRPr="001D29F1">
        <w:rPr>
          <w:rFonts w:asciiTheme="minorHAnsi" w:hAnsiTheme="minorHAnsi"/>
          <w:sz w:val="16"/>
          <w:szCs w:val="16"/>
        </w:rPr>
        <w:t xml:space="preserve"> Rule 50 of the Nelson Mandela Rules</w:t>
      </w:r>
      <w:proofErr w:type="gramStart"/>
      <w:r w:rsidRPr="001D29F1">
        <w:rPr>
          <w:rFonts w:asciiTheme="minorHAnsi" w:hAnsiTheme="minorHAnsi"/>
          <w:sz w:val="16"/>
          <w:szCs w:val="16"/>
        </w:rPr>
        <w:t xml:space="preserve">.  </w:t>
      </w:r>
      <w:proofErr w:type="gramEnd"/>
      <w:r w:rsidRPr="001D29F1">
        <w:rPr>
          <w:rFonts w:asciiTheme="minorHAnsi" w:hAnsiTheme="minorHAnsi"/>
          <w:sz w:val="16"/>
          <w:szCs w:val="16"/>
        </w:rPr>
        <w:t xml:space="preserve"> </w:t>
      </w:r>
    </w:p>
  </w:footnote>
  <w:footnote w:id="35">
    <w:p w14:paraId="207E284C" w14:textId="75B66EEC" w:rsidR="0097419D" w:rsidRPr="001D29F1" w:rsidRDefault="0097419D" w:rsidP="007A18DE">
      <w:pPr>
        <w:pStyle w:val="FootnoteText"/>
        <w:spacing w:line="240" w:lineRule="auto"/>
        <w:ind w:left="0" w:right="0" w:firstLine="0"/>
        <w:rPr>
          <w:rFonts w:asciiTheme="minorHAnsi" w:hAnsiTheme="minorHAnsi"/>
          <w:sz w:val="16"/>
          <w:szCs w:val="16"/>
        </w:rPr>
      </w:pPr>
      <w:r w:rsidRPr="001D29F1">
        <w:rPr>
          <w:rStyle w:val="FootnoteReference"/>
          <w:rFonts w:asciiTheme="minorHAnsi" w:hAnsiTheme="minorHAnsi"/>
          <w:sz w:val="16"/>
          <w:szCs w:val="16"/>
        </w:rPr>
        <w:footnoteRef/>
      </w:r>
      <w:r w:rsidRPr="001D29F1">
        <w:rPr>
          <w:rFonts w:asciiTheme="minorHAnsi" w:hAnsiTheme="minorHAnsi"/>
          <w:sz w:val="16"/>
          <w:szCs w:val="16"/>
        </w:rPr>
        <w:t xml:space="preserve"> Rule 51 of the Nelson Mandela Rules</w:t>
      </w:r>
      <w:proofErr w:type="gramStart"/>
      <w:r w:rsidRPr="001D29F1">
        <w:rPr>
          <w:rFonts w:asciiTheme="minorHAnsi" w:hAnsiTheme="minorHAnsi"/>
          <w:sz w:val="16"/>
          <w:szCs w:val="16"/>
        </w:rPr>
        <w:t xml:space="preserve">.  </w:t>
      </w:r>
      <w:proofErr w:type="gramEnd"/>
      <w:r w:rsidRPr="001D29F1">
        <w:rPr>
          <w:rFonts w:asciiTheme="minorHAnsi" w:hAnsiTheme="minorHAnsi"/>
          <w:sz w:val="16"/>
          <w:szCs w:val="16"/>
        </w:rPr>
        <w:t xml:space="preserve"> </w:t>
      </w:r>
    </w:p>
  </w:footnote>
  <w:footnote w:id="36">
    <w:p w14:paraId="39276742" w14:textId="226FAF44" w:rsidR="00A975B5" w:rsidRPr="001D29F1" w:rsidRDefault="00A975B5" w:rsidP="007A18DE">
      <w:pPr>
        <w:pStyle w:val="FootnoteText"/>
        <w:spacing w:line="240" w:lineRule="auto"/>
        <w:ind w:left="0" w:right="0" w:firstLine="0"/>
        <w:rPr>
          <w:rFonts w:asciiTheme="minorHAnsi" w:hAnsiTheme="minorHAnsi"/>
          <w:sz w:val="16"/>
          <w:szCs w:val="16"/>
        </w:rPr>
      </w:pPr>
      <w:r w:rsidRPr="001D29F1">
        <w:rPr>
          <w:rStyle w:val="FootnoteReference"/>
          <w:rFonts w:asciiTheme="minorHAnsi" w:hAnsiTheme="minorHAnsi"/>
          <w:sz w:val="16"/>
          <w:szCs w:val="16"/>
        </w:rPr>
        <w:footnoteRef/>
      </w:r>
      <w:r w:rsidRPr="001D29F1">
        <w:rPr>
          <w:rFonts w:asciiTheme="minorHAnsi" w:hAnsiTheme="minorHAnsi"/>
          <w:sz w:val="16"/>
          <w:szCs w:val="16"/>
        </w:rPr>
        <w:t xml:space="preserve"> Rule 52(1) of the Nelson Mandela Rules</w:t>
      </w:r>
      <w:proofErr w:type="gramStart"/>
      <w:r w:rsidRPr="001D29F1">
        <w:rPr>
          <w:rFonts w:asciiTheme="minorHAnsi" w:hAnsiTheme="minorHAnsi"/>
          <w:sz w:val="16"/>
          <w:szCs w:val="16"/>
        </w:rPr>
        <w:t xml:space="preserve">.  </w:t>
      </w:r>
      <w:proofErr w:type="gramEnd"/>
      <w:r w:rsidRPr="001D29F1">
        <w:rPr>
          <w:rFonts w:asciiTheme="minorHAnsi" w:hAnsiTheme="minorHAnsi"/>
          <w:sz w:val="16"/>
          <w:szCs w:val="16"/>
        </w:rPr>
        <w:t xml:space="preserve"> </w:t>
      </w:r>
    </w:p>
  </w:footnote>
  <w:footnote w:id="37">
    <w:p w14:paraId="613168C8" w14:textId="238E352A" w:rsidR="00C44CC2" w:rsidRPr="001D29F1" w:rsidRDefault="00C44CC2" w:rsidP="007A18DE">
      <w:pPr>
        <w:pStyle w:val="FootnoteText"/>
        <w:spacing w:line="240" w:lineRule="auto"/>
        <w:ind w:left="0" w:right="0" w:firstLine="0"/>
        <w:rPr>
          <w:rFonts w:asciiTheme="minorHAnsi" w:hAnsiTheme="minorHAnsi"/>
          <w:sz w:val="16"/>
          <w:szCs w:val="16"/>
        </w:rPr>
      </w:pPr>
      <w:r w:rsidRPr="001D29F1">
        <w:rPr>
          <w:rStyle w:val="FootnoteReference"/>
          <w:rFonts w:asciiTheme="minorHAnsi" w:hAnsiTheme="minorHAnsi"/>
          <w:sz w:val="16"/>
          <w:szCs w:val="16"/>
        </w:rPr>
        <w:footnoteRef/>
      </w:r>
      <w:r w:rsidRPr="001D29F1">
        <w:rPr>
          <w:rFonts w:asciiTheme="minorHAnsi" w:hAnsiTheme="minorHAnsi"/>
          <w:sz w:val="16"/>
          <w:szCs w:val="16"/>
        </w:rPr>
        <w:t xml:space="preserve"> </w:t>
      </w:r>
      <w:r w:rsidR="00D2050A" w:rsidRPr="001D29F1">
        <w:rPr>
          <w:rFonts w:asciiTheme="minorHAnsi" w:hAnsiTheme="minorHAnsi"/>
          <w:sz w:val="16"/>
          <w:szCs w:val="16"/>
        </w:rPr>
        <w:t>Rule 48(1) of the Nelson Mandela Rules</w:t>
      </w:r>
      <w:proofErr w:type="gramStart"/>
      <w:r w:rsidR="00D2050A" w:rsidRPr="001D29F1">
        <w:rPr>
          <w:rFonts w:asciiTheme="minorHAnsi" w:hAnsiTheme="minorHAnsi"/>
          <w:sz w:val="16"/>
          <w:szCs w:val="16"/>
        </w:rPr>
        <w:t xml:space="preserve">.  </w:t>
      </w:r>
      <w:proofErr w:type="gramEnd"/>
    </w:p>
  </w:footnote>
  <w:footnote w:id="38">
    <w:p w14:paraId="645A1F0B" w14:textId="5799C38F" w:rsidR="000F349B" w:rsidRPr="001D29F1" w:rsidRDefault="000F349B" w:rsidP="007A18DE">
      <w:pPr>
        <w:pStyle w:val="FootnoteText"/>
        <w:ind w:left="0" w:right="0" w:firstLine="0"/>
        <w:rPr>
          <w:rFonts w:asciiTheme="minorHAnsi" w:hAnsiTheme="minorHAnsi"/>
          <w:sz w:val="16"/>
          <w:szCs w:val="16"/>
        </w:rPr>
      </w:pPr>
      <w:r w:rsidRPr="001D29F1">
        <w:rPr>
          <w:rStyle w:val="FootnoteReference"/>
          <w:rFonts w:asciiTheme="minorHAnsi" w:hAnsiTheme="minorHAnsi"/>
          <w:sz w:val="16"/>
          <w:szCs w:val="16"/>
        </w:rPr>
        <w:footnoteRef/>
      </w:r>
      <w:r w:rsidRPr="001D29F1">
        <w:rPr>
          <w:rFonts w:asciiTheme="minorHAnsi" w:hAnsiTheme="minorHAnsi"/>
          <w:sz w:val="16"/>
          <w:szCs w:val="16"/>
        </w:rPr>
        <w:t xml:space="preserve"> </w:t>
      </w:r>
      <w:r w:rsidR="00723FC1" w:rsidRPr="001D29F1">
        <w:rPr>
          <w:rFonts w:asciiTheme="minorHAnsi" w:hAnsiTheme="minorHAnsi"/>
          <w:sz w:val="16"/>
          <w:szCs w:val="16"/>
        </w:rPr>
        <w:t>CPT visit report to the Slovak Republic, CPT/Inf (2010)</w:t>
      </w:r>
      <w:r w:rsidR="00C977DB" w:rsidRPr="001D29F1">
        <w:rPr>
          <w:rFonts w:asciiTheme="minorHAnsi" w:hAnsiTheme="minorHAnsi"/>
          <w:sz w:val="16"/>
          <w:szCs w:val="16"/>
        </w:rPr>
        <w:t>,</w:t>
      </w:r>
      <w:r w:rsidR="00723FC1" w:rsidRPr="001D29F1">
        <w:rPr>
          <w:rFonts w:asciiTheme="minorHAnsi" w:hAnsiTheme="minorHAnsi"/>
          <w:sz w:val="16"/>
          <w:szCs w:val="16"/>
        </w:rPr>
        <w:t xml:space="preserve"> para.105.</w:t>
      </w:r>
    </w:p>
  </w:footnote>
  <w:footnote w:id="39">
    <w:p w14:paraId="0B0060E6" w14:textId="1A415655" w:rsidR="000F349B" w:rsidRPr="001D29F1" w:rsidRDefault="000F349B" w:rsidP="007A18DE">
      <w:pPr>
        <w:pStyle w:val="FootnoteText"/>
        <w:ind w:left="0" w:right="0" w:firstLine="0"/>
        <w:rPr>
          <w:rFonts w:asciiTheme="minorHAnsi" w:hAnsiTheme="minorHAnsi"/>
          <w:sz w:val="16"/>
          <w:szCs w:val="16"/>
        </w:rPr>
      </w:pPr>
      <w:r w:rsidRPr="001D29F1">
        <w:rPr>
          <w:rStyle w:val="FootnoteReference"/>
          <w:rFonts w:asciiTheme="minorHAnsi" w:hAnsiTheme="minorHAnsi"/>
          <w:sz w:val="16"/>
          <w:szCs w:val="16"/>
        </w:rPr>
        <w:footnoteRef/>
      </w:r>
      <w:r w:rsidRPr="001D29F1">
        <w:rPr>
          <w:rFonts w:asciiTheme="minorHAnsi" w:hAnsiTheme="minorHAnsi"/>
          <w:sz w:val="16"/>
          <w:szCs w:val="16"/>
        </w:rPr>
        <w:t xml:space="preserve"> </w:t>
      </w:r>
      <w:r w:rsidR="002904A2" w:rsidRPr="001D29F1">
        <w:rPr>
          <w:rFonts w:asciiTheme="minorHAnsi" w:hAnsiTheme="minorHAnsi"/>
          <w:i/>
          <w:iCs/>
          <w:sz w:val="16"/>
          <w:szCs w:val="16"/>
        </w:rPr>
        <w:t>Mouisel v France</w:t>
      </w:r>
      <w:r w:rsidR="002904A2" w:rsidRPr="001D29F1">
        <w:rPr>
          <w:rFonts w:asciiTheme="minorHAnsi" w:hAnsiTheme="minorHAnsi"/>
          <w:sz w:val="16"/>
          <w:szCs w:val="16"/>
        </w:rPr>
        <w:t>, European Court of Human Rights Application no. 67263/01 (2003), para. 47</w:t>
      </w:r>
      <w:r w:rsidR="00C977DB" w:rsidRPr="001D29F1">
        <w:rPr>
          <w:rFonts w:asciiTheme="minorHAnsi" w:hAnsiTheme="minorHAnsi"/>
          <w:sz w:val="16"/>
          <w:szCs w:val="16"/>
        </w:rPr>
        <w:t>.</w:t>
      </w:r>
    </w:p>
  </w:footnote>
  <w:footnote w:id="40">
    <w:p w14:paraId="6ACCC10E" w14:textId="76A3DFE4" w:rsidR="003639D0" w:rsidRPr="001D29F1" w:rsidRDefault="003639D0" w:rsidP="007A18DE">
      <w:pPr>
        <w:pStyle w:val="FootnoteText"/>
        <w:spacing w:line="240" w:lineRule="auto"/>
        <w:ind w:left="0" w:right="0" w:firstLine="0"/>
        <w:rPr>
          <w:rFonts w:asciiTheme="minorHAnsi" w:hAnsiTheme="minorHAnsi"/>
          <w:sz w:val="16"/>
          <w:szCs w:val="16"/>
        </w:rPr>
      </w:pPr>
      <w:r w:rsidRPr="001D29F1">
        <w:rPr>
          <w:rStyle w:val="FootnoteReference"/>
          <w:rFonts w:asciiTheme="minorHAnsi" w:hAnsiTheme="minorHAnsi"/>
          <w:sz w:val="16"/>
          <w:szCs w:val="16"/>
        </w:rPr>
        <w:footnoteRef/>
      </w:r>
      <w:r w:rsidRPr="001D29F1">
        <w:rPr>
          <w:rFonts w:asciiTheme="minorHAnsi" w:hAnsiTheme="minorHAnsi"/>
          <w:sz w:val="16"/>
          <w:szCs w:val="16"/>
        </w:rPr>
        <w:t xml:space="preserve"> Sharon Shalev, </w:t>
      </w:r>
      <w:r w:rsidRPr="001D29F1">
        <w:rPr>
          <w:rFonts w:asciiTheme="minorHAnsi" w:hAnsiTheme="minorHAnsi"/>
          <w:i/>
          <w:iCs/>
          <w:sz w:val="16"/>
          <w:szCs w:val="16"/>
        </w:rPr>
        <w:t xml:space="preserve">Sourcebook on Solitary Confinement, </w:t>
      </w:r>
      <w:r w:rsidRPr="001D29F1">
        <w:rPr>
          <w:rFonts w:asciiTheme="minorHAnsi" w:hAnsiTheme="minorHAnsi"/>
          <w:sz w:val="16"/>
          <w:szCs w:val="16"/>
        </w:rPr>
        <w:t>Mannheim Centre for Criminology London School of Economics and Political Science, October 2008</w:t>
      </w:r>
      <w:proofErr w:type="gramStart"/>
      <w:r w:rsidRPr="001D29F1">
        <w:rPr>
          <w:rFonts w:asciiTheme="minorHAnsi" w:hAnsiTheme="minorHAnsi"/>
          <w:sz w:val="16"/>
          <w:szCs w:val="16"/>
        </w:rPr>
        <w:t xml:space="preserve">.  </w:t>
      </w:r>
      <w:proofErr w:type="gramEnd"/>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A525456" w14:textId="77777777" w:rsidR="00936805" w:rsidRDefault="00607DF0" w:rsidP="00954172">
    <w:pPr>
      <w:pStyle w:val="Header"/>
      <w:tabs>
        <w:tab w:val="clear" w:pos="9026"/>
        <w:tab w:val="right" w:pos="8789"/>
      </w:tabs>
      <w:ind w:left="-1418" w:right="-1440"/>
    </w:pPr>
    <w:r>
      <w:rPr>
        <w:noProof/>
        <w:sz w:val="300"/>
        <w:szCs w:val="300"/>
      </w:rPr>
      <w:drawing>
        <wp:anchor distT="0" distB="0" distL="114300" distR="114300" simplePos="0" relativeHeight="251658240" behindDoc="0" locked="0" layoutInCell="1" allowOverlap="1" wp14:anchorId="122FBB73" wp14:editId="4C36E898">
          <wp:simplePos x="0" y="0"/>
          <wp:positionH relativeFrom="column">
            <wp:posOffset>3307715</wp:posOffset>
          </wp:positionH>
          <wp:positionV relativeFrom="paragraph">
            <wp:posOffset>346710</wp:posOffset>
          </wp:positionV>
          <wp:extent cx="3016477" cy="719667"/>
          <wp:effectExtent l="0" t="0" r="0" b="4445"/>
          <wp:wrapNone/>
          <wp:docPr id="457278864" name="Picture 457278864"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3016477" cy="719667"/>
                  </a:xfrm>
                  <a:prstGeom prst="rect">
                    <a:avLst/>
                  </a:prstGeom>
                </pic:spPr>
              </pic:pic>
            </a:graphicData>
          </a:graphic>
          <wp14:sizeRelH relativeFrom="page">
            <wp14:pctWidth>0</wp14:pctWidth>
          </wp14:sizeRelH>
          <wp14:sizeRelV relativeFrom="page">
            <wp14:pctHeight>0</wp14:pctHeight>
          </wp14:sizeRelV>
        </wp:anchor>
      </w:drawing>
    </w:r>
    <w:r w:rsidR="00936805">
      <w:rPr>
        <w:noProof/>
      </w:rPr>
      <w:drawing>
        <wp:inline distT="0" distB="0" distL="0" distR="0" wp14:anchorId="7185E36F" wp14:editId="38731FD2">
          <wp:extent cx="4631267" cy="1146175"/>
          <wp:effectExtent l="0" t="0" r="4445" b="0"/>
          <wp:docPr id="1263092278" name="Picture 1263092278" descr="The Law Society logo with the a unicorn, lion and Lady Justice surrounding a shield with the words The Law Society to the righ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The Law Society logo with the a unicorn, lion and Lady Justice surrounding a shield with the words The Law Society to the right"/>
                  <pic:cNvPicPr>
                    <a:picLocks noChangeAspect="1" noChangeArrowheads="1"/>
                  </pic:cNvPicPr>
                </pic:nvPicPr>
                <pic:blipFill rotWithShape="1">
                  <a:blip r:embed="rId2">
                    <a:extLst>
                      <a:ext uri="{28A0092B-C50C-407E-A947-70E740481C1C}">
                        <a14:useLocalDpi xmlns:a14="http://schemas.microsoft.com/office/drawing/2010/main" val="0"/>
                      </a:ext>
                    </a:extLst>
                  </a:blip>
                  <a:srcRect r="38789"/>
                  <a:stretch/>
                </pic:blipFill>
                <pic:spPr bwMode="auto">
                  <a:xfrm>
                    <a:off x="0" y="0"/>
                    <a:ext cx="4631267" cy="1146175"/>
                  </a:xfrm>
                  <a:prstGeom prst="rect">
                    <a:avLst/>
                  </a:prstGeom>
                  <a:noFill/>
                  <a:ln>
                    <a:noFill/>
                  </a:ln>
                  <a:extLst>
                    <a:ext uri="{53640926-AAD7-44D8-BBD7-CCE9431645EC}">
                      <a14:shadowObscured xmlns:a14="http://schemas.microsoft.com/office/drawing/2010/main"/>
                    </a:ext>
                  </a:extLst>
                </pic:spPr>
              </pic:pic>
            </a:graphicData>
          </a:graphic>
        </wp:inline>
      </w:drawing>
    </w:r>
  </w:p>
  <w:p w14:paraId="237A5E01" w14:textId="77777777" w:rsidR="00F50B73" w:rsidRPr="00F50B73" w:rsidRDefault="00F50B73" w:rsidP="00F50B73">
    <w:pPr>
      <w:pStyle w:val="Heading1"/>
      <w:ind w:left="709"/>
      <w:rPr>
        <w:sz w:val="300"/>
        <w:szCs w:val="3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89"/>
    <w:multiLevelType w:val="singleLevel"/>
    <w:tmpl w:val="5FF4A934"/>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1BB14F9"/>
    <w:multiLevelType w:val="hybridMultilevel"/>
    <w:tmpl w:val="6C3A6CA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318610F"/>
    <w:multiLevelType w:val="hybridMultilevel"/>
    <w:tmpl w:val="6D781B8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2C6AF7"/>
    <w:multiLevelType w:val="hybridMultilevel"/>
    <w:tmpl w:val="EFE4905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E7618A"/>
    <w:multiLevelType w:val="hybridMultilevel"/>
    <w:tmpl w:val="575CCDD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F1304B9"/>
    <w:multiLevelType w:val="multilevel"/>
    <w:tmpl w:val="0DE0B6DA"/>
    <w:lvl w:ilvl="0">
      <w:start w:val="1"/>
      <w:numFmt w:val="decimal"/>
      <w:pStyle w:val="Level1"/>
      <w:lvlText w:val="%1."/>
      <w:lvlJc w:val="left"/>
      <w:pPr>
        <w:tabs>
          <w:tab w:val="num" w:pos="720"/>
        </w:tabs>
        <w:ind w:left="720" w:hanging="720"/>
      </w:pPr>
      <w:rPr>
        <w:rFonts w:ascii="Times New Roman" w:eastAsiaTheme="minorHAnsi" w:hAnsi="Times New Roman" w:cs="Times New Roman" w:hint="default"/>
        <w:b w:val="0"/>
        <w:i w:val="0"/>
        <w:sz w:val="24"/>
        <w:szCs w:val="24"/>
        <w:u w:val="none"/>
      </w:rPr>
    </w:lvl>
    <w:lvl w:ilvl="1">
      <w:start w:val="1"/>
      <w:numFmt w:val="decimal"/>
      <w:pStyle w:val="Level2"/>
      <w:lvlText w:val="%1.%2"/>
      <w:lvlJc w:val="left"/>
      <w:pPr>
        <w:tabs>
          <w:tab w:val="num" w:pos="720"/>
        </w:tabs>
        <w:ind w:left="720" w:hanging="720"/>
      </w:pPr>
      <w:rPr>
        <w:rFonts w:hint="default"/>
        <w:b w:val="0"/>
        <w:i w:val="0"/>
        <w:u w:val="none"/>
      </w:rPr>
    </w:lvl>
    <w:lvl w:ilvl="2">
      <w:start w:val="1"/>
      <w:numFmt w:val="decimal"/>
      <w:pStyle w:val="Level3"/>
      <w:lvlText w:val="%1.%2.%3"/>
      <w:lvlJc w:val="left"/>
      <w:pPr>
        <w:tabs>
          <w:tab w:val="num" w:pos="1440"/>
        </w:tabs>
        <w:ind w:left="1440" w:hanging="720"/>
      </w:pPr>
      <w:rPr>
        <w:rFonts w:hint="default"/>
        <w:b w:val="0"/>
        <w:i w:val="0"/>
        <w:u w:val="none"/>
      </w:rPr>
    </w:lvl>
    <w:lvl w:ilvl="3">
      <w:start w:val="1"/>
      <w:numFmt w:val="lowerLetter"/>
      <w:lvlText w:val="(%4)"/>
      <w:lvlJc w:val="left"/>
      <w:pPr>
        <w:tabs>
          <w:tab w:val="num" w:pos="2160"/>
        </w:tabs>
        <w:ind w:left="2160" w:hanging="720"/>
      </w:pPr>
      <w:rPr>
        <w:rFonts w:hint="default"/>
        <w:b w:val="0"/>
        <w:i w:val="0"/>
        <w:u w:val="none"/>
      </w:rPr>
    </w:lvl>
    <w:lvl w:ilvl="4">
      <w:start w:val="1"/>
      <w:numFmt w:val="lowerLetter"/>
      <w:lvlText w:val="(%4%5)"/>
      <w:lvlJc w:val="left"/>
      <w:pPr>
        <w:tabs>
          <w:tab w:val="num" w:pos="2880"/>
        </w:tabs>
        <w:ind w:left="2880" w:hanging="720"/>
      </w:pPr>
      <w:rPr>
        <w:rFonts w:hint="default"/>
        <w:b w:val="0"/>
        <w:i w:val="0"/>
        <w:u w:val="none"/>
      </w:rPr>
    </w:lvl>
    <w:lvl w:ilvl="5">
      <w:start w:val="1"/>
      <w:numFmt w:val="lowerRoman"/>
      <w:lvlText w:val="(%6)"/>
      <w:lvlJc w:val="left"/>
      <w:pPr>
        <w:tabs>
          <w:tab w:val="num" w:pos="3600"/>
        </w:tabs>
        <w:ind w:left="3600" w:hanging="720"/>
      </w:pPr>
      <w:rPr>
        <w:rFonts w:hint="default"/>
        <w:b w:val="0"/>
        <w:i w:val="0"/>
        <w:u w:val="none"/>
      </w:rPr>
    </w:lvl>
    <w:lvl w:ilvl="6">
      <w:start w:val="1"/>
      <w:numFmt w:val="lowerLetter"/>
      <w:lvlText w:val="(%7)"/>
      <w:lvlJc w:val="left"/>
      <w:pPr>
        <w:tabs>
          <w:tab w:val="num" w:pos="4320"/>
        </w:tabs>
        <w:ind w:left="4320" w:hanging="720"/>
      </w:pPr>
      <w:rPr>
        <w:rFonts w:hint="default"/>
        <w:b w:val="0"/>
        <w:i w:val="0"/>
        <w:u w:val="none"/>
      </w:rPr>
    </w:lvl>
    <w:lvl w:ilvl="7">
      <w:start w:val="1"/>
      <w:numFmt w:val="lowerLetter"/>
      <w:lvlText w:val="(%4%8)"/>
      <w:lvlJc w:val="left"/>
      <w:pPr>
        <w:tabs>
          <w:tab w:val="num" w:pos="5040"/>
        </w:tabs>
        <w:ind w:left="5040" w:hanging="720"/>
      </w:pPr>
      <w:rPr>
        <w:rFonts w:hint="default"/>
        <w:b w:val="0"/>
        <w:i w:val="0"/>
        <w:u w:val="none"/>
      </w:rPr>
    </w:lvl>
    <w:lvl w:ilvl="8">
      <w:start w:val="1"/>
      <w:numFmt w:val="lowerRoman"/>
      <w:lvlText w:val="(%9)"/>
      <w:lvlJc w:val="left"/>
      <w:pPr>
        <w:tabs>
          <w:tab w:val="num" w:pos="5760"/>
        </w:tabs>
        <w:ind w:left="5760" w:hanging="720"/>
      </w:pPr>
      <w:rPr>
        <w:rFonts w:hint="default"/>
        <w:b w:val="0"/>
        <w:i w:val="0"/>
        <w:u w:val="none"/>
      </w:rPr>
    </w:lvl>
  </w:abstractNum>
  <w:abstractNum w:abstractNumId="6" w15:restartNumberingAfterBreak="0">
    <w:nsid w:val="0F71141D"/>
    <w:multiLevelType w:val="hybridMultilevel"/>
    <w:tmpl w:val="0FE086F8"/>
    <w:lvl w:ilvl="0" w:tplc="740EBEAA">
      <w:numFmt w:val="bullet"/>
      <w:lvlText w:val="-"/>
      <w:lvlJc w:val="left"/>
      <w:pPr>
        <w:ind w:left="720" w:hanging="360"/>
      </w:pPr>
      <w:rPr>
        <w:rFonts w:ascii="Avenir Next LT Pro" w:eastAsiaTheme="minorHAnsi" w:hAnsi="Avenir Next LT Pro"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1F23423"/>
    <w:multiLevelType w:val="hybridMultilevel"/>
    <w:tmpl w:val="CE1C8FB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1733344D"/>
    <w:multiLevelType w:val="multilevel"/>
    <w:tmpl w:val="8766ED6E"/>
    <w:lvl w:ilvl="0">
      <w:start w:val="1"/>
      <w:numFmt w:val="bullet"/>
      <w:lvlText w:val=""/>
      <w:lvlJc w:val="left"/>
      <w:pPr>
        <w:ind w:left="720" w:hanging="360"/>
      </w:pPr>
      <w:rPr>
        <w:rFonts w:ascii="Symbol" w:hAnsi="Symbol" w:hint="default"/>
        <w:b w:val="0"/>
        <w:i w:val="0"/>
        <w:sz w:val="22"/>
      </w:rPr>
    </w:lvl>
    <w:lvl w:ilvl="1">
      <w:start w:val="1"/>
      <w:numFmt w:val="bullet"/>
      <w:pStyle w:val="Subtitle"/>
      <w:lvlText w:val=""/>
      <w:lvlJc w:val="left"/>
      <w:pPr>
        <w:ind w:left="1080" w:hanging="360"/>
      </w:pPr>
      <w:rPr>
        <w:rFonts w:ascii="Symbol" w:hAnsi="Symbol" w:cs="Courier New" w:hint="default"/>
      </w:rPr>
    </w:lvl>
    <w:lvl w:ilvl="2">
      <w:start w:val="1"/>
      <w:numFmt w:val="bullet"/>
      <w:lvlText w:val=""/>
      <w:lvlJc w:val="left"/>
      <w:pPr>
        <w:ind w:left="1800" w:hanging="360"/>
      </w:pPr>
      <w:rPr>
        <w:rFonts w:ascii="Symbol" w:hAnsi="Symbol" w:hint="default"/>
      </w:rPr>
    </w:lvl>
    <w:lvl w:ilvl="3">
      <w:start w:val="1"/>
      <w:numFmt w:val="bullet"/>
      <w:lvlText w:val=""/>
      <w:lvlJc w:val="left"/>
      <w:pPr>
        <w:ind w:left="2520" w:hanging="360"/>
      </w:pPr>
      <w:rPr>
        <w:rFonts w:ascii="Symbol" w:hAnsi="Symbol" w:hint="default"/>
      </w:rPr>
    </w:lvl>
    <w:lvl w:ilvl="4">
      <w:start w:val="1"/>
      <w:numFmt w:val="bullet"/>
      <w:lvlText w:val=""/>
      <w:lvlJc w:val="left"/>
      <w:pPr>
        <w:ind w:left="3600" w:hanging="360"/>
      </w:pPr>
      <w:rPr>
        <w:rFonts w:ascii="Symbol" w:hAnsi="Symbol" w:cs="Courier New" w:hint="default"/>
      </w:rPr>
    </w:lvl>
    <w:lvl w:ilvl="5">
      <w:start w:val="1"/>
      <w:numFmt w:val="bullet"/>
      <w:lvlText w:val=""/>
      <w:lvlJc w:val="left"/>
      <w:pPr>
        <w:ind w:left="4320" w:hanging="360"/>
      </w:pPr>
      <w:rPr>
        <w:rFonts w:ascii="Symbol" w:hAnsi="Symbol" w:hint="default"/>
      </w:rPr>
    </w:lvl>
    <w:lvl w:ilvl="6">
      <w:start w:val="1"/>
      <w:numFmt w:val="bullet"/>
      <w:lvlText w:val=""/>
      <w:lvlJc w:val="left"/>
      <w:pPr>
        <w:ind w:left="5040" w:hanging="360"/>
      </w:pPr>
      <w:rPr>
        <w:rFonts w:ascii="Symbol" w:hAnsi="Symbol" w:hint="default"/>
      </w:rPr>
    </w:lvl>
    <w:lvl w:ilvl="7">
      <w:start w:val="1"/>
      <w:numFmt w:val="bullet"/>
      <w:lvlText w:val=""/>
      <w:lvlJc w:val="left"/>
      <w:pPr>
        <w:ind w:left="5760" w:hanging="360"/>
      </w:pPr>
      <w:rPr>
        <w:rFonts w:ascii="Symbol" w:hAnsi="Symbol" w:cs="Courier New" w:hint="default"/>
      </w:rPr>
    </w:lvl>
    <w:lvl w:ilvl="8">
      <w:start w:val="1"/>
      <w:numFmt w:val="bullet"/>
      <w:lvlText w:val=""/>
      <w:lvlJc w:val="left"/>
      <w:pPr>
        <w:ind w:left="6480" w:hanging="360"/>
      </w:pPr>
      <w:rPr>
        <w:rFonts w:ascii="Symbol" w:hAnsi="Symbol" w:hint="default"/>
      </w:rPr>
    </w:lvl>
  </w:abstractNum>
  <w:abstractNum w:abstractNumId="9" w15:restartNumberingAfterBreak="0">
    <w:nsid w:val="17507F53"/>
    <w:multiLevelType w:val="hybridMultilevel"/>
    <w:tmpl w:val="31F01B48"/>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17F40F9C"/>
    <w:multiLevelType w:val="hybridMultilevel"/>
    <w:tmpl w:val="329A873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840740C"/>
    <w:multiLevelType w:val="hybridMultilevel"/>
    <w:tmpl w:val="1AC67ED0"/>
    <w:lvl w:ilvl="0" w:tplc="618CCD72">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1BE272AA"/>
    <w:multiLevelType w:val="hybridMultilevel"/>
    <w:tmpl w:val="672EE44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1CBD4517"/>
    <w:multiLevelType w:val="hybridMultilevel"/>
    <w:tmpl w:val="27F2EC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1D8110D2"/>
    <w:multiLevelType w:val="hybridMultilevel"/>
    <w:tmpl w:val="F04E6EA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84B2F32"/>
    <w:multiLevelType w:val="hybridMultilevel"/>
    <w:tmpl w:val="FFFFFFFF"/>
    <w:lvl w:ilvl="0" w:tplc="F940D3AE">
      <w:start w:val="1"/>
      <w:numFmt w:val="bullet"/>
      <w:lvlText w:val=""/>
      <w:lvlJc w:val="left"/>
      <w:pPr>
        <w:ind w:left="720" w:hanging="360"/>
      </w:pPr>
      <w:rPr>
        <w:rFonts w:ascii="Wingdings" w:hAnsi="Wingdings" w:hint="default"/>
      </w:rPr>
    </w:lvl>
    <w:lvl w:ilvl="1" w:tplc="48F8B0BE">
      <w:start w:val="1"/>
      <w:numFmt w:val="bullet"/>
      <w:lvlText w:val="o"/>
      <w:lvlJc w:val="left"/>
      <w:pPr>
        <w:ind w:left="1440" w:hanging="360"/>
      </w:pPr>
      <w:rPr>
        <w:rFonts w:ascii="Courier New" w:hAnsi="Courier New" w:hint="default"/>
      </w:rPr>
    </w:lvl>
    <w:lvl w:ilvl="2" w:tplc="F3F47A34">
      <w:start w:val="1"/>
      <w:numFmt w:val="bullet"/>
      <w:lvlText w:val=""/>
      <w:lvlJc w:val="left"/>
      <w:pPr>
        <w:ind w:left="2160" w:hanging="360"/>
      </w:pPr>
      <w:rPr>
        <w:rFonts w:ascii="Wingdings" w:hAnsi="Wingdings" w:hint="default"/>
      </w:rPr>
    </w:lvl>
    <w:lvl w:ilvl="3" w:tplc="A4C0E880">
      <w:start w:val="1"/>
      <w:numFmt w:val="bullet"/>
      <w:lvlText w:val=""/>
      <w:lvlJc w:val="left"/>
      <w:pPr>
        <w:ind w:left="2880" w:hanging="360"/>
      </w:pPr>
      <w:rPr>
        <w:rFonts w:ascii="Symbol" w:hAnsi="Symbol" w:hint="default"/>
      </w:rPr>
    </w:lvl>
    <w:lvl w:ilvl="4" w:tplc="25A0F92C">
      <w:start w:val="1"/>
      <w:numFmt w:val="bullet"/>
      <w:lvlText w:val="o"/>
      <w:lvlJc w:val="left"/>
      <w:pPr>
        <w:ind w:left="3600" w:hanging="360"/>
      </w:pPr>
      <w:rPr>
        <w:rFonts w:ascii="Courier New" w:hAnsi="Courier New" w:hint="default"/>
      </w:rPr>
    </w:lvl>
    <w:lvl w:ilvl="5" w:tplc="B57CECD0">
      <w:start w:val="1"/>
      <w:numFmt w:val="bullet"/>
      <w:lvlText w:val=""/>
      <w:lvlJc w:val="left"/>
      <w:pPr>
        <w:ind w:left="4320" w:hanging="360"/>
      </w:pPr>
      <w:rPr>
        <w:rFonts w:ascii="Wingdings" w:hAnsi="Wingdings" w:hint="default"/>
      </w:rPr>
    </w:lvl>
    <w:lvl w:ilvl="6" w:tplc="6F487C6E">
      <w:start w:val="1"/>
      <w:numFmt w:val="bullet"/>
      <w:lvlText w:val=""/>
      <w:lvlJc w:val="left"/>
      <w:pPr>
        <w:ind w:left="5040" w:hanging="360"/>
      </w:pPr>
      <w:rPr>
        <w:rFonts w:ascii="Symbol" w:hAnsi="Symbol" w:hint="default"/>
      </w:rPr>
    </w:lvl>
    <w:lvl w:ilvl="7" w:tplc="24CCF3B6">
      <w:start w:val="1"/>
      <w:numFmt w:val="bullet"/>
      <w:lvlText w:val="o"/>
      <w:lvlJc w:val="left"/>
      <w:pPr>
        <w:ind w:left="5760" w:hanging="360"/>
      </w:pPr>
      <w:rPr>
        <w:rFonts w:ascii="Courier New" w:hAnsi="Courier New" w:hint="default"/>
      </w:rPr>
    </w:lvl>
    <w:lvl w:ilvl="8" w:tplc="52BC4684">
      <w:start w:val="1"/>
      <w:numFmt w:val="bullet"/>
      <w:lvlText w:val=""/>
      <w:lvlJc w:val="left"/>
      <w:pPr>
        <w:ind w:left="6480" w:hanging="360"/>
      </w:pPr>
      <w:rPr>
        <w:rFonts w:ascii="Wingdings" w:hAnsi="Wingdings" w:hint="default"/>
      </w:rPr>
    </w:lvl>
  </w:abstractNum>
  <w:abstractNum w:abstractNumId="16" w15:restartNumberingAfterBreak="0">
    <w:nsid w:val="2BCF54FA"/>
    <w:multiLevelType w:val="multilevel"/>
    <w:tmpl w:val="8B70B5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31F96388"/>
    <w:multiLevelType w:val="hybridMultilevel"/>
    <w:tmpl w:val="3E86030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35C169C"/>
    <w:multiLevelType w:val="hybridMultilevel"/>
    <w:tmpl w:val="3402798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7D64C1B"/>
    <w:multiLevelType w:val="hybridMultilevel"/>
    <w:tmpl w:val="D9D4391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3F42688"/>
    <w:multiLevelType w:val="hybridMultilevel"/>
    <w:tmpl w:val="A2BEC66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05A4FF7"/>
    <w:multiLevelType w:val="hybridMultilevel"/>
    <w:tmpl w:val="F05EDC4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F172FFC"/>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3" w15:restartNumberingAfterBreak="0">
    <w:nsid w:val="5F564222"/>
    <w:multiLevelType w:val="hybridMultilevel"/>
    <w:tmpl w:val="8E2A839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9FF3716"/>
    <w:multiLevelType w:val="hybridMultilevel"/>
    <w:tmpl w:val="2A160BC8"/>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C5719CD"/>
    <w:multiLevelType w:val="multilevel"/>
    <w:tmpl w:val="F0C090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15:restartNumberingAfterBreak="0">
    <w:nsid w:val="6D604763"/>
    <w:multiLevelType w:val="hybridMultilevel"/>
    <w:tmpl w:val="D2D0EEA2"/>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70BD46FC"/>
    <w:multiLevelType w:val="multilevel"/>
    <w:tmpl w:val="0FC09078"/>
    <w:styleLink w:val="Numberedlist-TLS"/>
    <w:lvl w:ilvl="0">
      <w:start w:val="1"/>
      <w:numFmt w:val="decimal"/>
      <w:lvlText w:val="%1)"/>
      <w:lvlJc w:val="left"/>
      <w:pPr>
        <w:ind w:left="357" w:hanging="357"/>
      </w:pPr>
      <w:rPr>
        <w:rFonts w:asciiTheme="minorHAnsi" w:hAnsiTheme="minorHAnsi" w:hint="default"/>
        <w:b w:val="0"/>
        <w:i w:val="0"/>
        <w:color w:val="auto"/>
        <w:sz w:val="22"/>
      </w:rPr>
    </w:lvl>
    <w:lvl w:ilvl="1">
      <w:start w:val="1"/>
      <w:numFmt w:val="lowerLetter"/>
      <w:lvlText w:val="%2)"/>
      <w:lvlJc w:val="left"/>
      <w:pPr>
        <w:ind w:left="720" w:hanging="363"/>
      </w:pPr>
      <w:rPr>
        <w:rFonts w:asciiTheme="minorHAnsi" w:hAnsiTheme="minorHAnsi" w:hint="default"/>
        <w:sz w:val="22"/>
      </w:rPr>
    </w:lvl>
    <w:lvl w:ilvl="2">
      <w:start w:val="1"/>
      <w:numFmt w:val="lowerRoman"/>
      <w:lvlText w:val="%3)"/>
      <w:lvlJc w:val="left"/>
      <w:pPr>
        <w:ind w:left="1077" w:hanging="357"/>
      </w:pPr>
      <w:rPr>
        <w:rFonts w:asciiTheme="minorHAnsi" w:hAnsiTheme="minorHAnsi" w:hint="default"/>
        <w:sz w:val="22"/>
      </w:rPr>
    </w:lvl>
    <w:lvl w:ilvl="3">
      <w:start w:val="1"/>
      <w:numFmt w:val="decimal"/>
      <w:lvlText w:val="(%4)"/>
      <w:lvlJc w:val="left"/>
      <w:pPr>
        <w:ind w:left="1440" w:hanging="363"/>
      </w:pPr>
      <w:rPr>
        <w:rFonts w:hint="default"/>
      </w:rPr>
    </w:lvl>
    <w:lvl w:ilvl="4">
      <w:start w:val="1"/>
      <w:numFmt w:val="lowerLetter"/>
      <w:lvlText w:val="(%5)"/>
      <w:lvlJc w:val="left"/>
      <w:pPr>
        <w:ind w:left="1797" w:hanging="357"/>
      </w:pPr>
      <w:rPr>
        <w:rFonts w:hint="default"/>
      </w:rPr>
    </w:lvl>
    <w:lvl w:ilvl="5">
      <w:start w:val="1"/>
      <w:numFmt w:val="lowerRoman"/>
      <w:lvlText w:val="(%6)"/>
      <w:lvlJc w:val="left"/>
      <w:pPr>
        <w:ind w:left="2160" w:hanging="363"/>
      </w:pPr>
      <w:rPr>
        <w:rFonts w:hint="default"/>
      </w:rPr>
    </w:lvl>
    <w:lvl w:ilvl="6">
      <w:start w:val="1"/>
      <w:numFmt w:val="decimal"/>
      <w:lvlText w:val="%7."/>
      <w:lvlJc w:val="left"/>
      <w:pPr>
        <w:ind w:left="2517" w:hanging="357"/>
      </w:pPr>
      <w:rPr>
        <w:rFonts w:hint="default"/>
      </w:rPr>
    </w:lvl>
    <w:lvl w:ilvl="7">
      <w:start w:val="1"/>
      <w:numFmt w:val="lowerLetter"/>
      <w:lvlText w:val="%8."/>
      <w:lvlJc w:val="left"/>
      <w:pPr>
        <w:ind w:left="2880" w:hanging="363"/>
      </w:pPr>
      <w:rPr>
        <w:rFonts w:hint="default"/>
      </w:rPr>
    </w:lvl>
    <w:lvl w:ilvl="8">
      <w:start w:val="1"/>
      <w:numFmt w:val="lowerRoman"/>
      <w:lvlText w:val="%9."/>
      <w:lvlJc w:val="left"/>
      <w:pPr>
        <w:ind w:left="3238" w:hanging="358"/>
      </w:pPr>
      <w:rPr>
        <w:rFonts w:hint="default"/>
      </w:rPr>
    </w:lvl>
  </w:abstractNum>
  <w:abstractNum w:abstractNumId="28" w15:restartNumberingAfterBreak="0">
    <w:nsid w:val="762A7D06"/>
    <w:multiLevelType w:val="hybridMultilevel"/>
    <w:tmpl w:val="B79A2530"/>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787866CC"/>
    <w:multiLevelType w:val="multilevel"/>
    <w:tmpl w:val="461E6EF0"/>
    <w:styleLink w:val="NumberedDocument"/>
    <w:lvl w:ilvl="0">
      <w:start w:val="1"/>
      <w:numFmt w:val="decimal"/>
      <w:lvlText w:val="%1."/>
      <w:lvlJc w:val="left"/>
      <w:pPr>
        <w:ind w:left="709" w:hanging="709"/>
      </w:pPr>
    </w:lvl>
    <w:lvl w:ilvl="1">
      <w:start w:val="1"/>
      <w:numFmt w:val="decimal"/>
      <w:lvlText w:val="%1.%2."/>
      <w:lvlJc w:val="left"/>
      <w:pPr>
        <w:ind w:left="1418" w:hanging="709"/>
      </w:pPr>
    </w:lvl>
    <w:lvl w:ilvl="2">
      <w:start w:val="1"/>
      <w:numFmt w:val="decimal"/>
      <w:lvlText w:val="%1.%2.%3."/>
      <w:lvlJc w:val="left"/>
      <w:pPr>
        <w:ind w:left="2268" w:hanging="850"/>
      </w:pPr>
    </w:lvl>
    <w:lvl w:ilvl="3">
      <w:start w:val="1"/>
      <w:numFmt w:val="decimal"/>
      <w:lvlText w:val="%1.%2.%3.%4."/>
      <w:lvlJc w:val="left"/>
      <w:pPr>
        <w:ind w:left="3686" w:hanging="1418"/>
      </w:pPr>
    </w:lvl>
    <w:lvl w:ilvl="4">
      <w:start w:val="1"/>
      <w:numFmt w:val="decimal"/>
      <w:lvlText w:val="%1.%2.%3.%4.%5."/>
      <w:lvlJc w:val="left"/>
      <w:pPr>
        <w:ind w:left="5387" w:hanging="1701"/>
      </w:pPr>
    </w:lvl>
    <w:lvl w:ilvl="5">
      <w:start w:val="1"/>
      <w:numFmt w:val="decimal"/>
      <w:lvlText w:val="%1.%2.%3.%4.%5.%6."/>
      <w:lvlJc w:val="left"/>
      <w:pPr>
        <w:ind w:left="7371" w:hanging="1984"/>
      </w:pPr>
    </w:lvl>
    <w:lvl w:ilvl="6">
      <w:start w:val="1"/>
      <w:numFmt w:val="decimal"/>
      <w:lvlText w:val="%1.%2.%3.%4.%5.%6.%7."/>
      <w:lvlJc w:val="left"/>
      <w:pPr>
        <w:ind w:left="9639" w:hanging="2268"/>
      </w:pPr>
    </w:lvl>
    <w:lvl w:ilvl="7">
      <w:start w:val="1"/>
      <w:numFmt w:val="decimal"/>
      <w:lvlText w:val="%1.%2.%3.%4.%5.%6.%7.%8."/>
      <w:lvlJc w:val="left"/>
      <w:pPr>
        <w:ind w:left="12191" w:hanging="2552"/>
      </w:pPr>
    </w:lvl>
    <w:lvl w:ilvl="8">
      <w:start w:val="1"/>
      <w:numFmt w:val="decimal"/>
      <w:lvlText w:val="%1.%2.%3.%4.%5.%6.%7.%8.%9."/>
      <w:lvlJc w:val="left"/>
      <w:pPr>
        <w:ind w:left="15026" w:hanging="2835"/>
      </w:pPr>
    </w:lvl>
  </w:abstractNum>
  <w:num w:numId="1" w16cid:durableId="1868832353">
    <w:abstractNumId w:val="27"/>
  </w:num>
  <w:num w:numId="2" w16cid:durableId="347024170">
    <w:abstractNumId w:val="0"/>
  </w:num>
  <w:num w:numId="3" w16cid:durableId="1082486979">
    <w:abstractNumId w:val="8"/>
  </w:num>
  <w:num w:numId="4" w16cid:durableId="2023313323">
    <w:abstractNumId w:val="29"/>
  </w:num>
  <w:num w:numId="5" w16cid:durableId="1888255186">
    <w:abstractNumId w:val="5"/>
  </w:num>
  <w:num w:numId="6" w16cid:durableId="1965036949">
    <w:abstractNumId w:val="28"/>
  </w:num>
  <w:num w:numId="7" w16cid:durableId="1669364536">
    <w:abstractNumId w:val="22"/>
  </w:num>
  <w:num w:numId="8" w16cid:durableId="835000435">
    <w:abstractNumId w:val="15"/>
  </w:num>
  <w:num w:numId="9" w16cid:durableId="625935094">
    <w:abstractNumId w:val="21"/>
  </w:num>
  <w:num w:numId="10" w16cid:durableId="1283338806">
    <w:abstractNumId w:val="4"/>
  </w:num>
  <w:num w:numId="11" w16cid:durableId="1553225157">
    <w:abstractNumId w:val="11"/>
  </w:num>
  <w:num w:numId="12" w16cid:durableId="1589850227">
    <w:abstractNumId w:val="24"/>
  </w:num>
  <w:num w:numId="13" w16cid:durableId="439879817">
    <w:abstractNumId w:val="9"/>
  </w:num>
  <w:num w:numId="14" w16cid:durableId="213467253">
    <w:abstractNumId w:val="2"/>
  </w:num>
  <w:num w:numId="15" w16cid:durableId="1584024120">
    <w:abstractNumId w:val="10"/>
  </w:num>
  <w:num w:numId="16" w16cid:durableId="772869838">
    <w:abstractNumId w:val="17"/>
  </w:num>
  <w:num w:numId="17" w16cid:durableId="1886674496">
    <w:abstractNumId w:val="1"/>
  </w:num>
  <w:num w:numId="18" w16cid:durableId="1691057946">
    <w:abstractNumId w:val="26"/>
  </w:num>
  <w:num w:numId="19" w16cid:durableId="51659547">
    <w:abstractNumId w:val="19"/>
  </w:num>
  <w:num w:numId="20" w16cid:durableId="1869830726">
    <w:abstractNumId w:val="3"/>
  </w:num>
  <w:num w:numId="21" w16cid:durableId="1020401633">
    <w:abstractNumId w:val="20"/>
  </w:num>
  <w:num w:numId="22" w16cid:durableId="689376176">
    <w:abstractNumId w:val="14"/>
  </w:num>
  <w:num w:numId="23" w16cid:durableId="2029943633">
    <w:abstractNumId w:val="12"/>
  </w:num>
  <w:num w:numId="24" w16cid:durableId="1277640987">
    <w:abstractNumId w:val="23"/>
  </w:num>
  <w:num w:numId="25" w16cid:durableId="892931880">
    <w:abstractNumId w:val="18"/>
  </w:num>
  <w:num w:numId="26" w16cid:durableId="651256399">
    <w:abstractNumId w:val="6"/>
  </w:num>
  <w:num w:numId="27" w16cid:durableId="121315679">
    <w:abstractNumId w:val="7"/>
  </w:num>
  <w:num w:numId="28" w16cid:durableId="268397452">
    <w:abstractNumId w:val="25"/>
  </w:num>
  <w:num w:numId="29" w16cid:durableId="663321171">
    <w:abstractNumId w:val="16"/>
  </w:num>
  <w:num w:numId="30" w16cid:durableId="1416316282">
    <w:abstractNumId w:val="13"/>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NLAwMjY0NjezMLIwtjBQ0lEKTi0uzszPAykwrgUAfygSYiwAAAA="/>
  </w:docVars>
  <w:rsids>
    <w:rsidRoot w:val="002A0DFC"/>
    <w:rsid w:val="00000337"/>
    <w:rsid w:val="00000F0B"/>
    <w:rsid w:val="00003E8F"/>
    <w:rsid w:val="00004646"/>
    <w:rsid w:val="00005D91"/>
    <w:rsid w:val="00006A4B"/>
    <w:rsid w:val="000111B7"/>
    <w:rsid w:val="00011DE8"/>
    <w:rsid w:val="00011F6E"/>
    <w:rsid w:val="0001276E"/>
    <w:rsid w:val="00012CE7"/>
    <w:rsid w:val="00012FF6"/>
    <w:rsid w:val="000131F1"/>
    <w:rsid w:val="000131FD"/>
    <w:rsid w:val="000142A2"/>
    <w:rsid w:val="00016B24"/>
    <w:rsid w:val="00017112"/>
    <w:rsid w:val="000172CA"/>
    <w:rsid w:val="00021D31"/>
    <w:rsid w:val="00021FCE"/>
    <w:rsid w:val="0002268C"/>
    <w:rsid w:val="00022939"/>
    <w:rsid w:val="00022FB9"/>
    <w:rsid w:val="00024C02"/>
    <w:rsid w:val="0002525E"/>
    <w:rsid w:val="00026B61"/>
    <w:rsid w:val="00027629"/>
    <w:rsid w:val="000277B8"/>
    <w:rsid w:val="0002792E"/>
    <w:rsid w:val="00030EFA"/>
    <w:rsid w:val="000321D5"/>
    <w:rsid w:val="00032A70"/>
    <w:rsid w:val="0003348A"/>
    <w:rsid w:val="000351CC"/>
    <w:rsid w:val="000369C0"/>
    <w:rsid w:val="00036F99"/>
    <w:rsid w:val="00040569"/>
    <w:rsid w:val="000450CB"/>
    <w:rsid w:val="00045827"/>
    <w:rsid w:val="00045A29"/>
    <w:rsid w:val="00045F77"/>
    <w:rsid w:val="0004744C"/>
    <w:rsid w:val="00047ECF"/>
    <w:rsid w:val="00051524"/>
    <w:rsid w:val="00051A3B"/>
    <w:rsid w:val="00051E59"/>
    <w:rsid w:val="00051E86"/>
    <w:rsid w:val="00052D33"/>
    <w:rsid w:val="0005435B"/>
    <w:rsid w:val="000554E5"/>
    <w:rsid w:val="00066A8B"/>
    <w:rsid w:val="00067298"/>
    <w:rsid w:val="000710A0"/>
    <w:rsid w:val="00072B2C"/>
    <w:rsid w:val="00072B32"/>
    <w:rsid w:val="00073847"/>
    <w:rsid w:val="000742DC"/>
    <w:rsid w:val="000759BF"/>
    <w:rsid w:val="0007695F"/>
    <w:rsid w:val="00077196"/>
    <w:rsid w:val="0007771F"/>
    <w:rsid w:val="00080D1A"/>
    <w:rsid w:val="00083803"/>
    <w:rsid w:val="00083A01"/>
    <w:rsid w:val="00084605"/>
    <w:rsid w:val="00085BB3"/>
    <w:rsid w:val="00086D60"/>
    <w:rsid w:val="00087752"/>
    <w:rsid w:val="00091A86"/>
    <w:rsid w:val="00091C47"/>
    <w:rsid w:val="00093527"/>
    <w:rsid w:val="000967CB"/>
    <w:rsid w:val="000971A0"/>
    <w:rsid w:val="000978E4"/>
    <w:rsid w:val="000A169D"/>
    <w:rsid w:val="000A1B46"/>
    <w:rsid w:val="000A59D6"/>
    <w:rsid w:val="000A61E1"/>
    <w:rsid w:val="000A6B27"/>
    <w:rsid w:val="000A6C35"/>
    <w:rsid w:val="000B075C"/>
    <w:rsid w:val="000B1698"/>
    <w:rsid w:val="000B2BDD"/>
    <w:rsid w:val="000B38B0"/>
    <w:rsid w:val="000B49D4"/>
    <w:rsid w:val="000B5A7A"/>
    <w:rsid w:val="000C1615"/>
    <w:rsid w:val="000C2018"/>
    <w:rsid w:val="000C264B"/>
    <w:rsid w:val="000C3845"/>
    <w:rsid w:val="000C4278"/>
    <w:rsid w:val="000C58A4"/>
    <w:rsid w:val="000C65D3"/>
    <w:rsid w:val="000C6F31"/>
    <w:rsid w:val="000C7DEB"/>
    <w:rsid w:val="000C7EE9"/>
    <w:rsid w:val="000C7F55"/>
    <w:rsid w:val="000C7FC5"/>
    <w:rsid w:val="000D0EB1"/>
    <w:rsid w:val="000D1FA2"/>
    <w:rsid w:val="000D268F"/>
    <w:rsid w:val="000D3681"/>
    <w:rsid w:val="000D3904"/>
    <w:rsid w:val="000D39C4"/>
    <w:rsid w:val="000D40E3"/>
    <w:rsid w:val="000D4B65"/>
    <w:rsid w:val="000D52FB"/>
    <w:rsid w:val="000D6A11"/>
    <w:rsid w:val="000D6D48"/>
    <w:rsid w:val="000E0A4D"/>
    <w:rsid w:val="000E0BA2"/>
    <w:rsid w:val="000E11BF"/>
    <w:rsid w:val="000E22F6"/>
    <w:rsid w:val="000E3AD9"/>
    <w:rsid w:val="000E4AC1"/>
    <w:rsid w:val="000E50B2"/>
    <w:rsid w:val="000E5EBD"/>
    <w:rsid w:val="000E7067"/>
    <w:rsid w:val="000E7D73"/>
    <w:rsid w:val="000F0811"/>
    <w:rsid w:val="000F220B"/>
    <w:rsid w:val="000F349B"/>
    <w:rsid w:val="000F5DB1"/>
    <w:rsid w:val="000F6C92"/>
    <w:rsid w:val="00102646"/>
    <w:rsid w:val="0010384A"/>
    <w:rsid w:val="00106248"/>
    <w:rsid w:val="001066B1"/>
    <w:rsid w:val="00107A82"/>
    <w:rsid w:val="0010E5CF"/>
    <w:rsid w:val="00110F13"/>
    <w:rsid w:val="00112140"/>
    <w:rsid w:val="00112663"/>
    <w:rsid w:val="0011351E"/>
    <w:rsid w:val="0011436C"/>
    <w:rsid w:val="001159B2"/>
    <w:rsid w:val="00115C04"/>
    <w:rsid w:val="00115F6E"/>
    <w:rsid w:val="00116ECE"/>
    <w:rsid w:val="00117331"/>
    <w:rsid w:val="00117850"/>
    <w:rsid w:val="00123604"/>
    <w:rsid w:val="001237A1"/>
    <w:rsid w:val="001244DB"/>
    <w:rsid w:val="001257D4"/>
    <w:rsid w:val="001268E9"/>
    <w:rsid w:val="00126C2C"/>
    <w:rsid w:val="00127EA6"/>
    <w:rsid w:val="001300DE"/>
    <w:rsid w:val="0013066D"/>
    <w:rsid w:val="00130C53"/>
    <w:rsid w:val="00131309"/>
    <w:rsid w:val="00131382"/>
    <w:rsid w:val="00132F69"/>
    <w:rsid w:val="00133237"/>
    <w:rsid w:val="001349E6"/>
    <w:rsid w:val="00136795"/>
    <w:rsid w:val="00137014"/>
    <w:rsid w:val="0013704C"/>
    <w:rsid w:val="0014206F"/>
    <w:rsid w:val="00142494"/>
    <w:rsid w:val="00143FD2"/>
    <w:rsid w:val="001448CC"/>
    <w:rsid w:val="0014510A"/>
    <w:rsid w:val="00145639"/>
    <w:rsid w:val="00146E52"/>
    <w:rsid w:val="00147660"/>
    <w:rsid w:val="0015049C"/>
    <w:rsid w:val="001513C2"/>
    <w:rsid w:val="00151E12"/>
    <w:rsid w:val="001533AD"/>
    <w:rsid w:val="001539D9"/>
    <w:rsid w:val="00153C23"/>
    <w:rsid w:val="00153C6B"/>
    <w:rsid w:val="00153CDE"/>
    <w:rsid w:val="00154C87"/>
    <w:rsid w:val="00157D27"/>
    <w:rsid w:val="001606F1"/>
    <w:rsid w:val="00160E64"/>
    <w:rsid w:val="00161A35"/>
    <w:rsid w:val="001621EB"/>
    <w:rsid w:val="00162615"/>
    <w:rsid w:val="001630CA"/>
    <w:rsid w:val="001631A0"/>
    <w:rsid w:val="00164B1F"/>
    <w:rsid w:val="00164FD4"/>
    <w:rsid w:val="0016620F"/>
    <w:rsid w:val="0016636A"/>
    <w:rsid w:val="00167793"/>
    <w:rsid w:val="0017025B"/>
    <w:rsid w:val="00172FCB"/>
    <w:rsid w:val="00173F1F"/>
    <w:rsid w:val="001740CB"/>
    <w:rsid w:val="0017469D"/>
    <w:rsid w:val="00176978"/>
    <w:rsid w:val="00176EC8"/>
    <w:rsid w:val="00177280"/>
    <w:rsid w:val="00177E16"/>
    <w:rsid w:val="001801D5"/>
    <w:rsid w:val="00182014"/>
    <w:rsid w:val="00182528"/>
    <w:rsid w:val="00182896"/>
    <w:rsid w:val="00183760"/>
    <w:rsid w:val="00184962"/>
    <w:rsid w:val="0018555E"/>
    <w:rsid w:val="00185DC0"/>
    <w:rsid w:val="00187017"/>
    <w:rsid w:val="0018705A"/>
    <w:rsid w:val="00187146"/>
    <w:rsid w:val="00187722"/>
    <w:rsid w:val="00187C9B"/>
    <w:rsid w:val="001918D0"/>
    <w:rsid w:val="00191F4C"/>
    <w:rsid w:val="001936D2"/>
    <w:rsid w:val="0019486C"/>
    <w:rsid w:val="00194D40"/>
    <w:rsid w:val="00196A08"/>
    <w:rsid w:val="00196C8A"/>
    <w:rsid w:val="00196E2F"/>
    <w:rsid w:val="00197A47"/>
    <w:rsid w:val="001A1507"/>
    <w:rsid w:val="001A1D8A"/>
    <w:rsid w:val="001A2B1D"/>
    <w:rsid w:val="001A30CF"/>
    <w:rsid w:val="001A60AF"/>
    <w:rsid w:val="001A66F6"/>
    <w:rsid w:val="001A68B2"/>
    <w:rsid w:val="001A76E1"/>
    <w:rsid w:val="001B6903"/>
    <w:rsid w:val="001B7130"/>
    <w:rsid w:val="001B784D"/>
    <w:rsid w:val="001C174A"/>
    <w:rsid w:val="001C2C0A"/>
    <w:rsid w:val="001C326E"/>
    <w:rsid w:val="001C470C"/>
    <w:rsid w:val="001C6DCA"/>
    <w:rsid w:val="001C7768"/>
    <w:rsid w:val="001D004B"/>
    <w:rsid w:val="001D040B"/>
    <w:rsid w:val="001D068B"/>
    <w:rsid w:val="001D1804"/>
    <w:rsid w:val="001D1C44"/>
    <w:rsid w:val="001D28F4"/>
    <w:rsid w:val="001D29F1"/>
    <w:rsid w:val="001D44DE"/>
    <w:rsid w:val="001D47C3"/>
    <w:rsid w:val="001D62C0"/>
    <w:rsid w:val="001D7E99"/>
    <w:rsid w:val="001E0840"/>
    <w:rsid w:val="001E20BE"/>
    <w:rsid w:val="001E2ABF"/>
    <w:rsid w:val="001E35C9"/>
    <w:rsid w:val="001E4D24"/>
    <w:rsid w:val="001E5B99"/>
    <w:rsid w:val="001E7941"/>
    <w:rsid w:val="001F01E2"/>
    <w:rsid w:val="001F09DE"/>
    <w:rsid w:val="001F0BE3"/>
    <w:rsid w:val="001F0E52"/>
    <w:rsid w:val="001F0F9E"/>
    <w:rsid w:val="001F1204"/>
    <w:rsid w:val="001F1443"/>
    <w:rsid w:val="001F161F"/>
    <w:rsid w:val="001F19CA"/>
    <w:rsid w:val="001F1B3F"/>
    <w:rsid w:val="001F673F"/>
    <w:rsid w:val="001F6911"/>
    <w:rsid w:val="001F69D3"/>
    <w:rsid w:val="001F7378"/>
    <w:rsid w:val="0020007C"/>
    <w:rsid w:val="00202073"/>
    <w:rsid w:val="002024B3"/>
    <w:rsid w:val="00202FCF"/>
    <w:rsid w:val="002044A5"/>
    <w:rsid w:val="00204ED0"/>
    <w:rsid w:val="00205458"/>
    <w:rsid w:val="00205CB7"/>
    <w:rsid w:val="00206ABC"/>
    <w:rsid w:val="00210F0D"/>
    <w:rsid w:val="002110CC"/>
    <w:rsid w:val="002112DE"/>
    <w:rsid w:val="00212F0C"/>
    <w:rsid w:val="002130F3"/>
    <w:rsid w:val="002136BA"/>
    <w:rsid w:val="00214DB2"/>
    <w:rsid w:val="0021552F"/>
    <w:rsid w:val="002162DE"/>
    <w:rsid w:val="00217B1E"/>
    <w:rsid w:val="00221335"/>
    <w:rsid w:val="0022260D"/>
    <w:rsid w:val="00223CF3"/>
    <w:rsid w:val="00223D32"/>
    <w:rsid w:val="0022626C"/>
    <w:rsid w:val="002263B7"/>
    <w:rsid w:val="00226687"/>
    <w:rsid w:val="00226697"/>
    <w:rsid w:val="00227F31"/>
    <w:rsid w:val="002308B6"/>
    <w:rsid w:val="0023267C"/>
    <w:rsid w:val="00233AA2"/>
    <w:rsid w:val="00235F56"/>
    <w:rsid w:val="00241597"/>
    <w:rsid w:val="002418E3"/>
    <w:rsid w:val="002436E0"/>
    <w:rsid w:val="00244C21"/>
    <w:rsid w:val="0024523B"/>
    <w:rsid w:val="00245670"/>
    <w:rsid w:val="00246604"/>
    <w:rsid w:val="00246BF0"/>
    <w:rsid w:val="00246EA9"/>
    <w:rsid w:val="0024784E"/>
    <w:rsid w:val="00252666"/>
    <w:rsid w:val="002528C0"/>
    <w:rsid w:val="0025405D"/>
    <w:rsid w:val="00254982"/>
    <w:rsid w:val="00254C19"/>
    <w:rsid w:val="00255FC1"/>
    <w:rsid w:val="00257CC0"/>
    <w:rsid w:val="00261F74"/>
    <w:rsid w:val="0026261A"/>
    <w:rsid w:val="0026284F"/>
    <w:rsid w:val="00263AC1"/>
    <w:rsid w:val="00263D9C"/>
    <w:rsid w:val="0026560A"/>
    <w:rsid w:val="002657AB"/>
    <w:rsid w:val="00265FE4"/>
    <w:rsid w:val="0026634C"/>
    <w:rsid w:val="00266359"/>
    <w:rsid w:val="00266645"/>
    <w:rsid w:val="002668C2"/>
    <w:rsid w:val="00270ADE"/>
    <w:rsid w:val="0027108B"/>
    <w:rsid w:val="002732BC"/>
    <w:rsid w:val="00274808"/>
    <w:rsid w:val="002760B3"/>
    <w:rsid w:val="0027773F"/>
    <w:rsid w:val="00277BFA"/>
    <w:rsid w:val="00277EEF"/>
    <w:rsid w:val="0028365A"/>
    <w:rsid w:val="00284465"/>
    <w:rsid w:val="00284E6F"/>
    <w:rsid w:val="00285398"/>
    <w:rsid w:val="002853AB"/>
    <w:rsid w:val="00285AD3"/>
    <w:rsid w:val="00286439"/>
    <w:rsid w:val="0028754C"/>
    <w:rsid w:val="002904A2"/>
    <w:rsid w:val="002906A6"/>
    <w:rsid w:val="0029226A"/>
    <w:rsid w:val="00292D2E"/>
    <w:rsid w:val="00294EB6"/>
    <w:rsid w:val="00295821"/>
    <w:rsid w:val="002958A6"/>
    <w:rsid w:val="00295CA4"/>
    <w:rsid w:val="00296B7C"/>
    <w:rsid w:val="00297241"/>
    <w:rsid w:val="00297410"/>
    <w:rsid w:val="002A0DFC"/>
    <w:rsid w:val="002A1E91"/>
    <w:rsid w:val="002A2731"/>
    <w:rsid w:val="002A49B3"/>
    <w:rsid w:val="002A5D16"/>
    <w:rsid w:val="002A6E91"/>
    <w:rsid w:val="002B063F"/>
    <w:rsid w:val="002B28AF"/>
    <w:rsid w:val="002B2A07"/>
    <w:rsid w:val="002B5B44"/>
    <w:rsid w:val="002B7ECB"/>
    <w:rsid w:val="002C01C9"/>
    <w:rsid w:val="002C11ED"/>
    <w:rsid w:val="002C4728"/>
    <w:rsid w:val="002C4F4C"/>
    <w:rsid w:val="002C69FE"/>
    <w:rsid w:val="002C716C"/>
    <w:rsid w:val="002C7AD8"/>
    <w:rsid w:val="002D11E4"/>
    <w:rsid w:val="002D1938"/>
    <w:rsid w:val="002D2216"/>
    <w:rsid w:val="002D2469"/>
    <w:rsid w:val="002D4EEC"/>
    <w:rsid w:val="002D5AE2"/>
    <w:rsid w:val="002D63F5"/>
    <w:rsid w:val="002D679D"/>
    <w:rsid w:val="002E0FFD"/>
    <w:rsid w:val="002E1C34"/>
    <w:rsid w:val="002E36FD"/>
    <w:rsid w:val="002E5FBA"/>
    <w:rsid w:val="002E639B"/>
    <w:rsid w:val="002E650B"/>
    <w:rsid w:val="002F0C5B"/>
    <w:rsid w:val="002F21CE"/>
    <w:rsid w:val="002F22A5"/>
    <w:rsid w:val="002F2DD7"/>
    <w:rsid w:val="002F3655"/>
    <w:rsid w:val="002F558A"/>
    <w:rsid w:val="002F6B27"/>
    <w:rsid w:val="002F6D14"/>
    <w:rsid w:val="002F70B1"/>
    <w:rsid w:val="00300061"/>
    <w:rsid w:val="00301D4A"/>
    <w:rsid w:val="00303533"/>
    <w:rsid w:val="003056DB"/>
    <w:rsid w:val="00306444"/>
    <w:rsid w:val="003067D8"/>
    <w:rsid w:val="00306F0C"/>
    <w:rsid w:val="00306FBF"/>
    <w:rsid w:val="00310A26"/>
    <w:rsid w:val="00312E4A"/>
    <w:rsid w:val="00314942"/>
    <w:rsid w:val="00316CB4"/>
    <w:rsid w:val="00316E4D"/>
    <w:rsid w:val="003172C3"/>
    <w:rsid w:val="00317757"/>
    <w:rsid w:val="00317A09"/>
    <w:rsid w:val="00320759"/>
    <w:rsid w:val="003248A4"/>
    <w:rsid w:val="00324A86"/>
    <w:rsid w:val="003251C5"/>
    <w:rsid w:val="00326965"/>
    <w:rsid w:val="00326A7D"/>
    <w:rsid w:val="00326E6C"/>
    <w:rsid w:val="00327048"/>
    <w:rsid w:val="00332FD8"/>
    <w:rsid w:val="0033347E"/>
    <w:rsid w:val="003336A0"/>
    <w:rsid w:val="00334381"/>
    <w:rsid w:val="003366E9"/>
    <w:rsid w:val="003403FD"/>
    <w:rsid w:val="00341B5A"/>
    <w:rsid w:val="00344A53"/>
    <w:rsid w:val="00344B77"/>
    <w:rsid w:val="003452F6"/>
    <w:rsid w:val="00345D59"/>
    <w:rsid w:val="003477EA"/>
    <w:rsid w:val="00347AC0"/>
    <w:rsid w:val="00347D1F"/>
    <w:rsid w:val="00351469"/>
    <w:rsid w:val="00351F47"/>
    <w:rsid w:val="00352165"/>
    <w:rsid w:val="00352606"/>
    <w:rsid w:val="0035282B"/>
    <w:rsid w:val="0035316F"/>
    <w:rsid w:val="00353786"/>
    <w:rsid w:val="00354BEE"/>
    <w:rsid w:val="003552CB"/>
    <w:rsid w:val="003579B4"/>
    <w:rsid w:val="003600D9"/>
    <w:rsid w:val="00362487"/>
    <w:rsid w:val="003628B9"/>
    <w:rsid w:val="00363960"/>
    <w:rsid w:val="003639D0"/>
    <w:rsid w:val="00365C32"/>
    <w:rsid w:val="00367419"/>
    <w:rsid w:val="00371A6A"/>
    <w:rsid w:val="00375BAD"/>
    <w:rsid w:val="00376106"/>
    <w:rsid w:val="0037799D"/>
    <w:rsid w:val="00381877"/>
    <w:rsid w:val="00384168"/>
    <w:rsid w:val="003843DE"/>
    <w:rsid w:val="0038605F"/>
    <w:rsid w:val="00387633"/>
    <w:rsid w:val="003913D7"/>
    <w:rsid w:val="00391DB2"/>
    <w:rsid w:val="00392410"/>
    <w:rsid w:val="00392A98"/>
    <w:rsid w:val="00393227"/>
    <w:rsid w:val="00393243"/>
    <w:rsid w:val="00396F13"/>
    <w:rsid w:val="0039720D"/>
    <w:rsid w:val="00397C8F"/>
    <w:rsid w:val="003A24F3"/>
    <w:rsid w:val="003A310D"/>
    <w:rsid w:val="003A57BA"/>
    <w:rsid w:val="003A66CB"/>
    <w:rsid w:val="003A6F2B"/>
    <w:rsid w:val="003A7132"/>
    <w:rsid w:val="003A790D"/>
    <w:rsid w:val="003B2187"/>
    <w:rsid w:val="003B40EA"/>
    <w:rsid w:val="003B532E"/>
    <w:rsid w:val="003B5DC2"/>
    <w:rsid w:val="003B627C"/>
    <w:rsid w:val="003B75B0"/>
    <w:rsid w:val="003C11FD"/>
    <w:rsid w:val="003C19A4"/>
    <w:rsid w:val="003C1EA5"/>
    <w:rsid w:val="003C4A8E"/>
    <w:rsid w:val="003C6089"/>
    <w:rsid w:val="003C6288"/>
    <w:rsid w:val="003C6FF0"/>
    <w:rsid w:val="003C711D"/>
    <w:rsid w:val="003D08AF"/>
    <w:rsid w:val="003D1334"/>
    <w:rsid w:val="003D3241"/>
    <w:rsid w:val="003D41AE"/>
    <w:rsid w:val="003D4CE7"/>
    <w:rsid w:val="003D5343"/>
    <w:rsid w:val="003D72B3"/>
    <w:rsid w:val="003D7D72"/>
    <w:rsid w:val="003E2956"/>
    <w:rsid w:val="003E3130"/>
    <w:rsid w:val="003E391E"/>
    <w:rsid w:val="003E3E38"/>
    <w:rsid w:val="003E45F1"/>
    <w:rsid w:val="003E4D77"/>
    <w:rsid w:val="003E5181"/>
    <w:rsid w:val="003E5D6B"/>
    <w:rsid w:val="003E6132"/>
    <w:rsid w:val="003E647C"/>
    <w:rsid w:val="003E6525"/>
    <w:rsid w:val="003E6C70"/>
    <w:rsid w:val="003F03A1"/>
    <w:rsid w:val="003F0C19"/>
    <w:rsid w:val="003F203A"/>
    <w:rsid w:val="003F343F"/>
    <w:rsid w:val="003F498D"/>
    <w:rsid w:val="003F6B45"/>
    <w:rsid w:val="003F711C"/>
    <w:rsid w:val="00402033"/>
    <w:rsid w:val="00402A08"/>
    <w:rsid w:val="00402EE1"/>
    <w:rsid w:val="00402FAE"/>
    <w:rsid w:val="00403C90"/>
    <w:rsid w:val="00404065"/>
    <w:rsid w:val="00404433"/>
    <w:rsid w:val="00404EBA"/>
    <w:rsid w:val="0040533A"/>
    <w:rsid w:val="00405B52"/>
    <w:rsid w:val="00407613"/>
    <w:rsid w:val="00407A02"/>
    <w:rsid w:val="00407FBE"/>
    <w:rsid w:val="0041058F"/>
    <w:rsid w:val="0041118F"/>
    <w:rsid w:val="004119A3"/>
    <w:rsid w:val="0041214C"/>
    <w:rsid w:val="0041467C"/>
    <w:rsid w:val="0041541C"/>
    <w:rsid w:val="00415423"/>
    <w:rsid w:val="00415F51"/>
    <w:rsid w:val="004169DD"/>
    <w:rsid w:val="00417601"/>
    <w:rsid w:val="004219DF"/>
    <w:rsid w:val="004222C8"/>
    <w:rsid w:val="004243B3"/>
    <w:rsid w:val="00424964"/>
    <w:rsid w:val="00425118"/>
    <w:rsid w:val="004262E7"/>
    <w:rsid w:val="004308C1"/>
    <w:rsid w:val="004316B3"/>
    <w:rsid w:val="00431726"/>
    <w:rsid w:val="00432BC3"/>
    <w:rsid w:val="00432C0A"/>
    <w:rsid w:val="00432EC2"/>
    <w:rsid w:val="00434B22"/>
    <w:rsid w:val="00434B5C"/>
    <w:rsid w:val="00435C9C"/>
    <w:rsid w:val="0043649C"/>
    <w:rsid w:val="004372EF"/>
    <w:rsid w:val="0043777E"/>
    <w:rsid w:val="00440120"/>
    <w:rsid w:val="0044177E"/>
    <w:rsid w:val="004417B8"/>
    <w:rsid w:val="00441FC3"/>
    <w:rsid w:val="0044402A"/>
    <w:rsid w:val="0044407B"/>
    <w:rsid w:val="00444548"/>
    <w:rsid w:val="0044547A"/>
    <w:rsid w:val="004458B7"/>
    <w:rsid w:val="00446A5D"/>
    <w:rsid w:val="00450533"/>
    <w:rsid w:val="00450ACA"/>
    <w:rsid w:val="004514B3"/>
    <w:rsid w:val="00451AAE"/>
    <w:rsid w:val="004546DB"/>
    <w:rsid w:val="00455ED9"/>
    <w:rsid w:val="00456A83"/>
    <w:rsid w:val="0045732D"/>
    <w:rsid w:val="004573F3"/>
    <w:rsid w:val="004618F6"/>
    <w:rsid w:val="0046193A"/>
    <w:rsid w:val="0046273B"/>
    <w:rsid w:val="00466CB5"/>
    <w:rsid w:val="00470266"/>
    <w:rsid w:val="00470A02"/>
    <w:rsid w:val="004710EC"/>
    <w:rsid w:val="00471718"/>
    <w:rsid w:val="00471EEF"/>
    <w:rsid w:val="00474853"/>
    <w:rsid w:val="00474BC8"/>
    <w:rsid w:val="004755E1"/>
    <w:rsid w:val="00476376"/>
    <w:rsid w:val="004763F7"/>
    <w:rsid w:val="0048050C"/>
    <w:rsid w:val="004806D2"/>
    <w:rsid w:val="00481532"/>
    <w:rsid w:val="004828CA"/>
    <w:rsid w:val="00482D25"/>
    <w:rsid w:val="0048390B"/>
    <w:rsid w:val="00485ADE"/>
    <w:rsid w:val="00487510"/>
    <w:rsid w:val="00487EEB"/>
    <w:rsid w:val="004936AE"/>
    <w:rsid w:val="00494096"/>
    <w:rsid w:val="00494C0A"/>
    <w:rsid w:val="00495A9E"/>
    <w:rsid w:val="00495C74"/>
    <w:rsid w:val="004971CE"/>
    <w:rsid w:val="00497852"/>
    <w:rsid w:val="004A0184"/>
    <w:rsid w:val="004A0320"/>
    <w:rsid w:val="004A12E8"/>
    <w:rsid w:val="004A14AB"/>
    <w:rsid w:val="004A1B4A"/>
    <w:rsid w:val="004A28B5"/>
    <w:rsid w:val="004A3B98"/>
    <w:rsid w:val="004A3F81"/>
    <w:rsid w:val="004A56B8"/>
    <w:rsid w:val="004A5857"/>
    <w:rsid w:val="004A61FC"/>
    <w:rsid w:val="004A67CF"/>
    <w:rsid w:val="004B46CE"/>
    <w:rsid w:val="004B4E11"/>
    <w:rsid w:val="004B5B73"/>
    <w:rsid w:val="004B6555"/>
    <w:rsid w:val="004B79B9"/>
    <w:rsid w:val="004B7C6F"/>
    <w:rsid w:val="004C1043"/>
    <w:rsid w:val="004C1440"/>
    <w:rsid w:val="004C1A78"/>
    <w:rsid w:val="004C1C4F"/>
    <w:rsid w:val="004C43C6"/>
    <w:rsid w:val="004C5053"/>
    <w:rsid w:val="004C5E09"/>
    <w:rsid w:val="004C6B50"/>
    <w:rsid w:val="004C7624"/>
    <w:rsid w:val="004D2D7E"/>
    <w:rsid w:val="004D3959"/>
    <w:rsid w:val="004D5956"/>
    <w:rsid w:val="004D5D2A"/>
    <w:rsid w:val="004D7351"/>
    <w:rsid w:val="004D79FE"/>
    <w:rsid w:val="004E0206"/>
    <w:rsid w:val="004E1936"/>
    <w:rsid w:val="004E1AAC"/>
    <w:rsid w:val="004E2243"/>
    <w:rsid w:val="004E3CA5"/>
    <w:rsid w:val="004E3CF2"/>
    <w:rsid w:val="004E4072"/>
    <w:rsid w:val="004E4E89"/>
    <w:rsid w:val="004E7202"/>
    <w:rsid w:val="004E7471"/>
    <w:rsid w:val="004F0E93"/>
    <w:rsid w:val="004F1B84"/>
    <w:rsid w:val="004F1E38"/>
    <w:rsid w:val="004F27ED"/>
    <w:rsid w:val="004F2D28"/>
    <w:rsid w:val="004F5615"/>
    <w:rsid w:val="004F5A2D"/>
    <w:rsid w:val="00500012"/>
    <w:rsid w:val="0050143F"/>
    <w:rsid w:val="0050150A"/>
    <w:rsid w:val="00502522"/>
    <w:rsid w:val="005029FC"/>
    <w:rsid w:val="005032C3"/>
    <w:rsid w:val="00503785"/>
    <w:rsid w:val="00503C85"/>
    <w:rsid w:val="00503C9F"/>
    <w:rsid w:val="005051C1"/>
    <w:rsid w:val="005068C7"/>
    <w:rsid w:val="005078EC"/>
    <w:rsid w:val="005100B1"/>
    <w:rsid w:val="0051060C"/>
    <w:rsid w:val="005106ED"/>
    <w:rsid w:val="00513CBF"/>
    <w:rsid w:val="0051436B"/>
    <w:rsid w:val="00515B9E"/>
    <w:rsid w:val="00516A7F"/>
    <w:rsid w:val="005171FC"/>
    <w:rsid w:val="00520979"/>
    <w:rsid w:val="00521D3D"/>
    <w:rsid w:val="00523EB1"/>
    <w:rsid w:val="00523F06"/>
    <w:rsid w:val="005240C2"/>
    <w:rsid w:val="005247A6"/>
    <w:rsid w:val="005265BC"/>
    <w:rsid w:val="00527A87"/>
    <w:rsid w:val="005308CE"/>
    <w:rsid w:val="00531AF6"/>
    <w:rsid w:val="00531E15"/>
    <w:rsid w:val="00531F0D"/>
    <w:rsid w:val="00533777"/>
    <w:rsid w:val="00533A5D"/>
    <w:rsid w:val="00533E4F"/>
    <w:rsid w:val="00535740"/>
    <w:rsid w:val="00536900"/>
    <w:rsid w:val="00537915"/>
    <w:rsid w:val="0054122B"/>
    <w:rsid w:val="0054228C"/>
    <w:rsid w:val="00542AD0"/>
    <w:rsid w:val="00542B29"/>
    <w:rsid w:val="005434B6"/>
    <w:rsid w:val="00543E42"/>
    <w:rsid w:val="00543E66"/>
    <w:rsid w:val="005444BB"/>
    <w:rsid w:val="005448E7"/>
    <w:rsid w:val="005449E8"/>
    <w:rsid w:val="00544DC3"/>
    <w:rsid w:val="00544E20"/>
    <w:rsid w:val="005459FD"/>
    <w:rsid w:val="00545DE7"/>
    <w:rsid w:val="00546468"/>
    <w:rsid w:val="005465BA"/>
    <w:rsid w:val="00546CE7"/>
    <w:rsid w:val="00550457"/>
    <w:rsid w:val="005504B2"/>
    <w:rsid w:val="0055232B"/>
    <w:rsid w:val="00552677"/>
    <w:rsid w:val="00553EF3"/>
    <w:rsid w:val="00554593"/>
    <w:rsid w:val="005549A6"/>
    <w:rsid w:val="00554A78"/>
    <w:rsid w:val="00554AC3"/>
    <w:rsid w:val="005559F4"/>
    <w:rsid w:val="00555D75"/>
    <w:rsid w:val="00555F06"/>
    <w:rsid w:val="00557F9B"/>
    <w:rsid w:val="005600A9"/>
    <w:rsid w:val="005612B7"/>
    <w:rsid w:val="005643B6"/>
    <w:rsid w:val="0056440E"/>
    <w:rsid w:val="005654D9"/>
    <w:rsid w:val="005656B1"/>
    <w:rsid w:val="00565A14"/>
    <w:rsid w:val="00572214"/>
    <w:rsid w:val="00572539"/>
    <w:rsid w:val="00573A01"/>
    <w:rsid w:val="0057454C"/>
    <w:rsid w:val="0057486A"/>
    <w:rsid w:val="00575602"/>
    <w:rsid w:val="005774D2"/>
    <w:rsid w:val="00577952"/>
    <w:rsid w:val="0058211C"/>
    <w:rsid w:val="0058216C"/>
    <w:rsid w:val="00583E29"/>
    <w:rsid w:val="00584163"/>
    <w:rsid w:val="0058491C"/>
    <w:rsid w:val="00584B23"/>
    <w:rsid w:val="0058759F"/>
    <w:rsid w:val="0059183F"/>
    <w:rsid w:val="00592F84"/>
    <w:rsid w:val="005949C0"/>
    <w:rsid w:val="00594A4B"/>
    <w:rsid w:val="00594CA0"/>
    <w:rsid w:val="00594F0D"/>
    <w:rsid w:val="0059502F"/>
    <w:rsid w:val="00596807"/>
    <w:rsid w:val="005A0441"/>
    <w:rsid w:val="005A077A"/>
    <w:rsid w:val="005A1924"/>
    <w:rsid w:val="005A1951"/>
    <w:rsid w:val="005A26D1"/>
    <w:rsid w:val="005A27F5"/>
    <w:rsid w:val="005A2E0E"/>
    <w:rsid w:val="005A5029"/>
    <w:rsid w:val="005A5536"/>
    <w:rsid w:val="005A6AAB"/>
    <w:rsid w:val="005A76D9"/>
    <w:rsid w:val="005A77A4"/>
    <w:rsid w:val="005B0A3A"/>
    <w:rsid w:val="005B1322"/>
    <w:rsid w:val="005B352A"/>
    <w:rsid w:val="005B360E"/>
    <w:rsid w:val="005B3C92"/>
    <w:rsid w:val="005B4445"/>
    <w:rsid w:val="005B5A16"/>
    <w:rsid w:val="005B5E21"/>
    <w:rsid w:val="005B6066"/>
    <w:rsid w:val="005B6393"/>
    <w:rsid w:val="005B6FAF"/>
    <w:rsid w:val="005B7D85"/>
    <w:rsid w:val="005C41B2"/>
    <w:rsid w:val="005C4CCE"/>
    <w:rsid w:val="005C54B4"/>
    <w:rsid w:val="005C798A"/>
    <w:rsid w:val="005D1494"/>
    <w:rsid w:val="005D20B6"/>
    <w:rsid w:val="005D25FF"/>
    <w:rsid w:val="005D2660"/>
    <w:rsid w:val="005D280C"/>
    <w:rsid w:val="005D30D5"/>
    <w:rsid w:val="005D3604"/>
    <w:rsid w:val="005D3C2C"/>
    <w:rsid w:val="005D4818"/>
    <w:rsid w:val="005D5DAC"/>
    <w:rsid w:val="005D743F"/>
    <w:rsid w:val="005E0BD1"/>
    <w:rsid w:val="005E1CF1"/>
    <w:rsid w:val="005E3E16"/>
    <w:rsid w:val="005E5D27"/>
    <w:rsid w:val="005E6E68"/>
    <w:rsid w:val="005F0D57"/>
    <w:rsid w:val="005F1FBC"/>
    <w:rsid w:val="005F4107"/>
    <w:rsid w:val="005F4528"/>
    <w:rsid w:val="005F534A"/>
    <w:rsid w:val="005F540F"/>
    <w:rsid w:val="005F5750"/>
    <w:rsid w:val="005F57BF"/>
    <w:rsid w:val="005F6F61"/>
    <w:rsid w:val="006025F5"/>
    <w:rsid w:val="00603062"/>
    <w:rsid w:val="0060347E"/>
    <w:rsid w:val="006036E7"/>
    <w:rsid w:val="00606C72"/>
    <w:rsid w:val="00606CB7"/>
    <w:rsid w:val="00606CDF"/>
    <w:rsid w:val="00607774"/>
    <w:rsid w:val="00607DF0"/>
    <w:rsid w:val="0061289D"/>
    <w:rsid w:val="006146F7"/>
    <w:rsid w:val="00614FFE"/>
    <w:rsid w:val="00616DBF"/>
    <w:rsid w:val="00620C41"/>
    <w:rsid w:val="00621B86"/>
    <w:rsid w:val="006263B3"/>
    <w:rsid w:val="00626CF5"/>
    <w:rsid w:val="00626E32"/>
    <w:rsid w:val="00627394"/>
    <w:rsid w:val="00627E88"/>
    <w:rsid w:val="00630B12"/>
    <w:rsid w:val="006318A3"/>
    <w:rsid w:val="00632119"/>
    <w:rsid w:val="00635CD5"/>
    <w:rsid w:val="00636551"/>
    <w:rsid w:val="0063684A"/>
    <w:rsid w:val="006368C6"/>
    <w:rsid w:val="0063724E"/>
    <w:rsid w:val="006375AE"/>
    <w:rsid w:val="006375BD"/>
    <w:rsid w:val="00640D44"/>
    <w:rsid w:val="00641629"/>
    <w:rsid w:val="00641DB5"/>
    <w:rsid w:val="006430EF"/>
    <w:rsid w:val="00645059"/>
    <w:rsid w:val="00645C3D"/>
    <w:rsid w:val="00646456"/>
    <w:rsid w:val="006471B2"/>
    <w:rsid w:val="00647272"/>
    <w:rsid w:val="006473F6"/>
    <w:rsid w:val="006509D1"/>
    <w:rsid w:val="006512A3"/>
    <w:rsid w:val="00651D5C"/>
    <w:rsid w:val="0065206C"/>
    <w:rsid w:val="00654890"/>
    <w:rsid w:val="00655BC8"/>
    <w:rsid w:val="00655D80"/>
    <w:rsid w:val="006563EB"/>
    <w:rsid w:val="00661C12"/>
    <w:rsid w:val="00661F00"/>
    <w:rsid w:val="00662A34"/>
    <w:rsid w:val="006636A1"/>
    <w:rsid w:val="006646F5"/>
    <w:rsid w:val="006671A3"/>
    <w:rsid w:val="00673DC8"/>
    <w:rsid w:val="00674135"/>
    <w:rsid w:val="00674AAD"/>
    <w:rsid w:val="00681913"/>
    <w:rsid w:val="006827FC"/>
    <w:rsid w:val="0068299E"/>
    <w:rsid w:val="0068308B"/>
    <w:rsid w:val="006842F0"/>
    <w:rsid w:val="00684F76"/>
    <w:rsid w:val="006854EF"/>
    <w:rsid w:val="00687CD3"/>
    <w:rsid w:val="00690764"/>
    <w:rsid w:val="006907D0"/>
    <w:rsid w:val="006908A2"/>
    <w:rsid w:val="00691A92"/>
    <w:rsid w:val="00692DC5"/>
    <w:rsid w:val="00692DFD"/>
    <w:rsid w:val="00692EF8"/>
    <w:rsid w:val="006933BB"/>
    <w:rsid w:val="0069425D"/>
    <w:rsid w:val="00694BAB"/>
    <w:rsid w:val="00696453"/>
    <w:rsid w:val="0069794A"/>
    <w:rsid w:val="00697D22"/>
    <w:rsid w:val="006A03FB"/>
    <w:rsid w:val="006A0DB7"/>
    <w:rsid w:val="006A0F58"/>
    <w:rsid w:val="006A15F0"/>
    <w:rsid w:val="006A3144"/>
    <w:rsid w:val="006A364B"/>
    <w:rsid w:val="006A4DFF"/>
    <w:rsid w:val="006A573C"/>
    <w:rsid w:val="006A7415"/>
    <w:rsid w:val="006A7472"/>
    <w:rsid w:val="006B0D63"/>
    <w:rsid w:val="006B3FC1"/>
    <w:rsid w:val="006B685C"/>
    <w:rsid w:val="006C1CF4"/>
    <w:rsid w:val="006C2815"/>
    <w:rsid w:val="006C2D4B"/>
    <w:rsid w:val="006C33E1"/>
    <w:rsid w:val="006C4BAD"/>
    <w:rsid w:val="006C5669"/>
    <w:rsid w:val="006C638F"/>
    <w:rsid w:val="006C661A"/>
    <w:rsid w:val="006C7529"/>
    <w:rsid w:val="006D08FA"/>
    <w:rsid w:val="006D1A9A"/>
    <w:rsid w:val="006D5013"/>
    <w:rsid w:val="006D5720"/>
    <w:rsid w:val="006D7969"/>
    <w:rsid w:val="006E009B"/>
    <w:rsid w:val="006E062F"/>
    <w:rsid w:val="006E08C2"/>
    <w:rsid w:val="006E1843"/>
    <w:rsid w:val="006E1CC0"/>
    <w:rsid w:val="006E3C93"/>
    <w:rsid w:val="006E6171"/>
    <w:rsid w:val="006F2108"/>
    <w:rsid w:val="006F76FC"/>
    <w:rsid w:val="0070170E"/>
    <w:rsid w:val="0070435D"/>
    <w:rsid w:val="00704C03"/>
    <w:rsid w:val="00706448"/>
    <w:rsid w:val="00706B48"/>
    <w:rsid w:val="0071050E"/>
    <w:rsid w:val="007124CC"/>
    <w:rsid w:val="007127A7"/>
    <w:rsid w:val="0071343F"/>
    <w:rsid w:val="00713C58"/>
    <w:rsid w:val="0071677A"/>
    <w:rsid w:val="007167E7"/>
    <w:rsid w:val="00716E31"/>
    <w:rsid w:val="0071737C"/>
    <w:rsid w:val="007209D9"/>
    <w:rsid w:val="00720B22"/>
    <w:rsid w:val="00722CC6"/>
    <w:rsid w:val="00723FC1"/>
    <w:rsid w:val="007257D3"/>
    <w:rsid w:val="00730E92"/>
    <w:rsid w:val="00730F88"/>
    <w:rsid w:val="007327CD"/>
    <w:rsid w:val="007339A2"/>
    <w:rsid w:val="00733EFB"/>
    <w:rsid w:val="007351D6"/>
    <w:rsid w:val="00735BD1"/>
    <w:rsid w:val="00735F94"/>
    <w:rsid w:val="007365BF"/>
    <w:rsid w:val="0073671A"/>
    <w:rsid w:val="00742D58"/>
    <w:rsid w:val="00743704"/>
    <w:rsid w:val="00744C02"/>
    <w:rsid w:val="00745532"/>
    <w:rsid w:val="00746002"/>
    <w:rsid w:val="00746508"/>
    <w:rsid w:val="00746D1A"/>
    <w:rsid w:val="0075208F"/>
    <w:rsid w:val="00753B93"/>
    <w:rsid w:val="007557E7"/>
    <w:rsid w:val="00755E10"/>
    <w:rsid w:val="0075665C"/>
    <w:rsid w:val="007569C8"/>
    <w:rsid w:val="00757D2F"/>
    <w:rsid w:val="00760500"/>
    <w:rsid w:val="00760519"/>
    <w:rsid w:val="00760829"/>
    <w:rsid w:val="00761497"/>
    <w:rsid w:val="00761D4D"/>
    <w:rsid w:val="00762F0A"/>
    <w:rsid w:val="00765087"/>
    <w:rsid w:val="007652F9"/>
    <w:rsid w:val="0076620B"/>
    <w:rsid w:val="0077119A"/>
    <w:rsid w:val="00771588"/>
    <w:rsid w:val="0077225F"/>
    <w:rsid w:val="00780778"/>
    <w:rsid w:val="007807D9"/>
    <w:rsid w:val="007813E9"/>
    <w:rsid w:val="00782302"/>
    <w:rsid w:val="007865AD"/>
    <w:rsid w:val="0078783C"/>
    <w:rsid w:val="00787851"/>
    <w:rsid w:val="00787E83"/>
    <w:rsid w:val="00790CBC"/>
    <w:rsid w:val="00791387"/>
    <w:rsid w:val="00791FEA"/>
    <w:rsid w:val="007932FB"/>
    <w:rsid w:val="007933A8"/>
    <w:rsid w:val="00795BF2"/>
    <w:rsid w:val="00795FE4"/>
    <w:rsid w:val="0079670F"/>
    <w:rsid w:val="007971E8"/>
    <w:rsid w:val="007A0806"/>
    <w:rsid w:val="007A08CB"/>
    <w:rsid w:val="007A129D"/>
    <w:rsid w:val="007A179A"/>
    <w:rsid w:val="007A18DE"/>
    <w:rsid w:val="007A1C8D"/>
    <w:rsid w:val="007A2E4D"/>
    <w:rsid w:val="007A413A"/>
    <w:rsid w:val="007A537E"/>
    <w:rsid w:val="007B0992"/>
    <w:rsid w:val="007B0ED1"/>
    <w:rsid w:val="007B20F8"/>
    <w:rsid w:val="007B26C1"/>
    <w:rsid w:val="007B2FC0"/>
    <w:rsid w:val="007B49D4"/>
    <w:rsid w:val="007B54C9"/>
    <w:rsid w:val="007C04FB"/>
    <w:rsid w:val="007C18A7"/>
    <w:rsid w:val="007C2480"/>
    <w:rsid w:val="007C394D"/>
    <w:rsid w:val="007C5009"/>
    <w:rsid w:val="007C530B"/>
    <w:rsid w:val="007C5A7B"/>
    <w:rsid w:val="007C715D"/>
    <w:rsid w:val="007D0221"/>
    <w:rsid w:val="007D07BE"/>
    <w:rsid w:val="007D0A61"/>
    <w:rsid w:val="007D17F6"/>
    <w:rsid w:val="007D3DEB"/>
    <w:rsid w:val="007D54E1"/>
    <w:rsid w:val="007D5686"/>
    <w:rsid w:val="007D6321"/>
    <w:rsid w:val="007D6E37"/>
    <w:rsid w:val="007E1648"/>
    <w:rsid w:val="007E21A6"/>
    <w:rsid w:val="007E22EF"/>
    <w:rsid w:val="007E2344"/>
    <w:rsid w:val="007E3172"/>
    <w:rsid w:val="007E3FE2"/>
    <w:rsid w:val="007E7D28"/>
    <w:rsid w:val="007F0910"/>
    <w:rsid w:val="007F1845"/>
    <w:rsid w:val="007F248D"/>
    <w:rsid w:val="007F2AA8"/>
    <w:rsid w:val="007F3F3B"/>
    <w:rsid w:val="007F47C8"/>
    <w:rsid w:val="007F77A3"/>
    <w:rsid w:val="007F7FA2"/>
    <w:rsid w:val="00800E40"/>
    <w:rsid w:val="008018F4"/>
    <w:rsid w:val="00802135"/>
    <w:rsid w:val="00802BBF"/>
    <w:rsid w:val="00802D87"/>
    <w:rsid w:val="008034BB"/>
    <w:rsid w:val="008036E5"/>
    <w:rsid w:val="00806DFB"/>
    <w:rsid w:val="00807543"/>
    <w:rsid w:val="008109E3"/>
    <w:rsid w:val="00814636"/>
    <w:rsid w:val="00814B30"/>
    <w:rsid w:val="00817F2A"/>
    <w:rsid w:val="0082060B"/>
    <w:rsid w:val="008206FA"/>
    <w:rsid w:val="00821A77"/>
    <w:rsid w:val="00824845"/>
    <w:rsid w:val="00825735"/>
    <w:rsid w:val="008276F2"/>
    <w:rsid w:val="00827A8D"/>
    <w:rsid w:val="00830131"/>
    <w:rsid w:val="00831545"/>
    <w:rsid w:val="00833F55"/>
    <w:rsid w:val="00834598"/>
    <w:rsid w:val="008345BF"/>
    <w:rsid w:val="00835D6C"/>
    <w:rsid w:val="00841684"/>
    <w:rsid w:val="00842580"/>
    <w:rsid w:val="008438B6"/>
    <w:rsid w:val="008447A8"/>
    <w:rsid w:val="00844E5C"/>
    <w:rsid w:val="00847CF2"/>
    <w:rsid w:val="00850161"/>
    <w:rsid w:val="008516BB"/>
    <w:rsid w:val="008519B8"/>
    <w:rsid w:val="00852C9E"/>
    <w:rsid w:val="0085396B"/>
    <w:rsid w:val="00853FE8"/>
    <w:rsid w:val="0085408F"/>
    <w:rsid w:val="00855442"/>
    <w:rsid w:val="008557A7"/>
    <w:rsid w:val="00855E57"/>
    <w:rsid w:val="00856027"/>
    <w:rsid w:val="00856B6C"/>
    <w:rsid w:val="00857F4E"/>
    <w:rsid w:val="0086126A"/>
    <w:rsid w:val="0086198B"/>
    <w:rsid w:val="008628C2"/>
    <w:rsid w:val="00862E89"/>
    <w:rsid w:val="0086354C"/>
    <w:rsid w:val="00863625"/>
    <w:rsid w:val="00863A84"/>
    <w:rsid w:val="00863F1E"/>
    <w:rsid w:val="008663A5"/>
    <w:rsid w:val="0086659E"/>
    <w:rsid w:val="00867010"/>
    <w:rsid w:val="00870FE1"/>
    <w:rsid w:val="008714DC"/>
    <w:rsid w:val="00872333"/>
    <w:rsid w:val="00872494"/>
    <w:rsid w:val="00876A51"/>
    <w:rsid w:val="00876AC4"/>
    <w:rsid w:val="0087733F"/>
    <w:rsid w:val="0088003A"/>
    <w:rsid w:val="00881361"/>
    <w:rsid w:val="00882CA1"/>
    <w:rsid w:val="008833C1"/>
    <w:rsid w:val="00887917"/>
    <w:rsid w:val="00887A3D"/>
    <w:rsid w:val="00890180"/>
    <w:rsid w:val="008902B8"/>
    <w:rsid w:val="0089274A"/>
    <w:rsid w:val="00895434"/>
    <w:rsid w:val="00895B70"/>
    <w:rsid w:val="00896DDB"/>
    <w:rsid w:val="008A0377"/>
    <w:rsid w:val="008A2099"/>
    <w:rsid w:val="008A227F"/>
    <w:rsid w:val="008A2E89"/>
    <w:rsid w:val="008A3B2A"/>
    <w:rsid w:val="008A4BF1"/>
    <w:rsid w:val="008A4E1D"/>
    <w:rsid w:val="008A6670"/>
    <w:rsid w:val="008A670E"/>
    <w:rsid w:val="008B00D7"/>
    <w:rsid w:val="008B08A9"/>
    <w:rsid w:val="008B08C2"/>
    <w:rsid w:val="008B1A3B"/>
    <w:rsid w:val="008B3F7F"/>
    <w:rsid w:val="008B4593"/>
    <w:rsid w:val="008B4D6E"/>
    <w:rsid w:val="008B5213"/>
    <w:rsid w:val="008C15D7"/>
    <w:rsid w:val="008C1DB8"/>
    <w:rsid w:val="008C3590"/>
    <w:rsid w:val="008C44EC"/>
    <w:rsid w:val="008C49EE"/>
    <w:rsid w:val="008C4DDB"/>
    <w:rsid w:val="008C61AB"/>
    <w:rsid w:val="008C6D94"/>
    <w:rsid w:val="008D0DE7"/>
    <w:rsid w:val="008D2063"/>
    <w:rsid w:val="008D5FF4"/>
    <w:rsid w:val="008D601B"/>
    <w:rsid w:val="008E27A7"/>
    <w:rsid w:val="008E28C4"/>
    <w:rsid w:val="008E3851"/>
    <w:rsid w:val="008E5A5B"/>
    <w:rsid w:val="008E618D"/>
    <w:rsid w:val="008F07BD"/>
    <w:rsid w:val="008F0B95"/>
    <w:rsid w:val="008F16E0"/>
    <w:rsid w:val="008F2234"/>
    <w:rsid w:val="008F43A2"/>
    <w:rsid w:val="008F5494"/>
    <w:rsid w:val="008F562A"/>
    <w:rsid w:val="008F5981"/>
    <w:rsid w:val="008F7848"/>
    <w:rsid w:val="00900269"/>
    <w:rsid w:val="009020D2"/>
    <w:rsid w:val="00903428"/>
    <w:rsid w:val="00903F91"/>
    <w:rsid w:val="00905F7B"/>
    <w:rsid w:val="00906B7F"/>
    <w:rsid w:val="009076D7"/>
    <w:rsid w:val="00910E7E"/>
    <w:rsid w:val="00910ED6"/>
    <w:rsid w:val="00911013"/>
    <w:rsid w:val="00912C13"/>
    <w:rsid w:val="00913208"/>
    <w:rsid w:val="00913281"/>
    <w:rsid w:val="009142F2"/>
    <w:rsid w:val="0091629C"/>
    <w:rsid w:val="00916A7A"/>
    <w:rsid w:val="00917DB6"/>
    <w:rsid w:val="0092089B"/>
    <w:rsid w:val="009212FB"/>
    <w:rsid w:val="00922CAD"/>
    <w:rsid w:val="009233EB"/>
    <w:rsid w:val="00924B77"/>
    <w:rsid w:val="00925899"/>
    <w:rsid w:val="00925A77"/>
    <w:rsid w:val="0092601C"/>
    <w:rsid w:val="009263CF"/>
    <w:rsid w:val="00926E66"/>
    <w:rsid w:val="0092752C"/>
    <w:rsid w:val="00931B24"/>
    <w:rsid w:val="00935094"/>
    <w:rsid w:val="00935CB6"/>
    <w:rsid w:val="00935F6E"/>
    <w:rsid w:val="009366E2"/>
    <w:rsid w:val="00936805"/>
    <w:rsid w:val="009376AF"/>
    <w:rsid w:val="009404DC"/>
    <w:rsid w:val="00940724"/>
    <w:rsid w:val="009409B0"/>
    <w:rsid w:val="009410F6"/>
    <w:rsid w:val="00942525"/>
    <w:rsid w:val="009425DA"/>
    <w:rsid w:val="0094388F"/>
    <w:rsid w:val="0094558F"/>
    <w:rsid w:val="00945ED1"/>
    <w:rsid w:val="00946230"/>
    <w:rsid w:val="00947819"/>
    <w:rsid w:val="009503BC"/>
    <w:rsid w:val="00951002"/>
    <w:rsid w:val="009525CA"/>
    <w:rsid w:val="00953FEB"/>
    <w:rsid w:val="009540C4"/>
    <w:rsid w:val="00954172"/>
    <w:rsid w:val="00954719"/>
    <w:rsid w:val="00955348"/>
    <w:rsid w:val="009577E5"/>
    <w:rsid w:val="00957807"/>
    <w:rsid w:val="0096019B"/>
    <w:rsid w:val="009602B6"/>
    <w:rsid w:val="0096310E"/>
    <w:rsid w:val="00963C93"/>
    <w:rsid w:val="00965173"/>
    <w:rsid w:val="009657EA"/>
    <w:rsid w:val="0096673A"/>
    <w:rsid w:val="00967CF1"/>
    <w:rsid w:val="009716C0"/>
    <w:rsid w:val="00971B8A"/>
    <w:rsid w:val="00972CC5"/>
    <w:rsid w:val="009733B3"/>
    <w:rsid w:val="00973A78"/>
    <w:rsid w:val="0097419D"/>
    <w:rsid w:val="009754E1"/>
    <w:rsid w:val="00976BB4"/>
    <w:rsid w:val="00976E04"/>
    <w:rsid w:val="00976F90"/>
    <w:rsid w:val="00977D06"/>
    <w:rsid w:val="0098076B"/>
    <w:rsid w:val="00987146"/>
    <w:rsid w:val="009905E5"/>
    <w:rsid w:val="00991B18"/>
    <w:rsid w:val="00991BE5"/>
    <w:rsid w:val="00993319"/>
    <w:rsid w:val="00993F02"/>
    <w:rsid w:val="009941E6"/>
    <w:rsid w:val="00994B24"/>
    <w:rsid w:val="009961C9"/>
    <w:rsid w:val="0099663C"/>
    <w:rsid w:val="009966EE"/>
    <w:rsid w:val="00997C0C"/>
    <w:rsid w:val="00997D85"/>
    <w:rsid w:val="009A16BE"/>
    <w:rsid w:val="009A1C6C"/>
    <w:rsid w:val="009A1E26"/>
    <w:rsid w:val="009A3EEC"/>
    <w:rsid w:val="009A44D1"/>
    <w:rsid w:val="009A60B8"/>
    <w:rsid w:val="009A6EE4"/>
    <w:rsid w:val="009A70A9"/>
    <w:rsid w:val="009A70F1"/>
    <w:rsid w:val="009B06F2"/>
    <w:rsid w:val="009B0AA4"/>
    <w:rsid w:val="009B12D6"/>
    <w:rsid w:val="009B3AFF"/>
    <w:rsid w:val="009B3DC7"/>
    <w:rsid w:val="009B5773"/>
    <w:rsid w:val="009B5CDF"/>
    <w:rsid w:val="009B60C8"/>
    <w:rsid w:val="009B6E54"/>
    <w:rsid w:val="009B7FD1"/>
    <w:rsid w:val="009C0390"/>
    <w:rsid w:val="009C0AD3"/>
    <w:rsid w:val="009C1974"/>
    <w:rsid w:val="009C3647"/>
    <w:rsid w:val="009C3A32"/>
    <w:rsid w:val="009C3C4B"/>
    <w:rsid w:val="009C4521"/>
    <w:rsid w:val="009D0189"/>
    <w:rsid w:val="009D06CD"/>
    <w:rsid w:val="009D0E9D"/>
    <w:rsid w:val="009D244F"/>
    <w:rsid w:val="009D24FD"/>
    <w:rsid w:val="009D3377"/>
    <w:rsid w:val="009D50A4"/>
    <w:rsid w:val="009D5218"/>
    <w:rsid w:val="009D6AE0"/>
    <w:rsid w:val="009E105A"/>
    <w:rsid w:val="009E1066"/>
    <w:rsid w:val="009E1484"/>
    <w:rsid w:val="009E24F3"/>
    <w:rsid w:val="009E37A9"/>
    <w:rsid w:val="009E5104"/>
    <w:rsid w:val="009E6924"/>
    <w:rsid w:val="009E7303"/>
    <w:rsid w:val="009E776E"/>
    <w:rsid w:val="009E78A9"/>
    <w:rsid w:val="009E7A36"/>
    <w:rsid w:val="009E7B9B"/>
    <w:rsid w:val="009F098A"/>
    <w:rsid w:val="009F16E6"/>
    <w:rsid w:val="009F1F9E"/>
    <w:rsid w:val="009F288E"/>
    <w:rsid w:val="009F586F"/>
    <w:rsid w:val="009F73EB"/>
    <w:rsid w:val="009F7C70"/>
    <w:rsid w:val="00A00C89"/>
    <w:rsid w:val="00A0124F"/>
    <w:rsid w:val="00A01E75"/>
    <w:rsid w:val="00A034B3"/>
    <w:rsid w:val="00A0368F"/>
    <w:rsid w:val="00A03E10"/>
    <w:rsid w:val="00A04DC6"/>
    <w:rsid w:val="00A07342"/>
    <w:rsid w:val="00A107C6"/>
    <w:rsid w:val="00A10885"/>
    <w:rsid w:val="00A10E25"/>
    <w:rsid w:val="00A1236A"/>
    <w:rsid w:val="00A12791"/>
    <w:rsid w:val="00A1296C"/>
    <w:rsid w:val="00A12BF4"/>
    <w:rsid w:val="00A12D43"/>
    <w:rsid w:val="00A13808"/>
    <w:rsid w:val="00A13C02"/>
    <w:rsid w:val="00A13FD3"/>
    <w:rsid w:val="00A14298"/>
    <w:rsid w:val="00A14727"/>
    <w:rsid w:val="00A14E0D"/>
    <w:rsid w:val="00A15144"/>
    <w:rsid w:val="00A219EF"/>
    <w:rsid w:val="00A229C5"/>
    <w:rsid w:val="00A264B2"/>
    <w:rsid w:val="00A26825"/>
    <w:rsid w:val="00A26B25"/>
    <w:rsid w:val="00A27743"/>
    <w:rsid w:val="00A2779B"/>
    <w:rsid w:val="00A27D57"/>
    <w:rsid w:val="00A31268"/>
    <w:rsid w:val="00A33356"/>
    <w:rsid w:val="00A33A0F"/>
    <w:rsid w:val="00A33FAC"/>
    <w:rsid w:val="00A37038"/>
    <w:rsid w:val="00A407B5"/>
    <w:rsid w:val="00A40E07"/>
    <w:rsid w:val="00A40F3D"/>
    <w:rsid w:val="00A4377D"/>
    <w:rsid w:val="00A448D5"/>
    <w:rsid w:val="00A4517C"/>
    <w:rsid w:val="00A461F0"/>
    <w:rsid w:val="00A51AEA"/>
    <w:rsid w:val="00A51C87"/>
    <w:rsid w:val="00A522B7"/>
    <w:rsid w:val="00A52A3B"/>
    <w:rsid w:val="00A53236"/>
    <w:rsid w:val="00A53895"/>
    <w:rsid w:val="00A53EA3"/>
    <w:rsid w:val="00A54CA8"/>
    <w:rsid w:val="00A54F81"/>
    <w:rsid w:val="00A55A22"/>
    <w:rsid w:val="00A570A9"/>
    <w:rsid w:val="00A60432"/>
    <w:rsid w:val="00A6163F"/>
    <w:rsid w:val="00A626D3"/>
    <w:rsid w:val="00A62D74"/>
    <w:rsid w:val="00A654C3"/>
    <w:rsid w:val="00A673E3"/>
    <w:rsid w:val="00A67F30"/>
    <w:rsid w:val="00A7053A"/>
    <w:rsid w:val="00A71856"/>
    <w:rsid w:val="00A71DA9"/>
    <w:rsid w:val="00A72BAB"/>
    <w:rsid w:val="00A75AE3"/>
    <w:rsid w:val="00A779AF"/>
    <w:rsid w:val="00A77AF3"/>
    <w:rsid w:val="00A80166"/>
    <w:rsid w:val="00A84A85"/>
    <w:rsid w:val="00A84C60"/>
    <w:rsid w:val="00A85974"/>
    <w:rsid w:val="00A85E9E"/>
    <w:rsid w:val="00A878CD"/>
    <w:rsid w:val="00A879AB"/>
    <w:rsid w:val="00A9077E"/>
    <w:rsid w:val="00A91675"/>
    <w:rsid w:val="00A96EE8"/>
    <w:rsid w:val="00A975B5"/>
    <w:rsid w:val="00A97AD8"/>
    <w:rsid w:val="00A97F32"/>
    <w:rsid w:val="00AA02FA"/>
    <w:rsid w:val="00AA0FFB"/>
    <w:rsid w:val="00AA119B"/>
    <w:rsid w:val="00AA1E1B"/>
    <w:rsid w:val="00AA46A5"/>
    <w:rsid w:val="00AA5D30"/>
    <w:rsid w:val="00AA5FC2"/>
    <w:rsid w:val="00AA7B49"/>
    <w:rsid w:val="00AA7D3B"/>
    <w:rsid w:val="00AB1BE4"/>
    <w:rsid w:val="00AB1CFB"/>
    <w:rsid w:val="00AB27E7"/>
    <w:rsid w:val="00AB2B3F"/>
    <w:rsid w:val="00AB4465"/>
    <w:rsid w:val="00AB4826"/>
    <w:rsid w:val="00AB485E"/>
    <w:rsid w:val="00AB514A"/>
    <w:rsid w:val="00AB5160"/>
    <w:rsid w:val="00AB5635"/>
    <w:rsid w:val="00AB5D0A"/>
    <w:rsid w:val="00AB5F7D"/>
    <w:rsid w:val="00AB7175"/>
    <w:rsid w:val="00AB7D03"/>
    <w:rsid w:val="00AC0333"/>
    <w:rsid w:val="00AC1604"/>
    <w:rsid w:val="00AC1B8A"/>
    <w:rsid w:val="00AC25B1"/>
    <w:rsid w:val="00AC2CA9"/>
    <w:rsid w:val="00AC46AB"/>
    <w:rsid w:val="00AC5289"/>
    <w:rsid w:val="00AC5E05"/>
    <w:rsid w:val="00AC67CD"/>
    <w:rsid w:val="00AC715E"/>
    <w:rsid w:val="00AC7313"/>
    <w:rsid w:val="00AD08B9"/>
    <w:rsid w:val="00AD10E2"/>
    <w:rsid w:val="00AD1462"/>
    <w:rsid w:val="00AD21DF"/>
    <w:rsid w:val="00AD3262"/>
    <w:rsid w:val="00AD3BF9"/>
    <w:rsid w:val="00AD4689"/>
    <w:rsid w:val="00AD54EA"/>
    <w:rsid w:val="00AD5709"/>
    <w:rsid w:val="00AD5DF9"/>
    <w:rsid w:val="00AD609E"/>
    <w:rsid w:val="00AD61FE"/>
    <w:rsid w:val="00AD75D0"/>
    <w:rsid w:val="00AE0C6E"/>
    <w:rsid w:val="00AE1314"/>
    <w:rsid w:val="00AE1434"/>
    <w:rsid w:val="00AE168A"/>
    <w:rsid w:val="00AE2196"/>
    <w:rsid w:val="00AE32A6"/>
    <w:rsid w:val="00AE49A6"/>
    <w:rsid w:val="00AE54F8"/>
    <w:rsid w:val="00AE55A5"/>
    <w:rsid w:val="00AE5C22"/>
    <w:rsid w:val="00AE7073"/>
    <w:rsid w:val="00AE727A"/>
    <w:rsid w:val="00AE7287"/>
    <w:rsid w:val="00AF0E1F"/>
    <w:rsid w:val="00AF0E51"/>
    <w:rsid w:val="00AF103B"/>
    <w:rsid w:val="00AF3EB9"/>
    <w:rsid w:val="00AF4044"/>
    <w:rsid w:val="00AF4B7A"/>
    <w:rsid w:val="00AF564E"/>
    <w:rsid w:val="00AF735B"/>
    <w:rsid w:val="00AF7FB0"/>
    <w:rsid w:val="00B0006C"/>
    <w:rsid w:val="00B00ECD"/>
    <w:rsid w:val="00B03957"/>
    <w:rsid w:val="00B040A3"/>
    <w:rsid w:val="00B05534"/>
    <w:rsid w:val="00B10B56"/>
    <w:rsid w:val="00B12EE7"/>
    <w:rsid w:val="00B13A77"/>
    <w:rsid w:val="00B17DBB"/>
    <w:rsid w:val="00B2124C"/>
    <w:rsid w:val="00B21F49"/>
    <w:rsid w:val="00B24384"/>
    <w:rsid w:val="00B244CB"/>
    <w:rsid w:val="00B24E9D"/>
    <w:rsid w:val="00B2536F"/>
    <w:rsid w:val="00B25BD1"/>
    <w:rsid w:val="00B30935"/>
    <w:rsid w:val="00B32DE5"/>
    <w:rsid w:val="00B33941"/>
    <w:rsid w:val="00B357F7"/>
    <w:rsid w:val="00B3654C"/>
    <w:rsid w:val="00B37337"/>
    <w:rsid w:val="00B37B92"/>
    <w:rsid w:val="00B40BAB"/>
    <w:rsid w:val="00B4132E"/>
    <w:rsid w:val="00B46ECD"/>
    <w:rsid w:val="00B508BF"/>
    <w:rsid w:val="00B51799"/>
    <w:rsid w:val="00B52C25"/>
    <w:rsid w:val="00B530A5"/>
    <w:rsid w:val="00B53B32"/>
    <w:rsid w:val="00B552E1"/>
    <w:rsid w:val="00B55EE4"/>
    <w:rsid w:val="00B560F4"/>
    <w:rsid w:val="00B5647E"/>
    <w:rsid w:val="00B5739A"/>
    <w:rsid w:val="00B605F3"/>
    <w:rsid w:val="00B60AC5"/>
    <w:rsid w:val="00B6204F"/>
    <w:rsid w:val="00B623DA"/>
    <w:rsid w:val="00B627D2"/>
    <w:rsid w:val="00B64269"/>
    <w:rsid w:val="00B64D91"/>
    <w:rsid w:val="00B653C0"/>
    <w:rsid w:val="00B65A1F"/>
    <w:rsid w:val="00B664DF"/>
    <w:rsid w:val="00B66707"/>
    <w:rsid w:val="00B71180"/>
    <w:rsid w:val="00B7118B"/>
    <w:rsid w:val="00B713AE"/>
    <w:rsid w:val="00B739C0"/>
    <w:rsid w:val="00B74B57"/>
    <w:rsid w:val="00B7590B"/>
    <w:rsid w:val="00B75A82"/>
    <w:rsid w:val="00B75D6A"/>
    <w:rsid w:val="00B75F0B"/>
    <w:rsid w:val="00B76083"/>
    <w:rsid w:val="00B8005F"/>
    <w:rsid w:val="00B80C41"/>
    <w:rsid w:val="00B81A5C"/>
    <w:rsid w:val="00B82EDF"/>
    <w:rsid w:val="00B84421"/>
    <w:rsid w:val="00B84869"/>
    <w:rsid w:val="00B853DA"/>
    <w:rsid w:val="00B85512"/>
    <w:rsid w:val="00B8594D"/>
    <w:rsid w:val="00B859AD"/>
    <w:rsid w:val="00B865C3"/>
    <w:rsid w:val="00B8738E"/>
    <w:rsid w:val="00B87B10"/>
    <w:rsid w:val="00B90614"/>
    <w:rsid w:val="00B90C62"/>
    <w:rsid w:val="00B90DE4"/>
    <w:rsid w:val="00B91B57"/>
    <w:rsid w:val="00B92832"/>
    <w:rsid w:val="00B93F38"/>
    <w:rsid w:val="00B94EF4"/>
    <w:rsid w:val="00B955F7"/>
    <w:rsid w:val="00B97500"/>
    <w:rsid w:val="00BA02B9"/>
    <w:rsid w:val="00BA0A6D"/>
    <w:rsid w:val="00BA17CF"/>
    <w:rsid w:val="00BA3273"/>
    <w:rsid w:val="00BA3B20"/>
    <w:rsid w:val="00BA3D41"/>
    <w:rsid w:val="00BA4DCF"/>
    <w:rsid w:val="00BB0589"/>
    <w:rsid w:val="00BB28AB"/>
    <w:rsid w:val="00BB39A4"/>
    <w:rsid w:val="00BB4014"/>
    <w:rsid w:val="00BB5237"/>
    <w:rsid w:val="00BB5ECC"/>
    <w:rsid w:val="00BB5F65"/>
    <w:rsid w:val="00BB691B"/>
    <w:rsid w:val="00BB6B31"/>
    <w:rsid w:val="00BB6CAD"/>
    <w:rsid w:val="00BC268F"/>
    <w:rsid w:val="00BC26FD"/>
    <w:rsid w:val="00BC332F"/>
    <w:rsid w:val="00BC43FD"/>
    <w:rsid w:val="00BC709B"/>
    <w:rsid w:val="00BD0283"/>
    <w:rsid w:val="00BD0398"/>
    <w:rsid w:val="00BD0793"/>
    <w:rsid w:val="00BD17CC"/>
    <w:rsid w:val="00BD1CDB"/>
    <w:rsid w:val="00BD2D7D"/>
    <w:rsid w:val="00BD57F1"/>
    <w:rsid w:val="00BD5B66"/>
    <w:rsid w:val="00BD5BCB"/>
    <w:rsid w:val="00BD6C94"/>
    <w:rsid w:val="00BE0040"/>
    <w:rsid w:val="00BE0E1F"/>
    <w:rsid w:val="00BE2536"/>
    <w:rsid w:val="00BE5500"/>
    <w:rsid w:val="00BE6812"/>
    <w:rsid w:val="00BE7296"/>
    <w:rsid w:val="00BE76A6"/>
    <w:rsid w:val="00BF1A2F"/>
    <w:rsid w:val="00BF2D10"/>
    <w:rsid w:val="00BF4628"/>
    <w:rsid w:val="00BF4903"/>
    <w:rsid w:val="00BF5819"/>
    <w:rsid w:val="00BF5B80"/>
    <w:rsid w:val="00C010BA"/>
    <w:rsid w:val="00C013F5"/>
    <w:rsid w:val="00C01645"/>
    <w:rsid w:val="00C02A28"/>
    <w:rsid w:val="00C034A3"/>
    <w:rsid w:val="00C035FC"/>
    <w:rsid w:val="00C045FF"/>
    <w:rsid w:val="00C0495F"/>
    <w:rsid w:val="00C04973"/>
    <w:rsid w:val="00C04DE0"/>
    <w:rsid w:val="00C04EF6"/>
    <w:rsid w:val="00C055F6"/>
    <w:rsid w:val="00C06B8A"/>
    <w:rsid w:val="00C102D8"/>
    <w:rsid w:val="00C10A27"/>
    <w:rsid w:val="00C10D72"/>
    <w:rsid w:val="00C110EE"/>
    <w:rsid w:val="00C1132F"/>
    <w:rsid w:val="00C11A0D"/>
    <w:rsid w:val="00C11BFA"/>
    <w:rsid w:val="00C138B6"/>
    <w:rsid w:val="00C13FE1"/>
    <w:rsid w:val="00C15735"/>
    <w:rsid w:val="00C158DF"/>
    <w:rsid w:val="00C15A9C"/>
    <w:rsid w:val="00C174E2"/>
    <w:rsid w:val="00C20025"/>
    <w:rsid w:val="00C24593"/>
    <w:rsid w:val="00C2530B"/>
    <w:rsid w:val="00C25D42"/>
    <w:rsid w:val="00C25DCF"/>
    <w:rsid w:val="00C30DDD"/>
    <w:rsid w:val="00C31D3F"/>
    <w:rsid w:val="00C33182"/>
    <w:rsid w:val="00C345C8"/>
    <w:rsid w:val="00C35271"/>
    <w:rsid w:val="00C35489"/>
    <w:rsid w:val="00C35A0E"/>
    <w:rsid w:val="00C3670B"/>
    <w:rsid w:val="00C37F09"/>
    <w:rsid w:val="00C402DC"/>
    <w:rsid w:val="00C40CD4"/>
    <w:rsid w:val="00C41671"/>
    <w:rsid w:val="00C41752"/>
    <w:rsid w:val="00C41F07"/>
    <w:rsid w:val="00C422D2"/>
    <w:rsid w:val="00C4232D"/>
    <w:rsid w:val="00C43220"/>
    <w:rsid w:val="00C43AF0"/>
    <w:rsid w:val="00C44CC2"/>
    <w:rsid w:val="00C4523B"/>
    <w:rsid w:val="00C46D45"/>
    <w:rsid w:val="00C479E5"/>
    <w:rsid w:val="00C47F08"/>
    <w:rsid w:val="00C503D6"/>
    <w:rsid w:val="00C57B54"/>
    <w:rsid w:val="00C60E82"/>
    <w:rsid w:val="00C61E98"/>
    <w:rsid w:val="00C62D94"/>
    <w:rsid w:val="00C64A54"/>
    <w:rsid w:val="00C66B8C"/>
    <w:rsid w:val="00C66D62"/>
    <w:rsid w:val="00C67CEC"/>
    <w:rsid w:val="00C71E67"/>
    <w:rsid w:val="00C741BC"/>
    <w:rsid w:val="00C75052"/>
    <w:rsid w:val="00C774AF"/>
    <w:rsid w:val="00C77D6D"/>
    <w:rsid w:val="00C809FB"/>
    <w:rsid w:val="00C81889"/>
    <w:rsid w:val="00C81C8F"/>
    <w:rsid w:val="00C83763"/>
    <w:rsid w:val="00C841A4"/>
    <w:rsid w:val="00C841C8"/>
    <w:rsid w:val="00C84A9C"/>
    <w:rsid w:val="00C84E6D"/>
    <w:rsid w:val="00C86D94"/>
    <w:rsid w:val="00C8701E"/>
    <w:rsid w:val="00C90588"/>
    <w:rsid w:val="00C90F39"/>
    <w:rsid w:val="00C94C0D"/>
    <w:rsid w:val="00C963B5"/>
    <w:rsid w:val="00C977DB"/>
    <w:rsid w:val="00C97A1A"/>
    <w:rsid w:val="00CA0833"/>
    <w:rsid w:val="00CA2882"/>
    <w:rsid w:val="00CA28E9"/>
    <w:rsid w:val="00CA4079"/>
    <w:rsid w:val="00CA5E4D"/>
    <w:rsid w:val="00CA74B5"/>
    <w:rsid w:val="00CB04A3"/>
    <w:rsid w:val="00CB0717"/>
    <w:rsid w:val="00CB1567"/>
    <w:rsid w:val="00CB1BC6"/>
    <w:rsid w:val="00CB3459"/>
    <w:rsid w:val="00CB5563"/>
    <w:rsid w:val="00CC0197"/>
    <w:rsid w:val="00CC06C6"/>
    <w:rsid w:val="00CC08E9"/>
    <w:rsid w:val="00CC28BD"/>
    <w:rsid w:val="00CC44EF"/>
    <w:rsid w:val="00CC46BF"/>
    <w:rsid w:val="00CD2925"/>
    <w:rsid w:val="00CD2FF7"/>
    <w:rsid w:val="00CD3437"/>
    <w:rsid w:val="00CD3A25"/>
    <w:rsid w:val="00CD4752"/>
    <w:rsid w:val="00CD5414"/>
    <w:rsid w:val="00CD57E2"/>
    <w:rsid w:val="00CD5F7C"/>
    <w:rsid w:val="00CD7C5C"/>
    <w:rsid w:val="00CE3AB4"/>
    <w:rsid w:val="00CE400F"/>
    <w:rsid w:val="00CE4CFA"/>
    <w:rsid w:val="00CE62AE"/>
    <w:rsid w:val="00CE6460"/>
    <w:rsid w:val="00CE72AA"/>
    <w:rsid w:val="00CE7408"/>
    <w:rsid w:val="00CE7482"/>
    <w:rsid w:val="00CF0E81"/>
    <w:rsid w:val="00CF263E"/>
    <w:rsid w:val="00CF3355"/>
    <w:rsid w:val="00CF3CD2"/>
    <w:rsid w:val="00CF3D68"/>
    <w:rsid w:val="00CF53D3"/>
    <w:rsid w:val="00CF6566"/>
    <w:rsid w:val="00CF6A5E"/>
    <w:rsid w:val="00D01F3C"/>
    <w:rsid w:val="00D0201F"/>
    <w:rsid w:val="00D022C3"/>
    <w:rsid w:val="00D02ADB"/>
    <w:rsid w:val="00D02F57"/>
    <w:rsid w:val="00D035C2"/>
    <w:rsid w:val="00D03B88"/>
    <w:rsid w:val="00D04CDB"/>
    <w:rsid w:val="00D06EA6"/>
    <w:rsid w:val="00D07F1F"/>
    <w:rsid w:val="00D12424"/>
    <w:rsid w:val="00D1483A"/>
    <w:rsid w:val="00D17398"/>
    <w:rsid w:val="00D2050A"/>
    <w:rsid w:val="00D20C13"/>
    <w:rsid w:val="00D21C16"/>
    <w:rsid w:val="00D23013"/>
    <w:rsid w:val="00D2327B"/>
    <w:rsid w:val="00D23342"/>
    <w:rsid w:val="00D243D8"/>
    <w:rsid w:val="00D250D8"/>
    <w:rsid w:val="00D255C2"/>
    <w:rsid w:val="00D257CB"/>
    <w:rsid w:val="00D25829"/>
    <w:rsid w:val="00D2624B"/>
    <w:rsid w:val="00D26406"/>
    <w:rsid w:val="00D273FF"/>
    <w:rsid w:val="00D30382"/>
    <w:rsid w:val="00D32D3B"/>
    <w:rsid w:val="00D333B6"/>
    <w:rsid w:val="00D346B0"/>
    <w:rsid w:val="00D351AA"/>
    <w:rsid w:val="00D37A48"/>
    <w:rsid w:val="00D407A9"/>
    <w:rsid w:val="00D40B4F"/>
    <w:rsid w:val="00D419CB"/>
    <w:rsid w:val="00D41A89"/>
    <w:rsid w:val="00D42F21"/>
    <w:rsid w:val="00D46459"/>
    <w:rsid w:val="00D46C5C"/>
    <w:rsid w:val="00D50889"/>
    <w:rsid w:val="00D54AD8"/>
    <w:rsid w:val="00D55098"/>
    <w:rsid w:val="00D56440"/>
    <w:rsid w:val="00D56445"/>
    <w:rsid w:val="00D63B72"/>
    <w:rsid w:val="00D64762"/>
    <w:rsid w:val="00D64A8E"/>
    <w:rsid w:val="00D64D6A"/>
    <w:rsid w:val="00D64E65"/>
    <w:rsid w:val="00D64EF7"/>
    <w:rsid w:val="00D658CA"/>
    <w:rsid w:val="00D66021"/>
    <w:rsid w:val="00D67222"/>
    <w:rsid w:val="00D672BA"/>
    <w:rsid w:val="00D71365"/>
    <w:rsid w:val="00D71EC4"/>
    <w:rsid w:val="00D750E0"/>
    <w:rsid w:val="00D76E3A"/>
    <w:rsid w:val="00D77FC9"/>
    <w:rsid w:val="00D8114C"/>
    <w:rsid w:val="00D81E61"/>
    <w:rsid w:val="00D852BB"/>
    <w:rsid w:val="00D903B5"/>
    <w:rsid w:val="00D90CA1"/>
    <w:rsid w:val="00D95AFC"/>
    <w:rsid w:val="00D96088"/>
    <w:rsid w:val="00D970DC"/>
    <w:rsid w:val="00D972A2"/>
    <w:rsid w:val="00D974D6"/>
    <w:rsid w:val="00D977EE"/>
    <w:rsid w:val="00DA0ADD"/>
    <w:rsid w:val="00DA1255"/>
    <w:rsid w:val="00DA7BEE"/>
    <w:rsid w:val="00DA7E19"/>
    <w:rsid w:val="00DB0FA7"/>
    <w:rsid w:val="00DB17AD"/>
    <w:rsid w:val="00DB2EAB"/>
    <w:rsid w:val="00DB4531"/>
    <w:rsid w:val="00DB4E3C"/>
    <w:rsid w:val="00DB5214"/>
    <w:rsid w:val="00DB5B83"/>
    <w:rsid w:val="00DB6463"/>
    <w:rsid w:val="00DB7CCD"/>
    <w:rsid w:val="00DC0296"/>
    <w:rsid w:val="00DC0568"/>
    <w:rsid w:val="00DC0A41"/>
    <w:rsid w:val="00DC446B"/>
    <w:rsid w:val="00DC50D9"/>
    <w:rsid w:val="00DC5B55"/>
    <w:rsid w:val="00DC74CF"/>
    <w:rsid w:val="00DC756B"/>
    <w:rsid w:val="00DD0106"/>
    <w:rsid w:val="00DD1182"/>
    <w:rsid w:val="00DD1A31"/>
    <w:rsid w:val="00DD20EF"/>
    <w:rsid w:val="00DD29B7"/>
    <w:rsid w:val="00DD360E"/>
    <w:rsid w:val="00DD5D3A"/>
    <w:rsid w:val="00DD5E6D"/>
    <w:rsid w:val="00DD6803"/>
    <w:rsid w:val="00DD755B"/>
    <w:rsid w:val="00DE25DF"/>
    <w:rsid w:val="00DE25F8"/>
    <w:rsid w:val="00DE270C"/>
    <w:rsid w:val="00DE27CF"/>
    <w:rsid w:val="00DE3AA3"/>
    <w:rsid w:val="00DE4194"/>
    <w:rsid w:val="00DE4652"/>
    <w:rsid w:val="00DE566C"/>
    <w:rsid w:val="00DE63B9"/>
    <w:rsid w:val="00DE68B1"/>
    <w:rsid w:val="00DE78A9"/>
    <w:rsid w:val="00DF33D6"/>
    <w:rsid w:val="00DF3820"/>
    <w:rsid w:val="00DF41ED"/>
    <w:rsid w:val="00DF5E77"/>
    <w:rsid w:val="00DF78C1"/>
    <w:rsid w:val="00DF79CA"/>
    <w:rsid w:val="00E007EA"/>
    <w:rsid w:val="00E02B52"/>
    <w:rsid w:val="00E03BF4"/>
    <w:rsid w:val="00E03D5A"/>
    <w:rsid w:val="00E04B19"/>
    <w:rsid w:val="00E04C33"/>
    <w:rsid w:val="00E0582C"/>
    <w:rsid w:val="00E06E1B"/>
    <w:rsid w:val="00E10E85"/>
    <w:rsid w:val="00E10EF9"/>
    <w:rsid w:val="00E120D9"/>
    <w:rsid w:val="00E12277"/>
    <w:rsid w:val="00E12AE3"/>
    <w:rsid w:val="00E13EAA"/>
    <w:rsid w:val="00E140E0"/>
    <w:rsid w:val="00E16F89"/>
    <w:rsid w:val="00E216CF"/>
    <w:rsid w:val="00E21A9A"/>
    <w:rsid w:val="00E227D4"/>
    <w:rsid w:val="00E227FD"/>
    <w:rsid w:val="00E230FB"/>
    <w:rsid w:val="00E25143"/>
    <w:rsid w:val="00E25D20"/>
    <w:rsid w:val="00E27071"/>
    <w:rsid w:val="00E3167B"/>
    <w:rsid w:val="00E32127"/>
    <w:rsid w:val="00E3213A"/>
    <w:rsid w:val="00E32F85"/>
    <w:rsid w:val="00E36C4C"/>
    <w:rsid w:val="00E4008C"/>
    <w:rsid w:val="00E41BE7"/>
    <w:rsid w:val="00E42319"/>
    <w:rsid w:val="00E43981"/>
    <w:rsid w:val="00E451EE"/>
    <w:rsid w:val="00E460B3"/>
    <w:rsid w:val="00E50236"/>
    <w:rsid w:val="00E51252"/>
    <w:rsid w:val="00E519C0"/>
    <w:rsid w:val="00E5220B"/>
    <w:rsid w:val="00E52EC7"/>
    <w:rsid w:val="00E53B67"/>
    <w:rsid w:val="00E54C33"/>
    <w:rsid w:val="00E571D9"/>
    <w:rsid w:val="00E57AAB"/>
    <w:rsid w:val="00E60243"/>
    <w:rsid w:val="00E60CC9"/>
    <w:rsid w:val="00E62408"/>
    <w:rsid w:val="00E63E58"/>
    <w:rsid w:val="00E6617C"/>
    <w:rsid w:val="00E66B2E"/>
    <w:rsid w:val="00E67687"/>
    <w:rsid w:val="00E67816"/>
    <w:rsid w:val="00E67FFD"/>
    <w:rsid w:val="00E704C6"/>
    <w:rsid w:val="00E7059F"/>
    <w:rsid w:val="00E70E05"/>
    <w:rsid w:val="00E735CB"/>
    <w:rsid w:val="00E73AE8"/>
    <w:rsid w:val="00E74104"/>
    <w:rsid w:val="00E76AD6"/>
    <w:rsid w:val="00E7740F"/>
    <w:rsid w:val="00E81120"/>
    <w:rsid w:val="00E8293E"/>
    <w:rsid w:val="00E83285"/>
    <w:rsid w:val="00E841E3"/>
    <w:rsid w:val="00E84670"/>
    <w:rsid w:val="00E85382"/>
    <w:rsid w:val="00E86E62"/>
    <w:rsid w:val="00E86F5F"/>
    <w:rsid w:val="00E873FB"/>
    <w:rsid w:val="00E87471"/>
    <w:rsid w:val="00E8785F"/>
    <w:rsid w:val="00E91417"/>
    <w:rsid w:val="00E921AD"/>
    <w:rsid w:val="00E93BF2"/>
    <w:rsid w:val="00E940BA"/>
    <w:rsid w:val="00E958A2"/>
    <w:rsid w:val="00E96423"/>
    <w:rsid w:val="00EA29FE"/>
    <w:rsid w:val="00EA30DC"/>
    <w:rsid w:val="00EA3A02"/>
    <w:rsid w:val="00EA790B"/>
    <w:rsid w:val="00EB1251"/>
    <w:rsid w:val="00EB1D79"/>
    <w:rsid w:val="00EB2D50"/>
    <w:rsid w:val="00EB30C5"/>
    <w:rsid w:val="00EB5127"/>
    <w:rsid w:val="00EB583D"/>
    <w:rsid w:val="00EB6A1C"/>
    <w:rsid w:val="00EB7A76"/>
    <w:rsid w:val="00EC065D"/>
    <w:rsid w:val="00EC0834"/>
    <w:rsid w:val="00EC0A21"/>
    <w:rsid w:val="00EC2826"/>
    <w:rsid w:val="00EC5810"/>
    <w:rsid w:val="00ED0B24"/>
    <w:rsid w:val="00ED1826"/>
    <w:rsid w:val="00ED1C79"/>
    <w:rsid w:val="00ED3F57"/>
    <w:rsid w:val="00ED45F5"/>
    <w:rsid w:val="00ED4ACF"/>
    <w:rsid w:val="00ED5607"/>
    <w:rsid w:val="00ED71AB"/>
    <w:rsid w:val="00ED7201"/>
    <w:rsid w:val="00EE4273"/>
    <w:rsid w:val="00EE4DB7"/>
    <w:rsid w:val="00EE52F4"/>
    <w:rsid w:val="00EE57A7"/>
    <w:rsid w:val="00EE58B5"/>
    <w:rsid w:val="00EE5984"/>
    <w:rsid w:val="00EE6BF3"/>
    <w:rsid w:val="00EE76D3"/>
    <w:rsid w:val="00EE77D9"/>
    <w:rsid w:val="00EF02D2"/>
    <w:rsid w:val="00EF0301"/>
    <w:rsid w:val="00EF3C67"/>
    <w:rsid w:val="00EF3F74"/>
    <w:rsid w:val="00EF409D"/>
    <w:rsid w:val="00EF43EB"/>
    <w:rsid w:val="00EF46FF"/>
    <w:rsid w:val="00EF5384"/>
    <w:rsid w:val="00F00452"/>
    <w:rsid w:val="00F0099F"/>
    <w:rsid w:val="00F00F2C"/>
    <w:rsid w:val="00F01037"/>
    <w:rsid w:val="00F015C2"/>
    <w:rsid w:val="00F02477"/>
    <w:rsid w:val="00F028D8"/>
    <w:rsid w:val="00F02FE8"/>
    <w:rsid w:val="00F03295"/>
    <w:rsid w:val="00F03927"/>
    <w:rsid w:val="00F04897"/>
    <w:rsid w:val="00F04A09"/>
    <w:rsid w:val="00F05743"/>
    <w:rsid w:val="00F05A1C"/>
    <w:rsid w:val="00F06EC3"/>
    <w:rsid w:val="00F07BAB"/>
    <w:rsid w:val="00F10AC9"/>
    <w:rsid w:val="00F12129"/>
    <w:rsid w:val="00F130B3"/>
    <w:rsid w:val="00F1353A"/>
    <w:rsid w:val="00F13BB3"/>
    <w:rsid w:val="00F14251"/>
    <w:rsid w:val="00F1521D"/>
    <w:rsid w:val="00F168FA"/>
    <w:rsid w:val="00F1734A"/>
    <w:rsid w:val="00F20A9F"/>
    <w:rsid w:val="00F21ADF"/>
    <w:rsid w:val="00F21AEE"/>
    <w:rsid w:val="00F21CA5"/>
    <w:rsid w:val="00F22B25"/>
    <w:rsid w:val="00F22F78"/>
    <w:rsid w:val="00F231DD"/>
    <w:rsid w:val="00F23DCC"/>
    <w:rsid w:val="00F252C4"/>
    <w:rsid w:val="00F260FB"/>
    <w:rsid w:val="00F270B6"/>
    <w:rsid w:val="00F27998"/>
    <w:rsid w:val="00F30CCE"/>
    <w:rsid w:val="00F31904"/>
    <w:rsid w:val="00F3208D"/>
    <w:rsid w:val="00F34CAD"/>
    <w:rsid w:val="00F35C7B"/>
    <w:rsid w:val="00F369C2"/>
    <w:rsid w:val="00F36CE1"/>
    <w:rsid w:val="00F379F5"/>
    <w:rsid w:val="00F401B1"/>
    <w:rsid w:val="00F42C5B"/>
    <w:rsid w:val="00F4350D"/>
    <w:rsid w:val="00F45F11"/>
    <w:rsid w:val="00F46357"/>
    <w:rsid w:val="00F47CE5"/>
    <w:rsid w:val="00F50B73"/>
    <w:rsid w:val="00F513C0"/>
    <w:rsid w:val="00F5239E"/>
    <w:rsid w:val="00F54512"/>
    <w:rsid w:val="00F548FA"/>
    <w:rsid w:val="00F54BD3"/>
    <w:rsid w:val="00F55954"/>
    <w:rsid w:val="00F57E25"/>
    <w:rsid w:val="00F602CA"/>
    <w:rsid w:val="00F60996"/>
    <w:rsid w:val="00F61FDD"/>
    <w:rsid w:val="00F65587"/>
    <w:rsid w:val="00F655AD"/>
    <w:rsid w:val="00F66742"/>
    <w:rsid w:val="00F667FE"/>
    <w:rsid w:val="00F67352"/>
    <w:rsid w:val="00F67539"/>
    <w:rsid w:val="00F70D4B"/>
    <w:rsid w:val="00F70F43"/>
    <w:rsid w:val="00F72810"/>
    <w:rsid w:val="00F72D37"/>
    <w:rsid w:val="00F7521B"/>
    <w:rsid w:val="00F75B09"/>
    <w:rsid w:val="00F761A8"/>
    <w:rsid w:val="00F82443"/>
    <w:rsid w:val="00F8278D"/>
    <w:rsid w:val="00F8370B"/>
    <w:rsid w:val="00F840B3"/>
    <w:rsid w:val="00F841F4"/>
    <w:rsid w:val="00F84BCF"/>
    <w:rsid w:val="00F86B48"/>
    <w:rsid w:val="00F90238"/>
    <w:rsid w:val="00F90D48"/>
    <w:rsid w:val="00F90EB1"/>
    <w:rsid w:val="00F912E4"/>
    <w:rsid w:val="00F91C5B"/>
    <w:rsid w:val="00F92241"/>
    <w:rsid w:val="00F92379"/>
    <w:rsid w:val="00F92F6F"/>
    <w:rsid w:val="00F93539"/>
    <w:rsid w:val="00F938CF"/>
    <w:rsid w:val="00F95F62"/>
    <w:rsid w:val="00F9615C"/>
    <w:rsid w:val="00F962E4"/>
    <w:rsid w:val="00FA0D05"/>
    <w:rsid w:val="00FA22F7"/>
    <w:rsid w:val="00FA4265"/>
    <w:rsid w:val="00FA44B3"/>
    <w:rsid w:val="00FA4BC4"/>
    <w:rsid w:val="00FA4CA2"/>
    <w:rsid w:val="00FA6F1C"/>
    <w:rsid w:val="00FB24BC"/>
    <w:rsid w:val="00FB4988"/>
    <w:rsid w:val="00FB648A"/>
    <w:rsid w:val="00FB703C"/>
    <w:rsid w:val="00FC20B8"/>
    <w:rsid w:val="00FC28AE"/>
    <w:rsid w:val="00FC4483"/>
    <w:rsid w:val="00FC52CE"/>
    <w:rsid w:val="00FC7629"/>
    <w:rsid w:val="00FC7EA3"/>
    <w:rsid w:val="00FC7FE6"/>
    <w:rsid w:val="00FD02EF"/>
    <w:rsid w:val="00FD0D9C"/>
    <w:rsid w:val="00FD11BA"/>
    <w:rsid w:val="00FD1D20"/>
    <w:rsid w:val="00FD2CEF"/>
    <w:rsid w:val="00FD3CE2"/>
    <w:rsid w:val="00FD448C"/>
    <w:rsid w:val="00FD48C4"/>
    <w:rsid w:val="00FD4C0F"/>
    <w:rsid w:val="00FD6E46"/>
    <w:rsid w:val="00FD7E4D"/>
    <w:rsid w:val="00FE2024"/>
    <w:rsid w:val="00FE49BC"/>
    <w:rsid w:val="00FE642A"/>
    <w:rsid w:val="00FE73E2"/>
    <w:rsid w:val="00FE7747"/>
    <w:rsid w:val="00FE7BB1"/>
    <w:rsid w:val="00FE7F1E"/>
    <w:rsid w:val="00FF0178"/>
    <w:rsid w:val="00FF05A4"/>
    <w:rsid w:val="00FF0AB5"/>
    <w:rsid w:val="00FF11DA"/>
    <w:rsid w:val="00FF1748"/>
    <w:rsid w:val="00FF2555"/>
    <w:rsid w:val="00FF2592"/>
    <w:rsid w:val="00FF2AC9"/>
    <w:rsid w:val="00FF3CF4"/>
    <w:rsid w:val="00FF3FFC"/>
    <w:rsid w:val="00FF4175"/>
    <w:rsid w:val="0126F117"/>
    <w:rsid w:val="01B19DAB"/>
    <w:rsid w:val="01D8B178"/>
    <w:rsid w:val="04641F0E"/>
    <w:rsid w:val="04BE33B3"/>
    <w:rsid w:val="04E655C7"/>
    <w:rsid w:val="054D29CD"/>
    <w:rsid w:val="0563CD0C"/>
    <w:rsid w:val="065B3566"/>
    <w:rsid w:val="069FD3DD"/>
    <w:rsid w:val="06C18C52"/>
    <w:rsid w:val="06F05FF2"/>
    <w:rsid w:val="0726E20D"/>
    <w:rsid w:val="07718312"/>
    <w:rsid w:val="083E4009"/>
    <w:rsid w:val="08BB2FFD"/>
    <w:rsid w:val="08EE7DF1"/>
    <w:rsid w:val="0909BFFA"/>
    <w:rsid w:val="091555AE"/>
    <w:rsid w:val="0A244427"/>
    <w:rsid w:val="0A556DCA"/>
    <w:rsid w:val="0AF528B3"/>
    <w:rsid w:val="0C2A4F77"/>
    <w:rsid w:val="0CC7439B"/>
    <w:rsid w:val="0E48B23D"/>
    <w:rsid w:val="0E6B7FF6"/>
    <w:rsid w:val="0F923F50"/>
    <w:rsid w:val="111836BB"/>
    <w:rsid w:val="11DD35C4"/>
    <w:rsid w:val="128C339E"/>
    <w:rsid w:val="12D855C0"/>
    <w:rsid w:val="13B2E96D"/>
    <w:rsid w:val="1400F001"/>
    <w:rsid w:val="145DB855"/>
    <w:rsid w:val="14A1C367"/>
    <w:rsid w:val="1500CB47"/>
    <w:rsid w:val="169A19D3"/>
    <w:rsid w:val="16AAB29A"/>
    <w:rsid w:val="1751F5BF"/>
    <w:rsid w:val="17D310AF"/>
    <w:rsid w:val="17F65EF5"/>
    <w:rsid w:val="18F404BD"/>
    <w:rsid w:val="1902D5C8"/>
    <w:rsid w:val="19384CB5"/>
    <w:rsid w:val="196EE7E7"/>
    <w:rsid w:val="1ADD06BB"/>
    <w:rsid w:val="1BA72FC8"/>
    <w:rsid w:val="1BC41EF2"/>
    <w:rsid w:val="1C20C1AE"/>
    <w:rsid w:val="1C58F029"/>
    <w:rsid w:val="1C7419E6"/>
    <w:rsid w:val="1C9F49C5"/>
    <w:rsid w:val="1CEACB8D"/>
    <w:rsid w:val="1DA31A3E"/>
    <w:rsid w:val="1DED9E48"/>
    <w:rsid w:val="1E1D45CB"/>
    <w:rsid w:val="1E35DC0F"/>
    <w:rsid w:val="1E6E3DDA"/>
    <w:rsid w:val="1EB237AF"/>
    <w:rsid w:val="1EDAE00E"/>
    <w:rsid w:val="1EF8CA47"/>
    <w:rsid w:val="1FB39983"/>
    <w:rsid w:val="205F4E7A"/>
    <w:rsid w:val="2065EEA7"/>
    <w:rsid w:val="20979015"/>
    <w:rsid w:val="21034DAD"/>
    <w:rsid w:val="21705C1C"/>
    <w:rsid w:val="21B1F90C"/>
    <w:rsid w:val="21B29084"/>
    <w:rsid w:val="21F78773"/>
    <w:rsid w:val="22C9E2D2"/>
    <w:rsid w:val="230DC014"/>
    <w:rsid w:val="2344D62B"/>
    <w:rsid w:val="2359A76F"/>
    <w:rsid w:val="245241BA"/>
    <w:rsid w:val="251A2EB8"/>
    <w:rsid w:val="258D0F1F"/>
    <w:rsid w:val="26898AC3"/>
    <w:rsid w:val="27A22E95"/>
    <w:rsid w:val="27A60281"/>
    <w:rsid w:val="27E59B38"/>
    <w:rsid w:val="28317948"/>
    <w:rsid w:val="283F1E2E"/>
    <w:rsid w:val="2850DE7F"/>
    <w:rsid w:val="2850FA99"/>
    <w:rsid w:val="285AC003"/>
    <w:rsid w:val="286AD701"/>
    <w:rsid w:val="28E1EBA2"/>
    <w:rsid w:val="2A0C7F1C"/>
    <w:rsid w:val="2A144469"/>
    <w:rsid w:val="2A57D186"/>
    <w:rsid w:val="2A768636"/>
    <w:rsid w:val="2A8E0AC3"/>
    <w:rsid w:val="2B0004A6"/>
    <w:rsid w:val="2B0DF016"/>
    <w:rsid w:val="2BDCCA4C"/>
    <w:rsid w:val="2C03B6DA"/>
    <w:rsid w:val="2CC18A38"/>
    <w:rsid w:val="2D7E00A3"/>
    <w:rsid w:val="2D9C38A8"/>
    <w:rsid w:val="2E3F6632"/>
    <w:rsid w:val="2EED533E"/>
    <w:rsid w:val="2FBC8313"/>
    <w:rsid w:val="2FC524A4"/>
    <w:rsid w:val="2FF58BDB"/>
    <w:rsid w:val="2FFBE254"/>
    <w:rsid w:val="3005A671"/>
    <w:rsid w:val="301F0DAD"/>
    <w:rsid w:val="30AF9274"/>
    <w:rsid w:val="30E77A26"/>
    <w:rsid w:val="31317D10"/>
    <w:rsid w:val="315EAD63"/>
    <w:rsid w:val="34A28EFC"/>
    <w:rsid w:val="3633EF86"/>
    <w:rsid w:val="373E7163"/>
    <w:rsid w:val="380CBEB8"/>
    <w:rsid w:val="393FB451"/>
    <w:rsid w:val="3974BDBE"/>
    <w:rsid w:val="3980BB9B"/>
    <w:rsid w:val="39E662CB"/>
    <w:rsid w:val="3A5CA1B4"/>
    <w:rsid w:val="3A7AA713"/>
    <w:rsid w:val="3ACEEEB0"/>
    <w:rsid w:val="3B186593"/>
    <w:rsid w:val="3BA679DA"/>
    <w:rsid w:val="3BEB5843"/>
    <w:rsid w:val="3D2D6C4E"/>
    <w:rsid w:val="3D467E63"/>
    <w:rsid w:val="3D4F2EF4"/>
    <w:rsid w:val="3D618378"/>
    <w:rsid w:val="3DE7634C"/>
    <w:rsid w:val="3DFB8C8E"/>
    <w:rsid w:val="3EC2A006"/>
    <w:rsid w:val="3F26DA26"/>
    <w:rsid w:val="3F5D6417"/>
    <w:rsid w:val="4045B106"/>
    <w:rsid w:val="40A5F6F8"/>
    <w:rsid w:val="40DAA497"/>
    <w:rsid w:val="41035FB7"/>
    <w:rsid w:val="413DD0E0"/>
    <w:rsid w:val="420C3B3C"/>
    <w:rsid w:val="4239A7FD"/>
    <w:rsid w:val="42542688"/>
    <w:rsid w:val="442A495E"/>
    <w:rsid w:val="45700F37"/>
    <w:rsid w:val="47252488"/>
    <w:rsid w:val="475ADC09"/>
    <w:rsid w:val="47A7C103"/>
    <w:rsid w:val="4815A149"/>
    <w:rsid w:val="4816D1AF"/>
    <w:rsid w:val="48194C22"/>
    <w:rsid w:val="482052CC"/>
    <w:rsid w:val="484B61E4"/>
    <w:rsid w:val="48D9291F"/>
    <w:rsid w:val="491D6310"/>
    <w:rsid w:val="496A42EB"/>
    <w:rsid w:val="4A7AB304"/>
    <w:rsid w:val="4AC2F259"/>
    <w:rsid w:val="4BC2AE84"/>
    <w:rsid w:val="4CCF99D4"/>
    <w:rsid w:val="4CE9126C"/>
    <w:rsid w:val="4CEA1310"/>
    <w:rsid w:val="4DBFD7A1"/>
    <w:rsid w:val="4F3EC450"/>
    <w:rsid w:val="509D5922"/>
    <w:rsid w:val="516C804C"/>
    <w:rsid w:val="522B47B0"/>
    <w:rsid w:val="529E0BF0"/>
    <w:rsid w:val="5454CF2D"/>
    <w:rsid w:val="54564C24"/>
    <w:rsid w:val="54B4177F"/>
    <w:rsid w:val="54CF47A1"/>
    <w:rsid w:val="5552D536"/>
    <w:rsid w:val="55882C3A"/>
    <w:rsid w:val="55E4E9C5"/>
    <w:rsid w:val="5683E73B"/>
    <w:rsid w:val="56997745"/>
    <w:rsid w:val="56DA2B10"/>
    <w:rsid w:val="57A9661C"/>
    <w:rsid w:val="5835850F"/>
    <w:rsid w:val="58B4C2EE"/>
    <w:rsid w:val="58BD2B4A"/>
    <w:rsid w:val="5A772D37"/>
    <w:rsid w:val="5A951FDB"/>
    <w:rsid w:val="5AA79689"/>
    <w:rsid w:val="5ADEFBD2"/>
    <w:rsid w:val="5BF6A375"/>
    <w:rsid w:val="5D433533"/>
    <w:rsid w:val="5D4FD8D2"/>
    <w:rsid w:val="5D662AA7"/>
    <w:rsid w:val="5E06E290"/>
    <w:rsid w:val="5E24439C"/>
    <w:rsid w:val="5E249C6C"/>
    <w:rsid w:val="5E50078E"/>
    <w:rsid w:val="5EA61CC1"/>
    <w:rsid w:val="5EF9EED5"/>
    <w:rsid w:val="5F0087FF"/>
    <w:rsid w:val="5F88720C"/>
    <w:rsid w:val="5F9556C5"/>
    <w:rsid w:val="5F9D7621"/>
    <w:rsid w:val="6073896E"/>
    <w:rsid w:val="607BEC98"/>
    <w:rsid w:val="60B8D0C7"/>
    <w:rsid w:val="60F4CB04"/>
    <w:rsid w:val="61A46C91"/>
    <w:rsid w:val="6246D3E2"/>
    <w:rsid w:val="628D3B4A"/>
    <w:rsid w:val="634A4CCD"/>
    <w:rsid w:val="63B5B1E5"/>
    <w:rsid w:val="653B0EC0"/>
    <w:rsid w:val="65A4A8F8"/>
    <w:rsid w:val="66AE240B"/>
    <w:rsid w:val="66AF73D1"/>
    <w:rsid w:val="66B94AD0"/>
    <w:rsid w:val="66DAB032"/>
    <w:rsid w:val="675D9CCA"/>
    <w:rsid w:val="67A38FD8"/>
    <w:rsid w:val="67C03602"/>
    <w:rsid w:val="68C57F3D"/>
    <w:rsid w:val="69634240"/>
    <w:rsid w:val="69946E22"/>
    <w:rsid w:val="69A115F2"/>
    <w:rsid w:val="6A267213"/>
    <w:rsid w:val="6B54DDEB"/>
    <w:rsid w:val="6BAC16C7"/>
    <w:rsid w:val="6C1BA531"/>
    <w:rsid w:val="6CAB21BA"/>
    <w:rsid w:val="6CB4385C"/>
    <w:rsid w:val="6CFFBFE9"/>
    <w:rsid w:val="6D1B4E4D"/>
    <w:rsid w:val="6D4333DA"/>
    <w:rsid w:val="6FB757BB"/>
    <w:rsid w:val="6FF8DED9"/>
    <w:rsid w:val="70BC30CE"/>
    <w:rsid w:val="70E857BF"/>
    <w:rsid w:val="70F36D2B"/>
    <w:rsid w:val="714126F7"/>
    <w:rsid w:val="715928D2"/>
    <w:rsid w:val="720E1AF9"/>
    <w:rsid w:val="721D9B87"/>
    <w:rsid w:val="7257EE1A"/>
    <w:rsid w:val="727241F2"/>
    <w:rsid w:val="72784A1D"/>
    <w:rsid w:val="72DB936D"/>
    <w:rsid w:val="72DF55D4"/>
    <w:rsid w:val="7322E83C"/>
    <w:rsid w:val="734803CB"/>
    <w:rsid w:val="736DD2A0"/>
    <w:rsid w:val="7378828A"/>
    <w:rsid w:val="73A26376"/>
    <w:rsid w:val="73FDE057"/>
    <w:rsid w:val="74DB7767"/>
    <w:rsid w:val="757D5DB7"/>
    <w:rsid w:val="75C61DE4"/>
    <w:rsid w:val="760E0A2B"/>
    <w:rsid w:val="7670EDD9"/>
    <w:rsid w:val="7679D77E"/>
    <w:rsid w:val="76C045C4"/>
    <w:rsid w:val="775EE060"/>
    <w:rsid w:val="78B47294"/>
    <w:rsid w:val="78DA4241"/>
    <w:rsid w:val="78E5F155"/>
    <w:rsid w:val="78E8F7FA"/>
    <w:rsid w:val="78F0B2AF"/>
    <w:rsid w:val="792B8671"/>
    <w:rsid w:val="7998F2EE"/>
    <w:rsid w:val="79C510B4"/>
    <w:rsid w:val="79E9623D"/>
    <w:rsid w:val="7A3B7CC4"/>
    <w:rsid w:val="7A4F096D"/>
    <w:rsid w:val="7A7D4077"/>
    <w:rsid w:val="7B49F874"/>
    <w:rsid w:val="7B4BD19D"/>
    <w:rsid w:val="7BD7C2DF"/>
    <w:rsid w:val="7C1954A9"/>
    <w:rsid w:val="7CE64B22"/>
    <w:rsid w:val="7CEEDA7E"/>
    <w:rsid w:val="7D21E697"/>
    <w:rsid w:val="7D29586C"/>
    <w:rsid w:val="7E0D6FE4"/>
    <w:rsid w:val="7E0E23EF"/>
    <w:rsid w:val="7EFBA331"/>
    <w:rsid w:val="7F482204"/>
    <w:rsid w:val="7F5967A8"/>
    <w:rsid w:val="7F766445"/>
    <w:rsid w:val="7FC9263D"/>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FE2E18D"/>
  <w15:chartTrackingRefBased/>
  <w15:docId w15:val="{58010AFE-F322-4CEB-8388-ECCA664E42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lsdException w:name="heading 7" w:semiHidden="1" w:uiPriority="9" w:unhideWhenUsed="1"/>
    <w:lsdException w:name="heading 8" w:semiHidden="1" w:uiPriority="9" w:unhideWhenUsed="1"/>
    <w:lsdException w:name="heading 9" w:semiHidden="1" w:uiPriority="18"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1"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4"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qFormat="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semiHidden="1" w:uiPriority="22"/>
    <w:lsdException w:name="Emphasis" w:semiHidden="1" w:uiPriority="2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semiHidden="1" w:uiPriority="21" w:qFormat="1"/>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A3F81"/>
    <w:pPr>
      <w:spacing w:before="240" w:after="240" w:line="240" w:lineRule="auto"/>
    </w:pPr>
  </w:style>
  <w:style w:type="paragraph" w:styleId="Heading1">
    <w:name w:val="heading 1"/>
    <w:next w:val="Normal"/>
    <w:link w:val="Heading1Char"/>
    <w:uiPriority w:val="9"/>
    <w:qFormat/>
    <w:rsid w:val="00362487"/>
    <w:pPr>
      <w:keepNext/>
      <w:keepLines/>
      <w:spacing w:before="240" w:after="240"/>
      <w:outlineLvl w:val="0"/>
    </w:pPr>
    <w:rPr>
      <w:rFonts w:eastAsiaTheme="majorEastAsia" w:cstheme="majorBidi"/>
      <w:color w:val="004D71"/>
      <w:sz w:val="28"/>
      <w:szCs w:val="32"/>
    </w:rPr>
  </w:style>
  <w:style w:type="paragraph" w:styleId="Heading2">
    <w:name w:val="heading 2"/>
    <w:basedOn w:val="Heading1"/>
    <w:next w:val="Normal"/>
    <w:link w:val="Heading2Char"/>
    <w:uiPriority w:val="3"/>
    <w:qFormat/>
    <w:rsid w:val="00362487"/>
    <w:pPr>
      <w:numPr>
        <w:ilvl w:val="1"/>
      </w:numPr>
      <w:spacing w:before="0" w:after="0"/>
      <w:outlineLvl w:val="1"/>
    </w:pPr>
    <w:rPr>
      <w:sz w:val="24"/>
      <w:szCs w:val="26"/>
    </w:rPr>
  </w:style>
  <w:style w:type="paragraph" w:styleId="Heading3">
    <w:name w:val="heading 3"/>
    <w:basedOn w:val="Heading2"/>
    <w:next w:val="Normal"/>
    <w:link w:val="Heading3Char"/>
    <w:uiPriority w:val="9"/>
    <w:qFormat/>
    <w:rsid w:val="00362487"/>
    <w:pPr>
      <w:numPr>
        <w:ilvl w:val="2"/>
      </w:numPr>
      <w:spacing w:before="100" w:beforeAutospacing="1" w:after="100" w:afterAutospacing="1"/>
      <w:outlineLvl w:val="2"/>
    </w:pPr>
    <w:rPr>
      <w:sz w:val="22"/>
      <w:szCs w:val="24"/>
    </w:rPr>
  </w:style>
  <w:style w:type="paragraph" w:styleId="Heading4">
    <w:name w:val="heading 4"/>
    <w:basedOn w:val="Heading3"/>
    <w:next w:val="Normal"/>
    <w:link w:val="Heading4Char"/>
    <w:uiPriority w:val="13"/>
    <w:qFormat/>
    <w:rsid w:val="00FC4483"/>
    <w:pPr>
      <w:numPr>
        <w:ilvl w:val="3"/>
      </w:numPr>
      <w:outlineLvl w:val="3"/>
    </w:pPr>
    <w:rPr>
      <w:b/>
      <w:iCs/>
    </w:rPr>
  </w:style>
  <w:style w:type="paragraph" w:styleId="Heading5">
    <w:name w:val="heading 5"/>
    <w:basedOn w:val="Heading4"/>
    <w:next w:val="Normal"/>
    <w:link w:val="Heading5Char"/>
    <w:uiPriority w:val="14"/>
    <w:qFormat/>
    <w:rsid w:val="00FC4483"/>
    <w:pPr>
      <w:numPr>
        <w:ilvl w:val="4"/>
      </w:numPr>
      <w:outlineLvl w:val="4"/>
    </w:pPr>
    <w:rPr>
      <w:b w:val="0"/>
      <w:color w:val="004D71" w:themeColor="text1"/>
    </w:rPr>
  </w:style>
  <w:style w:type="paragraph" w:styleId="Heading6">
    <w:name w:val="heading 6"/>
    <w:basedOn w:val="Heading5"/>
    <w:next w:val="Normal"/>
    <w:link w:val="Heading6Char"/>
    <w:uiPriority w:val="15"/>
    <w:unhideWhenUsed/>
    <w:rsid w:val="00FC4483"/>
    <w:pPr>
      <w:numPr>
        <w:ilvl w:val="5"/>
      </w:numPr>
      <w:spacing w:before="40" w:after="0"/>
      <w:outlineLvl w:val="5"/>
    </w:pPr>
    <w:rPr>
      <w:color w:val="0B557D" w:themeColor="accent1" w:themeShade="7F"/>
    </w:rPr>
  </w:style>
  <w:style w:type="paragraph" w:styleId="Heading7">
    <w:name w:val="heading 7"/>
    <w:basedOn w:val="Heading6"/>
    <w:next w:val="Normal"/>
    <w:link w:val="Heading7Char"/>
    <w:uiPriority w:val="16"/>
    <w:unhideWhenUsed/>
    <w:rsid w:val="00FC4483"/>
    <w:pPr>
      <w:numPr>
        <w:ilvl w:val="6"/>
      </w:numPr>
      <w:outlineLvl w:val="6"/>
    </w:pPr>
    <w:rPr>
      <w:i/>
      <w:iCs w:val="0"/>
    </w:rPr>
  </w:style>
  <w:style w:type="paragraph" w:styleId="Heading8">
    <w:name w:val="heading 8"/>
    <w:basedOn w:val="Heading7"/>
    <w:next w:val="Normal"/>
    <w:link w:val="Heading8Char"/>
    <w:uiPriority w:val="17"/>
    <w:unhideWhenUsed/>
    <w:rsid w:val="00FC4483"/>
    <w:pPr>
      <w:numPr>
        <w:ilvl w:val="7"/>
      </w:numPr>
      <w:outlineLvl w:val="7"/>
    </w:pPr>
    <w:rPr>
      <w:i w:val="0"/>
      <w:color w:val="0075AD" w:themeColor="text1" w:themeTint="D8"/>
      <w:sz w:val="21"/>
      <w:szCs w:val="21"/>
    </w:rPr>
  </w:style>
  <w:style w:type="paragraph" w:styleId="Heading9">
    <w:name w:val="heading 9"/>
    <w:basedOn w:val="Heading8"/>
    <w:next w:val="Normal"/>
    <w:link w:val="Heading9Char"/>
    <w:uiPriority w:val="18"/>
    <w:semiHidden/>
    <w:unhideWhenUsed/>
    <w:rsid w:val="00FC4483"/>
    <w:pPr>
      <w:numPr>
        <w:ilvl w:val="8"/>
      </w:numPr>
      <w:outlineLvl w:val="8"/>
    </w:pPr>
    <w:rPr>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Letterref">
    <w:name w:val="Letter ref"/>
    <w:basedOn w:val="Normal"/>
    <w:next w:val="Address"/>
    <w:link w:val="LetterrefChar"/>
    <w:uiPriority w:val="20"/>
    <w:qFormat/>
    <w:rsid w:val="00FC4483"/>
    <w:pPr>
      <w:tabs>
        <w:tab w:val="left" w:pos="340"/>
      </w:tabs>
      <w:spacing w:before="0" w:after="0"/>
      <w:contextualSpacing/>
    </w:pPr>
  </w:style>
  <w:style w:type="paragraph" w:customStyle="1" w:styleId="Address">
    <w:name w:val="Address"/>
    <w:basedOn w:val="Normal"/>
    <w:next w:val="Normal"/>
    <w:link w:val="AddressChar"/>
    <w:uiPriority w:val="21"/>
    <w:qFormat/>
    <w:rsid w:val="00FC4483"/>
    <w:pPr>
      <w:keepLines/>
      <w:contextualSpacing/>
    </w:pPr>
  </w:style>
  <w:style w:type="character" w:customStyle="1" w:styleId="AddressChar">
    <w:name w:val="Address Char"/>
    <w:basedOn w:val="DefaultParagraphFont"/>
    <w:link w:val="Address"/>
    <w:uiPriority w:val="21"/>
    <w:rsid w:val="00FC4483"/>
  </w:style>
  <w:style w:type="character" w:styleId="CommentReference">
    <w:name w:val="annotation reference"/>
    <w:basedOn w:val="DefaultParagraphFont"/>
    <w:uiPriority w:val="99"/>
    <w:unhideWhenUsed/>
    <w:qFormat/>
    <w:rsid w:val="00FC4483"/>
    <w:rPr>
      <w:rFonts w:asciiTheme="minorHAnsi" w:hAnsiTheme="minorHAnsi"/>
      <w:sz w:val="22"/>
      <w:szCs w:val="16"/>
    </w:rPr>
  </w:style>
  <w:style w:type="paragraph" w:styleId="ListParagraph">
    <w:name w:val="List Paragraph"/>
    <w:basedOn w:val="Normal"/>
    <w:link w:val="ListParagraphChar"/>
    <w:uiPriority w:val="34"/>
    <w:qFormat/>
    <w:rsid w:val="00FC4483"/>
    <w:pPr>
      <w:ind w:left="720"/>
      <w:contextualSpacing/>
    </w:pPr>
  </w:style>
  <w:style w:type="character" w:customStyle="1" w:styleId="Heading1Char">
    <w:name w:val="Heading 1 Char"/>
    <w:basedOn w:val="DefaultParagraphFont"/>
    <w:link w:val="Heading1"/>
    <w:uiPriority w:val="9"/>
    <w:rsid w:val="00362487"/>
    <w:rPr>
      <w:rFonts w:eastAsiaTheme="majorEastAsia" w:cstheme="majorBidi"/>
      <w:color w:val="004D71"/>
      <w:sz w:val="28"/>
      <w:szCs w:val="32"/>
    </w:rPr>
  </w:style>
  <w:style w:type="character" w:styleId="Hyperlink">
    <w:name w:val="Hyperlink"/>
    <w:basedOn w:val="DefaultParagraphFont"/>
    <w:uiPriority w:val="99"/>
    <w:unhideWhenUsed/>
    <w:qFormat/>
    <w:rsid w:val="00FC4483"/>
    <w:rPr>
      <w:rFonts w:asciiTheme="majorHAnsi" w:hAnsiTheme="majorHAnsi"/>
      <w:color w:val="836C60"/>
      <w:sz w:val="22"/>
      <w:u w:val="single"/>
    </w:rPr>
  </w:style>
  <w:style w:type="paragraph" w:styleId="ListBullet">
    <w:name w:val="List Bullet"/>
    <w:basedOn w:val="Normal"/>
    <w:uiPriority w:val="5"/>
    <w:qFormat/>
    <w:rsid w:val="00FC4483"/>
    <w:pPr>
      <w:numPr>
        <w:numId w:val="2"/>
      </w:numPr>
      <w:contextualSpacing/>
    </w:pPr>
  </w:style>
  <w:style w:type="numbering" w:customStyle="1" w:styleId="Numberedlist-TLS">
    <w:name w:val="Numbered list - TLS"/>
    <w:uiPriority w:val="99"/>
    <w:rsid w:val="00FC4483"/>
    <w:pPr>
      <w:numPr>
        <w:numId w:val="1"/>
      </w:numPr>
    </w:pPr>
  </w:style>
  <w:style w:type="paragraph" w:styleId="Subtitle">
    <w:name w:val="Subtitle"/>
    <w:basedOn w:val="Normal"/>
    <w:next w:val="Normal"/>
    <w:link w:val="SubtitleChar"/>
    <w:uiPriority w:val="11"/>
    <w:semiHidden/>
    <w:rsid w:val="00FC4483"/>
    <w:pPr>
      <w:numPr>
        <w:ilvl w:val="1"/>
        <w:numId w:val="3"/>
      </w:numPr>
      <w:spacing w:after="160"/>
    </w:pPr>
    <w:rPr>
      <w:rFonts w:eastAsiaTheme="minorEastAsia"/>
      <w:color w:val="00ABFD" w:themeColor="text1" w:themeTint="A5"/>
      <w:spacing w:val="15"/>
    </w:rPr>
  </w:style>
  <w:style w:type="character" w:customStyle="1" w:styleId="SubtitleChar">
    <w:name w:val="Subtitle Char"/>
    <w:basedOn w:val="DefaultParagraphFont"/>
    <w:link w:val="Subtitle"/>
    <w:uiPriority w:val="11"/>
    <w:semiHidden/>
    <w:rsid w:val="00FC4483"/>
    <w:rPr>
      <w:rFonts w:eastAsiaTheme="minorEastAsia"/>
      <w:color w:val="00ABFD" w:themeColor="text1" w:themeTint="A5"/>
      <w:spacing w:val="15"/>
    </w:rPr>
  </w:style>
  <w:style w:type="character" w:customStyle="1" w:styleId="Heading2Char">
    <w:name w:val="Heading 2 Char"/>
    <w:basedOn w:val="DefaultParagraphFont"/>
    <w:link w:val="Heading2"/>
    <w:uiPriority w:val="3"/>
    <w:rsid w:val="00362487"/>
    <w:rPr>
      <w:rFonts w:eastAsiaTheme="majorEastAsia" w:cstheme="majorBidi"/>
      <w:color w:val="004D71"/>
      <w:sz w:val="24"/>
      <w:szCs w:val="26"/>
    </w:rPr>
  </w:style>
  <w:style w:type="character" w:customStyle="1" w:styleId="Heading3Char">
    <w:name w:val="Heading 3 Char"/>
    <w:basedOn w:val="DefaultParagraphFont"/>
    <w:link w:val="Heading3"/>
    <w:uiPriority w:val="9"/>
    <w:rsid w:val="00362487"/>
    <w:rPr>
      <w:rFonts w:eastAsiaTheme="majorEastAsia" w:cstheme="majorBidi"/>
      <w:color w:val="004D71"/>
      <w:szCs w:val="24"/>
    </w:rPr>
  </w:style>
  <w:style w:type="character" w:customStyle="1" w:styleId="Heading4Char">
    <w:name w:val="Heading 4 Char"/>
    <w:basedOn w:val="DefaultParagraphFont"/>
    <w:link w:val="Heading4"/>
    <w:uiPriority w:val="13"/>
    <w:rsid w:val="00FC4483"/>
    <w:rPr>
      <w:rFonts w:asciiTheme="majorHAnsi" w:eastAsiaTheme="majorEastAsia" w:hAnsiTheme="majorHAnsi" w:cstheme="majorBidi"/>
      <w:b/>
      <w:iCs/>
      <w:color w:val="004D71"/>
      <w:szCs w:val="24"/>
    </w:rPr>
  </w:style>
  <w:style w:type="table" w:styleId="TableGrid">
    <w:name w:val="Table Grid"/>
    <w:basedOn w:val="TableNormal"/>
    <w:uiPriority w:val="39"/>
    <w:rsid w:val="00FC448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Style-TLS">
    <w:name w:val="Table Style - TLS"/>
    <w:basedOn w:val="TableNormal"/>
    <w:uiPriority w:val="99"/>
    <w:rsid w:val="0057454C"/>
    <w:pPr>
      <w:spacing w:after="0" w:line="240" w:lineRule="auto"/>
      <w:jc w:val="center"/>
    </w:pPr>
    <w:rPr>
      <w:color w:val="004D71"/>
    </w:rPr>
    <w:tblPr>
      <w:tblStyleRowBandSize w:val="1"/>
      <w:tblStyleColBandSize w:val="1"/>
      <w:tblBorders>
        <w:top w:val="single" w:sz="36" w:space="0" w:color="FFFFFF" w:themeColor="background1"/>
        <w:left w:val="single" w:sz="36" w:space="0" w:color="FFFFFF" w:themeColor="background1"/>
        <w:bottom w:val="single" w:sz="36" w:space="0" w:color="FFFFFF" w:themeColor="background1"/>
        <w:right w:val="single" w:sz="36" w:space="0" w:color="FFFFFF" w:themeColor="background1"/>
        <w:insideH w:val="single" w:sz="36" w:space="0" w:color="FFFFFF" w:themeColor="background1"/>
        <w:insideV w:val="single" w:sz="36" w:space="0" w:color="FFFFFF" w:themeColor="background1"/>
      </w:tblBorders>
    </w:tblPr>
    <w:tcPr>
      <w:shd w:val="clear" w:color="auto" w:fill="auto"/>
      <w:vAlign w:val="center"/>
    </w:tcPr>
    <w:tblStylePr w:type="firstRow">
      <w:pPr>
        <w:wordWrap/>
        <w:jc w:val="center"/>
      </w:pPr>
      <w:rPr>
        <w:rFonts w:asciiTheme="majorHAnsi" w:hAnsiTheme="majorHAnsi"/>
        <w:b/>
        <w:color w:val="FFFFFF" w:themeColor="background1"/>
        <w:sz w:val="22"/>
      </w:rPr>
      <w:tblPr/>
      <w:tcPr>
        <w:tcBorders>
          <w:top w:val="single" w:sz="36" w:space="0" w:color="FFFFFF" w:themeColor="background1"/>
          <w:left w:val="single" w:sz="36" w:space="0" w:color="FFFFFF" w:themeColor="background1"/>
          <w:bottom w:val="single" w:sz="36" w:space="0" w:color="FFFFFF" w:themeColor="background1"/>
          <w:right w:val="single" w:sz="36" w:space="0" w:color="FFFFFF" w:themeColor="background1"/>
          <w:insideH w:val="single" w:sz="36" w:space="0" w:color="FFFFFF" w:themeColor="background1"/>
          <w:insideV w:val="single" w:sz="36" w:space="0" w:color="FFFFFF" w:themeColor="background1"/>
        </w:tcBorders>
        <w:shd w:val="clear" w:color="auto" w:fill="004D71" w:themeFill="text1"/>
      </w:tcPr>
    </w:tblStylePr>
    <w:tblStylePr w:type="lastRow">
      <w:pPr>
        <w:jc w:val="center"/>
      </w:pPr>
      <w:rPr>
        <w:rFonts w:asciiTheme="minorHAnsi" w:hAnsiTheme="minorHAnsi"/>
        <w:color w:val="001925" w:themeColor="text2"/>
        <w:sz w:val="22"/>
      </w:rPr>
      <w:tblPr/>
      <w:tcPr>
        <w:shd w:val="clear" w:color="auto" w:fill="29A8EB" w:themeFill="accent1"/>
      </w:tcPr>
    </w:tblStylePr>
    <w:tblStylePr w:type="firstCol">
      <w:pPr>
        <w:jc w:val="left"/>
      </w:pPr>
      <w:rPr>
        <w:rFonts w:asciiTheme="minorHAnsi" w:hAnsiTheme="minorHAnsi"/>
        <w:b w:val="0"/>
        <w:i w:val="0"/>
        <w:color w:val="001925" w:themeColor="text2"/>
        <w:sz w:val="22"/>
      </w:rPr>
      <w:tblPr/>
      <w:tcPr>
        <w:shd w:val="clear" w:color="auto" w:fill="29A8EB" w:themeFill="accent1"/>
      </w:tcPr>
    </w:tblStylePr>
    <w:tblStylePr w:type="lastCol">
      <w:pPr>
        <w:jc w:val="right"/>
      </w:pPr>
      <w:rPr>
        <w:color w:val="001925" w:themeColor="text2"/>
      </w:rPr>
      <w:tblPr/>
      <w:tcPr>
        <w:shd w:val="clear" w:color="auto" w:fill="29A8EB" w:themeFill="accent1"/>
      </w:tcPr>
    </w:tblStylePr>
    <w:tblStylePr w:type="band1Horz">
      <w:rPr>
        <w:rFonts w:asciiTheme="minorHAnsi" w:hAnsiTheme="minorHAnsi"/>
        <w:sz w:val="22"/>
      </w:rPr>
      <w:tblPr/>
      <w:tcPr>
        <w:shd w:val="clear" w:color="auto" w:fill="F2F2F2" w:themeFill="background1" w:themeFillShade="F2"/>
      </w:tcPr>
    </w:tblStylePr>
    <w:tblStylePr w:type="band2Horz">
      <w:tblPr/>
      <w:tcPr>
        <w:shd w:val="clear" w:color="auto" w:fill="D9D9D9" w:themeFill="background1" w:themeFillShade="D9"/>
      </w:tcPr>
    </w:tblStylePr>
  </w:style>
  <w:style w:type="paragraph" w:styleId="Footer">
    <w:name w:val="footer"/>
    <w:basedOn w:val="Normal"/>
    <w:link w:val="FooterChar"/>
    <w:uiPriority w:val="99"/>
    <w:unhideWhenUsed/>
    <w:qFormat/>
    <w:rsid w:val="00FC4483"/>
    <w:pPr>
      <w:tabs>
        <w:tab w:val="center" w:pos="4513"/>
        <w:tab w:val="right" w:pos="9026"/>
      </w:tabs>
      <w:spacing w:before="0" w:after="0"/>
    </w:pPr>
    <w:rPr>
      <w:color w:val="004D71" w:themeColor="text1"/>
      <w:sz w:val="15"/>
    </w:rPr>
  </w:style>
  <w:style w:type="character" w:customStyle="1" w:styleId="FooterChar">
    <w:name w:val="Footer Char"/>
    <w:basedOn w:val="DefaultParagraphFont"/>
    <w:link w:val="Footer"/>
    <w:uiPriority w:val="99"/>
    <w:rsid w:val="00FC4483"/>
    <w:rPr>
      <w:color w:val="004D71" w:themeColor="text1"/>
      <w:sz w:val="15"/>
    </w:rPr>
  </w:style>
  <w:style w:type="character" w:customStyle="1" w:styleId="Heading8Char">
    <w:name w:val="Heading 8 Char"/>
    <w:basedOn w:val="DefaultParagraphFont"/>
    <w:link w:val="Heading8"/>
    <w:uiPriority w:val="17"/>
    <w:rsid w:val="00FC4483"/>
    <w:rPr>
      <w:rFonts w:asciiTheme="majorHAnsi" w:eastAsiaTheme="majorEastAsia" w:hAnsiTheme="majorHAnsi" w:cstheme="majorBidi"/>
      <w:color w:val="0075AD" w:themeColor="text1" w:themeTint="D8"/>
      <w:sz w:val="21"/>
      <w:szCs w:val="21"/>
    </w:rPr>
  </w:style>
  <w:style w:type="character" w:customStyle="1" w:styleId="Heading7Char">
    <w:name w:val="Heading 7 Char"/>
    <w:basedOn w:val="DefaultParagraphFont"/>
    <w:link w:val="Heading7"/>
    <w:uiPriority w:val="16"/>
    <w:rsid w:val="00FC4483"/>
    <w:rPr>
      <w:rFonts w:asciiTheme="majorHAnsi" w:eastAsiaTheme="majorEastAsia" w:hAnsiTheme="majorHAnsi" w:cstheme="majorBidi"/>
      <w:i/>
      <w:color w:val="0B557D" w:themeColor="accent1" w:themeShade="7F"/>
      <w:szCs w:val="24"/>
    </w:rPr>
  </w:style>
  <w:style w:type="character" w:customStyle="1" w:styleId="Heading6Char">
    <w:name w:val="Heading 6 Char"/>
    <w:basedOn w:val="DefaultParagraphFont"/>
    <w:link w:val="Heading6"/>
    <w:uiPriority w:val="15"/>
    <w:rsid w:val="00FC4483"/>
    <w:rPr>
      <w:rFonts w:asciiTheme="majorHAnsi" w:eastAsiaTheme="majorEastAsia" w:hAnsiTheme="majorHAnsi" w:cstheme="majorBidi"/>
      <w:iCs/>
      <w:color w:val="0B557D" w:themeColor="accent1" w:themeShade="7F"/>
      <w:szCs w:val="24"/>
    </w:rPr>
  </w:style>
  <w:style w:type="character" w:customStyle="1" w:styleId="Heading5Char">
    <w:name w:val="Heading 5 Char"/>
    <w:basedOn w:val="DefaultParagraphFont"/>
    <w:link w:val="Heading5"/>
    <w:uiPriority w:val="14"/>
    <w:rsid w:val="00FC4483"/>
    <w:rPr>
      <w:rFonts w:asciiTheme="majorHAnsi" w:eastAsiaTheme="majorEastAsia" w:hAnsiTheme="majorHAnsi" w:cstheme="majorBidi"/>
      <w:iCs/>
      <w:color w:val="004D71" w:themeColor="text1"/>
      <w:szCs w:val="24"/>
    </w:rPr>
  </w:style>
  <w:style w:type="paragraph" w:styleId="Title">
    <w:name w:val="Title"/>
    <w:basedOn w:val="Normal"/>
    <w:next w:val="Normal"/>
    <w:link w:val="TitleChar"/>
    <w:uiPriority w:val="1"/>
    <w:qFormat/>
    <w:rsid w:val="00FC4483"/>
    <w:pPr>
      <w:spacing w:before="0" w:after="0"/>
      <w:contextualSpacing/>
    </w:pPr>
    <w:rPr>
      <w:rFonts w:asciiTheme="majorHAnsi" w:eastAsiaTheme="majorEastAsia" w:hAnsiTheme="majorHAnsi" w:cstheme="majorBidi"/>
      <w:color w:val="004D71" w:themeColor="text1"/>
      <w:spacing w:val="-10"/>
      <w:kern w:val="28"/>
      <w:sz w:val="56"/>
      <w:szCs w:val="56"/>
    </w:rPr>
  </w:style>
  <w:style w:type="character" w:customStyle="1" w:styleId="TitleChar">
    <w:name w:val="Title Char"/>
    <w:basedOn w:val="DefaultParagraphFont"/>
    <w:link w:val="Title"/>
    <w:uiPriority w:val="1"/>
    <w:rsid w:val="004A3F81"/>
    <w:rPr>
      <w:rFonts w:asciiTheme="majorHAnsi" w:eastAsiaTheme="majorEastAsia" w:hAnsiTheme="majorHAnsi" w:cstheme="majorBidi"/>
      <w:color w:val="004D71" w:themeColor="text1"/>
      <w:spacing w:val="-10"/>
      <w:kern w:val="28"/>
      <w:sz w:val="56"/>
      <w:szCs w:val="56"/>
    </w:rPr>
  </w:style>
  <w:style w:type="character" w:customStyle="1" w:styleId="LetterrefChar">
    <w:name w:val="Letter ref Char"/>
    <w:basedOn w:val="DefaultParagraphFont"/>
    <w:link w:val="Letterref"/>
    <w:uiPriority w:val="20"/>
    <w:rsid w:val="00FC4483"/>
  </w:style>
  <w:style w:type="character" w:customStyle="1" w:styleId="Heading9Char">
    <w:name w:val="Heading 9 Char"/>
    <w:basedOn w:val="DefaultParagraphFont"/>
    <w:link w:val="Heading9"/>
    <w:uiPriority w:val="18"/>
    <w:semiHidden/>
    <w:rsid w:val="00FC4483"/>
    <w:rPr>
      <w:rFonts w:asciiTheme="majorHAnsi" w:eastAsiaTheme="majorEastAsia" w:hAnsiTheme="majorHAnsi" w:cstheme="majorBidi"/>
      <w:i/>
      <w:iCs/>
      <w:color w:val="0075AD" w:themeColor="text1" w:themeTint="D8"/>
      <w:sz w:val="21"/>
      <w:szCs w:val="21"/>
    </w:rPr>
  </w:style>
  <w:style w:type="paragraph" w:styleId="TOCHeading">
    <w:name w:val="TOC Heading"/>
    <w:basedOn w:val="Heading1"/>
    <w:next w:val="Normal"/>
    <w:uiPriority w:val="39"/>
    <w:unhideWhenUsed/>
    <w:qFormat/>
    <w:rsid w:val="00FC4483"/>
    <w:pPr>
      <w:spacing w:after="0"/>
      <w:outlineLvl w:val="9"/>
    </w:pPr>
    <w:rPr>
      <w:color w:val="004D71" w:themeColor="text1"/>
      <w:sz w:val="32"/>
      <w:lang w:val="en-US"/>
    </w:rPr>
  </w:style>
  <w:style w:type="paragraph" w:customStyle="1" w:styleId="ListNumbered">
    <w:name w:val="List Numbered"/>
    <w:basedOn w:val="ListParagraph"/>
    <w:link w:val="ListNumberedChar"/>
    <w:uiPriority w:val="6"/>
    <w:qFormat/>
    <w:rsid w:val="00FC4483"/>
    <w:pPr>
      <w:ind w:left="357" w:hanging="357"/>
    </w:pPr>
  </w:style>
  <w:style w:type="character" w:customStyle="1" w:styleId="ListNumberedChar">
    <w:name w:val="List Numbered Char"/>
    <w:basedOn w:val="DefaultParagraphFont"/>
    <w:link w:val="ListNumbered"/>
    <w:uiPriority w:val="6"/>
    <w:rsid w:val="00FC4483"/>
  </w:style>
  <w:style w:type="paragraph" w:styleId="Header">
    <w:name w:val="header"/>
    <w:basedOn w:val="Normal"/>
    <w:link w:val="HeaderChar"/>
    <w:uiPriority w:val="99"/>
    <w:unhideWhenUsed/>
    <w:qFormat/>
    <w:rsid w:val="00FC4483"/>
    <w:pPr>
      <w:tabs>
        <w:tab w:val="center" w:pos="4513"/>
        <w:tab w:val="right" w:pos="9026"/>
      </w:tabs>
      <w:spacing w:before="0" w:after="0"/>
    </w:pPr>
  </w:style>
  <w:style w:type="character" w:customStyle="1" w:styleId="HeaderChar">
    <w:name w:val="Header Char"/>
    <w:basedOn w:val="DefaultParagraphFont"/>
    <w:link w:val="Header"/>
    <w:uiPriority w:val="99"/>
    <w:rsid w:val="00FC4483"/>
  </w:style>
  <w:style w:type="character" w:styleId="Emphasis">
    <w:name w:val="Emphasis"/>
    <w:basedOn w:val="DefaultParagraphFont"/>
    <w:uiPriority w:val="21"/>
    <w:qFormat/>
    <w:rsid w:val="00FC4483"/>
    <w:rPr>
      <w:rFonts w:asciiTheme="minorHAnsi" w:hAnsiTheme="minorHAnsi"/>
      <w:b/>
      <w:bCs w:val="0"/>
      <w:i w:val="0"/>
      <w:iCs w:val="0"/>
      <w:caps w:val="0"/>
      <w:smallCaps w:val="0"/>
      <w:strike w:val="0"/>
      <w:dstrike w:val="0"/>
      <w:vanish w:val="0"/>
      <w:color w:val="004D71" w:themeColor="text1"/>
      <w:sz w:val="22"/>
      <w:szCs w:val="22"/>
      <w:u w:val="none"/>
      <w:vertAlign w:val="baseline"/>
    </w:rPr>
  </w:style>
  <w:style w:type="character" w:styleId="FollowedHyperlink">
    <w:name w:val="FollowedHyperlink"/>
    <w:basedOn w:val="DefaultParagraphFont"/>
    <w:uiPriority w:val="99"/>
    <w:semiHidden/>
    <w:unhideWhenUsed/>
    <w:rsid w:val="00FC4483"/>
    <w:rPr>
      <w:color w:val="574840" w:themeColor="followedHyperlink"/>
      <w:u w:val="single"/>
    </w:rPr>
  </w:style>
  <w:style w:type="character" w:styleId="PlaceholderText">
    <w:name w:val="Placeholder Text"/>
    <w:basedOn w:val="DefaultParagraphFont"/>
    <w:uiPriority w:val="99"/>
    <w:semiHidden/>
    <w:rsid w:val="00FC4483"/>
    <w:rPr>
      <w:color w:val="808080"/>
    </w:rPr>
  </w:style>
  <w:style w:type="paragraph" w:styleId="Quote">
    <w:name w:val="Quote"/>
    <w:basedOn w:val="Normal"/>
    <w:next w:val="Normal"/>
    <w:link w:val="QuoteChar"/>
    <w:uiPriority w:val="21"/>
    <w:qFormat/>
    <w:rsid w:val="005F4107"/>
    <w:pPr>
      <w:spacing w:before="200" w:after="160"/>
      <w:ind w:left="864" w:right="864"/>
      <w:jc w:val="center"/>
    </w:pPr>
    <w:rPr>
      <w:b/>
      <w:iCs/>
      <w:color w:val="836C60" w:themeColor="accent6"/>
    </w:rPr>
  </w:style>
  <w:style w:type="character" w:customStyle="1" w:styleId="QuoteChar">
    <w:name w:val="Quote Char"/>
    <w:basedOn w:val="DefaultParagraphFont"/>
    <w:link w:val="Quote"/>
    <w:uiPriority w:val="21"/>
    <w:rsid w:val="005F4107"/>
    <w:rPr>
      <w:b/>
      <w:iCs/>
      <w:color w:val="836C60" w:themeColor="accent6"/>
    </w:rPr>
  </w:style>
  <w:style w:type="numbering" w:customStyle="1" w:styleId="NumberedDocument">
    <w:name w:val="Numbered Document"/>
    <w:uiPriority w:val="99"/>
    <w:rsid w:val="00153CDE"/>
    <w:pPr>
      <w:numPr>
        <w:numId w:val="4"/>
      </w:numPr>
    </w:pPr>
  </w:style>
  <w:style w:type="paragraph" w:customStyle="1" w:styleId="NumberedDocumentParagraph">
    <w:name w:val="Numbered Document Paragraph"/>
    <w:basedOn w:val="Normal"/>
    <w:uiPriority w:val="8"/>
    <w:qFormat/>
    <w:rsid w:val="00153CDE"/>
    <w:pPr>
      <w:ind w:left="1418" w:hanging="709"/>
    </w:pPr>
  </w:style>
  <w:style w:type="paragraph" w:styleId="TOC1">
    <w:name w:val="toc 1"/>
    <w:basedOn w:val="Normal"/>
    <w:next w:val="Normal"/>
    <w:autoRedefine/>
    <w:uiPriority w:val="39"/>
    <w:unhideWhenUsed/>
    <w:rsid w:val="00FF2555"/>
    <w:pPr>
      <w:spacing w:after="100"/>
    </w:pPr>
  </w:style>
  <w:style w:type="paragraph" w:customStyle="1" w:styleId="NumberedDocumentHeading1">
    <w:name w:val="Numbered Document Heading 1"/>
    <w:basedOn w:val="Heading1"/>
    <w:next w:val="NumberedDocumentParagraph"/>
    <w:uiPriority w:val="7"/>
    <w:qFormat/>
    <w:rsid w:val="00153CDE"/>
    <w:pPr>
      <w:ind w:left="709" w:hanging="709"/>
    </w:pPr>
  </w:style>
  <w:style w:type="character" w:customStyle="1" w:styleId="FootnoteTextChar">
    <w:name w:val="Footnote Text Char"/>
    <w:aliases w:val="5_G Char,FA Fu Char,Footnote Text Char Char Char Char Char Char,Footnote Text Char Char Char Char Char1,Footnote reference Char,Footnote Text Char Char Char Char1,Texto nota pie [MM] Char,FA Fußnotentext Char,FA Fuﬂnotentext Char"/>
    <w:basedOn w:val="DefaultParagraphFont"/>
    <w:link w:val="FootnoteText"/>
    <w:qFormat/>
    <w:locked/>
    <w:rsid w:val="00162615"/>
    <w:rPr>
      <w:rFonts w:ascii="Times New Roman" w:hAnsi="Times New Roman" w:cs="Times New Roman"/>
      <w:sz w:val="18"/>
      <w:lang w:eastAsia="zh-CN"/>
    </w:rPr>
  </w:style>
  <w:style w:type="paragraph" w:styleId="FootnoteText">
    <w:name w:val="footnote text"/>
    <w:aliases w:val="5_G,FA Fu,Footnote Text Char Char Char Char Char,Footnote Text Char Char Char Char,Footnote reference,Footnote Text Char Char Char,Texto nota pie [MM],FA Fußnotentext,FA Fuﬂnotentext,ft,texto de nota al pie, Car1,Ca,fn,Car1,C"/>
    <w:basedOn w:val="Normal"/>
    <w:link w:val="FootnoteTextChar"/>
    <w:unhideWhenUsed/>
    <w:qFormat/>
    <w:rsid w:val="00162615"/>
    <w:pPr>
      <w:tabs>
        <w:tab w:val="right" w:pos="1021"/>
      </w:tabs>
      <w:suppressAutoHyphens/>
      <w:spacing w:before="0" w:after="0" w:line="220" w:lineRule="exact"/>
      <w:ind w:left="1134" w:right="1134" w:hanging="1134"/>
    </w:pPr>
    <w:rPr>
      <w:rFonts w:ascii="Times New Roman" w:hAnsi="Times New Roman" w:cs="Times New Roman"/>
      <w:sz w:val="18"/>
      <w:lang w:eastAsia="zh-CN"/>
    </w:rPr>
  </w:style>
  <w:style w:type="character" w:customStyle="1" w:styleId="FootnoteTextChar1">
    <w:name w:val="Footnote Text Char1"/>
    <w:basedOn w:val="DefaultParagraphFont"/>
    <w:uiPriority w:val="99"/>
    <w:semiHidden/>
    <w:rsid w:val="00162615"/>
    <w:rPr>
      <w:sz w:val="20"/>
      <w:szCs w:val="20"/>
    </w:rPr>
  </w:style>
  <w:style w:type="paragraph" w:customStyle="1" w:styleId="HChG">
    <w:name w:val="_ H _Ch_G"/>
    <w:basedOn w:val="Normal"/>
    <w:next w:val="Normal"/>
    <w:rsid w:val="00162615"/>
    <w:pPr>
      <w:keepNext/>
      <w:keepLines/>
      <w:tabs>
        <w:tab w:val="right" w:pos="851"/>
      </w:tabs>
      <w:suppressAutoHyphens/>
      <w:spacing w:before="360" w:line="300" w:lineRule="exact"/>
      <w:ind w:left="1134" w:right="1134" w:hanging="1134"/>
    </w:pPr>
    <w:rPr>
      <w:rFonts w:ascii="Times New Roman" w:eastAsia="Times New Roman" w:hAnsi="Times New Roman" w:cs="Times New Roman"/>
      <w:b/>
      <w:sz w:val="28"/>
      <w:szCs w:val="20"/>
    </w:rPr>
  </w:style>
  <w:style w:type="character" w:styleId="FootnoteReference">
    <w:name w:val="footnote reference"/>
    <w:aliases w:val="4_G,Footnote,4_G Char,4_G Char Char,4_G Char Char Char,ftref Char Char Char Char,ftref Char Char Char Char Char,Heading 2 Char1 Char Char Char Char Char,Heading 2 Char2 Char Char Char Char Char Char,Footnote number,Footnotes refss,Ref"/>
    <w:unhideWhenUsed/>
    <w:qFormat/>
    <w:rsid w:val="00162615"/>
    <w:rPr>
      <w:rFonts w:ascii="Times New Roman" w:hAnsi="Times New Roman" w:cs="Times New Roman" w:hint="default"/>
      <w:sz w:val="18"/>
      <w:vertAlign w:val="superscript"/>
    </w:rPr>
  </w:style>
  <w:style w:type="paragraph" w:customStyle="1" w:styleId="SingleTxtG">
    <w:name w:val="_ Single Txt_G"/>
    <w:basedOn w:val="Normal"/>
    <w:link w:val="SingleTxtGChar"/>
    <w:qFormat/>
    <w:rsid w:val="0024784E"/>
    <w:pPr>
      <w:suppressAutoHyphens/>
      <w:spacing w:before="0" w:after="120" w:line="240" w:lineRule="atLeast"/>
      <w:ind w:left="1134" w:right="1134"/>
      <w:jc w:val="both"/>
    </w:pPr>
    <w:rPr>
      <w:rFonts w:ascii="Times New Roman" w:eastAsia="SimSun" w:hAnsi="Times New Roman" w:cs="Times New Roman"/>
      <w:sz w:val="20"/>
      <w:szCs w:val="20"/>
      <w:lang w:eastAsia="zh-CN"/>
    </w:rPr>
  </w:style>
  <w:style w:type="character" w:customStyle="1" w:styleId="SingleTxtGChar">
    <w:name w:val="_ Single Txt_G Char"/>
    <w:basedOn w:val="DefaultParagraphFont"/>
    <w:link w:val="SingleTxtG"/>
    <w:locked/>
    <w:rsid w:val="0024784E"/>
    <w:rPr>
      <w:rFonts w:ascii="Times New Roman" w:eastAsia="SimSun" w:hAnsi="Times New Roman" w:cs="Times New Roman"/>
      <w:sz w:val="20"/>
      <w:szCs w:val="20"/>
      <w:lang w:eastAsia="zh-CN"/>
    </w:rPr>
  </w:style>
  <w:style w:type="paragraph" w:styleId="TOC3">
    <w:name w:val="toc 3"/>
    <w:basedOn w:val="Normal"/>
    <w:next w:val="Normal"/>
    <w:autoRedefine/>
    <w:uiPriority w:val="39"/>
    <w:unhideWhenUsed/>
    <w:rsid w:val="004417B8"/>
    <w:pPr>
      <w:spacing w:after="100"/>
      <w:ind w:left="440"/>
    </w:pPr>
  </w:style>
  <w:style w:type="character" w:styleId="EndnoteReference">
    <w:name w:val="endnote reference"/>
    <w:basedOn w:val="DefaultParagraphFont"/>
    <w:uiPriority w:val="99"/>
    <w:semiHidden/>
    <w:unhideWhenUsed/>
    <w:rsid w:val="00DD0106"/>
    <w:rPr>
      <w:vertAlign w:val="superscript"/>
    </w:rPr>
  </w:style>
  <w:style w:type="paragraph" w:styleId="EndnoteText">
    <w:name w:val="endnote text"/>
    <w:basedOn w:val="Normal"/>
    <w:link w:val="EndnoteTextChar"/>
    <w:uiPriority w:val="99"/>
    <w:semiHidden/>
    <w:unhideWhenUsed/>
    <w:rsid w:val="00DD0106"/>
    <w:pPr>
      <w:spacing w:before="0" w:after="0"/>
    </w:pPr>
    <w:rPr>
      <w:rFonts w:ascii="Times New Roman" w:eastAsia="Times New Roman" w:hAnsi="Times New Roman" w:cs="Times New Roman"/>
      <w:sz w:val="20"/>
      <w:szCs w:val="20"/>
      <w:lang w:eastAsia="zh-CN"/>
    </w:rPr>
  </w:style>
  <w:style w:type="character" w:customStyle="1" w:styleId="EndnoteTextChar">
    <w:name w:val="Endnote Text Char"/>
    <w:basedOn w:val="DefaultParagraphFont"/>
    <w:link w:val="EndnoteText"/>
    <w:uiPriority w:val="99"/>
    <w:semiHidden/>
    <w:rsid w:val="00DD0106"/>
    <w:rPr>
      <w:rFonts w:ascii="Times New Roman" w:eastAsia="Times New Roman" w:hAnsi="Times New Roman" w:cs="Times New Roman"/>
      <w:sz w:val="20"/>
      <w:szCs w:val="20"/>
      <w:lang w:eastAsia="zh-CN"/>
    </w:rPr>
  </w:style>
  <w:style w:type="paragraph" w:customStyle="1" w:styleId="Level1">
    <w:name w:val="Level 1"/>
    <w:basedOn w:val="Normal"/>
    <w:next w:val="Level2"/>
    <w:uiPriority w:val="3"/>
    <w:qFormat/>
    <w:rsid w:val="00DD0106"/>
    <w:pPr>
      <w:numPr>
        <w:numId w:val="5"/>
      </w:numPr>
      <w:spacing w:before="120" w:after="60" w:line="300" w:lineRule="auto"/>
    </w:pPr>
    <w:rPr>
      <w:rFonts w:ascii="Arial" w:hAnsi="Arial" w:cs="Arial"/>
      <w:sz w:val="21"/>
      <w:szCs w:val="21"/>
    </w:rPr>
  </w:style>
  <w:style w:type="paragraph" w:customStyle="1" w:styleId="Level2">
    <w:name w:val="Level 2"/>
    <w:basedOn w:val="Normal"/>
    <w:uiPriority w:val="5"/>
    <w:qFormat/>
    <w:rsid w:val="00DD0106"/>
    <w:pPr>
      <w:numPr>
        <w:ilvl w:val="1"/>
        <w:numId w:val="5"/>
      </w:numPr>
      <w:spacing w:before="120" w:after="60" w:line="300" w:lineRule="auto"/>
      <w:jc w:val="both"/>
      <w:outlineLvl w:val="1"/>
    </w:pPr>
    <w:rPr>
      <w:rFonts w:ascii="Arial" w:hAnsi="Arial"/>
      <w:sz w:val="21"/>
      <w:szCs w:val="21"/>
    </w:rPr>
  </w:style>
  <w:style w:type="paragraph" w:customStyle="1" w:styleId="Level3">
    <w:name w:val="Level 3"/>
    <w:basedOn w:val="Normal"/>
    <w:uiPriority w:val="6"/>
    <w:qFormat/>
    <w:rsid w:val="00DD0106"/>
    <w:pPr>
      <w:numPr>
        <w:ilvl w:val="2"/>
        <w:numId w:val="5"/>
      </w:numPr>
      <w:spacing w:before="120" w:after="60" w:line="300" w:lineRule="auto"/>
      <w:jc w:val="both"/>
      <w:outlineLvl w:val="2"/>
    </w:pPr>
    <w:rPr>
      <w:rFonts w:ascii="Arial" w:hAnsi="Arial"/>
      <w:sz w:val="21"/>
      <w:szCs w:val="21"/>
    </w:rPr>
  </w:style>
  <w:style w:type="character" w:customStyle="1" w:styleId="s68f5eaef">
    <w:name w:val="s68f5eaef"/>
    <w:basedOn w:val="DefaultParagraphFont"/>
    <w:rsid w:val="00DD0106"/>
  </w:style>
  <w:style w:type="character" w:styleId="UnresolvedMention">
    <w:name w:val="Unresolved Mention"/>
    <w:basedOn w:val="DefaultParagraphFont"/>
    <w:uiPriority w:val="99"/>
    <w:semiHidden/>
    <w:unhideWhenUsed/>
    <w:rsid w:val="005A5029"/>
    <w:rPr>
      <w:color w:val="605E5C"/>
      <w:shd w:val="clear" w:color="auto" w:fill="E1DFDD"/>
    </w:rPr>
  </w:style>
  <w:style w:type="paragraph" w:styleId="TOC2">
    <w:name w:val="toc 2"/>
    <w:basedOn w:val="Normal"/>
    <w:next w:val="Normal"/>
    <w:autoRedefine/>
    <w:uiPriority w:val="39"/>
    <w:unhideWhenUsed/>
    <w:rsid w:val="002F70B1"/>
    <w:pPr>
      <w:spacing w:after="100"/>
      <w:ind w:left="220"/>
    </w:pPr>
  </w:style>
  <w:style w:type="paragraph" w:styleId="NormalWeb">
    <w:name w:val="Normal (Web)"/>
    <w:basedOn w:val="Normal"/>
    <w:uiPriority w:val="99"/>
    <w:semiHidden/>
    <w:unhideWhenUsed/>
    <w:rsid w:val="006A0DB7"/>
    <w:pPr>
      <w:spacing w:before="100" w:beforeAutospacing="1" w:after="100" w:afterAutospacing="1"/>
    </w:pPr>
    <w:rPr>
      <w:rFonts w:ascii="Times New Roman" w:eastAsia="Times New Roman" w:hAnsi="Times New Roman" w:cs="Times New Roman"/>
      <w:sz w:val="24"/>
      <w:szCs w:val="24"/>
      <w:lang w:eastAsia="en-GB"/>
    </w:rPr>
  </w:style>
  <w:style w:type="character" w:customStyle="1" w:styleId="rynqvb">
    <w:name w:val="rynqvb"/>
    <w:basedOn w:val="DefaultParagraphFont"/>
    <w:rsid w:val="00277BFA"/>
  </w:style>
  <w:style w:type="character" w:customStyle="1" w:styleId="hwtze">
    <w:name w:val="hwtze"/>
    <w:basedOn w:val="DefaultParagraphFont"/>
    <w:rsid w:val="005559F4"/>
  </w:style>
  <w:style w:type="character" w:customStyle="1" w:styleId="ListParagraphChar">
    <w:name w:val="List Paragraph Char"/>
    <w:basedOn w:val="DefaultParagraphFont"/>
    <w:link w:val="ListParagraph"/>
    <w:uiPriority w:val="34"/>
    <w:rsid w:val="00E571D9"/>
  </w:style>
  <w:style w:type="paragraph" w:styleId="CommentText">
    <w:name w:val="annotation text"/>
    <w:basedOn w:val="Normal"/>
    <w:link w:val="CommentTextChar"/>
    <w:uiPriority w:val="99"/>
    <w:unhideWhenUsed/>
    <w:rsid w:val="00354BEE"/>
    <w:rPr>
      <w:sz w:val="20"/>
      <w:szCs w:val="20"/>
    </w:rPr>
  </w:style>
  <w:style w:type="character" w:customStyle="1" w:styleId="CommentTextChar">
    <w:name w:val="Comment Text Char"/>
    <w:basedOn w:val="DefaultParagraphFont"/>
    <w:link w:val="CommentText"/>
    <w:uiPriority w:val="99"/>
    <w:rsid w:val="00354BEE"/>
    <w:rPr>
      <w:sz w:val="20"/>
      <w:szCs w:val="20"/>
    </w:rPr>
  </w:style>
  <w:style w:type="paragraph" w:styleId="CommentSubject">
    <w:name w:val="annotation subject"/>
    <w:basedOn w:val="CommentText"/>
    <w:next w:val="CommentText"/>
    <w:link w:val="CommentSubjectChar"/>
    <w:uiPriority w:val="99"/>
    <w:semiHidden/>
    <w:unhideWhenUsed/>
    <w:rsid w:val="00354BEE"/>
    <w:rPr>
      <w:b/>
      <w:bCs/>
    </w:rPr>
  </w:style>
  <w:style w:type="character" w:customStyle="1" w:styleId="CommentSubjectChar">
    <w:name w:val="Comment Subject Char"/>
    <w:basedOn w:val="CommentTextChar"/>
    <w:link w:val="CommentSubject"/>
    <w:uiPriority w:val="99"/>
    <w:semiHidden/>
    <w:rsid w:val="00354BEE"/>
    <w:rPr>
      <w:b/>
      <w:bCs/>
      <w:sz w:val="20"/>
      <w:szCs w:val="20"/>
    </w:rPr>
  </w:style>
  <w:style w:type="paragraph" w:styleId="Revision">
    <w:name w:val="Revision"/>
    <w:hidden/>
    <w:uiPriority w:val="99"/>
    <w:semiHidden/>
    <w:rsid w:val="00B4132E"/>
    <w:pPr>
      <w:spacing w:after="0" w:line="240" w:lineRule="auto"/>
    </w:pPr>
  </w:style>
  <w:style w:type="character" w:customStyle="1" w:styleId="cf01">
    <w:name w:val="cf01"/>
    <w:basedOn w:val="DefaultParagraphFont"/>
    <w:rsid w:val="0035282B"/>
    <w:rPr>
      <w:rFonts w:ascii="Segoe UI" w:hAnsi="Segoe UI" w:cs="Segoe UI" w:hint="default"/>
      <w:sz w:val="18"/>
      <w:szCs w:val="18"/>
    </w:rPr>
  </w:style>
  <w:style w:type="paragraph" w:customStyle="1" w:styleId="commentcontentpara">
    <w:name w:val="commentcontentpara"/>
    <w:basedOn w:val="Normal"/>
    <w:rsid w:val="00757D2F"/>
    <w:pPr>
      <w:spacing w:before="100" w:beforeAutospacing="1" w:after="100" w:afterAutospacing="1"/>
    </w:pPr>
    <w:rPr>
      <w:rFonts w:ascii="Times New Roman" w:eastAsia="Times New Roman" w:hAnsi="Times New Roman" w:cs="Times New Roman"/>
      <w:sz w:val="24"/>
      <w:szCs w:val="24"/>
      <w:lang w:eastAsia="en-GB"/>
    </w:rPr>
  </w:style>
  <w:style w:type="character" w:customStyle="1" w:styleId="ui-provider">
    <w:name w:val="ui-provider"/>
    <w:basedOn w:val="DefaultParagraphFont"/>
    <w:rsid w:val="00C102D8"/>
  </w:style>
  <w:style w:type="paragraph" w:customStyle="1" w:styleId="Default">
    <w:name w:val="Default"/>
    <w:rsid w:val="00FD6E46"/>
    <w:pPr>
      <w:autoSpaceDE w:val="0"/>
      <w:autoSpaceDN w:val="0"/>
      <w:adjustRightInd w:val="0"/>
      <w:spacing w:after="0" w:line="240" w:lineRule="auto"/>
    </w:pPr>
    <w:rPr>
      <w:rFonts w:ascii="Arial" w:hAnsi="Arial" w:cs="Arial"/>
      <w:color w:val="000000"/>
      <w:sz w:val="24"/>
      <w:szCs w:val="24"/>
    </w:rPr>
  </w:style>
  <w:style w:type="paragraph" w:customStyle="1" w:styleId="paragraph">
    <w:name w:val="paragraph"/>
    <w:basedOn w:val="Normal"/>
    <w:rsid w:val="00FB24BC"/>
    <w:pPr>
      <w:spacing w:before="100" w:beforeAutospacing="1" w:after="100" w:afterAutospacing="1"/>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FB24BC"/>
  </w:style>
  <w:style w:type="character" w:customStyle="1" w:styleId="eop">
    <w:name w:val="eop"/>
    <w:basedOn w:val="DefaultParagraphFont"/>
    <w:rsid w:val="00FB24B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88621508">
      <w:bodyDiv w:val="1"/>
      <w:marLeft w:val="0"/>
      <w:marRight w:val="0"/>
      <w:marTop w:val="0"/>
      <w:marBottom w:val="0"/>
      <w:divBdr>
        <w:top w:val="none" w:sz="0" w:space="0" w:color="auto"/>
        <w:left w:val="none" w:sz="0" w:space="0" w:color="auto"/>
        <w:bottom w:val="none" w:sz="0" w:space="0" w:color="auto"/>
        <w:right w:val="none" w:sz="0" w:space="0" w:color="auto"/>
      </w:divBdr>
    </w:div>
    <w:div w:id="149559580">
      <w:bodyDiv w:val="1"/>
      <w:marLeft w:val="0"/>
      <w:marRight w:val="0"/>
      <w:marTop w:val="0"/>
      <w:marBottom w:val="0"/>
      <w:divBdr>
        <w:top w:val="none" w:sz="0" w:space="0" w:color="auto"/>
        <w:left w:val="none" w:sz="0" w:space="0" w:color="auto"/>
        <w:bottom w:val="none" w:sz="0" w:space="0" w:color="auto"/>
        <w:right w:val="none" w:sz="0" w:space="0" w:color="auto"/>
      </w:divBdr>
    </w:div>
    <w:div w:id="225144137">
      <w:bodyDiv w:val="1"/>
      <w:marLeft w:val="0"/>
      <w:marRight w:val="0"/>
      <w:marTop w:val="0"/>
      <w:marBottom w:val="0"/>
      <w:divBdr>
        <w:top w:val="none" w:sz="0" w:space="0" w:color="auto"/>
        <w:left w:val="none" w:sz="0" w:space="0" w:color="auto"/>
        <w:bottom w:val="none" w:sz="0" w:space="0" w:color="auto"/>
        <w:right w:val="none" w:sz="0" w:space="0" w:color="auto"/>
      </w:divBdr>
    </w:div>
    <w:div w:id="234123144">
      <w:bodyDiv w:val="1"/>
      <w:marLeft w:val="0"/>
      <w:marRight w:val="0"/>
      <w:marTop w:val="0"/>
      <w:marBottom w:val="0"/>
      <w:divBdr>
        <w:top w:val="none" w:sz="0" w:space="0" w:color="auto"/>
        <w:left w:val="none" w:sz="0" w:space="0" w:color="auto"/>
        <w:bottom w:val="none" w:sz="0" w:space="0" w:color="auto"/>
        <w:right w:val="none" w:sz="0" w:space="0" w:color="auto"/>
      </w:divBdr>
    </w:div>
    <w:div w:id="347757931">
      <w:bodyDiv w:val="1"/>
      <w:marLeft w:val="0"/>
      <w:marRight w:val="0"/>
      <w:marTop w:val="0"/>
      <w:marBottom w:val="0"/>
      <w:divBdr>
        <w:top w:val="none" w:sz="0" w:space="0" w:color="auto"/>
        <w:left w:val="none" w:sz="0" w:space="0" w:color="auto"/>
        <w:bottom w:val="none" w:sz="0" w:space="0" w:color="auto"/>
        <w:right w:val="none" w:sz="0" w:space="0" w:color="auto"/>
      </w:divBdr>
    </w:div>
    <w:div w:id="608705307">
      <w:bodyDiv w:val="1"/>
      <w:marLeft w:val="0"/>
      <w:marRight w:val="0"/>
      <w:marTop w:val="0"/>
      <w:marBottom w:val="0"/>
      <w:divBdr>
        <w:top w:val="none" w:sz="0" w:space="0" w:color="auto"/>
        <w:left w:val="none" w:sz="0" w:space="0" w:color="auto"/>
        <w:bottom w:val="none" w:sz="0" w:space="0" w:color="auto"/>
        <w:right w:val="none" w:sz="0" w:space="0" w:color="auto"/>
      </w:divBdr>
    </w:div>
    <w:div w:id="762334475">
      <w:bodyDiv w:val="1"/>
      <w:marLeft w:val="0"/>
      <w:marRight w:val="0"/>
      <w:marTop w:val="0"/>
      <w:marBottom w:val="0"/>
      <w:divBdr>
        <w:top w:val="none" w:sz="0" w:space="0" w:color="auto"/>
        <w:left w:val="none" w:sz="0" w:space="0" w:color="auto"/>
        <w:bottom w:val="none" w:sz="0" w:space="0" w:color="auto"/>
        <w:right w:val="none" w:sz="0" w:space="0" w:color="auto"/>
      </w:divBdr>
    </w:div>
    <w:div w:id="857161914">
      <w:bodyDiv w:val="1"/>
      <w:marLeft w:val="0"/>
      <w:marRight w:val="0"/>
      <w:marTop w:val="0"/>
      <w:marBottom w:val="0"/>
      <w:divBdr>
        <w:top w:val="none" w:sz="0" w:space="0" w:color="auto"/>
        <w:left w:val="none" w:sz="0" w:space="0" w:color="auto"/>
        <w:bottom w:val="none" w:sz="0" w:space="0" w:color="auto"/>
        <w:right w:val="none" w:sz="0" w:space="0" w:color="auto"/>
      </w:divBdr>
    </w:div>
    <w:div w:id="898327214">
      <w:bodyDiv w:val="1"/>
      <w:marLeft w:val="0"/>
      <w:marRight w:val="0"/>
      <w:marTop w:val="0"/>
      <w:marBottom w:val="0"/>
      <w:divBdr>
        <w:top w:val="none" w:sz="0" w:space="0" w:color="auto"/>
        <w:left w:val="none" w:sz="0" w:space="0" w:color="auto"/>
        <w:bottom w:val="none" w:sz="0" w:space="0" w:color="auto"/>
        <w:right w:val="none" w:sz="0" w:space="0" w:color="auto"/>
      </w:divBdr>
    </w:div>
    <w:div w:id="945772516">
      <w:bodyDiv w:val="1"/>
      <w:marLeft w:val="0"/>
      <w:marRight w:val="0"/>
      <w:marTop w:val="0"/>
      <w:marBottom w:val="0"/>
      <w:divBdr>
        <w:top w:val="none" w:sz="0" w:space="0" w:color="auto"/>
        <w:left w:val="none" w:sz="0" w:space="0" w:color="auto"/>
        <w:bottom w:val="none" w:sz="0" w:space="0" w:color="auto"/>
        <w:right w:val="none" w:sz="0" w:space="0" w:color="auto"/>
      </w:divBdr>
    </w:div>
    <w:div w:id="1096562152">
      <w:bodyDiv w:val="1"/>
      <w:marLeft w:val="0"/>
      <w:marRight w:val="0"/>
      <w:marTop w:val="0"/>
      <w:marBottom w:val="0"/>
      <w:divBdr>
        <w:top w:val="none" w:sz="0" w:space="0" w:color="auto"/>
        <w:left w:val="none" w:sz="0" w:space="0" w:color="auto"/>
        <w:bottom w:val="none" w:sz="0" w:space="0" w:color="auto"/>
        <w:right w:val="none" w:sz="0" w:space="0" w:color="auto"/>
      </w:divBdr>
    </w:div>
    <w:div w:id="1274554395">
      <w:bodyDiv w:val="1"/>
      <w:marLeft w:val="0"/>
      <w:marRight w:val="0"/>
      <w:marTop w:val="0"/>
      <w:marBottom w:val="0"/>
      <w:divBdr>
        <w:top w:val="none" w:sz="0" w:space="0" w:color="auto"/>
        <w:left w:val="none" w:sz="0" w:space="0" w:color="auto"/>
        <w:bottom w:val="none" w:sz="0" w:space="0" w:color="auto"/>
        <w:right w:val="none" w:sz="0" w:space="0" w:color="auto"/>
      </w:divBdr>
    </w:div>
    <w:div w:id="1333141545">
      <w:bodyDiv w:val="1"/>
      <w:marLeft w:val="0"/>
      <w:marRight w:val="0"/>
      <w:marTop w:val="0"/>
      <w:marBottom w:val="0"/>
      <w:divBdr>
        <w:top w:val="none" w:sz="0" w:space="0" w:color="auto"/>
        <w:left w:val="none" w:sz="0" w:space="0" w:color="auto"/>
        <w:bottom w:val="none" w:sz="0" w:space="0" w:color="auto"/>
        <w:right w:val="none" w:sz="0" w:space="0" w:color="auto"/>
      </w:divBdr>
      <w:divsChild>
        <w:div w:id="803500062">
          <w:marLeft w:val="0"/>
          <w:marRight w:val="0"/>
          <w:marTop w:val="0"/>
          <w:marBottom w:val="0"/>
          <w:divBdr>
            <w:top w:val="none" w:sz="0" w:space="0" w:color="auto"/>
            <w:left w:val="none" w:sz="0" w:space="0" w:color="auto"/>
            <w:bottom w:val="none" w:sz="0" w:space="0" w:color="auto"/>
            <w:right w:val="none" w:sz="0" w:space="0" w:color="auto"/>
          </w:divBdr>
        </w:div>
      </w:divsChild>
    </w:div>
    <w:div w:id="1396048786">
      <w:bodyDiv w:val="1"/>
      <w:marLeft w:val="0"/>
      <w:marRight w:val="0"/>
      <w:marTop w:val="0"/>
      <w:marBottom w:val="0"/>
      <w:divBdr>
        <w:top w:val="none" w:sz="0" w:space="0" w:color="auto"/>
        <w:left w:val="none" w:sz="0" w:space="0" w:color="auto"/>
        <w:bottom w:val="none" w:sz="0" w:space="0" w:color="auto"/>
        <w:right w:val="none" w:sz="0" w:space="0" w:color="auto"/>
      </w:divBdr>
    </w:div>
    <w:div w:id="1685521361">
      <w:bodyDiv w:val="1"/>
      <w:marLeft w:val="0"/>
      <w:marRight w:val="0"/>
      <w:marTop w:val="0"/>
      <w:marBottom w:val="0"/>
      <w:divBdr>
        <w:top w:val="none" w:sz="0" w:space="0" w:color="auto"/>
        <w:left w:val="none" w:sz="0" w:space="0" w:color="auto"/>
        <w:bottom w:val="none" w:sz="0" w:space="0" w:color="auto"/>
        <w:right w:val="none" w:sz="0" w:space="0" w:color="auto"/>
      </w:divBdr>
      <w:divsChild>
        <w:div w:id="931665518">
          <w:marLeft w:val="0"/>
          <w:marRight w:val="0"/>
          <w:marTop w:val="0"/>
          <w:marBottom w:val="0"/>
          <w:divBdr>
            <w:top w:val="none" w:sz="0" w:space="0" w:color="auto"/>
            <w:left w:val="none" w:sz="0" w:space="0" w:color="auto"/>
            <w:bottom w:val="none" w:sz="0" w:space="0" w:color="auto"/>
            <w:right w:val="none" w:sz="0" w:space="0" w:color="auto"/>
          </w:divBdr>
        </w:div>
      </w:divsChild>
    </w:div>
    <w:div w:id="1794788515">
      <w:bodyDiv w:val="1"/>
      <w:marLeft w:val="0"/>
      <w:marRight w:val="0"/>
      <w:marTop w:val="0"/>
      <w:marBottom w:val="0"/>
      <w:divBdr>
        <w:top w:val="none" w:sz="0" w:space="0" w:color="auto"/>
        <w:left w:val="none" w:sz="0" w:space="0" w:color="auto"/>
        <w:bottom w:val="none" w:sz="0" w:space="0" w:color="auto"/>
        <w:right w:val="none" w:sz="0" w:space="0" w:color="auto"/>
      </w:divBdr>
    </w:div>
    <w:div w:id="1857766268">
      <w:bodyDiv w:val="1"/>
      <w:marLeft w:val="0"/>
      <w:marRight w:val="0"/>
      <w:marTop w:val="0"/>
      <w:marBottom w:val="0"/>
      <w:divBdr>
        <w:top w:val="none" w:sz="0" w:space="0" w:color="auto"/>
        <w:left w:val="none" w:sz="0" w:space="0" w:color="auto"/>
        <w:bottom w:val="none" w:sz="0" w:space="0" w:color="auto"/>
        <w:right w:val="none" w:sz="0" w:space="0" w:color="auto"/>
      </w:divBdr>
    </w:div>
    <w:div w:id="1918199222">
      <w:bodyDiv w:val="1"/>
      <w:marLeft w:val="0"/>
      <w:marRight w:val="0"/>
      <w:marTop w:val="0"/>
      <w:marBottom w:val="0"/>
      <w:divBdr>
        <w:top w:val="none" w:sz="0" w:space="0" w:color="auto"/>
        <w:left w:val="none" w:sz="0" w:space="0" w:color="auto"/>
        <w:bottom w:val="none" w:sz="0" w:space="0" w:color="auto"/>
        <w:right w:val="none" w:sz="0" w:space="0" w:color="auto"/>
      </w:divBdr>
    </w:div>
    <w:div w:id="1971133107">
      <w:bodyDiv w:val="1"/>
      <w:marLeft w:val="0"/>
      <w:marRight w:val="0"/>
      <w:marTop w:val="0"/>
      <w:marBottom w:val="0"/>
      <w:divBdr>
        <w:top w:val="none" w:sz="0" w:space="0" w:color="auto"/>
        <w:left w:val="none" w:sz="0" w:space="0" w:color="auto"/>
        <w:bottom w:val="none" w:sz="0" w:space="0" w:color="auto"/>
        <w:right w:val="none" w:sz="0" w:space="0" w:color="auto"/>
      </w:divBdr>
    </w:div>
    <w:div w:id="2048749375">
      <w:bodyDiv w:val="1"/>
      <w:marLeft w:val="0"/>
      <w:marRight w:val="0"/>
      <w:marTop w:val="0"/>
      <w:marBottom w:val="0"/>
      <w:divBdr>
        <w:top w:val="none" w:sz="0" w:space="0" w:color="auto"/>
        <w:left w:val="none" w:sz="0" w:space="0" w:color="auto"/>
        <w:bottom w:val="none" w:sz="0" w:space="0" w:color="auto"/>
        <w:right w:val="none" w:sz="0" w:space="0" w:color="auto"/>
      </w:divBdr>
      <w:divsChild>
        <w:div w:id="682898994">
          <w:marLeft w:val="0"/>
          <w:marRight w:val="0"/>
          <w:marTop w:val="0"/>
          <w:marBottom w:val="0"/>
          <w:divBdr>
            <w:top w:val="none" w:sz="0" w:space="0" w:color="auto"/>
            <w:left w:val="none" w:sz="0" w:space="0" w:color="auto"/>
            <w:bottom w:val="none" w:sz="0" w:space="0" w:color="auto"/>
            <w:right w:val="none" w:sz="0" w:space="0" w:color="auto"/>
          </w:divBdr>
        </w:div>
        <w:div w:id="907959151">
          <w:marLeft w:val="0"/>
          <w:marRight w:val="0"/>
          <w:marTop w:val="0"/>
          <w:marBottom w:val="0"/>
          <w:divBdr>
            <w:top w:val="none" w:sz="0" w:space="0" w:color="auto"/>
            <w:left w:val="none" w:sz="0" w:space="0" w:color="auto"/>
            <w:bottom w:val="none" w:sz="0" w:space="0" w:color="auto"/>
            <w:right w:val="none" w:sz="0" w:space="0" w:color="auto"/>
          </w:divBdr>
        </w:div>
        <w:div w:id="1481144888">
          <w:marLeft w:val="0"/>
          <w:marRight w:val="0"/>
          <w:marTop w:val="0"/>
          <w:marBottom w:val="0"/>
          <w:divBdr>
            <w:top w:val="none" w:sz="0" w:space="0" w:color="auto"/>
            <w:left w:val="none" w:sz="0" w:space="0" w:color="auto"/>
            <w:bottom w:val="none" w:sz="0" w:space="0" w:color="auto"/>
            <w:right w:val="none" w:sz="0" w:space="0" w:color="auto"/>
          </w:divBdr>
        </w:div>
        <w:div w:id="1536194417">
          <w:marLeft w:val="0"/>
          <w:marRight w:val="0"/>
          <w:marTop w:val="0"/>
          <w:marBottom w:val="0"/>
          <w:divBdr>
            <w:top w:val="none" w:sz="0" w:space="0" w:color="auto"/>
            <w:left w:val="none" w:sz="0" w:space="0" w:color="auto"/>
            <w:bottom w:val="none" w:sz="0" w:space="0" w:color="auto"/>
            <w:right w:val="none" w:sz="0" w:space="0" w:color="auto"/>
          </w:divBdr>
        </w:div>
        <w:div w:id="1716587994">
          <w:marLeft w:val="0"/>
          <w:marRight w:val="0"/>
          <w:marTop w:val="0"/>
          <w:marBottom w:val="0"/>
          <w:divBdr>
            <w:top w:val="none" w:sz="0" w:space="0" w:color="auto"/>
            <w:left w:val="none" w:sz="0" w:space="0" w:color="auto"/>
            <w:bottom w:val="none" w:sz="0" w:space="0" w:color="auto"/>
            <w:right w:val="none" w:sz="0" w:space="0" w:color="auto"/>
          </w:divBdr>
        </w:div>
      </w:divsChild>
    </w:div>
    <w:div w:id="21350526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jpeg"/><Relationship Id="rId18" Type="http://schemas.openxmlformats.org/officeDocument/2006/relationships/hyperlink" Target="mailto:rachel.murray@bristol.ac.uk" TargetMode="External"/><Relationship Id="rId3" Type="http://schemas.openxmlformats.org/officeDocument/2006/relationships/customXml" Target="../customXml/item3.xml"/><Relationship Id="rId21" Type="http://schemas.openxmlformats.org/officeDocument/2006/relationships/header" Target="header1.xml"/><Relationship Id="rId7" Type="http://schemas.openxmlformats.org/officeDocument/2006/relationships/settings" Target="settings.xml"/><Relationship Id="rId12" Type="http://schemas.openxmlformats.org/officeDocument/2006/relationships/image" Target="media/image2.jpeg"/><Relationship Id="rId17" Type="http://schemas.openxmlformats.org/officeDocument/2006/relationships/hyperlink" Target="mailto:Zara.Iqbal@int-bar.org" TargetMode="External"/><Relationship Id="rId2" Type="http://schemas.openxmlformats.org/officeDocument/2006/relationships/customXml" Target="../customXml/item2.xml"/><Relationship Id="rId16" Type="http://schemas.openxmlformats.org/officeDocument/2006/relationships/hyperlink" Target="mailto:t.fiechter@lawyersforlawyers.nl"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24"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yperlink" Target="mailto:debra.long@lawsociety.org.uk" TargetMode="External"/><Relationship Id="rId23"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image" Target="media/image5.emf"/><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 Id="rId22" Type="http://schemas.openxmlformats.org/officeDocument/2006/relationships/footer" Target="footer2.xml"/></Relationships>
</file>

<file path=word/_rels/footnotes.xml.rels><?xml version="1.0" encoding="UTF-8" standalone="yes"?>
<Relationships xmlns="http://schemas.openxmlformats.org/package/2006/relationships"><Relationship Id="rId8" Type="http://schemas.openxmlformats.org/officeDocument/2006/relationships/hyperlink" Target="https://arrestedlawyers.org/2018/09/24/erdogan-gets-infinite-authority-over-the-national-and-provincial-bar-associations/" TargetMode="External"/><Relationship Id="rId13" Type="http://schemas.openxmlformats.org/officeDocument/2006/relationships/hyperlink" Target="https://www.duvarenglish.com/seven-investigations-three-lawsuits-launched-on-diyarbakir-bar-for-armenian-genocide-remembrance-in-last-six-years-news-63498" TargetMode="External"/><Relationship Id="rId18" Type="http://schemas.openxmlformats.org/officeDocument/2006/relationships/hyperlink" Target="https://arrestedlawyers.org/2021/07/05/ecthr-arrest-and-pretrial-detentions-of-justices-erdal-tercan-andalparslan-altan-is-unlawful/" TargetMode="External"/><Relationship Id="rId3" Type="http://schemas.openxmlformats.org/officeDocument/2006/relationships/hyperlink" Target="https://www.venice.coe.int/webforms/documents/default.aspx?pdffile=CDL-AD(2016)037" TargetMode="External"/><Relationship Id="rId7" Type="http://schemas.openxmlformats.org/officeDocument/2006/relationships/hyperlink" Target="https://hudoc.echr.coe.int/eng?i=001-142087" TargetMode="External"/><Relationship Id="rId12" Type="http://schemas.openxmlformats.org/officeDocument/2006/relationships/hyperlink" Target="https://www.hrw.org/news/2020/07/07/reform-bar-associations-turkey-questions-and-answers" TargetMode="External"/><Relationship Id="rId17" Type="http://schemas.openxmlformats.org/officeDocument/2006/relationships/hyperlink" Target="http://www.ohchr.org/Documents/Countries/TR/2018-03-19_Second_OHCHR_Turkey_Report.pdf" TargetMode="External"/><Relationship Id="rId2" Type="http://schemas.openxmlformats.org/officeDocument/2006/relationships/hyperlink" Target="https://www.ibanet.org/Turkey-IBAHRI-and-TALI-release-report-documenting-mass-imprisonment-of-lawyers" TargetMode="External"/><Relationship Id="rId16" Type="http://schemas.openxmlformats.org/officeDocument/2006/relationships/hyperlink" Target="https://www.tahirelcivakfi.org/storage/files/ae36e3a1-90bd-44bf-8817-08321ade8533/Ruhsatsiz-Avukatlar---INGILIZCE-(1).pdf" TargetMode="External"/><Relationship Id="rId20" Type="http://schemas.openxmlformats.org/officeDocument/2006/relationships/hyperlink" Target="https://mezopotamyaajansi35.com/GUNCEL/content/view/240583" TargetMode="External"/><Relationship Id="rId1" Type="http://schemas.openxmlformats.org/officeDocument/2006/relationships/hyperlink" Target="https://www.lawsociety.org.uk/campaigns/international-rule-of-law/news/results-of-our-recent-fact-finding-mission-in-turkey" TargetMode="External"/><Relationship Id="rId6" Type="http://schemas.openxmlformats.org/officeDocument/2006/relationships/hyperlink" Target="https://hudoc.echr.coe.int/eng?i=001-69022" TargetMode="External"/><Relationship Id="rId11" Type="http://schemas.openxmlformats.org/officeDocument/2006/relationships/hyperlink" Target="https://www.al-monitor.com/originals/2019/10/turkey-nationalism-killer-penal-code-article-has-come-back.html" TargetMode="External"/><Relationship Id="rId5" Type="http://schemas.openxmlformats.org/officeDocument/2006/relationships/hyperlink" Target="https://hudoc.cpt.coe.int/eng/" TargetMode="External"/><Relationship Id="rId15" Type="http://schemas.openxmlformats.org/officeDocument/2006/relationships/hyperlink" Target="https://arrestedlawyers.org/2018/02/14/erdogan-regime-grasps-control-of-the-recruitment-mechanism-for-the-profession-of-law-with-the-cooperation-of-metin-feyzioglu/" TargetMode="External"/><Relationship Id="rId10" Type="http://schemas.openxmlformats.org/officeDocument/2006/relationships/hyperlink" Target="https://www.hrw.org/news/2020/07/07/reform-bar-associations-turkey-questions-and-answers" TargetMode="External"/><Relationship Id="rId19" Type="http://schemas.openxmlformats.org/officeDocument/2006/relationships/hyperlink" Target="https://verfassungsblog.de/strasburg-weighs-in-on-political-persecution-in-turkey/" TargetMode="External"/><Relationship Id="rId4" Type="http://schemas.openxmlformats.org/officeDocument/2006/relationships/hyperlink" Target="https://lawyersforlawyers.org/en/lawyers-of-asrin-hukuk-burosu-severely-hindered-in-assisting-their-clients/" TargetMode="External"/><Relationship Id="rId9" Type="http://schemas.openxmlformats.org/officeDocument/2006/relationships/hyperlink" Target="https://freedomhouse.org/sites/default/files/2021-03/03312021_Freedom_House_Turkey_Policy_Brief-1-Stifling-Lawyers-and-Bar-Associations.pdf" TargetMode="External"/><Relationship Id="rId14" Type="http://schemas.openxmlformats.org/officeDocument/2006/relationships/hyperlink" Target="https://www.al-monitor.com/originals/2019/10/turkey-nationalism-killer-penal-code-article-has-come-back.html"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7.png"/><Relationship Id="rId1" Type="http://schemas.openxmlformats.org/officeDocument/2006/relationships/image" Target="media/image6.png"/></Relationships>
</file>

<file path=word/theme/theme1.xml><?xml version="1.0" encoding="utf-8"?>
<a:theme xmlns:a="http://schemas.openxmlformats.org/drawingml/2006/main" name="Default Theme">
  <a:themeElements>
    <a:clrScheme name="TLS">
      <a:dk1>
        <a:srgbClr val="004D71"/>
      </a:dk1>
      <a:lt1>
        <a:srgbClr val="FFFFFF"/>
      </a:lt1>
      <a:dk2>
        <a:srgbClr val="001925"/>
      </a:dk2>
      <a:lt2>
        <a:srgbClr val="E8DFB4"/>
      </a:lt2>
      <a:accent1>
        <a:srgbClr val="29A8EB"/>
      </a:accent1>
      <a:accent2>
        <a:srgbClr val="E43F81"/>
      </a:accent2>
      <a:accent3>
        <a:srgbClr val="0098A8"/>
      </a:accent3>
      <a:accent4>
        <a:srgbClr val="EF7855"/>
      </a:accent4>
      <a:accent5>
        <a:srgbClr val="00AA85"/>
      </a:accent5>
      <a:accent6>
        <a:srgbClr val="836C60"/>
      </a:accent6>
      <a:hlink>
        <a:srgbClr val="836C60"/>
      </a:hlink>
      <a:folHlink>
        <a:srgbClr val="574840"/>
      </a:folHlink>
    </a:clrScheme>
    <a:fontScheme name="TLS">
      <a:majorFont>
        <a:latin typeface="Times New Roman"/>
        <a:ea typeface=""/>
        <a:cs typeface=""/>
      </a:majorFont>
      <a:minorFont>
        <a:latin typeface="Avenir Next LT Pro"/>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Default Theme" id="{60E7DCCC-1EF9-46BB-A96C-FF937EC8338D}" vid="{5593ADF7-DC6B-455A-BE32-B10A049CFCF6}"/>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7FA57C9FAB45A42AB7F0F2F29DA9B83" ma:contentTypeVersion="46" ma:contentTypeDescription="Create a new document." ma:contentTypeScope="" ma:versionID="c19ce48b07b3b2ed20e22d328b1a4e1e">
  <xsd:schema xmlns:xsd="http://www.w3.org/2001/XMLSchema" xmlns:xs="http://www.w3.org/2001/XMLSchema" xmlns:p="http://schemas.microsoft.com/office/2006/metadata/properties" xmlns:ns2="11a6fe0c-d8de-4390-afb3-d9c7c54181f0" xmlns:ns3="985ec44e-1bab-4c0b-9df0-6ba128686fc9" xmlns:ns5="dfe5883a-cdd3-42a9-8146-0edb2232418f" targetNamespace="http://schemas.microsoft.com/office/2006/metadata/properties" ma:root="true" ma:fieldsID="ad332bafb9a100121efb2dff1b3939aa" ns2:_="" ns3:_="" ns5:_="">
    <xsd:import namespace="11a6fe0c-d8de-4390-afb3-d9c7c54181f0"/>
    <xsd:import namespace="985ec44e-1bab-4c0b-9df0-6ba128686fc9"/>
    <xsd:import namespace="dfe5883a-cdd3-42a9-8146-0edb2232418f"/>
    <xsd:element name="properties">
      <xsd:complexType>
        <xsd:sequence>
          <xsd:element name="documentManagement">
            <xsd:complexType>
              <xsd:all>
                <xsd:element ref="ns2:Country" minOccurs="0"/>
                <xsd:element ref="ns3:Date_x0020_Received" minOccurs="0"/>
                <xsd:element ref="ns3:Date_x0020_Sent" minOccurs="0"/>
                <xsd:element ref="ns3:Document_x0020_Date" minOccurs="0"/>
                <xsd:element ref="ns3:Document_x0020_Type" minOccurs="0"/>
                <xsd:element ref="ns2:Donor" minOccurs="0"/>
                <xsd:element ref="ns2:Field_x0020_Office" minOccurs="0"/>
                <xsd:element ref="ns3:UN_x0020_Official_x0020_Language" minOccurs="0"/>
                <xsd:element ref="ns3:Linked_x0020_Records" minOccurs="0"/>
                <xsd:element ref="ns2:Meeting" minOccurs="0"/>
                <xsd:element ref="ns3:TaxCatchAll" minOccurs="0"/>
                <xsd:element ref="ns3:Personal_x0020_Information_x0020__x0028_PII_x0029_" minOccurs="0"/>
                <xsd:element ref="ns2:Project_x0020_Name" minOccurs="0"/>
                <xsd:element ref="ns2:Report_x0020_Type" minOccurs="0"/>
                <xsd:element ref="ns3:Security_x0020_Level" minOccurs="0"/>
                <xsd:element ref="ns2:Session" minOccurs="0"/>
                <xsd:element ref="ns2:Thematic_x0020_Area" minOccurs="0"/>
                <xsd:element ref="ns2:Treaty_x0020_Body" minOccurs="0"/>
                <xsd:element ref="ns2:UD_x0020_Added_x0020_By" minOccurs="0"/>
                <xsd:element ref="ns2:UD_x0020_Added_x0020_On" minOccurs="0"/>
                <xsd:element ref="ns2:UD_x0020_Modified_x0020_By" minOccurs="0"/>
                <xsd:element ref="ns2:UD_x0020_Modified_x0020_On" minOccurs="0"/>
                <xsd:element ref="ns2:UD_x0020_Office_x0020_of_x0020_Origin" minOccurs="0"/>
                <xsd:element ref="ns2:Working_x0020_Group" minOccurs="0"/>
                <xsd:element ref="ns5:MediaServiceMetadata" minOccurs="0"/>
                <xsd:element ref="ns5:MediaServiceFastMetadata" minOccurs="0"/>
                <xsd:element ref="ns5:MediaServiceDateTaken" minOccurs="0"/>
                <xsd:element ref="ns5:MediaLengthInSeconds" minOccurs="0"/>
                <xsd:element ref="ns2:SharedWithUsers" minOccurs="0"/>
                <xsd:element ref="ns2:SharedWithDetails" minOccurs="0"/>
                <xsd:element ref="ns5:MediaServiceAutoKeyPoints" minOccurs="0"/>
                <xsd:element ref="ns5:MediaServiceKeyPoints" minOccurs="0"/>
                <xsd:element ref="ns5:MediaServiceOCR" minOccurs="0"/>
                <xsd:element ref="ns5:MediaServiceGenerationTime" minOccurs="0"/>
                <xsd:element ref="ns5:MediaServiceEventHashCode" minOccurs="0"/>
                <xsd:element ref="ns5:lcf76f155ced4ddcb4097134ff3c332f" minOccurs="0"/>
                <xsd:element ref="ns5:MediaServiceObjectDetectorVersions" minOccurs="0"/>
                <xsd:element ref="ns5: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Country" ma:index="8" nillable="true" ma:displayName="Country" ma:internalName="Country">
      <xsd:simpleType>
        <xsd:restriction base="dms:Text">
          <xsd:maxLength value="255"/>
        </xsd:restriction>
      </xsd:simpleType>
    </xsd:element>
    <xsd:element name="Donor" ma:index="13" nillable="true" ma:displayName="Donor" ma:internalName="Donor">
      <xsd:simpleType>
        <xsd:restriction base="dms:Text">
          <xsd:maxLength value="255"/>
        </xsd:restriction>
      </xsd:simpleType>
    </xsd:element>
    <xsd:element name="Field_x0020_Office" ma:index="14" nillable="true" ma:displayName="Field Office" ma:internalName="Field_x0020_Office">
      <xsd:simpleType>
        <xsd:restriction base="dms:Text">
          <xsd:maxLength value="255"/>
        </xsd:restriction>
      </xsd:simpleType>
    </xsd:element>
    <xsd:element name="Meeting" ma:index="17" nillable="true" ma:displayName="Meeting" ma:internalName="Meeting">
      <xsd:simpleType>
        <xsd:restriction base="dms:Text">
          <xsd:maxLength value="255"/>
        </xsd:restriction>
      </xsd:simpleType>
    </xsd:element>
    <xsd:element name="Project_x0020_Name" ma:index="20" nillable="true" ma:displayName="Project Name" ma:internalName="Project_x0020_Name">
      <xsd:simpleType>
        <xsd:restriction base="dms:Text">
          <xsd:maxLength value="255"/>
        </xsd:restriction>
      </xsd:simpleType>
    </xsd:element>
    <xsd:element name="Report_x0020_Type" ma:index="21" nillable="true" ma:displayName="Report Type" ma:internalName="Report_x0020_Type">
      <xsd:simpleType>
        <xsd:restriction base="dms:Text">
          <xsd:maxLength value="255"/>
        </xsd:restriction>
      </xsd:simpleType>
    </xsd:element>
    <xsd:element name="Session" ma:index="23" nillable="true" ma:displayName="Session" ma:internalName="Session">
      <xsd:simpleType>
        <xsd:restriction base="dms:Text">
          <xsd:maxLength value="255"/>
        </xsd:restriction>
      </xsd:simpleType>
    </xsd:element>
    <xsd:element name="Thematic_x0020_Area" ma:index="24" nillable="true" ma:displayName="Thematic Area" ma:internalName="Thematic_x0020_Area">
      <xsd:simpleType>
        <xsd:restriction base="dms:Text">
          <xsd:maxLength value="255"/>
        </xsd:restriction>
      </xsd:simpleType>
    </xsd:element>
    <xsd:element name="Treaty_x0020_Body" ma:index="25" nillable="true" ma:displayName="Treaty Body" ma:internalName="Treaty_x0020_Body">
      <xsd:simpleType>
        <xsd:restriction base="dms:Text">
          <xsd:maxLength value="255"/>
        </xsd:restriction>
      </xsd:simpleType>
    </xsd:element>
    <xsd:element name="UD_x0020_Added_x0020_By" ma:index="26" nillable="true" ma:displayName="UD Added By" ma:internalName="UD_x0020_Added_x0020_By">
      <xsd:simpleType>
        <xsd:restriction base="dms:Text">
          <xsd:maxLength value="255"/>
        </xsd:restriction>
      </xsd:simpleType>
    </xsd:element>
    <xsd:element name="UD_x0020_Added_x0020_On" ma:index="27" nillable="true" ma:displayName="UD Added On" ma:format="DateOnly" ma:internalName="UD_x0020_Added_x0020_On">
      <xsd:simpleType>
        <xsd:restriction base="dms:DateTime"/>
      </xsd:simpleType>
    </xsd:element>
    <xsd:element name="UD_x0020_Modified_x0020_By" ma:index="28" nillable="true" ma:displayName="UD Modified By" ma:internalName="UD_x0020_Modified_x0020_By">
      <xsd:simpleType>
        <xsd:restriction base="dms:Text">
          <xsd:maxLength value="255"/>
        </xsd:restriction>
      </xsd:simpleType>
    </xsd:element>
    <xsd:element name="UD_x0020_Modified_x0020_On" ma:index="29" nillable="true" ma:displayName="UD Modified On" ma:format="DateOnly" ma:internalName="UD_x0020_Modified_x0020_On">
      <xsd:simpleType>
        <xsd:restriction base="dms:DateTime"/>
      </xsd:simpleType>
    </xsd:element>
    <xsd:element name="UD_x0020_Office_x0020_of_x0020_Origin" ma:index="30" nillable="true" ma:displayName="UD Office of Origin" ma:internalName="UD_x0020_Office_x0020_of_x0020_Origin">
      <xsd:simpleType>
        <xsd:restriction base="dms:Text">
          <xsd:maxLength value="255"/>
        </xsd:restriction>
      </xsd:simpleType>
    </xsd:element>
    <xsd:element name="Working_x0020_Group" ma:index="31" nillable="true" ma:displayName="Working Group" ma:internalName="Working_x0020_Group">
      <xsd:simpleType>
        <xsd:restriction base="dms:Text">
          <xsd:maxLength value="255"/>
        </xsd:restriction>
      </xsd:simpleType>
    </xsd:element>
    <xsd:element name="SharedWithUsers" ma:index="3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40"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Date_x0020_Received" ma:index="9" nillable="true" ma:displayName="Date Received" ma:default="[today]" ma:format="DateOnly" ma:internalName="Date_x0020_Received">
      <xsd:simpleType>
        <xsd:restriction base="dms:DateTime"/>
      </xsd:simpleType>
    </xsd:element>
    <xsd:element name="Date_x0020_Sent" ma:index="10" nillable="true" ma:displayName="Date Sent" ma:default="[today]" ma:format="DateOnly" ma:internalName="Date_x0020_Sent">
      <xsd:simpleType>
        <xsd:restriction base="dms:DateTime"/>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default="UN others"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UN_x0020_Official_x0020_Language" ma:index="15" nillable="true" ma:displayName="Language (UN's Official)" ma:default="English"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Linked_x0020_Records" ma:index="16" nillable="true" ma:displayName="Linked Records" ma:format="Hyperlink" ma:internalName="Linked_x0020_Records">
      <xsd:complexType>
        <xsd:complexContent>
          <xsd:extension base="dms:URL">
            <xsd:sequence>
              <xsd:element name="Url" type="dms:ValidUrl" minOccurs="0" nillable="true"/>
              <xsd:element name="Description" type="xsd:string" nillable="true"/>
            </xsd:sequence>
          </xsd:extension>
        </xsd:complexContent>
      </xsd:complexType>
    </xsd:element>
    <xsd:element name="TaxCatchAll" ma:index="18" nillable="true" ma:displayName="Taxonomy Catch All Column" ma:hidden="true" ma:list="{edcab123-23af-4b97-b88d-ffdc823631e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element name="Personal_x0020_Information_x0020__x0028_PII_x0029_" ma:index="19" nillable="true" ma:displayName="Personal Information (PII)" ma:default="0" ma:description="This field indicates whether the file contains Personal Information" ma:internalName="Personal_x0020_Information_x0020__x0028_PII_x0029_">
      <xsd:simpleType>
        <xsd:restriction base="dms:Boolean"/>
      </xsd:simpleType>
    </xsd:element>
    <xsd:element name="Security_x0020_Level" ma:index="22" nillable="true" ma:displayName="Security Level" ma:default="Unclassified" ma:format="RadioButtons" ma:internalName="Security_x0020_Level">
      <xsd:simpleType>
        <xsd:restriction base="dms:Choice">
          <xsd:enumeration value="Unclassified"/>
          <xsd:enumeration value="Confidential"/>
          <xsd:enumeration value="Strictly Confidential"/>
        </xsd:restriction>
      </xsd:simpleType>
    </xsd:element>
  </xsd:schema>
  <xsd:schema xmlns:xsd="http://www.w3.org/2001/XMLSchema" xmlns:xs="http://www.w3.org/2001/XMLSchema" xmlns:dms="http://schemas.microsoft.com/office/2006/documentManagement/types" xmlns:pc="http://schemas.microsoft.com/office/infopath/2007/PartnerControls" targetNamespace="dfe5883a-cdd3-42a9-8146-0edb2232418f" elementFormDefault="qualified">
    <xsd:import namespace="http://schemas.microsoft.com/office/2006/documentManagement/types"/>
    <xsd:import namespace="http://schemas.microsoft.com/office/infopath/2007/PartnerControls"/>
    <xsd:element name="MediaServiceMetadata" ma:index="35" nillable="true" ma:displayName="MediaServiceMetadata" ma:hidden="true" ma:internalName="MediaServiceMetadata" ma:readOnly="true">
      <xsd:simpleType>
        <xsd:restriction base="dms:Note"/>
      </xsd:simpleType>
    </xsd:element>
    <xsd:element name="MediaServiceFastMetadata" ma:index="36" nillable="true" ma:displayName="MediaServiceFastMetadata" ma:hidden="true" ma:internalName="MediaServiceFastMetadata" ma:readOnly="true">
      <xsd:simpleType>
        <xsd:restriction base="dms:Note"/>
      </xsd:simpleType>
    </xsd:element>
    <xsd:element name="MediaServiceDateTaken" ma:index="37" nillable="true" ma:displayName="MediaServiceDateTaken" ma:hidden="true" ma:internalName="MediaServiceDateTaken" ma:readOnly="true">
      <xsd:simpleType>
        <xsd:restriction base="dms:Text"/>
      </xsd:simpleType>
    </xsd:element>
    <xsd:element name="MediaLengthInSeconds" ma:index="38" nillable="true" ma:displayName="MediaLengthInSeconds" ma:hidden="true" ma:internalName="MediaLengthInSeconds" ma:readOnly="true">
      <xsd:simpleType>
        <xsd:restriction base="dms:Unknown"/>
      </xsd:simpleType>
    </xsd:element>
    <xsd:element name="MediaServiceAutoKeyPoints" ma:index="41" nillable="true" ma:displayName="MediaServiceAutoKeyPoints" ma:hidden="true" ma:internalName="MediaServiceAutoKeyPoints" ma:readOnly="true">
      <xsd:simpleType>
        <xsd:restriction base="dms:Note"/>
      </xsd:simpleType>
    </xsd:element>
    <xsd:element name="MediaServiceKeyPoints" ma:index="42" nillable="true" ma:displayName="KeyPoints" ma:internalName="MediaServiceKeyPoints" ma:readOnly="true">
      <xsd:simpleType>
        <xsd:restriction base="dms:Note">
          <xsd:maxLength value="255"/>
        </xsd:restriction>
      </xsd:simpleType>
    </xsd:element>
    <xsd:element name="MediaServiceOCR" ma:index="43" nillable="true" ma:displayName="Extracted Text" ma:internalName="MediaServiceOCR" ma:readOnly="true">
      <xsd:simpleType>
        <xsd:restriction base="dms:Note">
          <xsd:maxLength value="255"/>
        </xsd:restriction>
      </xsd:simpleType>
    </xsd:element>
    <xsd:element name="MediaServiceGenerationTime" ma:index="44" nillable="true" ma:displayName="MediaServiceGenerationTime" ma:hidden="true" ma:internalName="MediaServiceGenerationTime" ma:readOnly="true">
      <xsd:simpleType>
        <xsd:restriction base="dms:Text"/>
      </xsd:simpleType>
    </xsd:element>
    <xsd:element name="MediaServiceEventHashCode" ma:index="45" nillable="true" ma:displayName="MediaServiceEventHashCode" ma:hidden="true" ma:internalName="MediaServiceEventHashCode" ma:readOnly="true">
      <xsd:simpleType>
        <xsd:restriction base="dms:Text"/>
      </xsd:simpleType>
    </xsd:element>
    <xsd:element name="lcf76f155ced4ddcb4097134ff3c332f" ma:index="47"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8"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9"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3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32" ma:displayName="Subject"/>
        <xsd:element ref="dc:description" minOccurs="0" maxOccurs="1"/>
        <xsd:element name="keywords" minOccurs="0" maxOccurs="1" type="xsd:string" ma:index="3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SharedWithUsers xmlns="11a6fe0c-d8de-4390-afb3-d9c7c54181f0">
      <UserInfo>
        <DisplayName>Debra Long</DisplayName>
        <AccountId>236</AccountId>
        <AccountType/>
      </UserInfo>
      <UserInfo>
        <DisplayName>Triona Lenihan</DisplayName>
        <AccountId>256</AccountId>
        <AccountType/>
      </UserInfo>
    </SharedWithUsers>
    <lcf76f155ced4ddcb4097134ff3c332f xmlns="dfe5883a-cdd3-42a9-8146-0edb2232418f">
      <Terms xmlns="http://schemas.microsoft.com/office/infopath/2007/PartnerControls"/>
    </lcf76f155ced4ddcb4097134ff3c332f>
    <Document_x0020_Date xmlns="985ec44e-1bab-4c0b-9df0-6ba128686fc9">2024-06-12T10:26:29+00:00</Document_x0020_Date>
    <Donor xmlns="11a6fe0c-d8de-4390-afb3-d9c7c54181f0" xsi:nil="true"/>
    <Report_x0020_Type xmlns="11a6fe0c-d8de-4390-afb3-d9c7c54181f0" xsi:nil="true"/>
    <Field_x0020_Office xmlns="11a6fe0c-d8de-4390-afb3-d9c7c54181f0" xsi:nil="true"/>
    <Document_x0020_Type xmlns="985ec44e-1bab-4c0b-9df0-6ba128686fc9">UN others</Document_x0020_Type>
    <UD_x0020_Added_x0020_On xmlns="11a6fe0c-d8de-4390-afb3-d9c7c54181f0" xsi:nil="true"/>
    <UD_x0020_Modified_x0020_By xmlns="11a6fe0c-d8de-4390-afb3-d9c7c54181f0" xsi:nil="true"/>
    <TaxCatchAll xmlns="985ec44e-1bab-4c0b-9df0-6ba128686fc9" xsi:nil="true"/>
    <UD_x0020_Modified_x0020_On xmlns="11a6fe0c-d8de-4390-afb3-d9c7c54181f0" xsi:nil="true"/>
    <Working_x0020_Group xmlns="11a6fe0c-d8de-4390-afb3-d9c7c54181f0" xsi:nil="true"/>
    <Thematic_x0020_Area xmlns="11a6fe0c-d8de-4390-afb3-d9c7c54181f0" xsi:nil="true"/>
    <Project_x0020_Name xmlns="11a6fe0c-d8de-4390-afb3-d9c7c54181f0" xsi:nil="true"/>
    <UD_x0020_Added_x0020_By xmlns="11a6fe0c-d8de-4390-afb3-d9c7c54181f0" xsi:nil="true"/>
    <Date_x0020_Sent xmlns="985ec44e-1bab-4c0b-9df0-6ba128686fc9">2024-06-12T10:26:29+00:00</Date_x0020_Sent>
    <Personal_x0020_Information_x0020__x0028_PII_x0029_ xmlns="985ec44e-1bab-4c0b-9df0-6ba128686fc9">false</Personal_x0020_Information_x0020__x0028_PII_x0029_>
    <Session xmlns="11a6fe0c-d8de-4390-afb3-d9c7c54181f0" xsi:nil="true"/>
    <Date_x0020_Received xmlns="985ec44e-1bab-4c0b-9df0-6ba128686fc9">2024-06-12T10:26:29+00:00</Date_x0020_Received>
    <Meeting xmlns="11a6fe0c-d8de-4390-afb3-d9c7c54181f0" xsi:nil="true"/>
    <Country xmlns="11a6fe0c-d8de-4390-afb3-d9c7c54181f0" xsi:nil="true"/>
    <Linked_x0020_Records xmlns="985ec44e-1bab-4c0b-9df0-6ba128686fc9">
      <Url xsi:nil="true"/>
      <Description xsi:nil="true"/>
    </Linked_x0020_Records>
    <UD_x0020_Office_x0020_of_x0020_Origin xmlns="11a6fe0c-d8de-4390-afb3-d9c7c54181f0" xsi:nil="true"/>
    <Security_x0020_Level xmlns="985ec44e-1bab-4c0b-9df0-6ba128686fc9">Unclassified</Security_x0020_Level>
    <UN_x0020_Official_x0020_Language xmlns="985ec44e-1bab-4c0b-9df0-6ba128686fc9">English</UN_x0020_Official_x0020_Language>
    <Treaty_x0020_Body xmlns="11a6fe0c-d8de-4390-afb3-d9c7c54181f0"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3B4497B-937D-4734-9914-11A2263A6143}"/>
</file>

<file path=customXml/itemProps2.xml><?xml version="1.0" encoding="utf-8"?>
<ds:datastoreItem xmlns:ds="http://schemas.openxmlformats.org/officeDocument/2006/customXml" ds:itemID="{230410D6-30FB-4E7F-8D75-C0FAAE553D20}">
  <ds:schemaRefs>
    <ds:schemaRef ds:uri="http://schemas.microsoft.com/office/2006/metadata/properties"/>
    <ds:schemaRef ds:uri="http://schemas.microsoft.com/office/infopath/2007/PartnerControls"/>
    <ds:schemaRef ds:uri="29b990b0-4da3-43ca-af23-fb56ff8b8f58"/>
    <ds:schemaRef ds:uri="257a5904-e1ed-4b89-97ca-042d31c3681f"/>
  </ds:schemaRefs>
</ds:datastoreItem>
</file>

<file path=customXml/itemProps3.xml><?xml version="1.0" encoding="utf-8"?>
<ds:datastoreItem xmlns:ds="http://schemas.openxmlformats.org/officeDocument/2006/customXml" ds:itemID="{78EE43D9-6D3D-416D-B6BB-214EE3C6F303}">
  <ds:schemaRefs>
    <ds:schemaRef ds:uri="http://schemas.microsoft.com/sharepoint/v3/contenttype/forms"/>
  </ds:schemaRefs>
</ds:datastoreItem>
</file>

<file path=customXml/itemProps4.xml><?xml version="1.0" encoding="utf-8"?>
<ds:datastoreItem xmlns:ds="http://schemas.openxmlformats.org/officeDocument/2006/customXml" ds:itemID="{EFBF75E4-F8E7-463F-B840-5DFD48A3D77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TotalTime>
  <Pages>1</Pages>
  <Words>6709</Words>
  <Characters>38244</Characters>
  <Application>Microsoft Office Word</Application>
  <DocSecurity>4</DocSecurity>
  <Lines>318</Lines>
  <Paragraphs>89</Paragraphs>
  <ScaleCrop>false</ScaleCrop>
  <HeadingPairs>
    <vt:vector size="4" baseType="variant">
      <vt:variant>
        <vt:lpstr>Title</vt:lpstr>
      </vt:variant>
      <vt:variant>
        <vt:i4>1</vt:i4>
      </vt:variant>
      <vt:variant>
        <vt:lpstr>Titel</vt:lpstr>
      </vt:variant>
      <vt:variant>
        <vt:i4>1</vt:i4>
      </vt:variant>
    </vt:vector>
  </HeadingPairs>
  <TitlesOfParts>
    <vt:vector size="2" baseType="lpstr">
      <vt:lpstr>The Law Society Letter</vt:lpstr>
      <vt:lpstr>The Law Society Letter</vt:lpstr>
    </vt:vector>
  </TitlesOfParts>
  <Company/>
  <LinksUpToDate>false</LinksUpToDate>
  <CharactersWithSpaces>44864</CharactersWithSpaces>
  <SharedDoc>false</SharedDoc>
  <HLinks>
    <vt:vector size="228" baseType="variant">
      <vt:variant>
        <vt:i4>1179707</vt:i4>
      </vt:variant>
      <vt:variant>
        <vt:i4>92</vt:i4>
      </vt:variant>
      <vt:variant>
        <vt:i4>0</vt:i4>
      </vt:variant>
      <vt:variant>
        <vt:i4>5</vt:i4>
      </vt:variant>
      <vt:variant>
        <vt:lpwstr/>
      </vt:variant>
      <vt:variant>
        <vt:lpwstr>_Toc168534123</vt:lpwstr>
      </vt:variant>
      <vt:variant>
        <vt:i4>1179707</vt:i4>
      </vt:variant>
      <vt:variant>
        <vt:i4>86</vt:i4>
      </vt:variant>
      <vt:variant>
        <vt:i4>0</vt:i4>
      </vt:variant>
      <vt:variant>
        <vt:i4>5</vt:i4>
      </vt:variant>
      <vt:variant>
        <vt:lpwstr/>
      </vt:variant>
      <vt:variant>
        <vt:lpwstr>_Toc168534122</vt:lpwstr>
      </vt:variant>
      <vt:variant>
        <vt:i4>1179707</vt:i4>
      </vt:variant>
      <vt:variant>
        <vt:i4>80</vt:i4>
      </vt:variant>
      <vt:variant>
        <vt:i4>0</vt:i4>
      </vt:variant>
      <vt:variant>
        <vt:i4>5</vt:i4>
      </vt:variant>
      <vt:variant>
        <vt:lpwstr/>
      </vt:variant>
      <vt:variant>
        <vt:lpwstr>_Toc168534121</vt:lpwstr>
      </vt:variant>
      <vt:variant>
        <vt:i4>1179707</vt:i4>
      </vt:variant>
      <vt:variant>
        <vt:i4>74</vt:i4>
      </vt:variant>
      <vt:variant>
        <vt:i4>0</vt:i4>
      </vt:variant>
      <vt:variant>
        <vt:i4>5</vt:i4>
      </vt:variant>
      <vt:variant>
        <vt:lpwstr/>
      </vt:variant>
      <vt:variant>
        <vt:lpwstr>_Toc168534120</vt:lpwstr>
      </vt:variant>
      <vt:variant>
        <vt:i4>1114171</vt:i4>
      </vt:variant>
      <vt:variant>
        <vt:i4>68</vt:i4>
      </vt:variant>
      <vt:variant>
        <vt:i4>0</vt:i4>
      </vt:variant>
      <vt:variant>
        <vt:i4>5</vt:i4>
      </vt:variant>
      <vt:variant>
        <vt:lpwstr/>
      </vt:variant>
      <vt:variant>
        <vt:lpwstr>_Toc168534119</vt:lpwstr>
      </vt:variant>
      <vt:variant>
        <vt:i4>1114171</vt:i4>
      </vt:variant>
      <vt:variant>
        <vt:i4>62</vt:i4>
      </vt:variant>
      <vt:variant>
        <vt:i4>0</vt:i4>
      </vt:variant>
      <vt:variant>
        <vt:i4>5</vt:i4>
      </vt:variant>
      <vt:variant>
        <vt:lpwstr/>
      </vt:variant>
      <vt:variant>
        <vt:lpwstr>_Toc168534118</vt:lpwstr>
      </vt:variant>
      <vt:variant>
        <vt:i4>1114171</vt:i4>
      </vt:variant>
      <vt:variant>
        <vt:i4>56</vt:i4>
      </vt:variant>
      <vt:variant>
        <vt:i4>0</vt:i4>
      </vt:variant>
      <vt:variant>
        <vt:i4>5</vt:i4>
      </vt:variant>
      <vt:variant>
        <vt:lpwstr/>
      </vt:variant>
      <vt:variant>
        <vt:lpwstr>_Toc168534117</vt:lpwstr>
      </vt:variant>
      <vt:variant>
        <vt:i4>1114171</vt:i4>
      </vt:variant>
      <vt:variant>
        <vt:i4>50</vt:i4>
      </vt:variant>
      <vt:variant>
        <vt:i4>0</vt:i4>
      </vt:variant>
      <vt:variant>
        <vt:i4>5</vt:i4>
      </vt:variant>
      <vt:variant>
        <vt:lpwstr/>
      </vt:variant>
      <vt:variant>
        <vt:lpwstr>_Toc168534116</vt:lpwstr>
      </vt:variant>
      <vt:variant>
        <vt:i4>1114171</vt:i4>
      </vt:variant>
      <vt:variant>
        <vt:i4>44</vt:i4>
      </vt:variant>
      <vt:variant>
        <vt:i4>0</vt:i4>
      </vt:variant>
      <vt:variant>
        <vt:i4>5</vt:i4>
      </vt:variant>
      <vt:variant>
        <vt:lpwstr/>
      </vt:variant>
      <vt:variant>
        <vt:lpwstr>_Toc168534115</vt:lpwstr>
      </vt:variant>
      <vt:variant>
        <vt:i4>1114171</vt:i4>
      </vt:variant>
      <vt:variant>
        <vt:i4>38</vt:i4>
      </vt:variant>
      <vt:variant>
        <vt:i4>0</vt:i4>
      </vt:variant>
      <vt:variant>
        <vt:i4>5</vt:i4>
      </vt:variant>
      <vt:variant>
        <vt:lpwstr/>
      </vt:variant>
      <vt:variant>
        <vt:lpwstr>_Toc168534114</vt:lpwstr>
      </vt:variant>
      <vt:variant>
        <vt:i4>1114171</vt:i4>
      </vt:variant>
      <vt:variant>
        <vt:i4>32</vt:i4>
      </vt:variant>
      <vt:variant>
        <vt:i4>0</vt:i4>
      </vt:variant>
      <vt:variant>
        <vt:i4>5</vt:i4>
      </vt:variant>
      <vt:variant>
        <vt:lpwstr/>
      </vt:variant>
      <vt:variant>
        <vt:lpwstr>_Toc168534113</vt:lpwstr>
      </vt:variant>
      <vt:variant>
        <vt:i4>1114171</vt:i4>
      </vt:variant>
      <vt:variant>
        <vt:i4>26</vt:i4>
      </vt:variant>
      <vt:variant>
        <vt:i4>0</vt:i4>
      </vt:variant>
      <vt:variant>
        <vt:i4>5</vt:i4>
      </vt:variant>
      <vt:variant>
        <vt:lpwstr/>
      </vt:variant>
      <vt:variant>
        <vt:lpwstr>_Toc168534112</vt:lpwstr>
      </vt:variant>
      <vt:variant>
        <vt:i4>1114171</vt:i4>
      </vt:variant>
      <vt:variant>
        <vt:i4>20</vt:i4>
      </vt:variant>
      <vt:variant>
        <vt:i4>0</vt:i4>
      </vt:variant>
      <vt:variant>
        <vt:i4>5</vt:i4>
      </vt:variant>
      <vt:variant>
        <vt:lpwstr/>
      </vt:variant>
      <vt:variant>
        <vt:lpwstr>_Toc168534111</vt:lpwstr>
      </vt:variant>
      <vt:variant>
        <vt:i4>1114171</vt:i4>
      </vt:variant>
      <vt:variant>
        <vt:i4>14</vt:i4>
      </vt:variant>
      <vt:variant>
        <vt:i4>0</vt:i4>
      </vt:variant>
      <vt:variant>
        <vt:i4>5</vt:i4>
      </vt:variant>
      <vt:variant>
        <vt:lpwstr/>
      </vt:variant>
      <vt:variant>
        <vt:lpwstr>_Toc168534110</vt:lpwstr>
      </vt:variant>
      <vt:variant>
        <vt:i4>7405639</vt:i4>
      </vt:variant>
      <vt:variant>
        <vt:i4>9</vt:i4>
      </vt:variant>
      <vt:variant>
        <vt:i4>0</vt:i4>
      </vt:variant>
      <vt:variant>
        <vt:i4>5</vt:i4>
      </vt:variant>
      <vt:variant>
        <vt:lpwstr>mailto:rachel.murray@bristol.ac.uk</vt:lpwstr>
      </vt:variant>
      <vt:variant>
        <vt:lpwstr/>
      </vt:variant>
      <vt:variant>
        <vt:i4>6946895</vt:i4>
      </vt:variant>
      <vt:variant>
        <vt:i4>6</vt:i4>
      </vt:variant>
      <vt:variant>
        <vt:i4>0</vt:i4>
      </vt:variant>
      <vt:variant>
        <vt:i4>5</vt:i4>
      </vt:variant>
      <vt:variant>
        <vt:lpwstr>mailto:Zara.Iqbal@int-bar.org</vt:lpwstr>
      </vt:variant>
      <vt:variant>
        <vt:lpwstr/>
      </vt:variant>
      <vt:variant>
        <vt:i4>917609</vt:i4>
      </vt:variant>
      <vt:variant>
        <vt:i4>3</vt:i4>
      </vt:variant>
      <vt:variant>
        <vt:i4>0</vt:i4>
      </vt:variant>
      <vt:variant>
        <vt:i4>5</vt:i4>
      </vt:variant>
      <vt:variant>
        <vt:lpwstr>mailto:t.fiechter@lawyersforlawyers.nl</vt:lpwstr>
      </vt:variant>
      <vt:variant>
        <vt:lpwstr/>
      </vt:variant>
      <vt:variant>
        <vt:i4>5701728</vt:i4>
      </vt:variant>
      <vt:variant>
        <vt:i4>0</vt:i4>
      </vt:variant>
      <vt:variant>
        <vt:i4>0</vt:i4>
      </vt:variant>
      <vt:variant>
        <vt:i4>5</vt:i4>
      </vt:variant>
      <vt:variant>
        <vt:lpwstr>mailto:debra.long@lawsociety.org.uk</vt:lpwstr>
      </vt:variant>
      <vt:variant>
        <vt:lpwstr/>
      </vt:variant>
      <vt:variant>
        <vt:i4>2752564</vt:i4>
      </vt:variant>
      <vt:variant>
        <vt:i4>57</vt:i4>
      </vt:variant>
      <vt:variant>
        <vt:i4>0</vt:i4>
      </vt:variant>
      <vt:variant>
        <vt:i4>5</vt:i4>
      </vt:variant>
      <vt:variant>
        <vt:lpwstr>https://mezopotamyaajansi35.com/GUNCEL/content/view/240583</vt:lpwstr>
      </vt:variant>
      <vt:variant>
        <vt:lpwstr/>
      </vt:variant>
      <vt:variant>
        <vt:i4>6291497</vt:i4>
      </vt:variant>
      <vt:variant>
        <vt:i4>54</vt:i4>
      </vt:variant>
      <vt:variant>
        <vt:i4>0</vt:i4>
      </vt:variant>
      <vt:variant>
        <vt:i4>5</vt:i4>
      </vt:variant>
      <vt:variant>
        <vt:lpwstr>https://verfassungsblog.de/strasburg-weighs-in-on-political-persecution-in-turkey/</vt:lpwstr>
      </vt:variant>
      <vt:variant>
        <vt:lpwstr/>
      </vt:variant>
      <vt:variant>
        <vt:i4>4587525</vt:i4>
      </vt:variant>
      <vt:variant>
        <vt:i4>51</vt:i4>
      </vt:variant>
      <vt:variant>
        <vt:i4>0</vt:i4>
      </vt:variant>
      <vt:variant>
        <vt:i4>5</vt:i4>
      </vt:variant>
      <vt:variant>
        <vt:lpwstr>https://arrestedlawyers.org/2021/07/05/ecthr-arrest-and-pretrial-detentions-of-justices-erdal-tercan-andalparslan-altan-is-unlawful/</vt:lpwstr>
      </vt:variant>
      <vt:variant>
        <vt:lpwstr/>
      </vt:variant>
      <vt:variant>
        <vt:i4>393245</vt:i4>
      </vt:variant>
      <vt:variant>
        <vt:i4>48</vt:i4>
      </vt:variant>
      <vt:variant>
        <vt:i4>0</vt:i4>
      </vt:variant>
      <vt:variant>
        <vt:i4>5</vt:i4>
      </vt:variant>
      <vt:variant>
        <vt:lpwstr>http://www.ohchr.org/Documents/Countries/TR/2018-03-19_Second_OHCHR_Turkey_Report.pdf</vt:lpwstr>
      </vt:variant>
      <vt:variant>
        <vt:lpwstr/>
      </vt:variant>
      <vt:variant>
        <vt:i4>1507411</vt:i4>
      </vt:variant>
      <vt:variant>
        <vt:i4>45</vt:i4>
      </vt:variant>
      <vt:variant>
        <vt:i4>0</vt:i4>
      </vt:variant>
      <vt:variant>
        <vt:i4>5</vt:i4>
      </vt:variant>
      <vt:variant>
        <vt:lpwstr>https://www.tahirelcivakfi.org/storage/files/ae36e3a1-90bd-44bf-8817-08321ade8533/Ruhsatsiz-Avukatlar---INGILIZCE-(1).pdf</vt:lpwstr>
      </vt:variant>
      <vt:variant>
        <vt:lpwstr/>
      </vt:variant>
      <vt:variant>
        <vt:i4>6029329</vt:i4>
      </vt:variant>
      <vt:variant>
        <vt:i4>42</vt:i4>
      </vt:variant>
      <vt:variant>
        <vt:i4>0</vt:i4>
      </vt:variant>
      <vt:variant>
        <vt:i4>5</vt:i4>
      </vt:variant>
      <vt:variant>
        <vt:lpwstr>https://arrestedlawyers.org/2018/02/14/erdogan-regime-grasps-control-of-the-recruitment-mechanism-for-the-profession-of-law-with-the-cooperation-of-metin-feyzioglu/</vt:lpwstr>
      </vt:variant>
      <vt:variant>
        <vt:lpwstr/>
      </vt:variant>
      <vt:variant>
        <vt:i4>5242907</vt:i4>
      </vt:variant>
      <vt:variant>
        <vt:i4>39</vt:i4>
      </vt:variant>
      <vt:variant>
        <vt:i4>0</vt:i4>
      </vt:variant>
      <vt:variant>
        <vt:i4>5</vt:i4>
      </vt:variant>
      <vt:variant>
        <vt:lpwstr>https://www.al-monitor.com/originals/2019/10/turkey-nationalism-killer-penal-code-article-has-come-back.html</vt:lpwstr>
      </vt:variant>
      <vt:variant>
        <vt:lpwstr/>
      </vt:variant>
      <vt:variant>
        <vt:i4>3407916</vt:i4>
      </vt:variant>
      <vt:variant>
        <vt:i4>36</vt:i4>
      </vt:variant>
      <vt:variant>
        <vt:i4>0</vt:i4>
      </vt:variant>
      <vt:variant>
        <vt:i4>5</vt:i4>
      </vt:variant>
      <vt:variant>
        <vt:lpwstr>https://www.duvarenglish.com/seven-investigations-three-lawsuits-launched-on-diyarbakir-bar-for-armenian-genocide-remembrance-in-last-six-years-news-63498</vt:lpwstr>
      </vt:variant>
      <vt:variant>
        <vt:lpwstr/>
      </vt:variant>
      <vt:variant>
        <vt:i4>983065</vt:i4>
      </vt:variant>
      <vt:variant>
        <vt:i4>33</vt:i4>
      </vt:variant>
      <vt:variant>
        <vt:i4>0</vt:i4>
      </vt:variant>
      <vt:variant>
        <vt:i4>5</vt:i4>
      </vt:variant>
      <vt:variant>
        <vt:lpwstr>https://www.hrw.org/news/2020/07/07/reform-bar-associations-turkey-questions-and-answers</vt:lpwstr>
      </vt:variant>
      <vt:variant>
        <vt:lpwstr/>
      </vt:variant>
      <vt:variant>
        <vt:i4>5242907</vt:i4>
      </vt:variant>
      <vt:variant>
        <vt:i4>30</vt:i4>
      </vt:variant>
      <vt:variant>
        <vt:i4>0</vt:i4>
      </vt:variant>
      <vt:variant>
        <vt:i4>5</vt:i4>
      </vt:variant>
      <vt:variant>
        <vt:lpwstr>https://www.al-monitor.com/originals/2019/10/turkey-nationalism-killer-penal-code-article-has-come-back.html</vt:lpwstr>
      </vt:variant>
      <vt:variant>
        <vt:lpwstr/>
      </vt:variant>
      <vt:variant>
        <vt:i4>983065</vt:i4>
      </vt:variant>
      <vt:variant>
        <vt:i4>27</vt:i4>
      </vt:variant>
      <vt:variant>
        <vt:i4>0</vt:i4>
      </vt:variant>
      <vt:variant>
        <vt:i4>5</vt:i4>
      </vt:variant>
      <vt:variant>
        <vt:lpwstr>https://www.hrw.org/news/2020/07/07/reform-bar-associations-turkey-questions-and-answers</vt:lpwstr>
      </vt:variant>
      <vt:variant>
        <vt:lpwstr/>
      </vt:variant>
      <vt:variant>
        <vt:i4>3670018</vt:i4>
      </vt:variant>
      <vt:variant>
        <vt:i4>24</vt:i4>
      </vt:variant>
      <vt:variant>
        <vt:i4>0</vt:i4>
      </vt:variant>
      <vt:variant>
        <vt:i4>5</vt:i4>
      </vt:variant>
      <vt:variant>
        <vt:lpwstr>https://freedomhouse.org/sites/default/files/2021-03/03312021_Freedom_House_Turkey_Policy_Brief-1-Stifling-Lawyers-and-Bar-Associations.pdf</vt:lpwstr>
      </vt:variant>
      <vt:variant>
        <vt:lpwstr/>
      </vt:variant>
      <vt:variant>
        <vt:i4>1966086</vt:i4>
      </vt:variant>
      <vt:variant>
        <vt:i4>21</vt:i4>
      </vt:variant>
      <vt:variant>
        <vt:i4>0</vt:i4>
      </vt:variant>
      <vt:variant>
        <vt:i4>5</vt:i4>
      </vt:variant>
      <vt:variant>
        <vt:lpwstr>https://arrestedlawyers.org/2018/09/24/erdogan-gets-infinite-authority-over-the-national-and-provincial-bar-associations/</vt:lpwstr>
      </vt:variant>
      <vt:variant>
        <vt:lpwstr/>
      </vt:variant>
      <vt:variant>
        <vt:i4>8257657</vt:i4>
      </vt:variant>
      <vt:variant>
        <vt:i4>18</vt:i4>
      </vt:variant>
      <vt:variant>
        <vt:i4>0</vt:i4>
      </vt:variant>
      <vt:variant>
        <vt:i4>5</vt:i4>
      </vt:variant>
      <vt:variant>
        <vt:lpwstr>https://hudoc.echr.coe.int/eng?i=001-142087</vt:lpwstr>
      </vt:variant>
      <vt:variant>
        <vt:lpwstr/>
      </vt:variant>
      <vt:variant>
        <vt:i4>7405686</vt:i4>
      </vt:variant>
      <vt:variant>
        <vt:i4>15</vt:i4>
      </vt:variant>
      <vt:variant>
        <vt:i4>0</vt:i4>
      </vt:variant>
      <vt:variant>
        <vt:i4>5</vt:i4>
      </vt:variant>
      <vt:variant>
        <vt:lpwstr>https://hudoc.echr.coe.int/eng?i=001-69022</vt:lpwstr>
      </vt:variant>
      <vt:variant>
        <vt:lpwstr/>
      </vt:variant>
      <vt:variant>
        <vt:i4>5177353</vt:i4>
      </vt:variant>
      <vt:variant>
        <vt:i4>12</vt:i4>
      </vt:variant>
      <vt:variant>
        <vt:i4>0</vt:i4>
      </vt:variant>
      <vt:variant>
        <vt:i4>5</vt:i4>
      </vt:variant>
      <vt:variant>
        <vt:lpwstr>https://hudoc.cpt.coe.int/eng/</vt:lpwstr>
      </vt:variant>
      <vt:variant>
        <vt:lpwstr>{%22sort%22:[%22cptdocumentdate%20descending,cptdocumentid%20ascending,cptsectionnumber%20ascending%22],%22cptstate%22:[%22TUR%22],%22cptsectionid%22:[%22p-tur-20190506-en-1%22]}</vt:lpwstr>
      </vt:variant>
      <vt:variant>
        <vt:i4>1572949</vt:i4>
      </vt:variant>
      <vt:variant>
        <vt:i4>9</vt:i4>
      </vt:variant>
      <vt:variant>
        <vt:i4>0</vt:i4>
      </vt:variant>
      <vt:variant>
        <vt:i4>5</vt:i4>
      </vt:variant>
      <vt:variant>
        <vt:lpwstr>https://lawyersforlawyers.org/en/lawyers-of-asrin-hukuk-burosu-severely-hindered-in-assisting-their-clients/</vt:lpwstr>
      </vt:variant>
      <vt:variant>
        <vt:lpwstr/>
      </vt:variant>
      <vt:variant>
        <vt:i4>3538986</vt:i4>
      </vt:variant>
      <vt:variant>
        <vt:i4>6</vt:i4>
      </vt:variant>
      <vt:variant>
        <vt:i4>0</vt:i4>
      </vt:variant>
      <vt:variant>
        <vt:i4>5</vt:i4>
      </vt:variant>
      <vt:variant>
        <vt:lpwstr>https://www.venice.coe.int/webforms/documents/default.aspx?pdffile=CDL-AD(2016)037</vt:lpwstr>
      </vt:variant>
      <vt:variant>
        <vt:lpwstr/>
      </vt:variant>
      <vt:variant>
        <vt:i4>458769</vt:i4>
      </vt:variant>
      <vt:variant>
        <vt:i4>3</vt:i4>
      </vt:variant>
      <vt:variant>
        <vt:i4>0</vt:i4>
      </vt:variant>
      <vt:variant>
        <vt:i4>5</vt:i4>
      </vt:variant>
      <vt:variant>
        <vt:lpwstr>https://www.ibanet.org/Turkey-IBAHRI-and-TALI-release-report-documenting-mass-imprisonment-of-lawyers</vt:lpwstr>
      </vt:variant>
      <vt:variant>
        <vt:lpwstr/>
      </vt:variant>
      <vt:variant>
        <vt:i4>3473510</vt:i4>
      </vt:variant>
      <vt:variant>
        <vt:i4>0</vt:i4>
      </vt:variant>
      <vt:variant>
        <vt:i4>0</vt:i4>
      </vt:variant>
      <vt:variant>
        <vt:i4>5</vt:i4>
      </vt:variant>
      <vt:variant>
        <vt:lpwstr>https://www.lawsociety.org.uk/campaigns/international-rule-of-law/news/results-of-our-recent-fact-finding-mission-in-turkey</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 Law Society Letter</dc:title>
  <dc:subject/>
  <dc:creator>Petra Stojnic</dc:creator>
  <cp:keywords/>
  <dc:description/>
  <cp:lastModifiedBy>Debra Long</cp:lastModifiedBy>
  <cp:revision>16</cp:revision>
  <cp:lastPrinted>2024-06-10T16:34:00Z</cp:lastPrinted>
  <dcterms:created xsi:type="dcterms:W3CDTF">2024-06-10T16:33:00Z</dcterms:created>
  <dcterms:modified xsi:type="dcterms:W3CDTF">2024-06-10T20:22:00Z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0x010100A7FA57C9FAB45A42AB7F0F2F29DA9B83</vt:lpwstr>
  </property>
  <property fmtid="{D5CDD505-2E9C-101B-9397-08002B2CF9AE}" pid="3" name="TLS Document Category">
    <vt:lpwstr/>
  </property>
  <property fmtid="{D5CDD505-2E9C-101B-9397-08002B2CF9AE}" pid="4" name="TaxKeyword">
    <vt:lpwstr/>
  </property>
  <property fmtid="{D5CDD505-2E9C-101B-9397-08002B2CF9AE}" pid="5" name="TLS Org Structure">
    <vt:lpwstr/>
  </property>
  <property fmtid="{D5CDD505-2E9C-101B-9397-08002B2CF9AE}" pid="6" name="TLS Taxonomy">
    <vt:lpwstr/>
  </property>
  <property fmtid="{D5CDD505-2E9C-101B-9397-08002B2CF9AE}" pid="7" name="MSIP_Label_f5e9a85d-4ce1-4e47-aa2e-eb685858a3fc_Enabled">
    <vt:lpwstr>true</vt:lpwstr>
  </property>
  <property fmtid="{D5CDD505-2E9C-101B-9397-08002B2CF9AE}" pid="8" name="MSIP_Label_f5e9a85d-4ce1-4e47-aa2e-eb685858a3fc_SetDate">
    <vt:lpwstr>2022-11-03T15:42:22Z</vt:lpwstr>
  </property>
  <property fmtid="{D5CDD505-2E9C-101B-9397-08002B2CF9AE}" pid="9" name="MSIP_Label_f5e9a85d-4ce1-4e47-aa2e-eb685858a3fc_Method">
    <vt:lpwstr>Standard</vt:lpwstr>
  </property>
  <property fmtid="{D5CDD505-2E9C-101B-9397-08002B2CF9AE}" pid="10" name="MSIP_Label_f5e9a85d-4ce1-4e47-aa2e-eb685858a3fc_Name">
    <vt:lpwstr>Official</vt:lpwstr>
  </property>
  <property fmtid="{D5CDD505-2E9C-101B-9397-08002B2CF9AE}" pid="11" name="MSIP_Label_f5e9a85d-4ce1-4e47-aa2e-eb685858a3fc_SiteId">
    <vt:lpwstr>2d4ecdb2-42d1-4250-b794-2caf523719ad</vt:lpwstr>
  </property>
  <property fmtid="{D5CDD505-2E9C-101B-9397-08002B2CF9AE}" pid="12" name="MSIP_Label_f5e9a85d-4ce1-4e47-aa2e-eb685858a3fc_ActionId">
    <vt:lpwstr>ae69574f-4537-4d6b-84d3-08f8a964c78f</vt:lpwstr>
  </property>
  <property fmtid="{D5CDD505-2E9C-101B-9397-08002B2CF9AE}" pid="13" name="MSIP_Label_f5e9a85d-4ce1-4e47-aa2e-eb685858a3fc_ContentBits">
    <vt:lpwstr>0</vt:lpwstr>
  </property>
  <property fmtid="{D5CDD505-2E9C-101B-9397-08002B2CF9AE}" pid="14" name="MediaServiceImageTags">
    <vt:lpwstr/>
  </property>
  <property fmtid="{D5CDD505-2E9C-101B-9397-08002B2CF9AE}" pid="15" name="Areas of Law">
    <vt:lpwstr/>
  </property>
  <property fmtid="{D5CDD505-2E9C-101B-9397-08002B2CF9AE}" pid="16" name="General terms">
    <vt:lpwstr/>
  </property>
  <property fmtid="{D5CDD505-2E9C-101B-9397-08002B2CF9AE}" pid="17" name="Geographic terms">
    <vt:lpwstr/>
  </property>
  <property fmtid="{D5CDD505-2E9C-101B-9397-08002B2CF9AE}" pid="18" name="Roles, Communities and Products">
    <vt:lpwstr/>
  </property>
  <property fmtid="{D5CDD505-2E9C-101B-9397-08002B2CF9AE}" pid="19" name="o21029a1901941c6a6ad6fd524516fdc">
    <vt:lpwstr/>
  </property>
  <property fmtid="{D5CDD505-2E9C-101B-9397-08002B2CF9AE}" pid="20" name="b856e18e1a3a4b98b2591de4bd3c43c5">
    <vt:lpwstr/>
  </property>
  <property fmtid="{D5CDD505-2E9C-101B-9397-08002B2CF9AE}" pid="21" name="Themes">
    <vt:lpwstr/>
  </property>
  <property fmtid="{D5CDD505-2E9C-101B-9397-08002B2CF9AE}" pid="22" name="Organisations &amp; Stakeholders">
    <vt:lpwstr/>
  </property>
  <property fmtid="{D5CDD505-2E9C-101B-9397-08002B2CF9AE}" pid="23" name="TaxKeywordTaxHTField">
    <vt:lpwstr/>
  </property>
  <property fmtid="{D5CDD505-2E9C-101B-9397-08002B2CF9AE}" pid="24" name="RolesCommunitiesProducts">
    <vt:lpwstr/>
  </property>
  <property fmtid="{D5CDD505-2E9C-101B-9397-08002B2CF9AE}" pid="25" name="h08c050cf57c45e9a2587f5512470cb7">
    <vt:lpwstr/>
  </property>
  <property fmtid="{D5CDD505-2E9C-101B-9397-08002B2CF9AE}" pid="26" name="d2290f9241184778a99825fb7cbfb009">
    <vt:lpwstr/>
  </property>
  <property fmtid="{D5CDD505-2E9C-101B-9397-08002B2CF9AE}" pid="27" name="OrganisationsStakeholders">
    <vt:lpwstr/>
  </property>
  <property fmtid="{D5CDD505-2E9C-101B-9397-08002B2CF9AE}" pid="28" name="lcf76f155ced4ddcb4097134ff3c332f">
    <vt:lpwstr/>
  </property>
  <property fmtid="{D5CDD505-2E9C-101B-9397-08002B2CF9AE}" pid="29" name="gf60c2ae95f94fb2b71e8bfbfe015e3f">
    <vt:lpwstr/>
  </property>
  <property fmtid="{D5CDD505-2E9C-101B-9397-08002B2CF9AE}" pid="30" name="SharedWithUsers">
    <vt:lpwstr>236;#Debra Long;#256;#Triona Lenihan</vt:lpwstr>
  </property>
  <property fmtid="{D5CDD505-2E9C-101B-9397-08002B2CF9AE}" pid="31" name="e70b8404ee314c5c9935de9b90c4dab9">
    <vt:lpwstr/>
  </property>
  <property fmtid="{D5CDD505-2E9C-101B-9397-08002B2CF9AE}" pid="32" name="o78b1d2a178d4a3cbe4f7fa3254d68da">
    <vt:lpwstr/>
  </property>
  <property fmtid="{D5CDD505-2E9C-101B-9397-08002B2CF9AE}" pid="33" name="h5171c5b46ee4a5389e7dcf055796012">
    <vt:lpwstr/>
  </property>
  <property fmtid="{D5CDD505-2E9C-101B-9397-08002B2CF9AE}" pid="34" name="c3f5b217e01c4ffdbac5137de6c0f113">
    <vt:lpwstr/>
  </property>
  <property fmtid="{D5CDD505-2E9C-101B-9397-08002B2CF9AE}" pid="35" name="aca77e1b737b4c7ba3a234beb437bc8f">
    <vt:lpwstr/>
  </property>
  <property fmtid="{D5CDD505-2E9C-101B-9397-08002B2CF9AE}" pid="36" name="oc8bc204536e4c44afb14be34eb7b607">
    <vt:lpwstr/>
  </property>
  <property fmtid="{D5CDD505-2E9C-101B-9397-08002B2CF9AE}" pid="37" name="TaxCatchAll">
    <vt:lpwstr/>
  </property>
</Properties>
</file>