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8"/>
        <w:rPr>
          <w:rFonts w:ascii="Times New Roman"/>
          <w:sz w:val="23"/>
        </w:rPr>
      </w:pPr>
    </w:p>
    <w:p>
      <w:pPr>
        <w:pStyle w:val="BodyText"/>
        <w:ind w:left="-1"/>
        <w:rPr>
          <w:rFonts w:ascii="Times New Roman"/>
          <w:sz w:val="20"/>
        </w:rPr>
      </w:pPr>
      <w:r>
        <w:rPr>
          <w:rFonts w:ascii="Times New Roman"/>
          <w:sz w:val="20"/>
        </w:rPr>
        <w:pict>
          <v:group style="width:453.75pt;height:253.5pt;mso-position-horizontal-relative:char;mso-position-vertical-relative:line" coordorigin="0,0" coordsize="9075,5070">
            <v:line style="position:absolute" from="0,5050" to="9075,5050" stroked="true" strokeweight="2pt" strokecolor="#44536a">
              <v:stroke dashstyle="solid"/>
            </v:line>
            <v:line style="position:absolute" from="20,40" to="20,5030" stroked="true" strokeweight="2pt" strokecolor="#44536a">
              <v:stroke dashstyle="solid"/>
            </v:line>
            <v:line style="position:absolute" from="0,20" to="9075,20" stroked="true" strokeweight="2pt" strokecolor="#44536a">
              <v:stroke dashstyle="solid"/>
            </v:line>
            <v:line style="position:absolute" from="9055,39" to="9055,5029" stroked="true" strokeweight="2pt" strokecolor="#44536a">
              <v:stroke dashstyle="solid"/>
            </v:line>
            <v:shape style="position:absolute;left:100;top:100;width:8875;height:4870" type="#_x0000_t202" filled="false" stroked="true" strokeweight="2pt" strokecolor="#44536a">
              <v:textbox inset="0,0,0,0">
                <w:txbxContent>
                  <w:p>
                    <w:pPr>
                      <w:spacing w:line="240" w:lineRule="auto" w:before="7"/>
                      <w:rPr>
                        <w:rFonts w:ascii="Times New Roman"/>
                        <w:sz w:val="59"/>
                      </w:rPr>
                    </w:pPr>
                  </w:p>
                  <w:p>
                    <w:pPr>
                      <w:spacing w:line="242" w:lineRule="auto" w:before="0"/>
                      <w:ind w:left="681" w:right="992" w:firstLine="0"/>
                      <w:jc w:val="center"/>
                      <w:rPr>
                        <w:sz w:val="40"/>
                      </w:rPr>
                    </w:pPr>
                    <w:r>
                      <w:rPr>
                        <w:sz w:val="40"/>
                      </w:rPr>
                      <w:t>IOHRD COALITION SHADOW REPORT- IRAQ 2019, SUBMITTED TO</w:t>
                    </w:r>
                    <w:r>
                      <w:rPr>
                        <w:spacing w:val="88"/>
                        <w:sz w:val="40"/>
                      </w:rPr>
                      <w:t> </w:t>
                    </w:r>
                    <w:r>
                      <w:rPr>
                        <w:sz w:val="40"/>
                      </w:rPr>
                      <w:t>(CEDAW)</w:t>
                    </w:r>
                  </w:p>
                  <w:p>
                    <w:pPr>
                      <w:spacing w:line="242" w:lineRule="auto" w:before="3"/>
                      <w:ind w:left="682" w:right="992" w:firstLine="0"/>
                      <w:jc w:val="center"/>
                      <w:rPr>
                        <w:sz w:val="40"/>
                      </w:rPr>
                    </w:pPr>
                    <w:r>
                      <w:rPr>
                        <w:sz w:val="40"/>
                      </w:rPr>
                      <w:t>THE CONVENTION ON THE ELIMINATION OF ALL FORMS OF DISCRIMINATION AGAINST WOMEN</w:t>
                    </w:r>
                  </w:p>
                  <w:p>
                    <w:pPr>
                      <w:spacing w:line="242" w:lineRule="auto" w:before="1"/>
                      <w:ind w:left="680" w:right="992" w:firstLine="0"/>
                      <w:jc w:val="center"/>
                      <w:rPr>
                        <w:sz w:val="40"/>
                      </w:rPr>
                    </w:pPr>
                    <w:r>
                      <w:rPr>
                        <w:sz w:val="40"/>
                      </w:rPr>
                      <w:t>EXECUTIVE SUMMARY WITH RECOMMENDATIONS</w:t>
                    </w:r>
                  </w:p>
                </w:txbxContent>
              </v:textbox>
              <v:stroke dashstyle="solid"/>
              <w10:wrap type="none"/>
            </v:shape>
          </v:group>
        </w:pict>
      </w:r>
      <w:r>
        <w:rPr>
          <w:rFonts w:ascii="Times New Roman"/>
          <w:sz w:val="20"/>
        </w:rPr>
      </w:r>
    </w:p>
    <w:p>
      <w:pPr>
        <w:spacing w:after="0"/>
        <w:rPr>
          <w:rFonts w:ascii="Times New Roman"/>
          <w:sz w:val="20"/>
        </w:rPr>
        <w:sectPr>
          <w:headerReference w:type="default" r:id="rId5"/>
          <w:footerReference w:type="default" r:id="rId6"/>
          <w:type w:val="continuous"/>
          <w:pgSz w:w="11910" w:h="16840"/>
          <w:pgMar w:header="761" w:footer="1062" w:top="2560" w:bottom="1260" w:left="1380" w:right="1300"/>
          <w:pgNumType w:start="1"/>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4"/>
        <w:rPr>
          <w:rFonts w:ascii="Times New Roman"/>
          <w:sz w:val="19"/>
        </w:rPr>
      </w:pPr>
    </w:p>
    <w:p>
      <w:pPr>
        <w:pStyle w:val="Heading1"/>
        <w:spacing w:before="52"/>
      </w:pPr>
      <w:r>
        <w:rPr>
          <w:color w:val="FF0000"/>
        </w:rPr>
        <w:t>Executive Summary</w:t>
      </w:r>
    </w:p>
    <w:p>
      <w:pPr>
        <w:pStyle w:val="BodyText"/>
        <w:spacing w:before="1"/>
        <w:rPr>
          <w:b/>
          <w:sz w:val="28"/>
        </w:rPr>
      </w:pPr>
    </w:p>
    <w:p>
      <w:pPr>
        <w:pStyle w:val="BodyText"/>
        <w:spacing w:line="360" w:lineRule="auto"/>
        <w:ind w:left="708" w:right="469" w:firstLine="4"/>
        <w:jc w:val="both"/>
      </w:pPr>
      <w:r>
        <w:rPr/>
        <w:t>IOHRD</w:t>
      </w:r>
      <w:r>
        <w:rPr>
          <w:spacing w:val="-12"/>
        </w:rPr>
        <w:t> </w:t>
      </w:r>
      <w:r>
        <w:rPr/>
        <w:t>Coalition</w:t>
      </w:r>
      <w:r>
        <w:rPr>
          <w:spacing w:val="-13"/>
        </w:rPr>
        <w:t> </w:t>
      </w:r>
      <w:r>
        <w:rPr/>
        <w:t>believes</w:t>
      </w:r>
      <w:r>
        <w:rPr>
          <w:spacing w:val="-16"/>
        </w:rPr>
        <w:t> </w:t>
      </w:r>
      <w:r>
        <w:rPr/>
        <w:t>that</w:t>
      </w:r>
      <w:r>
        <w:rPr>
          <w:spacing w:val="-11"/>
        </w:rPr>
        <w:t> </w:t>
      </w:r>
      <w:r>
        <w:rPr/>
        <w:t>improving</w:t>
      </w:r>
      <w:r>
        <w:rPr>
          <w:spacing w:val="-14"/>
        </w:rPr>
        <w:t> </w:t>
      </w:r>
      <w:r>
        <w:rPr/>
        <w:t>the</w:t>
      </w:r>
      <w:r>
        <w:rPr>
          <w:spacing w:val="-14"/>
        </w:rPr>
        <w:t> </w:t>
      </w:r>
      <w:r>
        <w:rPr/>
        <w:t>reality</w:t>
      </w:r>
      <w:r>
        <w:rPr>
          <w:spacing w:val="-12"/>
        </w:rPr>
        <w:t> </w:t>
      </w:r>
      <w:r>
        <w:rPr/>
        <w:t>of</w:t>
      </w:r>
      <w:r>
        <w:rPr>
          <w:spacing w:val="-13"/>
        </w:rPr>
        <w:t> </w:t>
      </w:r>
      <w:r>
        <w:rPr/>
        <w:t>women</w:t>
      </w:r>
      <w:r>
        <w:rPr>
          <w:spacing w:val="-12"/>
        </w:rPr>
        <w:t> </w:t>
      </w:r>
      <w:r>
        <w:rPr/>
        <w:t>is</w:t>
      </w:r>
      <w:r>
        <w:rPr>
          <w:spacing w:val="-15"/>
        </w:rPr>
        <w:t> </w:t>
      </w:r>
      <w:r>
        <w:rPr/>
        <w:t>an</w:t>
      </w:r>
      <w:r>
        <w:rPr>
          <w:spacing w:val="-12"/>
        </w:rPr>
        <w:t> </w:t>
      </w:r>
      <w:r>
        <w:rPr/>
        <w:t>imperative</w:t>
      </w:r>
      <w:r>
        <w:rPr>
          <w:spacing w:val="-12"/>
        </w:rPr>
        <w:t> </w:t>
      </w:r>
      <w:r>
        <w:rPr/>
        <w:t>need to reform any society. Integration based on equality between women and men leads</w:t>
      </w:r>
      <w:r>
        <w:rPr>
          <w:spacing w:val="-12"/>
        </w:rPr>
        <w:t> </w:t>
      </w:r>
      <w:r>
        <w:rPr/>
        <w:t>to</w:t>
      </w:r>
      <w:r>
        <w:rPr>
          <w:spacing w:val="-12"/>
        </w:rPr>
        <w:t> </w:t>
      </w:r>
      <w:r>
        <w:rPr/>
        <w:t>societal</w:t>
      </w:r>
      <w:r>
        <w:rPr>
          <w:spacing w:val="-11"/>
        </w:rPr>
        <w:t> </w:t>
      </w:r>
      <w:r>
        <w:rPr/>
        <w:t>stability</w:t>
      </w:r>
      <w:r>
        <w:rPr>
          <w:spacing w:val="-13"/>
        </w:rPr>
        <w:t> </w:t>
      </w:r>
      <w:r>
        <w:rPr/>
        <w:t>and</w:t>
      </w:r>
      <w:r>
        <w:rPr>
          <w:spacing w:val="-10"/>
        </w:rPr>
        <w:t> </w:t>
      </w:r>
      <w:r>
        <w:rPr/>
        <w:t>results</w:t>
      </w:r>
      <w:r>
        <w:rPr>
          <w:spacing w:val="-10"/>
        </w:rPr>
        <w:t> </w:t>
      </w:r>
      <w:r>
        <w:rPr/>
        <w:t>in</w:t>
      </w:r>
      <w:r>
        <w:rPr>
          <w:spacing w:val="-11"/>
        </w:rPr>
        <w:t> </w:t>
      </w:r>
      <w:r>
        <w:rPr/>
        <w:t>a</w:t>
      </w:r>
      <w:r>
        <w:rPr>
          <w:spacing w:val="-11"/>
        </w:rPr>
        <w:t> </w:t>
      </w:r>
      <w:r>
        <w:rPr/>
        <w:t>productive</w:t>
      </w:r>
      <w:r>
        <w:rPr>
          <w:spacing w:val="-9"/>
        </w:rPr>
        <w:t> </w:t>
      </w:r>
      <w:r>
        <w:rPr/>
        <w:t>and</w:t>
      </w:r>
      <w:r>
        <w:rPr>
          <w:spacing w:val="-9"/>
        </w:rPr>
        <w:t> </w:t>
      </w:r>
      <w:r>
        <w:rPr/>
        <w:t>conscious</w:t>
      </w:r>
      <w:r>
        <w:rPr>
          <w:spacing w:val="-11"/>
        </w:rPr>
        <w:t> </w:t>
      </w:r>
      <w:r>
        <w:rPr/>
        <w:t>relationship</w:t>
      </w:r>
      <w:r>
        <w:rPr>
          <w:spacing w:val="-11"/>
        </w:rPr>
        <w:t> </w:t>
      </w:r>
      <w:r>
        <w:rPr/>
        <w:t>that preserves both the values of the family and society and that any imbalance in this relationship will result in societal dislocation. In our report, in which we adopted monitoring, research and institutional surveys, the report discussed Iraq's obligations under the Convention on the Elimination of All Forms of Discrimination against Women (CEDAW) in elected axes relevant to the activity of the coalition organizations.</w:t>
      </w:r>
    </w:p>
    <w:p>
      <w:pPr>
        <w:pStyle w:val="BodyText"/>
      </w:pPr>
    </w:p>
    <w:p>
      <w:pPr>
        <w:pStyle w:val="BodyText"/>
        <w:tabs>
          <w:tab w:pos="7071" w:val="left" w:leader="none"/>
        </w:tabs>
        <w:spacing w:line="360" w:lineRule="auto" w:before="152"/>
        <w:ind w:left="708" w:right="465" w:firstLine="4"/>
      </w:pPr>
      <w:r>
        <w:rPr>
          <w:b/>
          <w:color w:val="FF0000"/>
        </w:rPr>
        <w:t>A discriminatory legal system that antagonizes women and devotes violation </w:t>
      </w:r>
      <w:r>
        <w:rPr/>
        <w:t>Although Iraq, in accordance with its legal obligation under the provisions of the Convention, is bound to comply with its national legislation with the provisions of the Convention, However, the current and inherited Iraqi legal system</w:t>
      </w:r>
      <w:r>
        <w:rPr>
          <w:position w:val="8"/>
          <w:sz w:val="16"/>
        </w:rPr>
        <w:t>1 </w:t>
      </w:r>
      <w:r>
        <w:rPr/>
        <w:t>has a large number of provisions that include articles that clearly and explicitly contradict the purpose of the Convention and are established for violation in a manner that protects the perpetrator from legal accountability or exempts him from prosecution. The Iraqi Penal Code continues considering that the husband is exercising </w:t>
      </w:r>
      <w:r>
        <w:rPr>
          <w:spacing w:val="12"/>
        </w:rPr>
        <w:t> </w:t>
      </w:r>
      <w:r>
        <w:rPr/>
        <w:t>his </w:t>
      </w:r>
      <w:r>
        <w:rPr>
          <w:spacing w:val="14"/>
        </w:rPr>
        <w:t> </w:t>
      </w:r>
      <w:r>
        <w:rPr/>
        <w:t>right </w:t>
      </w:r>
      <w:r>
        <w:rPr>
          <w:spacing w:val="15"/>
        </w:rPr>
        <w:t> </w:t>
      </w:r>
      <w:r>
        <w:rPr/>
        <w:t>when </w:t>
      </w:r>
      <w:r>
        <w:rPr>
          <w:spacing w:val="15"/>
        </w:rPr>
        <w:t> </w:t>
      </w:r>
      <w:r>
        <w:rPr/>
        <w:t>the </w:t>
      </w:r>
      <w:r>
        <w:rPr>
          <w:spacing w:val="13"/>
        </w:rPr>
        <w:t> </w:t>
      </w:r>
      <w:r>
        <w:rPr/>
        <w:t>husband </w:t>
      </w:r>
      <w:r>
        <w:rPr>
          <w:spacing w:val="14"/>
        </w:rPr>
        <w:t> </w:t>
      </w:r>
      <w:r>
        <w:rPr/>
        <w:t>punishes </w:t>
      </w:r>
      <w:r>
        <w:rPr>
          <w:spacing w:val="14"/>
        </w:rPr>
        <w:t> </w:t>
      </w:r>
      <w:r>
        <w:rPr/>
        <w:t>his </w:t>
      </w:r>
      <w:r>
        <w:rPr>
          <w:spacing w:val="14"/>
        </w:rPr>
        <w:t> </w:t>
      </w:r>
      <w:r>
        <w:rPr/>
        <w:t>wife</w:t>
      </w:r>
      <w:r>
        <w:rPr>
          <w:position w:val="8"/>
          <w:sz w:val="16"/>
        </w:rPr>
        <w:t>2</w:t>
      </w:r>
      <w:r>
        <w:rPr/>
        <w:t>.</w:t>
        <w:tab/>
        <w:t>The act of rape committed by the husband against the wife by the practice</w:t>
      </w:r>
      <w:r>
        <w:rPr>
          <w:position w:val="8"/>
          <w:sz w:val="16"/>
        </w:rPr>
        <w:t>3 </w:t>
      </w:r>
      <w:r>
        <w:rPr/>
        <w:t>of</w:t>
      </w:r>
      <w:r>
        <w:rPr>
          <w:spacing w:val="16"/>
        </w:rPr>
        <w:t> </w:t>
      </w:r>
      <w:r>
        <w:rPr/>
        <w:t>sexual intercourse</w:t>
      </w:r>
    </w:p>
    <w:p>
      <w:pPr>
        <w:pStyle w:val="BodyText"/>
        <w:spacing w:before="7"/>
        <w:rPr>
          <w:sz w:val="28"/>
        </w:rPr>
      </w:pPr>
      <w:r>
        <w:rPr/>
        <w:pict>
          <v:line style="position:absolute;mso-position-horizontal-relative:page;mso-position-vertical-relative:paragraph;z-index:-976;mso-wrap-distance-left:0;mso-wrap-distance-right:0" from="88.584pt,19.848442pt" to="232.604pt,19.848442pt" stroked="true" strokeweight=".83997pt" strokecolor="#000000">
            <v:stroke dashstyle="solid"/>
            <w10:wrap type="topAndBottom"/>
          </v:line>
        </w:pict>
      </w:r>
    </w:p>
    <w:p>
      <w:pPr>
        <w:spacing w:before="76"/>
        <w:ind w:left="708" w:right="611" w:firstLine="4"/>
        <w:jc w:val="left"/>
        <w:rPr>
          <w:sz w:val="20"/>
        </w:rPr>
      </w:pPr>
      <w:r>
        <w:rPr>
          <w:position w:val="7"/>
          <w:sz w:val="13"/>
        </w:rPr>
        <w:t>1 </w:t>
      </w:r>
      <w:r>
        <w:rPr>
          <w:sz w:val="20"/>
        </w:rPr>
        <w:t>Iraq approved its constitution in force in 2005 in a referendum, and the new constitution has adopted many new principles with which the number of pre-2003 laws are in conflict and are still in effect.</w:t>
      </w:r>
    </w:p>
    <w:p>
      <w:pPr>
        <w:spacing w:line="240" w:lineRule="auto" w:before="0"/>
        <w:ind w:left="708" w:right="576" w:firstLine="4"/>
        <w:jc w:val="left"/>
        <w:rPr>
          <w:sz w:val="20"/>
        </w:rPr>
      </w:pPr>
      <w:r>
        <w:rPr>
          <w:position w:val="7"/>
          <w:sz w:val="13"/>
        </w:rPr>
        <w:t>2 </w:t>
      </w:r>
      <w:r>
        <w:rPr>
          <w:sz w:val="20"/>
        </w:rPr>
        <w:t>Article 41 of the Penal Code stipulates that a husband shall discipline his wife in the exercise of a right which shall be exempt from legal liability</w:t>
      </w:r>
    </w:p>
    <w:p>
      <w:pPr>
        <w:spacing w:line="237" w:lineRule="auto" w:before="0"/>
        <w:ind w:left="708" w:right="465" w:firstLine="4"/>
        <w:jc w:val="left"/>
        <w:rPr>
          <w:sz w:val="20"/>
        </w:rPr>
      </w:pPr>
      <w:r>
        <w:rPr>
          <w:position w:val="7"/>
          <w:sz w:val="13"/>
        </w:rPr>
        <w:t>3</w:t>
      </w:r>
      <w:r>
        <w:rPr>
          <w:sz w:val="20"/>
        </w:rPr>
        <w:t>See article 398 of the Iraqi Panel Code No. 111 of 1969, which states: "If a proper marriage is entered into between the perpetrator of a crime set forth in this chapter and the victim, the</w:t>
      </w:r>
    </w:p>
    <w:p>
      <w:pPr>
        <w:spacing w:after="0" w:line="237" w:lineRule="auto"/>
        <w:jc w:val="left"/>
        <w:rPr>
          <w:sz w:val="20"/>
        </w:rPr>
        <w:sectPr>
          <w:pgSz w:w="11910" w:h="16840"/>
          <w:pgMar w:header="761" w:footer="1062" w:top="2560" w:bottom="1260" w:left="1380" w:right="1300"/>
        </w:sectPr>
      </w:pPr>
    </w:p>
    <w:p>
      <w:pPr>
        <w:pStyle w:val="BodyText"/>
        <w:spacing w:before="9"/>
        <w:rPr>
          <w:sz w:val="17"/>
        </w:rPr>
      </w:pPr>
    </w:p>
    <w:p>
      <w:pPr>
        <w:pStyle w:val="BodyText"/>
        <w:spacing w:line="360" w:lineRule="auto" w:before="51"/>
        <w:ind w:left="708" w:right="469"/>
        <w:jc w:val="both"/>
      </w:pPr>
      <w:r>
        <w:rPr/>
        <w:t>by force is still permissible, and the rapist for other rape crimes continues to be rewarded with an exemption from prosecution if he marries the victim. The law rewards and encourages the perpetrators</w:t>
      </w:r>
      <w:r>
        <w:rPr>
          <w:position w:val="8"/>
          <w:sz w:val="16"/>
        </w:rPr>
        <w:t>4 </w:t>
      </w:r>
      <w:r>
        <w:rPr/>
        <w:t>of honor crimes to commit their crimes in</w:t>
      </w:r>
      <w:r>
        <w:rPr>
          <w:spacing w:val="-5"/>
        </w:rPr>
        <w:t> </w:t>
      </w:r>
      <w:r>
        <w:rPr/>
        <w:t>mitigating</w:t>
      </w:r>
      <w:r>
        <w:rPr>
          <w:spacing w:val="-6"/>
        </w:rPr>
        <w:t> </w:t>
      </w:r>
      <w:r>
        <w:rPr/>
        <w:t>circumstances,</w:t>
      </w:r>
      <w:r>
        <w:rPr>
          <w:spacing w:val="-6"/>
        </w:rPr>
        <w:t> </w:t>
      </w:r>
      <w:r>
        <w:rPr/>
        <w:t>and</w:t>
      </w:r>
      <w:r>
        <w:rPr>
          <w:spacing w:val="-7"/>
        </w:rPr>
        <w:t> </w:t>
      </w:r>
      <w:r>
        <w:rPr/>
        <w:t>the</w:t>
      </w:r>
      <w:r>
        <w:rPr>
          <w:spacing w:val="-6"/>
        </w:rPr>
        <w:t> </w:t>
      </w:r>
      <w:r>
        <w:rPr/>
        <w:t>law</w:t>
      </w:r>
      <w:r>
        <w:rPr>
          <w:spacing w:val="-4"/>
        </w:rPr>
        <w:t> </w:t>
      </w:r>
      <w:r>
        <w:rPr/>
        <w:t>is</w:t>
      </w:r>
      <w:r>
        <w:rPr>
          <w:spacing w:val="-6"/>
        </w:rPr>
        <w:t> </w:t>
      </w:r>
      <w:r>
        <w:rPr/>
        <w:t>incapable</w:t>
      </w:r>
      <w:r>
        <w:rPr>
          <w:spacing w:val="-6"/>
        </w:rPr>
        <w:t> </w:t>
      </w:r>
      <w:r>
        <w:rPr/>
        <w:t>if</w:t>
      </w:r>
      <w:r>
        <w:rPr>
          <w:spacing w:val="-8"/>
        </w:rPr>
        <w:t> </w:t>
      </w:r>
      <w:r>
        <w:rPr/>
        <w:t>not</w:t>
      </w:r>
      <w:r>
        <w:rPr>
          <w:spacing w:val="-4"/>
        </w:rPr>
        <w:t> </w:t>
      </w:r>
      <w:r>
        <w:rPr/>
        <w:t>tolerant</w:t>
      </w:r>
      <w:r>
        <w:rPr>
          <w:spacing w:val="-5"/>
        </w:rPr>
        <w:t> </w:t>
      </w:r>
      <w:r>
        <w:rPr/>
        <w:t>of</w:t>
      </w:r>
      <w:r>
        <w:rPr>
          <w:spacing w:val="-5"/>
        </w:rPr>
        <w:t> </w:t>
      </w:r>
      <w:r>
        <w:rPr/>
        <w:t>the</w:t>
      </w:r>
      <w:r>
        <w:rPr>
          <w:spacing w:val="-8"/>
        </w:rPr>
        <w:t> </w:t>
      </w:r>
      <w:r>
        <w:rPr/>
        <w:t>marriage of minors despite its disastrous effects. Women are still in a vulnerable position in marital relationships and the termination conditions of the martial relationships, and prevailing customs continue to be imposed on women, although they constitute physical violence such as circumcision, which is not criminalized by the federal government law. The decisions of the dissolved Revolution Command Council, which equate the victim</w:t>
      </w:r>
      <w:r>
        <w:rPr>
          <w:position w:val="8"/>
          <w:sz w:val="16"/>
        </w:rPr>
        <w:t>5 </w:t>
      </w:r>
      <w:r>
        <w:rPr/>
        <w:t>of human trafficking with the perpetrators of crimes of prostitution, continue to be the same punishment as the tyrant. The Coalition believes that the principles of equality and prevention of violence, which are indicated in the Iraqi Constitution, have become meaningless while these laws continue to be enforced and that all national legislations should be reviewed with a view to repealing all existing legal provisions on the grounds of discrimination against</w:t>
      </w:r>
      <w:r>
        <w:rPr>
          <w:spacing w:val="-8"/>
        </w:rPr>
        <w:t> </w:t>
      </w:r>
      <w:r>
        <w:rPr/>
        <w:t>women</w:t>
      </w:r>
      <w:r>
        <w:rPr>
          <w:spacing w:val="-8"/>
        </w:rPr>
        <w:t> </w:t>
      </w:r>
      <w:r>
        <w:rPr/>
        <w:t>on</w:t>
      </w:r>
      <w:r>
        <w:rPr>
          <w:spacing w:val="-5"/>
        </w:rPr>
        <w:t> </w:t>
      </w:r>
      <w:r>
        <w:rPr/>
        <w:t>grounds</w:t>
      </w:r>
      <w:r>
        <w:rPr>
          <w:spacing w:val="-6"/>
        </w:rPr>
        <w:t> </w:t>
      </w:r>
      <w:r>
        <w:rPr/>
        <w:t>of</w:t>
      </w:r>
      <w:r>
        <w:rPr>
          <w:spacing w:val="-7"/>
        </w:rPr>
        <w:t> </w:t>
      </w:r>
      <w:r>
        <w:rPr/>
        <w:t>sex</w:t>
      </w:r>
      <w:r>
        <w:rPr>
          <w:spacing w:val="-7"/>
        </w:rPr>
        <w:t> </w:t>
      </w:r>
      <w:r>
        <w:rPr/>
        <w:t>(in</w:t>
      </w:r>
      <w:r>
        <w:rPr>
          <w:spacing w:val="-5"/>
        </w:rPr>
        <w:t> </w:t>
      </w:r>
      <w:r>
        <w:rPr/>
        <w:t>civil</w:t>
      </w:r>
      <w:r>
        <w:rPr>
          <w:spacing w:val="-9"/>
        </w:rPr>
        <w:t> </w:t>
      </w:r>
      <w:r>
        <w:rPr/>
        <w:t>laws,</w:t>
      </w:r>
      <w:r>
        <w:rPr>
          <w:spacing w:val="-9"/>
        </w:rPr>
        <w:t> </w:t>
      </w:r>
      <w:r>
        <w:rPr/>
        <w:t>labor</w:t>
      </w:r>
      <w:r>
        <w:rPr>
          <w:spacing w:val="-5"/>
        </w:rPr>
        <w:t> </w:t>
      </w:r>
      <w:r>
        <w:rPr/>
        <w:t>law,</w:t>
      </w:r>
      <w:r>
        <w:rPr>
          <w:spacing w:val="-8"/>
        </w:rPr>
        <w:t> </w:t>
      </w:r>
      <w:r>
        <w:rPr/>
        <w:t>the</w:t>
      </w:r>
      <w:r>
        <w:rPr>
          <w:spacing w:val="-8"/>
        </w:rPr>
        <w:t> </w:t>
      </w:r>
      <w:r>
        <w:rPr/>
        <w:t>Penal</w:t>
      </w:r>
      <w:r>
        <w:rPr>
          <w:spacing w:val="-6"/>
        </w:rPr>
        <w:t> </w:t>
      </w:r>
      <w:r>
        <w:rPr/>
        <w:t>Code</w:t>
      </w:r>
      <w:r>
        <w:rPr>
          <w:spacing w:val="-6"/>
        </w:rPr>
        <w:t> </w:t>
      </w:r>
      <w:r>
        <w:rPr/>
        <w:t>and</w:t>
      </w:r>
      <w:r>
        <w:rPr>
          <w:spacing w:val="-8"/>
        </w:rPr>
        <w:t> </w:t>
      </w:r>
      <w:r>
        <w:rPr/>
        <w:t>other relevant laws) and this request becomes an urgent</w:t>
      </w:r>
      <w:r>
        <w:rPr>
          <w:spacing w:val="-4"/>
        </w:rPr>
        <w:t> </w:t>
      </w:r>
      <w:r>
        <w:rPr/>
        <w:t>requirement.</w:t>
      </w:r>
    </w:p>
    <w:p>
      <w:pPr>
        <w:pStyle w:val="BodyText"/>
        <w:spacing w:before="11"/>
        <w:rPr>
          <w:sz w:val="35"/>
        </w:rPr>
      </w:pPr>
    </w:p>
    <w:p>
      <w:pPr>
        <w:pStyle w:val="Heading1"/>
      </w:pPr>
      <w:r>
        <w:rPr>
          <w:color w:val="FF0000"/>
        </w:rPr>
        <w:t>Incomplete strategy to eliminate human trafficking</w:t>
      </w:r>
    </w:p>
    <w:p>
      <w:pPr>
        <w:pStyle w:val="BodyText"/>
        <w:spacing w:line="360" w:lineRule="auto" w:before="168"/>
        <w:ind w:left="708" w:right="473" w:firstLine="4"/>
        <w:jc w:val="both"/>
      </w:pPr>
      <w:r>
        <w:rPr/>
        <w:t>Despite</w:t>
      </w:r>
      <w:r>
        <w:rPr>
          <w:spacing w:val="-14"/>
        </w:rPr>
        <w:t> </w:t>
      </w:r>
      <w:r>
        <w:rPr/>
        <w:t>Iraq's</w:t>
      </w:r>
      <w:r>
        <w:rPr>
          <w:spacing w:val="-14"/>
        </w:rPr>
        <w:t> </w:t>
      </w:r>
      <w:r>
        <w:rPr/>
        <w:t>adoption</w:t>
      </w:r>
      <w:r>
        <w:rPr>
          <w:spacing w:val="-14"/>
        </w:rPr>
        <w:t> </w:t>
      </w:r>
      <w:r>
        <w:rPr/>
        <w:t>of</w:t>
      </w:r>
      <w:r>
        <w:rPr>
          <w:spacing w:val="-13"/>
        </w:rPr>
        <w:t> </w:t>
      </w:r>
      <w:r>
        <w:rPr/>
        <w:t>a</w:t>
      </w:r>
      <w:r>
        <w:rPr>
          <w:spacing w:val="-13"/>
        </w:rPr>
        <w:t> </w:t>
      </w:r>
      <w:r>
        <w:rPr/>
        <w:t>law</w:t>
      </w:r>
      <w:r>
        <w:rPr>
          <w:spacing w:val="-16"/>
        </w:rPr>
        <w:t> </w:t>
      </w:r>
      <w:r>
        <w:rPr/>
        <w:t>on</w:t>
      </w:r>
      <w:r>
        <w:rPr>
          <w:spacing w:val="-14"/>
        </w:rPr>
        <w:t> </w:t>
      </w:r>
      <w:r>
        <w:rPr/>
        <w:t>human</w:t>
      </w:r>
      <w:r>
        <w:rPr>
          <w:spacing w:val="-13"/>
        </w:rPr>
        <w:t> </w:t>
      </w:r>
      <w:r>
        <w:rPr/>
        <w:t>trafficking</w:t>
      </w:r>
      <w:r>
        <w:rPr>
          <w:spacing w:val="-15"/>
        </w:rPr>
        <w:t> </w:t>
      </w:r>
      <w:r>
        <w:rPr/>
        <w:t>in</w:t>
      </w:r>
      <w:r>
        <w:rPr>
          <w:spacing w:val="-12"/>
        </w:rPr>
        <w:t> </w:t>
      </w:r>
      <w:r>
        <w:rPr/>
        <w:t>2012</w:t>
      </w:r>
      <w:r>
        <w:rPr>
          <w:spacing w:val="-13"/>
        </w:rPr>
        <w:t> </w:t>
      </w:r>
      <w:r>
        <w:rPr/>
        <w:t>and</w:t>
      </w:r>
      <w:r>
        <w:rPr>
          <w:spacing w:val="-16"/>
        </w:rPr>
        <w:t> </w:t>
      </w:r>
      <w:r>
        <w:rPr/>
        <w:t>the</w:t>
      </w:r>
      <w:r>
        <w:rPr>
          <w:spacing w:val="-15"/>
        </w:rPr>
        <w:t> </w:t>
      </w:r>
      <w:r>
        <w:rPr/>
        <w:t>establishment of the Central Commission against Human Trafficking, the practical reality is that the adoption of a strategy focusing on prosecution, punishment, prevention and the</w:t>
      </w:r>
      <w:r>
        <w:rPr>
          <w:spacing w:val="-13"/>
        </w:rPr>
        <w:t> </w:t>
      </w:r>
      <w:r>
        <w:rPr/>
        <w:t>strengthening</w:t>
      </w:r>
      <w:r>
        <w:rPr>
          <w:spacing w:val="-13"/>
        </w:rPr>
        <w:t> </w:t>
      </w:r>
      <w:r>
        <w:rPr/>
        <w:t>of</w:t>
      </w:r>
      <w:r>
        <w:rPr>
          <w:spacing w:val="-11"/>
        </w:rPr>
        <w:t> </w:t>
      </w:r>
      <w:r>
        <w:rPr/>
        <w:t>international</w:t>
      </w:r>
      <w:r>
        <w:rPr>
          <w:spacing w:val="-13"/>
        </w:rPr>
        <w:t> </w:t>
      </w:r>
      <w:r>
        <w:rPr/>
        <w:t>cooperation</w:t>
      </w:r>
      <w:r>
        <w:rPr>
          <w:spacing w:val="-11"/>
        </w:rPr>
        <w:t> </w:t>
      </w:r>
      <w:r>
        <w:rPr/>
        <w:t>in</w:t>
      </w:r>
      <w:r>
        <w:rPr>
          <w:spacing w:val="-13"/>
        </w:rPr>
        <w:t> </w:t>
      </w:r>
      <w:r>
        <w:rPr/>
        <w:t>this</w:t>
      </w:r>
      <w:r>
        <w:rPr>
          <w:spacing w:val="-13"/>
        </w:rPr>
        <w:t> </w:t>
      </w:r>
      <w:r>
        <w:rPr/>
        <w:t>direction</w:t>
      </w:r>
      <w:r>
        <w:rPr>
          <w:spacing w:val="-11"/>
        </w:rPr>
        <w:t> </w:t>
      </w:r>
      <w:r>
        <w:rPr/>
        <w:t>without</w:t>
      </w:r>
      <w:r>
        <w:rPr>
          <w:spacing w:val="-14"/>
        </w:rPr>
        <w:t> </w:t>
      </w:r>
      <w:r>
        <w:rPr/>
        <w:t>focusing</w:t>
      </w:r>
      <w:r>
        <w:rPr>
          <w:spacing w:val="-12"/>
        </w:rPr>
        <w:t> </w:t>
      </w:r>
      <w:r>
        <w:rPr/>
        <w:t>on justice,</w:t>
      </w:r>
      <w:r>
        <w:rPr>
          <w:spacing w:val="5"/>
        </w:rPr>
        <w:t> </w:t>
      </w:r>
      <w:r>
        <w:rPr/>
        <w:t>rehabilitation</w:t>
      </w:r>
      <w:r>
        <w:rPr>
          <w:spacing w:val="6"/>
        </w:rPr>
        <w:t> </w:t>
      </w:r>
      <w:r>
        <w:rPr/>
        <w:t>and</w:t>
      </w:r>
      <w:r>
        <w:rPr>
          <w:spacing w:val="8"/>
        </w:rPr>
        <w:t> </w:t>
      </w:r>
      <w:r>
        <w:rPr/>
        <w:t>reintegration</w:t>
      </w:r>
      <w:r>
        <w:rPr>
          <w:spacing w:val="8"/>
        </w:rPr>
        <w:t> </w:t>
      </w:r>
      <w:r>
        <w:rPr/>
        <w:t>of</w:t>
      </w:r>
      <w:r>
        <w:rPr>
          <w:spacing w:val="8"/>
        </w:rPr>
        <w:t> </w:t>
      </w:r>
      <w:r>
        <w:rPr/>
        <w:t>victims.</w:t>
      </w:r>
      <w:r>
        <w:rPr>
          <w:spacing w:val="13"/>
        </w:rPr>
        <w:t> </w:t>
      </w:r>
      <w:r>
        <w:rPr/>
        <w:t>Ignoring</w:t>
      </w:r>
      <w:r>
        <w:rPr>
          <w:spacing w:val="5"/>
        </w:rPr>
        <w:t> </w:t>
      </w:r>
      <w:r>
        <w:rPr/>
        <w:t>the</w:t>
      </w:r>
      <w:r>
        <w:rPr>
          <w:spacing w:val="5"/>
        </w:rPr>
        <w:t> </w:t>
      </w:r>
      <w:r>
        <w:rPr/>
        <w:t>need</w:t>
      </w:r>
      <w:r>
        <w:rPr>
          <w:spacing w:val="6"/>
        </w:rPr>
        <w:t> </w:t>
      </w:r>
      <w:r>
        <w:rPr/>
        <w:t>to</w:t>
      </w:r>
      <w:r>
        <w:rPr>
          <w:spacing w:val="6"/>
        </w:rPr>
        <w:t> </w:t>
      </w:r>
      <w:r>
        <w:rPr/>
        <w:t>deal</w:t>
      </w:r>
      <w:r>
        <w:rPr>
          <w:spacing w:val="5"/>
        </w:rPr>
        <w:t> </w:t>
      </w:r>
      <w:r>
        <w:rPr/>
        <w:t>with</w:t>
      </w:r>
    </w:p>
    <w:p>
      <w:pPr>
        <w:pStyle w:val="BodyText"/>
        <w:spacing w:before="5"/>
        <w:rPr>
          <w:sz w:val="20"/>
        </w:rPr>
      </w:pPr>
    </w:p>
    <w:p>
      <w:pPr>
        <w:spacing w:before="59"/>
        <w:ind w:left="708" w:right="474" w:firstLine="0"/>
        <w:jc w:val="both"/>
        <w:rPr>
          <w:sz w:val="20"/>
        </w:rPr>
      </w:pPr>
      <w:r>
        <w:rPr>
          <w:sz w:val="20"/>
        </w:rPr>
        <w:t>proceedings shall be suspended, investigated and other proceedings, and if a judgment has been rendered in the case, the execution of the sentence shall be suspended. Proceedings or execution shall,</w:t>
      </w:r>
      <w:r>
        <w:rPr>
          <w:spacing w:val="-5"/>
          <w:sz w:val="20"/>
        </w:rPr>
        <w:t> </w:t>
      </w:r>
      <w:r>
        <w:rPr>
          <w:sz w:val="20"/>
        </w:rPr>
        <w:t>as</w:t>
      </w:r>
      <w:r>
        <w:rPr>
          <w:spacing w:val="-3"/>
          <w:sz w:val="20"/>
        </w:rPr>
        <w:t> </w:t>
      </w:r>
      <w:r>
        <w:rPr>
          <w:sz w:val="20"/>
        </w:rPr>
        <w:t>the</w:t>
      </w:r>
      <w:r>
        <w:rPr>
          <w:spacing w:val="-5"/>
          <w:sz w:val="20"/>
        </w:rPr>
        <w:t> </w:t>
      </w:r>
      <w:r>
        <w:rPr>
          <w:sz w:val="20"/>
        </w:rPr>
        <w:t>case</w:t>
      </w:r>
      <w:r>
        <w:rPr>
          <w:spacing w:val="-6"/>
          <w:sz w:val="20"/>
        </w:rPr>
        <w:t> </w:t>
      </w:r>
      <w:r>
        <w:rPr>
          <w:sz w:val="20"/>
        </w:rPr>
        <w:t>may</w:t>
      </w:r>
      <w:r>
        <w:rPr>
          <w:spacing w:val="-5"/>
          <w:sz w:val="20"/>
        </w:rPr>
        <w:t> </w:t>
      </w:r>
      <w:r>
        <w:rPr>
          <w:sz w:val="20"/>
        </w:rPr>
        <w:t>be,</w:t>
      </w:r>
      <w:r>
        <w:rPr>
          <w:spacing w:val="-4"/>
          <w:sz w:val="20"/>
        </w:rPr>
        <w:t> </w:t>
      </w:r>
      <w:r>
        <w:rPr>
          <w:sz w:val="20"/>
        </w:rPr>
        <w:t>be</w:t>
      </w:r>
      <w:r>
        <w:rPr>
          <w:spacing w:val="-5"/>
          <w:sz w:val="20"/>
        </w:rPr>
        <w:t> </w:t>
      </w:r>
      <w:r>
        <w:rPr>
          <w:sz w:val="20"/>
        </w:rPr>
        <w:t>resumed</w:t>
      </w:r>
      <w:r>
        <w:rPr>
          <w:spacing w:val="-5"/>
          <w:sz w:val="20"/>
        </w:rPr>
        <w:t> </w:t>
      </w:r>
      <w:r>
        <w:rPr>
          <w:sz w:val="20"/>
        </w:rPr>
        <w:t>if</w:t>
      </w:r>
      <w:r>
        <w:rPr>
          <w:spacing w:val="-5"/>
          <w:sz w:val="20"/>
        </w:rPr>
        <w:t> </w:t>
      </w:r>
      <w:r>
        <w:rPr>
          <w:sz w:val="20"/>
        </w:rPr>
        <w:t>marriage</w:t>
      </w:r>
      <w:r>
        <w:rPr>
          <w:spacing w:val="-5"/>
          <w:sz w:val="20"/>
        </w:rPr>
        <w:t> </w:t>
      </w:r>
      <w:r>
        <w:rPr>
          <w:sz w:val="20"/>
        </w:rPr>
        <w:t>to</w:t>
      </w:r>
      <w:r>
        <w:rPr>
          <w:spacing w:val="-4"/>
          <w:sz w:val="20"/>
        </w:rPr>
        <w:t> </w:t>
      </w:r>
      <w:r>
        <w:rPr>
          <w:sz w:val="20"/>
        </w:rPr>
        <w:t>a</w:t>
      </w:r>
      <w:r>
        <w:rPr>
          <w:spacing w:val="-5"/>
          <w:sz w:val="20"/>
        </w:rPr>
        <w:t> </w:t>
      </w:r>
      <w:r>
        <w:rPr>
          <w:sz w:val="20"/>
        </w:rPr>
        <w:t>divorced</w:t>
      </w:r>
      <w:r>
        <w:rPr>
          <w:spacing w:val="-4"/>
          <w:sz w:val="20"/>
        </w:rPr>
        <w:t> </w:t>
      </w:r>
      <w:r>
        <w:rPr>
          <w:sz w:val="20"/>
        </w:rPr>
        <w:t>spouse</w:t>
      </w:r>
      <w:r>
        <w:rPr>
          <w:spacing w:val="-8"/>
          <w:sz w:val="20"/>
        </w:rPr>
        <w:t> </w:t>
      </w:r>
      <w:r>
        <w:rPr>
          <w:sz w:val="20"/>
        </w:rPr>
        <w:t>ends</w:t>
      </w:r>
      <w:r>
        <w:rPr>
          <w:spacing w:val="-3"/>
          <w:sz w:val="20"/>
        </w:rPr>
        <w:t> </w:t>
      </w:r>
      <w:r>
        <w:rPr>
          <w:sz w:val="20"/>
        </w:rPr>
        <w:t>without</w:t>
      </w:r>
      <w:r>
        <w:rPr>
          <w:spacing w:val="-6"/>
          <w:sz w:val="20"/>
        </w:rPr>
        <w:t> </w:t>
      </w:r>
      <w:r>
        <w:rPr>
          <w:sz w:val="20"/>
        </w:rPr>
        <w:t>lawful</w:t>
      </w:r>
      <w:r>
        <w:rPr>
          <w:spacing w:val="-5"/>
          <w:sz w:val="20"/>
        </w:rPr>
        <w:t> </w:t>
      </w:r>
      <w:r>
        <w:rPr>
          <w:sz w:val="20"/>
        </w:rPr>
        <w:t>cause</w:t>
      </w:r>
      <w:r>
        <w:rPr>
          <w:spacing w:val="-5"/>
          <w:sz w:val="20"/>
        </w:rPr>
        <w:t> </w:t>
      </w:r>
      <w:r>
        <w:rPr>
          <w:sz w:val="20"/>
        </w:rPr>
        <w:t>or a</w:t>
      </w:r>
      <w:r>
        <w:rPr>
          <w:spacing w:val="-4"/>
          <w:sz w:val="20"/>
        </w:rPr>
        <w:t> </w:t>
      </w:r>
      <w:r>
        <w:rPr>
          <w:sz w:val="20"/>
        </w:rPr>
        <w:t>divorce</w:t>
      </w:r>
      <w:r>
        <w:rPr>
          <w:spacing w:val="-5"/>
          <w:sz w:val="20"/>
        </w:rPr>
        <w:t> </w:t>
      </w:r>
      <w:r>
        <w:rPr>
          <w:sz w:val="20"/>
        </w:rPr>
        <w:t>decided</w:t>
      </w:r>
      <w:r>
        <w:rPr>
          <w:spacing w:val="-3"/>
          <w:sz w:val="20"/>
        </w:rPr>
        <w:t> </w:t>
      </w:r>
      <w:r>
        <w:rPr>
          <w:sz w:val="20"/>
        </w:rPr>
        <w:t>by</w:t>
      </w:r>
      <w:r>
        <w:rPr>
          <w:spacing w:val="-4"/>
          <w:sz w:val="20"/>
        </w:rPr>
        <w:t> </w:t>
      </w:r>
      <w:r>
        <w:rPr>
          <w:sz w:val="20"/>
        </w:rPr>
        <w:t>the</w:t>
      </w:r>
      <w:r>
        <w:rPr>
          <w:spacing w:val="-2"/>
          <w:sz w:val="20"/>
        </w:rPr>
        <w:t> </w:t>
      </w:r>
      <w:r>
        <w:rPr>
          <w:sz w:val="20"/>
        </w:rPr>
        <w:t>Court</w:t>
      </w:r>
      <w:r>
        <w:rPr>
          <w:spacing w:val="-4"/>
          <w:sz w:val="20"/>
        </w:rPr>
        <w:t> </w:t>
      </w:r>
      <w:r>
        <w:rPr>
          <w:sz w:val="20"/>
        </w:rPr>
        <w:t>for</w:t>
      </w:r>
      <w:r>
        <w:rPr>
          <w:spacing w:val="-3"/>
          <w:sz w:val="20"/>
        </w:rPr>
        <w:t> </w:t>
      </w:r>
      <w:r>
        <w:rPr>
          <w:sz w:val="20"/>
        </w:rPr>
        <w:t>reasons</w:t>
      </w:r>
      <w:r>
        <w:rPr>
          <w:spacing w:val="-3"/>
          <w:sz w:val="20"/>
        </w:rPr>
        <w:t> </w:t>
      </w:r>
      <w:r>
        <w:rPr>
          <w:sz w:val="20"/>
        </w:rPr>
        <w:t>of</w:t>
      </w:r>
      <w:r>
        <w:rPr>
          <w:spacing w:val="-5"/>
          <w:sz w:val="20"/>
        </w:rPr>
        <w:t> </w:t>
      </w:r>
      <w:r>
        <w:rPr>
          <w:sz w:val="20"/>
        </w:rPr>
        <w:t>husband's</w:t>
      </w:r>
      <w:r>
        <w:rPr>
          <w:spacing w:val="-2"/>
          <w:sz w:val="20"/>
        </w:rPr>
        <w:t> </w:t>
      </w:r>
      <w:r>
        <w:rPr>
          <w:sz w:val="20"/>
        </w:rPr>
        <w:t>fault</w:t>
      </w:r>
      <w:r>
        <w:rPr>
          <w:spacing w:val="-4"/>
          <w:sz w:val="20"/>
        </w:rPr>
        <w:t> </w:t>
      </w:r>
      <w:r>
        <w:rPr>
          <w:sz w:val="20"/>
        </w:rPr>
        <w:t>or</w:t>
      </w:r>
      <w:r>
        <w:rPr>
          <w:spacing w:val="-3"/>
          <w:sz w:val="20"/>
        </w:rPr>
        <w:t> </w:t>
      </w:r>
      <w:r>
        <w:rPr>
          <w:sz w:val="20"/>
        </w:rPr>
        <w:t>misconduct,</w:t>
      </w:r>
      <w:r>
        <w:rPr>
          <w:spacing w:val="-4"/>
          <w:sz w:val="20"/>
        </w:rPr>
        <w:t> </w:t>
      </w:r>
      <w:r>
        <w:rPr>
          <w:sz w:val="20"/>
        </w:rPr>
        <w:t>three</w:t>
      </w:r>
      <w:r>
        <w:rPr>
          <w:spacing w:val="-4"/>
          <w:sz w:val="20"/>
        </w:rPr>
        <w:t> </w:t>
      </w:r>
      <w:r>
        <w:rPr>
          <w:sz w:val="20"/>
        </w:rPr>
        <w:t>years</w:t>
      </w:r>
      <w:r>
        <w:rPr>
          <w:spacing w:val="-3"/>
          <w:sz w:val="20"/>
        </w:rPr>
        <w:t> </w:t>
      </w:r>
      <w:r>
        <w:rPr>
          <w:sz w:val="20"/>
        </w:rPr>
        <w:t>before</w:t>
      </w:r>
      <w:r>
        <w:rPr>
          <w:spacing w:val="-3"/>
          <w:sz w:val="20"/>
        </w:rPr>
        <w:t> </w:t>
      </w:r>
      <w:r>
        <w:rPr>
          <w:sz w:val="20"/>
        </w:rPr>
        <w:t>the stay of the</w:t>
      </w:r>
      <w:r>
        <w:rPr>
          <w:spacing w:val="-4"/>
          <w:sz w:val="20"/>
        </w:rPr>
        <w:t> </w:t>
      </w:r>
      <w:r>
        <w:rPr>
          <w:sz w:val="20"/>
        </w:rPr>
        <w:t>proceedings."</w:t>
      </w:r>
    </w:p>
    <w:p>
      <w:pPr>
        <w:spacing w:line="244" w:lineRule="exact" w:before="0"/>
        <w:ind w:left="713" w:right="0" w:firstLine="0"/>
        <w:jc w:val="both"/>
        <w:rPr>
          <w:sz w:val="20"/>
        </w:rPr>
      </w:pPr>
      <w:r>
        <w:rPr>
          <w:position w:val="7"/>
          <w:sz w:val="13"/>
        </w:rPr>
        <w:t>4 </w:t>
      </w:r>
      <w:r>
        <w:rPr>
          <w:sz w:val="20"/>
        </w:rPr>
        <w:t>See article 409 Iraqi Panel Code No. 111 of 1969.</w:t>
      </w:r>
    </w:p>
    <w:p>
      <w:pPr>
        <w:spacing w:line="243" w:lineRule="exact" w:before="0"/>
        <w:ind w:left="713" w:right="0" w:firstLine="0"/>
        <w:jc w:val="both"/>
        <w:rPr>
          <w:sz w:val="20"/>
        </w:rPr>
      </w:pPr>
      <w:r>
        <w:rPr>
          <w:sz w:val="20"/>
        </w:rPr>
        <w:t>5 See Revolution Command Council Resolution 234 in 2001</w:t>
      </w:r>
    </w:p>
    <w:p>
      <w:pPr>
        <w:spacing w:after="0" w:line="243" w:lineRule="exact"/>
        <w:jc w:val="both"/>
        <w:rPr>
          <w:sz w:val="20"/>
        </w:rPr>
        <w:sectPr>
          <w:footerReference w:type="default" r:id="rId7"/>
          <w:pgSz w:w="11910" w:h="16840"/>
          <w:pgMar w:footer="1139" w:header="761" w:top="2560" w:bottom="1320" w:left="1380" w:right="1300"/>
        </w:sectPr>
      </w:pPr>
    </w:p>
    <w:p>
      <w:pPr>
        <w:pStyle w:val="BodyText"/>
        <w:spacing w:before="9"/>
        <w:rPr>
          <w:sz w:val="17"/>
        </w:rPr>
      </w:pPr>
    </w:p>
    <w:p>
      <w:pPr>
        <w:pStyle w:val="BodyText"/>
        <w:spacing w:line="360" w:lineRule="auto" w:before="51"/>
        <w:ind w:left="708" w:right="469"/>
        <w:jc w:val="both"/>
      </w:pPr>
      <w:r>
        <w:rPr/>
        <w:t>the crime of human trafficking by adopting a multi-level approach that focuses on ensuring human rights protection as well as combating crime, criminal justice, migration and labor, they demonstrate the absence of the central role of the Central Commission against Trafficking and the lack of victim-equity initiatives for government support and financial resources, not to mention the absence of action to address the root causes of trafficking such as the spread of poverty, gender discrimination, terrorism, corruption, armed conflicts, illegal migration, cheap labor, sex tourism.</w:t>
      </w:r>
    </w:p>
    <w:p>
      <w:pPr>
        <w:pStyle w:val="Heading1"/>
        <w:spacing w:line="362" w:lineRule="auto" w:before="21"/>
        <w:ind w:left="708" w:right="924" w:firstLine="4"/>
      </w:pPr>
      <w:r>
        <w:rPr>
          <w:color w:val="FF0000"/>
        </w:rPr>
        <w:t>Stereotyping and practices based on stereotyped roles for women in society supported by a male culture of management</w:t>
      </w:r>
    </w:p>
    <w:p>
      <w:pPr>
        <w:pStyle w:val="BodyText"/>
        <w:spacing w:line="360" w:lineRule="auto" w:before="15"/>
        <w:ind w:left="708" w:right="468" w:firstLine="4"/>
        <w:jc w:val="both"/>
      </w:pPr>
      <w:r>
        <w:rPr>
          <w:sz w:val="22"/>
        </w:rPr>
        <w:t>The observer for the situation of women in Iraq and women’s participation </w:t>
      </w:r>
      <w:r>
        <w:rPr/>
        <w:t>in public and political life would not take a long time to discover the male nature of society in Iraq, the systematic exclusion of women from the authority of political, administrative, economic and social decision, and a reality that devotes stereotyped images that put women in stereotyped forms and support the continuation of male domination. The full and equal participation of women in decision-making in all spheres of public and political life remains elusive, and women have not benefited from the legally established quotas of representation to play their hoped-for role all Iraqi state authorities and leadership positions are totally free of women! In the cabinet there were no women for the first time after 2003! the Ministry of Women had been abolished, women's representation had been reduced in the Office of the High Commissioner for Human Rights and their lack</w:t>
      </w:r>
      <w:r>
        <w:rPr>
          <w:spacing w:val="-9"/>
        </w:rPr>
        <w:t> </w:t>
      </w:r>
      <w:r>
        <w:rPr/>
        <w:t>of</w:t>
      </w:r>
      <w:r>
        <w:rPr>
          <w:spacing w:val="-7"/>
        </w:rPr>
        <w:t> </w:t>
      </w:r>
      <w:r>
        <w:rPr/>
        <w:t>representation</w:t>
      </w:r>
      <w:r>
        <w:rPr>
          <w:spacing w:val="-6"/>
        </w:rPr>
        <w:t> </w:t>
      </w:r>
      <w:r>
        <w:rPr/>
        <w:t>in</w:t>
      </w:r>
      <w:r>
        <w:rPr>
          <w:spacing w:val="-9"/>
        </w:rPr>
        <w:t> </w:t>
      </w:r>
      <w:r>
        <w:rPr/>
        <w:t>the</w:t>
      </w:r>
      <w:r>
        <w:rPr>
          <w:spacing w:val="-7"/>
        </w:rPr>
        <w:t> </w:t>
      </w:r>
      <w:r>
        <w:rPr/>
        <w:t>administration</w:t>
      </w:r>
      <w:r>
        <w:rPr>
          <w:spacing w:val="-8"/>
        </w:rPr>
        <w:t> </w:t>
      </w:r>
      <w:r>
        <w:rPr/>
        <w:t>of</w:t>
      </w:r>
      <w:r>
        <w:rPr>
          <w:spacing w:val="-8"/>
        </w:rPr>
        <w:t> </w:t>
      </w:r>
      <w:r>
        <w:rPr/>
        <w:t>the</w:t>
      </w:r>
      <w:r>
        <w:rPr>
          <w:spacing w:val="-9"/>
        </w:rPr>
        <w:t> </w:t>
      </w:r>
      <w:r>
        <w:rPr/>
        <w:t>Electoral</w:t>
      </w:r>
      <w:r>
        <w:rPr>
          <w:spacing w:val="-9"/>
        </w:rPr>
        <w:t> </w:t>
      </w:r>
      <w:r>
        <w:rPr/>
        <w:t>Commission.</w:t>
      </w:r>
      <w:r>
        <w:rPr>
          <w:spacing w:val="-8"/>
        </w:rPr>
        <w:t> </w:t>
      </w:r>
      <w:r>
        <w:rPr/>
        <w:t>Statistical surveys have highlighted the fact that women's stereotypes and reality were still nominated to work in education as their first choice Under the title of masculinity in his leading positions and main positions, the Iraqi parliament still has its dominant</w:t>
      </w:r>
      <w:r>
        <w:rPr>
          <w:spacing w:val="-7"/>
        </w:rPr>
        <w:t> </w:t>
      </w:r>
      <w:r>
        <w:rPr/>
        <w:t>masculinity</w:t>
      </w:r>
      <w:r>
        <w:rPr>
          <w:spacing w:val="-7"/>
        </w:rPr>
        <w:t> </w:t>
      </w:r>
      <w:r>
        <w:rPr/>
        <w:t>by</w:t>
      </w:r>
      <w:r>
        <w:rPr>
          <w:spacing w:val="-8"/>
        </w:rPr>
        <w:t> </w:t>
      </w:r>
      <w:r>
        <w:rPr/>
        <w:t>dominating</w:t>
      </w:r>
      <w:r>
        <w:rPr>
          <w:spacing w:val="-8"/>
        </w:rPr>
        <w:t> </w:t>
      </w:r>
      <w:r>
        <w:rPr/>
        <w:t>the</w:t>
      </w:r>
      <w:r>
        <w:rPr>
          <w:spacing w:val="-7"/>
        </w:rPr>
        <w:t> </w:t>
      </w:r>
      <w:r>
        <w:rPr/>
        <w:t>decision</w:t>
      </w:r>
      <w:r>
        <w:rPr>
          <w:spacing w:val="-6"/>
        </w:rPr>
        <w:t> </w:t>
      </w:r>
      <w:r>
        <w:rPr/>
        <w:t>positions</w:t>
      </w:r>
      <w:r>
        <w:rPr>
          <w:spacing w:val="-5"/>
        </w:rPr>
        <w:t> </w:t>
      </w:r>
      <w:r>
        <w:rPr/>
        <w:t>and</w:t>
      </w:r>
      <w:r>
        <w:rPr>
          <w:spacing w:val="-6"/>
        </w:rPr>
        <w:t> </w:t>
      </w:r>
      <w:r>
        <w:rPr/>
        <w:t>committees'</w:t>
      </w:r>
      <w:r>
        <w:rPr>
          <w:spacing w:val="-6"/>
        </w:rPr>
        <w:t> </w:t>
      </w:r>
      <w:r>
        <w:rPr/>
        <w:t>heads in which males are still elected by the political parties and their leaders are</w:t>
      </w:r>
      <w:r>
        <w:rPr>
          <w:spacing w:val="-21"/>
        </w:rPr>
        <w:t> </w:t>
      </w:r>
      <w:r>
        <w:rPr/>
        <w:t>men.</w:t>
      </w:r>
    </w:p>
    <w:p>
      <w:pPr>
        <w:spacing w:after="0" w:line="360" w:lineRule="auto"/>
        <w:jc w:val="both"/>
        <w:sectPr>
          <w:footerReference w:type="default" r:id="rId8"/>
          <w:pgSz w:w="11910" w:h="16840"/>
          <w:pgMar w:footer="1062" w:header="761" w:top="2560" w:bottom="1260" w:left="1380" w:right="1300"/>
          <w:pgNumType w:start="4"/>
        </w:sectPr>
      </w:pPr>
    </w:p>
    <w:p>
      <w:pPr>
        <w:pStyle w:val="BodyText"/>
        <w:rPr>
          <w:sz w:val="20"/>
        </w:rPr>
      </w:pPr>
    </w:p>
    <w:p>
      <w:pPr>
        <w:pStyle w:val="BodyText"/>
        <w:rPr>
          <w:sz w:val="20"/>
        </w:rPr>
      </w:pPr>
    </w:p>
    <w:p>
      <w:pPr>
        <w:pStyle w:val="BodyText"/>
        <w:spacing w:before="6"/>
        <w:rPr>
          <w:sz w:val="15"/>
        </w:rPr>
      </w:pPr>
    </w:p>
    <w:p>
      <w:pPr>
        <w:pStyle w:val="Heading1"/>
        <w:spacing w:line="360" w:lineRule="auto" w:before="51"/>
        <w:ind w:left="708" w:right="603" w:firstLine="4"/>
      </w:pPr>
      <w:r>
        <w:rPr>
          <w:color w:val="FF0000"/>
        </w:rPr>
        <w:t>Various forms of violence against women are matched by non serious solutions for treatment</w:t>
      </w:r>
    </w:p>
    <w:p>
      <w:pPr>
        <w:spacing w:line="360" w:lineRule="auto" w:before="21"/>
        <w:ind w:left="708" w:right="466" w:firstLine="4"/>
        <w:jc w:val="both"/>
        <w:rPr>
          <w:sz w:val="24"/>
        </w:rPr>
      </w:pPr>
      <w:r>
        <w:rPr>
          <w:sz w:val="22"/>
        </w:rPr>
        <w:t>A</w:t>
      </w:r>
      <w:r>
        <w:rPr>
          <w:spacing w:val="-8"/>
          <w:sz w:val="22"/>
        </w:rPr>
        <w:t> </w:t>
      </w:r>
      <w:r>
        <w:rPr>
          <w:sz w:val="22"/>
        </w:rPr>
        <w:t>domestic</w:t>
      </w:r>
      <w:r>
        <w:rPr>
          <w:spacing w:val="-6"/>
          <w:sz w:val="22"/>
        </w:rPr>
        <w:t> </w:t>
      </w:r>
      <w:r>
        <w:rPr>
          <w:sz w:val="22"/>
        </w:rPr>
        <w:t>and</w:t>
      </w:r>
      <w:r>
        <w:rPr>
          <w:spacing w:val="-7"/>
          <w:sz w:val="22"/>
        </w:rPr>
        <w:t> </w:t>
      </w:r>
      <w:r>
        <w:rPr>
          <w:sz w:val="22"/>
        </w:rPr>
        <w:t>international</w:t>
      </w:r>
      <w:r>
        <w:rPr>
          <w:spacing w:val="-7"/>
          <w:sz w:val="22"/>
        </w:rPr>
        <w:t> </w:t>
      </w:r>
      <w:r>
        <w:rPr>
          <w:sz w:val="22"/>
        </w:rPr>
        <w:t>movement</w:t>
      </w:r>
      <w:r>
        <w:rPr>
          <w:spacing w:val="-9"/>
          <w:sz w:val="22"/>
        </w:rPr>
        <w:t> </w:t>
      </w:r>
      <w:r>
        <w:rPr>
          <w:sz w:val="22"/>
        </w:rPr>
        <w:t>that</w:t>
      </w:r>
      <w:r>
        <w:rPr>
          <w:spacing w:val="-9"/>
          <w:sz w:val="22"/>
        </w:rPr>
        <w:t> </w:t>
      </w:r>
      <w:r>
        <w:rPr>
          <w:sz w:val="22"/>
        </w:rPr>
        <w:t>supports,</w:t>
      </w:r>
      <w:r>
        <w:rPr>
          <w:spacing w:val="-6"/>
          <w:sz w:val="22"/>
        </w:rPr>
        <w:t> </w:t>
      </w:r>
      <w:r>
        <w:rPr>
          <w:sz w:val="22"/>
        </w:rPr>
        <w:t>short-term</w:t>
      </w:r>
      <w:r>
        <w:rPr>
          <w:spacing w:val="-8"/>
          <w:sz w:val="22"/>
        </w:rPr>
        <w:t> </w:t>
      </w:r>
      <w:r>
        <w:rPr>
          <w:sz w:val="22"/>
        </w:rPr>
        <w:t>and</w:t>
      </w:r>
      <w:r>
        <w:rPr>
          <w:spacing w:val="-7"/>
          <w:sz w:val="22"/>
        </w:rPr>
        <w:t> </w:t>
      </w:r>
      <w:r>
        <w:rPr>
          <w:sz w:val="22"/>
        </w:rPr>
        <w:t>long-term</w:t>
      </w:r>
      <w:r>
        <w:rPr>
          <w:spacing w:val="-10"/>
          <w:sz w:val="22"/>
        </w:rPr>
        <w:t> </w:t>
      </w:r>
      <w:r>
        <w:rPr>
          <w:sz w:val="22"/>
        </w:rPr>
        <w:t>strategic initiatives and plans to improve the reality of women </w:t>
      </w:r>
      <w:r>
        <w:rPr>
          <w:sz w:val="24"/>
        </w:rPr>
        <w:t>and to combat </w:t>
      </w:r>
      <w:r>
        <w:rPr>
          <w:sz w:val="22"/>
        </w:rPr>
        <w:t>violence directed against them, In fact continues to signal that Iraqi women still face different types and forms of violence (</w:t>
      </w:r>
      <w:r>
        <w:rPr>
          <w:sz w:val="24"/>
        </w:rPr>
        <w:t>family, </w:t>
      </w:r>
      <w:r>
        <w:rPr>
          <w:sz w:val="22"/>
        </w:rPr>
        <w:t>sexual, physical, psychological, institutional). </w:t>
      </w:r>
      <w:r>
        <w:rPr>
          <w:sz w:val="24"/>
        </w:rPr>
        <w:t>The Family Violence</w:t>
      </w:r>
      <w:r>
        <w:rPr>
          <w:spacing w:val="-6"/>
          <w:sz w:val="24"/>
        </w:rPr>
        <w:t> </w:t>
      </w:r>
      <w:r>
        <w:rPr>
          <w:sz w:val="24"/>
        </w:rPr>
        <w:t>Bill</w:t>
      </w:r>
      <w:r>
        <w:rPr>
          <w:spacing w:val="-10"/>
          <w:sz w:val="24"/>
        </w:rPr>
        <w:t> </w:t>
      </w:r>
      <w:r>
        <w:rPr>
          <w:sz w:val="22"/>
        </w:rPr>
        <w:t>has</w:t>
      </w:r>
      <w:r>
        <w:rPr>
          <w:spacing w:val="-6"/>
          <w:sz w:val="22"/>
        </w:rPr>
        <w:t> </w:t>
      </w:r>
      <w:r>
        <w:rPr>
          <w:sz w:val="22"/>
        </w:rPr>
        <w:t>not</w:t>
      </w:r>
      <w:r>
        <w:rPr>
          <w:spacing w:val="-5"/>
          <w:sz w:val="22"/>
        </w:rPr>
        <w:t> </w:t>
      </w:r>
      <w:r>
        <w:rPr>
          <w:sz w:val="22"/>
        </w:rPr>
        <w:t>finalized</w:t>
      </w:r>
      <w:r>
        <w:rPr>
          <w:spacing w:val="-5"/>
          <w:sz w:val="22"/>
        </w:rPr>
        <w:t> </w:t>
      </w:r>
      <w:r>
        <w:rPr>
          <w:sz w:val="22"/>
        </w:rPr>
        <w:t>since</w:t>
      </w:r>
      <w:r>
        <w:rPr>
          <w:spacing w:val="-5"/>
          <w:sz w:val="22"/>
        </w:rPr>
        <w:t> </w:t>
      </w:r>
      <w:r>
        <w:rPr>
          <w:sz w:val="22"/>
        </w:rPr>
        <w:t>2015,</w:t>
      </w:r>
      <w:r>
        <w:rPr>
          <w:spacing w:val="-5"/>
          <w:sz w:val="22"/>
        </w:rPr>
        <w:t> </w:t>
      </w:r>
      <w:r>
        <w:rPr>
          <w:sz w:val="22"/>
        </w:rPr>
        <w:t>and</w:t>
      </w:r>
      <w:r>
        <w:rPr>
          <w:spacing w:val="-6"/>
          <w:sz w:val="22"/>
        </w:rPr>
        <w:t> </w:t>
      </w:r>
      <w:r>
        <w:rPr>
          <w:sz w:val="22"/>
        </w:rPr>
        <w:t>the</w:t>
      </w:r>
      <w:r>
        <w:rPr>
          <w:spacing w:val="-8"/>
          <w:sz w:val="22"/>
        </w:rPr>
        <w:t> </w:t>
      </w:r>
      <w:r>
        <w:rPr>
          <w:sz w:val="22"/>
        </w:rPr>
        <w:t>violated</w:t>
      </w:r>
      <w:r>
        <w:rPr>
          <w:spacing w:val="-6"/>
          <w:sz w:val="22"/>
        </w:rPr>
        <w:t> </w:t>
      </w:r>
      <w:r>
        <w:rPr>
          <w:sz w:val="22"/>
        </w:rPr>
        <w:t>laws</w:t>
      </w:r>
      <w:r>
        <w:rPr>
          <w:spacing w:val="-6"/>
          <w:sz w:val="22"/>
        </w:rPr>
        <w:t> </w:t>
      </w:r>
      <w:r>
        <w:rPr>
          <w:sz w:val="22"/>
        </w:rPr>
        <w:t>devote</w:t>
      </w:r>
      <w:r>
        <w:rPr>
          <w:spacing w:val="-5"/>
          <w:sz w:val="22"/>
        </w:rPr>
        <w:t> </w:t>
      </w:r>
      <w:r>
        <w:rPr>
          <w:sz w:val="22"/>
        </w:rPr>
        <w:t>discrimination</w:t>
      </w:r>
      <w:r>
        <w:rPr>
          <w:spacing w:val="-6"/>
          <w:sz w:val="22"/>
        </w:rPr>
        <w:t> </w:t>
      </w:r>
      <w:r>
        <w:rPr>
          <w:sz w:val="22"/>
        </w:rPr>
        <w:t>and violence against women and still await the committees of the Judiciary Supreme Council that</w:t>
      </w:r>
      <w:r>
        <w:rPr>
          <w:spacing w:val="-6"/>
          <w:sz w:val="22"/>
        </w:rPr>
        <w:t> </w:t>
      </w:r>
      <w:r>
        <w:rPr>
          <w:sz w:val="22"/>
        </w:rPr>
        <w:t>have</w:t>
      </w:r>
      <w:r>
        <w:rPr>
          <w:spacing w:val="-4"/>
          <w:sz w:val="22"/>
        </w:rPr>
        <w:t> </w:t>
      </w:r>
      <w:r>
        <w:rPr>
          <w:sz w:val="22"/>
        </w:rPr>
        <w:t>been</w:t>
      </w:r>
      <w:r>
        <w:rPr>
          <w:spacing w:val="-5"/>
          <w:sz w:val="22"/>
        </w:rPr>
        <w:t> </w:t>
      </w:r>
      <w:r>
        <w:rPr>
          <w:sz w:val="22"/>
        </w:rPr>
        <w:t>formed</w:t>
      </w:r>
      <w:r>
        <w:rPr>
          <w:spacing w:val="-6"/>
          <w:sz w:val="22"/>
        </w:rPr>
        <w:t> </w:t>
      </w:r>
      <w:r>
        <w:rPr>
          <w:sz w:val="22"/>
        </w:rPr>
        <w:t>and</w:t>
      </w:r>
      <w:r>
        <w:rPr>
          <w:spacing w:val="-8"/>
          <w:sz w:val="22"/>
        </w:rPr>
        <w:t> </w:t>
      </w:r>
      <w:r>
        <w:rPr>
          <w:sz w:val="22"/>
        </w:rPr>
        <w:t>which</w:t>
      </w:r>
      <w:r>
        <w:rPr>
          <w:spacing w:val="-6"/>
          <w:sz w:val="22"/>
        </w:rPr>
        <w:t> </w:t>
      </w:r>
      <w:r>
        <w:rPr>
          <w:sz w:val="22"/>
        </w:rPr>
        <w:t>have</w:t>
      </w:r>
      <w:r>
        <w:rPr>
          <w:spacing w:val="-4"/>
          <w:sz w:val="22"/>
        </w:rPr>
        <w:t> </w:t>
      </w:r>
      <w:r>
        <w:rPr>
          <w:sz w:val="22"/>
        </w:rPr>
        <w:t>not</w:t>
      </w:r>
      <w:r>
        <w:rPr>
          <w:spacing w:val="-5"/>
          <w:sz w:val="22"/>
        </w:rPr>
        <w:t> </w:t>
      </w:r>
      <w:r>
        <w:rPr>
          <w:sz w:val="22"/>
        </w:rPr>
        <w:t>been</w:t>
      </w:r>
      <w:r>
        <w:rPr>
          <w:spacing w:val="-5"/>
          <w:sz w:val="22"/>
        </w:rPr>
        <w:t> </w:t>
      </w:r>
      <w:r>
        <w:rPr>
          <w:sz w:val="22"/>
        </w:rPr>
        <w:t>nominated</w:t>
      </w:r>
      <w:r>
        <w:rPr>
          <w:spacing w:val="-5"/>
          <w:sz w:val="22"/>
        </w:rPr>
        <w:t> </w:t>
      </w:r>
      <w:r>
        <w:rPr>
          <w:sz w:val="22"/>
        </w:rPr>
        <w:t>for</w:t>
      </w:r>
      <w:r>
        <w:rPr>
          <w:spacing w:val="-5"/>
          <w:sz w:val="22"/>
        </w:rPr>
        <w:t> </w:t>
      </w:r>
      <w:r>
        <w:rPr>
          <w:sz w:val="22"/>
        </w:rPr>
        <w:t>proposed</w:t>
      </w:r>
      <w:r>
        <w:rPr>
          <w:spacing w:val="-6"/>
          <w:sz w:val="22"/>
        </w:rPr>
        <w:t> </w:t>
      </w:r>
      <w:r>
        <w:rPr>
          <w:sz w:val="22"/>
        </w:rPr>
        <w:t>amendments </w:t>
      </w:r>
      <w:r>
        <w:rPr>
          <w:sz w:val="24"/>
        </w:rPr>
        <w:t>or </w:t>
      </w:r>
      <w:r>
        <w:rPr>
          <w:sz w:val="22"/>
        </w:rPr>
        <w:t>repeal of these laws. Physical violence is still not seriously addressed and marriage contracts for minors exceed 15 thousand annual contracts, one third of</w:t>
      </w:r>
      <w:r>
        <w:rPr>
          <w:sz w:val="22"/>
          <w:vertAlign w:val="superscript"/>
        </w:rPr>
        <w:t>6</w:t>
      </w:r>
      <w:r>
        <w:rPr>
          <w:sz w:val="22"/>
          <w:vertAlign w:val="baseline"/>
        </w:rPr>
        <w:t> </w:t>
      </w:r>
      <w:r>
        <w:rPr>
          <w:sz w:val="24"/>
          <w:vertAlign w:val="baseline"/>
        </w:rPr>
        <w:t>which end with divorce, and the conditions of women in prisons and detention facilities are still inhuman, as women's prisons are overcrowded in same situation as men's prisons in Baghdad, the overcrowding rate in women’s prisons exceed 300%, while the death penalty convicts and their child companions are in very sensitive situations. Violations against women in prisons and detention centers are in inhuman conditions and women in the mentioned facilities suffer from the lack of medical and health services. In protection centers where there are the families of ISIS members, </w:t>
      </w:r>
      <w:r>
        <w:rPr>
          <w:sz w:val="22"/>
          <w:vertAlign w:val="baseline"/>
        </w:rPr>
        <w:t>women </w:t>
      </w:r>
      <w:r>
        <w:rPr>
          <w:sz w:val="24"/>
          <w:vertAlign w:val="baseline"/>
        </w:rPr>
        <w:t>and children also face </w:t>
      </w:r>
      <w:r>
        <w:rPr>
          <w:sz w:val="22"/>
          <w:vertAlign w:val="baseline"/>
        </w:rPr>
        <w:t>harsh conditions in which women pay a tax </w:t>
      </w:r>
      <w:r>
        <w:rPr>
          <w:sz w:val="24"/>
          <w:vertAlign w:val="baseline"/>
        </w:rPr>
        <w:t>of belonging to a family member and there is an absence and weakness of programs for reconciliation and community</w:t>
      </w:r>
      <w:r>
        <w:rPr>
          <w:spacing w:val="1"/>
          <w:sz w:val="24"/>
          <w:vertAlign w:val="baseline"/>
        </w:rPr>
        <w:t> </w:t>
      </w:r>
      <w:r>
        <w:rPr>
          <w:sz w:val="24"/>
          <w:vertAlign w:val="baseline"/>
        </w:rPr>
        <w:t>peace.</w:t>
      </w:r>
    </w:p>
    <w:p>
      <w:pPr>
        <w:pStyle w:val="BodyText"/>
      </w:pPr>
    </w:p>
    <w:p>
      <w:pPr>
        <w:pStyle w:val="BodyText"/>
      </w:pPr>
    </w:p>
    <w:p>
      <w:pPr>
        <w:pStyle w:val="BodyText"/>
        <w:spacing w:before="4"/>
        <w:rPr>
          <w:sz w:val="23"/>
        </w:rPr>
      </w:pPr>
    </w:p>
    <w:p>
      <w:pPr>
        <w:pStyle w:val="Heading1"/>
        <w:jc w:val="both"/>
      </w:pPr>
      <w:r>
        <w:rPr>
          <w:color w:val="FF0000"/>
        </w:rPr>
        <w:t>Education Poor plans and programs in spite of the truth of its entitlement</w:t>
      </w:r>
    </w:p>
    <w:p>
      <w:pPr>
        <w:spacing w:before="166"/>
        <w:ind w:left="713" w:right="0" w:firstLine="0"/>
        <w:jc w:val="both"/>
        <w:rPr>
          <w:sz w:val="22"/>
        </w:rPr>
      </w:pPr>
      <w:r>
        <w:rPr>
          <w:sz w:val="22"/>
        </w:rPr>
        <w:t>The Ministry of Planning statistics show that students who drop out of school in Iraq</w:t>
      </w:r>
      <w:r>
        <w:rPr>
          <w:spacing w:val="17"/>
          <w:sz w:val="22"/>
        </w:rPr>
        <w:t> </w:t>
      </w:r>
      <w:r>
        <w:rPr>
          <w:sz w:val="22"/>
        </w:rPr>
        <w:t>have</w:t>
      </w:r>
    </w:p>
    <w:p>
      <w:pPr>
        <w:pStyle w:val="BodyText"/>
        <w:spacing w:before="134"/>
        <w:ind w:left="708"/>
        <w:jc w:val="both"/>
      </w:pPr>
      <w:r>
        <w:rPr/>
        <w:t>reached</w:t>
      </w:r>
      <w:r>
        <w:rPr>
          <w:spacing w:val="13"/>
        </w:rPr>
        <w:t> </w:t>
      </w:r>
      <w:r>
        <w:rPr/>
        <w:t>131,368</w:t>
      </w:r>
      <w:r>
        <w:rPr>
          <w:spacing w:val="17"/>
        </w:rPr>
        <w:t> </w:t>
      </w:r>
      <w:r>
        <w:rPr/>
        <w:t>students</w:t>
      </w:r>
      <w:r>
        <w:rPr>
          <w:spacing w:val="17"/>
        </w:rPr>
        <w:t> </w:t>
      </w:r>
      <w:r>
        <w:rPr/>
        <w:t>(males</w:t>
      </w:r>
      <w:r>
        <w:rPr>
          <w:spacing w:val="16"/>
        </w:rPr>
        <w:t> </w:t>
      </w:r>
      <w:r>
        <w:rPr/>
        <w:t>and</w:t>
      </w:r>
      <w:r>
        <w:rPr>
          <w:spacing w:val="13"/>
        </w:rPr>
        <w:t> </w:t>
      </w:r>
      <w:r>
        <w:rPr/>
        <w:t>famles)</w:t>
      </w:r>
      <w:r>
        <w:rPr>
          <w:spacing w:val="18"/>
        </w:rPr>
        <w:t> </w:t>
      </w:r>
      <w:r>
        <w:rPr/>
        <w:t>in</w:t>
      </w:r>
      <w:r>
        <w:rPr>
          <w:spacing w:val="14"/>
        </w:rPr>
        <w:t> </w:t>
      </w:r>
      <w:r>
        <w:rPr/>
        <w:t>the</w:t>
      </w:r>
      <w:r>
        <w:rPr>
          <w:spacing w:val="17"/>
        </w:rPr>
        <w:t> </w:t>
      </w:r>
      <w:r>
        <w:rPr/>
        <w:t>academic</w:t>
      </w:r>
      <w:r>
        <w:rPr>
          <w:spacing w:val="15"/>
        </w:rPr>
        <w:t> </w:t>
      </w:r>
      <w:r>
        <w:rPr/>
        <w:t>year</w:t>
      </w:r>
      <w:r>
        <w:rPr>
          <w:spacing w:val="16"/>
        </w:rPr>
        <w:t> </w:t>
      </w:r>
      <w:r>
        <w:rPr/>
        <w:t>2017-2018</w:t>
      </w:r>
      <w:r>
        <w:rPr>
          <w:spacing w:val="17"/>
        </w:rPr>
        <w:t> </w:t>
      </w:r>
      <w:r>
        <w:rPr/>
        <w:t>in</w:t>
      </w:r>
    </w:p>
    <w:p>
      <w:pPr>
        <w:pStyle w:val="BodyText"/>
        <w:spacing w:before="8"/>
        <w:rPr>
          <w:sz w:val="28"/>
        </w:rPr>
      </w:pPr>
      <w:r>
        <w:rPr/>
        <w:pict>
          <v:line style="position:absolute;mso-position-horizontal-relative:page;mso-position-vertical-relative:paragraph;z-index:-952;mso-wrap-distance-left:0;mso-wrap-distance-right:0" from="88.584pt,19.909546pt" to="232.604pt,19.909546pt" stroked="true" strokeweight=".83997pt" strokecolor="#000000">
            <v:stroke dashstyle="solid"/>
            <w10:wrap type="topAndBottom"/>
          </v:line>
        </w:pict>
      </w:r>
    </w:p>
    <w:p>
      <w:pPr>
        <w:spacing w:before="76"/>
        <w:ind w:left="708" w:right="1161" w:firstLine="4"/>
        <w:jc w:val="left"/>
        <w:rPr>
          <w:sz w:val="20"/>
        </w:rPr>
      </w:pPr>
      <w:r>
        <w:rPr>
          <w:position w:val="7"/>
          <w:sz w:val="13"/>
        </w:rPr>
        <w:t>6 </w:t>
      </w:r>
      <w:r>
        <w:rPr>
          <w:sz w:val="20"/>
        </w:rPr>
        <w:t>See monthly statistics of the Judiciary Supreme Council reported to the Office of the High Commissioner for Human Rights</w:t>
      </w:r>
    </w:p>
    <w:p>
      <w:pPr>
        <w:spacing w:after="0"/>
        <w:jc w:val="left"/>
        <w:rPr>
          <w:sz w:val="20"/>
        </w:rPr>
        <w:sectPr>
          <w:pgSz w:w="11910" w:h="16840"/>
          <w:pgMar w:header="761" w:footer="1062" w:top="2560" w:bottom="1260" w:left="1380" w:right="1300"/>
        </w:sectPr>
      </w:pPr>
    </w:p>
    <w:p>
      <w:pPr>
        <w:pStyle w:val="BodyText"/>
        <w:spacing w:before="9"/>
        <w:rPr>
          <w:sz w:val="17"/>
        </w:rPr>
      </w:pPr>
    </w:p>
    <w:p>
      <w:pPr>
        <w:spacing w:line="360" w:lineRule="auto" w:before="51"/>
        <w:ind w:left="708" w:right="465" w:firstLine="0"/>
        <w:jc w:val="both"/>
        <w:rPr>
          <w:sz w:val="22"/>
        </w:rPr>
      </w:pPr>
      <w:r>
        <w:rPr>
          <w:sz w:val="24"/>
        </w:rPr>
        <w:t>the</w:t>
      </w:r>
      <w:r>
        <w:rPr>
          <w:spacing w:val="-10"/>
          <w:sz w:val="24"/>
        </w:rPr>
        <w:t> </w:t>
      </w:r>
      <w:r>
        <w:rPr>
          <w:sz w:val="24"/>
        </w:rPr>
        <w:t>primary</w:t>
      </w:r>
      <w:r>
        <w:rPr>
          <w:spacing w:val="-9"/>
          <w:sz w:val="24"/>
        </w:rPr>
        <w:t> </w:t>
      </w:r>
      <w:r>
        <w:rPr>
          <w:sz w:val="24"/>
        </w:rPr>
        <w:t>schools</w:t>
      </w:r>
      <w:r>
        <w:rPr>
          <w:sz w:val="22"/>
        </w:rPr>
        <w:t>,</w:t>
      </w:r>
      <w:r>
        <w:rPr>
          <w:spacing w:val="-8"/>
          <w:sz w:val="22"/>
        </w:rPr>
        <w:t> </w:t>
      </w:r>
      <w:r>
        <w:rPr>
          <w:sz w:val="22"/>
        </w:rPr>
        <w:t>and</w:t>
      </w:r>
      <w:r>
        <w:rPr>
          <w:spacing w:val="-11"/>
          <w:sz w:val="22"/>
        </w:rPr>
        <w:t> </w:t>
      </w:r>
      <w:r>
        <w:rPr>
          <w:sz w:val="22"/>
        </w:rPr>
        <w:t>other</w:t>
      </w:r>
      <w:r>
        <w:rPr>
          <w:spacing w:val="-9"/>
          <w:sz w:val="22"/>
        </w:rPr>
        <w:t> </w:t>
      </w:r>
      <w:r>
        <w:rPr>
          <w:sz w:val="22"/>
        </w:rPr>
        <w:t>numbers</w:t>
      </w:r>
      <w:r>
        <w:rPr>
          <w:spacing w:val="-8"/>
          <w:sz w:val="22"/>
        </w:rPr>
        <w:t> </w:t>
      </w:r>
      <w:r>
        <w:rPr>
          <w:sz w:val="22"/>
        </w:rPr>
        <w:t>collected</w:t>
      </w:r>
      <w:r>
        <w:rPr>
          <w:spacing w:val="-8"/>
          <w:sz w:val="22"/>
        </w:rPr>
        <w:t> </w:t>
      </w:r>
      <w:r>
        <w:rPr>
          <w:sz w:val="22"/>
        </w:rPr>
        <w:t>through</w:t>
      </w:r>
      <w:r>
        <w:rPr>
          <w:spacing w:val="-10"/>
          <w:sz w:val="22"/>
        </w:rPr>
        <w:t> </w:t>
      </w:r>
      <w:r>
        <w:rPr>
          <w:sz w:val="22"/>
        </w:rPr>
        <w:t>official</w:t>
      </w:r>
      <w:r>
        <w:rPr>
          <w:spacing w:val="-9"/>
          <w:sz w:val="22"/>
        </w:rPr>
        <w:t> </w:t>
      </w:r>
      <w:r>
        <w:rPr>
          <w:sz w:val="22"/>
        </w:rPr>
        <w:t>research</w:t>
      </w:r>
      <w:r>
        <w:rPr>
          <w:spacing w:val="-8"/>
          <w:sz w:val="22"/>
        </w:rPr>
        <w:t> </w:t>
      </w:r>
      <w:r>
        <w:rPr>
          <w:sz w:val="22"/>
        </w:rPr>
        <w:t>studies</w:t>
      </w:r>
      <w:r>
        <w:rPr>
          <w:spacing w:val="-9"/>
          <w:sz w:val="22"/>
        </w:rPr>
        <w:t> </w:t>
      </w:r>
      <w:r>
        <w:rPr>
          <w:sz w:val="22"/>
        </w:rPr>
        <w:t>tell</w:t>
      </w:r>
      <w:r>
        <w:rPr>
          <w:spacing w:val="-8"/>
          <w:sz w:val="22"/>
        </w:rPr>
        <w:t> </w:t>
      </w:r>
      <w:r>
        <w:rPr>
          <w:sz w:val="22"/>
        </w:rPr>
        <w:t>us that illiteracy is widespread not only in the society but among the govermental officials in the</w:t>
      </w:r>
      <w:r>
        <w:rPr>
          <w:spacing w:val="-7"/>
          <w:sz w:val="22"/>
        </w:rPr>
        <w:t> </w:t>
      </w:r>
      <w:r>
        <w:rPr>
          <w:sz w:val="22"/>
        </w:rPr>
        <w:t>official</w:t>
      </w:r>
      <w:r>
        <w:rPr>
          <w:spacing w:val="-6"/>
          <w:sz w:val="22"/>
        </w:rPr>
        <w:t> </w:t>
      </w:r>
      <w:r>
        <w:rPr>
          <w:sz w:val="22"/>
        </w:rPr>
        <w:t>govermental</w:t>
      </w:r>
      <w:r>
        <w:rPr>
          <w:spacing w:val="-5"/>
          <w:sz w:val="22"/>
        </w:rPr>
        <w:t> </w:t>
      </w:r>
      <w:r>
        <w:rPr>
          <w:sz w:val="22"/>
        </w:rPr>
        <w:t>institutions,</w:t>
      </w:r>
      <w:r>
        <w:rPr>
          <w:spacing w:val="-8"/>
          <w:sz w:val="22"/>
        </w:rPr>
        <w:t> </w:t>
      </w:r>
      <w:r>
        <w:rPr>
          <w:sz w:val="22"/>
        </w:rPr>
        <w:t>which</w:t>
      </w:r>
      <w:r>
        <w:rPr>
          <w:spacing w:val="-7"/>
          <w:sz w:val="22"/>
        </w:rPr>
        <w:t> </w:t>
      </w:r>
      <w:r>
        <w:rPr>
          <w:sz w:val="22"/>
        </w:rPr>
        <w:t>exceeded</w:t>
      </w:r>
      <w:r>
        <w:rPr>
          <w:spacing w:val="-6"/>
          <w:sz w:val="22"/>
        </w:rPr>
        <w:t> </w:t>
      </w:r>
      <w:r>
        <w:rPr>
          <w:sz w:val="22"/>
        </w:rPr>
        <w:t>half</w:t>
      </w:r>
      <w:r>
        <w:rPr>
          <w:spacing w:val="-4"/>
          <w:sz w:val="22"/>
        </w:rPr>
        <w:t> </w:t>
      </w:r>
      <w:r>
        <w:rPr>
          <w:sz w:val="22"/>
        </w:rPr>
        <w:t>a</w:t>
      </w:r>
      <w:r>
        <w:rPr>
          <w:spacing w:val="-6"/>
          <w:sz w:val="22"/>
        </w:rPr>
        <w:t> </w:t>
      </w:r>
      <w:r>
        <w:rPr>
          <w:sz w:val="22"/>
        </w:rPr>
        <w:t>million</w:t>
      </w:r>
      <w:r>
        <w:rPr>
          <w:spacing w:val="-7"/>
          <w:sz w:val="22"/>
        </w:rPr>
        <w:t> </w:t>
      </w:r>
      <w:r>
        <w:rPr>
          <w:sz w:val="22"/>
        </w:rPr>
        <w:t>employees</w:t>
      </w:r>
      <w:r>
        <w:rPr>
          <w:spacing w:val="-6"/>
          <w:sz w:val="22"/>
        </w:rPr>
        <w:t> </w:t>
      </w:r>
      <w:r>
        <w:rPr>
          <w:sz w:val="22"/>
        </w:rPr>
        <w:t>with </w:t>
      </w:r>
      <w:r>
        <w:rPr>
          <w:sz w:val="24"/>
        </w:rPr>
        <w:t>a</w:t>
      </w:r>
      <w:r>
        <w:rPr>
          <w:spacing w:val="-5"/>
          <w:sz w:val="24"/>
        </w:rPr>
        <w:t> </w:t>
      </w:r>
      <w:r>
        <w:rPr>
          <w:sz w:val="24"/>
        </w:rPr>
        <w:t>total number of 618310 thousand employees, represent one third of the employees in the</w:t>
      </w:r>
      <w:r>
        <w:rPr>
          <w:spacing w:val="-6"/>
          <w:sz w:val="24"/>
        </w:rPr>
        <w:t> </w:t>
      </w:r>
      <w:r>
        <w:rPr>
          <w:sz w:val="24"/>
        </w:rPr>
        <w:t>Iraqi</w:t>
      </w:r>
      <w:r>
        <w:rPr>
          <w:spacing w:val="-5"/>
          <w:sz w:val="24"/>
        </w:rPr>
        <w:t> </w:t>
      </w:r>
      <w:r>
        <w:rPr>
          <w:sz w:val="24"/>
        </w:rPr>
        <w:t>state</w:t>
      </w:r>
      <w:r>
        <w:rPr>
          <w:sz w:val="22"/>
        </w:rPr>
        <w:t>.</w:t>
      </w:r>
      <w:r>
        <w:rPr>
          <w:spacing w:val="-7"/>
          <w:sz w:val="22"/>
        </w:rPr>
        <w:t> </w:t>
      </w:r>
      <w:r>
        <w:rPr>
          <w:sz w:val="22"/>
        </w:rPr>
        <w:t>With</w:t>
      </w:r>
      <w:r>
        <w:rPr>
          <w:spacing w:val="-3"/>
          <w:sz w:val="22"/>
        </w:rPr>
        <w:t> </w:t>
      </w:r>
      <w:r>
        <w:rPr>
          <w:sz w:val="22"/>
        </w:rPr>
        <w:t>the</w:t>
      </w:r>
      <w:r>
        <w:rPr>
          <w:spacing w:val="-6"/>
          <w:sz w:val="22"/>
        </w:rPr>
        <w:t> </w:t>
      </w:r>
      <w:r>
        <w:rPr>
          <w:sz w:val="22"/>
        </w:rPr>
        <w:t>doubling </w:t>
      </w:r>
      <w:r>
        <w:rPr>
          <w:sz w:val="24"/>
        </w:rPr>
        <w:t>of</w:t>
      </w:r>
      <w:r>
        <w:rPr>
          <w:spacing w:val="-5"/>
          <w:sz w:val="24"/>
        </w:rPr>
        <w:t> </w:t>
      </w:r>
      <w:r>
        <w:rPr>
          <w:sz w:val="24"/>
        </w:rPr>
        <w:t>the</w:t>
      </w:r>
      <w:r>
        <w:rPr>
          <w:spacing w:val="-5"/>
          <w:sz w:val="24"/>
        </w:rPr>
        <w:t> </w:t>
      </w:r>
      <w:r>
        <w:rPr>
          <w:sz w:val="24"/>
        </w:rPr>
        <w:t>numbers</w:t>
      </w:r>
      <w:r>
        <w:rPr>
          <w:spacing w:val="-9"/>
          <w:sz w:val="24"/>
        </w:rPr>
        <w:t> </w:t>
      </w:r>
      <w:r>
        <w:rPr>
          <w:sz w:val="22"/>
        </w:rPr>
        <w:t>of</w:t>
      </w:r>
      <w:r>
        <w:rPr>
          <w:spacing w:val="-7"/>
          <w:sz w:val="22"/>
        </w:rPr>
        <w:t> </w:t>
      </w:r>
      <w:r>
        <w:rPr>
          <w:sz w:val="22"/>
        </w:rPr>
        <w:t>schools</w:t>
      </w:r>
      <w:r>
        <w:rPr>
          <w:spacing w:val="-3"/>
          <w:sz w:val="22"/>
        </w:rPr>
        <w:t> </w:t>
      </w:r>
      <w:r>
        <w:rPr>
          <w:sz w:val="22"/>
        </w:rPr>
        <w:t>to</w:t>
      </w:r>
      <w:r>
        <w:rPr>
          <w:spacing w:val="-3"/>
          <w:sz w:val="22"/>
        </w:rPr>
        <w:t> </w:t>
      </w:r>
      <w:r>
        <w:rPr>
          <w:sz w:val="22"/>
        </w:rPr>
        <w:t>be</w:t>
      </w:r>
      <w:r>
        <w:rPr>
          <w:spacing w:val="2"/>
          <w:sz w:val="22"/>
        </w:rPr>
        <w:t> </w:t>
      </w:r>
      <w:r>
        <w:rPr>
          <w:sz w:val="24"/>
        </w:rPr>
        <w:t>established</w:t>
      </w:r>
      <w:r>
        <w:rPr>
          <w:spacing w:val="-7"/>
          <w:sz w:val="24"/>
        </w:rPr>
        <w:t> </w:t>
      </w:r>
      <w:r>
        <w:rPr>
          <w:sz w:val="24"/>
        </w:rPr>
        <w:t>or</w:t>
      </w:r>
      <w:r>
        <w:rPr>
          <w:spacing w:val="-6"/>
          <w:sz w:val="24"/>
        </w:rPr>
        <w:t> </w:t>
      </w:r>
      <w:r>
        <w:rPr>
          <w:sz w:val="22"/>
        </w:rPr>
        <w:t>those to be rehabilitated, this hinders the plans to face </w:t>
      </w:r>
      <w:r>
        <w:rPr>
          <w:sz w:val="24"/>
        </w:rPr>
        <w:t>illiteracy </w:t>
      </w:r>
      <w:r>
        <w:rPr>
          <w:sz w:val="22"/>
        </w:rPr>
        <w:t>in Iraq and to support the chances</w:t>
      </w:r>
      <w:r>
        <w:rPr>
          <w:spacing w:val="-8"/>
          <w:sz w:val="22"/>
        </w:rPr>
        <w:t> </w:t>
      </w:r>
      <w:r>
        <w:rPr>
          <w:sz w:val="22"/>
        </w:rPr>
        <w:t>of</w:t>
      </w:r>
      <w:r>
        <w:rPr>
          <w:spacing w:val="-7"/>
          <w:sz w:val="22"/>
        </w:rPr>
        <w:t> </w:t>
      </w:r>
      <w:r>
        <w:rPr>
          <w:sz w:val="22"/>
        </w:rPr>
        <w:t>women</w:t>
      </w:r>
      <w:r>
        <w:rPr>
          <w:spacing w:val="-8"/>
          <w:sz w:val="22"/>
        </w:rPr>
        <w:t> </w:t>
      </w:r>
      <w:r>
        <w:rPr>
          <w:sz w:val="22"/>
        </w:rPr>
        <w:t>as</w:t>
      </w:r>
      <w:r>
        <w:rPr>
          <w:spacing w:val="-7"/>
          <w:sz w:val="22"/>
        </w:rPr>
        <w:t> </w:t>
      </w:r>
      <w:r>
        <w:rPr>
          <w:sz w:val="22"/>
        </w:rPr>
        <w:t>men</w:t>
      </w:r>
      <w:r>
        <w:rPr>
          <w:spacing w:val="-7"/>
          <w:sz w:val="22"/>
        </w:rPr>
        <w:t> </w:t>
      </w:r>
      <w:r>
        <w:rPr>
          <w:sz w:val="22"/>
        </w:rPr>
        <w:t>to</w:t>
      </w:r>
      <w:r>
        <w:rPr>
          <w:spacing w:val="-6"/>
          <w:sz w:val="22"/>
        </w:rPr>
        <w:t> </w:t>
      </w:r>
      <w:r>
        <w:rPr>
          <w:sz w:val="22"/>
        </w:rPr>
        <w:t>get</w:t>
      </w:r>
      <w:r>
        <w:rPr>
          <w:spacing w:val="-6"/>
          <w:sz w:val="22"/>
        </w:rPr>
        <w:t> </w:t>
      </w:r>
      <w:r>
        <w:rPr>
          <w:sz w:val="22"/>
        </w:rPr>
        <w:t>their</w:t>
      </w:r>
      <w:r>
        <w:rPr>
          <w:spacing w:val="-8"/>
          <w:sz w:val="22"/>
        </w:rPr>
        <w:t> </w:t>
      </w:r>
      <w:r>
        <w:rPr>
          <w:sz w:val="22"/>
        </w:rPr>
        <w:t>right</w:t>
      </w:r>
      <w:r>
        <w:rPr>
          <w:spacing w:val="-6"/>
          <w:sz w:val="22"/>
        </w:rPr>
        <w:t> </w:t>
      </w:r>
      <w:r>
        <w:rPr>
          <w:sz w:val="22"/>
        </w:rPr>
        <w:t>to</w:t>
      </w:r>
      <w:r>
        <w:rPr>
          <w:spacing w:val="-6"/>
          <w:sz w:val="22"/>
        </w:rPr>
        <w:t> </w:t>
      </w:r>
      <w:r>
        <w:rPr>
          <w:sz w:val="22"/>
        </w:rPr>
        <w:t>education.</w:t>
      </w:r>
      <w:r>
        <w:rPr>
          <w:spacing w:val="-6"/>
          <w:sz w:val="22"/>
        </w:rPr>
        <w:t> </w:t>
      </w:r>
      <w:r>
        <w:rPr>
          <w:sz w:val="24"/>
        </w:rPr>
        <w:t>Taking</w:t>
      </w:r>
      <w:r>
        <w:rPr>
          <w:spacing w:val="-11"/>
          <w:sz w:val="24"/>
        </w:rPr>
        <w:t> </w:t>
      </w:r>
      <w:r>
        <w:rPr>
          <w:sz w:val="22"/>
        </w:rPr>
        <w:t>into</w:t>
      </w:r>
      <w:r>
        <w:rPr>
          <w:spacing w:val="-7"/>
          <w:sz w:val="22"/>
        </w:rPr>
        <w:t> </w:t>
      </w:r>
      <w:r>
        <w:rPr>
          <w:sz w:val="22"/>
        </w:rPr>
        <w:t>account</w:t>
      </w:r>
      <w:r>
        <w:rPr>
          <w:spacing w:val="-6"/>
          <w:sz w:val="22"/>
        </w:rPr>
        <w:t> </w:t>
      </w:r>
      <w:r>
        <w:rPr>
          <w:sz w:val="22"/>
        </w:rPr>
        <w:t>the</w:t>
      </w:r>
      <w:r>
        <w:rPr>
          <w:spacing w:val="-5"/>
          <w:sz w:val="22"/>
        </w:rPr>
        <w:t> </w:t>
      </w:r>
      <w:r>
        <w:rPr>
          <w:sz w:val="22"/>
        </w:rPr>
        <w:t>fact</w:t>
      </w:r>
      <w:r>
        <w:rPr>
          <w:spacing w:val="-7"/>
          <w:sz w:val="22"/>
        </w:rPr>
        <w:t> </w:t>
      </w:r>
      <w:r>
        <w:rPr>
          <w:sz w:val="22"/>
        </w:rPr>
        <w:t>that women and girls face more complex situations than males, the need to adopt special initiatives and plans for confrontation is</w:t>
      </w:r>
      <w:r>
        <w:rPr>
          <w:spacing w:val="-8"/>
          <w:sz w:val="22"/>
        </w:rPr>
        <w:t> </w:t>
      </w:r>
      <w:r>
        <w:rPr>
          <w:sz w:val="22"/>
        </w:rPr>
        <w:t>evident.</w:t>
      </w:r>
    </w:p>
    <w:p>
      <w:pPr>
        <w:pStyle w:val="BodyText"/>
        <w:spacing w:line="360" w:lineRule="auto" w:before="22"/>
        <w:ind w:left="708" w:right="502" w:firstLine="4"/>
      </w:pPr>
      <w:r>
        <w:rPr/>
        <w:t>In the framework of this report, IOHRD tries to present realistic recommendations that adopt a logical approach to find best solution that takes into consideration the roots and causes of problems and is consistent with the purposes of the convention, hoping that these recommendations will be accepted by the Iraqi government.</w:t>
      </w:r>
    </w:p>
    <w:p>
      <w:pPr>
        <w:pStyle w:val="Heading1"/>
        <w:spacing w:before="21"/>
      </w:pPr>
      <w:r>
        <w:rPr/>
        <w:t>Recommendations</w:t>
      </w:r>
    </w:p>
    <w:p>
      <w:pPr>
        <w:pStyle w:val="BodyText"/>
        <w:spacing w:before="11"/>
        <w:rPr>
          <w:b/>
          <w:sz w:val="34"/>
        </w:rPr>
      </w:pPr>
    </w:p>
    <w:p>
      <w:pPr>
        <w:spacing w:line="570" w:lineRule="atLeast" w:before="0"/>
        <w:ind w:left="713" w:right="807" w:firstLine="0"/>
        <w:jc w:val="left"/>
        <w:rPr>
          <w:b/>
          <w:sz w:val="24"/>
        </w:rPr>
      </w:pPr>
      <w:r>
        <w:rPr>
          <w:b/>
          <w:sz w:val="24"/>
        </w:rPr>
        <w:t>First: The State party's obligations to eliminate discrimination Article 1, and 2 The Coalition recommends the Iraqi government to:</w:t>
      </w:r>
    </w:p>
    <w:p>
      <w:pPr>
        <w:pStyle w:val="ListParagraph"/>
        <w:numPr>
          <w:ilvl w:val="0"/>
          <w:numId w:val="1"/>
        </w:numPr>
        <w:tabs>
          <w:tab w:pos="1476" w:val="left" w:leader="none"/>
          <w:tab w:pos="1477" w:val="left" w:leader="none"/>
        </w:tabs>
        <w:spacing w:line="240" w:lineRule="auto" w:before="51" w:after="0"/>
        <w:ind w:left="1476" w:right="0" w:hanging="576"/>
        <w:jc w:val="left"/>
        <w:rPr>
          <w:sz w:val="24"/>
        </w:rPr>
      </w:pPr>
      <w:r>
        <w:rPr>
          <w:sz w:val="24"/>
        </w:rPr>
        <w:t>End the Iraqi reservation regarding the articles 2,</w:t>
      </w:r>
      <w:r>
        <w:rPr>
          <w:spacing w:val="-7"/>
          <w:sz w:val="24"/>
        </w:rPr>
        <w:t> </w:t>
      </w:r>
      <w:r>
        <w:rPr>
          <w:sz w:val="24"/>
        </w:rPr>
        <w:t>16.29</w:t>
      </w:r>
    </w:p>
    <w:p>
      <w:pPr>
        <w:pStyle w:val="ListParagraph"/>
        <w:numPr>
          <w:ilvl w:val="0"/>
          <w:numId w:val="1"/>
        </w:numPr>
        <w:tabs>
          <w:tab w:pos="1476" w:val="left" w:leader="none"/>
          <w:tab w:pos="1477" w:val="left" w:leader="none"/>
        </w:tabs>
        <w:spacing w:line="276" w:lineRule="auto" w:before="43" w:after="0"/>
        <w:ind w:left="900" w:right="118" w:firstLine="0"/>
        <w:jc w:val="left"/>
        <w:rPr>
          <w:sz w:val="24"/>
        </w:rPr>
      </w:pPr>
      <w:r>
        <w:rPr>
          <w:sz w:val="24"/>
        </w:rPr>
        <w:t>Ratify and join the Protocol of the Convention on the Provision of Individual Complaints.</w:t>
      </w:r>
    </w:p>
    <w:p>
      <w:pPr>
        <w:pStyle w:val="ListParagraph"/>
        <w:numPr>
          <w:ilvl w:val="0"/>
          <w:numId w:val="1"/>
        </w:numPr>
        <w:tabs>
          <w:tab w:pos="1316" w:val="left" w:leader="none"/>
        </w:tabs>
        <w:spacing w:line="276" w:lineRule="auto" w:before="1" w:after="0"/>
        <w:ind w:left="1260" w:right="470" w:hanging="360"/>
        <w:jc w:val="both"/>
        <w:rPr>
          <w:sz w:val="24"/>
        </w:rPr>
      </w:pPr>
      <w:r>
        <w:rPr/>
        <w:tab/>
      </w:r>
      <w:r>
        <w:rPr>
          <w:sz w:val="24"/>
        </w:rPr>
        <w:t>Take the necessary measures to bring national legislation fully into line with international standards and commitments, in particular take appropriate measures to strengthen and enact the legislative framework for the protection</w:t>
      </w:r>
      <w:r>
        <w:rPr>
          <w:spacing w:val="-6"/>
          <w:sz w:val="24"/>
        </w:rPr>
        <w:t> </w:t>
      </w:r>
      <w:r>
        <w:rPr>
          <w:sz w:val="24"/>
        </w:rPr>
        <w:t>of</w:t>
      </w:r>
      <w:r>
        <w:rPr>
          <w:spacing w:val="-9"/>
          <w:sz w:val="24"/>
        </w:rPr>
        <w:t> </w:t>
      </w:r>
      <w:r>
        <w:rPr>
          <w:sz w:val="24"/>
        </w:rPr>
        <w:t>women's</w:t>
      </w:r>
      <w:r>
        <w:rPr>
          <w:spacing w:val="-8"/>
          <w:sz w:val="24"/>
        </w:rPr>
        <w:t> </w:t>
      </w:r>
      <w:r>
        <w:rPr>
          <w:sz w:val="24"/>
        </w:rPr>
        <w:t>rights</w:t>
      </w:r>
      <w:r>
        <w:rPr>
          <w:spacing w:val="-7"/>
          <w:sz w:val="24"/>
        </w:rPr>
        <w:t> </w:t>
      </w:r>
      <w:r>
        <w:rPr>
          <w:sz w:val="24"/>
        </w:rPr>
        <w:t>and</w:t>
      </w:r>
      <w:r>
        <w:rPr>
          <w:spacing w:val="-9"/>
          <w:sz w:val="24"/>
        </w:rPr>
        <w:t> </w:t>
      </w:r>
      <w:r>
        <w:rPr>
          <w:sz w:val="24"/>
        </w:rPr>
        <w:t>the</w:t>
      </w:r>
      <w:r>
        <w:rPr>
          <w:spacing w:val="-6"/>
          <w:sz w:val="24"/>
        </w:rPr>
        <w:t> </w:t>
      </w:r>
      <w:r>
        <w:rPr>
          <w:sz w:val="24"/>
        </w:rPr>
        <w:t>full</w:t>
      </w:r>
      <w:r>
        <w:rPr>
          <w:spacing w:val="-9"/>
          <w:sz w:val="24"/>
        </w:rPr>
        <w:t> </w:t>
      </w:r>
      <w:r>
        <w:rPr>
          <w:sz w:val="24"/>
        </w:rPr>
        <w:t>implementation</w:t>
      </w:r>
      <w:r>
        <w:rPr>
          <w:spacing w:val="-6"/>
          <w:sz w:val="24"/>
        </w:rPr>
        <w:t> </w:t>
      </w:r>
      <w:r>
        <w:rPr>
          <w:sz w:val="24"/>
        </w:rPr>
        <w:t>of</w:t>
      </w:r>
      <w:r>
        <w:rPr>
          <w:spacing w:val="-9"/>
          <w:sz w:val="24"/>
        </w:rPr>
        <w:t> </w:t>
      </w:r>
      <w:r>
        <w:rPr>
          <w:sz w:val="24"/>
        </w:rPr>
        <w:t>the</w:t>
      </w:r>
      <w:r>
        <w:rPr>
          <w:spacing w:val="-9"/>
          <w:sz w:val="24"/>
        </w:rPr>
        <w:t> </w:t>
      </w:r>
      <w:r>
        <w:rPr>
          <w:sz w:val="24"/>
        </w:rPr>
        <w:t>provisions</w:t>
      </w:r>
      <w:r>
        <w:rPr>
          <w:spacing w:val="-7"/>
          <w:sz w:val="24"/>
        </w:rPr>
        <w:t> </w:t>
      </w:r>
      <w:r>
        <w:rPr>
          <w:sz w:val="24"/>
        </w:rPr>
        <w:t>of the Convention on the Elimination of All Forms of Discrimination against Women.</w:t>
      </w:r>
    </w:p>
    <w:p>
      <w:pPr>
        <w:pStyle w:val="ListParagraph"/>
        <w:numPr>
          <w:ilvl w:val="0"/>
          <w:numId w:val="1"/>
        </w:numPr>
        <w:tabs>
          <w:tab w:pos="1261" w:val="left" w:leader="none"/>
        </w:tabs>
        <w:spacing w:line="276" w:lineRule="auto" w:before="0" w:after="0"/>
        <w:ind w:left="1260" w:right="115" w:hanging="360"/>
        <w:jc w:val="both"/>
        <w:rPr>
          <w:sz w:val="24"/>
        </w:rPr>
      </w:pPr>
      <w:r>
        <w:rPr>
          <w:sz w:val="24"/>
        </w:rPr>
        <w:t>Adopt</w:t>
      </w:r>
      <w:r>
        <w:rPr>
          <w:spacing w:val="-12"/>
          <w:sz w:val="24"/>
        </w:rPr>
        <w:t> </w:t>
      </w:r>
      <w:r>
        <w:rPr>
          <w:sz w:val="24"/>
        </w:rPr>
        <w:t>effective</w:t>
      </w:r>
      <w:r>
        <w:rPr>
          <w:spacing w:val="-12"/>
          <w:sz w:val="24"/>
        </w:rPr>
        <w:t> </w:t>
      </w:r>
      <w:r>
        <w:rPr>
          <w:sz w:val="24"/>
        </w:rPr>
        <w:t>and</w:t>
      </w:r>
      <w:r>
        <w:rPr>
          <w:spacing w:val="-10"/>
          <w:sz w:val="24"/>
        </w:rPr>
        <w:t> </w:t>
      </w:r>
      <w:r>
        <w:rPr>
          <w:sz w:val="24"/>
        </w:rPr>
        <w:t>necessary</w:t>
      </w:r>
      <w:r>
        <w:rPr>
          <w:spacing w:val="-10"/>
          <w:sz w:val="24"/>
        </w:rPr>
        <w:t> </w:t>
      </w:r>
      <w:r>
        <w:rPr>
          <w:sz w:val="24"/>
        </w:rPr>
        <w:t>legislative,</w:t>
      </w:r>
      <w:r>
        <w:rPr>
          <w:spacing w:val="-12"/>
          <w:sz w:val="24"/>
        </w:rPr>
        <w:t> </w:t>
      </w:r>
      <w:r>
        <w:rPr>
          <w:sz w:val="24"/>
        </w:rPr>
        <w:t>executive</w:t>
      </w:r>
      <w:r>
        <w:rPr>
          <w:spacing w:val="-9"/>
          <w:sz w:val="24"/>
        </w:rPr>
        <w:t> </w:t>
      </w:r>
      <w:r>
        <w:rPr>
          <w:sz w:val="24"/>
        </w:rPr>
        <w:t>and</w:t>
      </w:r>
      <w:r>
        <w:rPr>
          <w:spacing w:val="-10"/>
          <w:sz w:val="24"/>
        </w:rPr>
        <w:t> </w:t>
      </w:r>
      <w:r>
        <w:rPr>
          <w:sz w:val="24"/>
        </w:rPr>
        <w:t>institutional</w:t>
      </w:r>
      <w:r>
        <w:rPr>
          <w:spacing w:val="-12"/>
          <w:sz w:val="24"/>
        </w:rPr>
        <w:t> </w:t>
      </w:r>
      <w:r>
        <w:rPr>
          <w:sz w:val="24"/>
        </w:rPr>
        <w:t>measures</w:t>
      </w:r>
      <w:r>
        <w:rPr>
          <w:spacing w:val="-11"/>
          <w:sz w:val="24"/>
        </w:rPr>
        <w:t> </w:t>
      </w:r>
      <w:r>
        <w:rPr>
          <w:sz w:val="24"/>
        </w:rPr>
        <w:t>to give effect to women's plans and programs, including securing the necessary financial and human resources allocations and reforming the</w:t>
      </w:r>
      <w:r>
        <w:rPr>
          <w:spacing w:val="16"/>
          <w:sz w:val="24"/>
        </w:rPr>
        <w:t> </w:t>
      </w:r>
      <w:r>
        <w:rPr>
          <w:sz w:val="24"/>
        </w:rPr>
        <w:t>institutional</w:t>
      </w:r>
    </w:p>
    <w:p>
      <w:pPr>
        <w:spacing w:after="0" w:line="276" w:lineRule="auto"/>
        <w:jc w:val="both"/>
        <w:rPr>
          <w:sz w:val="24"/>
        </w:rPr>
        <w:sectPr>
          <w:pgSz w:w="11910" w:h="16840"/>
          <w:pgMar w:header="761" w:footer="1062" w:top="2560" w:bottom="1260" w:left="1380" w:right="1300"/>
        </w:sectPr>
      </w:pPr>
    </w:p>
    <w:p>
      <w:pPr>
        <w:pStyle w:val="BodyText"/>
        <w:spacing w:before="9"/>
        <w:rPr>
          <w:sz w:val="17"/>
        </w:rPr>
      </w:pPr>
    </w:p>
    <w:p>
      <w:pPr>
        <w:pStyle w:val="BodyText"/>
        <w:spacing w:line="276" w:lineRule="auto" w:before="51"/>
        <w:ind w:left="1260" w:right="465"/>
      </w:pPr>
      <w:r>
        <w:rPr/>
        <w:t>structure by seriously reviewing the Government's decision to abolish the Ministry of Women.</w:t>
      </w:r>
    </w:p>
    <w:p>
      <w:pPr>
        <w:pStyle w:val="ListParagraph"/>
        <w:numPr>
          <w:ilvl w:val="0"/>
          <w:numId w:val="1"/>
        </w:numPr>
        <w:tabs>
          <w:tab w:pos="1261" w:val="left" w:leader="none"/>
        </w:tabs>
        <w:spacing w:line="240" w:lineRule="auto" w:before="3" w:after="0"/>
        <w:ind w:left="1260" w:right="0" w:hanging="360"/>
        <w:jc w:val="left"/>
        <w:rPr>
          <w:sz w:val="24"/>
        </w:rPr>
      </w:pPr>
      <w:r>
        <w:rPr>
          <w:sz w:val="24"/>
        </w:rPr>
        <w:t>Expedite the adoption of the Family Violence</w:t>
      </w:r>
      <w:r>
        <w:rPr>
          <w:spacing w:val="-7"/>
          <w:sz w:val="24"/>
        </w:rPr>
        <w:t> </w:t>
      </w:r>
      <w:r>
        <w:rPr>
          <w:sz w:val="24"/>
        </w:rPr>
        <w:t>Act.</w:t>
      </w:r>
    </w:p>
    <w:p>
      <w:pPr>
        <w:pStyle w:val="ListParagraph"/>
        <w:numPr>
          <w:ilvl w:val="0"/>
          <w:numId w:val="1"/>
        </w:numPr>
        <w:tabs>
          <w:tab w:pos="1261" w:val="left" w:leader="none"/>
        </w:tabs>
        <w:spacing w:line="240" w:lineRule="auto" w:before="46" w:after="0"/>
        <w:ind w:left="1260" w:right="0" w:hanging="360"/>
        <w:jc w:val="left"/>
        <w:rPr>
          <w:sz w:val="24"/>
        </w:rPr>
      </w:pPr>
      <w:r>
        <w:rPr>
          <w:sz w:val="24"/>
        </w:rPr>
        <w:t>Repeal of the provisions of article 41 of Penal Code No. 111 of</w:t>
      </w:r>
      <w:r>
        <w:rPr>
          <w:spacing w:val="-11"/>
          <w:sz w:val="24"/>
        </w:rPr>
        <w:t> </w:t>
      </w:r>
      <w:r>
        <w:rPr>
          <w:sz w:val="24"/>
        </w:rPr>
        <w:t>1969</w:t>
      </w:r>
    </w:p>
    <w:p>
      <w:pPr>
        <w:pStyle w:val="ListParagraph"/>
        <w:numPr>
          <w:ilvl w:val="0"/>
          <w:numId w:val="1"/>
        </w:numPr>
        <w:tabs>
          <w:tab w:pos="1261" w:val="left" w:leader="none"/>
        </w:tabs>
        <w:spacing w:line="276" w:lineRule="auto" w:before="48" w:after="0"/>
        <w:ind w:left="1260" w:right="120" w:hanging="360"/>
        <w:jc w:val="both"/>
        <w:rPr>
          <w:sz w:val="24"/>
        </w:rPr>
      </w:pPr>
      <w:r>
        <w:rPr>
          <w:sz w:val="24"/>
        </w:rPr>
        <w:t>Adopt development (regulatory education) programs aimed at the judicial and executive components, in particular law enforcement officials, to ensure full respect for the rights contained in the</w:t>
      </w:r>
      <w:r>
        <w:rPr>
          <w:spacing w:val="-7"/>
          <w:sz w:val="24"/>
        </w:rPr>
        <w:t> </w:t>
      </w:r>
      <w:r>
        <w:rPr>
          <w:sz w:val="24"/>
        </w:rPr>
        <w:t>Convention.</w:t>
      </w:r>
    </w:p>
    <w:p>
      <w:pPr>
        <w:pStyle w:val="ListParagraph"/>
        <w:numPr>
          <w:ilvl w:val="0"/>
          <w:numId w:val="1"/>
        </w:numPr>
        <w:tabs>
          <w:tab w:pos="1261" w:val="left" w:leader="none"/>
        </w:tabs>
        <w:spacing w:line="276" w:lineRule="auto" w:before="2" w:after="0"/>
        <w:ind w:left="1260" w:right="471" w:hanging="360"/>
        <w:jc w:val="both"/>
        <w:rPr>
          <w:sz w:val="24"/>
        </w:rPr>
      </w:pPr>
      <w:r>
        <w:rPr>
          <w:sz w:val="24"/>
        </w:rPr>
        <w:t>Coordinate national governmental efforts to operationalize the contents of the Convention in genuine partnership with non-governmental organizations at all stages of</w:t>
      </w:r>
      <w:r>
        <w:rPr>
          <w:spacing w:val="-5"/>
          <w:sz w:val="24"/>
        </w:rPr>
        <w:t> </w:t>
      </w:r>
      <w:r>
        <w:rPr>
          <w:sz w:val="24"/>
        </w:rPr>
        <w:t>work.</w:t>
      </w:r>
    </w:p>
    <w:p>
      <w:pPr>
        <w:pStyle w:val="BodyText"/>
        <w:spacing w:before="10"/>
        <w:rPr>
          <w:sz w:val="21"/>
        </w:rPr>
      </w:pPr>
    </w:p>
    <w:p>
      <w:pPr>
        <w:pStyle w:val="Heading1"/>
      </w:pPr>
      <w:r>
        <w:rPr>
          <w:b w:val="0"/>
        </w:rPr>
        <w:t>Second</w:t>
      </w:r>
      <w:r>
        <w:rPr/>
        <w:t>: Human Trafficking s Article No. 6</w:t>
      </w:r>
    </w:p>
    <w:p>
      <w:pPr>
        <w:pStyle w:val="BodyText"/>
        <w:spacing w:before="2"/>
        <w:rPr>
          <w:b/>
          <w:sz w:val="25"/>
        </w:rPr>
      </w:pPr>
    </w:p>
    <w:p>
      <w:pPr>
        <w:spacing w:before="0"/>
        <w:ind w:left="713" w:right="0" w:firstLine="0"/>
        <w:jc w:val="left"/>
        <w:rPr>
          <w:b/>
          <w:sz w:val="24"/>
        </w:rPr>
      </w:pPr>
      <w:r>
        <w:rPr>
          <w:b/>
          <w:sz w:val="24"/>
        </w:rPr>
        <w:t>The Coalition recommends the Iraqi government to:</w:t>
      </w:r>
    </w:p>
    <w:p>
      <w:pPr>
        <w:pStyle w:val="BodyText"/>
        <w:spacing w:before="2"/>
        <w:rPr>
          <w:b/>
          <w:sz w:val="25"/>
        </w:rPr>
      </w:pPr>
    </w:p>
    <w:p>
      <w:pPr>
        <w:pStyle w:val="ListParagraph"/>
        <w:numPr>
          <w:ilvl w:val="0"/>
          <w:numId w:val="2"/>
        </w:numPr>
        <w:tabs>
          <w:tab w:pos="1074" w:val="left" w:leader="none"/>
        </w:tabs>
        <w:spacing w:line="276" w:lineRule="auto" w:before="0" w:after="0"/>
        <w:ind w:left="1073" w:right="470" w:hanging="360"/>
        <w:jc w:val="both"/>
        <w:rPr>
          <w:sz w:val="24"/>
        </w:rPr>
      </w:pPr>
      <w:r>
        <w:rPr>
          <w:sz w:val="24"/>
        </w:rPr>
        <w:t>Adopt a comprehensive victim-centerd strategy that recognizes the violation and is based on protection, prosecution, punishment and prevention, and strengthen international cooperation to ensure the redress, rehabilitation and reintegration of</w:t>
      </w:r>
      <w:r>
        <w:rPr>
          <w:spacing w:val="-2"/>
          <w:sz w:val="24"/>
        </w:rPr>
        <w:t> </w:t>
      </w:r>
      <w:r>
        <w:rPr>
          <w:sz w:val="24"/>
        </w:rPr>
        <w:t>victims.</w:t>
      </w:r>
    </w:p>
    <w:p>
      <w:pPr>
        <w:pStyle w:val="ListParagraph"/>
        <w:numPr>
          <w:ilvl w:val="0"/>
          <w:numId w:val="2"/>
        </w:numPr>
        <w:tabs>
          <w:tab w:pos="1074" w:val="left" w:leader="none"/>
        </w:tabs>
        <w:spacing w:line="276" w:lineRule="auto" w:before="1" w:after="0"/>
        <w:ind w:left="1073" w:right="468" w:hanging="360"/>
        <w:jc w:val="both"/>
        <w:rPr>
          <w:sz w:val="24"/>
        </w:rPr>
      </w:pPr>
      <w:r>
        <w:rPr>
          <w:sz w:val="24"/>
        </w:rPr>
        <w:t>The crime of trafficking must be dealt with by adopting a multi-level approach focusing on ensuring the protection of human rights and reparation, as well as combating crime, criminal justice, illegal migration and</w:t>
      </w:r>
      <w:r>
        <w:rPr>
          <w:spacing w:val="-2"/>
          <w:sz w:val="24"/>
        </w:rPr>
        <w:t> </w:t>
      </w:r>
      <w:r>
        <w:rPr>
          <w:sz w:val="24"/>
        </w:rPr>
        <w:t>labor.</w:t>
      </w:r>
    </w:p>
    <w:p>
      <w:pPr>
        <w:pStyle w:val="ListParagraph"/>
        <w:numPr>
          <w:ilvl w:val="0"/>
          <w:numId w:val="2"/>
        </w:numPr>
        <w:tabs>
          <w:tab w:pos="1074" w:val="left" w:leader="none"/>
        </w:tabs>
        <w:spacing w:line="276" w:lineRule="auto" w:before="0" w:after="0"/>
        <w:ind w:left="1073" w:right="471" w:hanging="360"/>
        <w:jc w:val="both"/>
        <w:rPr>
          <w:sz w:val="24"/>
        </w:rPr>
      </w:pPr>
      <w:r>
        <w:rPr>
          <w:sz w:val="24"/>
        </w:rPr>
        <w:t>Work to address the root causes of trafficking such as widespread poverty, gender discrimination, corruption, conflicts, illegal migration, cheap labor, sex tourism.</w:t>
      </w:r>
    </w:p>
    <w:p>
      <w:pPr>
        <w:pStyle w:val="ListParagraph"/>
        <w:numPr>
          <w:ilvl w:val="0"/>
          <w:numId w:val="2"/>
        </w:numPr>
        <w:tabs>
          <w:tab w:pos="1074" w:val="left" w:leader="none"/>
        </w:tabs>
        <w:spacing w:line="276" w:lineRule="auto" w:before="0" w:after="0"/>
        <w:ind w:left="1073" w:right="469" w:hanging="360"/>
        <w:jc w:val="both"/>
        <w:rPr>
          <w:sz w:val="24"/>
        </w:rPr>
      </w:pPr>
      <w:r>
        <w:rPr>
          <w:sz w:val="24"/>
        </w:rPr>
        <w:t>Organize capacity-building, awareness-raising and awareness-raising campaigns on the risks and consequences of this crime for law enforcement, residence and immigration authorities and the general</w:t>
      </w:r>
      <w:r>
        <w:rPr>
          <w:spacing w:val="-7"/>
          <w:sz w:val="24"/>
        </w:rPr>
        <w:t> </w:t>
      </w:r>
      <w:r>
        <w:rPr>
          <w:sz w:val="24"/>
        </w:rPr>
        <w:t>community.</w:t>
      </w:r>
    </w:p>
    <w:p>
      <w:pPr>
        <w:pStyle w:val="ListParagraph"/>
        <w:numPr>
          <w:ilvl w:val="0"/>
          <w:numId w:val="2"/>
        </w:numPr>
        <w:tabs>
          <w:tab w:pos="1074" w:val="left" w:leader="none"/>
        </w:tabs>
        <w:spacing w:line="278" w:lineRule="auto" w:before="0" w:after="0"/>
        <w:ind w:left="1073" w:right="468" w:hanging="360"/>
        <w:jc w:val="both"/>
        <w:rPr>
          <w:sz w:val="24"/>
        </w:rPr>
      </w:pPr>
      <w:r>
        <w:rPr>
          <w:sz w:val="24"/>
        </w:rPr>
        <w:t>Activate the work of the Central Committee against human trafficking and secure financial and human resources for the success of its</w:t>
      </w:r>
      <w:r>
        <w:rPr>
          <w:spacing w:val="-12"/>
          <w:sz w:val="24"/>
        </w:rPr>
        <w:t> </w:t>
      </w:r>
      <w:r>
        <w:rPr>
          <w:sz w:val="24"/>
        </w:rPr>
        <w:t>work.</w:t>
      </w:r>
    </w:p>
    <w:p>
      <w:pPr>
        <w:pStyle w:val="ListParagraph"/>
        <w:numPr>
          <w:ilvl w:val="0"/>
          <w:numId w:val="2"/>
        </w:numPr>
        <w:tabs>
          <w:tab w:pos="1074" w:val="left" w:leader="none"/>
        </w:tabs>
        <w:spacing w:line="276" w:lineRule="auto" w:before="0" w:after="0"/>
        <w:ind w:left="1073" w:right="475" w:hanging="360"/>
        <w:jc w:val="both"/>
        <w:rPr>
          <w:sz w:val="24"/>
        </w:rPr>
      </w:pPr>
      <w:r>
        <w:rPr>
          <w:sz w:val="24"/>
        </w:rPr>
        <w:t>Provide financial and human resources for rehabilitation and reintegration programs for victims of human trafficking and involve civil society in</w:t>
      </w:r>
      <w:r>
        <w:rPr>
          <w:spacing w:val="-19"/>
          <w:sz w:val="24"/>
        </w:rPr>
        <w:t> </w:t>
      </w:r>
      <w:r>
        <w:rPr>
          <w:sz w:val="24"/>
        </w:rPr>
        <w:t>them.</w:t>
      </w:r>
    </w:p>
    <w:p>
      <w:pPr>
        <w:pStyle w:val="ListParagraph"/>
        <w:numPr>
          <w:ilvl w:val="0"/>
          <w:numId w:val="2"/>
        </w:numPr>
        <w:tabs>
          <w:tab w:pos="1074" w:val="left" w:leader="none"/>
        </w:tabs>
        <w:spacing w:line="276" w:lineRule="auto" w:before="0" w:after="0"/>
        <w:ind w:left="1073" w:right="475" w:hanging="360"/>
        <w:jc w:val="both"/>
        <w:rPr>
          <w:sz w:val="24"/>
        </w:rPr>
      </w:pPr>
      <w:r>
        <w:rPr>
          <w:sz w:val="24"/>
        </w:rPr>
        <w:t>Ensure the unconditional support and assistance of victims through participation in criminal</w:t>
      </w:r>
      <w:r>
        <w:rPr>
          <w:spacing w:val="-1"/>
          <w:sz w:val="24"/>
        </w:rPr>
        <w:t> </w:t>
      </w:r>
      <w:r>
        <w:rPr>
          <w:sz w:val="24"/>
        </w:rPr>
        <w:t>proceedings.</w:t>
      </w:r>
    </w:p>
    <w:p>
      <w:pPr>
        <w:pStyle w:val="ListParagraph"/>
        <w:numPr>
          <w:ilvl w:val="0"/>
          <w:numId w:val="2"/>
        </w:numPr>
        <w:tabs>
          <w:tab w:pos="1074" w:val="left" w:leader="none"/>
        </w:tabs>
        <w:spacing w:line="276" w:lineRule="auto" w:before="0" w:after="0"/>
        <w:ind w:left="1073" w:right="473" w:hanging="360"/>
        <w:jc w:val="both"/>
        <w:rPr>
          <w:sz w:val="24"/>
        </w:rPr>
      </w:pPr>
      <w:r>
        <w:rPr>
          <w:sz w:val="24"/>
        </w:rPr>
        <w:t>Adopt effective coordination mechanisms for data collection in order to improve all data and reporting on all forms of trafficking to ensure effective documentation and</w:t>
      </w:r>
      <w:r>
        <w:rPr>
          <w:spacing w:val="1"/>
          <w:sz w:val="24"/>
        </w:rPr>
        <w:t> </w:t>
      </w:r>
      <w:r>
        <w:rPr>
          <w:sz w:val="24"/>
        </w:rPr>
        <w:t>monitoring.</w:t>
      </w:r>
    </w:p>
    <w:p>
      <w:pPr>
        <w:spacing w:after="0" w:line="276" w:lineRule="auto"/>
        <w:jc w:val="both"/>
        <w:rPr>
          <w:sz w:val="24"/>
        </w:rPr>
        <w:sectPr>
          <w:pgSz w:w="11910" w:h="16840"/>
          <w:pgMar w:header="761" w:footer="1062" w:top="2560" w:bottom="1260" w:left="1380" w:right="1300"/>
        </w:sectPr>
      </w:pPr>
    </w:p>
    <w:p>
      <w:pPr>
        <w:pStyle w:val="BodyText"/>
        <w:spacing w:before="9"/>
        <w:rPr>
          <w:sz w:val="17"/>
        </w:rPr>
      </w:pPr>
    </w:p>
    <w:p>
      <w:pPr>
        <w:pStyle w:val="ListParagraph"/>
        <w:numPr>
          <w:ilvl w:val="0"/>
          <w:numId w:val="2"/>
        </w:numPr>
        <w:tabs>
          <w:tab w:pos="1074" w:val="left" w:leader="none"/>
        </w:tabs>
        <w:spacing w:line="276" w:lineRule="auto" w:before="51" w:after="0"/>
        <w:ind w:left="1073" w:right="471" w:hanging="360"/>
        <w:jc w:val="both"/>
        <w:rPr>
          <w:sz w:val="24"/>
        </w:rPr>
      </w:pPr>
      <w:r>
        <w:rPr>
          <w:sz w:val="24"/>
        </w:rPr>
        <w:t>A</w:t>
      </w:r>
      <w:r>
        <w:rPr>
          <w:spacing w:val="-7"/>
          <w:sz w:val="24"/>
        </w:rPr>
        <w:t> </w:t>
      </w:r>
      <w:r>
        <w:rPr>
          <w:sz w:val="24"/>
        </w:rPr>
        <w:t>serious</w:t>
      </w:r>
      <w:r>
        <w:rPr>
          <w:spacing w:val="-9"/>
          <w:sz w:val="24"/>
        </w:rPr>
        <w:t> </w:t>
      </w:r>
      <w:r>
        <w:rPr>
          <w:sz w:val="24"/>
        </w:rPr>
        <w:t>review</w:t>
      </w:r>
      <w:r>
        <w:rPr>
          <w:spacing w:val="-6"/>
          <w:sz w:val="24"/>
        </w:rPr>
        <w:t> </w:t>
      </w:r>
      <w:r>
        <w:rPr>
          <w:sz w:val="24"/>
        </w:rPr>
        <w:t>of</w:t>
      </w:r>
      <w:r>
        <w:rPr>
          <w:spacing w:val="-5"/>
          <w:sz w:val="24"/>
        </w:rPr>
        <w:t> </w:t>
      </w:r>
      <w:r>
        <w:rPr>
          <w:sz w:val="24"/>
        </w:rPr>
        <w:t>the</w:t>
      </w:r>
      <w:r>
        <w:rPr>
          <w:spacing w:val="-6"/>
          <w:sz w:val="24"/>
        </w:rPr>
        <w:t> </w:t>
      </w:r>
      <w:r>
        <w:rPr>
          <w:sz w:val="24"/>
        </w:rPr>
        <w:t>legislation</w:t>
      </w:r>
      <w:r>
        <w:rPr>
          <w:spacing w:val="-8"/>
          <w:sz w:val="24"/>
        </w:rPr>
        <w:t> </w:t>
      </w:r>
      <w:r>
        <w:rPr>
          <w:sz w:val="24"/>
        </w:rPr>
        <w:t>in</w:t>
      </w:r>
      <w:r>
        <w:rPr>
          <w:spacing w:val="-8"/>
          <w:sz w:val="24"/>
        </w:rPr>
        <w:t> </w:t>
      </w:r>
      <w:r>
        <w:rPr>
          <w:sz w:val="24"/>
        </w:rPr>
        <w:t>force,</w:t>
      </w:r>
      <w:r>
        <w:rPr>
          <w:spacing w:val="-8"/>
          <w:sz w:val="24"/>
        </w:rPr>
        <w:t> </w:t>
      </w:r>
      <w:r>
        <w:rPr>
          <w:sz w:val="24"/>
        </w:rPr>
        <w:t>including</w:t>
      </w:r>
      <w:r>
        <w:rPr>
          <w:spacing w:val="-7"/>
          <w:sz w:val="24"/>
        </w:rPr>
        <w:t> </w:t>
      </w:r>
      <w:r>
        <w:rPr>
          <w:sz w:val="24"/>
        </w:rPr>
        <w:t>the</w:t>
      </w:r>
      <w:r>
        <w:rPr>
          <w:spacing w:val="-6"/>
          <w:sz w:val="24"/>
        </w:rPr>
        <w:t> </w:t>
      </w:r>
      <w:r>
        <w:rPr>
          <w:sz w:val="24"/>
        </w:rPr>
        <w:t>repeal</w:t>
      </w:r>
      <w:r>
        <w:rPr>
          <w:spacing w:val="-9"/>
          <w:sz w:val="24"/>
        </w:rPr>
        <w:t> </w:t>
      </w:r>
      <w:r>
        <w:rPr>
          <w:sz w:val="24"/>
        </w:rPr>
        <w:t>of</w:t>
      </w:r>
      <w:r>
        <w:rPr>
          <w:spacing w:val="-4"/>
          <w:sz w:val="24"/>
        </w:rPr>
        <w:t> </w:t>
      </w:r>
      <w:r>
        <w:rPr>
          <w:sz w:val="24"/>
        </w:rPr>
        <w:t>the</w:t>
      </w:r>
      <w:r>
        <w:rPr>
          <w:spacing w:val="-8"/>
          <w:sz w:val="24"/>
        </w:rPr>
        <w:t> </w:t>
      </w:r>
      <w:r>
        <w:rPr>
          <w:sz w:val="24"/>
        </w:rPr>
        <w:t>decree</w:t>
      </w:r>
      <w:r>
        <w:rPr>
          <w:spacing w:val="-7"/>
          <w:sz w:val="24"/>
        </w:rPr>
        <w:t> </w:t>
      </w:r>
      <w:r>
        <w:rPr>
          <w:sz w:val="24"/>
        </w:rPr>
        <w:t>of the Revolutionary Command Council (RCC) No. 234 in</w:t>
      </w:r>
      <w:r>
        <w:rPr>
          <w:spacing w:val="-7"/>
          <w:sz w:val="24"/>
        </w:rPr>
        <w:t> </w:t>
      </w:r>
      <w:r>
        <w:rPr>
          <w:sz w:val="24"/>
        </w:rPr>
        <w:t>2001</w:t>
      </w:r>
    </w:p>
    <w:p>
      <w:pPr>
        <w:pStyle w:val="ListParagraph"/>
        <w:numPr>
          <w:ilvl w:val="0"/>
          <w:numId w:val="2"/>
        </w:numPr>
        <w:tabs>
          <w:tab w:pos="1074" w:val="left" w:leader="none"/>
        </w:tabs>
        <w:spacing w:line="276" w:lineRule="auto" w:before="1" w:after="0"/>
        <w:ind w:left="1073" w:right="469" w:hanging="360"/>
        <w:jc w:val="both"/>
        <w:rPr>
          <w:sz w:val="24"/>
        </w:rPr>
      </w:pPr>
      <w:r>
        <w:rPr>
          <w:sz w:val="24"/>
        </w:rPr>
        <w:t>Increased mutual judicial cooperation, including among investigators, prosecutors, judges and law enforcement agencies, for crime prevention, assistance in investigation, evidence collection and effective criminal prosecution.</w:t>
      </w:r>
    </w:p>
    <w:p>
      <w:pPr>
        <w:pStyle w:val="ListParagraph"/>
        <w:numPr>
          <w:ilvl w:val="0"/>
          <w:numId w:val="2"/>
        </w:numPr>
        <w:tabs>
          <w:tab w:pos="1074" w:val="left" w:leader="none"/>
        </w:tabs>
        <w:spacing w:line="276" w:lineRule="auto" w:before="0" w:after="0"/>
        <w:ind w:left="1073" w:right="471" w:hanging="360"/>
        <w:jc w:val="both"/>
        <w:rPr>
          <w:sz w:val="24"/>
        </w:rPr>
      </w:pPr>
      <w:r>
        <w:rPr>
          <w:sz w:val="24"/>
        </w:rPr>
        <w:t>Take</w:t>
      </w:r>
      <w:r>
        <w:rPr>
          <w:spacing w:val="-7"/>
          <w:sz w:val="24"/>
        </w:rPr>
        <w:t> </w:t>
      </w:r>
      <w:r>
        <w:rPr>
          <w:sz w:val="24"/>
        </w:rPr>
        <w:t>into</w:t>
      </w:r>
      <w:r>
        <w:rPr>
          <w:spacing w:val="-8"/>
          <w:sz w:val="24"/>
        </w:rPr>
        <w:t> </w:t>
      </w:r>
      <w:r>
        <w:rPr>
          <w:sz w:val="24"/>
        </w:rPr>
        <w:t>account</w:t>
      </w:r>
      <w:r>
        <w:rPr>
          <w:spacing w:val="-9"/>
          <w:sz w:val="24"/>
        </w:rPr>
        <w:t> </w:t>
      </w:r>
      <w:r>
        <w:rPr>
          <w:sz w:val="24"/>
        </w:rPr>
        <w:t>the</w:t>
      </w:r>
      <w:r>
        <w:rPr>
          <w:spacing w:val="-8"/>
          <w:sz w:val="24"/>
        </w:rPr>
        <w:t> </w:t>
      </w:r>
      <w:r>
        <w:rPr>
          <w:sz w:val="24"/>
        </w:rPr>
        <w:t>privacy</w:t>
      </w:r>
      <w:r>
        <w:rPr>
          <w:spacing w:val="-8"/>
          <w:sz w:val="24"/>
        </w:rPr>
        <w:t> </w:t>
      </w:r>
      <w:r>
        <w:rPr>
          <w:sz w:val="24"/>
        </w:rPr>
        <w:t>of</w:t>
      </w:r>
      <w:r>
        <w:rPr>
          <w:spacing w:val="-7"/>
          <w:sz w:val="24"/>
        </w:rPr>
        <w:t> </w:t>
      </w:r>
      <w:r>
        <w:rPr>
          <w:sz w:val="24"/>
        </w:rPr>
        <w:t>the</w:t>
      </w:r>
      <w:r>
        <w:rPr>
          <w:spacing w:val="-7"/>
          <w:sz w:val="24"/>
        </w:rPr>
        <w:t> </w:t>
      </w:r>
      <w:r>
        <w:rPr>
          <w:sz w:val="24"/>
        </w:rPr>
        <w:t>child</w:t>
      </w:r>
      <w:r>
        <w:rPr>
          <w:spacing w:val="-7"/>
          <w:sz w:val="24"/>
        </w:rPr>
        <w:t> </w:t>
      </w:r>
      <w:r>
        <w:rPr>
          <w:sz w:val="24"/>
        </w:rPr>
        <w:t>in</w:t>
      </w:r>
      <w:r>
        <w:rPr>
          <w:spacing w:val="-7"/>
          <w:sz w:val="24"/>
        </w:rPr>
        <w:t> </w:t>
      </w:r>
      <w:r>
        <w:rPr>
          <w:sz w:val="24"/>
        </w:rPr>
        <w:t>the</w:t>
      </w:r>
      <w:r>
        <w:rPr>
          <w:spacing w:val="-9"/>
          <w:sz w:val="24"/>
        </w:rPr>
        <w:t> </w:t>
      </w:r>
      <w:r>
        <w:rPr>
          <w:sz w:val="24"/>
        </w:rPr>
        <w:t>context</w:t>
      </w:r>
      <w:r>
        <w:rPr>
          <w:spacing w:val="-8"/>
          <w:sz w:val="24"/>
        </w:rPr>
        <w:t> </w:t>
      </w:r>
      <w:r>
        <w:rPr>
          <w:sz w:val="24"/>
        </w:rPr>
        <w:t>of</w:t>
      </w:r>
      <w:r>
        <w:rPr>
          <w:spacing w:val="-6"/>
          <w:sz w:val="24"/>
        </w:rPr>
        <w:t> </w:t>
      </w:r>
      <w:r>
        <w:rPr>
          <w:sz w:val="24"/>
        </w:rPr>
        <w:t>combating</w:t>
      </w:r>
      <w:r>
        <w:rPr>
          <w:spacing w:val="-9"/>
          <w:sz w:val="24"/>
        </w:rPr>
        <w:t> </w:t>
      </w:r>
      <w:r>
        <w:rPr>
          <w:sz w:val="24"/>
        </w:rPr>
        <w:t>the</w:t>
      </w:r>
      <w:r>
        <w:rPr>
          <w:spacing w:val="-9"/>
          <w:sz w:val="24"/>
        </w:rPr>
        <w:t> </w:t>
      </w:r>
      <w:r>
        <w:rPr>
          <w:sz w:val="24"/>
        </w:rPr>
        <w:t>crime of human trafficking and ensure the necessary training for law enforcement personnel.</w:t>
      </w:r>
    </w:p>
    <w:p>
      <w:pPr>
        <w:pStyle w:val="BodyText"/>
        <w:spacing w:before="7"/>
        <w:rPr>
          <w:sz w:val="21"/>
        </w:rPr>
      </w:pPr>
    </w:p>
    <w:p>
      <w:pPr>
        <w:pStyle w:val="Heading1"/>
        <w:spacing w:line="494" w:lineRule="auto"/>
        <w:ind w:right="2012"/>
      </w:pPr>
      <w:r>
        <w:rPr/>
        <w:t>Third: Participation in public and political life - Articles 7, 8, and 9 The Coalition recommends the Iraqi government to</w:t>
      </w:r>
    </w:p>
    <w:p>
      <w:pPr>
        <w:pStyle w:val="ListParagraph"/>
        <w:numPr>
          <w:ilvl w:val="0"/>
          <w:numId w:val="3"/>
        </w:numPr>
        <w:tabs>
          <w:tab w:pos="1074" w:val="left" w:leader="none"/>
        </w:tabs>
        <w:spacing w:line="276" w:lineRule="auto" w:before="0" w:after="0"/>
        <w:ind w:left="1073" w:right="467" w:hanging="360"/>
        <w:jc w:val="both"/>
        <w:rPr>
          <w:sz w:val="24"/>
        </w:rPr>
      </w:pPr>
      <w:r>
        <w:rPr>
          <w:sz w:val="24"/>
        </w:rPr>
        <w:t>Commitment to general recommendation 25 through effective policies aimed at</w:t>
      </w:r>
      <w:r>
        <w:rPr>
          <w:spacing w:val="-10"/>
          <w:sz w:val="24"/>
        </w:rPr>
        <w:t> </w:t>
      </w:r>
      <w:r>
        <w:rPr>
          <w:sz w:val="24"/>
        </w:rPr>
        <w:t>promoting</w:t>
      </w:r>
      <w:r>
        <w:rPr>
          <w:spacing w:val="-10"/>
          <w:sz w:val="24"/>
        </w:rPr>
        <w:t> </w:t>
      </w:r>
      <w:r>
        <w:rPr>
          <w:sz w:val="24"/>
        </w:rPr>
        <w:t>the</w:t>
      </w:r>
      <w:r>
        <w:rPr>
          <w:spacing w:val="-13"/>
          <w:sz w:val="24"/>
        </w:rPr>
        <w:t> </w:t>
      </w:r>
      <w:r>
        <w:rPr>
          <w:sz w:val="24"/>
        </w:rPr>
        <w:t>full</w:t>
      </w:r>
      <w:r>
        <w:rPr>
          <w:spacing w:val="-10"/>
          <w:sz w:val="24"/>
        </w:rPr>
        <w:t> </w:t>
      </w:r>
      <w:r>
        <w:rPr>
          <w:sz w:val="24"/>
        </w:rPr>
        <w:t>and</w:t>
      </w:r>
      <w:r>
        <w:rPr>
          <w:spacing w:val="-10"/>
          <w:sz w:val="24"/>
        </w:rPr>
        <w:t> </w:t>
      </w:r>
      <w:r>
        <w:rPr>
          <w:sz w:val="24"/>
        </w:rPr>
        <w:t>equal</w:t>
      </w:r>
      <w:r>
        <w:rPr>
          <w:spacing w:val="-10"/>
          <w:sz w:val="24"/>
        </w:rPr>
        <w:t> </w:t>
      </w:r>
      <w:r>
        <w:rPr>
          <w:sz w:val="24"/>
        </w:rPr>
        <w:t>participation</w:t>
      </w:r>
      <w:r>
        <w:rPr>
          <w:spacing w:val="-8"/>
          <w:sz w:val="24"/>
        </w:rPr>
        <w:t> </w:t>
      </w:r>
      <w:r>
        <w:rPr>
          <w:sz w:val="24"/>
        </w:rPr>
        <w:t>of</w:t>
      </w:r>
      <w:r>
        <w:rPr>
          <w:spacing w:val="-9"/>
          <w:sz w:val="24"/>
        </w:rPr>
        <w:t> </w:t>
      </w:r>
      <w:r>
        <w:rPr>
          <w:sz w:val="24"/>
        </w:rPr>
        <w:t>women</w:t>
      </w:r>
      <w:r>
        <w:rPr>
          <w:spacing w:val="-9"/>
          <w:sz w:val="24"/>
        </w:rPr>
        <w:t> </w:t>
      </w:r>
      <w:r>
        <w:rPr>
          <w:sz w:val="24"/>
        </w:rPr>
        <w:t>in</w:t>
      </w:r>
      <w:r>
        <w:rPr>
          <w:spacing w:val="-9"/>
          <w:sz w:val="24"/>
        </w:rPr>
        <w:t> </w:t>
      </w:r>
      <w:r>
        <w:rPr>
          <w:sz w:val="24"/>
        </w:rPr>
        <w:t>decision-making</w:t>
      </w:r>
      <w:r>
        <w:rPr>
          <w:spacing w:val="-11"/>
          <w:sz w:val="24"/>
        </w:rPr>
        <w:t> </w:t>
      </w:r>
      <w:r>
        <w:rPr>
          <w:sz w:val="24"/>
        </w:rPr>
        <w:t>in</w:t>
      </w:r>
      <w:r>
        <w:rPr>
          <w:spacing w:val="-9"/>
          <w:sz w:val="24"/>
        </w:rPr>
        <w:t> </w:t>
      </w:r>
      <w:r>
        <w:rPr>
          <w:sz w:val="24"/>
        </w:rPr>
        <w:t>all areas of public and political life and at the national and regional levels through the adoption of temporary special measures called for by the</w:t>
      </w:r>
      <w:r>
        <w:rPr>
          <w:spacing w:val="-17"/>
          <w:sz w:val="24"/>
        </w:rPr>
        <w:t> </w:t>
      </w:r>
      <w:r>
        <w:rPr>
          <w:sz w:val="24"/>
        </w:rPr>
        <w:t>Convention.</w:t>
      </w:r>
    </w:p>
    <w:p>
      <w:pPr>
        <w:pStyle w:val="ListParagraph"/>
        <w:numPr>
          <w:ilvl w:val="0"/>
          <w:numId w:val="3"/>
        </w:numPr>
        <w:tabs>
          <w:tab w:pos="1074" w:val="left" w:leader="none"/>
        </w:tabs>
        <w:spacing w:line="276" w:lineRule="auto" w:before="0" w:after="0"/>
        <w:ind w:left="1073" w:right="470" w:hanging="360"/>
        <w:jc w:val="both"/>
        <w:rPr>
          <w:sz w:val="24"/>
        </w:rPr>
      </w:pPr>
      <w:r>
        <w:rPr>
          <w:sz w:val="24"/>
        </w:rPr>
        <w:t>Correct</w:t>
      </w:r>
      <w:r>
        <w:rPr>
          <w:spacing w:val="-9"/>
          <w:sz w:val="24"/>
        </w:rPr>
        <w:t> </w:t>
      </w:r>
      <w:r>
        <w:rPr>
          <w:sz w:val="24"/>
        </w:rPr>
        <w:t>the</w:t>
      </w:r>
      <w:r>
        <w:rPr>
          <w:spacing w:val="-9"/>
          <w:sz w:val="24"/>
        </w:rPr>
        <w:t> </w:t>
      </w:r>
      <w:r>
        <w:rPr>
          <w:sz w:val="24"/>
        </w:rPr>
        <w:t>situation</w:t>
      </w:r>
      <w:r>
        <w:rPr>
          <w:spacing w:val="-7"/>
          <w:sz w:val="24"/>
        </w:rPr>
        <w:t> </w:t>
      </w:r>
      <w:r>
        <w:rPr>
          <w:sz w:val="24"/>
        </w:rPr>
        <w:t>in</w:t>
      </w:r>
      <w:r>
        <w:rPr>
          <w:spacing w:val="-9"/>
          <w:sz w:val="24"/>
        </w:rPr>
        <w:t> </w:t>
      </w:r>
      <w:r>
        <w:rPr>
          <w:sz w:val="24"/>
        </w:rPr>
        <w:t>accordance</w:t>
      </w:r>
      <w:r>
        <w:rPr>
          <w:spacing w:val="-9"/>
          <w:sz w:val="24"/>
        </w:rPr>
        <w:t> </w:t>
      </w:r>
      <w:r>
        <w:rPr>
          <w:sz w:val="24"/>
        </w:rPr>
        <w:t>with</w:t>
      </w:r>
      <w:r>
        <w:rPr>
          <w:spacing w:val="-10"/>
          <w:sz w:val="24"/>
        </w:rPr>
        <w:t> </w:t>
      </w:r>
      <w:r>
        <w:rPr>
          <w:sz w:val="24"/>
        </w:rPr>
        <w:t>the</w:t>
      </w:r>
      <w:r>
        <w:rPr>
          <w:spacing w:val="-9"/>
          <w:sz w:val="24"/>
        </w:rPr>
        <w:t> </w:t>
      </w:r>
      <w:r>
        <w:rPr>
          <w:sz w:val="24"/>
        </w:rPr>
        <w:t>law</w:t>
      </w:r>
      <w:r>
        <w:rPr>
          <w:spacing w:val="-7"/>
          <w:sz w:val="24"/>
        </w:rPr>
        <w:t> </w:t>
      </w:r>
      <w:r>
        <w:rPr>
          <w:sz w:val="24"/>
        </w:rPr>
        <w:t>and</w:t>
      </w:r>
      <w:r>
        <w:rPr>
          <w:spacing w:val="-9"/>
          <w:sz w:val="24"/>
        </w:rPr>
        <w:t> </w:t>
      </w:r>
      <w:r>
        <w:rPr>
          <w:sz w:val="24"/>
        </w:rPr>
        <w:t>the</w:t>
      </w:r>
      <w:r>
        <w:rPr>
          <w:spacing w:val="-10"/>
          <w:sz w:val="24"/>
        </w:rPr>
        <w:t> </w:t>
      </w:r>
      <w:r>
        <w:rPr>
          <w:sz w:val="24"/>
        </w:rPr>
        <w:t>decision</w:t>
      </w:r>
      <w:r>
        <w:rPr>
          <w:spacing w:val="-11"/>
          <w:sz w:val="24"/>
        </w:rPr>
        <w:t> </w:t>
      </w:r>
      <w:r>
        <w:rPr>
          <w:sz w:val="24"/>
        </w:rPr>
        <w:t>of</w:t>
      </w:r>
      <w:r>
        <w:rPr>
          <w:spacing w:val="-10"/>
          <w:sz w:val="24"/>
        </w:rPr>
        <w:t> </w:t>
      </w:r>
      <w:r>
        <w:rPr>
          <w:sz w:val="24"/>
        </w:rPr>
        <w:t>the</w:t>
      </w:r>
      <w:r>
        <w:rPr>
          <w:spacing w:val="-9"/>
          <w:sz w:val="24"/>
        </w:rPr>
        <w:t> </w:t>
      </w:r>
      <w:r>
        <w:rPr>
          <w:sz w:val="24"/>
        </w:rPr>
        <w:t>Federal Court of Women's Representation on the Board of Commissioners of the Independent High Commission for Human Rights and review the need for women's representation on the Board of Commissioners of the High Electoral Commission.</w:t>
      </w:r>
    </w:p>
    <w:p>
      <w:pPr>
        <w:pStyle w:val="ListParagraph"/>
        <w:numPr>
          <w:ilvl w:val="0"/>
          <w:numId w:val="3"/>
        </w:numPr>
        <w:tabs>
          <w:tab w:pos="1074" w:val="left" w:leader="none"/>
        </w:tabs>
        <w:spacing w:line="276" w:lineRule="auto" w:before="0" w:after="0"/>
        <w:ind w:left="1073" w:right="468" w:hanging="360"/>
        <w:jc w:val="both"/>
        <w:rPr>
          <w:sz w:val="24"/>
        </w:rPr>
      </w:pPr>
      <w:r>
        <w:rPr>
          <w:sz w:val="24"/>
        </w:rPr>
        <w:t>Adopt an educational policy aim at changing the stereotyped view of the role of</w:t>
      </w:r>
      <w:r>
        <w:rPr>
          <w:spacing w:val="-8"/>
          <w:sz w:val="24"/>
        </w:rPr>
        <w:t> </w:t>
      </w:r>
      <w:r>
        <w:rPr>
          <w:sz w:val="24"/>
        </w:rPr>
        <w:t>women</w:t>
      </w:r>
      <w:r>
        <w:rPr>
          <w:spacing w:val="-7"/>
          <w:sz w:val="24"/>
        </w:rPr>
        <w:t> </w:t>
      </w:r>
      <w:r>
        <w:rPr>
          <w:sz w:val="24"/>
        </w:rPr>
        <w:t>as</w:t>
      </w:r>
      <w:r>
        <w:rPr>
          <w:spacing w:val="-9"/>
          <w:sz w:val="24"/>
        </w:rPr>
        <w:t> </w:t>
      </w:r>
      <w:r>
        <w:rPr>
          <w:sz w:val="24"/>
        </w:rPr>
        <w:t>housewives</w:t>
      </w:r>
      <w:r>
        <w:rPr>
          <w:spacing w:val="-7"/>
          <w:sz w:val="24"/>
        </w:rPr>
        <w:t> </w:t>
      </w:r>
      <w:r>
        <w:rPr>
          <w:sz w:val="24"/>
        </w:rPr>
        <w:t>and</w:t>
      </w:r>
      <w:r>
        <w:rPr>
          <w:spacing w:val="-5"/>
          <w:sz w:val="24"/>
        </w:rPr>
        <w:t> </w:t>
      </w:r>
      <w:r>
        <w:rPr>
          <w:sz w:val="24"/>
        </w:rPr>
        <w:t>show</w:t>
      </w:r>
      <w:r>
        <w:rPr>
          <w:spacing w:val="-9"/>
          <w:sz w:val="24"/>
        </w:rPr>
        <w:t> </w:t>
      </w:r>
      <w:r>
        <w:rPr>
          <w:sz w:val="24"/>
        </w:rPr>
        <w:t>the</w:t>
      </w:r>
      <w:r>
        <w:rPr>
          <w:spacing w:val="-8"/>
          <w:sz w:val="24"/>
        </w:rPr>
        <w:t> </w:t>
      </w:r>
      <w:r>
        <w:rPr>
          <w:sz w:val="24"/>
        </w:rPr>
        <w:t>importance</w:t>
      </w:r>
      <w:r>
        <w:rPr>
          <w:spacing w:val="-6"/>
          <w:sz w:val="24"/>
        </w:rPr>
        <w:t> </w:t>
      </w:r>
      <w:r>
        <w:rPr>
          <w:sz w:val="24"/>
        </w:rPr>
        <w:t>of</w:t>
      </w:r>
      <w:r>
        <w:rPr>
          <w:spacing w:val="-8"/>
          <w:sz w:val="24"/>
        </w:rPr>
        <w:t> </w:t>
      </w:r>
      <w:r>
        <w:rPr>
          <w:sz w:val="24"/>
        </w:rPr>
        <w:t>women’s</w:t>
      </w:r>
      <w:r>
        <w:rPr>
          <w:spacing w:val="-9"/>
          <w:sz w:val="24"/>
        </w:rPr>
        <w:t> </w:t>
      </w:r>
      <w:r>
        <w:rPr>
          <w:sz w:val="24"/>
        </w:rPr>
        <w:t>role</w:t>
      </w:r>
      <w:r>
        <w:rPr>
          <w:spacing w:val="-8"/>
          <w:sz w:val="24"/>
        </w:rPr>
        <w:t> </w:t>
      </w:r>
      <w:r>
        <w:rPr>
          <w:sz w:val="24"/>
        </w:rPr>
        <w:t>in</w:t>
      </w:r>
      <w:r>
        <w:rPr>
          <w:spacing w:val="42"/>
          <w:sz w:val="24"/>
        </w:rPr>
        <w:t> </w:t>
      </w:r>
      <w:r>
        <w:rPr>
          <w:sz w:val="24"/>
        </w:rPr>
        <w:t>political and societal life. Also the intensification of awareness-raising of women's political rights, especially through official State</w:t>
      </w:r>
      <w:r>
        <w:rPr>
          <w:spacing w:val="-11"/>
          <w:sz w:val="24"/>
        </w:rPr>
        <w:t> </w:t>
      </w:r>
      <w:r>
        <w:rPr>
          <w:sz w:val="24"/>
        </w:rPr>
        <w:t>institutions.</w:t>
      </w:r>
    </w:p>
    <w:p>
      <w:pPr>
        <w:pStyle w:val="ListParagraph"/>
        <w:numPr>
          <w:ilvl w:val="0"/>
          <w:numId w:val="3"/>
        </w:numPr>
        <w:tabs>
          <w:tab w:pos="1074" w:val="left" w:leader="none"/>
        </w:tabs>
        <w:spacing w:line="276" w:lineRule="auto" w:before="0" w:after="0"/>
        <w:ind w:left="1073" w:right="472" w:hanging="360"/>
        <w:jc w:val="both"/>
        <w:rPr>
          <w:sz w:val="24"/>
        </w:rPr>
      </w:pPr>
      <w:r>
        <w:rPr>
          <w:sz w:val="24"/>
        </w:rPr>
        <w:t>Adopt electoral systems that support the participation of women to ensure greater representation of women on electoral boards and to promote the establishment of equal party equality committees that take into account the equality of nominations and leadership between women and</w:t>
      </w:r>
      <w:r>
        <w:rPr>
          <w:spacing w:val="-8"/>
          <w:sz w:val="24"/>
        </w:rPr>
        <w:t> </w:t>
      </w:r>
      <w:r>
        <w:rPr>
          <w:sz w:val="24"/>
        </w:rPr>
        <w:t>men.</w:t>
      </w:r>
    </w:p>
    <w:p>
      <w:pPr>
        <w:pStyle w:val="ListParagraph"/>
        <w:numPr>
          <w:ilvl w:val="0"/>
          <w:numId w:val="3"/>
        </w:numPr>
        <w:tabs>
          <w:tab w:pos="1074" w:val="left" w:leader="none"/>
        </w:tabs>
        <w:spacing w:line="278" w:lineRule="auto" w:before="0" w:after="0"/>
        <w:ind w:left="1073" w:right="474" w:hanging="360"/>
        <w:jc w:val="both"/>
        <w:rPr>
          <w:sz w:val="24"/>
        </w:rPr>
      </w:pPr>
      <w:r>
        <w:rPr>
          <w:sz w:val="24"/>
        </w:rPr>
        <w:t>Equal</w:t>
      </w:r>
      <w:r>
        <w:rPr>
          <w:spacing w:val="-13"/>
          <w:sz w:val="24"/>
        </w:rPr>
        <w:t> </w:t>
      </w:r>
      <w:r>
        <w:rPr>
          <w:sz w:val="24"/>
        </w:rPr>
        <w:t>participation</w:t>
      </w:r>
      <w:r>
        <w:rPr>
          <w:spacing w:val="-9"/>
          <w:sz w:val="24"/>
        </w:rPr>
        <w:t> </w:t>
      </w:r>
      <w:r>
        <w:rPr>
          <w:sz w:val="24"/>
        </w:rPr>
        <w:t>of</w:t>
      </w:r>
      <w:r>
        <w:rPr>
          <w:spacing w:val="-11"/>
          <w:sz w:val="24"/>
        </w:rPr>
        <w:t> </w:t>
      </w:r>
      <w:r>
        <w:rPr>
          <w:sz w:val="24"/>
        </w:rPr>
        <w:t>women</w:t>
      </w:r>
      <w:r>
        <w:rPr>
          <w:spacing w:val="-9"/>
          <w:sz w:val="24"/>
        </w:rPr>
        <w:t> </w:t>
      </w:r>
      <w:r>
        <w:rPr>
          <w:sz w:val="24"/>
        </w:rPr>
        <w:t>in</w:t>
      </w:r>
      <w:r>
        <w:rPr>
          <w:spacing w:val="-9"/>
          <w:sz w:val="24"/>
        </w:rPr>
        <w:t> </w:t>
      </w:r>
      <w:r>
        <w:rPr>
          <w:sz w:val="24"/>
        </w:rPr>
        <w:t>consultations</w:t>
      </w:r>
      <w:r>
        <w:rPr>
          <w:spacing w:val="-13"/>
          <w:sz w:val="24"/>
        </w:rPr>
        <w:t> </w:t>
      </w:r>
      <w:r>
        <w:rPr>
          <w:sz w:val="24"/>
        </w:rPr>
        <w:t>to</w:t>
      </w:r>
      <w:r>
        <w:rPr>
          <w:spacing w:val="-12"/>
          <w:sz w:val="24"/>
        </w:rPr>
        <w:t> </w:t>
      </w:r>
      <w:r>
        <w:rPr>
          <w:sz w:val="24"/>
        </w:rPr>
        <w:t>discuss</w:t>
      </w:r>
      <w:r>
        <w:rPr>
          <w:spacing w:val="-10"/>
          <w:sz w:val="24"/>
        </w:rPr>
        <w:t> </w:t>
      </w:r>
      <w:r>
        <w:rPr>
          <w:sz w:val="24"/>
        </w:rPr>
        <w:t>national</w:t>
      </w:r>
      <w:r>
        <w:rPr>
          <w:spacing w:val="-12"/>
          <w:sz w:val="24"/>
        </w:rPr>
        <w:t> </w:t>
      </w:r>
      <w:r>
        <w:rPr>
          <w:sz w:val="24"/>
        </w:rPr>
        <w:t>policies,</w:t>
      </w:r>
      <w:r>
        <w:rPr>
          <w:spacing w:val="-13"/>
          <w:sz w:val="24"/>
        </w:rPr>
        <w:t> </w:t>
      </w:r>
      <w:r>
        <w:rPr>
          <w:sz w:val="24"/>
        </w:rPr>
        <w:t>plans and legislation.</w:t>
      </w:r>
    </w:p>
    <w:p>
      <w:pPr>
        <w:pStyle w:val="ListParagraph"/>
        <w:numPr>
          <w:ilvl w:val="0"/>
          <w:numId w:val="3"/>
        </w:numPr>
        <w:tabs>
          <w:tab w:pos="1074" w:val="left" w:leader="none"/>
        </w:tabs>
        <w:spacing w:line="276" w:lineRule="auto" w:before="0" w:after="0"/>
        <w:ind w:left="1073" w:right="473" w:hanging="360"/>
        <w:jc w:val="both"/>
        <w:rPr>
          <w:sz w:val="24"/>
        </w:rPr>
      </w:pPr>
      <w:r>
        <w:rPr>
          <w:sz w:val="24"/>
        </w:rPr>
        <w:t>Coordinate efforts with non-governmental organizations on the basis of partnership to address all forms of discrimination against women, particularly in the area of policies and legislation, without limiting themselves to</w:t>
      </w:r>
      <w:r>
        <w:rPr>
          <w:spacing w:val="-30"/>
          <w:sz w:val="24"/>
        </w:rPr>
        <w:t> </w:t>
      </w:r>
      <w:r>
        <w:rPr>
          <w:sz w:val="24"/>
        </w:rPr>
        <w:t>practices.</w:t>
      </w:r>
    </w:p>
    <w:p>
      <w:pPr>
        <w:pStyle w:val="Heading1"/>
        <w:spacing w:before="124"/>
        <w:ind w:left="900"/>
      </w:pPr>
      <w:r>
        <w:rPr/>
        <w:t>Fourth: Education Article 10</w:t>
      </w:r>
    </w:p>
    <w:p>
      <w:pPr>
        <w:spacing w:after="0"/>
        <w:sectPr>
          <w:pgSz w:w="11910" w:h="16840"/>
          <w:pgMar w:header="761" w:footer="1062" w:top="2560" w:bottom="1260" w:left="1380" w:right="1300"/>
        </w:sectPr>
      </w:pPr>
    </w:p>
    <w:p>
      <w:pPr>
        <w:pStyle w:val="BodyText"/>
        <w:spacing w:before="9"/>
        <w:rPr>
          <w:b/>
          <w:sz w:val="17"/>
        </w:rPr>
      </w:pPr>
    </w:p>
    <w:p>
      <w:pPr>
        <w:pStyle w:val="BodyText"/>
        <w:spacing w:before="51"/>
        <w:ind w:left="713"/>
      </w:pPr>
      <w:r>
        <w:rPr/>
        <w:t>The Coalition recommends the Iraqi government</w:t>
      </w:r>
    </w:p>
    <w:p>
      <w:pPr>
        <w:pStyle w:val="ListParagraph"/>
        <w:numPr>
          <w:ilvl w:val="1"/>
          <w:numId w:val="3"/>
        </w:numPr>
        <w:tabs>
          <w:tab w:pos="1434" w:val="left" w:leader="none"/>
        </w:tabs>
        <w:spacing w:line="273" w:lineRule="auto" w:before="44" w:after="0"/>
        <w:ind w:left="1433" w:right="841" w:hanging="360"/>
        <w:jc w:val="both"/>
        <w:rPr>
          <w:sz w:val="24"/>
        </w:rPr>
      </w:pPr>
      <w:r>
        <w:rPr>
          <w:sz w:val="24"/>
        </w:rPr>
        <w:t>Raising the budget allocated for education to 20% of the federal government budget, where the budget allocated for education at the present time is equal to 4% of the total federal government</w:t>
      </w:r>
      <w:r>
        <w:rPr>
          <w:spacing w:val="-19"/>
          <w:sz w:val="24"/>
        </w:rPr>
        <w:t> </w:t>
      </w:r>
      <w:r>
        <w:rPr>
          <w:sz w:val="24"/>
        </w:rPr>
        <w:t>budget.</w:t>
      </w:r>
    </w:p>
    <w:p>
      <w:pPr>
        <w:pStyle w:val="ListParagraph"/>
        <w:numPr>
          <w:ilvl w:val="1"/>
          <w:numId w:val="3"/>
        </w:numPr>
        <w:tabs>
          <w:tab w:pos="1434" w:val="left" w:leader="none"/>
        </w:tabs>
        <w:spacing w:line="273" w:lineRule="auto" w:before="6" w:after="0"/>
        <w:ind w:left="1433" w:right="837" w:hanging="360"/>
        <w:jc w:val="both"/>
        <w:rPr>
          <w:sz w:val="24"/>
        </w:rPr>
      </w:pPr>
      <w:r>
        <w:rPr>
          <w:sz w:val="24"/>
        </w:rPr>
        <w:t>Establish the National Institute to Literacy and ensure the financial allocations and human resources necessary for the success of its mission.</w:t>
      </w:r>
    </w:p>
    <w:p>
      <w:pPr>
        <w:pStyle w:val="ListParagraph"/>
        <w:numPr>
          <w:ilvl w:val="1"/>
          <w:numId w:val="3"/>
        </w:numPr>
        <w:tabs>
          <w:tab w:pos="1434" w:val="left" w:leader="none"/>
        </w:tabs>
        <w:spacing w:line="271" w:lineRule="auto" w:before="5" w:after="0"/>
        <w:ind w:left="1433" w:right="841" w:hanging="360"/>
        <w:jc w:val="both"/>
        <w:rPr>
          <w:sz w:val="24"/>
        </w:rPr>
      </w:pPr>
      <w:r>
        <w:rPr>
          <w:sz w:val="24"/>
        </w:rPr>
        <w:t>Strict application of the literacy law in Iraq and the imposition of sanctions.</w:t>
      </w:r>
    </w:p>
    <w:p>
      <w:pPr>
        <w:pStyle w:val="ListParagraph"/>
        <w:numPr>
          <w:ilvl w:val="1"/>
          <w:numId w:val="3"/>
        </w:numPr>
        <w:tabs>
          <w:tab w:pos="1434" w:val="left" w:leader="none"/>
        </w:tabs>
        <w:spacing w:line="273" w:lineRule="auto" w:before="8" w:after="0"/>
        <w:ind w:left="1433" w:right="837" w:hanging="360"/>
        <w:jc w:val="both"/>
        <w:rPr>
          <w:sz w:val="24"/>
        </w:rPr>
      </w:pPr>
      <w:r>
        <w:rPr>
          <w:sz w:val="24"/>
        </w:rPr>
        <w:t>Develop national strategies to prevent and protect girls from dropping out of education and to create all actors in society to contribute to that strategy.</w:t>
      </w:r>
    </w:p>
    <w:p>
      <w:pPr>
        <w:pStyle w:val="ListParagraph"/>
        <w:numPr>
          <w:ilvl w:val="1"/>
          <w:numId w:val="3"/>
        </w:numPr>
        <w:tabs>
          <w:tab w:pos="1434" w:val="left" w:leader="none"/>
        </w:tabs>
        <w:spacing w:line="273" w:lineRule="auto" w:before="6" w:after="0"/>
        <w:ind w:left="1433" w:right="838" w:hanging="360"/>
        <w:jc w:val="both"/>
        <w:rPr>
          <w:sz w:val="24"/>
        </w:rPr>
      </w:pPr>
      <w:r>
        <w:rPr>
          <w:sz w:val="24"/>
        </w:rPr>
        <w:t>Adopt formal educational curricula to ensure women's needs, taking into</w:t>
      </w:r>
      <w:r>
        <w:rPr>
          <w:spacing w:val="-9"/>
          <w:sz w:val="24"/>
        </w:rPr>
        <w:t> </w:t>
      </w:r>
      <w:r>
        <w:rPr>
          <w:sz w:val="24"/>
        </w:rPr>
        <w:t>account</w:t>
      </w:r>
      <w:r>
        <w:rPr>
          <w:spacing w:val="-10"/>
          <w:sz w:val="24"/>
        </w:rPr>
        <w:t> </w:t>
      </w:r>
      <w:r>
        <w:rPr>
          <w:sz w:val="24"/>
        </w:rPr>
        <w:t>the</w:t>
      </w:r>
      <w:r>
        <w:rPr>
          <w:spacing w:val="-8"/>
          <w:sz w:val="24"/>
        </w:rPr>
        <w:t> </w:t>
      </w:r>
      <w:r>
        <w:rPr>
          <w:sz w:val="24"/>
        </w:rPr>
        <w:t>geographical</w:t>
      </w:r>
      <w:r>
        <w:rPr>
          <w:spacing w:val="-10"/>
          <w:sz w:val="24"/>
        </w:rPr>
        <w:t> </w:t>
      </w:r>
      <w:r>
        <w:rPr>
          <w:sz w:val="24"/>
        </w:rPr>
        <w:t>and</w:t>
      </w:r>
      <w:r>
        <w:rPr>
          <w:spacing w:val="-10"/>
          <w:sz w:val="24"/>
        </w:rPr>
        <w:t> </w:t>
      </w:r>
      <w:r>
        <w:rPr>
          <w:sz w:val="24"/>
        </w:rPr>
        <w:t>qualitative</w:t>
      </w:r>
      <w:r>
        <w:rPr>
          <w:spacing w:val="-8"/>
          <w:sz w:val="24"/>
        </w:rPr>
        <w:t> </w:t>
      </w:r>
      <w:r>
        <w:rPr>
          <w:sz w:val="24"/>
        </w:rPr>
        <w:t>diversity</w:t>
      </w:r>
      <w:r>
        <w:rPr>
          <w:spacing w:val="-9"/>
          <w:sz w:val="24"/>
        </w:rPr>
        <w:t> </w:t>
      </w:r>
      <w:r>
        <w:rPr>
          <w:sz w:val="24"/>
        </w:rPr>
        <w:t>of</w:t>
      </w:r>
      <w:r>
        <w:rPr>
          <w:spacing w:val="-8"/>
          <w:sz w:val="24"/>
        </w:rPr>
        <w:t> </w:t>
      </w:r>
      <w:r>
        <w:rPr>
          <w:sz w:val="24"/>
        </w:rPr>
        <w:t>rural</w:t>
      </w:r>
      <w:r>
        <w:rPr>
          <w:spacing w:val="-8"/>
          <w:sz w:val="24"/>
        </w:rPr>
        <w:t> </w:t>
      </w:r>
      <w:r>
        <w:rPr>
          <w:sz w:val="24"/>
        </w:rPr>
        <w:t>women's learning</w:t>
      </w:r>
      <w:r>
        <w:rPr>
          <w:spacing w:val="-3"/>
          <w:sz w:val="24"/>
        </w:rPr>
        <w:t> </w:t>
      </w:r>
      <w:r>
        <w:rPr>
          <w:sz w:val="24"/>
        </w:rPr>
        <w:t>programs.</w:t>
      </w:r>
    </w:p>
    <w:p>
      <w:pPr>
        <w:pStyle w:val="ListParagraph"/>
        <w:numPr>
          <w:ilvl w:val="1"/>
          <w:numId w:val="3"/>
        </w:numPr>
        <w:tabs>
          <w:tab w:pos="1434" w:val="left" w:leader="none"/>
        </w:tabs>
        <w:spacing w:line="276" w:lineRule="auto" w:before="5" w:after="0"/>
        <w:ind w:left="1433" w:right="829" w:hanging="360"/>
        <w:jc w:val="both"/>
        <w:rPr>
          <w:sz w:val="24"/>
        </w:rPr>
      </w:pPr>
      <w:r>
        <w:rPr>
          <w:sz w:val="24"/>
        </w:rPr>
        <w:t>Full coordination between educational institutions, entities and community-based actors (civil society, clerics, tribal elders, elites and intellectuals)</w:t>
      </w:r>
      <w:r>
        <w:rPr>
          <w:spacing w:val="-12"/>
          <w:sz w:val="24"/>
        </w:rPr>
        <w:t> </w:t>
      </w:r>
      <w:r>
        <w:rPr>
          <w:sz w:val="24"/>
        </w:rPr>
        <w:t>to</w:t>
      </w:r>
      <w:r>
        <w:rPr>
          <w:spacing w:val="-9"/>
          <w:sz w:val="24"/>
        </w:rPr>
        <w:t> </w:t>
      </w:r>
      <w:r>
        <w:rPr>
          <w:sz w:val="24"/>
        </w:rPr>
        <w:t>embrace</w:t>
      </w:r>
      <w:r>
        <w:rPr>
          <w:spacing w:val="-11"/>
          <w:sz w:val="24"/>
        </w:rPr>
        <w:t> </w:t>
      </w:r>
      <w:r>
        <w:rPr>
          <w:sz w:val="24"/>
        </w:rPr>
        <w:t>the</w:t>
      </w:r>
      <w:r>
        <w:rPr>
          <w:spacing w:val="-11"/>
          <w:sz w:val="24"/>
        </w:rPr>
        <w:t> </w:t>
      </w:r>
      <w:r>
        <w:rPr>
          <w:sz w:val="24"/>
        </w:rPr>
        <w:t>concept</w:t>
      </w:r>
      <w:r>
        <w:rPr>
          <w:spacing w:val="-8"/>
          <w:sz w:val="24"/>
        </w:rPr>
        <w:t> </w:t>
      </w:r>
      <w:r>
        <w:rPr>
          <w:sz w:val="24"/>
        </w:rPr>
        <w:t>of</w:t>
      </w:r>
      <w:r>
        <w:rPr>
          <w:spacing w:val="-8"/>
          <w:sz w:val="24"/>
        </w:rPr>
        <w:t> </w:t>
      </w:r>
      <w:r>
        <w:rPr>
          <w:sz w:val="24"/>
        </w:rPr>
        <w:t>justice,</w:t>
      </w:r>
      <w:r>
        <w:rPr>
          <w:spacing w:val="-8"/>
          <w:sz w:val="24"/>
        </w:rPr>
        <w:t> </w:t>
      </w:r>
      <w:r>
        <w:rPr>
          <w:sz w:val="24"/>
        </w:rPr>
        <w:t>equality</w:t>
      </w:r>
      <w:r>
        <w:rPr>
          <w:spacing w:val="-9"/>
          <w:sz w:val="24"/>
        </w:rPr>
        <w:t> </w:t>
      </w:r>
      <w:r>
        <w:rPr>
          <w:sz w:val="24"/>
        </w:rPr>
        <w:t>and</w:t>
      </w:r>
      <w:r>
        <w:rPr>
          <w:spacing w:val="-9"/>
          <w:sz w:val="24"/>
        </w:rPr>
        <w:t> </w:t>
      </w:r>
      <w:r>
        <w:rPr>
          <w:sz w:val="24"/>
        </w:rPr>
        <w:t>the</w:t>
      </w:r>
      <w:r>
        <w:rPr>
          <w:spacing w:val="-10"/>
          <w:sz w:val="24"/>
        </w:rPr>
        <w:t> </w:t>
      </w:r>
      <w:r>
        <w:rPr>
          <w:sz w:val="24"/>
        </w:rPr>
        <w:t>human rights approach of all by virtue of citizenship without discrimination according to</w:t>
      </w:r>
      <w:r>
        <w:rPr>
          <w:spacing w:val="-2"/>
          <w:sz w:val="24"/>
        </w:rPr>
        <w:t> </w:t>
      </w:r>
      <w:r>
        <w:rPr>
          <w:sz w:val="24"/>
        </w:rPr>
        <w:t>gender.</w:t>
      </w:r>
    </w:p>
    <w:p>
      <w:pPr>
        <w:pStyle w:val="ListParagraph"/>
        <w:numPr>
          <w:ilvl w:val="1"/>
          <w:numId w:val="3"/>
        </w:numPr>
        <w:tabs>
          <w:tab w:pos="1434" w:val="left" w:leader="none"/>
        </w:tabs>
        <w:spacing w:line="273" w:lineRule="auto" w:before="0" w:after="0"/>
        <w:ind w:left="1433" w:right="834" w:hanging="360"/>
        <w:jc w:val="both"/>
        <w:rPr>
          <w:sz w:val="24"/>
        </w:rPr>
      </w:pPr>
      <w:r>
        <w:rPr>
          <w:sz w:val="24"/>
        </w:rPr>
        <w:t>Establish links and networks that support the role of civil society and non-governmental organizations that contribute to providing a good model in formal and non-formal education of community education initiatives that meet the needs of women and</w:t>
      </w:r>
      <w:r>
        <w:rPr>
          <w:spacing w:val="-6"/>
          <w:sz w:val="24"/>
        </w:rPr>
        <w:t> </w:t>
      </w:r>
      <w:r>
        <w:rPr>
          <w:sz w:val="24"/>
        </w:rPr>
        <w:t>girls.</w:t>
      </w:r>
    </w:p>
    <w:p>
      <w:pPr>
        <w:pStyle w:val="ListParagraph"/>
        <w:numPr>
          <w:ilvl w:val="1"/>
          <w:numId w:val="3"/>
        </w:numPr>
        <w:tabs>
          <w:tab w:pos="1434" w:val="left" w:leader="none"/>
        </w:tabs>
        <w:spacing w:line="273" w:lineRule="auto" w:before="5" w:after="0"/>
        <w:ind w:left="1433" w:right="829" w:hanging="360"/>
        <w:jc w:val="both"/>
        <w:rPr>
          <w:sz w:val="24"/>
        </w:rPr>
      </w:pPr>
      <w:r>
        <w:rPr>
          <w:sz w:val="24"/>
        </w:rPr>
        <w:t>Develop</w:t>
      </w:r>
      <w:r>
        <w:rPr>
          <w:spacing w:val="-4"/>
          <w:sz w:val="24"/>
        </w:rPr>
        <w:t> </w:t>
      </w:r>
      <w:r>
        <w:rPr>
          <w:sz w:val="24"/>
        </w:rPr>
        <w:t>and</w:t>
      </w:r>
      <w:r>
        <w:rPr>
          <w:spacing w:val="-8"/>
          <w:sz w:val="24"/>
        </w:rPr>
        <w:t> </w:t>
      </w:r>
      <w:r>
        <w:rPr>
          <w:sz w:val="24"/>
        </w:rPr>
        <w:t>update</w:t>
      </w:r>
      <w:r>
        <w:rPr>
          <w:spacing w:val="-6"/>
          <w:sz w:val="24"/>
        </w:rPr>
        <w:t> </w:t>
      </w:r>
      <w:r>
        <w:rPr>
          <w:sz w:val="24"/>
        </w:rPr>
        <w:t>curricula</w:t>
      </w:r>
      <w:r>
        <w:rPr>
          <w:spacing w:val="-3"/>
          <w:sz w:val="24"/>
        </w:rPr>
        <w:t> </w:t>
      </w:r>
      <w:r>
        <w:rPr>
          <w:sz w:val="24"/>
        </w:rPr>
        <w:t>in</w:t>
      </w:r>
      <w:r>
        <w:rPr>
          <w:spacing w:val="-5"/>
          <w:sz w:val="24"/>
        </w:rPr>
        <w:t> </w:t>
      </w:r>
      <w:r>
        <w:rPr>
          <w:sz w:val="24"/>
        </w:rPr>
        <w:t>university</w:t>
      </w:r>
      <w:r>
        <w:rPr>
          <w:spacing w:val="-7"/>
          <w:sz w:val="24"/>
        </w:rPr>
        <w:t> </w:t>
      </w:r>
      <w:r>
        <w:rPr>
          <w:sz w:val="24"/>
        </w:rPr>
        <w:t>and</w:t>
      </w:r>
      <w:r>
        <w:rPr>
          <w:spacing w:val="-8"/>
          <w:sz w:val="24"/>
        </w:rPr>
        <w:t> </w:t>
      </w:r>
      <w:r>
        <w:rPr>
          <w:sz w:val="24"/>
        </w:rPr>
        <w:t>pre-university</w:t>
      </w:r>
      <w:r>
        <w:rPr>
          <w:spacing w:val="-7"/>
          <w:sz w:val="24"/>
        </w:rPr>
        <w:t> </w:t>
      </w:r>
      <w:r>
        <w:rPr>
          <w:sz w:val="24"/>
        </w:rPr>
        <w:t>education so that they adopt a rights approach based on justice and equality by virtue</w:t>
      </w:r>
      <w:r>
        <w:rPr>
          <w:spacing w:val="-8"/>
          <w:sz w:val="24"/>
        </w:rPr>
        <w:t> </w:t>
      </w:r>
      <w:r>
        <w:rPr>
          <w:sz w:val="24"/>
        </w:rPr>
        <w:t>of</w:t>
      </w:r>
      <w:r>
        <w:rPr>
          <w:spacing w:val="-5"/>
          <w:sz w:val="24"/>
        </w:rPr>
        <w:t> </w:t>
      </w:r>
      <w:r>
        <w:rPr>
          <w:sz w:val="24"/>
        </w:rPr>
        <w:t>citizenship</w:t>
      </w:r>
      <w:r>
        <w:rPr>
          <w:spacing w:val="-4"/>
          <w:sz w:val="24"/>
        </w:rPr>
        <w:t> </w:t>
      </w:r>
      <w:r>
        <w:rPr>
          <w:sz w:val="24"/>
        </w:rPr>
        <w:t>and</w:t>
      </w:r>
      <w:r>
        <w:rPr>
          <w:spacing w:val="-7"/>
          <w:sz w:val="24"/>
        </w:rPr>
        <w:t> </w:t>
      </w:r>
      <w:r>
        <w:rPr>
          <w:sz w:val="24"/>
        </w:rPr>
        <w:t>lay</w:t>
      </w:r>
      <w:r>
        <w:rPr>
          <w:spacing w:val="-6"/>
          <w:sz w:val="24"/>
        </w:rPr>
        <w:t> </w:t>
      </w:r>
      <w:r>
        <w:rPr>
          <w:sz w:val="24"/>
        </w:rPr>
        <w:t>the</w:t>
      </w:r>
      <w:r>
        <w:rPr>
          <w:spacing w:val="-4"/>
          <w:sz w:val="24"/>
        </w:rPr>
        <w:t> </w:t>
      </w:r>
      <w:r>
        <w:rPr>
          <w:sz w:val="24"/>
        </w:rPr>
        <w:t>scientific</w:t>
      </w:r>
      <w:r>
        <w:rPr>
          <w:spacing w:val="-9"/>
          <w:sz w:val="24"/>
        </w:rPr>
        <w:t> </w:t>
      </w:r>
      <w:r>
        <w:rPr>
          <w:sz w:val="24"/>
        </w:rPr>
        <w:t>foundations</w:t>
      </w:r>
      <w:r>
        <w:rPr>
          <w:spacing w:val="-8"/>
          <w:sz w:val="24"/>
        </w:rPr>
        <w:t> </w:t>
      </w:r>
      <w:r>
        <w:rPr>
          <w:sz w:val="24"/>
        </w:rPr>
        <w:t>for</w:t>
      </w:r>
      <w:r>
        <w:rPr>
          <w:spacing w:val="-7"/>
          <w:sz w:val="24"/>
        </w:rPr>
        <w:t> </w:t>
      </w:r>
      <w:r>
        <w:rPr>
          <w:sz w:val="24"/>
        </w:rPr>
        <w:t>measuring</w:t>
      </w:r>
      <w:r>
        <w:rPr>
          <w:spacing w:val="-8"/>
          <w:sz w:val="24"/>
        </w:rPr>
        <w:t> </w:t>
      </w:r>
      <w:r>
        <w:rPr>
          <w:sz w:val="24"/>
        </w:rPr>
        <w:t>the impact on demand and</w:t>
      </w:r>
      <w:r>
        <w:rPr>
          <w:spacing w:val="-2"/>
          <w:sz w:val="24"/>
        </w:rPr>
        <w:t> </w:t>
      </w:r>
      <w:r>
        <w:rPr>
          <w:sz w:val="24"/>
        </w:rPr>
        <w:t>society.</w:t>
      </w:r>
    </w:p>
    <w:p>
      <w:pPr>
        <w:pStyle w:val="ListParagraph"/>
        <w:numPr>
          <w:ilvl w:val="1"/>
          <w:numId w:val="3"/>
        </w:numPr>
        <w:tabs>
          <w:tab w:pos="1434" w:val="left" w:leader="none"/>
        </w:tabs>
        <w:spacing w:line="273" w:lineRule="auto" w:before="8" w:after="0"/>
        <w:ind w:left="1433" w:right="829" w:hanging="360"/>
        <w:jc w:val="both"/>
        <w:rPr>
          <w:sz w:val="24"/>
        </w:rPr>
      </w:pPr>
      <w:r>
        <w:rPr>
          <w:sz w:val="24"/>
        </w:rPr>
        <w:t>Develop effective strategic plans for training, building and developing women's capacities in the field of university and pre-university education and measure their impact.</w:t>
      </w:r>
    </w:p>
    <w:p>
      <w:pPr>
        <w:pStyle w:val="BodyText"/>
      </w:pPr>
    </w:p>
    <w:p>
      <w:pPr>
        <w:pStyle w:val="BodyText"/>
        <w:spacing w:before="7"/>
        <w:rPr>
          <w:sz w:val="25"/>
        </w:rPr>
      </w:pPr>
    </w:p>
    <w:p>
      <w:pPr>
        <w:pStyle w:val="Heading1"/>
        <w:ind w:left="900"/>
      </w:pPr>
      <w:r>
        <w:rPr/>
        <w:t>Fifth: Violence against women Article 19</w:t>
      </w:r>
    </w:p>
    <w:p>
      <w:pPr>
        <w:pStyle w:val="BodyText"/>
        <w:spacing w:before="4"/>
        <w:rPr>
          <w:b/>
          <w:sz w:val="25"/>
        </w:rPr>
      </w:pPr>
    </w:p>
    <w:p>
      <w:pPr>
        <w:pStyle w:val="BodyText"/>
        <w:ind w:left="713"/>
      </w:pPr>
      <w:r>
        <w:rPr/>
        <w:t>The Coalition recommends the Iraqi government</w:t>
      </w:r>
    </w:p>
    <w:p>
      <w:pPr>
        <w:spacing w:after="0"/>
        <w:sectPr>
          <w:pgSz w:w="11910" w:h="16840"/>
          <w:pgMar w:header="761" w:footer="1062" w:top="2560" w:bottom="1260" w:left="1380" w:right="1300"/>
        </w:sectPr>
      </w:pPr>
    </w:p>
    <w:p>
      <w:pPr>
        <w:pStyle w:val="BodyText"/>
        <w:spacing w:before="9"/>
        <w:rPr>
          <w:sz w:val="17"/>
        </w:rPr>
      </w:pPr>
    </w:p>
    <w:p>
      <w:pPr>
        <w:pStyle w:val="ListParagraph"/>
        <w:numPr>
          <w:ilvl w:val="0"/>
          <w:numId w:val="4"/>
        </w:numPr>
        <w:tabs>
          <w:tab w:pos="1074" w:val="left" w:leader="none"/>
        </w:tabs>
        <w:spacing w:line="276" w:lineRule="auto" w:before="51" w:after="0"/>
        <w:ind w:left="1073" w:right="469" w:hanging="360"/>
        <w:jc w:val="both"/>
        <w:rPr>
          <w:sz w:val="24"/>
        </w:rPr>
      </w:pPr>
      <w:r>
        <w:rPr>
          <w:sz w:val="24"/>
        </w:rPr>
        <w:t>Seek</w:t>
      </w:r>
      <w:r>
        <w:rPr>
          <w:spacing w:val="-10"/>
          <w:sz w:val="24"/>
        </w:rPr>
        <w:t> </w:t>
      </w:r>
      <w:r>
        <w:rPr>
          <w:sz w:val="24"/>
        </w:rPr>
        <w:t>to</w:t>
      </w:r>
      <w:r>
        <w:rPr>
          <w:spacing w:val="-8"/>
          <w:sz w:val="24"/>
        </w:rPr>
        <w:t> </w:t>
      </w:r>
      <w:r>
        <w:rPr>
          <w:sz w:val="24"/>
        </w:rPr>
        <w:t>adopt</w:t>
      </w:r>
      <w:r>
        <w:rPr>
          <w:spacing w:val="-8"/>
          <w:sz w:val="24"/>
        </w:rPr>
        <w:t> </w:t>
      </w:r>
      <w:r>
        <w:rPr>
          <w:sz w:val="24"/>
        </w:rPr>
        <w:t>a</w:t>
      </w:r>
      <w:r>
        <w:rPr>
          <w:spacing w:val="-11"/>
          <w:sz w:val="24"/>
        </w:rPr>
        <w:t> </w:t>
      </w:r>
      <w:r>
        <w:rPr>
          <w:sz w:val="24"/>
        </w:rPr>
        <w:t>unified</w:t>
      </w:r>
      <w:r>
        <w:rPr>
          <w:spacing w:val="-9"/>
          <w:sz w:val="24"/>
        </w:rPr>
        <w:t> </w:t>
      </w:r>
      <w:r>
        <w:rPr>
          <w:sz w:val="24"/>
        </w:rPr>
        <w:t>law</w:t>
      </w:r>
      <w:r>
        <w:rPr>
          <w:spacing w:val="-8"/>
          <w:sz w:val="24"/>
        </w:rPr>
        <w:t> </w:t>
      </w:r>
      <w:r>
        <w:rPr>
          <w:sz w:val="24"/>
        </w:rPr>
        <w:t>against</w:t>
      </w:r>
      <w:r>
        <w:rPr>
          <w:spacing w:val="-8"/>
          <w:sz w:val="24"/>
        </w:rPr>
        <w:t> </w:t>
      </w:r>
      <w:r>
        <w:rPr>
          <w:sz w:val="24"/>
        </w:rPr>
        <w:t>violence</w:t>
      </w:r>
      <w:r>
        <w:rPr>
          <w:spacing w:val="-9"/>
          <w:sz w:val="24"/>
        </w:rPr>
        <w:t> </w:t>
      </w:r>
      <w:r>
        <w:rPr>
          <w:sz w:val="24"/>
        </w:rPr>
        <w:t>against</w:t>
      </w:r>
      <w:r>
        <w:rPr>
          <w:spacing w:val="-8"/>
          <w:sz w:val="24"/>
        </w:rPr>
        <w:t> </w:t>
      </w:r>
      <w:r>
        <w:rPr>
          <w:sz w:val="24"/>
        </w:rPr>
        <w:t>women</w:t>
      </w:r>
      <w:r>
        <w:rPr>
          <w:spacing w:val="-9"/>
          <w:sz w:val="24"/>
        </w:rPr>
        <w:t> </w:t>
      </w:r>
      <w:r>
        <w:rPr>
          <w:sz w:val="24"/>
        </w:rPr>
        <w:t>and</w:t>
      </w:r>
      <w:r>
        <w:rPr>
          <w:spacing w:val="-8"/>
          <w:sz w:val="24"/>
        </w:rPr>
        <w:t> </w:t>
      </w:r>
      <w:r>
        <w:rPr>
          <w:sz w:val="24"/>
        </w:rPr>
        <w:t>work</w:t>
      </w:r>
      <w:r>
        <w:rPr>
          <w:spacing w:val="-11"/>
          <w:sz w:val="24"/>
        </w:rPr>
        <w:t> </w:t>
      </w:r>
      <w:r>
        <w:rPr>
          <w:sz w:val="24"/>
        </w:rPr>
        <w:t>to</w:t>
      </w:r>
      <w:r>
        <w:rPr>
          <w:spacing w:val="-11"/>
          <w:sz w:val="24"/>
        </w:rPr>
        <w:t> </w:t>
      </w:r>
      <w:r>
        <w:rPr>
          <w:sz w:val="24"/>
        </w:rPr>
        <w:t>amend legislation that enshrines violence and discrimination against women in penal code and personal</w:t>
      </w:r>
      <w:r>
        <w:rPr>
          <w:spacing w:val="-1"/>
          <w:sz w:val="24"/>
        </w:rPr>
        <w:t> </w:t>
      </w:r>
      <w:r>
        <w:rPr>
          <w:sz w:val="24"/>
        </w:rPr>
        <w:t>laws.</w:t>
      </w:r>
    </w:p>
    <w:p>
      <w:pPr>
        <w:pStyle w:val="ListParagraph"/>
        <w:numPr>
          <w:ilvl w:val="0"/>
          <w:numId w:val="4"/>
        </w:numPr>
        <w:tabs>
          <w:tab w:pos="1074" w:val="left" w:leader="none"/>
        </w:tabs>
        <w:spacing w:line="276" w:lineRule="auto" w:before="0" w:after="0"/>
        <w:ind w:left="1073" w:right="472" w:hanging="360"/>
        <w:jc w:val="both"/>
        <w:rPr>
          <w:sz w:val="24"/>
        </w:rPr>
      </w:pPr>
      <w:r>
        <w:rPr>
          <w:sz w:val="24"/>
        </w:rPr>
        <w:t>Strengthen</w:t>
      </w:r>
      <w:r>
        <w:rPr>
          <w:spacing w:val="-11"/>
          <w:sz w:val="24"/>
        </w:rPr>
        <w:t> </w:t>
      </w:r>
      <w:r>
        <w:rPr>
          <w:sz w:val="24"/>
        </w:rPr>
        <w:t>policies</w:t>
      </w:r>
      <w:r>
        <w:rPr>
          <w:spacing w:val="-11"/>
          <w:sz w:val="24"/>
        </w:rPr>
        <w:t> </w:t>
      </w:r>
      <w:r>
        <w:rPr>
          <w:sz w:val="24"/>
        </w:rPr>
        <w:t>and</w:t>
      </w:r>
      <w:r>
        <w:rPr>
          <w:spacing w:val="-11"/>
          <w:sz w:val="24"/>
        </w:rPr>
        <w:t> </w:t>
      </w:r>
      <w:r>
        <w:rPr>
          <w:sz w:val="24"/>
        </w:rPr>
        <w:t>plans</w:t>
      </w:r>
      <w:r>
        <w:rPr>
          <w:spacing w:val="-11"/>
          <w:sz w:val="24"/>
        </w:rPr>
        <w:t> </w:t>
      </w:r>
      <w:r>
        <w:rPr>
          <w:sz w:val="24"/>
        </w:rPr>
        <w:t>to</w:t>
      </w:r>
      <w:r>
        <w:rPr>
          <w:spacing w:val="-14"/>
          <w:sz w:val="24"/>
        </w:rPr>
        <w:t> </w:t>
      </w:r>
      <w:r>
        <w:rPr>
          <w:sz w:val="24"/>
        </w:rPr>
        <w:t>eliminate</w:t>
      </w:r>
      <w:r>
        <w:rPr>
          <w:spacing w:val="-10"/>
          <w:sz w:val="24"/>
        </w:rPr>
        <w:t> </w:t>
      </w:r>
      <w:r>
        <w:rPr>
          <w:sz w:val="24"/>
        </w:rPr>
        <w:t>violence</w:t>
      </w:r>
      <w:r>
        <w:rPr>
          <w:spacing w:val="-11"/>
          <w:sz w:val="24"/>
        </w:rPr>
        <w:t> </w:t>
      </w:r>
      <w:r>
        <w:rPr>
          <w:sz w:val="24"/>
        </w:rPr>
        <w:t>against</w:t>
      </w:r>
      <w:r>
        <w:rPr>
          <w:spacing w:val="-13"/>
          <w:sz w:val="24"/>
        </w:rPr>
        <w:t> </w:t>
      </w:r>
      <w:r>
        <w:rPr>
          <w:sz w:val="24"/>
        </w:rPr>
        <w:t>women</w:t>
      </w:r>
      <w:r>
        <w:rPr>
          <w:spacing w:val="-10"/>
          <w:sz w:val="24"/>
        </w:rPr>
        <w:t> </w:t>
      </w:r>
      <w:r>
        <w:rPr>
          <w:sz w:val="24"/>
        </w:rPr>
        <w:t>by</w:t>
      </w:r>
      <w:r>
        <w:rPr>
          <w:spacing w:val="-15"/>
          <w:sz w:val="24"/>
        </w:rPr>
        <w:t> </w:t>
      </w:r>
      <w:r>
        <w:rPr>
          <w:sz w:val="24"/>
        </w:rPr>
        <w:t>providing protection, prevention, rehabilitation, reintegration and remedies, redress for victims and prosecution and prevention of impunity for</w:t>
      </w:r>
      <w:r>
        <w:rPr>
          <w:spacing w:val="-10"/>
          <w:sz w:val="24"/>
        </w:rPr>
        <w:t> </w:t>
      </w:r>
      <w:r>
        <w:rPr>
          <w:sz w:val="24"/>
        </w:rPr>
        <w:t>offenders.</w:t>
      </w:r>
    </w:p>
    <w:p>
      <w:pPr>
        <w:pStyle w:val="ListParagraph"/>
        <w:numPr>
          <w:ilvl w:val="0"/>
          <w:numId w:val="4"/>
        </w:numPr>
        <w:tabs>
          <w:tab w:pos="1074" w:val="left" w:leader="none"/>
        </w:tabs>
        <w:spacing w:line="276" w:lineRule="auto" w:before="0" w:after="0"/>
        <w:ind w:left="1073" w:right="466" w:hanging="360"/>
        <w:jc w:val="both"/>
        <w:rPr>
          <w:sz w:val="24"/>
        </w:rPr>
      </w:pPr>
      <w:r>
        <w:rPr>
          <w:sz w:val="24"/>
        </w:rPr>
        <w:t>A legal framework governing the administration and financing of women’s shelters,</w:t>
      </w:r>
      <w:r>
        <w:rPr>
          <w:spacing w:val="-13"/>
          <w:sz w:val="24"/>
        </w:rPr>
        <w:t> </w:t>
      </w:r>
      <w:r>
        <w:rPr>
          <w:sz w:val="24"/>
        </w:rPr>
        <w:t>referral</w:t>
      </w:r>
      <w:r>
        <w:rPr>
          <w:spacing w:val="-13"/>
          <w:sz w:val="24"/>
        </w:rPr>
        <w:t> </w:t>
      </w:r>
      <w:r>
        <w:rPr>
          <w:sz w:val="24"/>
        </w:rPr>
        <w:t>mechanisms,</w:t>
      </w:r>
      <w:r>
        <w:rPr>
          <w:spacing w:val="-14"/>
          <w:sz w:val="24"/>
        </w:rPr>
        <w:t> </w:t>
      </w:r>
      <w:r>
        <w:rPr>
          <w:sz w:val="24"/>
        </w:rPr>
        <w:t>and</w:t>
      </w:r>
      <w:r>
        <w:rPr>
          <w:spacing w:val="-12"/>
          <w:sz w:val="24"/>
        </w:rPr>
        <w:t> </w:t>
      </w:r>
      <w:r>
        <w:rPr>
          <w:sz w:val="24"/>
        </w:rPr>
        <w:t>rights</w:t>
      </w:r>
      <w:r>
        <w:rPr>
          <w:spacing w:val="-14"/>
          <w:sz w:val="24"/>
        </w:rPr>
        <w:t> </w:t>
      </w:r>
      <w:r>
        <w:rPr>
          <w:sz w:val="24"/>
        </w:rPr>
        <w:t>and</w:t>
      </w:r>
      <w:r>
        <w:rPr>
          <w:spacing w:val="-13"/>
          <w:sz w:val="24"/>
        </w:rPr>
        <w:t> </w:t>
      </w:r>
      <w:r>
        <w:rPr>
          <w:sz w:val="24"/>
        </w:rPr>
        <w:t>obligations</w:t>
      </w:r>
      <w:r>
        <w:rPr>
          <w:spacing w:val="-14"/>
          <w:sz w:val="24"/>
        </w:rPr>
        <w:t> </w:t>
      </w:r>
      <w:r>
        <w:rPr>
          <w:sz w:val="24"/>
        </w:rPr>
        <w:t>of</w:t>
      </w:r>
      <w:r>
        <w:rPr>
          <w:spacing w:val="-13"/>
          <w:sz w:val="24"/>
        </w:rPr>
        <w:t> </w:t>
      </w:r>
      <w:r>
        <w:rPr>
          <w:sz w:val="24"/>
        </w:rPr>
        <w:t>the</w:t>
      </w:r>
      <w:r>
        <w:rPr>
          <w:spacing w:val="-14"/>
          <w:sz w:val="24"/>
        </w:rPr>
        <w:t> </w:t>
      </w:r>
      <w:r>
        <w:rPr>
          <w:sz w:val="24"/>
        </w:rPr>
        <w:t>women.</w:t>
      </w:r>
      <w:r>
        <w:rPr>
          <w:spacing w:val="-14"/>
          <w:sz w:val="24"/>
        </w:rPr>
        <w:t> </w:t>
      </w:r>
      <w:r>
        <w:rPr>
          <w:sz w:val="24"/>
        </w:rPr>
        <w:t>Change the idea of detention to care and rehabolitation of women in the</w:t>
      </w:r>
      <w:r>
        <w:rPr>
          <w:spacing w:val="-26"/>
          <w:sz w:val="24"/>
        </w:rPr>
        <w:t> </w:t>
      </w:r>
      <w:r>
        <w:rPr>
          <w:sz w:val="24"/>
        </w:rPr>
        <w:t>shelters.</w:t>
      </w:r>
    </w:p>
    <w:p>
      <w:pPr>
        <w:pStyle w:val="ListParagraph"/>
        <w:numPr>
          <w:ilvl w:val="0"/>
          <w:numId w:val="4"/>
        </w:numPr>
        <w:tabs>
          <w:tab w:pos="1074" w:val="left" w:leader="none"/>
        </w:tabs>
        <w:spacing w:line="240" w:lineRule="auto" w:before="0" w:after="0"/>
        <w:ind w:left="1073" w:right="0" w:hanging="360"/>
        <w:jc w:val="left"/>
        <w:rPr>
          <w:sz w:val="24"/>
        </w:rPr>
      </w:pPr>
      <w:r>
        <w:rPr>
          <w:sz w:val="24"/>
        </w:rPr>
        <w:t>Abolition of article 41 Iraqi Panel Code No. 111 of</w:t>
      </w:r>
      <w:r>
        <w:rPr>
          <w:spacing w:val="-21"/>
          <w:sz w:val="24"/>
        </w:rPr>
        <w:t> </w:t>
      </w:r>
      <w:r>
        <w:rPr>
          <w:sz w:val="24"/>
        </w:rPr>
        <w:t>1969</w:t>
      </w:r>
    </w:p>
    <w:p>
      <w:pPr>
        <w:pStyle w:val="ListParagraph"/>
        <w:numPr>
          <w:ilvl w:val="0"/>
          <w:numId w:val="4"/>
        </w:numPr>
        <w:tabs>
          <w:tab w:pos="1074" w:val="left" w:leader="none"/>
        </w:tabs>
        <w:spacing w:line="276" w:lineRule="auto" w:before="45" w:after="0"/>
        <w:ind w:left="1073" w:right="474" w:hanging="360"/>
        <w:jc w:val="both"/>
        <w:rPr>
          <w:sz w:val="24"/>
        </w:rPr>
      </w:pPr>
      <w:r>
        <w:rPr>
          <w:sz w:val="24"/>
        </w:rPr>
        <w:t>Activation of the decisions of the dissolved Revolution Command Council 253 of 1980, 1040 of 1980, 1239 of 1980, and provision of financial allocations in the general budget of the Interim Expenditure</w:t>
      </w:r>
      <w:r>
        <w:rPr>
          <w:spacing w:val="-6"/>
          <w:sz w:val="24"/>
        </w:rPr>
        <w:t> </w:t>
      </w:r>
      <w:r>
        <w:rPr>
          <w:sz w:val="24"/>
        </w:rPr>
        <w:t>Fund.</w:t>
      </w:r>
    </w:p>
    <w:p>
      <w:pPr>
        <w:pStyle w:val="ListParagraph"/>
        <w:numPr>
          <w:ilvl w:val="0"/>
          <w:numId w:val="4"/>
        </w:numPr>
        <w:tabs>
          <w:tab w:pos="1074" w:val="left" w:leader="none"/>
        </w:tabs>
        <w:spacing w:line="276" w:lineRule="auto" w:before="0" w:after="0"/>
        <w:ind w:left="1073" w:right="467" w:hanging="360"/>
        <w:jc w:val="both"/>
        <w:rPr>
          <w:sz w:val="24"/>
        </w:rPr>
      </w:pPr>
      <w:r>
        <w:rPr>
          <w:sz w:val="24"/>
        </w:rPr>
        <w:t>Reform of the conditions of the women's prison environment in Iraq to the extent that Iraq respects its national and international obligations under the Convention and the international norms and standards, specifically the 1977 Standard</w:t>
      </w:r>
      <w:r>
        <w:rPr>
          <w:spacing w:val="-15"/>
          <w:sz w:val="24"/>
        </w:rPr>
        <w:t> </w:t>
      </w:r>
      <w:r>
        <w:rPr>
          <w:sz w:val="24"/>
        </w:rPr>
        <w:t>Minimum</w:t>
      </w:r>
      <w:r>
        <w:rPr>
          <w:spacing w:val="-15"/>
          <w:sz w:val="24"/>
        </w:rPr>
        <w:t> </w:t>
      </w:r>
      <w:r>
        <w:rPr>
          <w:sz w:val="24"/>
        </w:rPr>
        <w:t>Rules</w:t>
      </w:r>
      <w:r>
        <w:rPr>
          <w:spacing w:val="-16"/>
          <w:sz w:val="24"/>
        </w:rPr>
        <w:t> </w:t>
      </w:r>
      <w:r>
        <w:rPr>
          <w:sz w:val="24"/>
        </w:rPr>
        <w:t>for</w:t>
      </w:r>
      <w:r>
        <w:rPr>
          <w:spacing w:val="-16"/>
          <w:sz w:val="24"/>
        </w:rPr>
        <w:t> </w:t>
      </w:r>
      <w:r>
        <w:rPr>
          <w:sz w:val="24"/>
        </w:rPr>
        <w:t>the</w:t>
      </w:r>
      <w:r>
        <w:rPr>
          <w:spacing w:val="-14"/>
          <w:sz w:val="24"/>
        </w:rPr>
        <w:t> </w:t>
      </w:r>
      <w:r>
        <w:rPr>
          <w:sz w:val="24"/>
        </w:rPr>
        <w:t>Treatment</w:t>
      </w:r>
      <w:r>
        <w:rPr>
          <w:spacing w:val="-13"/>
          <w:sz w:val="24"/>
        </w:rPr>
        <w:t> </w:t>
      </w:r>
      <w:r>
        <w:rPr>
          <w:sz w:val="24"/>
        </w:rPr>
        <w:t>of</w:t>
      </w:r>
      <w:r>
        <w:rPr>
          <w:spacing w:val="-14"/>
          <w:sz w:val="24"/>
        </w:rPr>
        <w:t> </w:t>
      </w:r>
      <w:r>
        <w:rPr>
          <w:sz w:val="24"/>
        </w:rPr>
        <w:t>Prisoners</w:t>
      </w:r>
      <w:r>
        <w:rPr>
          <w:spacing w:val="-15"/>
          <w:sz w:val="24"/>
        </w:rPr>
        <w:t> </w:t>
      </w:r>
      <w:r>
        <w:rPr>
          <w:sz w:val="24"/>
        </w:rPr>
        <w:t>and</w:t>
      </w:r>
      <w:r>
        <w:rPr>
          <w:spacing w:val="-15"/>
          <w:sz w:val="24"/>
        </w:rPr>
        <w:t> </w:t>
      </w:r>
      <w:r>
        <w:rPr>
          <w:sz w:val="24"/>
        </w:rPr>
        <w:t>the</w:t>
      </w:r>
      <w:r>
        <w:rPr>
          <w:spacing w:val="-14"/>
          <w:sz w:val="24"/>
        </w:rPr>
        <w:t> </w:t>
      </w:r>
      <w:r>
        <w:rPr>
          <w:sz w:val="24"/>
        </w:rPr>
        <w:t>United</w:t>
      </w:r>
      <w:r>
        <w:rPr>
          <w:spacing w:val="-14"/>
          <w:sz w:val="24"/>
        </w:rPr>
        <w:t> </w:t>
      </w:r>
      <w:r>
        <w:rPr>
          <w:sz w:val="24"/>
        </w:rPr>
        <w:t>Nations Standard Minimum Rules for Non-custodial Measures (the Tokyo Rules) 1990 United</w:t>
      </w:r>
      <w:r>
        <w:rPr>
          <w:spacing w:val="-9"/>
          <w:sz w:val="24"/>
        </w:rPr>
        <w:t> </w:t>
      </w:r>
      <w:r>
        <w:rPr>
          <w:sz w:val="24"/>
        </w:rPr>
        <w:t>Nations</w:t>
      </w:r>
      <w:r>
        <w:rPr>
          <w:spacing w:val="-8"/>
          <w:sz w:val="24"/>
        </w:rPr>
        <w:t> </w:t>
      </w:r>
      <w:r>
        <w:rPr>
          <w:sz w:val="24"/>
        </w:rPr>
        <w:t>Rules</w:t>
      </w:r>
      <w:r>
        <w:rPr>
          <w:spacing w:val="-8"/>
          <w:sz w:val="24"/>
        </w:rPr>
        <w:t> </w:t>
      </w:r>
      <w:r>
        <w:rPr>
          <w:sz w:val="24"/>
        </w:rPr>
        <w:t>for</w:t>
      </w:r>
      <w:r>
        <w:rPr>
          <w:spacing w:val="-11"/>
          <w:sz w:val="24"/>
        </w:rPr>
        <w:t> </w:t>
      </w:r>
      <w:r>
        <w:rPr>
          <w:sz w:val="24"/>
        </w:rPr>
        <w:t>the</w:t>
      </w:r>
      <w:r>
        <w:rPr>
          <w:spacing w:val="-9"/>
          <w:sz w:val="24"/>
        </w:rPr>
        <w:t> </w:t>
      </w:r>
      <w:r>
        <w:rPr>
          <w:sz w:val="24"/>
        </w:rPr>
        <w:t>Treatment</w:t>
      </w:r>
      <w:r>
        <w:rPr>
          <w:spacing w:val="-8"/>
          <w:sz w:val="24"/>
        </w:rPr>
        <w:t> </w:t>
      </w:r>
      <w:r>
        <w:rPr>
          <w:sz w:val="24"/>
        </w:rPr>
        <w:t>of</w:t>
      </w:r>
      <w:r>
        <w:rPr>
          <w:spacing w:val="-6"/>
          <w:sz w:val="24"/>
        </w:rPr>
        <w:t> </w:t>
      </w:r>
      <w:r>
        <w:rPr>
          <w:sz w:val="24"/>
        </w:rPr>
        <w:t>Women</w:t>
      </w:r>
      <w:r>
        <w:rPr>
          <w:spacing w:val="-6"/>
          <w:sz w:val="24"/>
        </w:rPr>
        <w:t> </w:t>
      </w:r>
      <w:r>
        <w:rPr>
          <w:sz w:val="24"/>
        </w:rPr>
        <w:t>Prisoners</w:t>
      </w:r>
      <w:r>
        <w:rPr>
          <w:spacing w:val="-7"/>
          <w:sz w:val="24"/>
        </w:rPr>
        <w:t> </w:t>
      </w:r>
      <w:r>
        <w:rPr>
          <w:sz w:val="24"/>
        </w:rPr>
        <w:t>and</w:t>
      </w:r>
      <w:r>
        <w:rPr>
          <w:spacing w:val="-8"/>
          <w:sz w:val="24"/>
        </w:rPr>
        <w:t> </w:t>
      </w:r>
      <w:r>
        <w:rPr>
          <w:sz w:val="24"/>
        </w:rPr>
        <w:t>Non-custodial Measures for Offenders (Bangkok Rules) 2010 and United Nations Standard Minimum Rules for the Administration of Juvenile Justice (Beijing Rules)</w:t>
      </w:r>
      <w:r>
        <w:rPr>
          <w:spacing w:val="-26"/>
          <w:sz w:val="24"/>
        </w:rPr>
        <w:t> </w:t>
      </w:r>
      <w:r>
        <w:rPr>
          <w:sz w:val="24"/>
        </w:rPr>
        <w:t>1985.</w:t>
      </w:r>
    </w:p>
    <w:p>
      <w:pPr>
        <w:pStyle w:val="ListParagraph"/>
        <w:numPr>
          <w:ilvl w:val="0"/>
          <w:numId w:val="4"/>
        </w:numPr>
        <w:tabs>
          <w:tab w:pos="1074" w:val="left" w:leader="none"/>
        </w:tabs>
        <w:spacing w:line="276" w:lineRule="auto" w:before="0" w:after="0"/>
        <w:ind w:left="1073" w:right="476" w:hanging="360"/>
        <w:jc w:val="both"/>
        <w:rPr>
          <w:sz w:val="24"/>
        </w:rPr>
      </w:pPr>
      <w:r>
        <w:rPr>
          <w:sz w:val="24"/>
        </w:rPr>
        <w:t>Ensure</w:t>
      </w:r>
      <w:r>
        <w:rPr>
          <w:spacing w:val="-17"/>
          <w:sz w:val="24"/>
        </w:rPr>
        <w:t> </w:t>
      </w:r>
      <w:r>
        <w:rPr>
          <w:sz w:val="24"/>
        </w:rPr>
        <w:t>the</w:t>
      </w:r>
      <w:r>
        <w:rPr>
          <w:spacing w:val="-14"/>
          <w:sz w:val="24"/>
        </w:rPr>
        <w:t> </w:t>
      </w:r>
      <w:r>
        <w:rPr>
          <w:sz w:val="24"/>
        </w:rPr>
        <w:t>rights</w:t>
      </w:r>
      <w:r>
        <w:rPr>
          <w:spacing w:val="-15"/>
          <w:sz w:val="24"/>
        </w:rPr>
        <w:t> </w:t>
      </w:r>
      <w:r>
        <w:rPr>
          <w:sz w:val="24"/>
        </w:rPr>
        <w:t>of</w:t>
      </w:r>
      <w:r>
        <w:rPr>
          <w:spacing w:val="-13"/>
          <w:sz w:val="24"/>
        </w:rPr>
        <w:t> </w:t>
      </w:r>
      <w:r>
        <w:rPr>
          <w:sz w:val="24"/>
        </w:rPr>
        <w:t>victims</w:t>
      </w:r>
      <w:r>
        <w:rPr>
          <w:spacing w:val="-13"/>
          <w:sz w:val="24"/>
        </w:rPr>
        <w:t> </w:t>
      </w:r>
      <w:r>
        <w:rPr>
          <w:sz w:val="24"/>
        </w:rPr>
        <w:t>to</w:t>
      </w:r>
      <w:r>
        <w:rPr>
          <w:spacing w:val="-14"/>
          <w:sz w:val="24"/>
        </w:rPr>
        <w:t> </w:t>
      </w:r>
      <w:r>
        <w:rPr>
          <w:sz w:val="24"/>
        </w:rPr>
        <w:t>receive</w:t>
      </w:r>
      <w:r>
        <w:rPr>
          <w:spacing w:val="-14"/>
          <w:sz w:val="24"/>
        </w:rPr>
        <w:t> </w:t>
      </w:r>
      <w:r>
        <w:rPr>
          <w:sz w:val="24"/>
        </w:rPr>
        <w:t>free</w:t>
      </w:r>
      <w:r>
        <w:rPr>
          <w:spacing w:val="-13"/>
          <w:sz w:val="24"/>
        </w:rPr>
        <w:t> </w:t>
      </w:r>
      <w:r>
        <w:rPr>
          <w:sz w:val="24"/>
        </w:rPr>
        <w:t>health,</w:t>
      </w:r>
      <w:r>
        <w:rPr>
          <w:spacing w:val="-14"/>
          <w:sz w:val="24"/>
        </w:rPr>
        <w:t> </w:t>
      </w:r>
      <w:r>
        <w:rPr>
          <w:sz w:val="24"/>
        </w:rPr>
        <w:t>psychological,</w:t>
      </w:r>
      <w:r>
        <w:rPr>
          <w:spacing w:val="-13"/>
          <w:sz w:val="24"/>
        </w:rPr>
        <w:t> </w:t>
      </w:r>
      <w:r>
        <w:rPr>
          <w:sz w:val="24"/>
        </w:rPr>
        <w:t>legal</w:t>
      </w:r>
      <w:r>
        <w:rPr>
          <w:spacing w:val="-14"/>
          <w:sz w:val="24"/>
        </w:rPr>
        <w:t> </w:t>
      </w:r>
      <w:r>
        <w:rPr>
          <w:sz w:val="24"/>
        </w:rPr>
        <w:t>and</w:t>
      </w:r>
      <w:r>
        <w:rPr>
          <w:spacing w:val="-14"/>
          <w:sz w:val="24"/>
        </w:rPr>
        <w:t> </w:t>
      </w:r>
      <w:r>
        <w:rPr>
          <w:sz w:val="24"/>
        </w:rPr>
        <w:t>social services and to provide safe shelters for</w:t>
      </w:r>
      <w:r>
        <w:rPr>
          <w:spacing w:val="-4"/>
          <w:sz w:val="24"/>
        </w:rPr>
        <w:t> </w:t>
      </w:r>
      <w:r>
        <w:rPr>
          <w:sz w:val="24"/>
        </w:rPr>
        <w:t>them.</w:t>
      </w:r>
    </w:p>
    <w:p>
      <w:pPr>
        <w:pStyle w:val="ListParagraph"/>
        <w:numPr>
          <w:ilvl w:val="0"/>
          <w:numId w:val="4"/>
        </w:numPr>
        <w:tabs>
          <w:tab w:pos="1074" w:val="left" w:leader="none"/>
        </w:tabs>
        <w:spacing w:line="276" w:lineRule="auto" w:before="1" w:after="0"/>
        <w:ind w:left="1073" w:right="469" w:hanging="360"/>
        <w:jc w:val="both"/>
        <w:rPr>
          <w:sz w:val="24"/>
        </w:rPr>
      </w:pPr>
      <w:r>
        <w:rPr>
          <w:sz w:val="24"/>
        </w:rPr>
        <w:t>Develop</w:t>
      </w:r>
      <w:r>
        <w:rPr>
          <w:spacing w:val="-5"/>
          <w:sz w:val="24"/>
        </w:rPr>
        <w:t> </w:t>
      </w:r>
      <w:r>
        <w:rPr>
          <w:sz w:val="24"/>
        </w:rPr>
        <w:t>and</w:t>
      </w:r>
      <w:r>
        <w:rPr>
          <w:spacing w:val="-4"/>
          <w:sz w:val="24"/>
        </w:rPr>
        <w:t> </w:t>
      </w:r>
      <w:r>
        <w:rPr>
          <w:sz w:val="24"/>
        </w:rPr>
        <w:t>centrally</w:t>
      </w:r>
      <w:r>
        <w:rPr>
          <w:spacing w:val="-5"/>
          <w:sz w:val="24"/>
        </w:rPr>
        <w:t> </w:t>
      </w:r>
      <w:r>
        <w:rPr>
          <w:sz w:val="24"/>
        </w:rPr>
        <w:t>document</w:t>
      </w:r>
      <w:r>
        <w:rPr>
          <w:spacing w:val="-6"/>
          <w:sz w:val="24"/>
        </w:rPr>
        <w:t> </w:t>
      </w:r>
      <w:r>
        <w:rPr>
          <w:sz w:val="24"/>
        </w:rPr>
        <w:t>referral</w:t>
      </w:r>
      <w:r>
        <w:rPr>
          <w:spacing w:val="-7"/>
          <w:sz w:val="24"/>
        </w:rPr>
        <w:t> </w:t>
      </w:r>
      <w:r>
        <w:rPr>
          <w:sz w:val="24"/>
        </w:rPr>
        <w:t>and</w:t>
      </w:r>
      <w:r>
        <w:rPr>
          <w:spacing w:val="-4"/>
          <w:sz w:val="24"/>
        </w:rPr>
        <w:t> </w:t>
      </w:r>
      <w:r>
        <w:rPr>
          <w:sz w:val="24"/>
        </w:rPr>
        <w:t>monitoring</w:t>
      </w:r>
      <w:r>
        <w:rPr>
          <w:spacing w:val="-7"/>
          <w:sz w:val="24"/>
        </w:rPr>
        <w:t> </w:t>
      </w:r>
      <w:r>
        <w:rPr>
          <w:sz w:val="24"/>
        </w:rPr>
        <w:t>systems</w:t>
      </w:r>
      <w:r>
        <w:rPr>
          <w:spacing w:val="-7"/>
          <w:sz w:val="24"/>
        </w:rPr>
        <w:t> </w:t>
      </w:r>
      <w:r>
        <w:rPr>
          <w:sz w:val="24"/>
        </w:rPr>
        <w:t>for</w:t>
      </w:r>
      <w:r>
        <w:rPr>
          <w:spacing w:val="-6"/>
          <w:sz w:val="24"/>
        </w:rPr>
        <w:t> </w:t>
      </w:r>
      <w:r>
        <w:rPr>
          <w:sz w:val="24"/>
        </w:rPr>
        <w:t>situations of violence against women and adopt effective follow-up, monitoring and monitoring</w:t>
      </w:r>
      <w:r>
        <w:rPr>
          <w:spacing w:val="-3"/>
          <w:sz w:val="24"/>
        </w:rPr>
        <w:t> </w:t>
      </w:r>
      <w:r>
        <w:rPr>
          <w:sz w:val="24"/>
        </w:rPr>
        <w:t>mechanisms.</w:t>
      </w:r>
    </w:p>
    <w:p>
      <w:pPr>
        <w:pStyle w:val="ListParagraph"/>
        <w:numPr>
          <w:ilvl w:val="0"/>
          <w:numId w:val="4"/>
        </w:numPr>
        <w:tabs>
          <w:tab w:pos="1074" w:val="left" w:leader="none"/>
        </w:tabs>
        <w:spacing w:line="276" w:lineRule="auto" w:before="0" w:after="0"/>
        <w:ind w:left="1073" w:right="470" w:hanging="360"/>
        <w:jc w:val="both"/>
        <w:rPr>
          <w:sz w:val="24"/>
        </w:rPr>
      </w:pPr>
      <w:r>
        <w:rPr>
          <w:sz w:val="24"/>
        </w:rPr>
        <w:t>Strengthen the capacities of the justice system (judiciary-law enforcement) in Iraq to address violence against</w:t>
      </w:r>
      <w:r>
        <w:rPr>
          <w:spacing w:val="-7"/>
          <w:sz w:val="24"/>
        </w:rPr>
        <w:t> </w:t>
      </w:r>
      <w:r>
        <w:rPr>
          <w:sz w:val="24"/>
        </w:rPr>
        <w:t>women</w:t>
      </w:r>
    </w:p>
    <w:p>
      <w:pPr>
        <w:pStyle w:val="ListParagraph"/>
        <w:numPr>
          <w:ilvl w:val="0"/>
          <w:numId w:val="4"/>
        </w:numPr>
        <w:tabs>
          <w:tab w:pos="1074" w:val="left" w:leader="none"/>
        </w:tabs>
        <w:spacing w:line="278" w:lineRule="auto" w:before="0" w:after="0"/>
        <w:ind w:left="1073" w:right="473" w:hanging="360"/>
        <w:jc w:val="both"/>
        <w:rPr>
          <w:sz w:val="24"/>
        </w:rPr>
      </w:pPr>
      <w:r>
        <w:rPr>
          <w:sz w:val="24"/>
        </w:rPr>
        <w:t>Involve and support programs and initiatives of civil society in efforts against violence against women at all</w:t>
      </w:r>
      <w:r>
        <w:rPr>
          <w:spacing w:val="-4"/>
          <w:sz w:val="24"/>
        </w:rPr>
        <w:t> </w:t>
      </w:r>
      <w:r>
        <w:rPr>
          <w:sz w:val="24"/>
        </w:rPr>
        <w:t>stages.</w:t>
      </w:r>
    </w:p>
    <w:p>
      <w:pPr>
        <w:pStyle w:val="ListParagraph"/>
        <w:numPr>
          <w:ilvl w:val="0"/>
          <w:numId w:val="4"/>
        </w:numPr>
        <w:tabs>
          <w:tab w:pos="1074" w:val="left" w:leader="none"/>
        </w:tabs>
        <w:spacing w:line="278" w:lineRule="auto" w:before="0" w:after="0"/>
        <w:ind w:left="1073" w:right="476" w:hanging="360"/>
        <w:jc w:val="both"/>
        <w:rPr>
          <w:sz w:val="24"/>
        </w:rPr>
      </w:pPr>
      <w:r>
        <w:rPr>
          <w:sz w:val="24"/>
        </w:rPr>
        <w:t>Develop policies, programs, plans and budgets to address the phenomenon of violence against women in society at all levels.</w:t>
      </w:r>
    </w:p>
    <w:p>
      <w:pPr>
        <w:pStyle w:val="ListParagraph"/>
        <w:numPr>
          <w:ilvl w:val="0"/>
          <w:numId w:val="4"/>
        </w:numPr>
        <w:tabs>
          <w:tab w:pos="1074" w:val="left" w:leader="none"/>
        </w:tabs>
        <w:spacing w:line="276" w:lineRule="auto" w:before="0" w:after="0"/>
        <w:ind w:left="1073" w:right="475" w:hanging="360"/>
        <w:jc w:val="both"/>
        <w:rPr>
          <w:sz w:val="24"/>
        </w:rPr>
      </w:pPr>
      <w:r>
        <w:rPr>
          <w:sz w:val="24"/>
        </w:rPr>
        <w:t>Raise the level of community awareness of the effects of violence on women, the family and society to ensure that society as a whole rejects all practices of violence against</w:t>
      </w:r>
      <w:r>
        <w:rPr>
          <w:spacing w:val="-1"/>
          <w:sz w:val="24"/>
        </w:rPr>
        <w:t> </w:t>
      </w:r>
      <w:r>
        <w:rPr>
          <w:sz w:val="24"/>
        </w:rPr>
        <w:t>women</w:t>
      </w:r>
    </w:p>
    <w:p>
      <w:pPr>
        <w:spacing w:after="0" w:line="276" w:lineRule="auto"/>
        <w:jc w:val="both"/>
        <w:rPr>
          <w:sz w:val="24"/>
        </w:rPr>
        <w:sectPr>
          <w:pgSz w:w="11910" w:h="16840"/>
          <w:pgMar w:header="761" w:footer="1062" w:top="2560" w:bottom="1260" w:left="1380" w:right="1300"/>
        </w:sectPr>
      </w:pPr>
    </w:p>
    <w:p>
      <w:pPr>
        <w:pStyle w:val="BodyText"/>
        <w:spacing w:before="9"/>
        <w:rPr>
          <w:sz w:val="17"/>
        </w:rPr>
      </w:pPr>
    </w:p>
    <w:p>
      <w:pPr>
        <w:pStyle w:val="ListParagraph"/>
        <w:numPr>
          <w:ilvl w:val="0"/>
          <w:numId w:val="4"/>
        </w:numPr>
        <w:tabs>
          <w:tab w:pos="1074" w:val="left" w:leader="none"/>
        </w:tabs>
        <w:spacing w:line="276" w:lineRule="auto" w:before="51" w:after="0"/>
        <w:ind w:left="1073" w:right="466" w:hanging="360"/>
        <w:jc w:val="both"/>
        <w:rPr>
          <w:sz w:val="24"/>
        </w:rPr>
      </w:pPr>
      <w:r>
        <w:rPr>
          <w:sz w:val="24"/>
        </w:rPr>
        <w:t>Ensure that women human rights defenders in Iraq can operate freely in an environment free from harassment and discrimination based on gender and violence.</w:t>
      </w:r>
    </w:p>
    <w:p>
      <w:pPr>
        <w:pStyle w:val="ListParagraph"/>
        <w:numPr>
          <w:ilvl w:val="0"/>
          <w:numId w:val="4"/>
        </w:numPr>
        <w:tabs>
          <w:tab w:pos="1074" w:val="left" w:leader="none"/>
        </w:tabs>
        <w:spacing w:line="276" w:lineRule="auto" w:before="0" w:after="0"/>
        <w:ind w:left="1073" w:right="473" w:hanging="360"/>
        <w:jc w:val="left"/>
        <w:rPr>
          <w:sz w:val="24"/>
        </w:rPr>
      </w:pPr>
      <w:r>
        <w:rPr>
          <w:sz w:val="24"/>
        </w:rPr>
        <w:t>Enact legislation to deter violence practiced in the electoral process, and increase penalties in the event of gender-based</w:t>
      </w:r>
      <w:r>
        <w:rPr>
          <w:spacing w:val="-8"/>
          <w:sz w:val="24"/>
        </w:rPr>
        <w:t> </w:t>
      </w:r>
      <w:r>
        <w:rPr>
          <w:sz w:val="24"/>
        </w:rPr>
        <w:t>violence.</w:t>
      </w:r>
    </w:p>
    <w:p>
      <w:pPr>
        <w:pStyle w:val="BodyText"/>
        <w:spacing w:before="8"/>
        <w:rPr>
          <w:sz w:val="21"/>
        </w:rPr>
      </w:pPr>
    </w:p>
    <w:p>
      <w:pPr>
        <w:pStyle w:val="Heading1"/>
        <w:ind w:left="900"/>
      </w:pPr>
      <w:r>
        <w:rPr/>
        <w:t>Coalition organizations</w:t>
      </w:r>
    </w:p>
    <w:p>
      <w:pPr>
        <w:pStyle w:val="BodyText"/>
        <w:spacing w:before="3"/>
        <w:rPr>
          <w:b/>
          <w:sz w:val="25"/>
        </w:rPr>
      </w:pPr>
    </w:p>
    <w:p>
      <w:pPr>
        <w:pStyle w:val="BodyText"/>
        <w:ind w:left="713"/>
      </w:pPr>
      <w:r>
        <w:rPr/>
        <w:t>The coalition was formed of the three organizations below:-</w:t>
      </w:r>
    </w:p>
    <w:p>
      <w:pPr>
        <w:pStyle w:val="BodyText"/>
        <w:spacing w:before="2"/>
        <w:rPr>
          <w:sz w:val="25"/>
        </w:rPr>
      </w:pPr>
    </w:p>
    <w:p>
      <w:pPr>
        <w:pStyle w:val="ListParagraph"/>
        <w:numPr>
          <w:ilvl w:val="0"/>
          <w:numId w:val="5"/>
        </w:numPr>
        <w:tabs>
          <w:tab w:pos="1074" w:val="left" w:leader="none"/>
        </w:tabs>
        <w:spacing w:line="240" w:lineRule="auto" w:before="1" w:after="0"/>
        <w:ind w:left="1073" w:right="0" w:hanging="360"/>
        <w:jc w:val="left"/>
        <w:rPr>
          <w:rFonts w:ascii="Arial"/>
          <w:sz w:val="24"/>
        </w:rPr>
      </w:pPr>
      <w:r>
        <w:rPr>
          <w:rFonts w:ascii="Arial"/>
          <w:sz w:val="24"/>
        </w:rPr>
        <w:t>IOHRD Initiators Organization for Human Rights &amp; Democracy</w:t>
      </w:r>
    </w:p>
    <w:p>
      <w:pPr>
        <w:pStyle w:val="ListParagraph"/>
        <w:numPr>
          <w:ilvl w:val="0"/>
          <w:numId w:val="5"/>
        </w:numPr>
        <w:tabs>
          <w:tab w:pos="1074" w:val="left" w:leader="none"/>
        </w:tabs>
        <w:spacing w:line="240" w:lineRule="auto" w:before="1" w:after="0"/>
        <w:ind w:left="1073" w:right="0" w:hanging="360"/>
        <w:jc w:val="left"/>
        <w:rPr>
          <w:sz w:val="24"/>
        </w:rPr>
      </w:pPr>
      <w:r>
        <w:rPr>
          <w:rFonts w:ascii="Arial"/>
          <w:sz w:val="24"/>
        </w:rPr>
        <w:t>OFQ organization for human</w:t>
      </w:r>
      <w:r>
        <w:rPr>
          <w:rFonts w:ascii="Arial"/>
          <w:spacing w:val="-1"/>
          <w:sz w:val="24"/>
        </w:rPr>
        <w:t> </w:t>
      </w:r>
      <w:r>
        <w:rPr>
          <w:rFonts w:ascii="Arial"/>
          <w:sz w:val="24"/>
        </w:rPr>
        <w:t>development</w:t>
      </w:r>
    </w:p>
    <w:p>
      <w:pPr>
        <w:pStyle w:val="ListParagraph"/>
        <w:numPr>
          <w:ilvl w:val="0"/>
          <w:numId w:val="5"/>
        </w:numPr>
        <w:tabs>
          <w:tab w:pos="1074" w:val="left" w:leader="none"/>
        </w:tabs>
        <w:spacing w:line="240" w:lineRule="auto" w:before="29" w:after="0"/>
        <w:ind w:left="1073" w:right="0" w:hanging="360"/>
        <w:jc w:val="left"/>
        <w:rPr>
          <w:sz w:val="24"/>
        </w:rPr>
      </w:pPr>
      <w:r>
        <w:rPr>
          <w:rFonts w:ascii="Arial"/>
          <w:sz w:val="24"/>
        </w:rPr>
        <w:t>Peace and Freedom</w:t>
      </w:r>
      <w:r>
        <w:rPr>
          <w:rFonts w:ascii="Arial"/>
          <w:spacing w:val="1"/>
          <w:sz w:val="24"/>
        </w:rPr>
        <w:t> </w:t>
      </w:r>
      <w:r>
        <w:rPr>
          <w:rFonts w:ascii="Arial"/>
          <w:sz w:val="24"/>
        </w:rPr>
        <w:t>Organization</w:t>
      </w:r>
    </w:p>
    <w:sectPr>
      <w:pgSz w:w="11910" w:h="16840"/>
      <w:pgMar w:header="761" w:footer="1062" w:top="2560" w:bottom="1260" w:left="138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egoe UI Symbol">
    <w:altName w:val="Segoe UI Symbol"/>
    <w:charset w:val="0"/>
    <w:family w:val="swiss"/>
    <w:pitch w:val="variable"/>
  </w:font>
  <w:font w:name="Calibri">
    <w:altName w:val="Calibri"/>
    <w:charset w:val="0"/>
    <w:family w:val="swiss"/>
    <w:pitch w:val="variable"/>
  </w:font>
  <w:font w:name="Calibri Light">
    <w:altName w:val="Calibri Light"/>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86.704002pt;margin-top:777.805969pt;width:11.15pt;height:16.05pt;mso-position-horizontal-relative:page;mso-position-vertical-relative:page;z-index:-6784" type="#_x0000_t202" filled="false" stroked="false">
          <v:textbox inset="0,0,0,0">
            <w:txbxContent>
              <w:p>
                <w:pPr>
                  <w:spacing w:line="306" w:lineRule="exact" w:before="0"/>
                  <w:ind w:left="40" w:right="0" w:firstLine="0"/>
                  <w:jc w:val="left"/>
                  <w:rPr>
                    <w:rFonts w:ascii="Calibri Light"/>
                    <w:b w:val="0"/>
                    <w:sz w:val="28"/>
                  </w:rPr>
                </w:pPr>
                <w:r>
                  <w:rPr/>
                  <w:fldChar w:fldCharType="begin"/>
                </w:r>
                <w:r>
                  <w:rPr>
                    <w:rFonts w:ascii="Calibri Light"/>
                    <w:b w:val="0"/>
                    <w:w w:val="100"/>
                    <w:sz w:val="28"/>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6760" from="88.584pt,679.840027pt" to="232.604pt,679.840027pt" stroked="true" strokeweight=".83997pt" strokecolor="#000000">
          <v:stroke dashstyle="solid"/>
          <w10:wrap type="none"/>
        </v:line>
      </w:pict>
    </w:r>
    <w:r>
      <w:rPr/>
      <w:pict>
        <v:shape style="position:absolute;margin-left:87.704002pt;margin-top:777.805969pt;width:9.15pt;height:16.05pt;mso-position-horizontal-relative:page;mso-position-vertical-relative:page;z-index:-6736" type="#_x0000_t202" filled="false" stroked="false">
          <v:textbox inset="0,0,0,0">
            <w:txbxContent>
              <w:p>
                <w:pPr>
                  <w:spacing w:line="306" w:lineRule="exact" w:before="0"/>
                  <w:ind w:left="20" w:right="0" w:firstLine="0"/>
                  <w:jc w:val="left"/>
                  <w:rPr>
                    <w:rFonts w:ascii="Calibri Light"/>
                    <w:b w:val="0"/>
                    <w:sz w:val="28"/>
                  </w:rPr>
                </w:pPr>
                <w:r>
                  <w:rPr>
                    <w:rFonts w:ascii="Calibri Light"/>
                    <w:b w:val="0"/>
                    <w:w w:val="100"/>
                    <w:sz w:val="28"/>
                  </w:rPr>
                  <w:t>3</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86.704002pt;margin-top:777.805969pt;width:18.2pt;height:16.05pt;mso-position-horizontal-relative:page;mso-position-vertical-relative:page;z-index:-6712" type="#_x0000_t202" filled="false" stroked="false">
          <v:textbox inset="0,0,0,0">
            <w:txbxContent>
              <w:p>
                <w:pPr>
                  <w:spacing w:line="306" w:lineRule="exact" w:before="0"/>
                  <w:ind w:left="40" w:right="0" w:firstLine="0"/>
                  <w:jc w:val="left"/>
                  <w:rPr>
                    <w:rFonts w:ascii="Calibri Light"/>
                    <w:b w:val="0"/>
                    <w:sz w:val="28"/>
                  </w:rPr>
                </w:pPr>
                <w:r>
                  <w:rPr/>
                  <w:fldChar w:fldCharType="begin"/>
                </w:r>
                <w:r>
                  <w:rPr>
                    <w:rFonts w:ascii="Calibri Light"/>
                    <w:b w:val="0"/>
                    <w:sz w:val="28"/>
                  </w:rPr>
                  <w:instrText> PAGE </w:instrText>
                </w:r>
                <w:r>
                  <w:rPr/>
                  <w:fldChar w:fldCharType="separate"/>
                </w:r>
                <w:r>
                  <w:rPr/>
                  <w:t>10</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group style="position:absolute;margin-left:42.720001pt;margin-top:38.065586pt;width:481.9pt;height:90.15pt;mso-position-horizontal-relative:page;mso-position-vertical-relative:page;z-index:-6856" coordorigin="854,761" coordsize="9638,1803">
          <v:line style="position:absolute" from="854,2559" to="3404,2559" stroked="true" strokeweight=".48pt" strokecolor="#a4a4a4">
            <v:stroke dashstyle="solid"/>
          </v:line>
          <v:rect style="position:absolute;left:3403;top:2554;width:10;height:10" filled="true" fillcolor="#a4a4a4" stroked="false">
            <v:fill type="solid"/>
          </v:rect>
          <v:line style="position:absolute" from="3413,2559" to="7374,2559" stroked="true" strokeweight=".48pt" strokecolor="#a4a4a4">
            <v:stroke dashstyle="solid"/>
          </v:line>
          <v:rect style="position:absolute;left:7374;top:2554;width:10;height:10" filled="true" fillcolor="#a4a4a4" stroked="false">
            <v:fill type="solid"/>
          </v:rect>
          <v:line style="position:absolute" from="7384,2559" to="10492,2559" stroked="true" strokeweight=".48pt" strokecolor="#a4a4a4">
            <v:stroke dashstyle="solid"/>
          </v:line>
          <v:shape style="position:absolute;left:990;top:761;width:2119;height:1779" type="#_x0000_t75" stroked="false">
            <v:imagedata r:id="rId1" o:title=""/>
          </v:shape>
          <w10:wrap type="none"/>
        </v:group>
      </w:pict>
    </w:r>
    <w:r>
      <w:rPr/>
      <w:drawing>
        <wp:anchor distT="0" distB="0" distL="0" distR="0" allowOverlap="1" layoutInCell="1" locked="0" behindDoc="1" simplePos="0" relativeHeight="268428623">
          <wp:simplePos x="0" y="0"/>
          <wp:positionH relativeFrom="page">
            <wp:posOffset>4944626</wp:posOffset>
          </wp:positionH>
          <wp:positionV relativeFrom="page">
            <wp:posOffset>523615</wp:posOffset>
          </wp:positionV>
          <wp:extent cx="1537137" cy="954210"/>
          <wp:effectExtent l="0" t="0" r="0" b="0"/>
          <wp:wrapNone/>
          <wp:docPr id="1" name="image2.jpeg" descr=""/>
          <wp:cNvGraphicFramePr>
            <a:graphicFrameLocks noChangeAspect="1"/>
          </wp:cNvGraphicFramePr>
          <a:graphic>
            <a:graphicData uri="http://schemas.openxmlformats.org/drawingml/2006/picture">
              <pic:pic>
                <pic:nvPicPr>
                  <pic:cNvPr id="2" name="image2.jpeg"/>
                  <pic:cNvPicPr/>
                </pic:nvPicPr>
                <pic:blipFill>
                  <a:blip r:embed="rId2" cstate="print"/>
                  <a:stretch>
                    <a:fillRect/>
                  </a:stretch>
                </pic:blipFill>
                <pic:spPr>
                  <a:xfrm>
                    <a:off x="0" y="0"/>
                    <a:ext cx="1537137" cy="954210"/>
                  </a:xfrm>
                  <a:prstGeom prst="rect">
                    <a:avLst/>
                  </a:prstGeom>
                </pic:spPr>
              </pic:pic>
            </a:graphicData>
          </a:graphic>
        </wp:anchor>
      </w:drawing>
    </w:r>
    <w:r>
      <w:rPr/>
      <w:drawing>
        <wp:anchor distT="0" distB="0" distL="0" distR="0" allowOverlap="1" layoutInCell="1" locked="0" behindDoc="1" simplePos="0" relativeHeight="268428647">
          <wp:simplePos x="0" y="0"/>
          <wp:positionH relativeFrom="page">
            <wp:posOffset>2528618</wp:posOffset>
          </wp:positionH>
          <wp:positionV relativeFrom="page">
            <wp:posOffset>585202</wp:posOffset>
          </wp:positionV>
          <wp:extent cx="1982909" cy="642543"/>
          <wp:effectExtent l="0" t="0" r="0" b="0"/>
          <wp:wrapNone/>
          <wp:docPr id="3" name="image3.png" descr=""/>
          <wp:cNvGraphicFramePr>
            <a:graphicFrameLocks noChangeAspect="1"/>
          </wp:cNvGraphicFramePr>
          <a:graphic>
            <a:graphicData uri="http://schemas.openxmlformats.org/drawingml/2006/picture">
              <pic:pic>
                <pic:nvPicPr>
                  <pic:cNvPr id="4" name="image3.png"/>
                  <pic:cNvPicPr/>
                </pic:nvPicPr>
                <pic:blipFill>
                  <a:blip r:embed="rId3" cstate="print"/>
                  <a:stretch>
                    <a:fillRect/>
                  </a:stretch>
                </pic:blipFill>
                <pic:spPr>
                  <a:xfrm>
                    <a:off x="0" y="0"/>
                    <a:ext cx="1982909" cy="64254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476" w:hanging="576"/>
        <w:jc w:val="left"/>
      </w:pPr>
      <w:rPr>
        <w:rFonts w:hint="default" w:ascii="Calibri" w:hAnsi="Calibri" w:eastAsia="Calibri" w:cs="Calibri"/>
        <w:spacing w:val="-4"/>
        <w:w w:val="100"/>
        <w:sz w:val="24"/>
        <w:szCs w:val="24"/>
        <w:lang w:val="ar-iq" w:eastAsia="ar-iq" w:bidi="ar-iq"/>
      </w:rPr>
    </w:lvl>
    <w:lvl w:ilvl="1">
      <w:start w:val="0"/>
      <w:numFmt w:val="bullet"/>
      <w:lvlText w:val="•"/>
      <w:lvlJc w:val="left"/>
      <w:pPr>
        <w:ind w:left="2254" w:hanging="576"/>
      </w:pPr>
      <w:rPr>
        <w:rFonts w:hint="default"/>
        <w:lang w:val="ar-iq" w:eastAsia="ar-iq" w:bidi="ar-iq"/>
      </w:rPr>
    </w:lvl>
    <w:lvl w:ilvl="2">
      <w:start w:val="0"/>
      <w:numFmt w:val="bullet"/>
      <w:lvlText w:val="•"/>
      <w:lvlJc w:val="left"/>
      <w:pPr>
        <w:ind w:left="3029" w:hanging="576"/>
      </w:pPr>
      <w:rPr>
        <w:rFonts w:hint="default"/>
        <w:lang w:val="ar-iq" w:eastAsia="ar-iq" w:bidi="ar-iq"/>
      </w:rPr>
    </w:lvl>
    <w:lvl w:ilvl="3">
      <w:start w:val="0"/>
      <w:numFmt w:val="bullet"/>
      <w:lvlText w:val="•"/>
      <w:lvlJc w:val="left"/>
      <w:pPr>
        <w:ind w:left="3803" w:hanging="576"/>
      </w:pPr>
      <w:rPr>
        <w:rFonts w:hint="default"/>
        <w:lang w:val="ar-iq" w:eastAsia="ar-iq" w:bidi="ar-iq"/>
      </w:rPr>
    </w:lvl>
    <w:lvl w:ilvl="4">
      <w:start w:val="0"/>
      <w:numFmt w:val="bullet"/>
      <w:lvlText w:val="•"/>
      <w:lvlJc w:val="left"/>
      <w:pPr>
        <w:ind w:left="4578" w:hanging="576"/>
      </w:pPr>
      <w:rPr>
        <w:rFonts w:hint="default"/>
        <w:lang w:val="ar-iq" w:eastAsia="ar-iq" w:bidi="ar-iq"/>
      </w:rPr>
    </w:lvl>
    <w:lvl w:ilvl="5">
      <w:start w:val="0"/>
      <w:numFmt w:val="bullet"/>
      <w:lvlText w:val="•"/>
      <w:lvlJc w:val="left"/>
      <w:pPr>
        <w:ind w:left="5353" w:hanging="576"/>
      </w:pPr>
      <w:rPr>
        <w:rFonts w:hint="default"/>
        <w:lang w:val="ar-iq" w:eastAsia="ar-iq" w:bidi="ar-iq"/>
      </w:rPr>
    </w:lvl>
    <w:lvl w:ilvl="6">
      <w:start w:val="0"/>
      <w:numFmt w:val="bullet"/>
      <w:lvlText w:val="•"/>
      <w:lvlJc w:val="left"/>
      <w:pPr>
        <w:ind w:left="6127" w:hanging="576"/>
      </w:pPr>
      <w:rPr>
        <w:rFonts w:hint="default"/>
        <w:lang w:val="ar-iq" w:eastAsia="ar-iq" w:bidi="ar-iq"/>
      </w:rPr>
    </w:lvl>
    <w:lvl w:ilvl="7">
      <w:start w:val="0"/>
      <w:numFmt w:val="bullet"/>
      <w:lvlText w:val="•"/>
      <w:lvlJc w:val="left"/>
      <w:pPr>
        <w:ind w:left="6902" w:hanging="576"/>
      </w:pPr>
      <w:rPr>
        <w:rFonts w:hint="default"/>
        <w:lang w:val="ar-iq" w:eastAsia="ar-iq" w:bidi="ar-iq"/>
      </w:rPr>
    </w:lvl>
    <w:lvl w:ilvl="8">
      <w:start w:val="0"/>
      <w:numFmt w:val="bullet"/>
      <w:lvlText w:val="•"/>
      <w:lvlJc w:val="left"/>
      <w:pPr>
        <w:ind w:left="7677" w:hanging="576"/>
      </w:pPr>
      <w:rPr>
        <w:rFonts w:hint="default"/>
        <w:lang w:val="ar-iq" w:eastAsia="ar-iq" w:bidi="ar-iq"/>
      </w:rPr>
    </w:lvl>
  </w:abstractNum>
  <w:abstractNum w:abstractNumId="4">
    <w:multiLevelType w:val="hybridMultilevel"/>
    <w:lvl w:ilvl="0">
      <w:start w:val="1"/>
      <w:numFmt w:val="decimal"/>
      <w:lvlText w:val="%1."/>
      <w:lvlJc w:val="left"/>
      <w:pPr>
        <w:ind w:left="1073" w:hanging="360"/>
        <w:jc w:val="left"/>
      </w:pPr>
      <w:rPr>
        <w:rFonts w:hint="default"/>
        <w:spacing w:val="-3"/>
        <w:w w:val="99"/>
        <w:lang w:val="ar-iq" w:eastAsia="ar-iq" w:bidi="ar-iq"/>
      </w:rPr>
    </w:lvl>
    <w:lvl w:ilvl="1">
      <w:start w:val="0"/>
      <w:numFmt w:val="bullet"/>
      <w:lvlText w:val="•"/>
      <w:lvlJc w:val="left"/>
      <w:pPr>
        <w:ind w:left="1894" w:hanging="360"/>
      </w:pPr>
      <w:rPr>
        <w:rFonts w:hint="default"/>
        <w:lang w:val="ar-iq" w:eastAsia="ar-iq" w:bidi="ar-iq"/>
      </w:rPr>
    </w:lvl>
    <w:lvl w:ilvl="2">
      <w:start w:val="0"/>
      <w:numFmt w:val="bullet"/>
      <w:lvlText w:val="•"/>
      <w:lvlJc w:val="left"/>
      <w:pPr>
        <w:ind w:left="2709" w:hanging="360"/>
      </w:pPr>
      <w:rPr>
        <w:rFonts w:hint="default"/>
        <w:lang w:val="ar-iq" w:eastAsia="ar-iq" w:bidi="ar-iq"/>
      </w:rPr>
    </w:lvl>
    <w:lvl w:ilvl="3">
      <w:start w:val="0"/>
      <w:numFmt w:val="bullet"/>
      <w:lvlText w:val="•"/>
      <w:lvlJc w:val="left"/>
      <w:pPr>
        <w:ind w:left="3523" w:hanging="360"/>
      </w:pPr>
      <w:rPr>
        <w:rFonts w:hint="default"/>
        <w:lang w:val="ar-iq" w:eastAsia="ar-iq" w:bidi="ar-iq"/>
      </w:rPr>
    </w:lvl>
    <w:lvl w:ilvl="4">
      <w:start w:val="0"/>
      <w:numFmt w:val="bullet"/>
      <w:lvlText w:val="•"/>
      <w:lvlJc w:val="left"/>
      <w:pPr>
        <w:ind w:left="4338" w:hanging="360"/>
      </w:pPr>
      <w:rPr>
        <w:rFonts w:hint="default"/>
        <w:lang w:val="ar-iq" w:eastAsia="ar-iq" w:bidi="ar-iq"/>
      </w:rPr>
    </w:lvl>
    <w:lvl w:ilvl="5">
      <w:start w:val="0"/>
      <w:numFmt w:val="bullet"/>
      <w:lvlText w:val="•"/>
      <w:lvlJc w:val="left"/>
      <w:pPr>
        <w:ind w:left="5153" w:hanging="360"/>
      </w:pPr>
      <w:rPr>
        <w:rFonts w:hint="default"/>
        <w:lang w:val="ar-iq" w:eastAsia="ar-iq" w:bidi="ar-iq"/>
      </w:rPr>
    </w:lvl>
    <w:lvl w:ilvl="6">
      <w:start w:val="0"/>
      <w:numFmt w:val="bullet"/>
      <w:lvlText w:val="•"/>
      <w:lvlJc w:val="left"/>
      <w:pPr>
        <w:ind w:left="5967" w:hanging="360"/>
      </w:pPr>
      <w:rPr>
        <w:rFonts w:hint="default"/>
        <w:lang w:val="ar-iq" w:eastAsia="ar-iq" w:bidi="ar-iq"/>
      </w:rPr>
    </w:lvl>
    <w:lvl w:ilvl="7">
      <w:start w:val="0"/>
      <w:numFmt w:val="bullet"/>
      <w:lvlText w:val="•"/>
      <w:lvlJc w:val="left"/>
      <w:pPr>
        <w:ind w:left="6782" w:hanging="360"/>
      </w:pPr>
      <w:rPr>
        <w:rFonts w:hint="default"/>
        <w:lang w:val="ar-iq" w:eastAsia="ar-iq" w:bidi="ar-iq"/>
      </w:rPr>
    </w:lvl>
    <w:lvl w:ilvl="8">
      <w:start w:val="0"/>
      <w:numFmt w:val="bullet"/>
      <w:lvlText w:val="•"/>
      <w:lvlJc w:val="left"/>
      <w:pPr>
        <w:ind w:left="7597" w:hanging="360"/>
      </w:pPr>
      <w:rPr>
        <w:rFonts w:hint="default"/>
        <w:lang w:val="ar-iq" w:eastAsia="ar-iq" w:bidi="ar-iq"/>
      </w:rPr>
    </w:lvl>
  </w:abstractNum>
  <w:abstractNum w:abstractNumId="3">
    <w:multiLevelType w:val="hybridMultilevel"/>
    <w:lvl w:ilvl="0">
      <w:start w:val="1"/>
      <w:numFmt w:val="decimal"/>
      <w:lvlText w:val="%1."/>
      <w:lvlJc w:val="left"/>
      <w:pPr>
        <w:ind w:left="1073" w:hanging="360"/>
        <w:jc w:val="left"/>
      </w:pPr>
      <w:rPr>
        <w:rFonts w:hint="default" w:ascii="Calibri" w:hAnsi="Calibri" w:eastAsia="Calibri" w:cs="Calibri"/>
        <w:spacing w:val="-9"/>
        <w:w w:val="100"/>
        <w:sz w:val="24"/>
        <w:szCs w:val="24"/>
        <w:lang w:val="ar-iq" w:eastAsia="ar-iq" w:bidi="ar-iq"/>
      </w:rPr>
    </w:lvl>
    <w:lvl w:ilvl="1">
      <w:start w:val="0"/>
      <w:numFmt w:val="bullet"/>
      <w:lvlText w:val="•"/>
      <w:lvlJc w:val="left"/>
      <w:pPr>
        <w:ind w:left="1894" w:hanging="360"/>
      </w:pPr>
      <w:rPr>
        <w:rFonts w:hint="default"/>
        <w:lang w:val="ar-iq" w:eastAsia="ar-iq" w:bidi="ar-iq"/>
      </w:rPr>
    </w:lvl>
    <w:lvl w:ilvl="2">
      <w:start w:val="0"/>
      <w:numFmt w:val="bullet"/>
      <w:lvlText w:val="•"/>
      <w:lvlJc w:val="left"/>
      <w:pPr>
        <w:ind w:left="2709" w:hanging="360"/>
      </w:pPr>
      <w:rPr>
        <w:rFonts w:hint="default"/>
        <w:lang w:val="ar-iq" w:eastAsia="ar-iq" w:bidi="ar-iq"/>
      </w:rPr>
    </w:lvl>
    <w:lvl w:ilvl="3">
      <w:start w:val="0"/>
      <w:numFmt w:val="bullet"/>
      <w:lvlText w:val="•"/>
      <w:lvlJc w:val="left"/>
      <w:pPr>
        <w:ind w:left="3523" w:hanging="360"/>
      </w:pPr>
      <w:rPr>
        <w:rFonts w:hint="default"/>
        <w:lang w:val="ar-iq" w:eastAsia="ar-iq" w:bidi="ar-iq"/>
      </w:rPr>
    </w:lvl>
    <w:lvl w:ilvl="4">
      <w:start w:val="0"/>
      <w:numFmt w:val="bullet"/>
      <w:lvlText w:val="•"/>
      <w:lvlJc w:val="left"/>
      <w:pPr>
        <w:ind w:left="4338" w:hanging="360"/>
      </w:pPr>
      <w:rPr>
        <w:rFonts w:hint="default"/>
        <w:lang w:val="ar-iq" w:eastAsia="ar-iq" w:bidi="ar-iq"/>
      </w:rPr>
    </w:lvl>
    <w:lvl w:ilvl="5">
      <w:start w:val="0"/>
      <w:numFmt w:val="bullet"/>
      <w:lvlText w:val="•"/>
      <w:lvlJc w:val="left"/>
      <w:pPr>
        <w:ind w:left="5153" w:hanging="360"/>
      </w:pPr>
      <w:rPr>
        <w:rFonts w:hint="default"/>
        <w:lang w:val="ar-iq" w:eastAsia="ar-iq" w:bidi="ar-iq"/>
      </w:rPr>
    </w:lvl>
    <w:lvl w:ilvl="6">
      <w:start w:val="0"/>
      <w:numFmt w:val="bullet"/>
      <w:lvlText w:val="•"/>
      <w:lvlJc w:val="left"/>
      <w:pPr>
        <w:ind w:left="5967" w:hanging="360"/>
      </w:pPr>
      <w:rPr>
        <w:rFonts w:hint="default"/>
        <w:lang w:val="ar-iq" w:eastAsia="ar-iq" w:bidi="ar-iq"/>
      </w:rPr>
    </w:lvl>
    <w:lvl w:ilvl="7">
      <w:start w:val="0"/>
      <w:numFmt w:val="bullet"/>
      <w:lvlText w:val="•"/>
      <w:lvlJc w:val="left"/>
      <w:pPr>
        <w:ind w:left="6782" w:hanging="360"/>
      </w:pPr>
      <w:rPr>
        <w:rFonts w:hint="default"/>
        <w:lang w:val="ar-iq" w:eastAsia="ar-iq" w:bidi="ar-iq"/>
      </w:rPr>
    </w:lvl>
    <w:lvl w:ilvl="8">
      <w:start w:val="0"/>
      <w:numFmt w:val="bullet"/>
      <w:lvlText w:val="•"/>
      <w:lvlJc w:val="left"/>
      <w:pPr>
        <w:ind w:left="7597" w:hanging="360"/>
      </w:pPr>
      <w:rPr>
        <w:rFonts w:hint="default"/>
        <w:lang w:val="ar-iq" w:eastAsia="ar-iq" w:bidi="ar-iq"/>
      </w:rPr>
    </w:lvl>
  </w:abstractNum>
  <w:abstractNum w:abstractNumId="2">
    <w:multiLevelType w:val="hybridMultilevel"/>
    <w:lvl w:ilvl="0">
      <w:start w:val="1"/>
      <w:numFmt w:val="decimal"/>
      <w:lvlText w:val="%1."/>
      <w:lvlJc w:val="left"/>
      <w:pPr>
        <w:ind w:left="1073" w:hanging="360"/>
        <w:jc w:val="left"/>
      </w:pPr>
      <w:rPr>
        <w:rFonts w:hint="default" w:ascii="Calibri" w:hAnsi="Calibri" w:eastAsia="Calibri" w:cs="Calibri"/>
        <w:spacing w:val="-11"/>
        <w:w w:val="100"/>
        <w:sz w:val="24"/>
        <w:szCs w:val="24"/>
        <w:lang w:val="ar-iq" w:eastAsia="ar-iq" w:bidi="ar-iq"/>
      </w:rPr>
    </w:lvl>
    <w:lvl w:ilvl="1">
      <w:start w:val="1"/>
      <w:numFmt w:val="decimal"/>
      <w:lvlText w:val="%2."/>
      <w:lvlJc w:val="left"/>
      <w:pPr>
        <w:ind w:left="1433" w:hanging="360"/>
        <w:jc w:val="left"/>
      </w:pPr>
      <w:rPr>
        <w:rFonts w:hint="default" w:ascii="Segoe UI Symbol" w:hAnsi="Segoe UI Symbol" w:eastAsia="Segoe UI Symbol" w:cs="Segoe UI Symbol"/>
        <w:spacing w:val="-19"/>
        <w:w w:val="100"/>
        <w:sz w:val="24"/>
        <w:szCs w:val="24"/>
        <w:lang w:val="ar-iq" w:eastAsia="ar-iq" w:bidi="ar-iq"/>
      </w:rPr>
    </w:lvl>
    <w:lvl w:ilvl="2">
      <w:start w:val="0"/>
      <w:numFmt w:val="bullet"/>
      <w:lvlText w:val="•"/>
      <w:lvlJc w:val="left"/>
      <w:pPr>
        <w:ind w:left="2305" w:hanging="360"/>
      </w:pPr>
      <w:rPr>
        <w:rFonts w:hint="default"/>
        <w:lang w:val="ar-iq" w:eastAsia="ar-iq" w:bidi="ar-iq"/>
      </w:rPr>
    </w:lvl>
    <w:lvl w:ilvl="3">
      <w:start w:val="0"/>
      <w:numFmt w:val="bullet"/>
      <w:lvlText w:val="•"/>
      <w:lvlJc w:val="left"/>
      <w:pPr>
        <w:ind w:left="3170" w:hanging="360"/>
      </w:pPr>
      <w:rPr>
        <w:rFonts w:hint="default"/>
        <w:lang w:val="ar-iq" w:eastAsia="ar-iq" w:bidi="ar-iq"/>
      </w:rPr>
    </w:lvl>
    <w:lvl w:ilvl="4">
      <w:start w:val="0"/>
      <w:numFmt w:val="bullet"/>
      <w:lvlText w:val="•"/>
      <w:lvlJc w:val="left"/>
      <w:pPr>
        <w:ind w:left="4035" w:hanging="360"/>
      </w:pPr>
      <w:rPr>
        <w:rFonts w:hint="default"/>
        <w:lang w:val="ar-iq" w:eastAsia="ar-iq" w:bidi="ar-iq"/>
      </w:rPr>
    </w:lvl>
    <w:lvl w:ilvl="5">
      <w:start w:val="0"/>
      <w:numFmt w:val="bullet"/>
      <w:lvlText w:val="•"/>
      <w:lvlJc w:val="left"/>
      <w:pPr>
        <w:ind w:left="4900" w:hanging="360"/>
      </w:pPr>
      <w:rPr>
        <w:rFonts w:hint="default"/>
        <w:lang w:val="ar-iq" w:eastAsia="ar-iq" w:bidi="ar-iq"/>
      </w:rPr>
    </w:lvl>
    <w:lvl w:ilvl="6">
      <w:start w:val="0"/>
      <w:numFmt w:val="bullet"/>
      <w:lvlText w:val="•"/>
      <w:lvlJc w:val="left"/>
      <w:pPr>
        <w:ind w:left="5765" w:hanging="360"/>
      </w:pPr>
      <w:rPr>
        <w:rFonts w:hint="default"/>
        <w:lang w:val="ar-iq" w:eastAsia="ar-iq" w:bidi="ar-iq"/>
      </w:rPr>
    </w:lvl>
    <w:lvl w:ilvl="7">
      <w:start w:val="0"/>
      <w:numFmt w:val="bullet"/>
      <w:lvlText w:val="•"/>
      <w:lvlJc w:val="left"/>
      <w:pPr>
        <w:ind w:left="6630" w:hanging="360"/>
      </w:pPr>
      <w:rPr>
        <w:rFonts w:hint="default"/>
        <w:lang w:val="ar-iq" w:eastAsia="ar-iq" w:bidi="ar-iq"/>
      </w:rPr>
    </w:lvl>
    <w:lvl w:ilvl="8">
      <w:start w:val="0"/>
      <w:numFmt w:val="bullet"/>
      <w:lvlText w:val="•"/>
      <w:lvlJc w:val="left"/>
      <w:pPr>
        <w:ind w:left="7496" w:hanging="360"/>
      </w:pPr>
      <w:rPr>
        <w:rFonts w:hint="default"/>
        <w:lang w:val="ar-iq" w:eastAsia="ar-iq" w:bidi="ar-iq"/>
      </w:rPr>
    </w:lvl>
  </w:abstractNum>
  <w:abstractNum w:abstractNumId="1">
    <w:multiLevelType w:val="hybridMultilevel"/>
    <w:lvl w:ilvl="0">
      <w:start w:val="1"/>
      <w:numFmt w:val="decimal"/>
      <w:lvlText w:val="%1."/>
      <w:lvlJc w:val="left"/>
      <w:pPr>
        <w:ind w:left="1073" w:hanging="360"/>
        <w:jc w:val="left"/>
      </w:pPr>
      <w:rPr>
        <w:rFonts w:hint="default" w:ascii="Calibri" w:hAnsi="Calibri" w:eastAsia="Calibri" w:cs="Calibri"/>
        <w:spacing w:val="-27"/>
        <w:w w:val="100"/>
        <w:sz w:val="24"/>
        <w:szCs w:val="24"/>
        <w:lang w:val="ar-iq" w:eastAsia="ar-iq" w:bidi="ar-iq"/>
      </w:rPr>
    </w:lvl>
    <w:lvl w:ilvl="1">
      <w:start w:val="0"/>
      <w:numFmt w:val="bullet"/>
      <w:lvlText w:val="•"/>
      <w:lvlJc w:val="left"/>
      <w:pPr>
        <w:ind w:left="1894" w:hanging="360"/>
      </w:pPr>
      <w:rPr>
        <w:rFonts w:hint="default"/>
        <w:lang w:val="ar-iq" w:eastAsia="ar-iq" w:bidi="ar-iq"/>
      </w:rPr>
    </w:lvl>
    <w:lvl w:ilvl="2">
      <w:start w:val="0"/>
      <w:numFmt w:val="bullet"/>
      <w:lvlText w:val="•"/>
      <w:lvlJc w:val="left"/>
      <w:pPr>
        <w:ind w:left="2709" w:hanging="360"/>
      </w:pPr>
      <w:rPr>
        <w:rFonts w:hint="default"/>
        <w:lang w:val="ar-iq" w:eastAsia="ar-iq" w:bidi="ar-iq"/>
      </w:rPr>
    </w:lvl>
    <w:lvl w:ilvl="3">
      <w:start w:val="0"/>
      <w:numFmt w:val="bullet"/>
      <w:lvlText w:val="•"/>
      <w:lvlJc w:val="left"/>
      <w:pPr>
        <w:ind w:left="3523" w:hanging="360"/>
      </w:pPr>
      <w:rPr>
        <w:rFonts w:hint="default"/>
        <w:lang w:val="ar-iq" w:eastAsia="ar-iq" w:bidi="ar-iq"/>
      </w:rPr>
    </w:lvl>
    <w:lvl w:ilvl="4">
      <w:start w:val="0"/>
      <w:numFmt w:val="bullet"/>
      <w:lvlText w:val="•"/>
      <w:lvlJc w:val="left"/>
      <w:pPr>
        <w:ind w:left="4338" w:hanging="360"/>
      </w:pPr>
      <w:rPr>
        <w:rFonts w:hint="default"/>
        <w:lang w:val="ar-iq" w:eastAsia="ar-iq" w:bidi="ar-iq"/>
      </w:rPr>
    </w:lvl>
    <w:lvl w:ilvl="5">
      <w:start w:val="0"/>
      <w:numFmt w:val="bullet"/>
      <w:lvlText w:val="•"/>
      <w:lvlJc w:val="left"/>
      <w:pPr>
        <w:ind w:left="5153" w:hanging="360"/>
      </w:pPr>
      <w:rPr>
        <w:rFonts w:hint="default"/>
        <w:lang w:val="ar-iq" w:eastAsia="ar-iq" w:bidi="ar-iq"/>
      </w:rPr>
    </w:lvl>
    <w:lvl w:ilvl="6">
      <w:start w:val="0"/>
      <w:numFmt w:val="bullet"/>
      <w:lvlText w:val="•"/>
      <w:lvlJc w:val="left"/>
      <w:pPr>
        <w:ind w:left="5967" w:hanging="360"/>
      </w:pPr>
      <w:rPr>
        <w:rFonts w:hint="default"/>
        <w:lang w:val="ar-iq" w:eastAsia="ar-iq" w:bidi="ar-iq"/>
      </w:rPr>
    </w:lvl>
    <w:lvl w:ilvl="7">
      <w:start w:val="0"/>
      <w:numFmt w:val="bullet"/>
      <w:lvlText w:val="•"/>
      <w:lvlJc w:val="left"/>
      <w:pPr>
        <w:ind w:left="6782" w:hanging="360"/>
      </w:pPr>
      <w:rPr>
        <w:rFonts w:hint="default"/>
        <w:lang w:val="ar-iq" w:eastAsia="ar-iq" w:bidi="ar-iq"/>
      </w:rPr>
    </w:lvl>
    <w:lvl w:ilvl="8">
      <w:start w:val="0"/>
      <w:numFmt w:val="bullet"/>
      <w:lvlText w:val="•"/>
      <w:lvlJc w:val="left"/>
      <w:pPr>
        <w:ind w:left="7597" w:hanging="360"/>
      </w:pPr>
      <w:rPr>
        <w:rFonts w:hint="default"/>
        <w:lang w:val="ar-iq" w:eastAsia="ar-iq" w:bidi="ar-iq"/>
      </w:rPr>
    </w:lvl>
  </w:abstractNum>
  <w:num w:numId="1">
    <w:abstractNumId w:val="0"/>
  </w:num>
  <w:num w:numId="5">
    <w:abstractNumId w:val="4"/>
  </w:num>
  <w:num w:numId="4">
    <w:abstractNumId w:val="3"/>
  </w:num>
  <w:num w:numId="3">
    <w:abstractNumId w:val="2"/>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ar-iq" w:eastAsia="ar-iq" w:bidi="ar-iq"/>
    </w:rPr>
  </w:style>
  <w:style w:styleId="BodyText" w:type="paragraph">
    <w:name w:val="Body Text"/>
    <w:basedOn w:val="Normal"/>
    <w:uiPriority w:val="1"/>
    <w:qFormat/>
    <w:pPr/>
    <w:rPr>
      <w:rFonts w:ascii="Calibri" w:hAnsi="Calibri" w:eastAsia="Calibri" w:cs="Calibri"/>
      <w:sz w:val="24"/>
      <w:szCs w:val="24"/>
      <w:lang w:val="ar-iq" w:eastAsia="ar-iq" w:bidi="ar-iq"/>
    </w:rPr>
  </w:style>
  <w:style w:styleId="Heading1" w:type="paragraph">
    <w:name w:val="Heading 1"/>
    <w:basedOn w:val="Normal"/>
    <w:uiPriority w:val="1"/>
    <w:qFormat/>
    <w:pPr>
      <w:ind w:left="713"/>
      <w:outlineLvl w:val="1"/>
    </w:pPr>
    <w:rPr>
      <w:rFonts w:ascii="Calibri" w:hAnsi="Calibri" w:eastAsia="Calibri" w:cs="Calibri"/>
      <w:b/>
      <w:bCs/>
      <w:sz w:val="24"/>
      <w:szCs w:val="24"/>
      <w:lang w:val="ar-iq" w:eastAsia="ar-iq" w:bidi="ar-iq"/>
    </w:rPr>
  </w:style>
  <w:style w:styleId="ListParagraph" w:type="paragraph">
    <w:name w:val="List Paragraph"/>
    <w:basedOn w:val="Normal"/>
    <w:uiPriority w:val="1"/>
    <w:qFormat/>
    <w:pPr>
      <w:ind w:left="1073" w:hanging="360"/>
      <w:jc w:val="both"/>
    </w:pPr>
    <w:rPr>
      <w:rFonts w:ascii="Calibri" w:hAnsi="Calibri" w:eastAsia="Calibri" w:cs="Calibri"/>
      <w:lang w:val="ar-iq" w:eastAsia="ar-iq" w:bidi="ar-iq"/>
    </w:rPr>
  </w:style>
  <w:style w:styleId="TableParagraph" w:type="paragraph">
    <w:name w:val="Table Paragraph"/>
    <w:basedOn w:val="Normal"/>
    <w:uiPriority w:val="1"/>
    <w:qFormat/>
    <w:pPr/>
    <w:rPr>
      <w:lang w:val="ar-iq" w:eastAsia="ar-iq" w:bidi="ar-iq"/>
    </w:rPr>
  </w:style>
</w:style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theme" Target="theme/theme1.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header" Target="header1.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E5AADA-4DDD-4960-A603-8FCFBDA7BF24}"/>
</file>

<file path=customXml/itemProps2.xml><?xml version="1.0" encoding="utf-8"?>
<ds:datastoreItem xmlns:ds="http://schemas.openxmlformats.org/officeDocument/2006/customXml" ds:itemID="{D199D8BD-6F2C-4CBA-A428-9AB17DBE865A}"/>
</file>

<file path=customXml/itemProps3.xml><?xml version="1.0" encoding="utf-8"?>
<ds:datastoreItem xmlns:ds="http://schemas.openxmlformats.org/officeDocument/2006/customXml" ds:itemID="{09DDD513-4B4D-4DCD-B395-C1D668B8E88A}"/>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saad hussein</dc:creator>
  <dcterms:created xsi:type="dcterms:W3CDTF">2019-10-11T07:29:32Z</dcterms:created>
  <dcterms:modified xsi:type="dcterms:W3CDTF">2019-10-11T07:29:32Z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2019-10-11T00:00:00Z</vt:filetime>
  </property>
  <property fmtid="{D5CDD505-2E9C-101B-9397-08002B2CF9AE}" pid="3" name="Creator">
    <vt:lpwstr>Microsoft® Word لبرنامج Office 365</vt:lpwstr>
  </property>
  <property fmtid="{D5CDD505-2E9C-101B-9397-08002B2CF9AE}" pid="4" name="LastSaved">
    <vt:filetime>2019-10-11T00:00:00Z</vt:filetime>
  </property>
  <property fmtid="{D5CDD505-2E9C-101B-9397-08002B2CF9AE}" pid="5" name="ContentTypeId">
    <vt:lpwstr>0x010100F397614B75B84E4C841CE911BA0CCB9D</vt:lpwstr>
  </property>
</Properties>
</file>