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910" w:rsidRDefault="006F6910" w:rsidP="003C3186">
      <w:pPr>
        <w:jc w:val="center"/>
        <w:rPr>
          <w:b/>
          <w:lang w:val="es-MX"/>
        </w:rPr>
      </w:pPr>
      <w:bookmarkStart w:id="0" w:name="_GoBack"/>
      <w:bookmarkEnd w:id="0"/>
    </w:p>
    <w:p w:rsidR="006F6910" w:rsidRDefault="006F6910" w:rsidP="003C3186">
      <w:pPr>
        <w:jc w:val="center"/>
        <w:rPr>
          <w:b/>
          <w:lang w:val="es-MX"/>
        </w:rPr>
      </w:pPr>
    </w:p>
    <w:p w:rsidR="003C3186" w:rsidRDefault="003C3186" w:rsidP="003C3186">
      <w:pPr>
        <w:jc w:val="center"/>
        <w:rPr>
          <w:b/>
          <w:lang w:val="es-MX"/>
        </w:rPr>
      </w:pPr>
      <w:r w:rsidRPr="003C3186">
        <w:rPr>
          <w:b/>
          <w:noProof/>
          <w:lang w:val="en-GB" w:eastAsia="en-GB"/>
        </w:rPr>
        <w:drawing>
          <wp:inline distT="0" distB="0" distL="0" distR="0">
            <wp:extent cx="3680221" cy="5848710"/>
            <wp:effectExtent l="0" t="0" r="0" b="0"/>
            <wp:docPr id="1" name="Imagen 1" descr="Image may contain: 1 person, smiling, stri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may contain: 1 person, smiling, strip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98441" cy="5877666"/>
                    </a:xfrm>
                    <a:prstGeom prst="rect">
                      <a:avLst/>
                    </a:prstGeom>
                    <a:noFill/>
                    <a:ln>
                      <a:noFill/>
                    </a:ln>
                  </pic:spPr>
                </pic:pic>
              </a:graphicData>
            </a:graphic>
          </wp:inline>
        </w:drawing>
      </w:r>
    </w:p>
    <w:p w:rsidR="00FC4859" w:rsidRDefault="00FC4859" w:rsidP="009C6DF3">
      <w:pPr>
        <w:jc w:val="center"/>
        <w:rPr>
          <w:b/>
          <w:lang w:val="es-MX"/>
        </w:rPr>
      </w:pPr>
    </w:p>
    <w:p w:rsidR="000D2F66" w:rsidRDefault="000D2F66" w:rsidP="009C6DF3">
      <w:pPr>
        <w:jc w:val="center"/>
        <w:rPr>
          <w:b/>
          <w:lang w:val="es-MX"/>
        </w:rPr>
      </w:pPr>
    </w:p>
    <w:p w:rsidR="003C3186" w:rsidRPr="009C6DF3" w:rsidRDefault="009C6DF3" w:rsidP="009C6DF3">
      <w:pPr>
        <w:jc w:val="center"/>
        <w:rPr>
          <w:b/>
          <w:lang w:val="es-MX"/>
        </w:rPr>
      </w:pPr>
      <w:r w:rsidRPr="009C6DF3">
        <w:rPr>
          <w:b/>
          <w:lang w:val="es-MX"/>
        </w:rPr>
        <w:t xml:space="preserve">INFORME DEL COLECTIVO </w:t>
      </w:r>
    </w:p>
    <w:p w:rsidR="003C3186" w:rsidRDefault="003C3186" w:rsidP="009C6DF3">
      <w:pPr>
        <w:jc w:val="center"/>
        <w:rPr>
          <w:b/>
          <w:lang w:val="es-MX"/>
        </w:rPr>
      </w:pPr>
      <w:r>
        <w:rPr>
          <w:b/>
          <w:lang w:val="es-MX"/>
        </w:rPr>
        <w:t>TODOS SOMOS ZEFERINO</w:t>
      </w:r>
      <w:r w:rsidR="00D73619">
        <w:rPr>
          <w:b/>
          <w:lang w:val="es-MX"/>
        </w:rPr>
        <w:t xml:space="preserve"> CONTRA LA TORTURA</w:t>
      </w:r>
    </w:p>
    <w:p w:rsidR="00CB7371" w:rsidRDefault="00D73619" w:rsidP="00B463DC">
      <w:pPr>
        <w:jc w:val="center"/>
        <w:rPr>
          <w:b/>
          <w:lang w:val="es-MX"/>
        </w:rPr>
      </w:pPr>
      <w:r>
        <w:rPr>
          <w:b/>
          <w:lang w:val="es-MX"/>
        </w:rPr>
        <w:t xml:space="preserve">AL COMITÉ CONTRA LA TORTURA CAT EN SU ÉVALUACION DE MÉXICO </w:t>
      </w:r>
    </w:p>
    <w:p w:rsidR="009C6DF3" w:rsidRDefault="00D73619" w:rsidP="009C6DF3">
      <w:pPr>
        <w:jc w:val="center"/>
        <w:rPr>
          <w:b/>
          <w:lang w:val="es-MX"/>
        </w:rPr>
      </w:pPr>
      <w:r>
        <w:rPr>
          <w:b/>
          <w:lang w:val="es-MX"/>
        </w:rPr>
        <w:t xml:space="preserve">GINEBRA,   ABRIL-MAYO 2019 </w:t>
      </w:r>
      <w:r w:rsidR="00CB7371">
        <w:rPr>
          <w:b/>
          <w:lang w:val="es-MX"/>
        </w:rPr>
        <w:t xml:space="preserve"> </w:t>
      </w:r>
    </w:p>
    <w:p w:rsidR="003D7D39" w:rsidRDefault="003D7D39" w:rsidP="00B463DC">
      <w:pPr>
        <w:jc w:val="both"/>
        <w:rPr>
          <w:b/>
          <w:sz w:val="24"/>
          <w:szCs w:val="24"/>
          <w:lang w:val="es-MX"/>
        </w:rPr>
      </w:pPr>
    </w:p>
    <w:p w:rsidR="00401F89" w:rsidRPr="00B463DC" w:rsidRDefault="00401F89" w:rsidP="00B463DC">
      <w:pPr>
        <w:jc w:val="both"/>
        <w:rPr>
          <w:sz w:val="24"/>
          <w:szCs w:val="24"/>
          <w:lang w:val="es-MX"/>
        </w:rPr>
      </w:pPr>
      <w:r w:rsidRPr="00B463DC">
        <w:rPr>
          <w:b/>
          <w:sz w:val="24"/>
          <w:szCs w:val="24"/>
          <w:lang w:val="es-MX"/>
        </w:rPr>
        <w:t>ZEFERINO SORIANO MORALES,</w:t>
      </w:r>
      <w:r w:rsidR="007D3BB4" w:rsidRPr="00B463DC">
        <w:rPr>
          <w:sz w:val="24"/>
          <w:szCs w:val="24"/>
          <w:lang w:val="es-MX"/>
        </w:rPr>
        <w:t xml:space="preserve"> </w:t>
      </w:r>
      <w:r w:rsidRPr="00B463DC">
        <w:rPr>
          <w:sz w:val="24"/>
          <w:szCs w:val="24"/>
          <w:lang w:val="es-MX"/>
        </w:rPr>
        <w:t xml:space="preserve"> originario de Sola de Vega, Oaxaca, y vecino del Municipio de Santa Lucía del Camino, Oaxaca, </w:t>
      </w:r>
      <w:r w:rsidR="007D3BB4" w:rsidRPr="00B463DC">
        <w:rPr>
          <w:sz w:val="24"/>
          <w:szCs w:val="24"/>
          <w:lang w:val="es-MX"/>
        </w:rPr>
        <w:t>Estado de Oaxaca,</w:t>
      </w:r>
      <w:r w:rsidR="00B463DC">
        <w:rPr>
          <w:sz w:val="24"/>
          <w:szCs w:val="24"/>
          <w:lang w:val="es-MX"/>
        </w:rPr>
        <w:t xml:space="preserve"> México,</w:t>
      </w:r>
      <w:r w:rsidR="007D3BB4" w:rsidRPr="00B463DC">
        <w:rPr>
          <w:sz w:val="24"/>
          <w:szCs w:val="24"/>
          <w:lang w:val="es-MX"/>
        </w:rPr>
        <w:t xml:space="preserve"> </w:t>
      </w:r>
      <w:r w:rsidRPr="00B463DC">
        <w:rPr>
          <w:sz w:val="24"/>
          <w:szCs w:val="24"/>
          <w:lang w:val="es-MX"/>
        </w:rPr>
        <w:t xml:space="preserve"> contaba con la edad de treinta y seis años</w:t>
      </w:r>
      <w:r w:rsidR="00B463DC">
        <w:rPr>
          <w:sz w:val="24"/>
          <w:szCs w:val="24"/>
          <w:lang w:val="es-MX"/>
        </w:rPr>
        <w:t>, cuando fue</w:t>
      </w:r>
      <w:r w:rsidR="007D3BB4" w:rsidRPr="00B463DC">
        <w:rPr>
          <w:sz w:val="24"/>
          <w:szCs w:val="24"/>
          <w:lang w:val="es-MX"/>
        </w:rPr>
        <w:t xml:space="preserve"> detenido, torturado y asesinado </w:t>
      </w:r>
      <w:r w:rsidR="00B80149" w:rsidRPr="00B463DC">
        <w:rPr>
          <w:sz w:val="24"/>
          <w:szCs w:val="24"/>
          <w:lang w:val="es-MX"/>
        </w:rPr>
        <w:t>por la fuerza pública mexicana.</w:t>
      </w:r>
    </w:p>
    <w:p w:rsidR="00B80149" w:rsidRPr="00B463DC" w:rsidRDefault="00B80149" w:rsidP="00B463DC">
      <w:pPr>
        <w:jc w:val="both"/>
        <w:rPr>
          <w:sz w:val="24"/>
          <w:szCs w:val="24"/>
          <w:lang w:val="es-MX"/>
        </w:rPr>
      </w:pPr>
    </w:p>
    <w:p w:rsidR="00E17FB3" w:rsidRPr="00B463DC" w:rsidRDefault="00FC19C0" w:rsidP="00B463DC">
      <w:pPr>
        <w:jc w:val="both"/>
        <w:rPr>
          <w:sz w:val="24"/>
          <w:szCs w:val="24"/>
          <w:lang w:val="es-MX"/>
        </w:rPr>
      </w:pPr>
      <w:r w:rsidRPr="00B463DC">
        <w:rPr>
          <w:sz w:val="24"/>
          <w:szCs w:val="24"/>
          <w:lang w:val="es-MX"/>
        </w:rPr>
        <w:t xml:space="preserve">Mediante oficio PGJE/I.S.P./SN/2017, de fecha seis de agosto del año dos mil diecisiete, dentro de la carpeta de investigación 2407/DF/ZC/2017, el MCL. Gerardo Trujillo Sánchez, Perito Médico Legista de la Fiscalía General de Justicia del Estado de Oaxaca, informó a la Agente del Ministerio Público adscrita a la mesa 7 del Sector Metropolitano, que la causa de muerte se debió a una </w:t>
      </w:r>
      <w:r w:rsidRPr="00B463DC">
        <w:rPr>
          <w:i/>
          <w:sz w:val="24"/>
          <w:szCs w:val="24"/>
          <w:lang w:val="es-MX"/>
        </w:rPr>
        <w:t>“contusión profunda de abdomen que provoca laceración (sic) del bazo con hemorragia intensa interna”</w:t>
      </w:r>
      <w:r w:rsidRPr="00B463DC">
        <w:rPr>
          <w:sz w:val="24"/>
          <w:szCs w:val="24"/>
          <w:lang w:val="es-MX"/>
        </w:rPr>
        <w:t>.</w:t>
      </w:r>
      <w:r w:rsidR="00B80149" w:rsidRPr="00B463DC">
        <w:rPr>
          <w:sz w:val="24"/>
          <w:szCs w:val="24"/>
          <w:lang w:val="es-MX"/>
        </w:rPr>
        <w:t xml:space="preserve"> </w:t>
      </w:r>
      <w:r w:rsidR="00E17FB3" w:rsidRPr="00B463DC">
        <w:rPr>
          <w:sz w:val="24"/>
          <w:szCs w:val="24"/>
          <w:lang w:val="es-MX"/>
        </w:rPr>
        <w:t>Por oficio PGJE/I.S.P./MLF/GTS/SN/2017, de fecha siete de agosto del año dos mil diecisiete, dentro de la carpeta de investigación 2407/DF/ZC/2017, el MCL. Gerardo Trujillo Sánchez, Perito Médico Legista de la Fiscalía General de Justicia del Estado de Oaxaca, informó a la Agente del Ministerio Público adscrita a la mesa 7 del Sector Metropolitano, respecto a la mecánica de lesiones presentadas, en los siguientes términos:</w:t>
      </w:r>
    </w:p>
    <w:p w:rsidR="00E17FB3" w:rsidRPr="00B463DC" w:rsidRDefault="00E17FB3" w:rsidP="00B463DC">
      <w:pPr>
        <w:jc w:val="both"/>
        <w:rPr>
          <w:sz w:val="24"/>
          <w:szCs w:val="24"/>
          <w:lang w:val="es-MX"/>
        </w:rPr>
      </w:pPr>
    </w:p>
    <w:p w:rsidR="00E17FB3" w:rsidRPr="00B463DC" w:rsidRDefault="00E17FB3" w:rsidP="00B463DC">
      <w:pPr>
        <w:jc w:val="both"/>
        <w:rPr>
          <w:i/>
          <w:sz w:val="24"/>
          <w:szCs w:val="24"/>
          <w:lang w:val="es-MX"/>
        </w:rPr>
      </w:pPr>
      <w:r w:rsidRPr="00B463DC">
        <w:rPr>
          <w:i/>
          <w:sz w:val="24"/>
          <w:szCs w:val="24"/>
          <w:lang w:val="es-MX"/>
        </w:rPr>
        <w:t>“1. Escoriación lineal en la cara lateral izquierda del cuello y escoriación en lineal tercio medio cara anterior de la pierna izquierda, son lesiones por deslizamiento sobre la piel por forcejeo, abrasión en ambas rodillas y hombro derecho lesiones deslizamiento o arrastre para someterlo, son de naturaleza activa pasiva, no ponen en peligro la vida, menos de 15, sin secuelas.</w:t>
      </w:r>
    </w:p>
    <w:p w:rsidR="00E17FB3" w:rsidRPr="00B463DC" w:rsidRDefault="00E17FB3" w:rsidP="00B463DC">
      <w:pPr>
        <w:jc w:val="both"/>
        <w:rPr>
          <w:i/>
          <w:sz w:val="24"/>
          <w:szCs w:val="24"/>
          <w:lang w:val="es-MX"/>
        </w:rPr>
      </w:pPr>
    </w:p>
    <w:p w:rsidR="00E17FB3" w:rsidRPr="00B463DC" w:rsidRDefault="00E17FB3" w:rsidP="00B463DC">
      <w:pPr>
        <w:jc w:val="both"/>
        <w:rPr>
          <w:i/>
          <w:sz w:val="24"/>
          <w:szCs w:val="24"/>
          <w:lang w:val="es-MX"/>
        </w:rPr>
      </w:pPr>
      <w:r w:rsidRPr="00B463DC">
        <w:rPr>
          <w:i/>
          <w:sz w:val="24"/>
          <w:szCs w:val="24"/>
          <w:lang w:val="es-MX"/>
        </w:rPr>
        <w:t>2. Equimosis en las partes blandas internas de la región frontal lado derecho y del labio superior son lesiones contusas provocadas por objetos semiduros o manuales, con toda la intensión de agredir y someter, las cuales son de naturaleza activa, no ponen en peligro la vida, menos de 15 días, no deja secuelas.</w:t>
      </w:r>
    </w:p>
    <w:p w:rsidR="00E17FB3" w:rsidRPr="00B463DC" w:rsidRDefault="00E17FB3" w:rsidP="00B463DC">
      <w:pPr>
        <w:jc w:val="both"/>
        <w:rPr>
          <w:i/>
          <w:sz w:val="24"/>
          <w:szCs w:val="24"/>
          <w:lang w:val="es-MX"/>
        </w:rPr>
      </w:pPr>
    </w:p>
    <w:p w:rsidR="00E17FB3" w:rsidRPr="00B463DC" w:rsidRDefault="00E17FB3" w:rsidP="00B463DC">
      <w:pPr>
        <w:jc w:val="both"/>
        <w:rPr>
          <w:i/>
          <w:sz w:val="24"/>
          <w:szCs w:val="24"/>
          <w:lang w:val="es-MX"/>
        </w:rPr>
      </w:pPr>
      <w:r w:rsidRPr="00B463DC">
        <w:rPr>
          <w:i/>
          <w:sz w:val="24"/>
          <w:szCs w:val="24"/>
          <w:lang w:val="es-MX"/>
        </w:rPr>
        <w:t>3. Lasceraciones (sic) del bazo son lesiones provocadas por contusión por objetos semiduros o manuales (puños) con la intensión(sic) de causar lesiones graves que afectaron tejidos blandos que forman el bazo que le provocaron hemorragia de dicho órgano con un sangrado intenso interno abundante que finalmente le provocan la muerte en un tiempo aproximado de 20 a 30 minutos, de naturaleza activa, si ponen en peligro la vida más de 15 días y que al final le provocaron la muerte.</w:t>
      </w:r>
    </w:p>
    <w:p w:rsidR="00E17FB3" w:rsidRPr="00B463DC" w:rsidRDefault="00E17FB3" w:rsidP="00B463DC">
      <w:pPr>
        <w:jc w:val="both"/>
        <w:rPr>
          <w:i/>
          <w:sz w:val="24"/>
          <w:szCs w:val="24"/>
          <w:lang w:val="es-MX"/>
        </w:rPr>
      </w:pPr>
    </w:p>
    <w:p w:rsidR="00E17FB3" w:rsidRPr="00B463DC" w:rsidRDefault="00E17FB3" w:rsidP="00B463DC">
      <w:pPr>
        <w:jc w:val="both"/>
        <w:rPr>
          <w:i/>
          <w:sz w:val="24"/>
          <w:szCs w:val="24"/>
          <w:lang w:val="es-MX"/>
        </w:rPr>
      </w:pPr>
      <w:r w:rsidRPr="00B463DC">
        <w:rPr>
          <w:i/>
          <w:sz w:val="24"/>
          <w:szCs w:val="24"/>
          <w:lang w:val="es-MX"/>
        </w:rPr>
        <w:t>4. En relación a los objetos o armas empleadas en las lesiones contundentes fueron puños y en las escoriaciones y abrasiones fueron provocadas por el deslizamiento sobre objetos romos y para poder llevar a cabo el mecanismo de las lesiones se concluye que las (sic) armas u objetos(sic) utilizados fueron en las equimosis puños y en las escoriaciones y abrasiones fueron provocadas por(sic) deslizamiento sobre objetos romos.”</w:t>
      </w:r>
    </w:p>
    <w:p w:rsidR="00AD16E5" w:rsidRPr="00B463DC" w:rsidRDefault="00AD16E5" w:rsidP="00B463DC">
      <w:pPr>
        <w:jc w:val="both"/>
        <w:rPr>
          <w:sz w:val="24"/>
          <w:szCs w:val="24"/>
          <w:lang w:val="es-MX"/>
        </w:rPr>
      </w:pPr>
      <w:r w:rsidRPr="00B463DC">
        <w:rPr>
          <w:sz w:val="24"/>
          <w:szCs w:val="24"/>
          <w:lang w:val="es-MX"/>
        </w:rPr>
        <w:t xml:space="preserve">El día ocho de agosto de 2017, la Licenciada Alicia del Carmen Sánchez Ocampo, Jueza de Control del Circuito Judicial Sede Tanivet, libró orden de aprehensión en contra de </w:t>
      </w:r>
      <w:r w:rsidR="00544D9B" w:rsidRPr="00B463DC">
        <w:rPr>
          <w:sz w:val="24"/>
          <w:szCs w:val="24"/>
          <w:lang w:val="es-MX"/>
        </w:rPr>
        <w:t>los agente</w:t>
      </w:r>
      <w:r w:rsidR="00D24230">
        <w:rPr>
          <w:sz w:val="24"/>
          <w:szCs w:val="24"/>
          <w:lang w:val="es-MX"/>
        </w:rPr>
        <w:t>s</w:t>
      </w:r>
      <w:r w:rsidR="00544D9B" w:rsidRPr="00B463DC">
        <w:rPr>
          <w:sz w:val="24"/>
          <w:szCs w:val="24"/>
          <w:lang w:val="es-MX"/>
        </w:rPr>
        <w:t xml:space="preserve"> de policía </w:t>
      </w:r>
      <w:r w:rsidRPr="00B463DC">
        <w:rPr>
          <w:sz w:val="24"/>
          <w:szCs w:val="24"/>
          <w:lang w:val="es-MX"/>
        </w:rPr>
        <w:t>Felipe Alejandro Mayoral González, Roberto Ruiz Zatina, Jesús Sibaja Becerril, Carlos Valentín Ramírez Gómez y Marciano Ramírez Gómez, por el delito de homicidio calificado.</w:t>
      </w:r>
    </w:p>
    <w:p w:rsidR="00AD16E5" w:rsidRPr="00B463DC" w:rsidRDefault="00AD16E5" w:rsidP="00B463DC">
      <w:pPr>
        <w:jc w:val="both"/>
        <w:rPr>
          <w:sz w:val="24"/>
          <w:szCs w:val="24"/>
          <w:lang w:val="es-MX"/>
        </w:rPr>
      </w:pPr>
    </w:p>
    <w:p w:rsidR="00AD16E5" w:rsidRPr="00B463DC" w:rsidRDefault="00AD16E5" w:rsidP="00B463DC">
      <w:pPr>
        <w:jc w:val="both"/>
        <w:rPr>
          <w:sz w:val="24"/>
          <w:szCs w:val="24"/>
          <w:lang w:val="es-MX"/>
        </w:rPr>
      </w:pPr>
      <w:r w:rsidRPr="00B463DC">
        <w:rPr>
          <w:sz w:val="24"/>
          <w:szCs w:val="24"/>
          <w:lang w:val="es-MX"/>
        </w:rPr>
        <w:t>Lo anterior trae como consecuencia lógica inmediata las violaciones a los siguientes derechos humanos:</w:t>
      </w:r>
    </w:p>
    <w:p w:rsidR="00AD16E5" w:rsidRPr="00B463DC" w:rsidRDefault="00AD16E5" w:rsidP="00B463DC">
      <w:pPr>
        <w:jc w:val="both"/>
        <w:rPr>
          <w:sz w:val="24"/>
          <w:szCs w:val="24"/>
          <w:lang w:val="es-MX"/>
        </w:rPr>
      </w:pPr>
    </w:p>
    <w:p w:rsidR="00AD16E5" w:rsidRPr="00B463DC" w:rsidRDefault="00AD16E5" w:rsidP="006F6910">
      <w:pPr>
        <w:jc w:val="both"/>
        <w:rPr>
          <w:sz w:val="24"/>
          <w:szCs w:val="24"/>
          <w:lang w:val="es-MX"/>
        </w:rPr>
      </w:pPr>
      <w:r w:rsidRPr="00B463DC">
        <w:rPr>
          <w:b/>
          <w:sz w:val="24"/>
          <w:szCs w:val="24"/>
          <w:lang w:val="es-MX"/>
        </w:rPr>
        <w:t>DERECHO A LA PREVENCIÓN DE VIOLACIONES DE LOS DERECHOS A LA INTEGRIDAD PERSONAL Y A LA VIDA.</w:t>
      </w:r>
    </w:p>
    <w:p w:rsidR="00AD16E5" w:rsidRPr="00B463DC" w:rsidRDefault="00544D9B" w:rsidP="00B463DC">
      <w:pPr>
        <w:jc w:val="both"/>
        <w:rPr>
          <w:sz w:val="24"/>
          <w:szCs w:val="24"/>
          <w:lang w:val="es-MX"/>
        </w:rPr>
      </w:pPr>
      <w:r w:rsidRPr="00B463DC">
        <w:rPr>
          <w:sz w:val="24"/>
          <w:szCs w:val="24"/>
          <w:lang w:val="es-MX"/>
        </w:rPr>
        <w:t xml:space="preserve">Como </w:t>
      </w:r>
      <w:r w:rsidR="00AD16E5" w:rsidRPr="00B463DC">
        <w:rPr>
          <w:sz w:val="24"/>
          <w:szCs w:val="24"/>
          <w:lang w:val="es-MX"/>
        </w:rPr>
        <w:t>queda evidenciado en la carpeta de investigación número 2407/DF/ZC/2017</w:t>
      </w:r>
      <w:r w:rsidRPr="00B463DC">
        <w:rPr>
          <w:sz w:val="24"/>
          <w:szCs w:val="24"/>
          <w:lang w:val="es-MX"/>
        </w:rPr>
        <w:t xml:space="preserve"> citada con anterioridad</w:t>
      </w:r>
      <w:r w:rsidR="00852809" w:rsidRPr="00B463DC">
        <w:rPr>
          <w:sz w:val="24"/>
          <w:szCs w:val="24"/>
          <w:lang w:val="es-MX"/>
        </w:rPr>
        <w:t xml:space="preserve">, los policías adscritos al Municipio de Santa Lucía del Camino, Oaxaca, así como, a la Fiscalía General de Justicia del Estado de Oaxaca, actuaron con aquiescencia y tolerancia de sus superiores, por lo cual resulta evidente que dichas autoridades eran responsables por la salvaguarda de los derechos humanos de </w:t>
      </w:r>
      <w:r w:rsidR="00852809" w:rsidRPr="00B463DC">
        <w:rPr>
          <w:b/>
          <w:sz w:val="24"/>
          <w:szCs w:val="24"/>
          <w:lang w:val="es-MX"/>
        </w:rPr>
        <w:t>ZEFERINO SORIANO MORALES.</w:t>
      </w:r>
    </w:p>
    <w:p w:rsidR="00AD16E5" w:rsidRPr="00B463DC" w:rsidRDefault="00852809" w:rsidP="00B463DC">
      <w:pPr>
        <w:jc w:val="both"/>
        <w:rPr>
          <w:sz w:val="24"/>
          <w:szCs w:val="24"/>
          <w:lang w:val="es-MX"/>
        </w:rPr>
      </w:pPr>
      <w:r w:rsidRPr="00B463DC">
        <w:rPr>
          <w:sz w:val="24"/>
          <w:szCs w:val="24"/>
          <w:lang w:val="es-MX"/>
        </w:rPr>
        <w:t xml:space="preserve">En éste sentido la Corte Interamericana de Derechos Humanos ha establecido que el sometimiento de detenidos a cuerpos represivos oficiales, agentes estatales o particulares que actúen con su aquiescencia o tolerancia, que impunemente practiquen la tortura y el asesinato representa, por sí mismo, </w:t>
      </w:r>
      <w:r w:rsidRPr="00B463DC">
        <w:rPr>
          <w:b/>
          <w:sz w:val="24"/>
          <w:szCs w:val="24"/>
          <w:lang w:val="es-MX"/>
        </w:rPr>
        <w:t>una infracción al deber de prevención de violaciones a los derechos a la integridad personal y a la vida</w:t>
      </w:r>
      <w:r w:rsidRPr="00B463DC">
        <w:rPr>
          <w:sz w:val="24"/>
          <w:szCs w:val="24"/>
          <w:vertAlign w:val="superscript"/>
          <w:lang w:val="es-MX"/>
        </w:rPr>
        <w:footnoteReference w:id="1"/>
      </w:r>
      <w:r w:rsidRPr="00B463DC">
        <w:rPr>
          <w:b/>
          <w:sz w:val="24"/>
          <w:szCs w:val="24"/>
          <w:lang w:val="es-MX"/>
        </w:rPr>
        <w:t xml:space="preserve">, </w:t>
      </w:r>
      <w:r w:rsidRPr="00B463DC">
        <w:rPr>
          <w:sz w:val="24"/>
          <w:szCs w:val="24"/>
          <w:lang w:val="es-MX"/>
        </w:rPr>
        <w:t>más aún cuando quedan plenamente comprobados los hechos de tortura y de privación de la vida de la persona en el caso concreto</w:t>
      </w:r>
    </w:p>
    <w:p w:rsidR="0035607B" w:rsidRPr="00B463DC" w:rsidRDefault="0035607B" w:rsidP="00B463DC">
      <w:pPr>
        <w:jc w:val="both"/>
        <w:rPr>
          <w:sz w:val="24"/>
          <w:szCs w:val="24"/>
          <w:lang w:val="es-MX"/>
        </w:rPr>
      </w:pPr>
    </w:p>
    <w:p w:rsidR="008B6600" w:rsidRPr="00B463DC" w:rsidRDefault="008B6600" w:rsidP="00B463DC">
      <w:pPr>
        <w:jc w:val="both"/>
        <w:rPr>
          <w:sz w:val="24"/>
          <w:szCs w:val="24"/>
          <w:lang w:val="es-MX"/>
        </w:rPr>
      </w:pPr>
      <w:r w:rsidRPr="00B463DC">
        <w:rPr>
          <w:sz w:val="24"/>
          <w:szCs w:val="24"/>
          <w:lang w:val="es-MX"/>
        </w:rPr>
        <w:t>Ahora bien, de acuerdo con el texto actual de la Constitución Política de los Estados Unidos Mexicanos, existen normas jurídicas que establecen expresamente dicha prohibición. La tortura está proscrita, de manera absoluta, partiendo de los artículos 20, apartado B, fracción II, 22, párrafo primero, y 29, párrafo segundo, del ordenamiento constitucional que a la letra dice:</w:t>
      </w:r>
    </w:p>
    <w:p w:rsidR="008B6600" w:rsidRPr="00B463DC" w:rsidRDefault="008B6600" w:rsidP="00B463DC">
      <w:pPr>
        <w:jc w:val="both"/>
        <w:rPr>
          <w:sz w:val="24"/>
          <w:szCs w:val="24"/>
          <w:lang w:val="es-MX"/>
        </w:rPr>
      </w:pPr>
    </w:p>
    <w:p w:rsidR="008B6600" w:rsidRPr="00B463DC" w:rsidRDefault="008B6600" w:rsidP="00B463DC">
      <w:pPr>
        <w:jc w:val="both"/>
        <w:rPr>
          <w:i/>
          <w:sz w:val="24"/>
          <w:szCs w:val="24"/>
          <w:lang w:val="es-MX"/>
        </w:rPr>
      </w:pPr>
      <w:r w:rsidRPr="00B463DC">
        <w:rPr>
          <w:b/>
          <w:i/>
          <w:sz w:val="24"/>
          <w:szCs w:val="24"/>
          <w:lang w:val="es-MX"/>
        </w:rPr>
        <w:t>Artículo 20.</w:t>
      </w:r>
      <w:r w:rsidRPr="00B463DC">
        <w:rPr>
          <w:i/>
          <w:sz w:val="24"/>
          <w:szCs w:val="24"/>
          <w:lang w:val="es-MX"/>
        </w:rPr>
        <w:t xml:space="preserve"> […] </w:t>
      </w:r>
    </w:p>
    <w:p w:rsidR="008B6600" w:rsidRPr="00B463DC" w:rsidRDefault="008B6600" w:rsidP="00B463DC">
      <w:pPr>
        <w:jc w:val="both"/>
        <w:rPr>
          <w:i/>
          <w:sz w:val="24"/>
          <w:szCs w:val="24"/>
          <w:lang w:val="es-MX"/>
        </w:rPr>
      </w:pPr>
      <w:r w:rsidRPr="00B463DC">
        <w:rPr>
          <w:i/>
          <w:sz w:val="24"/>
          <w:szCs w:val="24"/>
          <w:lang w:val="es-MX"/>
        </w:rPr>
        <w:t xml:space="preserve">B. De los derechos de toda persona imputada: </w:t>
      </w:r>
    </w:p>
    <w:p w:rsidR="008B6600" w:rsidRPr="00B463DC" w:rsidRDefault="008B6600" w:rsidP="00B463DC">
      <w:pPr>
        <w:jc w:val="both"/>
        <w:rPr>
          <w:i/>
          <w:sz w:val="24"/>
          <w:szCs w:val="24"/>
          <w:lang w:val="es-MX"/>
        </w:rPr>
      </w:pPr>
      <w:r w:rsidRPr="00B463DC">
        <w:rPr>
          <w:i/>
          <w:sz w:val="24"/>
          <w:szCs w:val="24"/>
          <w:lang w:val="es-MX"/>
        </w:rPr>
        <w:t xml:space="preserve">[…] </w:t>
      </w:r>
    </w:p>
    <w:p w:rsidR="008B6600" w:rsidRPr="00B463DC" w:rsidRDefault="008B6600" w:rsidP="00B463DC">
      <w:pPr>
        <w:jc w:val="both"/>
        <w:rPr>
          <w:i/>
          <w:sz w:val="24"/>
          <w:szCs w:val="24"/>
          <w:lang w:val="es-MX"/>
        </w:rPr>
      </w:pPr>
      <w:r w:rsidRPr="00B463DC">
        <w:rPr>
          <w:i/>
          <w:sz w:val="24"/>
          <w:szCs w:val="24"/>
          <w:lang w:val="es-MX"/>
        </w:rPr>
        <w:t xml:space="preserve">II. A declarar o a guardar silencio. Desde el momento de su detención se le harán saber los motivos de la misma y su derecho a guardar silencio, el cual no podrá ser utilizado en su perjuicio. </w:t>
      </w:r>
      <w:r w:rsidRPr="00B463DC">
        <w:rPr>
          <w:b/>
          <w:i/>
          <w:sz w:val="24"/>
          <w:szCs w:val="24"/>
          <w:u w:val="single"/>
          <w:lang w:val="es-MX"/>
        </w:rPr>
        <w:t xml:space="preserve">Queda prohibida y será sancionada por la ley penal, toda incomunicación, intimidación o tortura. </w:t>
      </w:r>
      <w:r w:rsidRPr="00B463DC">
        <w:rPr>
          <w:i/>
          <w:sz w:val="24"/>
          <w:szCs w:val="24"/>
          <w:lang w:val="es-MX"/>
        </w:rPr>
        <w:t xml:space="preserve">La confesión rendida sin la asistencia del defensor carecerá de todo valor probatorio; […] </w:t>
      </w:r>
    </w:p>
    <w:p w:rsidR="008B6600" w:rsidRPr="00B463DC" w:rsidRDefault="008B6600" w:rsidP="00B463DC">
      <w:pPr>
        <w:jc w:val="both"/>
        <w:rPr>
          <w:i/>
          <w:sz w:val="24"/>
          <w:szCs w:val="24"/>
          <w:lang w:val="es-MX"/>
        </w:rPr>
      </w:pPr>
    </w:p>
    <w:p w:rsidR="008B6600" w:rsidRPr="00B463DC" w:rsidRDefault="008B6600" w:rsidP="00B463DC">
      <w:pPr>
        <w:jc w:val="both"/>
        <w:rPr>
          <w:i/>
          <w:sz w:val="24"/>
          <w:szCs w:val="24"/>
          <w:lang w:val="es-MX"/>
        </w:rPr>
      </w:pPr>
      <w:r w:rsidRPr="00B463DC">
        <w:rPr>
          <w:b/>
          <w:i/>
          <w:sz w:val="24"/>
          <w:szCs w:val="24"/>
          <w:lang w:val="es-MX"/>
        </w:rPr>
        <w:t>Artículo 22.</w:t>
      </w:r>
      <w:r w:rsidRPr="00B463DC">
        <w:rPr>
          <w:i/>
          <w:sz w:val="24"/>
          <w:szCs w:val="24"/>
          <w:lang w:val="es-MX"/>
        </w:rPr>
        <w:t xml:space="preserve"> </w:t>
      </w:r>
      <w:r w:rsidRPr="00B463DC">
        <w:rPr>
          <w:b/>
          <w:i/>
          <w:sz w:val="24"/>
          <w:szCs w:val="24"/>
          <w:u w:val="single"/>
          <w:lang w:val="es-MX"/>
        </w:rPr>
        <w:t xml:space="preserve">Quedan prohibidas las penas de muerte, de mutilación, de infamia, la marca, los azotes, los palos, el tormento de cualquier especie, la multa excesiva, la confiscación de bienes y cualesquiera otras penas inusitadas y trascendentales. </w:t>
      </w:r>
      <w:r w:rsidRPr="00B463DC">
        <w:rPr>
          <w:i/>
          <w:sz w:val="24"/>
          <w:szCs w:val="24"/>
          <w:lang w:val="es-MX"/>
        </w:rPr>
        <w:t xml:space="preserve">Toda pena deberá ser proporcional al delito que sancione y al bien jurídico afectado. […] </w:t>
      </w:r>
    </w:p>
    <w:p w:rsidR="008B6600" w:rsidRPr="00B463DC" w:rsidRDefault="008B6600" w:rsidP="00B463DC">
      <w:pPr>
        <w:jc w:val="both"/>
        <w:rPr>
          <w:i/>
          <w:sz w:val="24"/>
          <w:szCs w:val="24"/>
          <w:lang w:val="es-MX"/>
        </w:rPr>
      </w:pPr>
      <w:r w:rsidRPr="00B463DC">
        <w:rPr>
          <w:b/>
          <w:i/>
          <w:sz w:val="24"/>
          <w:szCs w:val="24"/>
          <w:lang w:val="es-MX"/>
        </w:rPr>
        <w:t>Artículo 29.</w:t>
      </w:r>
      <w:r w:rsidRPr="00B463DC">
        <w:rPr>
          <w:i/>
          <w:sz w:val="24"/>
          <w:szCs w:val="24"/>
          <w:lang w:val="es-MX"/>
        </w:rPr>
        <w:t xml:space="preserve"> En los casos de invasión, perturbación grave de la paz pública, o de cualquier otro que ponga a la sociedad en grave peligro o conflicto, solamente el Presidente de los Estados Unidos Mexicanos, con la aprobación del Congreso de la Unión o de la Comisión Permanente cuando aquel no estuviere reunido, podrá restringir o suspender en todo el país o en lugar determinado el ejercicio de los derechos y las garantías que fuesen obstáculo para hacer frente, rápida y fácilmente a la situación; pero deberá hacerlo por un tiempo limitado, por medio de prevenciones generales y sin que la restricción o suspensión se contraiga a determinada persona. </w:t>
      </w:r>
    </w:p>
    <w:p w:rsidR="008B6600" w:rsidRPr="00B463DC" w:rsidRDefault="008B6600" w:rsidP="00B463DC">
      <w:pPr>
        <w:jc w:val="both"/>
        <w:rPr>
          <w:i/>
          <w:sz w:val="24"/>
          <w:szCs w:val="24"/>
          <w:lang w:val="es-MX"/>
        </w:rPr>
      </w:pPr>
      <w:r w:rsidRPr="00B463DC">
        <w:rPr>
          <w:i/>
          <w:sz w:val="24"/>
          <w:szCs w:val="24"/>
          <w:lang w:val="es-MX"/>
        </w:rPr>
        <w:t xml:space="preserve">Si la restricción o suspensión tuviese lugar hallándose el Congreso reunido, éste concederá las autorizaciones que estime necesarias para que el Ejecutivo haga frente a la situación; pero si se verificase en tiempo de receso, se convocará de inmediato al Congreso para que las acuerde. </w:t>
      </w:r>
    </w:p>
    <w:p w:rsidR="008B6600" w:rsidRPr="00B463DC" w:rsidRDefault="008B6600" w:rsidP="00B463DC">
      <w:pPr>
        <w:jc w:val="both"/>
        <w:rPr>
          <w:i/>
          <w:sz w:val="24"/>
          <w:szCs w:val="24"/>
          <w:lang w:val="es-MX"/>
        </w:rPr>
      </w:pPr>
      <w:r w:rsidRPr="00B463DC">
        <w:rPr>
          <w:b/>
          <w:i/>
          <w:sz w:val="24"/>
          <w:szCs w:val="24"/>
          <w:u w:val="single"/>
          <w:lang w:val="es-MX"/>
        </w:rPr>
        <w:t>En los decretos que se expidan, no podrá restringirse ni suspenderse el ejercicio de los derechos a la no discriminación, al reconocimiento de la personalidad jurídica, a la vida, a la integridad personal, a la protección a la familia, al nombre, a la nacionalidad; los derechos de la niñez; los derechos políticos; las libertades de pensamiento, conciencia y de profesar creencia religiosa alguna; el principio de legalidad y retroactividad; la prohibición de la pena de muerte; la prohibición de la esclavitud y la servidumbre; la prohibición de la desaparición forzada y la tortura; ni las garantías judiciales indispensables para la protección de tales derechos</w:t>
      </w:r>
      <w:r w:rsidRPr="00B463DC">
        <w:rPr>
          <w:i/>
          <w:sz w:val="24"/>
          <w:szCs w:val="24"/>
          <w:lang w:val="es-MX"/>
        </w:rPr>
        <w:t>. […]</w:t>
      </w:r>
    </w:p>
    <w:p w:rsidR="008B6600" w:rsidRPr="00B463DC" w:rsidRDefault="008B6600" w:rsidP="00B463DC">
      <w:pPr>
        <w:jc w:val="both"/>
        <w:rPr>
          <w:sz w:val="24"/>
          <w:szCs w:val="24"/>
          <w:lang w:val="es-MX"/>
        </w:rPr>
      </w:pPr>
    </w:p>
    <w:p w:rsidR="008B6600" w:rsidRPr="00B463DC" w:rsidRDefault="008B6600" w:rsidP="00B463DC">
      <w:pPr>
        <w:jc w:val="both"/>
        <w:rPr>
          <w:sz w:val="24"/>
          <w:szCs w:val="24"/>
          <w:lang w:val="es-MX"/>
        </w:rPr>
      </w:pPr>
      <w:r w:rsidRPr="00B463DC">
        <w:rPr>
          <w:sz w:val="24"/>
          <w:szCs w:val="24"/>
          <w:lang w:val="es-MX"/>
        </w:rPr>
        <w:t>En la legislación secundaria, el fundamento de la prohibición absoluta de la tortura proviene de la Ley General para Prevenir, Investigar y Sancionar la Tortura y otros Tratos o Penas Crueles, Inhumanos o Degradantes, asimismo, la Suprema Corte de Justicia de la Nación ha reconocido que la prohibición absoluta de la tortura está contenida en diversos instrumentos internacionales suscritos por México</w:t>
      </w:r>
      <w:r w:rsidRPr="00B463DC">
        <w:rPr>
          <w:sz w:val="24"/>
          <w:szCs w:val="24"/>
          <w:vertAlign w:val="superscript"/>
          <w:lang w:val="es-MX"/>
        </w:rPr>
        <w:footnoteReference w:id="2"/>
      </w:r>
      <w:r w:rsidRPr="00B463DC">
        <w:rPr>
          <w:sz w:val="24"/>
          <w:szCs w:val="24"/>
          <w:lang w:val="es-MX"/>
        </w:rPr>
        <w:t>.</w:t>
      </w:r>
    </w:p>
    <w:p w:rsidR="008B6600" w:rsidRPr="00B463DC" w:rsidRDefault="008B6600" w:rsidP="00B463DC">
      <w:pPr>
        <w:jc w:val="both"/>
        <w:rPr>
          <w:sz w:val="24"/>
          <w:szCs w:val="24"/>
          <w:lang w:val="es-MX"/>
        </w:rPr>
      </w:pPr>
      <w:r w:rsidRPr="00B463DC">
        <w:rPr>
          <w:sz w:val="24"/>
          <w:szCs w:val="24"/>
          <w:lang w:val="es-MX"/>
        </w:rPr>
        <w:t xml:space="preserve">Como se ha advertido, el derecho de toda persona a no ser torturada tiene el carácter de absoluto. Por lo anterior, no admite excepciones, no puede restringirse ni suspenderse, incluso, frente a situaciones de emergencia, pues pertenece al dominio del </w:t>
      </w:r>
      <w:r w:rsidRPr="00B463DC">
        <w:rPr>
          <w:i/>
          <w:sz w:val="24"/>
          <w:szCs w:val="24"/>
          <w:lang w:val="es-MX"/>
        </w:rPr>
        <w:t>jus cogens</w:t>
      </w:r>
      <w:r w:rsidRPr="00B463DC">
        <w:rPr>
          <w:sz w:val="24"/>
          <w:szCs w:val="24"/>
          <w:lang w:val="es-MX"/>
        </w:rPr>
        <w:t>. Consecuentemente, las autoridades tienen la obligación ineludible de prevenir, investigar, sancionar y reparar la tortura.</w:t>
      </w:r>
    </w:p>
    <w:p w:rsidR="008B6600" w:rsidRPr="00B463DC" w:rsidRDefault="008B6600" w:rsidP="00B463DC">
      <w:pPr>
        <w:jc w:val="both"/>
        <w:rPr>
          <w:sz w:val="24"/>
          <w:szCs w:val="24"/>
          <w:lang w:val="es-MX"/>
        </w:rPr>
      </w:pPr>
    </w:p>
    <w:p w:rsidR="008B6600" w:rsidRPr="00B463DC" w:rsidRDefault="008B6600" w:rsidP="00B463DC">
      <w:pPr>
        <w:jc w:val="both"/>
        <w:rPr>
          <w:sz w:val="24"/>
          <w:szCs w:val="24"/>
          <w:lang w:val="es-MX"/>
        </w:rPr>
      </w:pPr>
      <w:r w:rsidRPr="00B463DC">
        <w:rPr>
          <w:sz w:val="24"/>
          <w:szCs w:val="24"/>
          <w:lang w:val="es-MX"/>
        </w:rPr>
        <w:t>En este contexto la jurisprudencia de la Corte Interamericana de Derechos Humanos ha concluido -a propósito del artículo 5.2</w:t>
      </w:r>
      <w:r w:rsidRPr="00B463DC">
        <w:rPr>
          <w:sz w:val="24"/>
          <w:szCs w:val="24"/>
          <w:vertAlign w:val="superscript"/>
          <w:lang w:val="es-MX"/>
        </w:rPr>
        <w:footnoteReference w:id="3"/>
      </w:r>
      <w:r w:rsidRPr="00B463DC">
        <w:rPr>
          <w:sz w:val="24"/>
          <w:szCs w:val="24"/>
          <w:lang w:val="es-MX"/>
        </w:rPr>
        <w:t xml:space="preserve"> de la Convención Americana sobre Derechos Humanos y en concordancia con la definición contenida en el artículo 2º de la Convención Interamericana para Prevenir y Sancionar la Tortura- que un acto configura tortura cuando el maltrato:</w:t>
      </w:r>
    </w:p>
    <w:p w:rsidR="008B6600" w:rsidRPr="00B463DC" w:rsidRDefault="008B6600" w:rsidP="00B463DC">
      <w:pPr>
        <w:jc w:val="both"/>
        <w:rPr>
          <w:sz w:val="24"/>
          <w:szCs w:val="24"/>
          <w:lang w:val="es-MX"/>
        </w:rPr>
      </w:pPr>
    </w:p>
    <w:p w:rsidR="008B6600" w:rsidRPr="00B463DC" w:rsidRDefault="008B6600" w:rsidP="00B463DC">
      <w:pPr>
        <w:numPr>
          <w:ilvl w:val="0"/>
          <w:numId w:val="2"/>
        </w:numPr>
        <w:jc w:val="both"/>
        <w:rPr>
          <w:sz w:val="24"/>
          <w:szCs w:val="24"/>
          <w:lang w:val="es-MX"/>
        </w:rPr>
      </w:pPr>
      <w:r w:rsidRPr="00B463DC">
        <w:rPr>
          <w:sz w:val="24"/>
          <w:szCs w:val="24"/>
          <w:lang w:val="es-MX"/>
        </w:rPr>
        <w:t xml:space="preserve">Es intencional; </w:t>
      </w:r>
    </w:p>
    <w:p w:rsidR="008B6600" w:rsidRPr="00B463DC" w:rsidRDefault="008B6600" w:rsidP="00B463DC">
      <w:pPr>
        <w:numPr>
          <w:ilvl w:val="0"/>
          <w:numId w:val="2"/>
        </w:numPr>
        <w:jc w:val="both"/>
        <w:rPr>
          <w:sz w:val="24"/>
          <w:szCs w:val="24"/>
          <w:lang w:val="es-MX"/>
        </w:rPr>
      </w:pPr>
      <w:r w:rsidRPr="00B463DC">
        <w:rPr>
          <w:sz w:val="24"/>
          <w:szCs w:val="24"/>
          <w:lang w:val="es-MX"/>
        </w:rPr>
        <w:t>Causa sufrimientos físicos o mentales, y</w:t>
      </w:r>
    </w:p>
    <w:p w:rsidR="008B6600" w:rsidRPr="00B463DC" w:rsidRDefault="008B6600" w:rsidP="00B463DC">
      <w:pPr>
        <w:numPr>
          <w:ilvl w:val="0"/>
          <w:numId w:val="2"/>
        </w:numPr>
        <w:jc w:val="both"/>
        <w:rPr>
          <w:sz w:val="24"/>
          <w:szCs w:val="24"/>
          <w:lang w:val="es-MX"/>
        </w:rPr>
      </w:pPr>
      <w:r w:rsidRPr="00B463DC">
        <w:rPr>
          <w:sz w:val="24"/>
          <w:szCs w:val="24"/>
          <w:lang w:val="es-MX"/>
        </w:rPr>
        <w:t>Se comete con cualquier fin o propósito.</w:t>
      </w:r>
    </w:p>
    <w:p w:rsidR="008B6600" w:rsidRPr="00B463DC" w:rsidRDefault="008B6600" w:rsidP="00B463DC">
      <w:pPr>
        <w:jc w:val="both"/>
        <w:rPr>
          <w:sz w:val="24"/>
          <w:szCs w:val="24"/>
          <w:lang w:val="es-MX"/>
        </w:rPr>
      </w:pPr>
    </w:p>
    <w:p w:rsidR="008B6600" w:rsidRPr="00B463DC" w:rsidRDefault="008B6600" w:rsidP="00B463DC">
      <w:pPr>
        <w:jc w:val="both"/>
        <w:rPr>
          <w:sz w:val="24"/>
          <w:szCs w:val="24"/>
          <w:lang w:val="es-MX"/>
        </w:rPr>
      </w:pPr>
      <w:r w:rsidRPr="00B463DC">
        <w:rPr>
          <w:sz w:val="24"/>
          <w:szCs w:val="24"/>
          <w:lang w:val="es-MX"/>
        </w:rPr>
        <w:t xml:space="preserve">En el caso en particular como ya quedó acreditado, se actualizan los requisitos mencionados anteriormente, ya que los agentes que se apersonaron ante las instalaciones de la policía del Municipio de Santa Lucía del Camino, Oaxaca, iban con franca intensión de ocasionar sufrimientos físicos a </w:t>
      </w:r>
      <w:r w:rsidRPr="00B463DC">
        <w:rPr>
          <w:b/>
          <w:sz w:val="24"/>
          <w:szCs w:val="24"/>
          <w:lang w:val="es-MX"/>
        </w:rPr>
        <w:t xml:space="preserve">ZEFERINO SORIANO MORALES, </w:t>
      </w:r>
      <w:r w:rsidRPr="00B463DC">
        <w:rPr>
          <w:sz w:val="24"/>
          <w:szCs w:val="24"/>
          <w:lang w:val="es-MX"/>
        </w:rPr>
        <w:t>con la intensión de que declarara extrajudicialmente con quien supuestamente había entrado a robar en un domicilio particular del citado Municipio.</w:t>
      </w:r>
    </w:p>
    <w:p w:rsidR="00D419BB" w:rsidRPr="00D419BB" w:rsidRDefault="006C748E" w:rsidP="00D419BB">
      <w:pPr>
        <w:jc w:val="both"/>
        <w:rPr>
          <w:b/>
          <w:bCs/>
          <w:sz w:val="24"/>
          <w:szCs w:val="24"/>
          <w:u w:val="single"/>
          <w:lang w:val="es-MX"/>
        </w:rPr>
      </w:pPr>
      <w:r w:rsidRPr="00B463DC">
        <w:rPr>
          <w:sz w:val="24"/>
          <w:szCs w:val="24"/>
          <w:lang w:val="es-MX"/>
        </w:rPr>
        <w:t>Por lo anterior, las autoridades señaladas</w:t>
      </w:r>
      <w:r w:rsidR="000876FA" w:rsidRPr="00B463DC">
        <w:rPr>
          <w:sz w:val="24"/>
          <w:szCs w:val="24"/>
          <w:lang w:val="es-MX"/>
        </w:rPr>
        <w:t xml:space="preserve"> en el presente reporte</w:t>
      </w:r>
      <w:r w:rsidRPr="00B463DC">
        <w:rPr>
          <w:sz w:val="24"/>
          <w:szCs w:val="24"/>
          <w:lang w:val="es-MX"/>
        </w:rPr>
        <w:t xml:space="preserve"> son responsables de la violación del derecho a la libertad e integridad personal, y a la vida del señor </w:t>
      </w:r>
      <w:r w:rsidRPr="00B463DC">
        <w:rPr>
          <w:b/>
          <w:sz w:val="24"/>
          <w:szCs w:val="24"/>
          <w:lang w:val="es-MX"/>
        </w:rPr>
        <w:t>ZEFERINO SORIANO MORALES</w:t>
      </w:r>
      <w:r w:rsidRPr="00B463DC">
        <w:rPr>
          <w:sz w:val="24"/>
          <w:szCs w:val="24"/>
          <w:lang w:val="es-MX"/>
        </w:rPr>
        <w:t>.</w:t>
      </w:r>
      <w:r w:rsidR="00D419BB">
        <w:rPr>
          <w:sz w:val="24"/>
          <w:szCs w:val="24"/>
          <w:lang w:val="es-MX"/>
        </w:rPr>
        <w:t xml:space="preserve"> </w:t>
      </w:r>
      <w:r w:rsidR="00D419BB" w:rsidRPr="00D419BB">
        <w:rPr>
          <w:b/>
          <w:bCs/>
          <w:sz w:val="24"/>
          <w:szCs w:val="24"/>
          <w:u w:val="single"/>
          <w:lang w:val="es-MX"/>
        </w:rPr>
        <w:t>POR ELLO, SOLICITAMOS ENCARECIDAMENTE AL CAT COLOQUE UN SUS CONCLUSIONES UNA REFERENCIA EXPLICITA AL CASO DE LA TORTURA DE ZEFERINO ZORIANO MORALES EN EL MUNICIPIO DE SANTA LUCIA DEL CAMINO (OAXACA) Y EXIGA EL JUICIO DE LOS POLICIAS RESPONSABLES</w:t>
      </w:r>
    </w:p>
    <w:p w:rsidR="006C748E" w:rsidRPr="00B463DC" w:rsidRDefault="006C748E" w:rsidP="00B463DC">
      <w:pPr>
        <w:jc w:val="both"/>
        <w:rPr>
          <w:sz w:val="24"/>
          <w:szCs w:val="24"/>
          <w:lang w:val="es-MX"/>
        </w:rPr>
      </w:pPr>
    </w:p>
    <w:p w:rsidR="006C748E" w:rsidRPr="00B463DC" w:rsidRDefault="006C748E" w:rsidP="00B463DC">
      <w:pPr>
        <w:jc w:val="both"/>
        <w:rPr>
          <w:sz w:val="24"/>
          <w:szCs w:val="24"/>
          <w:lang w:val="es-MX"/>
        </w:rPr>
      </w:pPr>
    </w:p>
    <w:p w:rsidR="006C748E" w:rsidRPr="00B463DC" w:rsidRDefault="006C748E" w:rsidP="00B463DC">
      <w:pPr>
        <w:jc w:val="both"/>
        <w:rPr>
          <w:b/>
          <w:sz w:val="24"/>
          <w:szCs w:val="24"/>
          <w:lang w:val="es-MX"/>
        </w:rPr>
      </w:pPr>
      <w:r w:rsidRPr="00B463DC">
        <w:rPr>
          <w:b/>
          <w:sz w:val="24"/>
          <w:szCs w:val="24"/>
          <w:lang w:val="es-MX"/>
        </w:rPr>
        <w:t>DERECHO AL RECONOCIMIENTO DE LA PERSONALIDAD JURÍDICA.</w:t>
      </w:r>
    </w:p>
    <w:p w:rsidR="006C748E" w:rsidRPr="00B463DC" w:rsidRDefault="006C748E" w:rsidP="00B463DC">
      <w:pPr>
        <w:jc w:val="both"/>
        <w:rPr>
          <w:sz w:val="24"/>
          <w:szCs w:val="24"/>
          <w:lang w:val="es-MX"/>
        </w:rPr>
      </w:pPr>
    </w:p>
    <w:p w:rsidR="009C61B1" w:rsidRPr="00B463DC" w:rsidRDefault="009C61B1" w:rsidP="00B463DC">
      <w:pPr>
        <w:jc w:val="both"/>
        <w:rPr>
          <w:sz w:val="24"/>
          <w:szCs w:val="24"/>
          <w:lang w:val="es-MX"/>
        </w:rPr>
      </w:pPr>
      <w:r w:rsidRPr="00B463DC">
        <w:rPr>
          <w:sz w:val="24"/>
          <w:szCs w:val="24"/>
          <w:lang w:val="es-MX"/>
        </w:rPr>
        <w:t xml:space="preserve">El artículo 3 de la Convención Americana sobre Derechos Humanos, estipula el Derecho al Reconocimiento de la Personalidad Jurídica argumentando que </w:t>
      </w:r>
      <w:r w:rsidRPr="00B463DC">
        <w:rPr>
          <w:i/>
          <w:sz w:val="24"/>
          <w:szCs w:val="24"/>
          <w:lang w:val="es-MX"/>
        </w:rPr>
        <w:t>“toda persona tiene derecho al reconocimiento de su personalidad jurídica”</w:t>
      </w:r>
      <w:r w:rsidRPr="00B463DC">
        <w:rPr>
          <w:sz w:val="24"/>
          <w:szCs w:val="24"/>
          <w:lang w:val="es-MX"/>
        </w:rPr>
        <w:t>.</w:t>
      </w:r>
    </w:p>
    <w:p w:rsidR="009C61B1" w:rsidRPr="00B463DC" w:rsidRDefault="009C61B1" w:rsidP="00B463DC">
      <w:pPr>
        <w:jc w:val="both"/>
        <w:rPr>
          <w:sz w:val="24"/>
          <w:szCs w:val="24"/>
          <w:lang w:val="es-MX"/>
        </w:rPr>
      </w:pPr>
    </w:p>
    <w:p w:rsidR="009C61B1" w:rsidRPr="00B463DC" w:rsidRDefault="009C61B1" w:rsidP="00B463DC">
      <w:pPr>
        <w:jc w:val="both"/>
        <w:rPr>
          <w:sz w:val="24"/>
          <w:szCs w:val="24"/>
          <w:lang w:val="es-MX"/>
        </w:rPr>
      </w:pPr>
      <w:r w:rsidRPr="00B463DC">
        <w:rPr>
          <w:sz w:val="24"/>
          <w:szCs w:val="24"/>
          <w:lang w:val="es-MX"/>
        </w:rPr>
        <w:t>En este sentido, la Corte Interamericana de Derechos Humanos ha considerado que el contenido propio del derecho al reconocimiento de la personalidad jurídica es que se reconozca a la persona, en cualquier parte como sujeto de derechos y obligaciones, y a gozar de los derechos civiles fundamentales, lo cual implica la capacidad de ser titular de derechos (capacidad y goce) y de deberes; la violación de aquel reconocimiento supone desconocer en términos absolutos la posibilidad de ser titular de los derechos y deberes civiles y fundamentales.</w:t>
      </w:r>
    </w:p>
    <w:p w:rsidR="009C61B1" w:rsidRPr="00B463DC" w:rsidRDefault="009C61B1" w:rsidP="00B463DC">
      <w:pPr>
        <w:jc w:val="both"/>
        <w:rPr>
          <w:sz w:val="24"/>
          <w:szCs w:val="24"/>
          <w:lang w:val="es-MX"/>
        </w:rPr>
      </w:pPr>
      <w:r w:rsidRPr="00B463DC">
        <w:rPr>
          <w:sz w:val="24"/>
          <w:szCs w:val="24"/>
          <w:lang w:val="es-MX"/>
        </w:rPr>
        <w:t> </w:t>
      </w:r>
    </w:p>
    <w:p w:rsidR="009C61B1" w:rsidRPr="00B463DC" w:rsidRDefault="009C61B1" w:rsidP="00B463DC">
      <w:pPr>
        <w:jc w:val="both"/>
        <w:rPr>
          <w:sz w:val="24"/>
          <w:szCs w:val="24"/>
          <w:lang w:val="es-MX"/>
        </w:rPr>
      </w:pPr>
      <w:r w:rsidRPr="00B463DC">
        <w:rPr>
          <w:sz w:val="24"/>
          <w:szCs w:val="24"/>
          <w:lang w:val="es-MX"/>
        </w:rPr>
        <w:t>Este derecho representa un parámetro para determinar si una persona es titular o no de los derechos de que se trate y si los puede ejercer, por lo que la violación de aquel reconocimiento hace al individuo vulnerable frente al Estado o particulares. De este modo, el contenido del derecho al reconocimiento de la personalidad jurídica se refiere al correlativo deber general del Estado de procurar los medios y condiciones jurídicas para que ese derecho pueda ser ejercido libre y plenamente por sus titulares o, en su caso, la obligación de no vulnerar dicho derecho.</w:t>
      </w:r>
    </w:p>
    <w:p w:rsidR="009C61B1" w:rsidRPr="00B463DC" w:rsidRDefault="009C61B1" w:rsidP="00B463DC">
      <w:pPr>
        <w:jc w:val="both"/>
        <w:rPr>
          <w:sz w:val="24"/>
          <w:szCs w:val="24"/>
          <w:lang w:val="es-MX"/>
        </w:rPr>
      </w:pPr>
      <w:r w:rsidRPr="00B463DC">
        <w:rPr>
          <w:sz w:val="24"/>
          <w:szCs w:val="24"/>
          <w:lang w:val="es-MX"/>
        </w:rPr>
        <w:t> </w:t>
      </w:r>
    </w:p>
    <w:p w:rsidR="009C61B1" w:rsidRPr="00B463DC" w:rsidRDefault="009C61B1" w:rsidP="00B463DC">
      <w:pPr>
        <w:jc w:val="both"/>
        <w:rPr>
          <w:sz w:val="24"/>
          <w:szCs w:val="24"/>
          <w:lang w:val="es-MX"/>
        </w:rPr>
      </w:pPr>
      <w:r w:rsidRPr="00B463DC">
        <w:rPr>
          <w:sz w:val="24"/>
          <w:szCs w:val="24"/>
          <w:lang w:val="es-MX"/>
        </w:rPr>
        <w:t>La Corte Interamericana de Derechos Humanos, en la sentencia emitida en el caso </w:t>
      </w:r>
      <w:r w:rsidRPr="00B463DC">
        <w:rPr>
          <w:i/>
          <w:iCs/>
          <w:sz w:val="24"/>
          <w:szCs w:val="24"/>
          <w:lang w:val="es-MX"/>
        </w:rPr>
        <w:t>Anzualdo Castro Vs. Perú</w:t>
      </w:r>
      <w:r w:rsidRPr="00B463DC">
        <w:rPr>
          <w:sz w:val="24"/>
          <w:szCs w:val="24"/>
          <w:lang w:val="es-MX"/>
        </w:rPr>
        <w:t> consideró que, en casos de desaparición forzada, atendiendo al carácter múltiple y complejo de esta grave violación de derechos humanos, su ejecución puede conllevar la vulneración específica del derecho al reconocimiento de la personalidad jurídica. Más allá de que la persona desaparecida no pueda continuar gozando y ejerciendo otros, y eventualmente todos, los derechos de los cuales también es titular, su desaparición busca no sólo una de las más graves formas de sustracción de una persona de todo ámbito del ordenamiento jurídico, sino también negar su existencia misma y dejarla en una suerte de limbo o situación de indeterminación jurídica ante la sociedad y el Estado. </w:t>
      </w:r>
    </w:p>
    <w:p w:rsidR="009C61B1" w:rsidRPr="00B463DC" w:rsidRDefault="009C61B1" w:rsidP="00B463DC">
      <w:pPr>
        <w:jc w:val="both"/>
        <w:rPr>
          <w:sz w:val="24"/>
          <w:szCs w:val="24"/>
          <w:lang w:val="es-MX"/>
        </w:rPr>
      </w:pPr>
    </w:p>
    <w:p w:rsidR="009C61B1" w:rsidRPr="00B463DC" w:rsidRDefault="009C61B1" w:rsidP="00B463DC">
      <w:pPr>
        <w:jc w:val="both"/>
        <w:rPr>
          <w:sz w:val="24"/>
          <w:szCs w:val="24"/>
          <w:lang w:val="es-MX"/>
        </w:rPr>
      </w:pPr>
      <w:r w:rsidRPr="00B463DC">
        <w:rPr>
          <w:sz w:val="24"/>
          <w:szCs w:val="24"/>
          <w:lang w:val="es-MX"/>
        </w:rPr>
        <w:t xml:space="preserve">En el caso que nos ocupa, si bien es cierto que no puede ser considerado como desaparición forzada de personas, igualmente cierto es que, el hecho de que se haya acreditado que las autoridades mencionadas en el presente escrito con sus acciones y omisiones incurrieron en tortura, lo cual actualizó una violación al derecho de integridad personal y a la vida, lo cual igualmente trae una consecuencia lógica inmediata una vulneración al derecho de reconocimiento de la personalidad jurídica del señor </w:t>
      </w:r>
      <w:r w:rsidRPr="00B463DC">
        <w:rPr>
          <w:b/>
          <w:sz w:val="24"/>
          <w:szCs w:val="24"/>
          <w:lang w:val="es-MX"/>
        </w:rPr>
        <w:t>ZEFERINO SORIANO MORALES.</w:t>
      </w:r>
    </w:p>
    <w:p w:rsidR="006C748E" w:rsidRPr="00B463DC" w:rsidRDefault="006C748E" w:rsidP="00B463DC">
      <w:pPr>
        <w:jc w:val="both"/>
        <w:rPr>
          <w:sz w:val="24"/>
          <w:szCs w:val="24"/>
          <w:lang w:val="es-MX"/>
        </w:rPr>
      </w:pPr>
    </w:p>
    <w:p w:rsidR="009C61B1" w:rsidRPr="00B463DC" w:rsidRDefault="009C61B1" w:rsidP="00B463DC">
      <w:pPr>
        <w:jc w:val="both"/>
        <w:rPr>
          <w:sz w:val="24"/>
          <w:szCs w:val="24"/>
          <w:lang w:val="es-MX"/>
        </w:rPr>
      </w:pPr>
      <w:r w:rsidRPr="00B463DC">
        <w:rPr>
          <w:sz w:val="24"/>
          <w:szCs w:val="24"/>
          <w:lang w:val="es-MX"/>
        </w:rPr>
        <w:t>P</w:t>
      </w:r>
      <w:r w:rsidR="00037C65" w:rsidRPr="00B463DC">
        <w:rPr>
          <w:sz w:val="24"/>
          <w:szCs w:val="24"/>
          <w:lang w:val="es-MX"/>
        </w:rPr>
        <w:t>or lo tanto, se debe</w:t>
      </w:r>
      <w:r w:rsidRPr="00B463DC">
        <w:rPr>
          <w:sz w:val="24"/>
          <w:szCs w:val="24"/>
          <w:lang w:val="es-MX"/>
        </w:rPr>
        <w:t xml:space="preserve"> concluir que las autoridades señaladas son responsables de la violación de los artículos 7.1 (Libertad Personal); 5.1 y 5.2 (Integridad Personal); 3 (Derecho al Reconocimiento de la Personalidad Jurídica) y 4.1 (Derecho a la Vida), todos de la Convención Americana de los Derechos Humanos, </w:t>
      </w:r>
      <w:r w:rsidR="00037C65" w:rsidRPr="00B463DC">
        <w:rPr>
          <w:sz w:val="24"/>
          <w:szCs w:val="24"/>
          <w:lang w:val="es-MX"/>
        </w:rPr>
        <w:t xml:space="preserve">en perjuicio de </w:t>
      </w:r>
      <w:r w:rsidR="00037C65" w:rsidRPr="00B463DC">
        <w:rPr>
          <w:b/>
          <w:sz w:val="24"/>
          <w:szCs w:val="24"/>
          <w:lang w:val="es-MX"/>
        </w:rPr>
        <w:t>ZEFERINO SORIANO MORALES</w:t>
      </w:r>
      <w:r w:rsidRPr="00B463DC">
        <w:rPr>
          <w:sz w:val="24"/>
          <w:szCs w:val="24"/>
          <w:lang w:val="es-MX"/>
        </w:rPr>
        <w:t>, en razón del incumplimiento del deber de garantía y de respeto de dichos derechos.</w:t>
      </w:r>
    </w:p>
    <w:p w:rsidR="009C61B1" w:rsidRPr="00B463DC" w:rsidRDefault="009C61B1" w:rsidP="00B463DC">
      <w:pPr>
        <w:jc w:val="both"/>
        <w:rPr>
          <w:sz w:val="24"/>
          <w:szCs w:val="24"/>
          <w:lang w:val="es-MX"/>
        </w:rPr>
      </w:pPr>
    </w:p>
    <w:p w:rsidR="00037C65" w:rsidRPr="00B463DC" w:rsidRDefault="00037C65" w:rsidP="00B463DC">
      <w:pPr>
        <w:jc w:val="both"/>
        <w:rPr>
          <w:sz w:val="24"/>
          <w:szCs w:val="24"/>
          <w:lang w:val="es-MX"/>
        </w:rPr>
      </w:pPr>
      <w:r w:rsidRPr="00B463DC">
        <w:rPr>
          <w:b/>
          <w:sz w:val="24"/>
          <w:szCs w:val="24"/>
          <w:lang w:val="es-MX"/>
        </w:rPr>
        <w:t>DERECHO A LA PROTECCIÓN DE LA SALUD.</w:t>
      </w:r>
    </w:p>
    <w:p w:rsidR="00037C65" w:rsidRPr="00B463DC" w:rsidRDefault="00037C65" w:rsidP="00B463DC">
      <w:pPr>
        <w:jc w:val="both"/>
        <w:rPr>
          <w:b/>
          <w:sz w:val="24"/>
          <w:szCs w:val="24"/>
          <w:lang w:val="es-MX"/>
        </w:rPr>
      </w:pPr>
    </w:p>
    <w:p w:rsidR="00037C65" w:rsidRPr="00B463DC" w:rsidRDefault="00037C65" w:rsidP="00B463DC">
      <w:pPr>
        <w:jc w:val="both"/>
        <w:rPr>
          <w:sz w:val="24"/>
          <w:szCs w:val="24"/>
          <w:lang w:val="es-MX"/>
        </w:rPr>
      </w:pPr>
      <w:r w:rsidRPr="00B463DC">
        <w:rPr>
          <w:sz w:val="24"/>
          <w:szCs w:val="24"/>
          <w:lang w:val="es-MX"/>
        </w:rPr>
        <w:t xml:space="preserve">El artículo 4º, párrafo cuarto, de la Constitución Política de los Estados Unidos Mexicanos reconoce que toda persona tiene derecho a la protección de la salud. En este tema, la Suprema Corte de Justicia de la Nación, estableció el criterio de los elementos que comprende el derecho a la salud, a saber: </w:t>
      </w:r>
      <w:r w:rsidRPr="00B463DC">
        <w:rPr>
          <w:i/>
          <w:sz w:val="24"/>
          <w:szCs w:val="24"/>
          <w:lang w:val="es-MX"/>
        </w:rPr>
        <w:t>“el disfrute de servicios de salud de calidad en todas sus formas y niveles, entendiendo calidad como exigencia de que sean apropiados médica y científicamente, por lo que para garantizarlo, es menester que sean proporcionados con calidad lo cual tiene estrecha relación con el control que el Estado haga de los mismos”</w:t>
      </w:r>
      <w:r w:rsidRPr="00B463DC">
        <w:rPr>
          <w:sz w:val="24"/>
          <w:szCs w:val="24"/>
          <w:lang w:val="es-MX"/>
        </w:rPr>
        <w:t>.</w:t>
      </w:r>
    </w:p>
    <w:p w:rsidR="00DA494A" w:rsidRPr="00B463DC" w:rsidRDefault="00DA494A" w:rsidP="00B463DC">
      <w:pPr>
        <w:jc w:val="both"/>
        <w:rPr>
          <w:sz w:val="24"/>
          <w:szCs w:val="24"/>
          <w:lang w:val="es-MX"/>
        </w:rPr>
      </w:pPr>
      <w:r w:rsidRPr="00B463DC">
        <w:rPr>
          <w:sz w:val="24"/>
          <w:szCs w:val="24"/>
          <w:lang w:val="es-MX"/>
        </w:rPr>
        <w:t xml:space="preserve">Al respecto, el Comité de Derechos Económicos, Sociales y Culturales de las Naciones Unidas ha definido al derecho a la protección de la salud </w:t>
      </w:r>
      <w:r w:rsidRPr="00B463DC">
        <w:rPr>
          <w:i/>
          <w:sz w:val="24"/>
          <w:szCs w:val="24"/>
          <w:lang w:val="es-MX"/>
        </w:rPr>
        <w:t>“como un derecho al disfrute de toda una gama de facilidades, bienes, servicios y condiciones necesarios para alcanzar el más alto nivel posible de salud”</w:t>
      </w:r>
      <w:r w:rsidRPr="00B463DC">
        <w:rPr>
          <w:sz w:val="24"/>
          <w:szCs w:val="24"/>
          <w:lang w:val="es-MX"/>
        </w:rPr>
        <w:t xml:space="preserve">. Asimismo, los artículos 10.1 y 10.2, incisos a) y b) del Protocolo Adicional a la Convención Americana sobre Derechos Humanos en Materia de Derechos Económicos, Sociales y Culturales </w:t>
      </w:r>
      <w:r w:rsidRPr="00B463DC">
        <w:rPr>
          <w:i/>
          <w:sz w:val="24"/>
          <w:szCs w:val="24"/>
          <w:lang w:val="es-MX"/>
        </w:rPr>
        <w:t>(“Protocolo de San Salvador”</w:t>
      </w:r>
      <w:r w:rsidRPr="00B463DC">
        <w:rPr>
          <w:sz w:val="24"/>
          <w:szCs w:val="24"/>
          <w:lang w:val="es-MX"/>
        </w:rPr>
        <w:t xml:space="preserve">), reconoce que </w:t>
      </w:r>
      <w:r w:rsidRPr="00B463DC">
        <w:rPr>
          <w:i/>
          <w:sz w:val="24"/>
          <w:szCs w:val="24"/>
          <w:lang w:val="es-MX"/>
        </w:rPr>
        <w:t xml:space="preserve">“Toda persona tiene derecho a la salud, entendida como el disfrute del más alto nivel de bienestar físico, mental y social”. </w:t>
      </w:r>
      <w:r w:rsidRPr="00B463DC">
        <w:rPr>
          <w:sz w:val="24"/>
          <w:szCs w:val="24"/>
          <w:lang w:val="es-MX"/>
        </w:rPr>
        <w:t>Igualmente</w:t>
      </w:r>
      <w:r w:rsidRPr="00B463DC">
        <w:rPr>
          <w:i/>
          <w:sz w:val="24"/>
          <w:szCs w:val="24"/>
          <w:lang w:val="es-MX"/>
        </w:rPr>
        <w:t xml:space="preserve"> </w:t>
      </w:r>
      <w:r w:rsidRPr="00B463DC">
        <w:rPr>
          <w:sz w:val="24"/>
          <w:szCs w:val="24"/>
          <w:lang w:val="es-MX"/>
        </w:rPr>
        <w:t xml:space="preserve">que los Estados partes </w:t>
      </w:r>
      <w:r w:rsidRPr="00B463DC">
        <w:rPr>
          <w:i/>
          <w:sz w:val="24"/>
          <w:szCs w:val="24"/>
          <w:lang w:val="es-MX"/>
        </w:rPr>
        <w:t>“se comprometen a reconocer la salud como un bien público y particularmente a adoptar las siguientes medidas para garantizar este derecho: a. La atención primaria de la salud, entendiendo como tal la asistencia sanitaria esencial puesta al alcance de todos los individuos y familiares de la comunidad y b. La extensión de los beneficios de los servicios de salud a todos los individuos sujetos a la jurisdicción del Estado”</w:t>
      </w:r>
      <w:r w:rsidRPr="00B463DC">
        <w:rPr>
          <w:sz w:val="24"/>
          <w:szCs w:val="24"/>
          <w:lang w:val="es-MX"/>
        </w:rPr>
        <w:t>.</w:t>
      </w:r>
    </w:p>
    <w:p w:rsidR="00DA494A" w:rsidRPr="00B463DC" w:rsidRDefault="00DA494A" w:rsidP="00B463DC">
      <w:pPr>
        <w:jc w:val="both"/>
        <w:rPr>
          <w:sz w:val="24"/>
          <w:szCs w:val="24"/>
          <w:lang w:val="es-MX"/>
        </w:rPr>
      </w:pPr>
      <w:r w:rsidRPr="00B463DC">
        <w:rPr>
          <w:sz w:val="24"/>
          <w:szCs w:val="24"/>
          <w:lang w:val="es-MX"/>
        </w:rPr>
        <w:t xml:space="preserve">En relación con el presente caso, </w:t>
      </w:r>
      <w:r w:rsidR="00EB40A0" w:rsidRPr="00B463DC">
        <w:rPr>
          <w:sz w:val="24"/>
          <w:szCs w:val="24"/>
          <w:lang w:val="es-MX"/>
        </w:rPr>
        <w:t xml:space="preserve">se </w:t>
      </w:r>
      <w:r w:rsidRPr="00B463DC">
        <w:rPr>
          <w:sz w:val="24"/>
          <w:szCs w:val="24"/>
          <w:lang w:val="es-MX"/>
        </w:rPr>
        <w:t>arribará válidamente a la conclusión de que se vulneró el derecho a la protección</w:t>
      </w:r>
      <w:r w:rsidR="00EB40A0" w:rsidRPr="00B463DC">
        <w:rPr>
          <w:sz w:val="24"/>
          <w:szCs w:val="24"/>
          <w:lang w:val="es-MX"/>
        </w:rPr>
        <w:t xml:space="preserve"> de la salud de</w:t>
      </w:r>
      <w:r w:rsidRPr="00B463DC">
        <w:rPr>
          <w:sz w:val="24"/>
          <w:szCs w:val="24"/>
          <w:lang w:val="es-MX"/>
        </w:rPr>
        <w:t xml:space="preserve"> </w:t>
      </w:r>
      <w:r w:rsidRPr="00B463DC">
        <w:rPr>
          <w:b/>
          <w:sz w:val="24"/>
          <w:szCs w:val="24"/>
          <w:lang w:val="es-MX"/>
        </w:rPr>
        <w:t xml:space="preserve">ZEFERINO SORIANO MORALES, </w:t>
      </w:r>
      <w:r w:rsidRPr="00B463DC">
        <w:rPr>
          <w:sz w:val="24"/>
          <w:szCs w:val="24"/>
          <w:lang w:val="es-MX"/>
        </w:rPr>
        <w:t>ya que como consta en los testimonios que se encuentran dentro de la capeta de investigación 2407</w:t>
      </w:r>
      <w:r w:rsidR="00EB40A0" w:rsidRPr="00B463DC">
        <w:rPr>
          <w:sz w:val="24"/>
          <w:szCs w:val="24"/>
          <w:lang w:val="es-MX"/>
        </w:rPr>
        <w:t>/DF/ZC/2017</w:t>
      </w:r>
      <w:r w:rsidR="00E97FDA" w:rsidRPr="00B463DC">
        <w:rPr>
          <w:sz w:val="24"/>
          <w:szCs w:val="24"/>
          <w:lang w:val="es-MX"/>
        </w:rPr>
        <w:t xml:space="preserve"> </w:t>
      </w:r>
      <w:r w:rsidR="00036C73" w:rsidRPr="00B463DC">
        <w:rPr>
          <w:sz w:val="24"/>
          <w:szCs w:val="24"/>
          <w:lang w:val="es-MX"/>
        </w:rPr>
        <w:t>ya citada</w:t>
      </w:r>
      <w:r w:rsidR="00EB40A0" w:rsidRPr="00B463DC">
        <w:rPr>
          <w:sz w:val="24"/>
          <w:szCs w:val="24"/>
          <w:lang w:val="es-MX"/>
        </w:rPr>
        <w:t xml:space="preserve">, </w:t>
      </w:r>
      <w:r w:rsidRPr="00B463DC">
        <w:rPr>
          <w:sz w:val="24"/>
          <w:szCs w:val="24"/>
          <w:lang w:val="es-MX"/>
        </w:rPr>
        <w:t xml:space="preserve"> en reiteradas ocasiones manifestó que se sentía mal, sin embargo los elementos policiacos adscritos al Municipio de Santa Lucía del Camino, Oaxaca, en ningún momento le brindaron la atención médica necesaria y suficiente.</w:t>
      </w:r>
    </w:p>
    <w:p w:rsidR="00DA494A" w:rsidRPr="00B463DC" w:rsidRDefault="00DA494A" w:rsidP="00B463DC">
      <w:pPr>
        <w:jc w:val="both"/>
        <w:rPr>
          <w:sz w:val="24"/>
          <w:szCs w:val="24"/>
          <w:lang w:val="es-MX"/>
        </w:rPr>
      </w:pPr>
    </w:p>
    <w:p w:rsidR="00DA494A" w:rsidRPr="00B463DC" w:rsidRDefault="00DA494A" w:rsidP="00B463DC">
      <w:pPr>
        <w:jc w:val="both"/>
        <w:rPr>
          <w:sz w:val="24"/>
          <w:szCs w:val="24"/>
          <w:lang w:val="es-MX"/>
        </w:rPr>
      </w:pPr>
      <w:r w:rsidRPr="00B463DC">
        <w:rPr>
          <w:sz w:val="24"/>
          <w:szCs w:val="24"/>
          <w:lang w:val="es-MX"/>
        </w:rPr>
        <w:t>Por lo tanto, las autoridades mencionadas en el presente escrito de queja, son directamente responsables por sus acciones y omisiones al n</w:t>
      </w:r>
      <w:r w:rsidR="00EB40A0" w:rsidRPr="00B463DC">
        <w:rPr>
          <w:sz w:val="24"/>
          <w:szCs w:val="24"/>
          <w:lang w:val="es-MX"/>
        </w:rPr>
        <w:t xml:space="preserve">o permitirle a </w:t>
      </w:r>
      <w:r w:rsidR="00EB40A0" w:rsidRPr="00B463DC">
        <w:rPr>
          <w:b/>
          <w:sz w:val="24"/>
          <w:szCs w:val="24"/>
          <w:lang w:val="es-MX"/>
        </w:rPr>
        <w:t>ZEFERINO SORIANO MORALES</w:t>
      </w:r>
      <w:r w:rsidRPr="00B463DC">
        <w:rPr>
          <w:sz w:val="24"/>
          <w:szCs w:val="24"/>
          <w:lang w:val="es-MX"/>
        </w:rPr>
        <w:t xml:space="preserve"> que pudiera acceder a la atención médica cuando lo estaba solicitando.</w:t>
      </w:r>
    </w:p>
    <w:p w:rsidR="009C61B1" w:rsidRPr="00B463DC" w:rsidRDefault="009C61B1" w:rsidP="00B463DC">
      <w:pPr>
        <w:jc w:val="both"/>
        <w:rPr>
          <w:sz w:val="24"/>
          <w:szCs w:val="24"/>
          <w:lang w:val="es-MX"/>
        </w:rPr>
      </w:pPr>
    </w:p>
    <w:p w:rsidR="00CD28CA" w:rsidRPr="00B463DC" w:rsidRDefault="00CD28CA" w:rsidP="00B463DC">
      <w:pPr>
        <w:jc w:val="both"/>
        <w:rPr>
          <w:sz w:val="24"/>
          <w:szCs w:val="24"/>
          <w:lang w:val="es-MX"/>
        </w:rPr>
      </w:pPr>
      <w:r w:rsidRPr="00B463DC">
        <w:rPr>
          <w:b/>
          <w:sz w:val="24"/>
          <w:szCs w:val="24"/>
          <w:lang w:val="es-MX"/>
        </w:rPr>
        <w:t>DERECHO DE ACCESO A LA JUSTICIA Y LA OBLIGACIÓN DE REALIZAR INVESTIGACIONES EFECTIVAS.</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La Corte Interamericana de Derechos Humanos, ha establecido que la obligación de investigar los hechos, juzgar y, en su caso, sancionar a los responsables de un delito que constituye una violación de derechos humanos es un compromiso que emana de la Convención Americana de Derechos Humanos, y que la responsabilidad penal debe ser determinada por las autoridades judiciales competentes siguiendo estrictamente las normas del debido proceso establecidas en el artículo 8 de la Convención Americana.</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 xml:space="preserve">Al respecto, la Corte Interamericana de Derechos Humanos, ha considerado en reiteradas ocasiones que la </w:t>
      </w:r>
      <w:r w:rsidRPr="00B463DC">
        <w:rPr>
          <w:i/>
          <w:sz w:val="24"/>
          <w:szCs w:val="24"/>
          <w:lang w:val="es-MX"/>
        </w:rPr>
        <w:t>“verdad histórica”</w:t>
      </w:r>
      <w:r w:rsidRPr="00B463DC">
        <w:rPr>
          <w:sz w:val="24"/>
          <w:szCs w:val="24"/>
          <w:lang w:val="es-MX"/>
        </w:rPr>
        <w:t xml:space="preserve"> documentada en los informes y recomendaciones de órganos como esa Comisión Nacional de Derechos Humanos, no completa o sustituye la obligación del Estado de establecer la verdad también a través de procesos administrativos o jurisdiccionales.</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 xml:space="preserve">Adicionalmente, la propia Corte Interamericana de Derechos Humanos ha considerado que, en el marco de los artículos 1.1, 8 y 25 de la Convención Americana sobre Derechos Humanos, los familiares de las víctimas tienen el derecho, y los Estados la obligación, a que los hechos sean efectivamente investigados por las autoridades estatales y, en ese sentido, a conocer la verdad de lo sucedido. </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 xml:space="preserve">Así, la referida Corte ha manifestado que el derecho a la verdad se encuentra subsumido en el derecho de la víctima o de sus familiares a obtener de los órganos competentes del Estado el esclarecimiento de los hechos violatorios y las responsabilidades correspondientes, a través de la investigación y el juzgamiento que previenen los artículos 8 y 25 de la Convención Americana de Derechos Humanos. </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 xml:space="preserve">Consecuentemente, si bien es cierto que existe una carpeta de investigación abierta por los delitos cometidos en agravio de </w:t>
      </w:r>
      <w:r w:rsidRPr="00B463DC">
        <w:rPr>
          <w:b/>
          <w:sz w:val="24"/>
          <w:szCs w:val="24"/>
          <w:lang w:val="es-MX"/>
        </w:rPr>
        <w:t xml:space="preserve">ZEFERINO SORIANO MORALES, </w:t>
      </w:r>
      <w:r w:rsidRPr="00B463DC">
        <w:rPr>
          <w:sz w:val="24"/>
          <w:szCs w:val="24"/>
          <w:lang w:val="es-MX"/>
        </w:rPr>
        <w:t xml:space="preserve">igualmente cierto es que la investigación llevada a cabo por las autoridades competentes no ha sido conducida con la debida diligencia, de manera que sea capaz de garantizar el restablecimiento de nuestros derechos como víctimas y evitar la impunidad. </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 xml:space="preserve">Al respecto debe de recordarse que la Corte Interamericana de Derechos Humanos, ha definido la impunidad como </w:t>
      </w:r>
      <w:r w:rsidRPr="00B463DC">
        <w:rPr>
          <w:i/>
          <w:sz w:val="24"/>
          <w:szCs w:val="24"/>
          <w:lang w:val="es-MX"/>
        </w:rPr>
        <w:t>“la falta en su conjunto de investigación, persecución, captura, enjuiciamiento y condena de los responsables de las violaciones de los derechos protegidos por la Convención Americana”</w:t>
      </w:r>
      <w:r w:rsidRPr="00B463DC">
        <w:rPr>
          <w:sz w:val="24"/>
          <w:szCs w:val="24"/>
          <w:lang w:val="es-MX"/>
        </w:rPr>
        <w:t>. </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 xml:space="preserve">Asimismo resulta importante recordar a esa Comisión Nacional, que el artículo 47, primer párrafo, fracción XXII, de la Ley Orgánica del Poder Ejecutivo del Estado de Oaxaca, impune a la Secretaría de la Contraloría y Transparencia Gubernamental, la obligación de </w:t>
      </w:r>
      <w:r w:rsidRPr="00B463DC">
        <w:rPr>
          <w:i/>
          <w:sz w:val="24"/>
          <w:szCs w:val="24"/>
          <w:lang w:val="es-MX"/>
        </w:rPr>
        <w:t>“Vigilar e investigar los actos, omisiones o conductas de los servidores públicos que constituyan alguna responsabilidad administrativa, aplicando las sanciones en los términos de las disposiciones legales, y en su caso, formular la denuncia o querella correspondiente ante el Ministerio Público”</w:t>
      </w:r>
      <w:r w:rsidRPr="00B463DC">
        <w:rPr>
          <w:sz w:val="24"/>
          <w:szCs w:val="24"/>
          <w:lang w:val="es-MX"/>
        </w:rPr>
        <w:t>.</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Sin embargo, el Titular de la Dependencia mencionada en el párrafo inmediato anterior, ha sido omiso en investigar la responsabilidad administrativa de los servidores públicos de la Fiscalía General de Justicia del Estado de Oaxaca, que tuvieron alguna implicación de manera directa o indirecta, por acción u omisión, en e</w:t>
      </w:r>
      <w:r w:rsidR="00E91574" w:rsidRPr="00B463DC">
        <w:rPr>
          <w:sz w:val="24"/>
          <w:szCs w:val="24"/>
          <w:lang w:val="es-MX"/>
        </w:rPr>
        <w:t xml:space="preserve">l homicidio de </w:t>
      </w:r>
      <w:r w:rsidR="00E91574" w:rsidRPr="00B463DC">
        <w:rPr>
          <w:b/>
          <w:sz w:val="24"/>
          <w:szCs w:val="24"/>
          <w:lang w:val="es-MX"/>
        </w:rPr>
        <w:t>ZEFERINO MORALES SORIANO</w:t>
      </w:r>
      <w:r w:rsidRPr="00B463DC">
        <w:rPr>
          <w:sz w:val="24"/>
          <w:szCs w:val="24"/>
          <w:lang w:val="es-MX"/>
        </w:rPr>
        <w:t>.</w:t>
      </w:r>
    </w:p>
    <w:p w:rsidR="0013011C" w:rsidRPr="00B463DC" w:rsidRDefault="0013011C"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El mismo fenómeno acontece con el Contralor del Municipio de Santa Lucía del Camino, ya que en ningún momento han manifestado que se encuentran investigando posibles irregularidades en el actuar de los Servidores Públicos del Estado y Municipio mencionado.</w:t>
      </w:r>
    </w:p>
    <w:p w:rsidR="00CD28CA" w:rsidRPr="00B463DC" w:rsidRDefault="00CD28CA" w:rsidP="00B463DC">
      <w:pPr>
        <w:jc w:val="both"/>
        <w:rPr>
          <w:sz w:val="24"/>
          <w:szCs w:val="24"/>
          <w:lang w:val="es-MX"/>
        </w:rPr>
      </w:pPr>
    </w:p>
    <w:p w:rsidR="00CD28CA" w:rsidRPr="00B463DC" w:rsidRDefault="00CD28CA" w:rsidP="00B463DC">
      <w:pPr>
        <w:jc w:val="both"/>
        <w:rPr>
          <w:sz w:val="24"/>
          <w:szCs w:val="24"/>
          <w:lang w:val="es-MX"/>
        </w:rPr>
      </w:pPr>
      <w:r w:rsidRPr="00B463DC">
        <w:rPr>
          <w:sz w:val="24"/>
          <w:szCs w:val="24"/>
          <w:lang w:val="es-MX"/>
        </w:rPr>
        <w:t>Ahora bien, el artículo 117, de la Constitución Política del Estado Libre y Soberano del Estado de Oaxaca, estipula que “</w:t>
      </w:r>
      <w:r w:rsidRPr="00B463DC">
        <w:rPr>
          <w:i/>
          <w:sz w:val="24"/>
          <w:szCs w:val="24"/>
          <w:lang w:val="es-MX"/>
        </w:rPr>
        <w:t>Podrán ser sujetos de juicio político el Gobernador del Estado…”</w:t>
      </w:r>
      <w:r w:rsidRPr="00B463DC">
        <w:rPr>
          <w:sz w:val="24"/>
          <w:szCs w:val="24"/>
          <w:lang w:val="es-MX"/>
        </w:rPr>
        <w:t>, cuando en ejercicio de sus funciones incurran en actos u omisiones que redunden en perjuicio de los intereses públicos fundamentales, tal y como en el presente caso sucede; sin embargo, el Presidente de la Junta de Coordinación Política del Congreso del Estado de Oaxaca, no ha tomado las medidas necesarias y suficientes con la finalidad de investigar la responsabilidad administrativa del Titular del Poder Ejecutivo en el presente asunto.</w:t>
      </w:r>
    </w:p>
    <w:p w:rsidR="00B17686" w:rsidRDefault="00B17686" w:rsidP="00B463DC">
      <w:pPr>
        <w:jc w:val="both"/>
        <w:rPr>
          <w:b/>
          <w:sz w:val="24"/>
          <w:szCs w:val="24"/>
          <w:lang w:val="es-MX"/>
        </w:rPr>
      </w:pPr>
    </w:p>
    <w:p w:rsidR="0013011C" w:rsidRPr="00B463DC" w:rsidRDefault="0013011C" w:rsidP="00B463DC">
      <w:pPr>
        <w:jc w:val="both"/>
        <w:rPr>
          <w:sz w:val="24"/>
          <w:szCs w:val="24"/>
          <w:lang w:val="es-MX"/>
        </w:rPr>
      </w:pPr>
      <w:r w:rsidRPr="00B463DC">
        <w:rPr>
          <w:b/>
          <w:sz w:val="24"/>
          <w:szCs w:val="24"/>
          <w:lang w:val="es-MX"/>
        </w:rPr>
        <w:t>REPARACIÓN INTEGRAL DEL DAÑO</w:t>
      </w:r>
    </w:p>
    <w:p w:rsidR="00B17686" w:rsidRDefault="00B17686" w:rsidP="00B463DC">
      <w:pPr>
        <w:jc w:val="both"/>
        <w:rPr>
          <w:sz w:val="24"/>
          <w:szCs w:val="24"/>
          <w:lang w:val="es-MX"/>
        </w:rPr>
      </w:pPr>
    </w:p>
    <w:p w:rsidR="0013011C" w:rsidRPr="00B463DC" w:rsidRDefault="0013011C" w:rsidP="00B463DC">
      <w:pPr>
        <w:jc w:val="both"/>
        <w:rPr>
          <w:sz w:val="24"/>
          <w:szCs w:val="24"/>
          <w:lang w:val="es-MX"/>
        </w:rPr>
      </w:pPr>
      <w:r w:rsidRPr="00B463DC">
        <w:rPr>
          <w:sz w:val="24"/>
          <w:szCs w:val="24"/>
          <w:lang w:val="es-MX"/>
        </w:rPr>
        <w:t xml:space="preserve">Una de las vías previstas en el sistema jurídico mexicano para lograr la reparación del daño derivado de la responsabilidad institucional, consiste en plantear la reclamación ante el órgano jurisdiccional competente, pero en el sistema no jurisdiccional de protección de derechos humanos, de conformidad con lo establecido en los artículos 1°, párrafo tercero, de la Constitución Política de los Estados Unidos Mexicanos, en estrecha relación con los diversos 44, segundo párrafo, de la Ley de la Comisión Nacional de los Derechos Humanos; 65 inciso c) de la Ley General de Víctimas, prevén la posibilidad de que al evidenciarse una violación a los derechos humanos, atribuible a servidores públicos del Estado, la Recomendación que se formule a la dependencia debe incluir las medidas que procedan, a fin de lograr la efectiva restitución de los afectados en sus derechos fundamentales y las relativas a la reparación de los daños y perjuicios que se hubieran ocasionado. </w:t>
      </w:r>
    </w:p>
    <w:p w:rsidR="0013011C" w:rsidRPr="00B463DC" w:rsidRDefault="0013011C" w:rsidP="00B463DC">
      <w:pPr>
        <w:jc w:val="both"/>
        <w:rPr>
          <w:sz w:val="24"/>
          <w:szCs w:val="24"/>
          <w:lang w:val="es-MX"/>
        </w:rPr>
      </w:pPr>
    </w:p>
    <w:p w:rsidR="0013011C" w:rsidRPr="00B463DC" w:rsidRDefault="0013011C" w:rsidP="00B463DC">
      <w:pPr>
        <w:jc w:val="both"/>
        <w:rPr>
          <w:sz w:val="24"/>
          <w:szCs w:val="24"/>
          <w:lang w:val="es-MX"/>
        </w:rPr>
      </w:pPr>
      <w:r w:rsidRPr="00B463DC">
        <w:rPr>
          <w:sz w:val="24"/>
          <w:szCs w:val="24"/>
          <w:lang w:val="es-MX"/>
        </w:rPr>
        <w:t xml:space="preserve">Por lo anterior, y con fundamento en los artículos 1, 2, fracción I, 7, fracciones II, VI, VII y VIII, 8, 26, 27, 62, 64, fracciones I, II y VII, 73 fracción V, 74, 88, fracción II, 96, 97, fracción I, 110, fracción V, inciso c), 111, 112, 126, fracción VIII de la Ley General de Víctimas;  desde este momento solicito que se inscriba a mi menor hijo, así como a la suscrita, en el Registro Nacional de Víctimas, cuyo funcionamiento está a cargo de la Comisión Ejecutiva de Atención a Víctimas, a fin de que tengamos acceso al Fondo de Ayuda, Asistencia y Reparación Integral. </w:t>
      </w:r>
    </w:p>
    <w:p w:rsidR="0013011C" w:rsidRPr="00B463DC" w:rsidRDefault="0013011C" w:rsidP="00B463DC">
      <w:pPr>
        <w:jc w:val="both"/>
        <w:rPr>
          <w:sz w:val="24"/>
          <w:szCs w:val="24"/>
          <w:lang w:val="es-MX"/>
        </w:rPr>
      </w:pPr>
    </w:p>
    <w:p w:rsidR="0013011C" w:rsidRPr="00B463DC" w:rsidRDefault="0013011C" w:rsidP="00B463DC">
      <w:pPr>
        <w:jc w:val="both"/>
        <w:rPr>
          <w:sz w:val="24"/>
          <w:szCs w:val="24"/>
          <w:lang w:val="es-MX"/>
        </w:rPr>
      </w:pPr>
      <w:r w:rsidRPr="00B463DC">
        <w:rPr>
          <w:sz w:val="24"/>
          <w:szCs w:val="24"/>
          <w:lang w:val="es-MX"/>
        </w:rPr>
        <w:t>En los artículos 18, 19, 20, 21, 22 y 23 de los “</w:t>
      </w:r>
      <w:r w:rsidRPr="00B463DC">
        <w:rPr>
          <w:i/>
          <w:sz w:val="24"/>
          <w:szCs w:val="24"/>
          <w:lang w:val="es-MX"/>
        </w:rPr>
        <w:t>Principios y directrices básicos sobre el derecho de las víctimas de violaciones manifiestas de las normas internacionales de derechos humanos y de violaciones graves del derecho internacional humanitario a interponer recursos y obtener reparaciones”</w:t>
      </w:r>
      <w:r w:rsidRPr="00B463DC">
        <w:rPr>
          <w:sz w:val="24"/>
          <w:szCs w:val="24"/>
          <w:lang w:val="es-MX"/>
        </w:rPr>
        <w:t xml:space="preserve"> y en diversos criterios de la Corte Interamericana de Derechos Humanos, se establece que para garantizar a las víctimas la reparación integral, proporcional a la gravedad de la violación y las circunstancias de cada caso, es necesario cumplir los principios de restitución, indemnización, rehabilitación, compensación, satisfacción, garantías de no repetición, obligación de investigar los hechos, así como identificar, juzgar y, en su caso, sancionar a los responsables. </w:t>
      </w:r>
    </w:p>
    <w:p w:rsidR="0013011C" w:rsidRPr="00B463DC" w:rsidRDefault="0013011C" w:rsidP="00B463DC">
      <w:pPr>
        <w:jc w:val="both"/>
        <w:rPr>
          <w:sz w:val="24"/>
          <w:szCs w:val="24"/>
          <w:lang w:val="es-MX"/>
        </w:rPr>
      </w:pPr>
    </w:p>
    <w:p w:rsidR="0013011C" w:rsidRPr="00B463DC" w:rsidRDefault="0013011C" w:rsidP="00B463DC">
      <w:pPr>
        <w:jc w:val="both"/>
        <w:rPr>
          <w:sz w:val="24"/>
          <w:szCs w:val="24"/>
          <w:lang w:val="es-MX"/>
        </w:rPr>
      </w:pPr>
      <w:r w:rsidRPr="00B463DC">
        <w:rPr>
          <w:sz w:val="24"/>
          <w:szCs w:val="24"/>
          <w:lang w:val="es-MX"/>
        </w:rPr>
        <w:t xml:space="preserve">En este orden de ideas, es de resaltar el </w:t>
      </w:r>
      <w:r w:rsidRPr="00B463DC">
        <w:rPr>
          <w:i/>
          <w:sz w:val="24"/>
          <w:szCs w:val="24"/>
          <w:lang w:val="es-MX"/>
        </w:rPr>
        <w:t>“Caso Espinoza González vs. Perú”</w:t>
      </w:r>
      <w:r w:rsidRPr="00B463DC">
        <w:rPr>
          <w:sz w:val="24"/>
          <w:szCs w:val="24"/>
          <w:lang w:val="es-MX"/>
        </w:rPr>
        <w:t xml:space="preserve">, en donde la Corte Interamericana de Derechos Humanos enunció que: </w:t>
      </w:r>
      <w:r w:rsidRPr="00B463DC">
        <w:rPr>
          <w:i/>
          <w:sz w:val="24"/>
          <w:szCs w:val="24"/>
          <w:lang w:val="es-MX"/>
        </w:rPr>
        <w:t>“…toda violación de una obligación internacional que haya producido daño comporta el deber de repararlo adecuadamente y que la disposición recoge una norma consuetudinaria que constituye uno de los principios fundamentales del Derecho Internacional contemporáneo sobre responsabilidad de un Estado…”</w:t>
      </w:r>
      <w:r w:rsidRPr="00B463DC">
        <w:rPr>
          <w:sz w:val="24"/>
          <w:szCs w:val="24"/>
          <w:lang w:val="es-MX"/>
        </w:rPr>
        <w:t xml:space="preserve">, además precisó que: </w:t>
      </w:r>
      <w:r w:rsidRPr="00B463DC">
        <w:rPr>
          <w:i/>
          <w:sz w:val="24"/>
          <w:szCs w:val="24"/>
          <w:lang w:val="es-MX"/>
        </w:rPr>
        <w:t>“…las reparaciones deben tener un nexo causal con los hechos del caso, las violaciones declaradas, los daños acreditados, así como las medidas solicitadas para reparar los daños respectivos …”</w:t>
      </w:r>
      <w:r w:rsidRPr="00B463DC">
        <w:rPr>
          <w:sz w:val="24"/>
          <w:szCs w:val="24"/>
          <w:lang w:val="es-MX"/>
        </w:rPr>
        <w:t>.</w:t>
      </w:r>
    </w:p>
    <w:p w:rsidR="0013011C" w:rsidRPr="00B463DC" w:rsidRDefault="0013011C" w:rsidP="00B463DC">
      <w:pPr>
        <w:jc w:val="both"/>
        <w:rPr>
          <w:sz w:val="24"/>
          <w:szCs w:val="24"/>
          <w:lang w:val="es-MX"/>
        </w:rPr>
      </w:pPr>
    </w:p>
    <w:p w:rsidR="0013011C" w:rsidRPr="00B463DC" w:rsidRDefault="0013011C" w:rsidP="00B463DC">
      <w:pPr>
        <w:jc w:val="both"/>
        <w:rPr>
          <w:sz w:val="24"/>
          <w:szCs w:val="24"/>
          <w:lang w:val="es-MX"/>
        </w:rPr>
      </w:pPr>
      <w:r w:rsidRPr="00B463DC">
        <w:rPr>
          <w:sz w:val="24"/>
          <w:szCs w:val="24"/>
          <w:lang w:val="es-MX"/>
        </w:rPr>
        <w:t xml:space="preserve">Ahora bien, respecto del </w:t>
      </w:r>
      <w:r w:rsidRPr="00B463DC">
        <w:rPr>
          <w:i/>
          <w:sz w:val="24"/>
          <w:szCs w:val="24"/>
          <w:lang w:val="es-MX"/>
        </w:rPr>
        <w:t>“deber de prevención”</w:t>
      </w:r>
      <w:r w:rsidRPr="00B463DC">
        <w:rPr>
          <w:sz w:val="24"/>
          <w:szCs w:val="24"/>
          <w:lang w:val="es-MX"/>
        </w:rPr>
        <w:t xml:space="preserve"> la Corte Interamericana de Derechos Humanos ha sostenido que: </w:t>
      </w:r>
      <w:r w:rsidRPr="00B463DC">
        <w:rPr>
          <w:i/>
          <w:sz w:val="24"/>
          <w:szCs w:val="24"/>
          <w:lang w:val="es-MX"/>
        </w:rPr>
        <w:t>“…abarca todas aquellas medidas de carácter jurídico, político, administrativo y cultural que promuevan la salvaguarda de los derechos humanos y que aseguren que las eventuales violaciones a los mismos sean efectivamente consideradas y tratadas como un hecho ilícito que, como tal, es susceptible de acarrear sanciones para quien las cometa, así como la obligación de indemnizar a las víctimas por sus consecuencias perjudiciales. No es posible hacer una enumeración detallada de esas medidas, que varían según el derecho de que se trate y según las condiciones propias de cada Estado Parte…”</w:t>
      </w:r>
      <w:r w:rsidRPr="00B463DC">
        <w:rPr>
          <w:sz w:val="24"/>
          <w:szCs w:val="24"/>
          <w:lang w:val="es-MX"/>
        </w:rPr>
        <w:t>.</w:t>
      </w:r>
    </w:p>
    <w:p w:rsidR="0013011C" w:rsidRPr="00B463DC" w:rsidRDefault="0013011C" w:rsidP="00B463DC">
      <w:pPr>
        <w:jc w:val="both"/>
        <w:rPr>
          <w:sz w:val="24"/>
          <w:szCs w:val="24"/>
          <w:lang w:val="es-MX"/>
        </w:rPr>
      </w:pPr>
    </w:p>
    <w:p w:rsidR="0013011C" w:rsidRPr="00B463DC" w:rsidRDefault="0013011C" w:rsidP="00B463DC">
      <w:pPr>
        <w:jc w:val="both"/>
        <w:rPr>
          <w:sz w:val="24"/>
          <w:szCs w:val="24"/>
          <w:lang w:val="es-MX"/>
        </w:rPr>
      </w:pPr>
      <w:r w:rsidRPr="00B463DC">
        <w:rPr>
          <w:sz w:val="24"/>
          <w:szCs w:val="24"/>
          <w:lang w:val="es-MX"/>
        </w:rPr>
        <w:t xml:space="preserve">Por lo tanto, considerando que en el presente caso, los hechos descritos constituyen una transgresión al deber de prevención de violaciones a los derechos humanos de  </w:t>
      </w:r>
      <w:r w:rsidRPr="00B463DC">
        <w:rPr>
          <w:b/>
          <w:sz w:val="24"/>
          <w:szCs w:val="24"/>
          <w:lang w:val="es-MX"/>
        </w:rPr>
        <w:t xml:space="preserve">ZEFERINO SORIANO MORALES, </w:t>
      </w:r>
      <w:r w:rsidRPr="00B463DC">
        <w:rPr>
          <w:sz w:val="24"/>
          <w:szCs w:val="24"/>
          <w:lang w:val="es-MX"/>
        </w:rPr>
        <w:t>ya que fue privado de la vida mediando tortura</w:t>
      </w:r>
      <w:r w:rsidR="00515824" w:rsidRPr="00B463DC">
        <w:rPr>
          <w:sz w:val="24"/>
          <w:szCs w:val="24"/>
          <w:lang w:val="es-MX"/>
        </w:rPr>
        <w:t xml:space="preserve">; consecuentemente se solicita respetuosamente al Comité de Derechos Económicos, Sociales y Culturales se exijan </w:t>
      </w:r>
      <w:r w:rsidRPr="00B463DC">
        <w:rPr>
          <w:sz w:val="24"/>
          <w:szCs w:val="24"/>
          <w:lang w:val="es-MX"/>
        </w:rPr>
        <w:t>las siguiente</w:t>
      </w:r>
      <w:r w:rsidR="00515824" w:rsidRPr="00B463DC">
        <w:rPr>
          <w:sz w:val="24"/>
          <w:szCs w:val="24"/>
          <w:lang w:val="es-MX"/>
        </w:rPr>
        <w:t>s medidas al Estado de México bajo su evaluación</w:t>
      </w:r>
      <w:r w:rsidRPr="00B463DC">
        <w:rPr>
          <w:sz w:val="24"/>
          <w:szCs w:val="24"/>
          <w:lang w:val="es-MX"/>
        </w:rPr>
        <w:t>:</w:t>
      </w:r>
    </w:p>
    <w:p w:rsidR="00515824" w:rsidRPr="00B463DC" w:rsidRDefault="00515824" w:rsidP="00B463DC">
      <w:pPr>
        <w:jc w:val="both"/>
        <w:rPr>
          <w:sz w:val="24"/>
          <w:szCs w:val="24"/>
          <w:lang w:val="es-MX"/>
        </w:rPr>
      </w:pPr>
    </w:p>
    <w:p w:rsidR="00094EEB" w:rsidRPr="00B463DC" w:rsidRDefault="00094EEB" w:rsidP="00B463DC">
      <w:pPr>
        <w:jc w:val="both"/>
        <w:rPr>
          <w:sz w:val="24"/>
          <w:szCs w:val="24"/>
          <w:lang w:val="es-MX"/>
        </w:rPr>
      </w:pPr>
      <w:r w:rsidRPr="00B463DC">
        <w:rPr>
          <w:b/>
          <w:sz w:val="24"/>
          <w:szCs w:val="24"/>
          <w:lang w:val="es-MX"/>
        </w:rPr>
        <w:t>MEDIDAS DE NO REPETICIÓN.</w:t>
      </w:r>
      <w:r w:rsidRPr="00B463DC">
        <w:rPr>
          <w:sz w:val="24"/>
          <w:szCs w:val="24"/>
          <w:lang w:val="es-MX"/>
        </w:rPr>
        <w:t xml:space="preserve"> Las cuales consisten en implementar las medidas que sean necesarias a fin de evitar la repetición de hechos violatorios de derechos humanos y contribuir a su prevención. Por ello, el Estado debe ado</w:t>
      </w:r>
      <w:r w:rsidR="000858EF" w:rsidRPr="00B463DC">
        <w:rPr>
          <w:sz w:val="24"/>
          <w:szCs w:val="24"/>
          <w:lang w:val="es-MX"/>
        </w:rPr>
        <w:t>ptar todas las medidas legales,</w:t>
      </w:r>
      <w:r w:rsidRPr="00B463DC">
        <w:rPr>
          <w:sz w:val="24"/>
          <w:szCs w:val="24"/>
          <w:lang w:val="es-MX"/>
        </w:rPr>
        <w:t xml:space="preserve"> </w:t>
      </w:r>
      <w:r w:rsidR="000858EF" w:rsidRPr="00B463DC">
        <w:rPr>
          <w:sz w:val="24"/>
          <w:szCs w:val="24"/>
          <w:lang w:val="es-MX"/>
        </w:rPr>
        <w:t>administrativas  y</w:t>
      </w:r>
      <w:r w:rsidRPr="00B463DC">
        <w:rPr>
          <w:sz w:val="24"/>
          <w:szCs w:val="24"/>
          <w:lang w:val="es-MX"/>
        </w:rPr>
        <w:t xml:space="preserve"> de otra índole para hacer efectivo el ejercicio de los derechos de las víctimas.</w:t>
      </w:r>
    </w:p>
    <w:p w:rsidR="000858EF" w:rsidRPr="00B463DC" w:rsidRDefault="000858EF" w:rsidP="00B463DC">
      <w:pPr>
        <w:jc w:val="both"/>
        <w:rPr>
          <w:b/>
          <w:sz w:val="24"/>
          <w:szCs w:val="24"/>
          <w:lang w:val="es-MX"/>
        </w:rPr>
      </w:pPr>
    </w:p>
    <w:p w:rsidR="00587F3B" w:rsidRDefault="00587F3B" w:rsidP="00B463DC">
      <w:pPr>
        <w:jc w:val="both"/>
        <w:rPr>
          <w:sz w:val="24"/>
          <w:szCs w:val="24"/>
          <w:lang w:val="es-MX"/>
        </w:rPr>
      </w:pPr>
      <w:r w:rsidRPr="00B463DC">
        <w:rPr>
          <w:b/>
          <w:sz w:val="24"/>
          <w:szCs w:val="24"/>
          <w:lang w:val="es-MX"/>
        </w:rPr>
        <w:t>OBLIGACIÓN DE INVESTIGAR ADMINISTRATIVA Y JURISDICCIONALMENTE LOS HECHOS, E IDENTIFICAR, JUZGAR Y, EN SU CASO, SANCIONAR PENALMENTE Y EN TÉRMINOS DE RESPONSABILIDADES DE LOS SERVIDORES PÚBLICOS, A LOS RESPONSABLES.</w:t>
      </w:r>
      <w:r w:rsidRPr="00B463DC">
        <w:rPr>
          <w:sz w:val="24"/>
          <w:szCs w:val="24"/>
          <w:lang w:val="es-MX"/>
        </w:rPr>
        <w:t xml:space="preserve"> Lo anterior ya que por lo que respecta a la carpeta de investigación que se encuentra en curso, no ha sido conducida con debida diligencia, y por lo que respecta a la Ley de Responsabilidades de Servidores Públicos del Estado y Municipios de Oaxaca, ha existido una ausencia total de acciones para fincar responsabilidades administrativas.</w:t>
      </w:r>
    </w:p>
    <w:p w:rsidR="00D73619" w:rsidRDefault="00D73619" w:rsidP="00B463DC">
      <w:pPr>
        <w:jc w:val="both"/>
        <w:rPr>
          <w:sz w:val="24"/>
          <w:szCs w:val="24"/>
          <w:lang w:val="es-MX"/>
        </w:rPr>
      </w:pPr>
    </w:p>
    <w:p w:rsidR="00D73619" w:rsidRPr="00D73619" w:rsidRDefault="00D73619" w:rsidP="00D419BB">
      <w:pPr>
        <w:jc w:val="center"/>
        <w:rPr>
          <w:b/>
          <w:bCs/>
          <w:sz w:val="24"/>
          <w:szCs w:val="24"/>
          <w:u w:val="single"/>
          <w:lang w:val="es-MX"/>
        </w:rPr>
      </w:pPr>
      <w:r w:rsidRPr="00D73619">
        <w:rPr>
          <w:b/>
          <w:bCs/>
          <w:sz w:val="24"/>
          <w:szCs w:val="24"/>
          <w:u w:val="single"/>
          <w:lang w:val="es-MX"/>
        </w:rPr>
        <w:t xml:space="preserve">POR ELLO, SOLICITAMOS ENCARECIDAMENTE AL CAT COLOQUE UN SUS CONCLUSIONES UNA REFERENCIA EXPLICITA AL CASO DE LA TORTURA </w:t>
      </w:r>
      <w:r w:rsidR="00D419BB">
        <w:rPr>
          <w:b/>
          <w:bCs/>
          <w:sz w:val="24"/>
          <w:szCs w:val="24"/>
          <w:u w:val="single"/>
          <w:lang w:val="es-MX"/>
        </w:rPr>
        <w:t>DE ZEFERINO S</w:t>
      </w:r>
      <w:r w:rsidRPr="00D73619">
        <w:rPr>
          <w:b/>
          <w:bCs/>
          <w:sz w:val="24"/>
          <w:szCs w:val="24"/>
          <w:u w:val="single"/>
          <w:lang w:val="es-MX"/>
        </w:rPr>
        <w:t>ORIANO MORALES EN EL MUNICIPIO DE SANTA LUCIA DEL CAMINO (OAXACA) Y EXIGA EL JUICIO DE LOS POLICIAS RESPONSABLES</w:t>
      </w:r>
    </w:p>
    <w:p w:rsidR="00587F3B" w:rsidRPr="00B463DC" w:rsidRDefault="00587F3B" w:rsidP="00B463DC">
      <w:pPr>
        <w:ind w:left="720"/>
        <w:jc w:val="both"/>
        <w:rPr>
          <w:b/>
          <w:sz w:val="24"/>
          <w:szCs w:val="24"/>
          <w:lang w:val="es-MX"/>
        </w:rPr>
      </w:pPr>
    </w:p>
    <w:p w:rsidR="00587F3B" w:rsidRPr="00B463DC" w:rsidRDefault="00587F3B" w:rsidP="00B463DC">
      <w:pPr>
        <w:jc w:val="both"/>
        <w:rPr>
          <w:b/>
          <w:sz w:val="24"/>
          <w:szCs w:val="24"/>
          <w:lang w:val="es-MX"/>
        </w:rPr>
      </w:pPr>
      <w:r w:rsidRPr="00B463DC">
        <w:rPr>
          <w:b/>
          <w:sz w:val="24"/>
          <w:szCs w:val="24"/>
          <w:lang w:val="es-MX"/>
        </w:rPr>
        <w:t>PUBLICACIÓN DE LAS PARTES PERTINENTES DE LA RECOMENDACIÓN.</w:t>
      </w:r>
      <w:r w:rsidRPr="00B463DC">
        <w:rPr>
          <w:sz w:val="24"/>
          <w:szCs w:val="24"/>
          <w:lang w:val="es-MX"/>
        </w:rPr>
        <w:t xml:space="preserve"> Consistente en que el Estado publique en el Periódico Oficial del Gobierno del Estado de Oaxaca, así como en dos diarios de mayor circulación local y nacional, los párrafos de mayor trascendencia de la recomendación que dicte es</w:t>
      </w:r>
      <w:r w:rsidR="00960CF6" w:rsidRPr="00B463DC">
        <w:rPr>
          <w:sz w:val="24"/>
          <w:szCs w:val="24"/>
          <w:lang w:val="es-MX"/>
        </w:rPr>
        <w:t>te</w:t>
      </w:r>
      <w:r w:rsidRPr="00B463DC">
        <w:rPr>
          <w:sz w:val="24"/>
          <w:szCs w:val="24"/>
          <w:lang w:val="es-MX"/>
        </w:rPr>
        <w:t xml:space="preserve"> Co</w:t>
      </w:r>
      <w:r w:rsidR="00960CF6" w:rsidRPr="00B463DC">
        <w:rPr>
          <w:sz w:val="24"/>
          <w:szCs w:val="24"/>
          <w:lang w:val="es-MX"/>
        </w:rPr>
        <w:t>mité</w:t>
      </w:r>
      <w:r w:rsidRPr="00B463DC">
        <w:rPr>
          <w:sz w:val="24"/>
          <w:szCs w:val="24"/>
          <w:lang w:val="es-MX"/>
        </w:rPr>
        <w:t>; asimismo deberá publicarse íntegramente en los sitios </w:t>
      </w:r>
      <w:r w:rsidRPr="00B463DC">
        <w:rPr>
          <w:i/>
          <w:iCs/>
          <w:sz w:val="24"/>
          <w:szCs w:val="24"/>
          <w:lang w:val="es-MX"/>
        </w:rPr>
        <w:t>web</w:t>
      </w:r>
      <w:r w:rsidRPr="00B463DC">
        <w:rPr>
          <w:sz w:val="24"/>
          <w:szCs w:val="24"/>
          <w:lang w:val="es-MX"/>
        </w:rPr>
        <w:t> oficiales de las au</w:t>
      </w:r>
      <w:r w:rsidR="00960CF6" w:rsidRPr="00B463DC">
        <w:rPr>
          <w:sz w:val="24"/>
          <w:szCs w:val="24"/>
          <w:lang w:val="es-MX"/>
        </w:rPr>
        <w:t>toridades relevantes</w:t>
      </w:r>
      <w:r w:rsidRPr="00B463DC">
        <w:rPr>
          <w:sz w:val="24"/>
          <w:szCs w:val="24"/>
          <w:lang w:val="es-MX"/>
        </w:rPr>
        <w:t>, y estar disponible durante un período de un año</w:t>
      </w:r>
      <w:r w:rsidR="00960CF6" w:rsidRPr="00B463DC">
        <w:rPr>
          <w:sz w:val="24"/>
          <w:szCs w:val="24"/>
          <w:lang w:val="es-MX"/>
        </w:rPr>
        <w:t>.</w:t>
      </w:r>
      <w:r w:rsidRPr="00B463DC">
        <w:rPr>
          <w:b/>
          <w:sz w:val="24"/>
          <w:szCs w:val="24"/>
          <w:lang w:val="es-MX"/>
        </w:rPr>
        <w:t xml:space="preserve"> </w:t>
      </w:r>
    </w:p>
    <w:p w:rsidR="003C6C02" w:rsidRPr="00B463DC" w:rsidRDefault="00587F3B" w:rsidP="00B463DC">
      <w:pPr>
        <w:ind w:left="720"/>
        <w:jc w:val="both"/>
        <w:rPr>
          <w:b/>
          <w:sz w:val="24"/>
          <w:szCs w:val="24"/>
          <w:lang w:val="es-MX"/>
        </w:rPr>
      </w:pPr>
      <w:r w:rsidRPr="00B463DC">
        <w:rPr>
          <w:b/>
          <w:sz w:val="24"/>
          <w:szCs w:val="24"/>
          <w:lang w:val="es-MX"/>
        </w:rPr>
        <w:t xml:space="preserve"> </w:t>
      </w:r>
    </w:p>
    <w:p w:rsidR="00587F3B" w:rsidRPr="00B463DC" w:rsidRDefault="00587F3B" w:rsidP="00B463DC">
      <w:pPr>
        <w:jc w:val="both"/>
        <w:rPr>
          <w:b/>
          <w:sz w:val="24"/>
          <w:szCs w:val="24"/>
          <w:lang w:val="es-MX"/>
        </w:rPr>
      </w:pPr>
      <w:r w:rsidRPr="00B463DC">
        <w:rPr>
          <w:b/>
          <w:iCs/>
          <w:sz w:val="24"/>
          <w:szCs w:val="24"/>
          <w:lang w:val="es-MX"/>
        </w:rPr>
        <w:t xml:space="preserve">ACTO PÚBLICO DE RECONOCIMIENTO DE RESPONSABILIDAD. </w:t>
      </w:r>
      <w:r w:rsidRPr="00B463DC">
        <w:rPr>
          <w:sz w:val="24"/>
          <w:szCs w:val="24"/>
          <w:lang w:val="es-MX"/>
        </w:rPr>
        <w:t>En diversas ocasiones la Corte Interamericana de Derechos Humanos ha valorado favorablemente aquellos actos que tengan como efecto la recuperación de la memoria de las víctimas, el reconocimiento de su dignidad y el consuelo de sus deudos; por lo tanto se solicita</w:t>
      </w:r>
      <w:r w:rsidR="003C6C02" w:rsidRPr="00B463DC">
        <w:rPr>
          <w:sz w:val="24"/>
          <w:szCs w:val="24"/>
          <w:lang w:val="es-MX"/>
        </w:rPr>
        <w:t xml:space="preserve"> a este Comité recomendar</w:t>
      </w:r>
      <w:r w:rsidRPr="00B463DC">
        <w:rPr>
          <w:sz w:val="24"/>
          <w:szCs w:val="24"/>
          <w:lang w:val="es-MX"/>
        </w:rPr>
        <w:t xml:space="preserve"> que el Estado </w:t>
      </w:r>
      <w:r w:rsidR="003C6C02" w:rsidRPr="00B463DC">
        <w:rPr>
          <w:sz w:val="24"/>
          <w:szCs w:val="24"/>
          <w:lang w:val="es-MX"/>
        </w:rPr>
        <w:t xml:space="preserve">evaluado </w:t>
      </w:r>
      <w:r w:rsidRPr="00B463DC">
        <w:rPr>
          <w:sz w:val="24"/>
          <w:szCs w:val="24"/>
          <w:lang w:val="es-MX"/>
        </w:rPr>
        <w:t>realice un acto público de reconocimiento de responsabilidad por los hechos del presente caso en desagravio a la memoria del señor ZEFERINO SORIANO MORALES.</w:t>
      </w:r>
      <w:r w:rsidRPr="00B463DC">
        <w:rPr>
          <w:b/>
          <w:sz w:val="24"/>
          <w:szCs w:val="24"/>
          <w:lang w:val="es-MX"/>
        </w:rPr>
        <w:t xml:space="preserve"> </w:t>
      </w:r>
    </w:p>
    <w:p w:rsidR="00587F3B" w:rsidRPr="00B463DC" w:rsidRDefault="00587F3B" w:rsidP="00B463DC">
      <w:pPr>
        <w:ind w:left="720"/>
        <w:jc w:val="both"/>
        <w:rPr>
          <w:b/>
          <w:sz w:val="24"/>
          <w:szCs w:val="24"/>
          <w:lang w:val="es-MX"/>
        </w:rPr>
      </w:pPr>
    </w:p>
    <w:p w:rsidR="0035607B" w:rsidRPr="00B463DC" w:rsidRDefault="00587F3B" w:rsidP="00B463DC">
      <w:pPr>
        <w:jc w:val="both"/>
        <w:rPr>
          <w:sz w:val="24"/>
          <w:szCs w:val="24"/>
          <w:lang w:val="es-MX"/>
        </w:rPr>
      </w:pPr>
      <w:r w:rsidRPr="00B463DC">
        <w:rPr>
          <w:sz w:val="24"/>
          <w:szCs w:val="24"/>
          <w:lang w:val="es-MX"/>
        </w:rPr>
        <w:t>En dicho acto se deberá hacer referencia a las violaciones de derechos humanos declaradas en la recomendación que se dicte, asimismo, deberá llevarse a cabo mediante una ceremonia pública en presencia de altas autoridades estatales y nacionales y</w:t>
      </w:r>
      <w:r w:rsidR="0011790E" w:rsidRPr="00B463DC">
        <w:rPr>
          <w:sz w:val="24"/>
          <w:szCs w:val="24"/>
          <w:lang w:val="es-MX"/>
        </w:rPr>
        <w:t xml:space="preserve"> de los</w:t>
      </w:r>
      <w:r w:rsidRPr="00B463DC">
        <w:rPr>
          <w:sz w:val="24"/>
          <w:szCs w:val="24"/>
          <w:lang w:val="es-MX"/>
        </w:rPr>
        <w:t xml:space="preserve"> familiares</w:t>
      </w:r>
      <w:r w:rsidR="0011790E" w:rsidRPr="00B463DC">
        <w:rPr>
          <w:sz w:val="24"/>
          <w:szCs w:val="24"/>
          <w:lang w:val="es-MX"/>
        </w:rPr>
        <w:t xml:space="preserve"> de la víctima</w:t>
      </w:r>
      <w:r w:rsidRPr="00B463DC">
        <w:rPr>
          <w:sz w:val="24"/>
          <w:szCs w:val="24"/>
          <w:lang w:val="es-MX"/>
        </w:rPr>
        <w:t>; para lo cual el Estado y</w:t>
      </w:r>
      <w:r w:rsidR="0011790E" w:rsidRPr="00B463DC">
        <w:rPr>
          <w:sz w:val="24"/>
          <w:szCs w:val="24"/>
          <w:lang w:val="es-MX"/>
        </w:rPr>
        <w:t xml:space="preserve"> los</w:t>
      </w:r>
      <w:r w:rsidRPr="00B463DC">
        <w:rPr>
          <w:sz w:val="24"/>
          <w:szCs w:val="24"/>
          <w:lang w:val="es-MX"/>
        </w:rPr>
        <w:t xml:space="preserve"> familiares y/o </w:t>
      </w:r>
      <w:r w:rsidR="0011790E" w:rsidRPr="00B463DC">
        <w:rPr>
          <w:sz w:val="24"/>
          <w:szCs w:val="24"/>
          <w:lang w:val="es-MX"/>
        </w:rPr>
        <w:t>sus representantes, deben</w:t>
      </w:r>
      <w:r w:rsidRPr="00B463DC">
        <w:rPr>
          <w:sz w:val="24"/>
          <w:szCs w:val="24"/>
          <w:lang w:val="es-MX"/>
        </w:rPr>
        <w:t xml:space="preserve"> acordar la modalidad de cumplimento del acto público de reconocimiento, así como las particularidades que se requieran, tales como el lugar y la fecha para su realización.</w:t>
      </w:r>
    </w:p>
    <w:p w:rsidR="00AD16E5" w:rsidRDefault="00AD16E5" w:rsidP="00E17FB3">
      <w:pPr>
        <w:rPr>
          <w:lang w:val="es-MX"/>
        </w:rPr>
      </w:pPr>
    </w:p>
    <w:p w:rsidR="00AD16E5" w:rsidRPr="00AD16E5" w:rsidRDefault="00AD16E5" w:rsidP="00E17FB3">
      <w:pPr>
        <w:rPr>
          <w:lang w:val="es-MX"/>
        </w:rPr>
      </w:pPr>
    </w:p>
    <w:p w:rsidR="00AD16E5" w:rsidRPr="00E17FB3" w:rsidRDefault="00AD16E5" w:rsidP="00E17FB3">
      <w:pPr>
        <w:rPr>
          <w:lang w:val="es-MX"/>
        </w:rPr>
      </w:pPr>
    </w:p>
    <w:p w:rsidR="00E17FB3" w:rsidRDefault="00E17FB3">
      <w:pPr>
        <w:rPr>
          <w:lang w:val="es-MX"/>
        </w:rPr>
      </w:pPr>
    </w:p>
    <w:p w:rsidR="00E17FB3" w:rsidRPr="00401F89" w:rsidRDefault="00E17FB3">
      <w:pPr>
        <w:rPr>
          <w:lang w:val="es-MX"/>
        </w:rPr>
      </w:pPr>
    </w:p>
    <w:sectPr w:rsidR="00E17FB3" w:rsidRPr="00401F89">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1931" w:rsidRDefault="00CC1931" w:rsidP="00852809">
      <w:pPr>
        <w:spacing w:after="0" w:line="240" w:lineRule="auto"/>
      </w:pPr>
      <w:r>
        <w:separator/>
      </w:r>
    </w:p>
  </w:endnote>
  <w:endnote w:type="continuationSeparator" w:id="0">
    <w:p w:rsidR="00CC1931" w:rsidRDefault="00CC1931" w:rsidP="00852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1931" w:rsidRDefault="00CC1931" w:rsidP="00852809">
      <w:pPr>
        <w:spacing w:after="0" w:line="240" w:lineRule="auto"/>
      </w:pPr>
      <w:r>
        <w:separator/>
      </w:r>
    </w:p>
  </w:footnote>
  <w:footnote w:type="continuationSeparator" w:id="0">
    <w:p w:rsidR="00CC1931" w:rsidRDefault="00CC1931" w:rsidP="00852809">
      <w:pPr>
        <w:spacing w:after="0" w:line="240" w:lineRule="auto"/>
      </w:pPr>
      <w:r>
        <w:continuationSeparator/>
      </w:r>
    </w:p>
  </w:footnote>
  <w:footnote w:id="1">
    <w:p w:rsidR="00852809" w:rsidRDefault="00852809" w:rsidP="00852809">
      <w:pPr>
        <w:pStyle w:val="FootnoteText"/>
        <w:jc w:val="both"/>
      </w:pPr>
      <w:r>
        <w:rPr>
          <w:rStyle w:val="FootnoteReference"/>
        </w:rPr>
        <w:footnoteRef/>
      </w:r>
      <w:r>
        <w:t xml:space="preserve"> </w:t>
      </w:r>
      <w:r w:rsidRPr="00380D2D">
        <w:rPr>
          <w:i/>
          <w:iCs/>
        </w:rPr>
        <w:t>Cfr. </w:t>
      </w:r>
      <w:r w:rsidRPr="00380D2D">
        <w:t> </w:t>
      </w:r>
      <w:r w:rsidRPr="00380D2D">
        <w:rPr>
          <w:i/>
          <w:iCs/>
        </w:rPr>
        <w:t>Caso Velásquez Rodríguez Vs. Honduras</w:t>
      </w:r>
      <w:r w:rsidRPr="00380D2D">
        <w:t>, </w:t>
      </w:r>
      <w:r w:rsidRPr="00380D2D">
        <w:rPr>
          <w:i/>
          <w:iCs/>
        </w:rPr>
        <w:t>supra </w:t>
      </w:r>
      <w:r w:rsidRPr="00380D2D">
        <w:t>nota 24, párrs. 156 y 187; </w:t>
      </w:r>
      <w:r w:rsidRPr="00380D2D">
        <w:rPr>
          <w:i/>
          <w:iCs/>
        </w:rPr>
        <w:t>Caso Chaparro Álvarez y Lapo Iñiguez Vs. Ecuador</w:t>
      </w:r>
      <w:r w:rsidRPr="00380D2D">
        <w:t>. Excepciones Preliminares, Fondo, Reparaciones y Costas. Sentencia de 21 de noviembre de 2007. Serie C No. 170, párr. 171, y </w:t>
      </w:r>
      <w:r w:rsidRPr="00380D2D">
        <w:rPr>
          <w:i/>
          <w:iCs/>
        </w:rPr>
        <w:t>Caso Anzualdo Castro Vs. Perú</w:t>
      </w:r>
      <w:r w:rsidRPr="00380D2D">
        <w:t>, </w:t>
      </w:r>
      <w:r w:rsidRPr="00380D2D">
        <w:rPr>
          <w:i/>
          <w:iCs/>
        </w:rPr>
        <w:t>supra</w:t>
      </w:r>
      <w:r w:rsidRPr="00380D2D">
        <w:t> nota 44, párr. 85.</w:t>
      </w:r>
    </w:p>
  </w:footnote>
  <w:footnote w:id="2">
    <w:p w:rsidR="008B6600" w:rsidRDefault="008B6600" w:rsidP="008B6600">
      <w:pPr>
        <w:pStyle w:val="FootnoteText"/>
      </w:pPr>
      <w:r>
        <w:rPr>
          <w:rStyle w:val="FootnoteReference"/>
        </w:rPr>
        <w:footnoteRef/>
      </w:r>
      <w:r>
        <w:t xml:space="preserve"> Los parámetros de fuente internacional se encuentra contenidos en los documentos siguientes: </w:t>
      </w:r>
    </w:p>
    <w:p w:rsidR="008B6600" w:rsidRDefault="008B6600" w:rsidP="008B6600">
      <w:pPr>
        <w:pStyle w:val="FootnoteText"/>
      </w:pPr>
      <w:r>
        <w:sym w:font="Symbol" w:char="F0B7"/>
      </w:r>
      <w:r>
        <w:t xml:space="preserve"> Artículo 7º del Pacto Internacional de Derechos Civiles y Políticos. </w:t>
      </w:r>
    </w:p>
    <w:p w:rsidR="008B6600" w:rsidRDefault="008B6600" w:rsidP="008B6600">
      <w:pPr>
        <w:pStyle w:val="FootnoteText"/>
      </w:pPr>
      <w:r>
        <w:sym w:font="Symbol" w:char="F0B7"/>
      </w:r>
      <w:r>
        <w:t xml:space="preserve"> Artículo 5º de la Convención Americana sobre Derechos Humanos. </w:t>
      </w:r>
    </w:p>
    <w:p w:rsidR="008B6600" w:rsidRDefault="008B6600" w:rsidP="008B6600">
      <w:pPr>
        <w:pStyle w:val="FootnoteText"/>
      </w:pPr>
      <w:r>
        <w:sym w:font="Symbol" w:char="F0B7"/>
      </w:r>
      <w:r>
        <w:t xml:space="preserve"> Artículo 2º de la Convención contra la Tortura y Otros Tratos o Penas Crueles, Inhumanos o Degradantes. </w:t>
      </w:r>
    </w:p>
    <w:p w:rsidR="008B6600" w:rsidRDefault="008B6600" w:rsidP="008B6600">
      <w:pPr>
        <w:pStyle w:val="FootnoteText"/>
      </w:pPr>
      <w:r>
        <w:sym w:font="Symbol" w:char="F0B7"/>
      </w:r>
      <w:r>
        <w:t xml:space="preserve"> Artículo 2º de la Convención Interamericana para Prevenir y Sancionar la Tortura. </w:t>
      </w:r>
    </w:p>
    <w:p w:rsidR="008B6600" w:rsidRDefault="008B6600" w:rsidP="008B6600">
      <w:pPr>
        <w:pStyle w:val="FootnoteText"/>
      </w:pPr>
      <w:r>
        <w:sym w:font="Symbol" w:char="F0B7"/>
      </w:r>
      <w:r>
        <w:t xml:space="preserve"> Artículo 37 de la Convención sobre los Derechos del Niño. </w:t>
      </w:r>
    </w:p>
    <w:p w:rsidR="008B6600" w:rsidRDefault="008B6600" w:rsidP="008B6600">
      <w:pPr>
        <w:pStyle w:val="FootnoteText"/>
      </w:pPr>
      <w:r>
        <w:sym w:font="Symbol" w:char="F0B7"/>
      </w:r>
      <w:r>
        <w:t xml:space="preserve"> Artículo 10º de la Convención Internacional sobre la Protección de los Derechos de Todos los Trabajadores Migratorios y de sus Familiares. </w:t>
      </w:r>
    </w:p>
    <w:p w:rsidR="008B6600" w:rsidRDefault="008B6600" w:rsidP="008B6600">
      <w:pPr>
        <w:pStyle w:val="FootnoteText"/>
      </w:pPr>
      <w:r>
        <w:sym w:font="Symbol" w:char="F0B7"/>
      </w:r>
      <w:r>
        <w:t xml:space="preserve"> Artículo 4º de la Convención Interamericana para Prevenir, Erradicar y Sancionar la Violencia contra la Mujer (Convención de Belém do Pará).</w:t>
      </w:r>
    </w:p>
  </w:footnote>
  <w:footnote w:id="3">
    <w:p w:rsidR="008B6600" w:rsidRPr="007C0702" w:rsidRDefault="008B6600" w:rsidP="008B6600">
      <w:pPr>
        <w:pStyle w:val="FootnoteText"/>
        <w:jc w:val="both"/>
      </w:pPr>
      <w:r>
        <w:rPr>
          <w:rStyle w:val="FootnoteReference"/>
        </w:rPr>
        <w:footnoteRef/>
      </w:r>
      <w:r>
        <w:t xml:space="preserve"> </w:t>
      </w:r>
      <w:r w:rsidRPr="007C0702">
        <w:t>2. Nadie debe ser sometido a torturas ni a penas o tratos crueles, inhumanos o degradantes.  Toda persona privada de libertad será tratada con el respeto debido a la dignidad inherente al ser humano.</w:t>
      </w:r>
    </w:p>
    <w:p w:rsidR="008B6600" w:rsidRDefault="008B6600" w:rsidP="008B6600">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169F" w:rsidRPr="0002169F" w:rsidRDefault="0002169F" w:rsidP="0002169F">
    <w:pPr>
      <w:pStyle w:val="Header"/>
      <w:jc w:val="center"/>
      <w:rPr>
        <w:b/>
        <w:sz w:val="28"/>
        <w:szCs w:val="28"/>
      </w:rPr>
    </w:pPr>
    <w:r w:rsidRPr="0002169F">
      <w:rPr>
        <w:b/>
        <w:sz w:val="28"/>
        <w:szCs w:val="28"/>
      </w:rPr>
      <w:t>TODOS SOMOS ZEFERINO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B74FC"/>
    <w:multiLevelType w:val="hybridMultilevel"/>
    <w:tmpl w:val="22B4C64A"/>
    <w:lvl w:ilvl="0" w:tplc="B6FA2B0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EB97143"/>
    <w:multiLevelType w:val="hybridMultilevel"/>
    <w:tmpl w:val="22B4C64A"/>
    <w:lvl w:ilvl="0" w:tplc="B6FA2B0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3C6E09DB"/>
    <w:multiLevelType w:val="hybridMultilevel"/>
    <w:tmpl w:val="22B4C64A"/>
    <w:lvl w:ilvl="0" w:tplc="B6FA2B0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3EB0177A"/>
    <w:multiLevelType w:val="hybridMultilevel"/>
    <w:tmpl w:val="EA1E0BAA"/>
    <w:lvl w:ilvl="0" w:tplc="BF6035F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6EEF1F70"/>
    <w:multiLevelType w:val="hybridMultilevel"/>
    <w:tmpl w:val="2918D35C"/>
    <w:lvl w:ilvl="0" w:tplc="C6E0FD5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F89"/>
    <w:rsid w:val="0002169F"/>
    <w:rsid w:val="00036C73"/>
    <w:rsid w:val="00037C65"/>
    <w:rsid w:val="000858EF"/>
    <w:rsid w:val="000876FA"/>
    <w:rsid w:val="00094EEB"/>
    <w:rsid w:val="000D2F66"/>
    <w:rsid w:val="0011790E"/>
    <w:rsid w:val="0013011C"/>
    <w:rsid w:val="00150165"/>
    <w:rsid w:val="002D46A9"/>
    <w:rsid w:val="0035607B"/>
    <w:rsid w:val="003902A3"/>
    <w:rsid w:val="003C3186"/>
    <w:rsid w:val="003C6C02"/>
    <w:rsid w:val="003D7D39"/>
    <w:rsid w:val="00401F89"/>
    <w:rsid w:val="004D707F"/>
    <w:rsid w:val="00515824"/>
    <w:rsid w:val="005178FF"/>
    <w:rsid w:val="00544D9B"/>
    <w:rsid w:val="00587F3B"/>
    <w:rsid w:val="006C748E"/>
    <w:rsid w:val="006F6910"/>
    <w:rsid w:val="0078705C"/>
    <w:rsid w:val="007D3BB4"/>
    <w:rsid w:val="00852809"/>
    <w:rsid w:val="008B6600"/>
    <w:rsid w:val="00960CF6"/>
    <w:rsid w:val="009C61B1"/>
    <w:rsid w:val="009C6DF3"/>
    <w:rsid w:val="009D5246"/>
    <w:rsid w:val="00AD16E5"/>
    <w:rsid w:val="00B17686"/>
    <w:rsid w:val="00B463DC"/>
    <w:rsid w:val="00B80149"/>
    <w:rsid w:val="00CB7371"/>
    <w:rsid w:val="00CC1931"/>
    <w:rsid w:val="00CD28CA"/>
    <w:rsid w:val="00D24230"/>
    <w:rsid w:val="00D419BB"/>
    <w:rsid w:val="00D73619"/>
    <w:rsid w:val="00DA494A"/>
    <w:rsid w:val="00E17FB3"/>
    <w:rsid w:val="00E91574"/>
    <w:rsid w:val="00E97FDA"/>
    <w:rsid w:val="00EB40A0"/>
    <w:rsid w:val="00FC19C0"/>
    <w:rsid w:val="00FC4859"/>
    <w:rsid w:val="00FF415D"/>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8056A1-7DFB-4F87-8354-54B64AC4E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ar,Footnote Text Char Char Char Char Char,Footnote Text Char Char Char Char,Footnote reference,FA Fu,Footnote Text Char Char Char,Footnote Text Cha,FA Fußnotentext,FA Fuﬂnotentext,Footnote Text Char Char,Car Car Car,FA Fu?notentext"/>
    <w:basedOn w:val="Normal"/>
    <w:link w:val="FootnoteTextChar"/>
    <w:uiPriority w:val="99"/>
    <w:unhideWhenUsed/>
    <w:rsid w:val="00852809"/>
    <w:pPr>
      <w:spacing w:after="0" w:line="240" w:lineRule="auto"/>
    </w:pPr>
    <w:rPr>
      <w:rFonts w:ascii="Times New Roman" w:eastAsia="Times New Roman" w:hAnsi="Times New Roman" w:cs="Times New Roman"/>
      <w:sz w:val="20"/>
      <w:szCs w:val="20"/>
      <w:lang w:val="es-MX" w:eastAsia="es-ES"/>
    </w:rPr>
  </w:style>
  <w:style w:type="character" w:customStyle="1" w:styleId="FootnoteTextChar">
    <w:name w:val="Footnote Text Char"/>
    <w:aliases w:val="Car Char,Footnote Text Char Char Char Char Char Char,Footnote Text Char Char Char Char Char1,Footnote reference Char,FA Fu Char,Footnote Text Char Char Char Char1,Footnote Text Cha Char,FA Fußnotentext Char,FA Fuﬂnotentext Char"/>
    <w:basedOn w:val="DefaultParagraphFont"/>
    <w:link w:val="FootnoteText"/>
    <w:uiPriority w:val="99"/>
    <w:rsid w:val="00852809"/>
    <w:rPr>
      <w:rFonts w:ascii="Times New Roman" w:eastAsia="Times New Roman" w:hAnsi="Times New Roman" w:cs="Times New Roman"/>
      <w:sz w:val="20"/>
      <w:szCs w:val="20"/>
      <w:lang w:val="es-MX" w:eastAsia="es-ES"/>
    </w:rPr>
  </w:style>
  <w:style w:type="character" w:styleId="FootnoteReference">
    <w:name w:val="footnote reference"/>
    <w:aliases w:val="Ref. de nota al pie 2,Footnotes refss,Texto de nota al pie,Appel note de bas de page,Footnote number,referencia nota al pie,BVI fnr,f,4_G,16 Point,Superscript 6 Point,Texto nota al pie,Footnote Reference Char3"/>
    <w:basedOn w:val="DefaultParagraphFont"/>
    <w:uiPriority w:val="99"/>
    <w:unhideWhenUsed/>
    <w:rsid w:val="00852809"/>
    <w:rPr>
      <w:vertAlign w:val="superscript"/>
    </w:rPr>
  </w:style>
  <w:style w:type="character" w:styleId="Hyperlink">
    <w:name w:val="Hyperlink"/>
    <w:basedOn w:val="DefaultParagraphFont"/>
    <w:uiPriority w:val="99"/>
    <w:unhideWhenUsed/>
    <w:rsid w:val="009C61B1"/>
    <w:rPr>
      <w:color w:val="0563C1" w:themeColor="hyperlink"/>
      <w:u w:val="single"/>
    </w:rPr>
  </w:style>
  <w:style w:type="paragraph" w:styleId="Header">
    <w:name w:val="header"/>
    <w:basedOn w:val="Normal"/>
    <w:link w:val="HeaderChar"/>
    <w:uiPriority w:val="99"/>
    <w:unhideWhenUsed/>
    <w:rsid w:val="0002169F"/>
    <w:pPr>
      <w:tabs>
        <w:tab w:val="center" w:pos="4419"/>
        <w:tab w:val="right" w:pos="8838"/>
      </w:tabs>
      <w:spacing w:after="0" w:line="240" w:lineRule="auto"/>
    </w:pPr>
  </w:style>
  <w:style w:type="character" w:customStyle="1" w:styleId="HeaderChar">
    <w:name w:val="Header Char"/>
    <w:basedOn w:val="DefaultParagraphFont"/>
    <w:link w:val="Header"/>
    <w:uiPriority w:val="99"/>
    <w:rsid w:val="0002169F"/>
  </w:style>
  <w:style w:type="paragraph" w:styleId="Footer">
    <w:name w:val="footer"/>
    <w:basedOn w:val="Normal"/>
    <w:link w:val="FooterChar"/>
    <w:uiPriority w:val="99"/>
    <w:unhideWhenUsed/>
    <w:rsid w:val="0002169F"/>
    <w:pPr>
      <w:tabs>
        <w:tab w:val="center" w:pos="4419"/>
        <w:tab w:val="right" w:pos="8838"/>
      </w:tabs>
      <w:spacing w:after="0" w:line="240" w:lineRule="auto"/>
    </w:pPr>
  </w:style>
  <w:style w:type="character" w:customStyle="1" w:styleId="FooterChar">
    <w:name w:val="Footer Char"/>
    <w:basedOn w:val="DefaultParagraphFont"/>
    <w:link w:val="Footer"/>
    <w:uiPriority w:val="99"/>
    <w:rsid w:val="000216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8AE55C-BE00-4A0B-B5DB-5F8CDE96107E}"/>
</file>

<file path=customXml/itemProps2.xml><?xml version="1.0" encoding="utf-8"?>
<ds:datastoreItem xmlns:ds="http://schemas.openxmlformats.org/officeDocument/2006/customXml" ds:itemID="{56B5764C-E636-40D7-8FB7-6A63CA945404}"/>
</file>

<file path=customXml/itemProps3.xml><?xml version="1.0" encoding="utf-8"?>
<ds:datastoreItem xmlns:ds="http://schemas.openxmlformats.org/officeDocument/2006/customXml" ds:itemID="{A2242FCD-AC7C-4B46-9CC6-A3085E4DB428}"/>
</file>

<file path=docProps/app.xml><?xml version="1.0" encoding="utf-8"?>
<Properties xmlns="http://schemas.openxmlformats.org/officeDocument/2006/extended-properties" xmlns:vt="http://schemas.openxmlformats.org/officeDocument/2006/docPropsVTypes">
  <Template>Normal.dotm</Template>
  <TotalTime>1</TotalTime>
  <Pages>14</Pages>
  <Words>3907</Words>
  <Characters>22270</Characters>
  <Application>Microsoft Office Word</Application>
  <DocSecurity>4</DocSecurity>
  <Lines>185</Lines>
  <Paragraphs>52</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HP</Company>
  <LinksUpToDate>false</LinksUpToDate>
  <CharactersWithSpaces>26125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LEOZ INVERNÓN Javier</cp:lastModifiedBy>
  <cp:revision>2</cp:revision>
  <dcterms:created xsi:type="dcterms:W3CDTF">2019-02-28T17:07:00Z</dcterms:created>
  <dcterms:modified xsi:type="dcterms:W3CDTF">2019-02-28T17:07:00Z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