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D60B4" w14:textId="77777777" w:rsidR="00E74DAC" w:rsidRPr="00407C66" w:rsidRDefault="00E74DAC" w:rsidP="00BA012F">
      <w:pPr>
        <w:jc w:val="both"/>
        <w:rPr>
          <w:rFonts w:asciiTheme="majorHAnsi" w:hAnsiTheme="majorHAnsi" w:cstheme="majorHAnsi"/>
          <w:color w:val="000000"/>
          <w:sz w:val="20"/>
          <w:szCs w:val="20"/>
          <w:u w:val="single"/>
        </w:rPr>
      </w:pPr>
    </w:p>
    <w:p w14:paraId="16539064" w14:textId="69466C92" w:rsidR="00A17E44" w:rsidRPr="00407C66" w:rsidRDefault="00371F37" w:rsidP="00BA012F">
      <w:pPr>
        <w:ind w:right="1011"/>
        <w:jc w:val="right"/>
        <w:rPr>
          <w:rFonts w:asciiTheme="majorHAnsi" w:eastAsia="MS Gothic" w:hAnsiTheme="majorHAnsi" w:cstheme="majorHAnsi"/>
          <w:b/>
          <w:bCs/>
          <w:color w:val="FFFFFF" w:themeColor="background1"/>
          <w:sz w:val="20"/>
          <w:szCs w:val="20"/>
          <w:lang w:val="es-ES_tradnl" w:eastAsia="en-GB"/>
        </w:rPr>
      </w:pPr>
      <w:r w:rsidRPr="002E1729">
        <w:rPr>
          <w:rFonts w:asciiTheme="minorHAnsi" w:hAnsiTheme="minorHAnsi" w:cstheme="minorHAnsi"/>
          <w:noProof/>
          <w:lang w:eastAsia="es-ES"/>
        </w:rPr>
        <mc:AlternateContent>
          <mc:Choice Requires="wps">
            <w:drawing>
              <wp:anchor distT="0" distB="457200" distL="114300" distR="114300" simplePos="0" relativeHeight="251659264" behindDoc="0" locked="0" layoutInCell="1" allowOverlap="1" wp14:anchorId="4DC01F0A" wp14:editId="5E73A217">
                <wp:simplePos x="0" y="0"/>
                <wp:positionH relativeFrom="margin">
                  <wp:posOffset>-914400</wp:posOffset>
                </wp:positionH>
                <wp:positionV relativeFrom="paragraph">
                  <wp:posOffset>153670</wp:posOffset>
                </wp:positionV>
                <wp:extent cx="10688320" cy="2091055"/>
                <wp:effectExtent l="0" t="0" r="5080" b="4445"/>
                <wp:wrapThrough wrapText="bothSides">
                  <wp:wrapPolygon edited="0">
                    <wp:start x="0" y="0"/>
                    <wp:lineTo x="0" y="21515"/>
                    <wp:lineTo x="21585" y="21515"/>
                    <wp:lineTo x="21585" y="0"/>
                    <wp:lineTo x="0" y="0"/>
                  </wp:wrapPolygon>
                </wp:wrapThrough>
                <wp:docPr id="5" name="Rectangle 5" descr="Title: Titr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8320" cy="2091055"/>
                        </a:xfrm>
                        <a:prstGeom prst="rect">
                          <a:avLst/>
                        </a:prstGeom>
                        <a:solidFill>
                          <a:srgbClr val="0070C0">
                            <a:alpha val="85000"/>
                          </a:srgbClr>
                        </a:solidFill>
                        <a:ln>
                          <a:noFill/>
                        </a:ln>
                      </wps:spPr>
                      <wps:txbx>
                        <w:txbxContent>
                          <w:p w14:paraId="0FA822A7" w14:textId="77777777" w:rsidR="00371F37" w:rsidRPr="000750B0" w:rsidRDefault="00371F37" w:rsidP="00371F37">
                            <w:pPr>
                              <w:pStyle w:val="Heading1"/>
                              <w:ind w:left="1418" w:right="1011" w:firstLine="0"/>
                              <w:jc w:val="right"/>
                              <w:rPr>
                                <w:rFonts w:ascii="Century Gothic" w:hAnsi="Century Gothic"/>
                                <w:b w:val="0"/>
                                <w:bCs/>
                                <w:color w:val="FFFFFF" w:themeColor="background1"/>
                                <w:lang w:val="es-ES_tradnl"/>
                              </w:rPr>
                            </w:pPr>
                            <w:r w:rsidRPr="000750B0">
                              <w:rPr>
                                <w:rFonts w:ascii="Century Gothic" w:hAnsi="Century Gothic"/>
                                <w:color w:val="FFFFFF" w:themeColor="background1"/>
                                <w:lang w:val="es-ES_tradnl"/>
                              </w:rPr>
                              <w:t>Informe de</w:t>
                            </w:r>
                            <w:r>
                              <w:rPr>
                                <w:rFonts w:ascii="Century Gothic" w:hAnsi="Century Gothic"/>
                                <w:color w:val="FFFFFF" w:themeColor="background1"/>
                                <w:lang w:val="es-ES_tradnl"/>
                              </w:rPr>
                              <w:t xml:space="preserve"> OSC en</w:t>
                            </w:r>
                            <w:r w:rsidRPr="000750B0">
                              <w:rPr>
                                <w:rFonts w:ascii="Century Gothic" w:hAnsi="Century Gothic"/>
                                <w:color w:val="FFFFFF" w:themeColor="background1"/>
                                <w:lang w:val="es-ES_tradnl"/>
                              </w:rPr>
                              <w:t xml:space="preserve"> seguimiento a las recomendaciones del Comité de Derechos Humanos</w:t>
                            </w:r>
                          </w:p>
                          <w:p w14:paraId="404629A6" w14:textId="77777777" w:rsidR="00371F37" w:rsidRPr="000750B0" w:rsidRDefault="00371F37" w:rsidP="00371F37">
                            <w:pPr>
                              <w:ind w:right="1011"/>
                              <w:jc w:val="right"/>
                              <w:rPr>
                                <w:rFonts w:ascii="Century Gothic" w:eastAsia="MS Gothic" w:hAnsi="Century Gothic"/>
                                <w:b/>
                                <w:bCs/>
                                <w:color w:val="FFFFFF" w:themeColor="background1"/>
                                <w:sz w:val="110"/>
                                <w:szCs w:val="110"/>
                                <w:lang w:val="es-ES_tradnl"/>
                              </w:rPr>
                            </w:pPr>
                            <w:r>
                              <w:rPr>
                                <w:rFonts w:ascii="Century Gothic" w:eastAsia="MS Gothic" w:hAnsi="Century Gothic"/>
                                <w:b/>
                                <w:bCs/>
                                <w:color w:val="FFFFFF" w:themeColor="background1"/>
                                <w:sz w:val="110"/>
                                <w:szCs w:val="110"/>
                                <w:lang w:val="es-ES_tradnl"/>
                              </w:rPr>
                              <w:t>EL SALVADOR</w:t>
                            </w:r>
                          </w:p>
                          <w:p w14:paraId="5EB89BFF" w14:textId="77777777" w:rsidR="00371F37" w:rsidRPr="000750B0" w:rsidRDefault="00371F37" w:rsidP="00371F37">
                            <w:pPr>
                              <w:ind w:right="1011"/>
                              <w:jc w:val="right"/>
                              <w:rPr>
                                <w:rFonts w:ascii="Century Gothic" w:eastAsia="MS Gothic" w:hAnsi="Century Gothic"/>
                                <w:b/>
                                <w:bCs/>
                                <w:color w:val="FFFFFF" w:themeColor="background1"/>
                                <w:sz w:val="28"/>
                                <w:szCs w:val="28"/>
                                <w:lang w:val="es-ES_tradnl"/>
                              </w:rPr>
                            </w:pPr>
                            <w:r>
                              <w:rPr>
                                <w:rFonts w:ascii="Century Gothic" w:eastAsia="MS Gothic" w:hAnsi="Century Gothic"/>
                                <w:b/>
                                <w:bCs/>
                                <w:color w:val="FFFFFF" w:themeColor="background1"/>
                                <w:sz w:val="28"/>
                                <w:szCs w:val="28"/>
                                <w:lang w:val="es-ES_tradnl"/>
                              </w:rPr>
                              <w:t xml:space="preserve">  Abril 2022</w:t>
                            </w:r>
                          </w:p>
                          <w:p w14:paraId="6B45658B" w14:textId="77777777" w:rsidR="00371F37" w:rsidRPr="00510280" w:rsidRDefault="00371F37" w:rsidP="00371F37">
                            <w:pPr>
                              <w:ind w:right="1011"/>
                              <w:jc w:val="right"/>
                              <w:rPr>
                                <w:rFonts w:ascii="Century Gothic" w:eastAsia="MS Gothic" w:hAnsi="Century Gothic"/>
                                <w:b/>
                                <w:bCs/>
                                <w:color w:val="FFFFFF" w:themeColor="background1"/>
                                <w:sz w:val="28"/>
                                <w:szCs w:val="28"/>
                                <w:lang w:val="en-US"/>
                              </w:rPr>
                            </w:pPr>
                          </w:p>
                          <w:p w14:paraId="60557284"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p w14:paraId="491716E2"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p w14:paraId="15D5A948"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txbxContent>
                      </wps:txbx>
                      <wps:bodyPr rot="0" vert="horz" wrap="square" lIns="146304" tIns="228600" rIns="146304" bIns="9144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4DC01F0A" id="Rectangle 5" o:spid="_x0000_s1026" alt="Title: Titre" style="position:absolute;left:0;text-align:left;margin-left:-1in;margin-top:12.1pt;width:841.6pt;height:164.65pt;z-index:251659264;visibility:visible;mso-wrap-style:square;mso-width-percent:0;mso-height-percent:0;mso-wrap-distance-left:9pt;mso-wrap-distance-top:0;mso-wrap-distance-right:9pt;mso-wrap-distance-bottom:36pt;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" fillcolor="#0070c0" stroked="f">
                <v:fill opacity="55769f"/>
                <v:textbox inset="11.52pt,18pt,11.52pt,7.2pt">
                  <w:txbxContent>
                    <w:p w14:paraId="0FA822A7" w14:textId="77777777" w:rsidR="00371F37" w:rsidRPr="000750B0" w:rsidRDefault="00371F37" w:rsidP="00371F37">
                      <w:pPr>
                        <w:pStyle w:val="Ttulo1"/>
                        <w:ind w:left="1418" w:right="1011" w:firstLine="0"/>
                        <w:jc w:val="right"/>
                        <w:rPr>
                          <w:rFonts w:ascii="Century Gothic" w:hAnsi="Century Gothic"/>
                          <w:b w:val="0"/>
                          <w:bCs/>
                          <w:color w:val="FFFFFF" w:themeColor="background1"/>
                          <w:lang w:val="es-ES_tradnl"/>
                        </w:rPr>
                      </w:pPr>
                      <w:r w:rsidRPr="000750B0">
                        <w:rPr>
                          <w:rFonts w:ascii="Century Gothic" w:hAnsi="Century Gothic"/>
                          <w:color w:val="FFFFFF" w:themeColor="background1"/>
                          <w:lang w:val="es-ES_tradnl"/>
                        </w:rPr>
                        <w:t>Informe de</w:t>
                      </w:r>
                      <w:r>
                        <w:rPr>
                          <w:rFonts w:ascii="Century Gothic" w:hAnsi="Century Gothic"/>
                          <w:color w:val="FFFFFF" w:themeColor="background1"/>
                          <w:lang w:val="es-ES_tradnl"/>
                        </w:rPr>
                        <w:t xml:space="preserve"> OSC en</w:t>
                      </w:r>
                      <w:r w:rsidRPr="000750B0">
                        <w:rPr>
                          <w:rFonts w:ascii="Century Gothic" w:hAnsi="Century Gothic"/>
                          <w:color w:val="FFFFFF" w:themeColor="background1"/>
                          <w:lang w:val="es-ES_tradnl"/>
                        </w:rPr>
                        <w:t xml:space="preserve"> seguimiento a las recomendaciones del Comité de Derechos Humanos</w:t>
                      </w:r>
                    </w:p>
                    <w:p w14:paraId="404629A6" w14:textId="77777777" w:rsidR="00371F37" w:rsidRPr="000750B0" w:rsidRDefault="00371F37" w:rsidP="00371F37">
                      <w:pPr>
                        <w:ind w:right="1011"/>
                        <w:jc w:val="right"/>
                        <w:rPr>
                          <w:rFonts w:ascii="Century Gothic" w:eastAsia="MS Gothic" w:hAnsi="Century Gothic"/>
                          <w:b/>
                          <w:bCs/>
                          <w:color w:val="FFFFFF" w:themeColor="background1"/>
                          <w:sz w:val="110"/>
                          <w:szCs w:val="110"/>
                          <w:lang w:val="es-ES_tradnl"/>
                        </w:rPr>
                      </w:pPr>
                      <w:r>
                        <w:rPr>
                          <w:rFonts w:ascii="Century Gothic" w:eastAsia="MS Gothic" w:hAnsi="Century Gothic"/>
                          <w:b/>
                          <w:bCs/>
                          <w:color w:val="FFFFFF" w:themeColor="background1"/>
                          <w:sz w:val="110"/>
                          <w:szCs w:val="110"/>
                          <w:lang w:val="es-ES_tradnl"/>
                        </w:rPr>
                        <w:t>EL SALVADOR</w:t>
                      </w:r>
                    </w:p>
                    <w:p w14:paraId="5EB89BFF" w14:textId="77777777" w:rsidR="00371F37" w:rsidRPr="000750B0" w:rsidRDefault="00371F37" w:rsidP="00371F37">
                      <w:pPr>
                        <w:ind w:right="1011"/>
                        <w:jc w:val="right"/>
                        <w:rPr>
                          <w:rFonts w:ascii="Century Gothic" w:eastAsia="MS Gothic" w:hAnsi="Century Gothic"/>
                          <w:b/>
                          <w:bCs/>
                          <w:color w:val="FFFFFF" w:themeColor="background1"/>
                          <w:sz w:val="28"/>
                          <w:szCs w:val="28"/>
                          <w:lang w:val="es-ES_tradnl"/>
                        </w:rPr>
                      </w:pPr>
                      <w:r>
                        <w:rPr>
                          <w:rFonts w:ascii="Century Gothic" w:eastAsia="MS Gothic" w:hAnsi="Century Gothic"/>
                          <w:b/>
                          <w:bCs/>
                          <w:color w:val="FFFFFF" w:themeColor="background1"/>
                          <w:sz w:val="28"/>
                          <w:szCs w:val="28"/>
                          <w:lang w:val="es-ES_tradnl"/>
                        </w:rPr>
                        <w:t xml:space="preserve">  Abril 2022</w:t>
                      </w:r>
                    </w:p>
                    <w:p w14:paraId="6B45658B" w14:textId="77777777" w:rsidR="00371F37" w:rsidRPr="00510280" w:rsidRDefault="00371F37" w:rsidP="00371F37">
                      <w:pPr>
                        <w:ind w:right="1011"/>
                        <w:jc w:val="right"/>
                        <w:rPr>
                          <w:rFonts w:ascii="Century Gothic" w:eastAsia="MS Gothic" w:hAnsi="Century Gothic"/>
                          <w:b/>
                          <w:bCs/>
                          <w:color w:val="FFFFFF" w:themeColor="background1"/>
                          <w:sz w:val="28"/>
                          <w:szCs w:val="28"/>
                          <w:lang w:val="en-US"/>
                        </w:rPr>
                      </w:pPr>
                    </w:p>
                    <w:p w14:paraId="60557284"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p w14:paraId="491716E2"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p w14:paraId="15D5A948" w14:textId="77777777" w:rsidR="00371F37" w:rsidRPr="00510280" w:rsidRDefault="00371F37" w:rsidP="00371F37">
                      <w:pPr>
                        <w:ind w:left="1418" w:right="1011"/>
                        <w:jc w:val="right"/>
                        <w:rPr>
                          <w:rFonts w:ascii="Century Gothic" w:eastAsiaTheme="majorEastAsia" w:hAnsi="Century Gothic"/>
                          <w:b/>
                          <w:color w:val="FFFFFF" w:themeColor="background1"/>
                          <w:sz w:val="48"/>
                          <w:szCs w:val="48"/>
                          <w:lang w:val="en-US"/>
                        </w:rPr>
                      </w:pPr>
                    </w:p>
                  </w:txbxContent>
                </v:textbox>
                <w10:wrap type="through" anchorx="margin"/>
              </v:rect>
            </w:pict>
          </mc:Fallback>
        </mc:AlternateContent>
      </w:r>
      <w:r w:rsidR="00A17E44" w:rsidRPr="00407C66">
        <w:rPr>
          <w:rFonts w:asciiTheme="majorHAnsi" w:eastAsia="MS Gothic" w:hAnsiTheme="majorHAnsi" w:cstheme="majorHAnsi"/>
          <w:b/>
          <w:bCs/>
          <w:color w:val="FFFFFF" w:themeColor="background1"/>
          <w:sz w:val="20"/>
          <w:szCs w:val="20"/>
          <w:lang w:val="es-ES_tradnl" w:eastAsia="en-GB"/>
        </w:rPr>
        <w:t xml:space="preserve"> SALVADOR</w:t>
      </w:r>
    </w:p>
    <w:p w14:paraId="40F61F97" w14:textId="52FE68A0" w:rsidR="00371F37" w:rsidRDefault="00A17E44" w:rsidP="00371F37">
      <w:pPr>
        <w:pStyle w:val="ListParagraph"/>
        <w:numPr>
          <w:ilvl w:val="0"/>
          <w:numId w:val="6"/>
        </w:numPr>
        <w:jc w:val="both"/>
        <w:rPr>
          <w:rFonts w:asciiTheme="majorHAnsi" w:hAnsiTheme="majorHAnsi" w:cstheme="majorHAnsi"/>
          <w:b/>
          <w:bCs/>
          <w:color w:val="000000"/>
          <w:sz w:val="24"/>
          <w:szCs w:val="24"/>
          <w:u w:val="single"/>
        </w:rPr>
      </w:pPr>
      <w:r w:rsidRPr="00371F37">
        <w:rPr>
          <w:rFonts w:asciiTheme="majorHAnsi" w:hAnsiTheme="majorHAnsi" w:cstheme="majorHAnsi"/>
          <w:b/>
          <w:bCs/>
          <w:color w:val="000000"/>
          <w:sz w:val="24"/>
          <w:szCs w:val="24"/>
          <w:u w:val="single"/>
        </w:rPr>
        <w:t>INTRODUCCION</w:t>
      </w:r>
    </w:p>
    <w:p w14:paraId="0500B42B" w14:textId="77777777" w:rsidR="00371F37" w:rsidRPr="00371F37" w:rsidRDefault="00371F37" w:rsidP="00371F37">
      <w:pPr>
        <w:pStyle w:val="ListParagraph"/>
        <w:ind w:left="1080"/>
        <w:jc w:val="both"/>
        <w:rPr>
          <w:rFonts w:asciiTheme="majorHAnsi" w:hAnsiTheme="majorHAnsi" w:cstheme="majorHAnsi"/>
          <w:b/>
          <w:bCs/>
          <w:color w:val="000000"/>
          <w:sz w:val="24"/>
          <w:szCs w:val="24"/>
          <w:u w:val="single"/>
        </w:rPr>
      </w:pPr>
    </w:p>
    <w:p w14:paraId="48C43528" w14:textId="76374244" w:rsidR="00371F37" w:rsidRPr="00371F37" w:rsidRDefault="00371F37" w:rsidP="00371F37">
      <w:pPr>
        <w:pStyle w:val="SingleTxtG"/>
        <w:spacing w:after="100" w:afterAutospacing="1" w:line="240" w:lineRule="auto"/>
        <w:ind w:left="0" w:right="-22"/>
        <w:rPr>
          <w:rFonts w:asciiTheme="majorHAnsi" w:eastAsiaTheme="minorEastAsia" w:hAnsiTheme="majorHAnsi" w:cstheme="majorHAnsi"/>
          <w:color w:val="000000" w:themeColor="text1"/>
          <w:sz w:val="22"/>
          <w:szCs w:val="22"/>
          <w:lang w:val="es-ES"/>
        </w:rPr>
      </w:pPr>
      <w:r w:rsidRPr="00371F37">
        <w:rPr>
          <w:rFonts w:asciiTheme="majorHAnsi" w:eastAsiaTheme="minorEastAsia" w:hAnsiTheme="majorHAnsi" w:cstheme="majorHAnsi"/>
          <w:color w:val="000000" w:themeColor="text1"/>
          <w:sz w:val="22"/>
          <w:szCs w:val="22"/>
          <w:lang w:val="es-ES"/>
        </w:rPr>
        <w:t xml:space="preserve">El séptimo informe periódico de El Salvador sobre el cumplimiento del Estado con el Pacto Internacional de Derechos Civiles y Políticos (PIDCP) fue examinado por el </w:t>
      </w:r>
      <w:r w:rsidRPr="00371F37">
        <w:rPr>
          <w:rFonts w:asciiTheme="majorHAnsi" w:eastAsiaTheme="minorEastAsia" w:hAnsiTheme="majorHAnsi" w:cstheme="majorHAnsi"/>
          <w:b/>
          <w:color w:val="000000" w:themeColor="text1"/>
          <w:sz w:val="22"/>
          <w:szCs w:val="22"/>
          <w:lang w:val="es-ES"/>
        </w:rPr>
        <w:t>Comité de Derechos Humanos de Naciones Unidas</w:t>
      </w:r>
      <w:r w:rsidRPr="00371F37">
        <w:rPr>
          <w:rFonts w:asciiTheme="majorHAnsi" w:eastAsiaTheme="minorEastAsia" w:hAnsiTheme="majorHAnsi" w:cstheme="majorHAnsi"/>
          <w:color w:val="000000" w:themeColor="text1"/>
          <w:sz w:val="22"/>
          <w:szCs w:val="22"/>
          <w:lang w:val="es-ES"/>
        </w:rPr>
        <w:t xml:space="preserve"> (el Comité) en mayo de 2018. Como resultado del examen, el Comité adoptó las </w:t>
      </w:r>
      <w:r w:rsidRPr="00371F37">
        <w:rPr>
          <w:rFonts w:asciiTheme="majorHAnsi" w:eastAsiaTheme="minorEastAsia" w:hAnsiTheme="majorHAnsi" w:cstheme="majorHAnsi"/>
          <w:b/>
          <w:color w:val="000000" w:themeColor="text1"/>
          <w:sz w:val="22"/>
          <w:szCs w:val="22"/>
          <w:lang w:val="es-ES"/>
        </w:rPr>
        <w:t xml:space="preserve">Observaciones finales CCPR/C/SLV/CO/7 </w:t>
      </w:r>
      <w:r w:rsidRPr="00371F37">
        <w:rPr>
          <w:rFonts w:asciiTheme="majorHAnsi" w:eastAsiaTheme="minorEastAsia" w:hAnsiTheme="majorHAnsi" w:cstheme="majorHAnsi"/>
          <w:color w:val="000000" w:themeColor="text1"/>
          <w:sz w:val="22"/>
          <w:szCs w:val="22"/>
          <w:lang w:val="es-ES"/>
        </w:rPr>
        <w:t>que incluyen una serie de recomendaciones al Estado parte.</w:t>
      </w:r>
      <w:r w:rsidRPr="00371F37">
        <w:rPr>
          <w:rFonts w:asciiTheme="majorHAnsi" w:hAnsiTheme="majorHAnsi" w:cstheme="majorHAnsi"/>
          <w:sz w:val="22"/>
          <w:szCs w:val="22"/>
          <w:vertAlign w:val="superscript"/>
          <w:lang w:val="es-ES"/>
        </w:rPr>
        <w:footnoteReference w:id="1"/>
      </w:r>
    </w:p>
    <w:p w14:paraId="2A381DF1" w14:textId="56A27981" w:rsidR="00371F37" w:rsidRPr="00371F37" w:rsidRDefault="00371F37" w:rsidP="00371F37">
      <w:pPr>
        <w:suppressAutoHyphens/>
        <w:spacing w:after="100" w:afterAutospacing="1"/>
        <w:jc w:val="both"/>
        <w:rPr>
          <w:rFonts w:asciiTheme="majorHAnsi" w:hAnsiTheme="majorHAnsi" w:cstheme="majorHAnsi"/>
        </w:rPr>
      </w:pPr>
      <w:r w:rsidRPr="00371F37">
        <w:rPr>
          <w:rFonts w:asciiTheme="majorHAnsi" w:eastAsiaTheme="minorEastAsia" w:hAnsiTheme="majorHAnsi" w:cstheme="majorHAnsi"/>
          <w:color w:val="000000" w:themeColor="text1"/>
          <w:lang w:eastAsia="zh-CN"/>
        </w:rPr>
        <w:t xml:space="preserve">El párrafo 44 de las Observaciones finales establece que de conformidad con el artículo 71, párrafo 5, del reglamento del Comité, se solicita al Estado parte que facilite información </w:t>
      </w:r>
      <w:r w:rsidRPr="00371F37">
        <w:rPr>
          <w:rFonts w:asciiTheme="majorHAnsi" w:hAnsiTheme="majorHAnsi" w:cstheme="majorHAnsi"/>
        </w:rPr>
        <w:t>sobre la aplicación de las recomendaciones formuladas por el Comité en los párrafos</w:t>
      </w:r>
      <w:r w:rsidRPr="00371F37">
        <w:rPr>
          <w:rFonts w:asciiTheme="majorHAnsi" w:hAnsiTheme="majorHAnsi" w:cstheme="majorHAnsi"/>
          <w:color w:val="000000"/>
        </w:rPr>
        <w:t xml:space="preserve"> </w:t>
      </w:r>
      <w:r w:rsidRPr="00371F37">
        <w:rPr>
          <w:rFonts w:asciiTheme="majorHAnsi" w:hAnsiTheme="majorHAnsi" w:cstheme="majorHAnsi"/>
        </w:rPr>
        <w:t>18 (</w:t>
      </w:r>
      <w:r w:rsidRPr="00371F37">
        <w:rPr>
          <w:rFonts w:asciiTheme="majorHAnsi" w:hAnsiTheme="majorHAnsi" w:cstheme="majorHAnsi"/>
          <w:b/>
          <w:bCs/>
        </w:rPr>
        <w:t>graves violaciones de derechos humanos durante el conflicto armado</w:t>
      </w:r>
      <w:r w:rsidRPr="00371F37">
        <w:rPr>
          <w:rFonts w:asciiTheme="majorHAnsi" w:hAnsiTheme="majorHAnsi" w:cstheme="majorHAnsi"/>
        </w:rPr>
        <w:t>) y 22 (</w:t>
      </w:r>
      <w:r w:rsidRPr="00371F37">
        <w:rPr>
          <w:rFonts w:asciiTheme="majorHAnsi" w:hAnsiTheme="majorHAnsi" w:cstheme="majorHAnsi"/>
          <w:b/>
          <w:bCs/>
        </w:rPr>
        <w:t>ejecuciones extrajudiciales y desapariciones forzadas</w:t>
      </w:r>
      <w:r w:rsidRPr="00371F37">
        <w:rPr>
          <w:rFonts w:asciiTheme="majorHAnsi" w:hAnsiTheme="majorHAnsi" w:cstheme="majorHAnsi"/>
        </w:rPr>
        <w:t>).</w:t>
      </w:r>
    </w:p>
    <w:p w14:paraId="4B578B81" w14:textId="6B3738AA" w:rsidR="0079283D" w:rsidRPr="00371F37" w:rsidRDefault="00371F37" w:rsidP="00371F37">
      <w:pPr>
        <w:jc w:val="both"/>
        <w:rPr>
          <w:rFonts w:asciiTheme="majorHAnsi" w:hAnsiTheme="majorHAnsi" w:cstheme="majorHAnsi"/>
          <w:color w:val="000000"/>
          <w:sz w:val="20"/>
          <w:szCs w:val="20"/>
        </w:rPr>
      </w:pPr>
      <w:r w:rsidRPr="00371F37">
        <w:rPr>
          <w:rFonts w:asciiTheme="majorHAnsi" w:eastAsiaTheme="minorEastAsia" w:hAnsiTheme="majorHAnsi" w:cstheme="majorHAnsi"/>
          <w:color w:val="000000" w:themeColor="text1"/>
        </w:rPr>
        <w:t xml:space="preserve">El presente informe tiene por objetivo contribuir a la evaluación del Comité aportando la </w:t>
      </w:r>
      <w:r w:rsidRPr="00371F37">
        <w:rPr>
          <w:rFonts w:asciiTheme="majorHAnsi" w:eastAsiaTheme="minorEastAsia" w:hAnsiTheme="majorHAnsi" w:cstheme="majorHAnsi"/>
          <w:b/>
          <w:color w:val="000000" w:themeColor="text1"/>
        </w:rPr>
        <w:t xml:space="preserve">perspectiva de las organizaciones de la sociedad civil </w:t>
      </w:r>
      <w:r w:rsidRPr="00371F37">
        <w:rPr>
          <w:rFonts w:asciiTheme="majorHAnsi" w:eastAsiaTheme="minorEastAsia" w:hAnsiTheme="majorHAnsi" w:cstheme="majorHAnsi"/>
          <w:color w:val="000000" w:themeColor="text1"/>
        </w:rPr>
        <w:t>sobre las medidas tomadas por el Estado para la implementación de las recomendaciones seleccionadas para el procedimiento.</w:t>
      </w:r>
    </w:p>
    <w:p w14:paraId="5B51C674" w14:textId="556AD528" w:rsidR="00371F37" w:rsidRDefault="00371F37" w:rsidP="00BA012F">
      <w:pPr>
        <w:suppressAutoHyphens/>
        <w:ind w:right="-22"/>
        <w:jc w:val="both"/>
        <w:rPr>
          <w:rFonts w:asciiTheme="majorHAnsi" w:hAnsiTheme="majorHAnsi" w:cstheme="majorHAnsi"/>
          <w:color w:val="000000"/>
          <w:sz w:val="20"/>
          <w:szCs w:val="20"/>
        </w:rPr>
      </w:pPr>
    </w:p>
    <w:p w14:paraId="7E804701" w14:textId="77777777" w:rsidR="00371F37" w:rsidRDefault="00371F37" w:rsidP="00BA012F">
      <w:pPr>
        <w:suppressAutoHyphens/>
        <w:ind w:right="-22"/>
        <w:jc w:val="both"/>
        <w:rPr>
          <w:rFonts w:asciiTheme="majorHAnsi" w:hAnsiTheme="majorHAnsi" w:cstheme="majorHAnsi"/>
          <w:color w:val="000000"/>
          <w:sz w:val="20"/>
          <w:szCs w:val="20"/>
        </w:rPr>
      </w:pPr>
    </w:p>
    <w:p w14:paraId="3D35FF27" w14:textId="442F07F9" w:rsidR="00466055" w:rsidRPr="00371F37" w:rsidRDefault="00A17E44" w:rsidP="00BA012F">
      <w:pPr>
        <w:suppressAutoHyphens/>
        <w:ind w:right="-22"/>
        <w:jc w:val="both"/>
        <w:rPr>
          <w:rFonts w:asciiTheme="majorHAnsi" w:hAnsiTheme="majorHAnsi" w:cstheme="majorHAnsi"/>
          <w:color w:val="000000"/>
        </w:rPr>
      </w:pPr>
      <w:r w:rsidRPr="00371F37">
        <w:rPr>
          <w:rFonts w:asciiTheme="majorHAnsi" w:hAnsiTheme="majorHAnsi" w:cstheme="majorHAnsi"/>
          <w:color w:val="000000"/>
        </w:rPr>
        <w:lastRenderedPageBreak/>
        <w:t>Informe presentado por:</w:t>
      </w:r>
    </w:p>
    <w:p w14:paraId="49115FF2" w14:textId="6B1F7C0A"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Fundación </w:t>
      </w:r>
      <w:r>
        <w:rPr>
          <w:rFonts w:asciiTheme="majorHAnsi" w:hAnsiTheme="majorHAnsi" w:cstheme="majorHAnsi"/>
          <w:color w:val="000000"/>
        </w:rPr>
        <w:t>p</w:t>
      </w:r>
      <w:r w:rsidRPr="00371F37">
        <w:rPr>
          <w:rFonts w:asciiTheme="majorHAnsi" w:hAnsiTheme="majorHAnsi" w:cstheme="majorHAnsi"/>
          <w:color w:val="000000"/>
        </w:rPr>
        <w:t xml:space="preserve">ara El Debido Proceso </w:t>
      </w:r>
      <w:r>
        <w:rPr>
          <w:rFonts w:asciiTheme="majorHAnsi" w:hAnsiTheme="majorHAnsi" w:cstheme="majorHAnsi"/>
          <w:color w:val="000000"/>
        </w:rPr>
        <w:t>(DPLF)</w:t>
      </w:r>
    </w:p>
    <w:p w14:paraId="15D192AC" w14:textId="505E6369"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Fundación </w:t>
      </w:r>
      <w:r>
        <w:rPr>
          <w:rFonts w:asciiTheme="majorHAnsi" w:hAnsiTheme="majorHAnsi" w:cstheme="majorHAnsi"/>
          <w:color w:val="000000"/>
        </w:rPr>
        <w:t>d</w:t>
      </w:r>
      <w:r w:rsidRPr="00371F37">
        <w:rPr>
          <w:rFonts w:asciiTheme="majorHAnsi" w:hAnsiTheme="majorHAnsi" w:cstheme="majorHAnsi"/>
          <w:color w:val="000000"/>
        </w:rPr>
        <w:t xml:space="preserve">e Estudios </w:t>
      </w:r>
      <w:r>
        <w:rPr>
          <w:rFonts w:asciiTheme="majorHAnsi" w:hAnsiTheme="majorHAnsi" w:cstheme="majorHAnsi"/>
          <w:color w:val="000000"/>
        </w:rPr>
        <w:t>p</w:t>
      </w:r>
      <w:r w:rsidRPr="00371F37">
        <w:rPr>
          <w:rFonts w:asciiTheme="majorHAnsi" w:hAnsiTheme="majorHAnsi" w:cstheme="majorHAnsi"/>
          <w:color w:val="000000"/>
        </w:rPr>
        <w:t xml:space="preserve">ara </w:t>
      </w:r>
      <w:r>
        <w:rPr>
          <w:rFonts w:asciiTheme="majorHAnsi" w:hAnsiTheme="majorHAnsi" w:cstheme="majorHAnsi"/>
          <w:color w:val="000000"/>
        </w:rPr>
        <w:t>l</w:t>
      </w:r>
      <w:r w:rsidRPr="00371F37">
        <w:rPr>
          <w:rFonts w:asciiTheme="majorHAnsi" w:hAnsiTheme="majorHAnsi" w:cstheme="majorHAnsi"/>
          <w:color w:val="000000"/>
        </w:rPr>
        <w:t xml:space="preserve">a Aplicación </w:t>
      </w:r>
      <w:r>
        <w:rPr>
          <w:rFonts w:asciiTheme="majorHAnsi" w:hAnsiTheme="majorHAnsi" w:cstheme="majorHAnsi"/>
          <w:color w:val="000000"/>
        </w:rPr>
        <w:t>d</w:t>
      </w:r>
      <w:r w:rsidRPr="00371F37">
        <w:rPr>
          <w:rFonts w:asciiTheme="majorHAnsi" w:hAnsiTheme="majorHAnsi" w:cstheme="majorHAnsi"/>
          <w:color w:val="000000"/>
        </w:rPr>
        <w:t xml:space="preserve">el Derecho </w:t>
      </w:r>
      <w:r>
        <w:rPr>
          <w:rFonts w:asciiTheme="majorHAnsi" w:hAnsiTheme="majorHAnsi" w:cstheme="majorHAnsi"/>
          <w:color w:val="000000"/>
        </w:rPr>
        <w:t>(FESPAD)</w:t>
      </w:r>
    </w:p>
    <w:p w14:paraId="0B82B762" w14:textId="5A04E449" w:rsidR="00466055" w:rsidRPr="00371F37" w:rsidRDefault="00371F37" w:rsidP="00BA012F">
      <w:pPr>
        <w:pStyle w:val="ListParagraph"/>
        <w:numPr>
          <w:ilvl w:val="0"/>
          <w:numId w:val="8"/>
        </w:numPr>
        <w:rPr>
          <w:rFonts w:asciiTheme="majorHAnsi" w:hAnsiTheme="majorHAnsi" w:cstheme="majorHAnsi"/>
          <w:color w:val="000000"/>
        </w:rPr>
      </w:pPr>
      <w:proofErr w:type="spellStart"/>
      <w:r w:rsidRPr="00371F37">
        <w:rPr>
          <w:rFonts w:asciiTheme="majorHAnsi" w:hAnsiTheme="majorHAnsi" w:cstheme="majorHAnsi"/>
          <w:color w:val="000000"/>
        </w:rPr>
        <w:t>Cristosal</w:t>
      </w:r>
      <w:proofErr w:type="spellEnd"/>
      <w:r w:rsidRPr="00371F37">
        <w:rPr>
          <w:rFonts w:asciiTheme="majorHAnsi" w:hAnsiTheme="majorHAnsi" w:cstheme="majorHAnsi"/>
          <w:color w:val="000000"/>
        </w:rPr>
        <w:t xml:space="preserve"> </w:t>
      </w:r>
      <w:r>
        <w:rPr>
          <w:rFonts w:asciiTheme="majorHAnsi" w:hAnsiTheme="majorHAnsi" w:cstheme="majorHAnsi"/>
          <w:color w:val="000000"/>
        </w:rPr>
        <w:t xml:space="preserve">- </w:t>
      </w:r>
      <w:r w:rsidRPr="00371F37">
        <w:rPr>
          <w:rFonts w:asciiTheme="majorHAnsi" w:hAnsiTheme="majorHAnsi" w:cstheme="majorHAnsi"/>
          <w:color w:val="000000"/>
        </w:rPr>
        <w:t>El Salvador</w:t>
      </w:r>
    </w:p>
    <w:p w14:paraId="17FE6250" w14:textId="625030CC" w:rsidR="00466055" w:rsidRPr="00371F37" w:rsidRDefault="00371F37" w:rsidP="00BA012F">
      <w:pPr>
        <w:pStyle w:val="ListParagraph"/>
        <w:numPr>
          <w:ilvl w:val="0"/>
          <w:numId w:val="8"/>
        </w:numPr>
        <w:rPr>
          <w:rFonts w:asciiTheme="majorHAnsi" w:hAnsiTheme="majorHAnsi" w:cstheme="majorHAnsi"/>
          <w:color w:val="000000"/>
        </w:rPr>
      </w:pPr>
      <w:proofErr w:type="spellStart"/>
      <w:r w:rsidRPr="00371F37">
        <w:rPr>
          <w:rFonts w:asciiTheme="majorHAnsi" w:hAnsiTheme="majorHAnsi" w:cstheme="majorHAnsi"/>
          <w:color w:val="000000"/>
        </w:rPr>
        <w:t>Comcavis</w:t>
      </w:r>
      <w:proofErr w:type="spellEnd"/>
      <w:r w:rsidRPr="00371F37">
        <w:rPr>
          <w:rFonts w:asciiTheme="majorHAnsi" w:hAnsiTheme="majorHAnsi" w:cstheme="majorHAnsi"/>
          <w:color w:val="000000"/>
        </w:rPr>
        <w:t xml:space="preserve"> </w:t>
      </w:r>
      <w:proofErr w:type="spellStart"/>
      <w:r w:rsidRPr="00371F37">
        <w:rPr>
          <w:rFonts w:asciiTheme="majorHAnsi" w:hAnsiTheme="majorHAnsi" w:cstheme="majorHAnsi"/>
          <w:color w:val="000000"/>
        </w:rPr>
        <w:t>Trans</w:t>
      </w:r>
      <w:proofErr w:type="spellEnd"/>
      <w:r w:rsidRPr="00371F37">
        <w:rPr>
          <w:rFonts w:asciiTheme="majorHAnsi" w:hAnsiTheme="majorHAnsi" w:cstheme="majorHAnsi"/>
          <w:color w:val="000000"/>
        </w:rPr>
        <w:t xml:space="preserve"> </w:t>
      </w:r>
      <w:r>
        <w:rPr>
          <w:rFonts w:asciiTheme="majorHAnsi" w:hAnsiTheme="majorHAnsi" w:cstheme="majorHAnsi"/>
          <w:color w:val="000000"/>
        </w:rPr>
        <w:t xml:space="preserve">- </w:t>
      </w:r>
      <w:r w:rsidRPr="00371F37">
        <w:rPr>
          <w:rFonts w:asciiTheme="majorHAnsi" w:hAnsiTheme="majorHAnsi" w:cstheme="majorHAnsi"/>
          <w:color w:val="000000"/>
        </w:rPr>
        <w:t>El Salvador</w:t>
      </w:r>
    </w:p>
    <w:p w14:paraId="281B948D" w14:textId="1EEC2BC3"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Instituto </w:t>
      </w:r>
      <w:r>
        <w:rPr>
          <w:rFonts w:asciiTheme="majorHAnsi" w:hAnsiTheme="majorHAnsi" w:cstheme="majorHAnsi"/>
          <w:color w:val="000000"/>
        </w:rPr>
        <w:t>d</w:t>
      </w:r>
      <w:r w:rsidRPr="00371F37">
        <w:rPr>
          <w:rFonts w:asciiTheme="majorHAnsi" w:hAnsiTheme="majorHAnsi" w:cstheme="majorHAnsi"/>
          <w:color w:val="000000"/>
        </w:rPr>
        <w:t xml:space="preserve">e Derechos Humanos </w:t>
      </w:r>
      <w:r>
        <w:rPr>
          <w:rFonts w:asciiTheme="majorHAnsi" w:hAnsiTheme="majorHAnsi" w:cstheme="majorHAnsi"/>
          <w:color w:val="000000"/>
        </w:rPr>
        <w:t>d</w:t>
      </w:r>
      <w:r w:rsidRPr="00371F37">
        <w:rPr>
          <w:rFonts w:asciiTheme="majorHAnsi" w:hAnsiTheme="majorHAnsi" w:cstheme="majorHAnsi"/>
          <w:color w:val="000000"/>
        </w:rPr>
        <w:t xml:space="preserve">e </w:t>
      </w:r>
      <w:r>
        <w:rPr>
          <w:rFonts w:asciiTheme="majorHAnsi" w:hAnsiTheme="majorHAnsi" w:cstheme="majorHAnsi"/>
          <w:color w:val="000000"/>
        </w:rPr>
        <w:t xml:space="preserve">la Universidad Centroamericana </w:t>
      </w:r>
      <w:r>
        <w:rPr>
          <w:rFonts w:asciiTheme="majorHAnsi" w:hAnsiTheme="majorHAnsi" w:cstheme="majorHAnsi"/>
          <w:color w:val="000000"/>
          <w:sz w:val="24"/>
          <w:szCs w:val="24"/>
        </w:rPr>
        <w:t>(</w:t>
      </w:r>
      <w:r w:rsidRPr="00371F37">
        <w:rPr>
          <w:rFonts w:asciiTheme="majorHAnsi" w:hAnsiTheme="majorHAnsi" w:cstheme="majorHAnsi"/>
          <w:color w:val="000000"/>
        </w:rPr>
        <w:t>IDHUCA</w:t>
      </w:r>
      <w:r>
        <w:rPr>
          <w:rFonts w:asciiTheme="majorHAnsi" w:hAnsiTheme="majorHAnsi" w:cstheme="majorHAnsi"/>
          <w:color w:val="000000"/>
        </w:rPr>
        <w:t>)</w:t>
      </w:r>
      <w:r w:rsidRPr="00371F37">
        <w:rPr>
          <w:rFonts w:asciiTheme="majorHAnsi" w:hAnsiTheme="majorHAnsi" w:cstheme="majorHAnsi"/>
          <w:color w:val="000000"/>
        </w:rPr>
        <w:t xml:space="preserve"> </w:t>
      </w:r>
    </w:p>
    <w:p w14:paraId="0D86E8F9" w14:textId="4A74CCDF"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Servicio Social Pasionista </w:t>
      </w:r>
      <w:r>
        <w:rPr>
          <w:rFonts w:asciiTheme="majorHAnsi" w:hAnsiTheme="majorHAnsi" w:cstheme="majorHAnsi"/>
          <w:color w:val="000000"/>
        </w:rPr>
        <w:t>(SSPAS)</w:t>
      </w:r>
    </w:p>
    <w:p w14:paraId="45103619" w14:textId="3F8CF624"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Concertación Monseñor Romero</w:t>
      </w:r>
    </w:p>
    <w:p w14:paraId="078064C0" w14:textId="12469BDD"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Plataforma Global El Salvador </w:t>
      </w:r>
      <w:r>
        <w:rPr>
          <w:rFonts w:asciiTheme="majorHAnsi" w:hAnsiTheme="majorHAnsi" w:cstheme="majorHAnsi"/>
          <w:color w:val="000000"/>
        </w:rPr>
        <w:t>(PGES)</w:t>
      </w:r>
    </w:p>
    <w:p w14:paraId="45BDEF2D" w14:textId="0762A51A" w:rsidR="00466055"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Asociación Organización </w:t>
      </w:r>
      <w:r>
        <w:rPr>
          <w:rFonts w:asciiTheme="majorHAnsi" w:hAnsiTheme="majorHAnsi" w:cstheme="majorHAnsi"/>
          <w:color w:val="000000"/>
        </w:rPr>
        <w:t>d</w:t>
      </w:r>
      <w:r w:rsidRPr="00371F37">
        <w:rPr>
          <w:rFonts w:asciiTheme="majorHAnsi" w:hAnsiTheme="majorHAnsi" w:cstheme="majorHAnsi"/>
          <w:color w:val="000000"/>
        </w:rPr>
        <w:t>e Mujeres Salvadoreñas Por La Paz</w:t>
      </w:r>
      <w:r>
        <w:rPr>
          <w:rFonts w:asciiTheme="majorHAnsi" w:hAnsiTheme="majorHAnsi" w:cstheme="majorHAnsi"/>
          <w:color w:val="000000"/>
        </w:rPr>
        <w:t xml:space="preserve"> (ORMUSA)</w:t>
      </w:r>
    </w:p>
    <w:p w14:paraId="65E1DF97" w14:textId="5DC4E5D9" w:rsidR="00A17E44" w:rsidRPr="00371F37" w:rsidRDefault="00371F37" w:rsidP="00BA012F">
      <w:pPr>
        <w:pStyle w:val="ListParagraph"/>
        <w:numPr>
          <w:ilvl w:val="0"/>
          <w:numId w:val="8"/>
        </w:numPr>
        <w:rPr>
          <w:rFonts w:asciiTheme="majorHAnsi" w:hAnsiTheme="majorHAnsi" w:cstheme="majorHAnsi"/>
          <w:color w:val="000000"/>
        </w:rPr>
      </w:pPr>
      <w:r w:rsidRPr="00371F37">
        <w:rPr>
          <w:rFonts w:asciiTheme="majorHAnsi" w:hAnsiTheme="majorHAnsi" w:cstheme="majorHAnsi"/>
          <w:color w:val="000000"/>
        </w:rPr>
        <w:t xml:space="preserve">Asociación Nuevo Amanecer </w:t>
      </w:r>
      <w:r>
        <w:rPr>
          <w:rFonts w:asciiTheme="majorHAnsi" w:hAnsiTheme="majorHAnsi" w:cstheme="majorHAnsi"/>
          <w:color w:val="000000"/>
        </w:rPr>
        <w:t>d</w:t>
      </w:r>
      <w:r w:rsidRPr="00371F37">
        <w:rPr>
          <w:rFonts w:asciiTheme="majorHAnsi" w:hAnsiTheme="majorHAnsi" w:cstheme="majorHAnsi"/>
          <w:color w:val="000000"/>
        </w:rPr>
        <w:t xml:space="preserve">e El Salvador </w:t>
      </w:r>
      <w:r>
        <w:rPr>
          <w:rFonts w:asciiTheme="majorHAnsi" w:hAnsiTheme="majorHAnsi" w:cstheme="majorHAnsi"/>
          <w:color w:val="000000"/>
        </w:rPr>
        <w:t>(ANADES)</w:t>
      </w:r>
    </w:p>
    <w:p w14:paraId="61CD0390" w14:textId="77777777" w:rsidR="00371F37" w:rsidRDefault="00371F37" w:rsidP="00BA012F">
      <w:pPr>
        <w:rPr>
          <w:rFonts w:asciiTheme="majorHAnsi" w:hAnsiTheme="majorHAnsi" w:cstheme="majorHAnsi"/>
          <w:color w:val="000000"/>
        </w:rPr>
      </w:pPr>
    </w:p>
    <w:p w14:paraId="254B8018" w14:textId="504D55BC" w:rsidR="00A17E44" w:rsidRPr="00371F37" w:rsidRDefault="00A17E44" w:rsidP="00BA012F">
      <w:pPr>
        <w:rPr>
          <w:rFonts w:asciiTheme="majorHAnsi" w:hAnsiTheme="majorHAnsi" w:cstheme="majorHAnsi"/>
          <w:color w:val="000000"/>
        </w:rPr>
      </w:pPr>
      <w:r w:rsidRPr="00371F37">
        <w:rPr>
          <w:rFonts w:asciiTheme="majorHAnsi" w:hAnsiTheme="majorHAnsi" w:cstheme="majorHAnsi"/>
          <w:color w:val="000000"/>
        </w:rPr>
        <w:t>Con el apoyo del Centro para los Derechos Civiles y Políticos</w:t>
      </w:r>
      <w:r w:rsidR="00466055" w:rsidRPr="00371F37">
        <w:rPr>
          <w:rFonts w:asciiTheme="majorHAnsi" w:hAnsiTheme="majorHAnsi" w:cstheme="majorHAnsi"/>
          <w:color w:val="000000"/>
        </w:rPr>
        <w:t xml:space="preserve"> (CCPR</w:t>
      </w:r>
      <w:r w:rsidR="00371F37">
        <w:rPr>
          <w:rFonts w:asciiTheme="majorHAnsi" w:hAnsiTheme="majorHAnsi" w:cstheme="majorHAnsi"/>
          <w:color w:val="000000"/>
        </w:rPr>
        <w:t>-Centre)</w:t>
      </w:r>
    </w:p>
    <w:p w14:paraId="0F60DE19" w14:textId="70F08AD7" w:rsidR="00A17E44" w:rsidRPr="00407C66" w:rsidRDefault="00371F37" w:rsidP="00BA012F">
      <w:pPr>
        <w:rPr>
          <w:rFonts w:asciiTheme="majorHAnsi" w:hAnsiTheme="majorHAnsi" w:cstheme="majorHAnsi"/>
          <w:b/>
          <w:bCs/>
          <w:color w:val="000000"/>
          <w:sz w:val="20"/>
          <w:szCs w:val="20"/>
          <w:u w:val="single"/>
        </w:rPr>
      </w:pPr>
      <w:r>
        <w:rPr>
          <w:rFonts w:asciiTheme="majorHAnsi" w:hAnsiTheme="majorHAnsi" w:cstheme="majorHAnsi"/>
          <w:b/>
          <w:bCs/>
          <w:color w:val="000000"/>
          <w:sz w:val="20"/>
          <w:szCs w:val="20"/>
          <w:u w:val="single"/>
        </w:rPr>
        <w:br w:type="page"/>
      </w:r>
    </w:p>
    <w:p w14:paraId="72DE795F" w14:textId="5B80D13C" w:rsidR="00371F37" w:rsidRPr="00371F37" w:rsidRDefault="00A17E44" w:rsidP="00371F37">
      <w:pPr>
        <w:pStyle w:val="ListParagraph"/>
        <w:numPr>
          <w:ilvl w:val="0"/>
          <w:numId w:val="6"/>
        </w:numPr>
        <w:rPr>
          <w:rFonts w:asciiTheme="majorHAnsi" w:hAnsiTheme="majorHAnsi" w:cstheme="majorHAnsi"/>
          <w:b/>
          <w:bCs/>
          <w:color w:val="000000"/>
          <w:sz w:val="24"/>
          <w:szCs w:val="24"/>
          <w:u w:val="single"/>
        </w:rPr>
      </w:pPr>
      <w:r w:rsidRPr="00371F37">
        <w:rPr>
          <w:rFonts w:asciiTheme="majorHAnsi" w:hAnsiTheme="majorHAnsi" w:cstheme="majorHAnsi"/>
          <w:b/>
          <w:bCs/>
          <w:color w:val="000000"/>
          <w:sz w:val="24"/>
          <w:szCs w:val="24"/>
          <w:u w:val="single"/>
        </w:rPr>
        <w:lastRenderedPageBreak/>
        <w:t>RESUMEN EJECT</w:t>
      </w:r>
      <w:r w:rsidR="00A30514" w:rsidRPr="00371F37">
        <w:rPr>
          <w:rFonts w:asciiTheme="majorHAnsi" w:hAnsiTheme="majorHAnsi" w:cstheme="majorHAnsi"/>
          <w:b/>
          <w:bCs/>
          <w:color w:val="000000"/>
          <w:sz w:val="24"/>
          <w:szCs w:val="24"/>
          <w:u w:val="single"/>
        </w:rPr>
        <w:t>IVO</w:t>
      </w:r>
    </w:p>
    <w:tbl>
      <w:tblPr>
        <w:tblStyle w:val="TableGrid"/>
        <w:tblpPr w:leftFromText="141" w:rightFromText="141" w:horzAnchor="page" w:tblpX="1148" w:tblpY="555"/>
        <w:tblW w:w="14454" w:type="dxa"/>
        <w:tblLook w:val="04A0" w:firstRow="1" w:lastRow="0" w:firstColumn="1" w:lastColumn="0" w:noHBand="0" w:noVBand="1"/>
      </w:tblPr>
      <w:tblGrid>
        <w:gridCol w:w="8370"/>
        <w:gridCol w:w="6084"/>
      </w:tblGrid>
      <w:tr w:rsidR="00A17E44" w:rsidRPr="00407C66" w14:paraId="025267CE" w14:textId="77777777" w:rsidTr="00257779">
        <w:trPr>
          <w:trHeight w:val="254"/>
        </w:trPr>
        <w:tc>
          <w:tcPr>
            <w:tcW w:w="8370" w:type="dxa"/>
            <w:shd w:val="pct30" w:color="auto" w:fill="auto"/>
          </w:tcPr>
          <w:p w14:paraId="6619C690" w14:textId="77777777" w:rsidR="00A17E44" w:rsidRPr="00407C66" w:rsidRDefault="00A17E44" w:rsidP="00BA012F">
            <w:pPr>
              <w:jc w:val="center"/>
              <w:rPr>
                <w:rFonts w:asciiTheme="majorHAnsi" w:eastAsia="Times New Roman" w:hAnsiTheme="majorHAnsi" w:cstheme="majorHAnsi"/>
                <w:b/>
                <w:sz w:val="20"/>
                <w:szCs w:val="20"/>
                <w:lang w:eastAsia="en-GB"/>
              </w:rPr>
            </w:pPr>
            <w:r w:rsidRPr="00407C66">
              <w:rPr>
                <w:rFonts w:asciiTheme="majorHAnsi" w:eastAsia="Times New Roman" w:hAnsiTheme="majorHAnsi" w:cstheme="majorHAnsi"/>
                <w:b/>
                <w:sz w:val="20"/>
                <w:szCs w:val="20"/>
                <w:lang w:eastAsia="en-GB"/>
              </w:rPr>
              <w:t>Recomendaciones del Comité</w:t>
            </w:r>
          </w:p>
        </w:tc>
        <w:tc>
          <w:tcPr>
            <w:tcW w:w="6084" w:type="dxa"/>
            <w:shd w:val="pct30" w:color="auto" w:fill="auto"/>
          </w:tcPr>
          <w:p w14:paraId="05E376D4" w14:textId="425B224F" w:rsidR="00A17E44" w:rsidRPr="00407C66" w:rsidRDefault="00A17E44" w:rsidP="00BA012F">
            <w:pPr>
              <w:tabs>
                <w:tab w:val="left" w:pos="9781"/>
              </w:tabs>
              <w:suppressAutoHyphens/>
              <w:ind w:right="-52"/>
              <w:jc w:val="center"/>
              <w:rPr>
                <w:rFonts w:asciiTheme="majorHAnsi" w:eastAsia="SimSun" w:hAnsiTheme="majorHAnsi" w:cstheme="majorHAnsi"/>
                <w:b/>
                <w:sz w:val="20"/>
                <w:szCs w:val="20"/>
                <w:lang w:eastAsia="zh-CN"/>
              </w:rPr>
            </w:pPr>
            <w:r w:rsidRPr="00407C66">
              <w:rPr>
                <w:rFonts w:asciiTheme="majorHAnsi" w:eastAsia="SimSun" w:hAnsiTheme="majorHAnsi" w:cstheme="majorHAnsi"/>
                <w:b/>
                <w:sz w:val="20"/>
                <w:szCs w:val="20"/>
                <w:lang w:eastAsia="zh-CN"/>
              </w:rPr>
              <w:t>Medidas tomadas por el Estado para implementar las recomendaciones</w:t>
            </w:r>
          </w:p>
        </w:tc>
      </w:tr>
      <w:tr w:rsidR="00A17E44" w:rsidRPr="00407C66" w14:paraId="60DEE7C9" w14:textId="77777777" w:rsidTr="00257779">
        <w:tc>
          <w:tcPr>
            <w:tcW w:w="14454" w:type="dxa"/>
            <w:gridSpan w:val="2"/>
            <w:shd w:val="pct15" w:color="auto" w:fill="auto"/>
          </w:tcPr>
          <w:p w14:paraId="557411E2" w14:textId="77777777" w:rsidR="00A17E44" w:rsidRPr="00407C66" w:rsidRDefault="00A17E44" w:rsidP="00BA012F">
            <w:pPr>
              <w:jc w:val="center"/>
              <w:rPr>
                <w:rFonts w:asciiTheme="majorHAnsi" w:eastAsia="SimSun" w:hAnsiTheme="majorHAnsi" w:cstheme="majorHAnsi"/>
                <w:b/>
                <w:sz w:val="20"/>
                <w:szCs w:val="20"/>
                <w:lang w:eastAsia="zh-CN"/>
              </w:rPr>
            </w:pPr>
            <w:r w:rsidRPr="00407C66">
              <w:rPr>
                <w:rFonts w:asciiTheme="majorHAnsi" w:eastAsia="SimSun" w:hAnsiTheme="majorHAnsi" w:cstheme="majorHAnsi"/>
                <w:b/>
                <w:sz w:val="20"/>
                <w:szCs w:val="20"/>
                <w:lang w:eastAsia="zh-CN"/>
              </w:rPr>
              <w:t>Párrafo 18: graves violaciones de derechos humanos durante el conflicto armado</w:t>
            </w:r>
          </w:p>
        </w:tc>
      </w:tr>
      <w:tr w:rsidR="00A17E44" w:rsidRPr="00407C66" w14:paraId="0EEA267A" w14:textId="77777777" w:rsidTr="00257779">
        <w:tc>
          <w:tcPr>
            <w:tcW w:w="8370" w:type="dxa"/>
          </w:tcPr>
          <w:p w14:paraId="626EFE4E" w14:textId="77777777" w:rsidR="00A17E44" w:rsidRPr="00407C66" w:rsidRDefault="00A17E44" w:rsidP="00BA012F">
            <w:pPr>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t>a) Asegurar que la unidad especial disponga de los recursos humanos, financieros y técnicos necesarios para llevar a cabo las investigaciones de las graves violaciones de derechos humanos que ocurrieron durante el conflicto armado y garantizar el acceso a toda la información relacionada con estas violaciones, incluidos los archivos históricos de las Fuerzas Armadas;</w:t>
            </w:r>
          </w:p>
        </w:tc>
        <w:tc>
          <w:tcPr>
            <w:tcW w:w="6084" w:type="dxa"/>
          </w:tcPr>
          <w:p w14:paraId="595AE403" w14:textId="43FFF347" w:rsidR="00A17E44" w:rsidRPr="007B7375" w:rsidRDefault="00A17E44" w:rsidP="00BA012F">
            <w:pPr>
              <w:jc w:val="both"/>
              <w:rPr>
                <w:rFonts w:asciiTheme="majorHAnsi" w:eastAsia="Times New Roman" w:hAnsiTheme="majorHAnsi" w:cstheme="majorHAnsi"/>
                <w:sz w:val="20"/>
                <w:szCs w:val="20"/>
                <w:lang w:eastAsia="en-GB"/>
              </w:rPr>
            </w:pPr>
            <w:r w:rsidRPr="00407C66">
              <w:rPr>
                <w:rFonts w:asciiTheme="majorHAnsi" w:eastAsia="Times New Roman" w:hAnsiTheme="majorHAnsi" w:cstheme="majorHAnsi"/>
                <w:sz w:val="20"/>
                <w:szCs w:val="20"/>
                <w:lang w:eastAsia="en-GB"/>
              </w:rPr>
              <w:t>E</w:t>
            </w:r>
            <w:r w:rsidRPr="00407C66">
              <w:rPr>
                <w:rFonts w:asciiTheme="majorHAnsi" w:eastAsia="Times New Roman" w:hAnsiTheme="majorHAnsi" w:cstheme="majorHAnsi"/>
                <w:sz w:val="20"/>
                <w:szCs w:val="20"/>
                <w:lang w:val="es-SV" w:eastAsia="en-GB"/>
              </w:rPr>
              <w:t xml:space="preserve">l Estado no ha </w:t>
            </w:r>
            <w:r w:rsidR="00A20DE9">
              <w:rPr>
                <w:rFonts w:asciiTheme="majorHAnsi" w:eastAsia="Times New Roman" w:hAnsiTheme="majorHAnsi" w:cstheme="majorHAnsi"/>
                <w:sz w:val="20"/>
                <w:szCs w:val="20"/>
                <w:lang w:val="es-SV" w:eastAsia="en-GB"/>
              </w:rPr>
              <w:t>tomado medidas para cumplir con</w:t>
            </w:r>
            <w:r w:rsidR="00A20DE9" w:rsidRPr="00407C66">
              <w:rPr>
                <w:rFonts w:asciiTheme="majorHAnsi" w:eastAsia="Times New Roman" w:hAnsiTheme="majorHAnsi" w:cstheme="majorHAnsi"/>
                <w:sz w:val="20"/>
                <w:szCs w:val="20"/>
                <w:lang w:val="es-SV" w:eastAsia="en-GB"/>
              </w:rPr>
              <w:t xml:space="preserve"> </w:t>
            </w:r>
            <w:r w:rsidRPr="00407C66">
              <w:rPr>
                <w:rFonts w:asciiTheme="majorHAnsi" w:eastAsia="Times New Roman" w:hAnsiTheme="majorHAnsi" w:cstheme="majorHAnsi"/>
                <w:sz w:val="20"/>
                <w:szCs w:val="20"/>
                <w:lang w:val="es-SV" w:eastAsia="en-GB"/>
              </w:rPr>
              <w:t>la recomendación</w:t>
            </w:r>
            <w:r w:rsidR="00A20DE9">
              <w:rPr>
                <w:rFonts w:asciiTheme="majorHAnsi" w:eastAsia="Times New Roman" w:hAnsiTheme="majorHAnsi" w:cstheme="majorHAnsi"/>
                <w:sz w:val="20"/>
                <w:szCs w:val="20"/>
                <w:lang w:val="es-SV" w:eastAsia="en-GB"/>
              </w:rPr>
              <w:t>. N</w:t>
            </w:r>
            <w:r w:rsidRPr="00407C66">
              <w:rPr>
                <w:rFonts w:asciiTheme="majorHAnsi" w:eastAsia="Times New Roman" w:hAnsiTheme="majorHAnsi" w:cstheme="majorHAnsi"/>
                <w:sz w:val="20"/>
                <w:szCs w:val="20"/>
                <w:lang w:val="es-SV" w:eastAsia="en-GB"/>
              </w:rPr>
              <w:t>o</w:t>
            </w:r>
            <w:r w:rsidR="00A20DE9">
              <w:rPr>
                <w:rFonts w:asciiTheme="majorHAnsi" w:eastAsia="Times New Roman" w:hAnsiTheme="majorHAnsi" w:cstheme="majorHAnsi"/>
                <w:sz w:val="20"/>
                <w:szCs w:val="20"/>
                <w:lang w:val="es-SV" w:eastAsia="en-GB"/>
              </w:rPr>
              <w:t xml:space="preserve"> se han</w:t>
            </w:r>
            <w:r w:rsidRPr="00407C66">
              <w:rPr>
                <w:rFonts w:asciiTheme="majorHAnsi" w:eastAsia="Times New Roman" w:hAnsiTheme="majorHAnsi" w:cstheme="majorHAnsi"/>
                <w:sz w:val="20"/>
                <w:szCs w:val="20"/>
                <w:lang w:val="es-SV" w:eastAsia="en-GB"/>
              </w:rPr>
              <w:t xml:space="preserve"> asegura</w:t>
            </w:r>
            <w:r w:rsidR="00A20DE9">
              <w:rPr>
                <w:rFonts w:asciiTheme="majorHAnsi" w:eastAsia="Times New Roman" w:hAnsiTheme="majorHAnsi" w:cstheme="majorHAnsi"/>
                <w:sz w:val="20"/>
                <w:szCs w:val="20"/>
                <w:lang w:val="es-SV" w:eastAsia="en-GB"/>
              </w:rPr>
              <w:t>do</w:t>
            </w:r>
            <w:r w:rsidRPr="00407C66">
              <w:rPr>
                <w:rFonts w:asciiTheme="majorHAnsi" w:eastAsia="Times New Roman" w:hAnsiTheme="majorHAnsi" w:cstheme="majorHAnsi"/>
                <w:sz w:val="20"/>
                <w:szCs w:val="20"/>
                <w:lang w:val="es-SV" w:eastAsia="en-GB"/>
              </w:rPr>
              <w:t xml:space="preserve"> los recursos humanos, financieros o técnicos de las unidades especializadas para la investigación de graves violaciones a derechos humanos durante el conflicto </w:t>
            </w:r>
            <w:r w:rsidR="007B7375" w:rsidRPr="00407C66">
              <w:rPr>
                <w:rFonts w:asciiTheme="majorHAnsi" w:eastAsia="Times New Roman" w:hAnsiTheme="majorHAnsi" w:cstheme="majorHAnsi"/>
                <w:sz w:val="20"/>
                <w:szCs w:val="20"/>
                <w:lang w:val="es-SV" w:eastAsia="en-GB"/>
              </w:rPr>
              <w:t>armado,</w:t>
            </w:r>
            <w:r w:rsidRPr="00407C66">
              <w:rPr>
                <w:rFonts w:asciiTheme="majorHAnsi" w:eastAsia="Times New Roman" w:hAnsiTheme="majorHAnsi" w:cstheme="majorHAnsi"/>
                <w:sz w:val="20"/>
                <w:szCs w:val="20"/>
                <w:lang w:eastAsia="en-GB"/>
              </w:rPr>
              <w:t xml:space="preserve"> </w:t>
            </w:r>
            <w:r w:rsidR="00A20DE9">
              <w:rPr>
                <w:rFonts w:asciiTheme="majorHAnsi" w:eastAsia="Times New Roman" w:hAnsiTheme="majorHAnsi" w:cstheme="majorHAnsi"/>
                <w:sz w:val="20"/>
                <w:szCs w:val="20"/>
                <w:lang w:eastAsia="en-GB"/>
              </w:rPr>
              <w:t>y no se les ha dado</w:t>
            </w:r>
            <w:r w:rsidR="001E7D5A">
              <w:rPr>
                <w:rFonts w:asciiTheme="majorHAnsi" w:eastAsia="Times New Roman" w:hAnsiTheme="majorHAnsi" w:cstheme="majorHAnsi"/>
                <w:sz w:val="20"/>
                <w:szCs w:val="20"/>
                <w:lang w:eastAsia="en-GB"/>
              </w:rPr>
              <w:t xml:space="preserve"> el</w:t>
            </w:r>
            <w:r w:rsidRPr="00407C66">
              <w:rPr>
                <w:rFonts w:asciiTheme="majorHAnsi" w:eastAsia="Times New Roman" w:hAnsiTheme="majorHAnsi" w:cstheme="majorHAnsi"/>
                <w:sz w:val="20"/>
                <w:szCs w:val="20"/>
                <w:lang w:eastAsia="en-GB"/>
              </w:rPr>
              <w:t xml:space="preserve"> sustento jurídico necesario para garantizar su existencia futura. </w:t>
            </w:r>
            <w:r w:rsidR="0044156F" w:rsidRPr="00407C66">
              <w:rPr>
                <w:rFonts w:asciiTheme="majorHAnsi" w:eastAsia="Arial" w:hAnsiTheme="majorHAnsi" w:cstheme="majorHAnsi"/>
                <w:color w:val="101010"/>
                <w:sz w:val="20"/>
                <w:szCs w:val="20"/>
              </w:rPr>
              <w:t xml:space="preserve"> </w:t>
            </w:r>
            <w:r w:rsidR="0044156F">
              <w:rPr>
                <w:rFonts w:asciiTheme="majorHAnsi" w:eastAsia="Arial" w:hAnsiTheme="majorHAnsi" w:cstheme="majorHAnsi"/>
                <w:color w:val="101010"/>
                <w:sz w:val="20"/>
                <w:szCs w:val="20"/>
              </w:rPr>
              <w:t xml:space="preserve">Tampoco </w:t>
            </w:r>
            <w:r w:rsidR="0044156F" w:rsidRPr="00407C66">
              <w:rPr>
                <w:rFonts w:asciiTheme="majorHAnsi" w:eastAsia="Arial" w:hAnsiTheme="majorHAnsi" w:cstheme="majorHAnsi"/>
                <w:color w:val="101010"/>
                <w:sz w:val="20"/>
                <w:szCs w:val="20"/>
              </w:rPr>
              <w:t xml:space="preserve">se </w:t>
            </w:r>
            <w:r w:rsidR="001E7D5A">
              <w:rPr>
                <w:rFonts w:asciiTheme="majorHAnsi" w:eastAsia="Arial" w:hAnsiTheme="majorHAnsi" w:cstheme="majorHAnsi"/>
                <w:color w:val="101010"/>
                <w:sz w:val="20"/>
                <w:szCs w:val="20"/>
              </w:rPr>
              <w:t>ha adoptado</w:t>
            </w:r>
            <w:r w:rsidR="0044156F" w:rsidRPr="00407C66">
              <w:rPr>
                <w:rFonts w:asciiTheme="majorHAnsi" w:eastAsia="Arial" w:hAnsiTheme="majorHAnsi" w:cstheme="majorHAnsi"/>
                <w:color w:val="101010"/>
                <w:sz w:val="20"/>
                <w:szCs w:val="20"/>
              </w:rPr>
              <w:t xml:space="preserve"> legislación que regule el acceso a los archivos militares y de los cuerpos de seguridad que operaron durante la guerra</w:t>
            </w:r>
            <w:r w:rsidR="0044156F">
              <w:rPr>
                <w:rFonts w:asciiTheme="majorHAnsi" w:eastAsia="Arial" w:hAnsiTheme="majorHAnsi" w:cstheme="majorHAnsi"/>
                <w:color w:val="101010"/>
                <w:sz w:val="20"/>
                <w:szCs w:val="20"/>
              </w:rPr>
              <w:t>.</w:t>
            </w:r>
            <w:r w:rsidR="001E7D5A">
              <w:rPr>
                <w:rFonts w:asciiTheme="majorHAnsi" w:eastAsia="Arial" w:hAnsiTheme="majorHAnsi" w:cstheme="majorHAnsi"/>
                <w:color w:val="101010"/>
                <w:sz w:val="20"/>
                <w:szCs w:val="20"/>
              </w:rPr>
              <w:t xml:space="preserve"> </w:t>
            </w:r>
            <w:r w:rsidR="001E7D5A" w:rsidRPr="00407C66">
              <w:rPr>
                <w:rFonts w:asciiTheme="majorHAnsi" w:eastAsia="Arial" w:hAnsiTheme="majorHAnsi" w:cstheme="majorHAnsi"/>
                <w:color w:val="101010"/>
                <w:sz w:val="20"/>
                <w:szCs w:val="20"/>
              </w:rPr>
              <w:t xml:space="preserve"> </w:t>
            </w:r>
            <w:r w:rsidR="001E7D5A">
              <w:rPr>
                <w:rFonts w:asciiTheme="majorHAnsi" w:eastAsia="Arial" w:hAnsiTheme="majorHAnsi" w:cstheme="majorHAnsi"/>
                <w:color w:val="101010"/>
                <w:sz w:val="20"/>
                <w:szCs w:val="20"/>
              </w:rPr>
              <w:t>En la práctica el Estado obstruye el</w:t>
            </w:r>
            <w:r w:rsidR="001E7D5A" w:rsidRPr="00407C66">
              <w:rPr>
                <w:rFonts w:asciiTheme="majorHAnsi" w:eastAsia="Arial" w:hAnsiTheme="majorHAnsi" w:cstheme="majorHAnsi"/>
                <w:color w:val="101010"/>
                <w:sz w:val="20"/>
                <w:szCs w:val="20"/>
              </w:rPr>
              <w:t xml:space="preserve"> acceso a información de archivos militares en casos del conflicto armado</w:t>
            </w:r>
            <w:r w:rsidR="001E7D5A">
              <w:rPr>
                <w:rFonts w:asciiTheme="majorHAnsi" w:eastAsia="Arial" w:hAnsiTheme="majorHAnsi" w:cstheme="majorHAnsi"/>
                <w:color w:val="101010"/>
                <w:sz w:val="20"/>
                <w:szCs w:val="20"/>
              </w:rPr>
              <w:t>.</w:t>
            </w:r>
          </w:p>
        </w:tc>
      </w:tr>
      <w:tr w:rsidR="00A17E44" w:rsidRPr="00407C66" w14:paraId="4AB2FF41" w14:textId="77777777" w:rsidTr="00257779">
        <w:tc>
          <w:tcPr>
            <w:tcW w:w="8370" w:type="dxa"/>
          </w:tcPr>
          <w:p w14:paraId="47D2D290" w14:textId="77777777" w:rsidR="00A17E44" w:rsidRPr="00407C66" w:rsidRDefault="00A17E44" w:rsidP="00BA012F">
            <w:pPr>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t>b) Garantizar la total protección, seguridad personal e independencia del Fiscal General y su oficina, incluyendo la total implementación de las medidas cautelares concedidas por la Comisión Interamericana de Derechos Humanos, y tomar las medidas necesarias para prevenir actos de intimidación contra funcionarios públicos y miembros de la sociedad civil que están investigando estos casos;</w:t>
            </w:r>
          </w:p>
        </w:tc>
        <w:tc>
          <w:tcPr>
            <w:tcW w:w="6084" w:type="dxa"/>
          </w:tcPr>
          <w:p w14:paraId="7DE4B9A6" w14:textId="5F906226" w:rsidR="00A17E44" w:rsidRPr="00407C66" w:rsidRDefault="00A17E44" w:rsidP="00BA012F">
            <w:pPr>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t xml:space="preserve">El Estado ha </w:t>
            </w:r>
            <w:r w:rsidR="001E7D5A">
              <w:rPr>
                <w:rFonts w:asciiTheme="majorHAnsi" w:eastAsia="SimSun" w:hAnsiTheme="majorHAnsi" w:cstheme="majorHAnsi"/>
                <w:bCs/>
                <w:sz w:val="20"/>
                <w:szCs w:val="20"/>
                <w:lang w:eastAsia="zh-CN"/>
              </w:rPr>
              <w:t>tomado medidas contrarias a</w:t>
            </w:r>
            <w:r w:rsidRPr="00407C66">
              <w:rPr>
                <w:rFonts w:asciiTheme="majorHAnsi" w:eastAsia="SimSun" w:hAnsiTheme="majorHAnsi" w:cstheme="majorHAnsi"/>
                <w:bCs/>
                <w:sz w:val="20"/>
                <w:szCs w:val="20"/>
                <w:lang w:eastAsia="zh-CN"/>
              </w:rPr>
              <w:t xml:space="preserve"> la recomendación</w:t>
            </w:r>
            <w:r w:rsidR="001E7D5A">
              <w:rPr>
                <w:rFonts w:asciiTheme="majorHAnsi" w:eastAsia="SimSun" w:hAnsiTheme="majorHAnsi" w:cstheme="majorHAnsi"/>
                <w:bCs/>
                <w:sz w:val="20"/>
                <w:szCs w:val="20"/>
                <w:lang w:eastAsia="zh-CN"/>
              </w:rPr>
              <w:t>.</w:t>
            </w:r>
            <w:r w:rsidRPr="00407C66">
              <w:rPr>
                <w:rFonts w:asciiTheme="majorHAnsi" w:eastAsia="SimSun" w:hAnsiTheme="majorHAnsi" w:cstheme="majorHAnsi"/>
                <w:bCs/>
                <w:sz w:val="20"/>
                <w:szCs w:val="20"/>
                <w:lang w:eastAsia="zh-CN"/>
              </w:rPr>
              <w:t xml:space="preserve"> </w:t>
            </w:r>
            <w:r w:rsidR="001E7D5A">
              <w:rPr>
                <w:rFonts w:asciiTheme="majorHAnsi" w:eastAsia="SimSun" w:hAnsiTheme="majorHAnsi" w:cstheme="majorHAnsi"/>
                <w:bCs/>
                <w:sz w:val="20"/>
                <w:szCs w:val="20"/>
                <w:lang w:eastAsia="zh-CN"/>
              </w:rPr>
              <w:t xml:space="preserve">El 1° de mayo de 2021 el Estado destituyó </w:t>
            </w:r>
            <w:r w:rsidRPr="00407C66">
              <w:rPr>
                <w:rFonts w:asciiTheme="majorHAnsi" w:eastAsia="SimSun" w:hAnsiTheme="majorHAnsi" w:cstheme="majorHAnsi"/>
                <w:bCs/>
                <w:sz w:val="20"/>
                <w:szCs w:val="20"/>
                <w:lang w:eastAsia="zh-CN"/>
              </w:rPr>
              <w:t xml:space="preserve">de forma ilegal y sin el debido proceso al </w:t>
            </w:r>
            <w:proofErr w:type="gramStart"/>
            <w:r w:rsidRPr="00407C66">
              <w:rPr>
                <w:rFonts w:asciiTheme="majorHAnsi" w:eastAsia="SimSun" w:hAnsiTheme="majorHAnsi" w:cstheme="majorHAnsi"/>
                <w:bCs/>
                <w:sz w:val="20"/>
                <w:szCs w:val="20"/>
                <w:lang w:eastAsia="zh-CN"/>
              </w:rPr>
              <w:t>Fiscal General</w:t>
            </w:r>
            <w:proofErr w:type="gramEnd"/>
            <w:r w:rsidRPr="00407C66">
              <w:rPr>
                <w:rFonts w:asciiTheme="majorHAnsi" w:eastAsia="SimSun" w:hAnsiTheme="majorHAnsi" w:cstheme="majorHAnsi"/>
                <w:bCs/>
                <w:sz w:val="20"/>
                <w:szCs w:val="20"/>
                <w:lang w:eastAsia="zh-CN"/>
              </w:rPr>
              <w:t xml:space="preserve"> de la República y a los magistrados de la </w:t>
            </w:r>
            <w:r w:rsidR="001E7D5A">
              <w:rPr>
                <w:rFonts w:asciiTheme="majorHAnsi" w:eastAsia="SimSun" w:hAnsiTheme="majorHAnsi" w:cstheme="majorHAnsi"/>
                <w:bCs/>
                <w:sz w:val="20"/>
                <w:szCs w:val="20"/>
                <w:lang w:eastAsia="zh-CN"/>
              </w:rPr>
              <w:t>S</w:t>
            </w:r>
            <w:r w:rsidRPr="00407C66">
              <w:rPr>
                <w:rFonts w:asciiTheme="majorHAnsi" w:eastAsia="SimSun" w:hAnsiTheme="majorHAnsi" w:cstheme="majorHAnsi"/>
                <w:bCs/>
                <w:sz w:val="20"/>
                <w:szCs w:val="20"/>
                <w:lang w:eastAsia="zh-CN"/>
              </w:rPr>
              <w:t>ala de lo Constitucional de la Corte Suprema de Justicia</w:t>
            </w:r>
            <w:r w:rsidR="001E7D5A">
              <w:rPr>
                <w:rFonts w:asciiTheme="majorHAnsi" w:eastAsia="SimSun" w:hAnsiTheme="majorHAnsi" w:cstheme="majorHAnsi"/>
                <w:bCs/>
                <w:sz w:val="20"/>
                <w:szCs w:val="20"/>
                <w:lang w:eastAsia="zh-CN"/>
              </w:rPr>
              <w:t xml:space="preserve">. </w:t>
            </w:r>
            <w:r w:rsidR="00FC66C6">
              <w:rPr>
                <w:rFonts w:asciiTheme="majorHAnsi" w:eastAsia="SimSun" w:hAnsiTheme="majorHAnsi" w:cstheme="majorHAnsi"/>
                <w:bCs/>
                <w:sz w:val="20"/>
                <w:szCs w:val="20"/>
                <w:lang w:eastAsia="zh-CN"/>
              </w:rPr>
              <w:t>Además, en agosto 2021 el</w:t>
            </w:r>
            <w:r w:rsidR="001E7D5A">
              <w:rPr>
                <w:rFonts w:asciiTheme="majorHAnsi" w:eastAsia="SimSun" w:hAnsiTheme="majorHAnsi" w:cstheme="majorHAnsi"/>
                <w:bCs/>
                <w:sz w:val="20"/>
                <w:szCs w:val="20"/>
                <w:lang w:eastAsia="zh-CN"/>
              </w:rPr>
              <w:t xml:space="preserve"> Estado</w:t>
            </w:r>
            <w:r w:rsidRPr="00407C66">
              <w:rPr>
                <w:rFonts w:asciiTheme="majorHAnsi" w:eastAsia="SimSun" w:hAnsiTheme="majorHAnsi" w:cstheme="majorHAnsi"/>
                <w:bCs/>
                <w:sz w:val="20"/>
                <w:szCs w:val="20"/>
                <w:lang w:eastAsia="zh-CN"/>
              </w:rPr>
              <w:t xml:space="preserve"> </w:t>
            </w:r>
            <w:r w:rsidR="001E7D5A">
              <w:rPr>
                <w:rFonts w:asciiTheme="majorHAnsi" w:eastAsia="SimSun" w:hAnsiTheme="majorHAnsi" w:cstheme="majorHAnsi"/>
                <w:bCs/>
                <w:sz w:val="20"/>
                <w:szCs w:val="20"/>
                <w:lang w:eastAsia="zh-CN"/>
              </w:rPr>
              <w:t xml:space="preserve">aprobó </w:t>
            </w:r>
            <w:r w:rsidRPr="00407C66">
              <w:rPr>
                <w:rFonts w:asciiTheme="majorHAnsi" w:eastAsia="SimSun" w:hAnsiTheme="majorHAnsi" w:cstheme="majorHAnsi"/>
                <w:bCs/>
                <w:sz w:val="20"/>
                <w:szCs w:val="20"/>
                <w:lang w:eastAsia="zh-CN"/>
              </w:rPr>
              <w:t xml:space="preserve">reformas en la Ley de la Carrera Judicial y en la Ley Orgánica de la </w:t>
            </w:r>
            <w:proofErr w:type="gramStart"/>
            <w:r w:rsidRPr="00407C66">
              <w:rPr>
                <w:rFonts w:asciiTheme="majorHAnsi" w:eastAsia="SimSun" w:hAnsiTheme="majorHAnsi" w:cstheme="majorHAnsi"/>
                <w:bCs/>
                <w:sz w:val="20"/>
                <w:szCs w:val="20"/>
                <w:lang w:eastAsia="zh-CN"/>
              </w:rPr>
              <w:t>F</w:t>
            </w:r>
            <w:r w:rsidR="00FC66C6">
              <w:rPr>
                <w:rFonts w:asciiTheme="majorHAnsi" w:eastAsia="SimSun" w:hAnsiTheme="majorHAnsi" w:cstheme="majorHAnsi"/>
                <w:bCs/>
                <w:sz w:val="20"/>
                <w:szCs w:val="20"/>
                <w:lang w:eastAsia="zh-CN"/>
              </w:rPr>
              <w:t xml:space="preserve">iscalía </w:t>
            </w:r>
            <w:r w:rsidRPr="00407C66">
              <w:rPr>
                <w:rFonts w:asciiTheme="majorHAnsi" w:eastAsia="SimSun" w:hAnsiTheme="majorHAnsi" w:cstheme="majorHAnsi"/>
                <w:bCs/>
                <w:sz w:val="20"/>
                <w:szCs w:val="20"/>
                <w:lang w:eastAsia="zh-CN"/>
              </w:rPr>
              <w:t>G</w:t>
            </w:r>
            <w:r w:rsidR="00FC66C6">
              <w:rPr>
                <w:rFonts w:asciiTheme="majorHAnsi" w:eastAsia="SimSun" w:hAnsiTheme="majorHAnsi" w:cstheme="majorHAnsi"/>
                <w:bCs/>
                <w:sz w:val="20"/>
                <w:szCs w:val="20"/>
                <w:lang w:eastAsia="zh-CN"/>
              </w:rPr>
              <w:t>eneral</w:t>
            </w:r>
            <w:proofErr w:type="gramEnd"/>
            <w:r w:rsidR="00FC66C6">
              <w:rPr>
                <w:rFonts w:asciiTheme="majorHAnsi" w:eastAsia="SimSun" w:hAnsiTheme="majorHAnsi" w:cstheme="majorHAnsi"/>
                <w:bCs/>
                <w:sz w:val="20"/>
                <w:szCs w:val="20"/>
                <w:lang w:eastAsia="zh-CN"/>
              </w:rPr>
              <w:t xml:space="preserve"> de la </w:t>
            </w:r>
            <w:r w:rsidRPr="00407C66">
              <w:rPr>
                <w:rFonts w:asciiTheme="majorHAnsi" w:eastAsia="SimSun" w:hAnsiTheme="majorHAnsi" w:cstheme="majorHAnsi"/>
                <w:bCs/>
                <w:sz w:val="20"/>
                <w:szCs w:val="20"/>
                <w:lang w:eastAsia="zh-CN"/>
              </w:rPr>
              <w:t>R</w:t>
            </w:r>
            <w:r w:rsidR="00FC66C6">
              <w:rPr>
                <w:rFonts w:asciiTheme="majorHAnsi" w:eastAsia="SimSun" w:hAnsiTheme="majorHAnsi" w:cstheme="majorHAnsi"/>
                <w:bCs/>
                <w:sz w:val="20"/>
                <w:szCs w:val="20"/>
                <w:lang w:eastAsia="zh-CN"/>
              </w:rPr>
              <w:t>epública</w:t>
            </w:r>
            <w:r w:rsidRPr="00407C66">
              <w:rPr>
                <w:rFonts w:asciiTheme="majorHAnsi" w:eastAsia="SimSun" w:hAnsiTheme="majorHAnsi" w:cstheme="majorHAnsi"/>
                <w:bCs/>
                <w:sz w:val="20"/>
                <w:szCs w:val="20"/>
                <w:lang w:eastAsia="zh-CN"/>
              </w:rPr>
              <w:t xml:space="preserve"> para remover a jueces, incluidos jueces de casos de violaciones a derechos humanos durante el conflicto armado. </w:t>
            </w:r>
          </w:p>
        </w:tc>
      </w:tr>
      <w:tr w:rsidR="00A17E44" w:rsidRPr="00407C66" w14:paraId="0FA3FEB4" w14:textId="77777777" w:rsidTr="00257779">
        <w:tc>
          <w:tcPr>
            <w:tcW w:w="8370" w:type="dxa"/>
          </w:tcPr>
          <w:p w14:paraId="4FF73475" w14:textId="3D69A3E2" w:rsidR="00A17E44" w:rsidRPr="00407C66" w:rsidRDefault="00A17E44" w:rsidP="00BA012F">
            <w:pPr>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t>c) Acelerar la búsqueda de las personas desaparecidas y asegurar que se proporcionen los recursos adecuados para este fin, incluyendo la Comisión Nacional de Búsqueda de Personas Adultas Desaparecidas en el contexto del Conflicto Armado y la Comisión Nacional de Búsqueda de Niñas y Niños Desaparecidos durante el Conflicto Armado Interno. El Comité alienta al Estado parte a que considere ratificar la Convención Internacional para la Protección de Todas las Personas contra las Desapariciones Forzadas.</w:t>
            </w:r>
          </w:p>
        </w:tc>
        <w:tc>
          <w:tcPr>
            <w:tcW w:w="6084" w:type="dxa"/>
          </w:tcPr>
          <w:p w14:paraId="59A45028" w14:textId="4A15EAA2" w:rsidR="00A17E44" w:rsidRPr="00407C66" w:rsidRDefault="00A17E44" w:rsidP="00BA012F">
            <w:pPr>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t xml:space="preserve">El Estado no ha </w:t>
            </w:r>
            <w:r w:rsidR="00FC66C6">
              <w:rPr>
                <w:rFonts w:asciiTheme="majorHAnsi" w:eastAsia="SimSun" w:hAnsiTheme="majorHAnsi" w:cstheme="majorHAnsi"/>
                <w:bCs/>
                <w:sz w:val="20"/>
                <w:szCs w:val="20"/>
                <w:lang w:eastAsia="zh-CN"/>
              </w:rPr>
              <w:t>tomado medidas para implementar</w:t>
            </w:r>
            <w:r w:rsidRPr="00407C66">
              <w:rPr>
                <w:rFonts w:asciiTheme="majorHAnsi" w:eastAsia="SimSun" w:hAnsiTheme="majorHAnsi" w:cstheme="majorHAnsi"/>
                <w:bCs/>
                <w:sz w:val="20"/>
                <w:szCs w:val="20"/>
                <w:lang w:eastAsia="zh-CN"/>
              </w:rPr>
              <w:t xml:space="preserve"> la recomendación</w:t>
            </w:r>
            <w:r w:rsidR="00FC66C6">
              <w:rPr>
                <w:rFonts w:asciiTheme="majorHAnsi" w:eastAsia="SimSun" w:hAnsiTheme="majorHAnsi" w:cstheme="majorHAnsi"/>
                <w:bCs/>
                <w:sz w:val="20"/>
                <w:szCs w:val="20"/>
                <w:lang w:eastAsia="zh-CN"/>
              </w:rPr>
              <w:t>. Se siguen</w:t>
            </w:r>
            <w:r w:rsidRPr="00407C66">
              <w:rPr>
                <w:rFonts w:asciiTheme="majorHAnsi" w:eastAsia="SimSun" w:hAnsiTheme="majorHAnsi" w:cstheme="majorHAnsi"/>
                <w:bCs/>
                <w:sz w:val="20"/>
                <w:szCs w:val="20"/>
                <w:lang w:eastAsia="zh-CN"/>
              </w:rPr>
              <w:t xml:space="preserve"> destinando pocos recursos humanos y presupuestarios </w:t>
            </w:r>
            <w:r w:rsidR="00FC66C6">
              <w:rPr>
                <w:rFonts w:asciiTheme="majorHAnsi" w:eastAsia="SimSun" w:hAnsiTheme="majorHAnsi" w:cstheme="majorHAnsi"/>
                <w:bCs/>
                <w:sz w:val="20"/>
                <w:szCs w:val="20"/>
                <w:lang w:eastAsia="zh-CN"/>
              </w:rPr>
              <w:t>a la búsqueda de personas desaparecidas</w:t>
            </w:r>
            <w:r w:rsidRPr="00407C66">
              <w:rPr>
                <w:rFonts w:asciiTheme="majorHAnsi" w:eastAsia="SimSun" w:hAnsiTheme="majorHAnsi" w:cstheme="majorHAnsi"/>
                <w:bCs/>
                <w:sz w:val="20"/>
                <w:szCs w:val="20"/>
                <w:lang w:eastAsia="zh-CN"/>
              </w:rPr>
              <w:t xml:space="preserve">. </w:t>
            </w:r>
            <w:r w:rsidR="00FC66C6">
              <w:rPr>
                <w:rFonts w:asciiTheme="majorHAnsi" w:eastAsia="SimSun" w:hAnsiTheme="majorHAnsi" w:cstheme="majorHAnsi"/>
                <w:bCs/>
                <w:sz w:val="20"/>
                <w:szCs w:val="20"/>
                <w:lang w:eastAsia="zh-CN"/>
              </w:rPr>
              <w:t>El Estado no ha</w:t>
            </w:r>
            <w:r w:rsidRPr="00407C66">
              <w:rPr>
                <w:rFonts w:asciiTheme="majorHAnsi" w:eastAsia="SimSun" w:hAnsiTheme="majorHAnsi" w:cstheme="majorHAnsi"/>
                <w:bCs/>
                <w:sz w:val="20"/>
                <w:szCs w:val="20"/>
                <w:lang w:eastAsia="zh-CN"/>
              </w:rPr>
              <w:t xml:space="preserve"> ratificado la Convención Internacional para la Protección de </w:t>
            </w:r>
            <w:r w:rsidR="00FC66C6">
              <w:rPr>
                <w:rFonts w:asciiTheme="majorHAnsi" w:eastAsia="SimSun" w:hAnsiTheme="majorHAnsi" w:cstheme="majorHAnsi"/>
                <w:bCs/>
                <w:sz w:val="20"/>
                <w:szCs w:val="20"/>
                <w:lang w:eastAsia="zh-CN"/>
              </w:rPr>
              <w:t>T</w:t>
            </w:r>
            <w:r w:rsidRPr="00407C66">
              <w:rPr>
                <w:rFonts w:asciiTheme="majorHAnsi" w:eastAsia="SimSun" w:hAnsiTheme="majorHAnsi" w:cstheme="majorHAnsi"/>
                <w:bCs/>
                <w:sz w:val="20"/>
                <w:szCs w:val="20"/>
                <w:lang w:eastAsia="zh-CN"/>
              </w:rPr>
              <w:t xml:space="preserve">odas las </w:t>
            </w:r>
            <w:r w:rsidR="00FC66C6">
              <w:rPr>
                <w:rFonts w:asciiTheme="majorHAnsi" w:eastAsia="SimSun" w:hAnsiTheme="majorHAnsi" w:cstheme="majorHAnsi"/>
                <w:bCs/>
                <w:sz w:val="20"/>
                <w:szCs w:val="20"/>
                <w:lang w:eastAsia="zh-CN"/>
              </w:rPr>
              <w:t>P</w:t>
            </w:r>
            <w:r w:rsidRPr="00407C66">
              <w:rPr>
                <w:rFonts w:asciiTheme="majorHAnsi" w:eastAsia="SimSun" w:hAnsiTheme="majorHAnsi" w:cstheme="majorHAnsi"/>
                <w:bCs/>
                <w:sz w:val="20"/>
                <w:szCs w:val="20"/>
                <w:lang w:eastAsia="zh-CN"/>
              </w:rPr>
              <w:t xml:space="preserve">ersonas contra las </w:t>
            </w:r>
            <w:r w:rsidR="00FC66C6">
              <w:rPr>
                <w:rFonts w:asciiTheme="majorHAnsi" w:eastAsia="SimSun" w:hAnsiTheme="majorHAnsi" w:cstheme="majorHAnsi"/>
                <w:bCs/>
                <w:sz w:val="20"/>
                <w:szCs w:val="20"/>
                <w:lang w:eastAsia="zh-CN"/>
              </w:rPr>
              <w:t>D</w:t>
            </w:r>
            <w:r w:rsidRPr="00407C66">
              <w:rPr>
                <w:rFonts w:asciiTheme="majorHAnsi" w:eastAsia="SimSun" w:hAnsiTheme="majorHAnsi" w:cstheme="majorHAnsi"/>
                <w:bCs/>
                <w:sz w:val="20"/>
                <w:szCs w:val="20"/>
                <w:lang w:eastAsia="zh-CN"/>
              </w:rPr>
              <w:t xml:space="preserve">esapariciones </w:t>
            </w:r>
            <w:r w:rsidR="00FC66C6">
              <w:rPr>
                <w:rFonts w:asciiTheme="majorHAnsi" w:eastAsia="SimSun" w:hAnsiTheme="majorHAnsi" w:cstheme="majorHAnsi"/>
                <w:bCs/>
                <w:sz w:val="20"/>
                <w:szCs w:val="20"/>
                <w:lang w:eastAsia="zh-CN"/>
              </w:rPr>
              <w:t>F</w:t>
            </w:r>
            <w:r w:rsidRPr="00407C66">
              <w:rPr>
                <w:rFonts w:asciiTheme="majorHAnsi" w:eastAsia="SimSun" w:hAnsiTheme="majorHAnsi" w:cstheme="majorHAnsi"/>
                <w:bCs/>
                <w:sz w:val="20"/>
                <w:szCs w:val="20"/>
                <w:lang w:eastAsia="zh-CN"/>
              </w:rPr>
              <w:t xml:space="preserve">orzadas. </w:t>
            </w:r>
          </w:p>
        </w:tc>
      </w:tr>
      <w:tr w:rsidR="00A17E44" w:rsidRPr="00407C66" w14:paraId="37EC65E2" w14:textId="77777777" w:rsidTr="00257779">
        <w:tc>
          <w:tcPr>
            <w:tcW w:w="14454" w:type="dxa"/>
            <w:gridSpan w:val="2"/>
            <w:shd w:val="pct15" w:color="auto" w:fill="auto"/>
          </w:tcPr>
          <w:p w14:paraId="216EEFA6" w14:textId="77777777" w:rsidR="00A17E44" w:rsidRPr="00407C66" w:rsidRDefault="00A17E44" w:rsidP="00BA012F">
            <w:pPr>
              <w:jc w:val="center"/>
              <w:rPr>
                <w:rFonts w:asciiTheme="majorHAnsi" w:eastAsia="SimSun" w:hAnsiTheme="majorHAnsi" w:cstheme="majorHAnsi"/>
                <w:b/>
                <w:sz w:val="20"/>
                <w:szCs w:val="20"/>
                <w:lang w:eastAsia="zh-CN"/>
              </w:rPr>
            </w:pPr>
            <w:r w:rsidRPr="00407C66">
              <w:rPr>
                <w:rFonts w:asciiTheme="majorHAnsi" w:eastAsia="SimSun" w:hAnsiTheme="majorHAnsi" w:cstheme="majorHAnsi"/>
                <w:b/>
                <w:sz w:val="20"/>
                <w:szCs w:val="20"/>
                <w:lang w:eastAsia="zh-CN"/>
              </w:rPr>
              <w:t>Párrafo 22: ejecuciones extrajudiciales y desapariciones forzadas</w:t>
            </w:r>
          </w:p>
        </w:tc>
      </w:tr>
      <w:tr w:rsidR="00A17E44" w:rsidRPr="00407C66" w14:paraId="0D5BBB14" w14:textId="77777777" w:rsidTr="00257779">
        <w:tc>
          <w:tcPr>
            <w:tcW w:w="8370" w:type="dxa"/>
          </w:tcPr>
          <w:p w14:paraId="030D59E2" w14:textId="77777777" w:rsidR="00A17E44" w:rsidRPr="00407C66" w:rsidRDefault="00A17E44" w:rsidP="00BA012F">
            <w:pPr>
              <w:tabs>
                <w:tab w:val="left" w:pos="3153"/>
              </w:tabs>
              <w:suppressAutoHyphens/>
              <w:ind w:left="33" w:right="-52"/>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t>El Estado parte debe fortalecer el rol de la Policía Nacional Civil en sus funciones de mantenimiento del orden público y facilitar la asunción por parte de esta de las funciones de mantenimiento del orden público que ejercen las Fuerzas Armadas.</w:t>
            </w:r>
          </w:p>
        </w:tc>
        <w:tc>
          <w:tcPr>
            <w:tcW w:w="6084" w:type="dxa"/>
          </w:tcPr>
          <w:p w14:paraId="323DF138" w14:textId="2E8C5A60" w:rsidR="00A17E44" w:rsidRPr="00407C66" w:rsidRDefault="00A17E44" w:rsidP="00BA012F">
            <w:pPr>
              <w:tabs>
                <w:tab w:val="left" w:pos="9781"/>
              </w:tabs>
              <w:jc w:val="both"/>
              <w:rPr>
                <w:rFonts w:asciiTheme="majorHAnsi" w:eastAsia="SimSun" w:hAnsiTheme="majorHAnsi" w:cstheme="majorHAnsi"/>
                <w:bCs/>
                <w:sz w:val="20"/>
                <w:szCs w:val="20"/>
                <w:lang w:eastAsia="zh-CN"/>
              </w:rPr>
            </w:pPr>
            <w:r w:rsidRPr="007B7375">
              <w:rPr>
                <w:rFonts w:asciiTheme="majorHAnsi" w:hAnsiTheme="majorHAnsi" w:cstheme="majorHAnsi"/>
                <w:bCs/>
                <w:color w:val="101010"/>
                <w:sz w:val="20"/>
                <w:szCs w:val="20"/>
                <w:highlight w:val="white"/>
              </w:rPr>
              <w:t xml:space="preserve">El Estado ha </w:t>
            </w:r>
            <w:r w:rsidR="00FC66C6">
              <w:rPr>
                <w:rFonts w:asciiTheme="majorHAnsi" w:hAnsiTheme="majorHAnsi" w:cstheme="majorHAnsi"/>
                <w:bCs/>
                <w:color w:val="101010"/>
                <w:sz w:val="20"/>
                <w:szCs w:val="20"/>
                <w:highlight w:val="white"/>
              </w:rPr>
              <w:t>tomado medidas contrarias</w:t>
            </w:r>
            <w:r w:rsidRPr="007B7375">
              <w:rPr>
                <w:rFonts w:asciiTheme="majorHAnsi" w:hAnsiTheme="majorHAnsi" w:cstheme="majorHAnsi"/>
                <w:bCs/>
                <w:color w:val="101010"/>
                <w:sz w:val="20"/>
                <w:szCs w:val="20"/>
                <w:highlight w:val="white"/>
              </w:rPr>
              <w:t xml:space="preserve"> a la recomendación.</w:t>
            </w:r>
            <w:r w:rsidRPr="00407C66">
              <w:rPr>
                <w:rFonts w:asciiTheme="majorHAnsi" w:hAnsiTheme="majorHAnsi" w:cstheme="majorHAnsi"/>
                <w:b/>
                <w:color w:val="101010"/>
                <w:sz w:val="20"/>
                <w:szCs w:val="20"/>
                <w:highlight w:val="white"/>
              </w:rPr>
              <w:t xml:space="preserve"> </w:t>
            </w:r>
            <w:r w:rsidR="00EB0D2B">
              <w:rPr>
                <w:rFonts w:asciiTheme="majorHAnsi" w:hAnsiTheme="majorHAnsi" w:cstheme="majorHAnsi"/>
                <w:color w:val="101010"/>
                <w:sz w:val="20"/>
                <w:szCs w:val="20"/>
                <w:highlight w:val="white"/>
              </w:rPr>
              <w:t>Desde junio de 2019</w:t>
            </w:r>
            <w:r w:rsidRPr="00407C66">
              <w:rPr>
                <w:rFonts w:asciiTheme="majorHAnsi" w:hAnsiTheme="majorHAnsi" w:cstheme="majorHAnsi"/>
                <w:color w:val="101010"/>
                <w:sz w:val="20"/>
                <w:szCs w:val="20"/>
                <w:highlight w:val="white"/>
              </w:rPr>
              <w:t xml:space="preserve">, se han fortalecido las funciones de la Fuerza Armada, sin fortalecer los roles de la Policía, en contra de </w:t>
            </w:r>
            <w:r w:rsidR="00B729BA">
              <w:rPr>
                <w:rFonts w:asciiTheme="majorHAnsi" w:hAnsiTheme="majorHAnsi" w:cstheme="majorHAnsi"/>
                <w:color w:val="101010"/>
                <w:sz w:val="20"/>
                <w:szCs w:val="20"/>
                <w:highlight w:val="white"/>
              </w:rPr>
              <w:t>la recomendación del Comité y de</w:t>
            </w:r>
            <w:r w:rsidRPr="00407C66">
              <w:rPr>
                <w:rFonts w:asciiTheme="majorHAnsi" w:hAnsiTheme="majorHAnsi" w:cstheme="majorHAnsi"/>
                <w:color w:val="101010"/>
                <w:sz w:val="20"/>
                <w:szCs w:val="20"/>
                <w:highlight w:val="white"/>
              </w:rPr>
              <w:t xml:space="preserve"> los artículos 159 y 168 de la Constitución de la República.</w:t>
            </w:r>
            <w:r w:rsidRPr="00407C66">
              <w:rPr>
                <w:rFonts w:asciiTheme="majorHAnsi" w:hAnsiTheme="majorHAnsi" w:cstheme="majorHAnsi"/>
                <w:color w:val="101010"/>
                <w:sz w:val="20"/>
                <w:szCs w:val="20"/>
              </w:rPr>
              <w:t xml:space="preserve"> De igual forma</w:t>
            </w:r>
            <w:r w:rsidR="00B729BA">
              <w:rPr>
                <w:rFonts w:asciiTheme="majorHAnsi" w:hAnsiTheme="majorHAnsi" w:cstheme="majorHAnsi"/>
                <w:color w:val="101010"/>
                <w:sz w:val="20"/>
                <w:szCs w:val="20"/>
              </w:rPr>
              <w:t>, desde el 27 de marzo de 2022</w:t>
            </w:r>
            <w:r w:rsidRPr="00407C66">
              <w:rPr>
                <w:rFonts w:asciiTheme="majorHAnsi" w:hAnsiTheme="majorHAnsi" w:cstheme="majorHAnsi"/>
                <w:color w:val="101010"/>
                <w:sz w:val="20"/>
                <w:szCs w:val="20"/>
              </w:rPr>
              <w:t xml:space="preserve"> se ha instaurado un régimen de excepción</w:t>
            </w:r>
            <w:r w:rsidR="00D35A27">
              <w:rPr>
                <w:rFonts w:asciiTheme="majorHAnsi" w:hAnsiTheme="majorHAnsi" w:cstheme="majorHAnsi"/>
                <w:color w:val="101010"/>
                <w:sz w:val="20"/>
                <w:szCs w:val="20"/>
              </w:rPr>
              <w:t xml:space="preserve"> que ha resultado en un aumento exponencial de detenciones sin garantías del debido proceso.</w:t>
            </w:r>
          </w:p>
        </w:tc>
      </w:tr>
      <w:tr w:rsidR="00A17E44" w:rsidRPr="00407C66" w14:paraId="3FD466FC" w14:textId="77777777" w:rsidTr="00257779">
        <w:tc>
          <w:tcPr>
            <w:tcW w:w="8370" w:type="dxa"/>
          </w:tcPr>
          <w:p w14:paraId="1324AE8F" w14:textId="77777777" w:rsidR="00A17E44" w:rsidRPr="00407C66" w:rsidRDefault="00A17E44" w:rsidP="00BA012F">
            <w:pPr>
              <w:tabs>
                <w:tab w:val="left" w:pos="9781"/>
              </w:tabs>
              <w:suppressAutoHyphens/>
              <w:ind w:left="33" w:right="-52"/>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lastRenderedPageBreak/>
              <w:t>Debe asegurar que se investiguen todos los casos de presuntas ejecuciones extrajudiciales, detenciones arbitrarias y desapariciones forzadas de manera pronta, exhaustiva e imparcial, que se busque a las personas desaparecidas, que los responsables sean enjuiciados y sancionados, y que las víctimas reciban una reparación integral.</w:t>
            </w:r>
          </w:p>
        </w:tc>
        <w:tc>
          <w:tcPr>
            <w:tcW w:w="6084" w:type="dxa"/>
          </w:tcPr>
          <w:p w14:paraId="01495196" w14:textId="3B571532" w:rsidR="00A17E44" w:rsidRPr="00407C66" w:rsidRDefault="00A17E44" w:rsidP="00BA012F">
            <w:pPr>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t xml:space="preserve">El Estado </w:t>
            </w:r>
            <w:r w:rsidR="007B7375">
              <w:rPr>
                <w:rFonts w:asciiTheme="majorHAnsi" w:eastAsia="SimSun" w:hAnsiTheme="majorHAnsi" w:cstheme="majorHAnsi"/>
                <w:bCs/>
                <w:sz w:val="20"/>
                <w:szCs w:val="20"/>
                <w:lang w:eastAsia="zh-CN"/>
              </w:rPr>
              <w:t>h</w:t>
            </w:r>
            <w:r w:rsidRPr="00407C66">
              <w:rPr>
                <w:rFonts w:asciiTheme="majorHAnsi" w:eastAsia="SimSun" w:hAnsiTheme="majorHAnsi" w:cstheme="majorHAnsi"/>
                <w:bCs/>
                <w:sz w:val="20"/>
                <w:szCs w:val="20"/>
                <w:lang w:eastAsia="zh-CN"/>
              </w:rPr>
              <w:t xml:space="preserve">a </w:t>
            </w:r>
            <w:r w:rsidR="00B729BA">
              <w:rPr>
                <w:rFonts w:asciiTheme="majorHAnsi" w:eastAsia="SimSun" w:hAnsiTheme="majorHAnsi" w:cstheme="majorHAnsi"/>
                <w:bCs/>
                <w:sz w:val="20"/>
                <w:szCs w:val="20"/>
                <w:lang w:eastAsia="zh-CN"/>
              </w:rPr>
              <w:t>tomado medidas</w:t>
            </w:r>
            <w:r w:rsidRPr="00407C66">
              <w:rPr>
                <w:rFonts w:asciiTheme="majorHAnsi" w:eastAsia="SimSun" w:hAnsiTheme="majorHAnsi" w:cstheme="majorHAnsi"/>
                <w:bCs/>
                <w:sz w:val="20"/>
                <w:szCs w:val="20"/>
                <w:lang w:eastAsia="zh-CN"/>
              </w:rPr>
              <w:t xml:space="preserve"> contrari</w:t>
            </w:r>
            <w:r w:rsidR="00B729BA">
              <w:rPr>
                <w:rFonts w:asciiTheme="majorHAnsi" w:eastAsia="SimSun" w:hAnsiTheme="majorHAnsi" w:cstheme="majorHAnsi"/>
                <w:bCs/>
                <w:sz w:val="20"/>
                <w:szCs w:val="20"/>
                <w:lang w:eastAsia="zh-CN"/>
              </w:rPr>
              <w:t>as</w:t>
            </w:r>
            <w:r w:rsidRPr="00407C66">
              <w:rPr>
                <w:rFonts w:asciiTheme="majorHAnsi" w:eastAsia="SimSun" w:hAnsiTheme="majorHAnsi" w:cstheme="majorHAnsi"/>
                <w:bCs/>
                <w:sz w:val="20"/>
                <w:szCs w:val="20"/>
                <w:lang w:eastAsia="zh-CN"/>
              </w:rPr>
              <w:t xml:space="preserve"> a la recomendación</w:t>
            </w:r>
            <w:r w:rsidR="00695729">
              <w:rPr>
                <w:rFonts w:asciiTheme="majorHAnsi" w:eastAsia="SimSun" w:hAnsiTheme="majorHAnsi" w:cstheme="majorHAnsi"/>
                <w:bCs/>
                <w:sz w:val="20"/>
                <w:szCs w:val="20"/>
                <w:lang w:eastAsia="zh-CN"/>
              </w:rPr>
              <w:t>.</w:t>
            </w:r>
            <w:r w:rsidRPr="00407C66">
              <w:rPr>
                <w:rFonts w:asciiTheme="majorHAnsi" w:eastAsia="SimSun" w:hAnsiTheme="majorHAnsi" w:cstheme="majorHAnsi"/>
                <w:bCs/>
                <w:sz w:val="20"/>
                <w:szCs w:val="20"/>
                <w:lang w:eastAsia="zh-CN"/>
              </w:rPr>
              <w:t xml:space="preserve"> </w:t>
            </w:r>
            <w:r w:rsidR="00695729">
              <w:rPr>
                <w:rFonts w:asciiTheme="majorHAnsi" w:eastAsia="SimSun" w:hAnsiTheme="majorHAnsi" w:cstheme="majorHAnsi"/>
                <w:bCs/>
                <w:sz w:val="20"/>
                <w:szCs w:val="20"/>
                <w:lang w:eastAsia="zh-CN"/>
              </w:rPr>
              <w:t>Los casos</w:t>
            </w:r>
            <w:r w:rsidRPr="00407C66">
              <w:rPr>
                <w:rFonts w:asciiTheme="majorHAnsi" w:eastAsia="SimSun" w:hAnsiTheme="majorHAnsi" w:cstheme="majorHAnsi"/>
                <w:bCs/>
                <w:sz w:val="20"/>
                <w:szCs w:val="20"/>
                <w:lang w:eastAsia="zh-CN"/>
              </w:rPr>
              <w:t xml:space="preserve"> de desapariciones</w:t>
            </w:r>
            <w:r w:rsidR="00695729">
              <w:rPr>
                <w:rFonts w:asciiTheme="majorHAnsi" w:eastAsia="SimSun" w:hAnsiTheme="majorHAnsi" w:cstheme="majorHAnsi"/>
                <w:bCs/>
                <w:sz w:val="20"/>
                <w:szCs w:val="20"/>
                <w:lang w:eastAsia="zh-CN"/>
              </w:rPr>
              <w:t xml:space="preserve"> forzadas han aumentado</w:t>
            </w:r>
            <w:r w:rsidR="0079762C">
              <w:rPr>
                <w:rFonts w:asciiTheme="majorHAnsi" w:eastAsia="SimSun" w:hAnsiTheme="majorHAnsi" w:cstheme="majorHAnsi"/>
                <w:bCs/>
                <w:sz w:val="20"/>
                <w:szCs w:val="20"/>
                <w:lang w:eastAsia="zh-CN"/>
              </w:rPr>
              <w:t xml:space="preserve"> </w:t>
            </w:r>
            <w:r w:rsidR="00BB2AA9">
              <w:rPr>
                <w:rFonts w:asciiTheme="majorHAnsi" w:eastAsia="SimSun" w:hAnsiTheme="majorHAnsi" w:cstheme="majorHAnsi"/>
                <w:bCs/>
                <w:sz w:val="20"/>
                <w:szCs w:val="20"/>
                <w:lang w:eastAsia="zh-CN"/>
              </w:rPr>
              <w:t>e</w:t>
            </w:r>
            <w:r w:rsidR="0079762C">
              <w:rPr>
                <w:rFonts w:asciiTheme="majorHAnsi" w:eastAsia="SimSun" w:hAnsiTheme="majorHAnsi" w:cstheme="majorHAnsi"/>
                <w:bCs/>
                <w:sz w:val="20"/>
                <w:szCs w:val="20"/>
                <w:lang w:eastAsia="zh-CN"/>
              </w:rPr>
              <w:t>n 19.4% entre 2020 y 2021</w:t>
            </w:r>
            <w:r w:rsidR="00BB2AA9">
              <w:rPr>
                <w:rFonts w:asciiTheme="majorHAnsi" w:eastAsia="SimSun" w:hAnsiTheme="majorHAnsi" w:cstheme="majorHAnsi"/>
                <w:bCs/>
                <w:sz w:val="20"/>
                <w:szCs w:val="20"/>
                <w:lang w:eastAsia="zh-CN"/>
              </w:rPr>
              <w:t xml:space="preserve"> y sin embargo</w:t>
            </w:r>
            <w:r w:rsidR="0079762C">
              <w:rPr>
                <w:rFonts w:asciiTheme="majorHAnsi" w:eastAsia="SimSun" w:hAnsiTheme="majorHAnsi" w:cstheme="majorHAnsi"/>
                <w:bCs/>
                <w:sz w:val="20"/>
                <w:szCs w:val="20"/>
                <w:lang w:eastAsia="zh-CN"/>
              </w:rPr>
              <w:t xml:space="preserve"> </w:t>
            </w:r>
            <w:r w:rsidR="00BB2AA9">
              <w:rPr>
                <w:rFonts w:asciiTheme="majorHAnsi" w:eastAsia="SimSun" w:hAnsiTheme="majorHAnsi" w:cstheme="majorHAnsi"/>
                <w:bCs/>
                <w:sz w:val="20"/>
                <w:szCs w:val="20"/>
                <w:lang w:eastAsia="zh-CN"/>
              </w:rPr>
              <w:t>l</w:t>
            </w:r>
            <w:r w:rsidR="00695729">
              <w:rPr>
                <w:rFonts w:asciiTheme="majorHAnsi" w:eastAsia="SimSun" w:hAnsiTheme="majorHAnsi" w:cstheme="majorHAnsi"/>
                <w:bCs/>
                <w:sz w:val="20"/>
                <w:szCs w:val="20"/>
                <w:lang w:eastAsia="zh-CN"/>
              </w:rPr>
              <w:t xml:space="preserve">as autoridades </w:t>
            </w:r>
            <w:r w:rsidRPr="00407C66">
              <w:rPr>
                <w:rFonts w:asciiTheme="majorHAnsi" w:eastAsia="SimSun" w:hAnsiTheme="majorHAnsi" w:cstheme="majorHAnsi"/>
                <w:bCs/>
                <w:sz w:val="20"/>
                <w:szCs w:val="20"/>
                <w:lang w:eastAsia="zh-CN"/>
              </w:rPr>
              <w:t xml:space="preserve">siguen siendo ineficientes en la búsqueda de las personas, actuando en detrimento de las víctimas y tildando los casos de “ausencias voluntarias” incluso cuando la persona desparecida ha sido </w:t>
            </w:r>
            <w:r w:rsidR="00056AE5" w:rsidRPr="00407C66">
              <w:rPr>
                <w:rFonts w:asciiTheme="majorHAnsi" w:eastAsia="SimSun" w:hAnsiTheme="majorHAnsi" w:cstheme="majorHAnsi"/>
                <w:bCs/>
                <w:sz w:val="20"/>
                <w:szCs w:val="20"/>
                <w:lang w:eastAsia="zh-CN"/>
              </w:rPr>
              <w:t>encontrada</w:t>
            </w:r>
            <w:r w:rsidR="00BA3EFA">
              <w:rPr>
                <w:rFonts w:asciiTheme="majorHAnsi" w:eastAsia="SimSun" w:hAnsiTheme="majorHAnsi" w:cstheme="majorHAnsi"/>
                <w:bCs/>
                <w:sz w:val="20"/>
                <w:szCs w:val="20"/>
                <w:lang w:eastAsia="zh-CN"/>
              </w:rPr>
              <w:t xml:space="preserve"> sin vida</w:t>
            </w:r>
            <w:r w:rsidRPr="00407C66">
              <w:rPr>
                <w:rFonts w:asciiTheme="majorHAnsi" w:eastAsia="SimSun" w:hAnsiTheme="majorHAnsi" w:cstheme="majorHAnsi"/>
                <w:bCs/>
                <w:sz w:val="20"/>
                <w:szCs w:val="20"/>
                <w:lang w:eastAsia="zh-CN"/>
              </w:rPr>
              <w:t xml:space="preserve">. </w:t>
            </w:r>
          </w:p>
          <w:p w14:paraId="74CB8C5B" w14:textId="3F36C093" w:rsidR="00A17E44" w:rsidRPr="00407C66" w:rsidRDefault="00A17E44" w:rsidP="00BA012F">
            <w:pPr>
              <w:jc w:val="both"/>
              <w:rPr>
                <w:rFonts w:asciiTheme="majorHAnsi" w:eastAsia="SimSun" w:hAnsiTheme="majorHAnsi" w:cstheme="majorHAnsi"/>
                <w:bCs/>
                <w:sz w:val="20"/>
                <w:szCs w:val="20"/>
                <w:lang w:eastAsia="zh-CN"/>
              </w:rPr>
            </w:pPr>
            <w:r w:rsidRPr="00407C66">
              <w:rPr>
                <w:rFonts w:asciiTheme="majorHAnsi" w:eastAsia="SimSun" w:hAnsiTheme="majorHAnsi" w:cstheme="majorHAnsi"/>
                <w:bCs/>
                <w:sz w:val="20"/>
                <w:szCs w:val="20"/>
                <w:lang w:eastAsia="zh-CN"/>
              </w:rPr>
              <w:t xml:space="preserve">Sobre las detenciones arbitrarias, el Estado ha actuado contra la recomendación, al implementar desde </w:t>
            </w:r>
            <w:r w:rsidR="00D35A27">
              <w:rPr>
                <w:rFonts w:asciiTheme="majorHAnsi" w:eastAsia="SimSun" w:hAnsiTheme="majorHAnsi" w:cstheme="majorHAnsi"/>
                <w:bCs/>
                <w:sz w:val="20"/>
                <w:szCs w:val="20"/>
                <w:lang w:eastAsia="zh-CN"/>
              </w:rPr>
              <w:t xml:space="preserve">el 27 de </w:t>
            </w:r>
            <w:r w:rsidRPr="00407C66">
              <w:rPr>
                <w:rFonts w:asciiTheme="majorHAnsi" w:eastAsia="SimSun" w:hAnsiTheme="majorHAnsi" w:cstheme="majorHAnsi"/>
                <w:bCs/>
                <w:sz w:val="20"/>
                <w:szCs w:val="20"/>
                <w:lang w:eastAsia="zh-CN"/>
              </w:rPr>
              <w:t xml:space="preserve">marzo </w:t>
            </w:r>
            <w:r w:rsidR="00695729">
              <w:rPr>
                <w:rFonts w:asciiTheme="majorHAnsi" w:eastAsia="SimSun" w:hAnsiTheme="majorHAnsi" w:cstheme="majorHAnsi"/>
                <w:bCs/>
                <w:sz w:val="20"/>
                <w:szCs w:val="20"/>
                <w:lang w:eastAsia="zh-CN"/>
              </w:rPr>
              <w:t xml:space="preserve">2022 </w:t>
            </w:r>
            <w:r w:rsidRPr="00407C66">
              <w:rPr>
                <w:rFonts w:asciiTheme="majorHAnsi" w:eastAsia="SimSun" w:hAnsiTheme="majorHAnsi" w:cstheme="majorHAnsi"/>
                <w:bCs/>
                <w:sz w:val="20"/>
                <w:szCs w:val="20"/>
                <w:lang w:eastAsia="zh-CN"/>
              </w:rPr>
              <w:t xml:space="preserve">un régimen de excepción y reformas a los códigos penal, procesal penal y ley penal juvenil, </w:t>
            </w:r>
            <w:r w:rsidR="00695729">
              <w:rPr>
                <w:rFonts w:asciiTheme="majorHAnsi" w:eastAsia="SimSun" w:hAnsiTheme="majorHAnsi" w:cstheme="majorHAnsi"/>
                <w:bCs/>
                <w:sz w:val="20"/>
                <w:szCs w:val="20"/>
                <w:lang w:eastAsia="zh-CN"/>
              </w:rPr>
              <w:t>afectando en derecho al debido proceso</w:t>
            </w:r>
            <w:r w:rsidRPr="00407C66">
              <w:rPr>
                <w:rFonts w:asciiTheme="majorHAnsi" w:eastAsia="SimSun" w:hAnsiTheme="majorHAnsi" w:cstheme="majorHAnsi"/>
                <w:bCs/>
                <w:sz w:val="20"/>
                <w:szCs w:val="20"/>
                <w:lang w:eastAsia="zh-CN"/>
              </w:rPr>
              <w:t xml:space="preserve">, </w:t>
            </w:r>
            <w:r w:rsidR="00695729">
              <w:rPr>
                <w:rFonts w:asciiTheme="majorHAnsi" w:eastAsia="SimSun" w:hAnsiTheme="majorHAnsi" w:cstheme="majorHAnsi"/>
                <w:bCs/>
                <w:sz w:val="20"/>
                <w:szCs w:val="20"/>
                <w:lang w:eastAsia="zh-CN"/>
              </w:rPr>
              <w:t xml:space="preserve">autorizando la </w:t>
            </w:r>
            <w:r w:rsidRPr="00407C66">
              <w:rPr>
                <w:rFonts w:asciiTheme="majorHAnsi" w:eastAsia="SimSun" w:hAnsiTheme="majorHAnsi" w:cstheme="majorHAnsi"/>
                <w:bCs/>
                <w:sz w:val="20"/>
                <w:szCs w:val="20"/>
                <w:lang w:eastAsia="zh-CN"/>
              </w:rPr>
              <w:t xml:space="preserve">prisión administrativa por 15 </w:t>
            </w:r>
            <w:r w:rsidR="007B7375" w:rsidRPr="00407C66">
              <w:rPr>
                <w:rFonts w:asciiTheme="majorHAnsi" w:eastAsia="SimSun" w:hAnsiTheme="majorHAnsi" w:cstheme="majorHAnsi"/>
                <w:bCs/>
                <w:sz w:val="20"/>
                <w:szCs w:val="20"/>
                <w:lang w:eastAsia="zh-CN"/>
              </w:rPr>
              <w:t>días</w:t>
            </w:r>
            <w:r w:rsidRPr="00407C66">
              <w:rPr>
                <w:rFonts w:asciiTheme="majorHAnsi" w:eastAsia="SimSun" w:hAnsiTheme="majorHAnsi" w:cstheme="majorHAnsi"/>
                <w:bCs/>
                <w:sz w:val="20"/>
                <w:szCs w:val="20"/>
                <w:lang w:eastAsia="zh-CN"/>
              </w:rPr>
              <w:t xml:space="preserve"> y otras</w:t>
            </w:r>
            <w:r w:rsidR="00695729">
              <w:rPr>
                <w:rFonts w:asciiTheme="majorHAnsi" w:eastAsia="SimSun" w:hAnsiTheme="majorHAnsi" w:cstheme="majorHAnsi"/>
                <w:bCs/>
                <w:sz w:val="20"/>
                <w:szCs w:val="20"/>
                <w:lang w:eastAsia="zh-CN"/>
              </w:rPr>
              <w:t xml:space="preserve"> vulneraciones a estándares internacionales de derechos humanos</w:t>
            </w:r>
            <w:r w:rsidRPr="00407C66">
              <w:rPr>
                <w:rFonts w:asciiTheme="majorHAnsi" w:eastAsia="SimSun" w:hAnsiTheme="majorHAnsi" w:cstheme="majorHAnsi"/>
                <w:bCs/>
                <w:sz w:val="20"/>
                <w:szCs w:val="20"/>
                <w:lang w:eastAsia="zh-CN"/>
              </w:rPr>
              <w:t xml:space="preserve">. </w:t>
            </w:r>
          </w:p>
        </w:tc>
      </w:tr>
    </w:tbl>
    <w:p w14:paraId="083D76DD" w14:textId="77777777" w:rsidR="00A17E44" w:rsidRPr="00407C66" w:rsidRDefault="00A17E44" w:rsidP="00BA012F">
      <w:pPr>
        <w:rPr>
          <w:rFonts w:asciiTheme="majorHAnsi" w:eastAsia="Times New Roman" w:hAnsiTheme="majorHAnsi" w:cstheme="majorHAnsi"/>
          <w:b/>
          <w:bCs/>
          <w:sz w:val="20"/>
          <w:szCs w:val="20"/>
          <w:u w:val="single"/>
          <w:lang w:eastAsia="en-GB"/>
        </w:rPr>
      </w:pPr>
    </w:p>
    <w:p w14:paraId="3905AB44" w14:textId="0B4C04B6" w:rsidR="00695729" w:rsidRDefault="00695729">
      <w:pPr>
        <w:rPr>
          <w:rFonts w:asciiTheme="majorHAnsi" w:eastAsia="Times New Roman" w:hAnsiTheme="majorHAnsi" w:cstheme="majorHAnsi"/>
          <w:b/>
          <w:bCs/>
          <w:sz w:val="20"/>
          <w:szCs w:val="20"/>
          <w:u w:val="single"/>
          <w:lang w:eastAsia="en-GB"/>
        </w:rPr>
      </w:pPr>
      <w:r>
        <w:rPr>
          <w:rFonts w:asciiTheme="majorHAnsi" w:eastAsia="Times New Roman" w:hAnsiTheme="majorHAnsi" w:cstheme="majorHAnsi"/>
          <w:b/>
          <w:bCs/>
          <w:sz w:val="20"/>
          <w:szCs w:val="20"/>
          <w:u w:val="single"/>
          <w:lang w:eastAsia="en-GB"/>
        </w:rPr>
        <w:br w:type="page"/>
      </w:r>
    </w:p>
    <w:p w14:paraId="7E5D77EE" w14:textId="77777777" w:rsidR="00A17E44" w:rsidRPr="00407C66" w:rsidRDefault="00A17E44" w:rsidP="00BA012F">
      <w:pPr>
        <w:rPr>
          <w:rFonts w:asciiTheme="majorHAnsi" w:eastAsia="Times New Roman" w:hAnsiTheme="majorHAnsi" w:cstheme="majorHAnsi"/>
          <w:b/>
          <w:bCs/>
          <w:sz w:val="20"/>
          <w:szCs w:val="20"/>
          <w:u w:val="single"/>
          <w:lang w:eastAsia="en-GB"/>
        </w:rPr>
      </w:pPr>
    </w:p>
    <w:p w14:paraId="6B3BF851" w14:textId="6BDADCE4" w:rsidR="00984D7C" w:rsidRPr="00407C66" w:rsidRDefault="002A44A1" w:rsidP="00BA012F">
      <w:pPr>
        <w:pStyle w:val="ListParagraph"/>
        <w:numPr>
          <w:ilvl w:val="0"/>
          <w:numId w:val="6"/>
        </w:numPr>
        <w:rPr>
          <w:rFonts w:asciiTheme="majorHAnsi" w:eastAsia="Times New Roman" w:hAnsiTheme="majorHAnsi" w:cstheme="majorHAnsi"/>
          <w:b/>
          <w:bCs/>
          <w:sz w:val="20"/>
          <w:szCs w:val="20"/>
          <w:u w:val="single"/>
          <w:lang w:eastAsia="en-GB"/>
        </w:rPr>
      </w:pPr>
      <w:r w:rsidRPr="00407C66">
        <w:rPr>
          <w:rFonts w:asciiTheme="majorHAnsi" w:eastAsia="Times New Roman" w:hAnsiTheme="majorHAnsi" w:cstheme="majorHAnsi"/>
          <w:b/>
          <w:bCs/>
          <w:sz w:val="20"/>
          <w:szCs w:val="20"/>
          <w:u w:val="single"/>
          <w:lang w:eastAsia="en-GB"/>
        </w:rPr>
        <w:t>CONTEXTO DEL PAÍS: NARRATIVA HOSTIL A LA JUDICATURA Y DEBILITAMIENTO DEL ESTADO D</w:t>
      </w:r>
      <w:r w:rsidR="00936288" w:rsidRPr="00407C66">
        <w:rPr>
          <w:rFonts w:asciiTheme="majorHAnsi" w:eastAsia="Times New Roman" w:hAnsiTheme="majorHAnsi" w:cstheme="majorHAnsi"/>
          <w:b/>
          <w:bCs/>
          <w:sz w:val="20"/>
          <w:szCs w:val="20"/>
          <w:u w:val="single"/>
          <w:lang w:eastAsia="en-GB"/>
        </w:rPr>
        <w:t>E</w:t>
      </w:r>
      <w:r w:rsidRPr="00407C66">
        <w:rPr>
          <w:rFonts w:asciiTheme="majorHAnsi" w:eastAsia="Times New Roman" w:hAnsiTheme="majorHAnsi" w:cstheme="majorHAnsi"/>
          <w:b/>
          <w:bCs/>
          <w:sz w:val="20"/>
          <w:szCs w:val="20"/>
          <w:u w:val="single"/>
          <w:lang w:eastAsia="en-GB"/>
        </w:rPr>
        <w:t xml:space="preserve"> DERECHO</w:t>
      </w:r>
    </w:p>
    <w:p w14:paraId="4659154F" w14:textId="77777777" w:rsidR="00257779" w:rsidRPr="00407C66" w:rsidRDefault="00257779" w:rsidP="00BA012F">
      <w:pPr>
        <w:pStyle w:val="ListParagraph"/>
        <w:ind w:left="1080"/>
        <w:rPr>
          <w:rFonts w:asciiTheme="majorHAnsi" w:eastAsia="Times New Roman" w:hAnsiTheme="majorHAnsi" w:cstheme="majorHAnsi"/>
          <w:b/>
          <w:bCs/>
          <w:sz w:val="20"/>
          <w:szCs w:val="20"/>
          <w:u w:val="single"/>
          <w:lang w:eastAsia="en-GB"/>
        </w:rPr>
      </w:pPr>
    </w:p>
    <w:p w14:paraId="76B2381A" w14:textId="6642E498" w:rsidR="00984D7C" w:rsidRDefault="00936288" w:rsidP="00BA012F">
      <w:pPr>
        <w:jc w:val="both"/>
        <w:rPr>
          <w:rFonts w:asciiTheme="majorHAnsi" w:hAnsiTheme="majorHAnsi" w:cstheme="majorHAnsi"/>
          <w:sz w:val="20"/>
          <w:szCs w:val="20"/>
        </w:rPr>
      </w:pPr>
      <w:r w:rsidRPr="00407C66">
        <w:rPr>
          <w:rFonts w:asciiTheme="majorHAnsi" w:hAnsiTheme="majorHAnsi" w:cstheme="majorHAnsi"/>
          <w:sz w:val="20"/>
          <w:szCs w:val="20"/>
        </w:rPr>
        <w:t xml:space="preserve">Desde el inicio de </w:t>
      </w:r>
      <w:r w:rsidR="002A44A1" w:rsidRPr="00407C66">
        <w:rPr>
          <w:rFonts w:asciiTheme="majorHAnsi" w:hAnsiTheme="majorHAnsi" w:cstheme="majorHAnsi"/>
          <w:sz w:val="20"/>
          <w:szCs w:val="20"/>
        </w:rPr>
        <w:t xml:space="preserve">la gestión presidencial de </w:t>
      </w:r>
      <w:proofErr w:type="spellStart"/>
      <w:r w:rsidR="002A44A1" w:rsidRPr="00407C66">
        <w:rPr>
          <w:rFonts w:asciiTheme="majorHAnsi" w:hAnsiTheme="majorHAnsi" w:cstheme="majorHAnsi"/>
          <w:sz w:val="20"/>
          <w:szCs w:val="20"/>
        </w:rPr>
        <w:t>Nayib</w:t>
      </w:r>
      <w:proofErr w:type="spellEnd"/>
      <w:r w:rsidR="002A44A1" w:rsidRPr="00407C66">
        <w:rPr>
          <w:rFonts w:asciiTheme="majorHAnsi" w:hAnsiTheme="majorHAnsi" w:cstheme="majorHAnsi"/>
          <w:sz w:val="20"/>
          <w:szCs w:val="20"/>
        </w:rPr>
        <w:t xml:space="preserve"> </w:t>
      </w:r>
      <w:proofErr w:type="spellStart"/>
      <w:r w:rsidR="002A44A1" w:rsidRPr="00407C66">
        <w:rPr>
          <w:rFonts w:asciiTheme="majorHAnsi" w:hAnsiTheme="majorHAnsi" w:cstheme="majorHAnsi"/>
          <w:sz w:val="20"/>
          <w:szCs w:val="20"/>
        </w:rPr>
        <w:t>Bukele</w:t>
      </w:r>
      <w:proofErr w:type="spellEnd"/>
      <w:r w:rsidRPr="00407C66">
        <w:rPr>
          <w:rFonts w:asciiTheme="majorHAnsi" w:hAnsiTheme="majorHAnsi" w:cstheme="majorHAnsi"/>
          <w:sz w:val="20"/>
          <w:szCs w:val="20"/>
        </w:rPr>
        <w:t xml:space="preserve">, en mayo de 2019, se gestó una narrativa hostil contra la judicatura, la </w:t>
      </w:r>
      <w:r w:rsidR="007B7375" w:rsidRPr="00407C66">
        <w:rPr>
          <w:rFonts w:asciiTheme="majorHAnsi" w:hAnsiTheme="majorHAnsi" w:cstheme="majorHAnsi"/>
          <w:sz w:val="20"/>
          <w:szCs w:val="20"/>
        </w:rPr>
        <w:t>cual</w:t>
      </w:r>
      <w:r w:rsidR="007B7375">
        <w:rPr>
          <w:rFonts w:asciiTheme="majorHAnsi" w:hAnsiTheme="majorHAnsi" w:cstheme="majorHAnsi"/>
          <w:sz w:val="20"/>
          <w:szCs w:val="20"/>
        </w:rPr>
        <w:t xml:space="preserve"> ha</w:t>
      </w:r>
      <w:r w:rsidR="002A44A1" w:rsidRPr="00407C66">
        <w:rPr>
          <w:rFonts w:asciiTheme="majorHAnsi" w:hAnsiTheme="majorHAnsi" w:cstheme="majorHAnsi"/>
          <w:sz w:val="20"/>
          <w:szCs w:val="20"/>
        </w:rPr>
        <w:t xml:space="preserve"> continuado hasta la fecha, </w:t>
      </w:r>
      <w:r w:rsidRPr="00407C66">
        <w:rPr>
          <w:rFonts w:asciiTheme="majorHAnsi" w:hAnsiTheme="majorHAnsi" w:cstheme="majorHAnsi"/>
          <w:sz w:val="20"/>
          <w:szCs w:val="20"/>
        </w:rPr>
        <w:t>y ha sido</w:t>
      </w:r>
      <w:r w:rsidR="002A44A1" w:rsidRPr="00407C66">
        <w:rPr>
          <w:rFonts w:asciiTheme="majorHAnsi" w:hAnsiTheme="majorHAnsi" w:cstheme="majorHAnsi"/>
          <w:sz w:val="20"/>
          <w:szCs w:val="20"/>
        </w:rPr>
        <w:t xml:space="preserve"> retomada por otros funcionarios, como el presidente de la Asamblea Legislativa, Ernesto Castro, cuando este órgano de estado fue renovado el 1° de mayo de 2021, con mayoría oficialista.</w:t>
      </w:r>
    </w:p>
    <w:p w14:paraId="2F489B33" w14:textId="77777777" w:rsidR="00A30514" w:rsidRPr="00407C66" w:rsidRDefault="00A30514" w:rsidP="00BA012F">
      <w:pPr>
        <w:jc w:val="both"/>
        <w:rPr>
          <w:rFonts w:asciiTheme="majorHAnsi" w:hAnsiTheme="majorHAnsi" w:cstheme="majorHAnsi"/>
          <w:sz w:val="20"/>
          <w:szCs w:val="20"/>
        </w:rPr>
      </w:pPr>
    </w:p>
    <w:p w14:paraId="4199F196" w14:textId="77777777" w:rsidR="007B7375" w:rsidRDefault="002A44A1" w:rsidP="00BA012F">
      <w:pPr>
        <w:jc w:val="both"/>
        <w:rPr>
          <w:rFonts w:asciiTheme="majorHAnsi" w:hAnsiTheme="majorHAnsi" w:cstheme="majorHAnsi"/>
          <w:sz w:val="20"/>
          <w:szCs w:val="20"/>
        </w:rPr>
      </w:pPr>
      <w:r w:rsidRPr="00407C66">
        <w:rPr>
          <w:rFonts w:asciiTheme="majorHAnsi" w:hAnsiTheme="majorHAnsi" w:cstheme="majorHAnsi"/>
          <w:sz w:val="20"/>
          <w:szCs w:val="20"/>
        </w:rPr>
        <w:t>Algunos</w:t>
      </w:r>
      <w:r w:rsidR="00936288" w:rsidRPr="00407C66">
        <w:rPr>
          <w:rFonts w:asciiTheme="majorHAnsi" w:hAnsiTheme="majorHAnsi" w:cstheme="majorHAnsi"/>
          <w:sz w:val="20"/>
          <w:szCs w:val="20"/>
        </w:rPr>
        <w:t xml:space="preserve"> ejemplos de esta narrativa son</w:t>
      </w:r>
      <w:r w:rsidRPr="00407C66">
        <w:rPr>
          <w:rFonts w:asciiTheme="majorHAnsi" w:hAnsiTheme="majorHAnsi" w:cstheme="majorHAnsi"/>
          <w:sz w:val="20"/>
          <w:szCs w:val="20"/>
        </w:rPr>
        <w:t>:</w:t>
      </w:r>
    </w:p>
    <w:p w14:paraId="7100FDA9" w14:textId="77777777" w:rsidR="007B7375" w:rsidRDefault="002A44A1" w:rsidP="00BA012F">
      <w:pPr>
        <w:pStyle w:val="ListParagraph"/>
        <w:numPr>
          <w:ilvl w:val="0"/>
          <w:numId w:val="9"/>
        </w:numPr>
        <w:jc w:val="both"/>
        <w:rPr>
          <w:rFonts w:asciiTheme="majorHAnsi" w:hAnsiTheme="majorHAnsi" w:cstheme="majorHAnsi"/>
          <w:sz w:val="20"/>
          <w:szCs w:val="20"/>
        </w:rPr>
      </w:pPr>
      <w:r w:rsidRPr="007B7375">
        <w:rPr>
          <w:rFonts w:asciiTheme="majorHAnsi" w:hAnsiTheme="majorHAnsi" w:cstheme="majorHAnsi"/>
          <w:color w:val="101010"/>
          <w:sz w:val="20"/>
          <w:szCs w:val="20"/>
        </w:rPr>
        <w:t xml:space="preserve">En marzo de 2020, con el anuncio de las medidas frente a la pandemia de COVID 19, </w:t>
      </w:r>
      <w:r w:rsidR="00936288" w:rsidRPr="007B7375">
        <w:rPr>
          <w:rFonts w:asciiTheme="majorHAnsi" w:hAnsiTheme="majorHAnsi" w:cstheme="majorHAnsi"/>
          <w:color w:val="101010"/>
          <w:sz w:val="20"/>
          <w:szCs w:val="20"/>
        </w:rPr>
        <w:t>aprobaron por</w:t>
      </w:r>
      <w:r w:rsidRPr="007B7375">
        <w:rPr>
          <w:rFonts w:asciiTheme="majorHAnsi" w:hAnsiTheme="majorHAnsi" w:cstheme="majorHAnsi"/>
          <w:color w:val="101010"/>
          <w:sz w:val="20"/>
          <w:szCs w:val="20"/>
        </w:rPr>
        <w:t xml:space="preserve"> del ejecutivo una</w:t>
      </w:r>
      <w:r w:rsidR="00936288" w:rsidRPr="007B7375">
        <w:rPr>
          <w:rFonts w:asciiTheme="majorHAnsi" w:hAnsiTheme="majorHAnsi" w:cstheme="majorHAnsi"/>
          <w:color w:val="101010"/>
          <w:sz w:val="20"/>
          <w:szCs w:val="20"/>
        </w:rPr>
        <w:t xml:space="preserve"> serie de decretos </w:t>
      </w:r>
      <w:r w:rsidRPr="007B7375">
        <w:rPr>
          <w:rFonts w:asciiTheme="majorHAnsi" w:hAnsiTheme="majorHAnsi" w:cstheme="majorHAnsi"/>
          <w:color w:val="101010"/>
          <w:sz w:val="20"/>
          <w:szCs w:val="20"/>
        </w:rPr>
        <w:t>ejecutivos</w:t>
      </w:r>
      <w:r w:rsidR="00936288" w:rsidRPr="007B7375">
        <w:rPr>
          <w:rFonts w:asciiTheme="majorHAnsi" w:hAnsiTheme="majorHAnsi" w:cstheme="majorHAnsi"/>
          <w:color w:val="101010"/>
          <w:sz w:val="20"/>
          <w:szCs w:val="20"/>
        </w:rPr>
        <w:t xml:space="preserve"> para garantizar una “cuarentena estricta”, con</w:t>
      </w:r>
      <w:r w:rsidRPr="007B7375">
        <w:rPr>
          <w:rFonts w:asciiTheme="majorHAnsi" w:hAnsiTheme="majorHAnsi" w:cstheme="majorHAnsi"/>
          <w:color w:val="101010"/>
          <w:sz w:val="20"/>
          <w:szCs w:val="20"/>
        </w:rPr>
        <w:t xml:space="preserve"> restricciones contrarias a la Constitución y los derechos humanos. La Sala de lo Constitucional de la Corte Suprema de Justicia de ese momento </w:t>
      </w:r>
      <w:r w:rsidR="00936288" w:rsidRPr="007B7375">
        <w:rPr>
          <w:rFonts w:asciiTheme="majorHAnsi" w:hAnsiTheme="majorHAnsi" w:cstheme="majorHAnsi"/>
          <w:color w:val="101010"/>
          <w:sz w:val="20"/>
          <w:szCs w:val="20"/>
        </w:rPr>
        <w:t>declaro</w:t>
      </w:r>
      <w:r w:rsidRPr="007B7375">
        <w:rPr>
          <w:rFonts w:asciiTheme="majorHAnsi" w:hAnsiTheme="majorHAnsi" w:cstheme="majorHAnsi"/>
          <w:color w:val="101010"/>
          <w:sz w:val="20"/>
          <w:szCs w:val="20"/>
        </w:rPr>
        <w:t xml:space="preserve"> inconstitucional</w:t>
      </w:r>
      <w:r w:rsidR="00936288" w:rsidRPr="007B7375">
        <w:rPr>
          <w:rFonts w:asciiTheme="majorHAnsi" w:hAnsiTheme="majorHAnsi" w:cstheme="majorHAnsi"/>
          <w:color w:val="101010"/>
          <w:sz w:val="20"/>
          <w:szCs w:val="20"/>
        </w:rPr>
        <w:t>es l</w:t>
      </w:r>
      <w:r w:rsidRPr="007B7375">
        <w:rPr>
          <w:rFonts w:asciiTheme="majorHAnsi" w:hAnsiTheme="majorHAnsi" w:cstheme="majorHAnsi"/>
          <w:color w:val="101010"/>
          <w:sz w:val="20"/>
          <w:szCs w:val="20"/>
        </w:rPr>
        <w:t xml:space="preserve">os decretos, manifestando </w:t>
      </w:r>
      <w:r w:rsidR="00936288" w:rsidRPr="007B7375">
        <w:rPr>
          <w:rFonts w:asciiTheme="majorHAnsi" w:hAnsiTheme="majorHAnsi" w:cstheme="majorHAnsi"/>
          <w:color w:val="101010"/>
          <w:sz w:val="20"/>
          <w:szCs w:val="20"/>
        </w:rPr>
        <w:t>el abuso del ejec</w:t>
      </w:r>
      <w:r w:rsidRPr="007B7375">
        <w:rPr>
          <w:rFonts w:asciiTheme="majorHAnsi" w:hAnsiTheme="majorHAnsi" w:cstheme="majorHAnsi"/>
          <w:color w:val="101010"/>
          <w:sz w:val="20"/>
          <w:szCs w:val="20"/>
        </w:rPr>
        <w:t xml:space="preserve">utivo </w:t>
      </w:r>
      <w:r w:rsidR="00936288" w:rsidRPr="007B7375">
        <w:rPr>
          <w:rFonts w:asciiTheme="majorHAnsi" w:hAnsiTheme="majorHAnsi" w:cstheme="majorHAnsi"/>
          <w:color w:val="101010"/>
          <w:sz w:val="20"/>
          <w:szCs w:val="20"/>
        </w:rPr>
        <w:t xml:space="preserve">de restringir </w:t>
      </w:r>
      <w:r w:rsidRPr="007B7375">
        <w:rPr>
          <w:rFonts w:asciiTheme="majorHAnsi" w:hAnsiTheme="majorHAnsi" w:cstheme="majorHAnsi"/>
          <w:color w:val="101010"/>
          <w:sz w:val="20"/>
          <w:szCs w:val="20"/>
        </w:rPr>
        <w:t>derechos por medio de decretos ejecutivos, y no por leyes aprobadas por la Asamblea Legislativa</w:t>
      </w:r>
      <w:r w:rsidR="00936288" w:rsidRPr="007B7375">
        <w:rPr>
          <w:rFonts w:asciiTheme="majorHAnsi" w:hAnsiTheme="majorHAnsi" w:cstheme="majorHAnsi"/>
          <w:color w:val="101010"/>
          <w:sz w:val="20"/>
          <w:szCs w:val="20"/>
        </w:rPr>
        <w:t>, tal como lo ordena la Constitución. L</w:t>
      </w:r>
      <w:r w:rsidRPr="007B7375">
        <w:rPr>
          <w:rFonts w:asciiTheme="majorHAnsi" w:hAnsiTheme="majorHAnsi" w:cstheme="majorHAnsi"/>
          <w:sz w:val="20"/>
          <w:szCs w:val="20"/>
        </w:rPr>
        <w:t>a Sala declaró inconstitucional el decreto número 32 del Ministerio de Salud,</w:t>
      </w:r>
      <w:r w:rsidRPr="00407C66">
        <w:rPr>
          <w:vertAlign w:val="superscript"/>
        </w:rPr>
        <w:footnoteReference w:id="2"/>
      </w:r>
      <w:r w:rsidRPr="007B7375">
        <w:rPr>
          <w:rFonts w:asciiTheme="majorHAnsi" w:hAnsiTheme="majorHAnsi" w:cstheme="majorHAnsi"/>
          <w:sz w:val="20"/>
          <w:szCs w:val="20"/>
        </w:rPr>
        <w:t xml:space="preserve"> que disponía sobre las fases de apertura económica luego de la cuarentena por COVID 19</w:t>
      </w:r>
      <w:r w:rsidR="00936288" w:rsidRPr="007B7375">
        <w:rPr>
          <w:rFonts w:asciiTheme="majorHAnsi" w:hAnsiTheme="majorHAnsi" w:cstheme="majorHAnsi"/>
          <w:sz w:val="20"/>
          <w:szCs w:val="20"/>
        </w:rPr>
        <w:t>, ante lo cual, el Presidente alegó que había utilizado los decretos</w:t>
      </w:r>
      <w:r w:rsidR="005546CA" w:rsidRPr="007B7375">
        <w:rPr>
          <w:rFonts w:asciiTheme="majorHAnsi" w:hAnsiTheme="majorHAnsi" w:cstheme="majorHAnsi"/>
          <w:sz w:val="20"/>
          <w:szCs w:val="20"/>
        </w:rPr>
        <w:t xml:space="preserve"> </w:t>
      </w:r>
      <w:r w:rsidRPr="007B7375">
        <w:rPr>
          <w:rFonts w:asciiTheme="majorHAnsi" w:hAnsiTheme="majorHAnsi" w:cstheme="majorHAnsi"/>
          <w:sz w:val="20"/>
          <w:szCs w:val="20"/>
        </w:rPr>
        <w:t xml:space="preserve">“ante el desinterés de la Asamblea Legislativa para aprobar un Régimen de Excepción que ayude a cumplir una cuarentena estricta”. </w:t>
      </w:r>
    </w:p>
    <w:p w14:paraId="72D574DA" w14:textId="77777777" w:rsidR="007B7375" w:rsidRDefault="002A44A1" w:rsidP="00BA012F">
      <w:pPr>
        <w:pStyle w:val="ListParagraph"/>
        <w:numPr>
          <w:ilvl w:val="0"/>
          <w:numId w:val="9"/>
        </w:numPr>
        <w:jc w:val="both"/>
        <w:rPr>
          <w:rFonts w:asciiTheme="majorHAnsi" w:hAnsiTheme="majorHAnsi" w:cstheme="majorHAnsi"/>
          <w:sz w:val="20"/>
          <w:szCs w:val="20"/>
        </w:rPr>
      </w:pPr>
      <w:r w:rsidRPr="007B7375">
        <w:rPr>
          <w:rFonts w:asciiTheme="majorHAnsi" w:hAnsiTheme="majorHAnsi" w:cstheme="majorHAnsi"/>
          <w:sz w:val="20"/>
          <w:szCs w:val="20"/>
        </w:rPr>
        <w:t xml:space="preserve">El 9 de septiembre de 2020 el presidente </w:t>
      </w:r>
      <w:proofErr w:type="spellStart"/>
      <w:r w:rsidRPr="007B7375">
        <w:rPr>
          <w:rFonts w:asciiTheme="majorHAnsi" w:hAnsiTheme="majorHAnsi" w:cstheme="majorHAnsi"/>
          <w:sz w:val="20"/>
          <w:szCs w:val="20"/>
        </w:rPr>
        <w:t>Bukele</w:t>
      </w:r>
      <w:proofErr w:type="spellEnd"/>
      <w:r w:rsidRPr="007B7375">
        <w:rPr>
          <w:rFonts w:asciiTheme="majorHAnsi" w:hAnsiTheme="majorHAnsi" w:cstheme="majorHAnsi"/>
          <w:sz w:val="20"/>
          <w:szCs w:val="20"/>
        </w:rPr>
        <w:t>, en cadena nacional de radio y televisión, expresaba lo siguiente: “¿Dictador? Los hubiera fusilado a todos, o algo así, si fuera de verdad un dictador. Salvás mil vidas a cambio de cinco; pero no, no soy dictador y, es más, ellos son los dictadores que nos quitan los poderes que por Constitución y por ley tenemos”.</w:t>
      </w:r>
      <w:r w:rsidRPr="00407C66">
        <w:footnoteReference w:id="3"/>
      </w:r>
    </w:p>
    <w:p w14:paraId="3BDDE72C" w14:textId="77777777" w:rsidR="007B7375" w:rsidRDefault="00936288" w:rsidP="00BA012F">
      <w:pPr>
        <w:pStyle w:val="ListParagraph"/>
        <w:numPr>
          <w:ilvl w:val="0"/>
          <w:numId w:val="9"/>
        </w:numPr>
        <w:jc w:val="both"/>
        <w:rPr>
          <w:rFonts w:asciiTheme="majorHAnsi" w:hAnsiTheme="majorHAnsi" w:cstheme="majorHAnsi"/>
          <w:sz w:val="20"/>
          <w:szCs w:val="20"/>
        </w:rPr>
      </w:pPr>
      <w:r w:rsidRPr="007B7375">
        <w:rPr>
          <w:rFonts w:asciiTheme="majorHAnsi" w:hAnsiTheme="majorHAnsi" w:cstheme="majorHAnsi"/>
          <w:sz w:val="20"/>
          <w:szCs w:val="20"/>
        </w:rPr>
        <w:t xml:space="preserve">El primero de mayo de 2021, luego de la toma de posesión de la nueva Asamblea Legislativa 2021-2024, con mayoría del partido oficialista, los Magistrados de la Sala y el Fiscal General de la República serían destituidos y se nombrarían nuevos funcionarios en estos cargos, sin el debido proceso y vinculados al partido de gobierno y al presidente de la Republica. </w:t>
      </w:r>
    </w:p>
    <w:p w14:paraId="52EC74B7" w14:textId="77777777" w:rsidR="00A30514" w:rsidRPr="007B7375" w:rsidRDefault="00A30514" w:rsidP="00A30514">
      <w:pPr>
        <w:pStyle w:val="ListParagraph"/>
        <w:jc w:val="both"/>
        <w:rPr>
          <w:rFonts w:asciiTheme="majorHAnsi" w:hAnsiTheme="majorHAnsi" w:cstheme="majorHAnsi"/>
          <w:sz w:val="20"/>
          <w:szCs w:val="20"/>
        </w:rPr>
      </w:pPr>
    </w:p>
    <w:p w14:paraId="49E1C708" w14:textId="40923407" w:rsidR="00984D7C" w:rsidRPr="00407C66" w:rsidRDefault="00936288" w:rsidP="00BA012F">
      <w:pPr>
        <w:jc w:val="both"/>
        <w:rPr>
          <w:rFonts w:asciiTheme="majorHAnsi" w:hAnsiTheme="majorHAnsi" w:cstheme="majorHAnsi"/>
          <w:sz w:val="20"/>
          <w:szCs w:val="20"/>
        </w:rPr>
      </w:pPr>
      <w:r w:rsidRPr="00407C66">
        <w:rPr>
          <w:rFonts w:asciiTheme="majorHAnsi" w:hAnsiTheme="majorHAnsi" w:cstheme="majorHAnsi"/>
          <w:sz w:val="20"/>
          <w:szCs w:val="20"/>
        </w:rPr>
        <w:t>Las pers</w:t>
      </w:r>
      <w:r w:rsidR="002A44A1" w:rsidRPr="00407C66">
        <w:rPr>
          <w:rFonts w:asciiTheme="majorHAnsi" w:hAnsiTheme="majorHAnsi" w:cstheme="majorHAnsi"/>
          <w:sz w:val="20"/>
          <w:szCs w:val="20"/>
        </w:rPr>
        <w:t>onas defensoras de derechos humanos</w:t>
      </w:r>
      <w:r w:rsidRPr="00407C66">
        <w:rPr>
          <w:rFonts w:asciiTheme="majorHAnsi" w:hAnsiTheme="majorHAnsi" w:cstheme="majorHAnsi"/>
          <w:sz w:val="20"/>
          <w:szCs w:val="20"/>
        </w:rPr>
        <w:t xml:space="preserve"> y las organizaciones de sociedad civil</w:t>
      </w:r>
      <w:r w:rsidR="002A44A1" w:rsidRPr="00407C66">
        <w:rPr>
          <w:rFonts w:asciiTheme="majorHAnsi" w:hAnsiTheme="majorHAnsi" w:cstheme="majorHAnsi"/>
          <w:sz w:val="20"/>
          <w:szCs w:val="20"/>
        </w:rPr>
        <w:t xml:space="preserve"> también han sido objeto de ataques por parte del oficialismo.  </w:t>
      </w:r>
      <w:r w:rsidRPr="00407C66">
        <w:rPr>
          <w:rFonts w:asciiTheme="majorHAnsi" w:hAnsiTheme="majorHAnsi" w:cstheme="majorHAnsi"/>
          <w:sz w:val="20"/>
          <w:szCs w:val="20"/>
        </w:rPr>
        <w:t>E</w:t>
      </w:r>
      <w:r w:rsidR="002A44A1" w:rsidRPr="00407C66">
        <w:rPr>
          <w:rFonts w:asciiTheme="majorHAnsi" w:hAnsiTheme="majorHAnsi" w:cstheme="majorHAnsi"/>
          <w:sz w:val="20"/>
          <w:szCs w:val="20"/>
        </w:rPr>
        <w:t xml:space="preserve">l órgano Ejecutivo promovió la Ley de Agentes Extranjeros, </w:t>
      </w:r>
      <w:r w:rsidRPr="00407C66">
        <w:rPr>
          <w:rFonts w:asciiTheme="majorHAnsi" w:hAnsiTheme="majorHAnsi" w:cstheme="majorHAnsi"/>
          <w:sz w:val="20"/>
          <w:szCs w:val="20"/>
        </w:rPr>
        <w:t xml:space="preserve">con la cual se buscaba </w:t>
      </w:r>
      <w:r w:rsidR="002A44A1" w:rsidRPr="00407C66">
        <w:rPr>
          <w:rFonts w:asciiTheme="majorHAnsi" w:hAnsiTheme="majorHAnsi" w:cstheme="majorHAnsi"/>
          <w:sz w:val="20"/>
          <w:szCs w:val="20"/>
        </w:rPr>
        <w:t>limita</w:t>
      </w:r>
      <w:r w:rsidRPr="00407C66">
        <w:rPr>
          <w:rFonts w:asciiTheme="majorHAnsi" w:hAnsiTheme="majorHAnsi" w:cstheme="majorHAnsi"/>
          <w:sz w:val="20"/>
          <w:szCs w:val="20"/>
        </w:rPr>
        <w:t>r</w:t>
      </w:r>
      <w:r w:rsidR="002A44A1" w:rsidRPr="00407C66">
        <w:rPr>
          <w:rFonts w:asciiTheme="majorHAnsi" w:hAnsiTheme="majorHAnsi" w:cstheme="majorHAnsi"/>
          <w:sz w:val="20"/>
          <w:szCs w:val="20"/>
        </w:rPr>
        <w:t xml:space="preserve"> sus operaciones.  Esta propuesta no fue aprobada, debido a la presión de la cooperación internacional. Sin embargo, se desconoce si será</w:t>
      </w:r>
      <w:r w:rsidRPr="00407C66">
        <w:rPr>
          <w:rFonts w:asciiTheme="majorHAnsi" w:hAnsiTheme="majorHAnsi" w:cstheme="majorHAnsi"/>
          <w:sz w:val="20"/>
          <w:szCs w:val="20"/>
        </w:rPr>
        <w:t xml:space="preserve"> discutida posteriormente</w:t>
      </w:r>
      <w:r w:rsidR="002A44A1" w:rsidRPr="00407C66">
        <w:rPr>
          <w:rFonts w:asciiTheme="majorHAnsi" w:hAnsiTheme="majorHAnsi" w:cstheme="majorHAnsi"/>
          <w:sz w:val="20"/>
          <w:szCs w:val="20"/>
        </w:rPr>
        <w:t xml:space="preserve">. </w:t>
      </w:r>
    </w:p>
    <w:p w14:paraId="759D612F" w14:textId="77777777" w:rsidR="00984D7C" w:rsidRPr="00407C66" w:rsidRDefault="00984D7C" w:rsidP="00BA012F">
      <w:pPr>
        <w:jc w:val="both"/>
        <w:rPr>
          <w:rFonts w:asciiTheme="majorHAnsi" w:hAnsiTheme="majorHAnsi" w:cstheme="majorHAnsi"/>
          <w:sz w:val="20"/>
          <w:szCs w:val="20"/>
        </w:rPr>
      </w:pPr>
    </w:p>
    <w:p w14:paraId="31A63BC4" w14:textId="4D15C4F0" w:rsidR="00984D7C" w:rsidRPr="00407C66" w:rsidRDefault="002A44A1" w:rsidP="00BA012F">
      <w:pPr>
        <w:jc w:val="both"/>
        <w:rPr>
          <w:rFonts w:asciiTheme="majorHAnsi" w:hAnsiTheme="majorHAnsi" w:cstheme="majorHAnsi"/>
          <w:sz w:val="20"/>
          <w:szCs w:val="20"/>
        </w:rPr>
      </w:pPr>
      <w:r w:rsidRPr="00407C66">
        <w:rPr>
          <w:rFonts w:asciiTheme="majorHAnsi" w:hAnsiTheme="majorHAnsi" w:cstheme="majorHAnsi"/>
          <w:sz w:val="20"/>
          <w:szCs w:val="20"/>
        </w:rPr>
        <w:t xml:space="preserve">El 27 de marzo de 2022, luego de un fin de semana con el mayor número de homicidios </w:t>
      </w:r>
      <w:r w:rsidR="00936288" w:rsidRPr="00407C66">
        <w:rPr>
          <w:rFonts w:asciiTheme="majorHAnsi" w:hAnsiTheme="majorHAnsi" w:cstheme="majorHAnsi"/>
          <w:sz w:val="20"/>
          <w:szCs w:val="20"/>
        </w:rPr>
        <w:t>en</w:t>
      </w:r>
      <w:r w:rsidRPr="00407C66">
        <w:rPr>
          <w:rFonts w:asciiTheme="majorHAnsi" w:hAnsiTheme="majorHAnsi" w:cstheme="majorHAnsi"/>
          <w:sz w:val="20"/>
          <w:szCs w:val="20"/>
        </w:rPr>
        <w:t xml:space="preserve"> la actual administración, la Asamblea Legislativa aprobó</w:t>
      </w:r>
      <w:r w:rsidR="00936288" w:rsidRPr="00407C66">
        <w:rPr>
          <w:rFonts w:asciiTheme="majorHAnsi" w:hAnsiTheme="majorHAnsi" w:cstheme="majorHAnsi"/>
          <w:sz w:val="20"/>
          <w:szCs w:val="20"/>
        </w:rPr>
        <w:t>, a solicitud del presidente,</w:t>
      </w:r>
      <w:r w:rsidRPr="00407C66">
        <w:rPr>
          <w:rFonts w:asciiTheme="majorHAnsi" w:hAnsiTheme="majorHAnsi" w:cstheme="majorHAnsi"/>
          <w:sz w:val="20"/>
          <w:szCs w:val="20"/>
        </w:rPr>
        <w:t xml:space="preserve"> un régimen de excepción con restr</w:t>
      </w:r>
      <w:r w:rsidR="00936288" w:rsidRPr="00407C66">
        <w:rPr>
          <w:rFonts w:asciiTheme="majorHAnsi" w:hAnsiTheme="majorHAnsi" w:cstheme="majorHAnsi"/>
          <w:sz w:val="20"/>
          <w:szCs w:val="20"/>
        </w:rPr>
        <w:t>icciones en la l</w:t>
      </w:r>
      <w:r w:rsidRPr="00407C66">
        <w:rPr>
          <w:rFonts w:asciiTheme="majorHAnsi" w:hAnsiTheme="majorHAnsi" w:cstheme="majorHAnsi"/>
          <w:sz w:val="20"/>
          <w:szCs w:val="20"/>
        </w:rPr>
        <w:t>ibertad de asociación, derecho a contar con defensor durante la detención administrativa, aumento de la detención administrativa hasta por 15 días. A estas restricciones se han sumado una serie de reformas al Código Penal, Procesal Penal, Ley penal Juvenil, que incluye: aumentar las penas por delitos cometidos por adolescentes y procesarlos como adultos si son miembros de pandillas.  Naciones Unidas ha mostrado su preocupación</w:t>
      </w:r>
      <w:r w:rsidR="00936288" w:rsidRPr="00407C66">
        <w:rPr>
          <w:rFonts w:asciiTheme="majorHAnsi" w:hAnsiTheme="majorHAnsi" w:cstheme="majorHAnsi"/>
          <w:sz w:val="20"/>
          <w:szCs w:val="20"/>
        </w:rPr>
        <w:t xml:space="preserve">, recordando a </w:t>
      </w:r>
      <w:r w:rsidRPr="00407C66">
        <w:rPr>
          <w:rFonts w:asciiTheme="majorHAnsi" w:hAnsiTheme="majorHAnsi" w:cstheme="majorHAnsi"/>
          <w:sz w:val="20"/>
          <w:szCs w:val="20"/>
        </w:rPr>
        <w:t>"El Salvador que el derecho a la vida, el derecho a no ser sometido a tortura, los principios de juicio justo y la presunción de inocencia, así como las garantías procesales que protegen estos derechos, se aplican en todo momento, incluso durante los estados de excepción. Esto es especialmente cierto en el caso de los niños"</w:t>
      </w:r>
      <w:r w:rsidR="007B7375">
        <w:rPr>
          <w:rFonts w:asciiTheme="majorHAnsi" w:hAnsiTheme="majorHAnsi" w:cstheme="majorHAnsi"/>
          <w:sz w:val="20"/>
          <w:szCs w:val="20"/>
        </w:rPr>
        <w:t>.</w:t>
      </w:r>
      <w:r w:rsidRPr="007B7375">
        <w:rPr>
          <w:rFonts w:asciiTheme="majorHAnsi" w:hAnsiTheme="majorHAnsi" w:cstheme="majorHAnsi"/>
          <w:sz w:val="20"/>
          <w:szCs w:val="20"/>
        </w:rPr>
        <w:footnoteReference w:id="4"/>
      </w:r>
      <w:r w:rsidRPr="007B7375">
        <w:rPr>
          <w:rFonts w:asciiTheme="majorHAnsi" w:hAnsiTheme="majorHAnsi" w:cstheme="majorHAnsi"/>
          <w:sz w:val="20"/>
          <w:szCs w:val="20"/>
        </w:rPr>
        <w:t xml:space="preserve"> </w:t>
      </w:r>
    </w:p>
    <w:p w14:paraId="514F9310" w14:textId="0F76B04C" w:rsidR="00A30514" w:rsidRDefault="00A30514">
      <w:pPr>
        <w:rPr>
          <w:rFonts w:asciiTheme="majorHAnsi" w:hAnsiTheme="majorHAnsi" w:cstheme="majorHAnsi"/>
          <w:sz w:val="20"/>
          <w:szCs w:val="20"/>
          <w:u w:val="single"/>
        </w:rPr>
      </w:pPr>
      <w:r>
        <w:rPr>
          <w:rFonts w:asciiTheme="majorHAnsi" w:hAnsiTheme="majorHAnsi" w:cstheme="majorHAnsi"/>
          <w:sz w:val="20"/>
          <w:szCs w:val="20"/>
          <w:u w:val="single"/>
        </w:rPr>
        <w:br w:type="page"/>
      </w:r>
    </w:p>
    <w:p w14:paraId="575612FF" w14:textId="77777777" w:rsidR="00984D7C" w:rsidRPr="00407C66" w:rsidRDefault="00984D7C" w:rsidP="00BA012F">
      <w:pPr>
        <w:rPr>
          <w:rFonts w:asciiTheme="majorHAnsi" w:hAnsiTheme="majorHAnsi" w:cstheme="majorHAnsi"/>
          <w:sz w:val="20"/>
          <w:szCs w:val="20"/>
          <w:u w:val="single"/>
        </w:rPr>
      </w:pPr>
    </w:p>
    <w:p w14:paraId="36F73A9B" w14:textId="77777777" w:rsidR="00257779" w:rsidRPr="00407C66" w:rsidRDefault="00257779" w:rsidP="00BA012F">
      <w:pPr>
        <w:pStyle w:val="ListParagraph"/>
        <w:numPr>
          <w:ilvl w:val="0"/>
          <w:numId w:val="6"/>
        </w:numPr>
        <w:rPr>
          <w:rFonts w:asciiTheme="majorHAnsi" w:eastAsia="Times New Roman" w:hAnsiTheme="majorHAnsi" w:cstheme="majorHAnsi"/>
          <w:b/>
          <w:bCs/>
          <w:sz w:val="20"/>
          <w:szCs w:val="20"/>
          <w:u w:val="single"/>
          <w:lang w:eastAsia="en-GB"/>
        </w:rPr>
      </w:pPr>
      <w:r w:rsidRPr="00407C66">
        <w:rPr>
          <w:rFonts w:asciiTheme="majorHAnsi" w:eastAsia="Times New Roman" w:hAnsiTheme="majorHAnsi" w:cstheme="majorHAnsi"/>
          <w:b/>
          <w:bCs/>
          <w:sz w:val="20"/>
          <w:szCs w:val="20"/>
          <w:u w:val="single"/>
          <w:lang w:eastAsia="en-GB"/>
        </w:rPr>
        <w:t>IMPLEMENTACION DE LAS RECOMENDACIONES DEL COMITE DE DERECHOS HUMANOS</w:t>
      </w:r>
    </w:p>
    <w:p w14:paraId="11AE72F5" w14:textId="186EBEF9" w:rsidR="00984D7C" w:rsidRPr="00407C66" w:rsidRDefault="00984D7C" w:rsidP="00BA012F">
      <w:pPr>
        <w:rPr>
          <w:rFonts w:asciiTheme="majorHAnsi" w:hAnsiTheme="majorHAnsi" w:cstheme="majorHAnsi"/>
          <w:color w:val="000000"/>
          <w:sz w:val="20"/>
          <w:szCs w:val="20"/>
          <w:u w:val="single"/>
        </w:rPr>
      </w:pPr>
    </w:p>
    <w:p w14:paraId="6C7CD11B" w14:textId="77777777" w:rsidR="00984D7C" w:rsidRPr="00407C66" w:rsidRDefault="00936288" w:rsidP="00BA012F">
      <w:pPr>
        <w:rPr>
          <w:rFonts w:asciiTheme="majorHAnsi" w:hAnsiTheme="majorHAnsi" w:cstheme="majorHAnsi"/>
          <w:b/>
          <w:bCs/>
          <w:color w:val="000000"/>
          <w:sz w:val="20"/>
          <w:szCs w:val="20"/>
          <w:u w:val="single"/>
        </w:rPr>
      </w:pPr>
      <w:r w:rsidRPr="00407C66">
        <w:rPr>
          <w:rFonts w:asciiTheme="majorHAnsi" w:hAnsiTheme="majorHAnsi" w:cstheme="majorHAnsi"/>
          <w:b/>
          <w:bCs/>
          <w:color w:val="000000"/>
          <w:sz w:val="20"/>
          <w:szCs w:val="20"/>
          <w:u w:val="single"/>
        </w:rPr>
        <w:t xml:space="preserve">PARRAFO 18: </w:t>
      </w:r>
      <w:r w:rsidR="002A44A1" w:rsidRPr="00407C66">
        <w:rPr>
          <w:rFonts w:asciiTheme="majorHAnsi" w:hAnsiTheme="majorHAnsi" w:cstheme="majorHAnsi"/>
          <w:b/>
          <w:bCs/>
          <w:color w:val="000000"/>
          <w:sz w:val="20"/>
          <w:szCs w:val="20"/>
          <w:u w:val="single"/>
        </w:rPr>
        <w:t>VIOLACIONES DE DERECHOS HUMANOS DURANTE EL CONFLICTO ARMADO</w:t>
      </w:r>
    </w:p>
    <w:p w14:paraId="0B6EEA2E" w14:textId="77777777" w:rsidR="00984D7C" w:rsidRPr="00407C66" w:rsidRDefault="00984D7C" w:rsidP="00BA012F">
      <w:pPr>
        <w:rPr>
          <w:rFonts w:asciiTheme="majorHAnsi" w:hAnsiTheme="majorHAnsi" w:cstheme="majorHAnsi"/>
          <w:color w:val="000000"/>
          <w:sz w:val="20"/>
          <w:szCs w:val="20"/>
          <w:u w:val="single"/>
        </w:rPr>
      </w:pPr>
    </w:p>
    <w:tbl>
      <w:tblPr>
        <w:tblStyle w:val="a1"/>
        <w:tblW w:w="1448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90"/>
        <w:gridCol w:w="11198"/>
      </w:tblGrid>
      <w:tr w:rsidR="00257779" w:rsidRPr="00407C66" w14:paraId="7C89C8AC" w14:textId="77777777" w:rsidTr="00257779">
        <w:tc>
          <w:tcPr>
            <w:tcW w:w="32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9740C0" w14:textId="6BBCF932" w:rsidR="00257779" w:rsidRPr="00407C66" w:rsidRDefault="00257779" w:rsidP="00BA012F">
            <w:pPr>
              <w:jc w:val="center"/>
              <w:rPr>
                <w:rFonts w:asciiTheme="majorHAnsi" w:hAnsiTheme="majorHAnsi" w:cstheme="majorHAnsi"/>
                <w:color w:val="101010"/>
                <w:sz w:val="20"/>
                <w:szCs w:val="20"/>
              </w:rPr>
            </w:pPr>
            <w:r w:rsidRPr="00407C66">
              <w:rPr>
                <w:rFonts w:asciiTheme="majorHAnsi" w:hAnsiTheme="majorHAnsi" w:cstheme="majorHAnsi"/>
                <w:b/>
                <w:sz w:val="20"/>
                <w:szCs w:val="20"/>
              </w:rPr>
              <w:t>Recomendaciones del Comité</w:t>
            </w:r>
          </w:p>
        </w:tc>
        <w:tc>
          <w:tcPr>
            <w:tcW w:w="111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8E38C49" w14:textId="5B4D734F" w:rsidR="00257779" w:rsidRPr="00407C66" w:rsidRDefault="00257779" w:rsidP="00BA012F">
            <w:pPr>
              <w:pBdr>
                <w:top w:val="nil"/>
                <w:left w:val="nil"/>
                <w:bottom w:val="nil"/>
                <w:right w:val="nil"/>
                <w:between w:val="nil"/>
              </w:pBdr>
              <w:tabs>
                <w:tab w:val="left" w:pos="9781"/>
              </w:tabs>
              <w:ind w:right="-52"/>
              <w:jc w:val="center"/>
              <w:rPr>
                <w:rFonts w:asciiTheme="majorHAnsi" w:hAnsiTheme="majorHAnsi" w:cstheme="majorHAnsi"/>
                <w:color w:val="101010"/>
                <w:sz w:val="20"/>
                <w:szCs w:val="20"/>
              </w:rPr>
            </w:pPr>
            <w:r w:rsidRPr="00407C66">
              <w:rPr>
                <w:rFonts w:asciiTheme="majorHAnsi" w:hAnsiTheme="majorHAnsi" w:cstheme="majorHAnsi"/>
                <w:b/>
                <w:sz w:val="20"/>
                <w:szCs w:val="20"/>
              </w:rPr>
              <w:t>Medidas tomadas por el Estado para implementar las recomendaciones</w:t>
            </w:r>
          </w:p>
        </w:tc>
      </w:tr>
      <w:tr w:rsidR="00257779" w:rsidRPr="00407C66" w14:paraId="4E823827" w14:textId="77777777" w:rsidTr="00257779">
        <w:tc>
          <w:tcPr>
            <w:tcW w:w="3290" w:type="dxa"/>
            <w:tcBorders>
              <w:top w:val="single" w:sz="4" w:space="0" w:color="000000"/>
            </w:tcBorders>
          </w:tcPr>
          <w:p w14:paraId="4CE46DDD" w14:textId="01889978" w:rsidR="00257779" w:rsidRPr="00407C66" w:rsidRDefault="00257779" w:rsidP="00BA012F">
            <w:pPr>
              <w:pBdr>
                <w:top w:val="nil"/>
                <w:left w:val="nil"/>
                <w:bottom w:val="nil"/>
                <w:right w:val="nil"/>
                <w:between w:val="nil"/>
              </w:pBdr>
              <w:tabs>
                <w:tab w:val="left" w:pos="9781"/>
              </w:tabs>
              <w:ind w:left="33" w:right="-52"/>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Asegurar que la unidad especial disponga de los recursos humanos, financieros y técnicos necesarios para llevar a cabo las investigaciones de las graves violaciones de derechos humanos que ocurrieron durante el conflicto armado y garantizar el acceso a toda la información relacionada con estas violaciones, incluidos los archivos históricos de las Fuerzas Armadas;</w:t>
            </w:r>
          </w:p>
        </w:tc>
        <w:tc>
          <w:tcPr>
            <w:tcW w:w="11198" w:type="dxa"/>
            <w:tcBorders>
              <w:top w:val="single" w:sz="4" w:space="0" w:color="000000"/>
            </w:tcBorders>
          </w:tcPr>
          <w:p w14:paraId="2330D844" w14:textId="1C2D5E3C" w:rsidR="00257779" w:rsidRDefault="00257779" w:rsidP="00BA012F">
            <w:pPr>
              <w:jc w:val="both"/>
              <w:rPr>
                <w:rFonts w:asciiTheme="majorHAnsi" w:eastAsia="Arial" w:hAnsiTheme="majorHAnsi" w:cstheme="majorHAnsi"/>
                <w:color w:val="101010"/>
                <w:sz w:val="20"/>
                <w:szCs w:val="20"/>
              </w:rPr>
            </w:pPr>
            <w:r w:rsidRPr="00407C66">
              <w:rPr>
                <w:rFonts w:asciiTheme="majorHAnsi" w:eastAsia="Arial" w:hAnsiTheme="majorHAnsi" w:cstheme="majorHAnsi"/>
                <w:b/>
                <w:color w:val="101010"/>
                <w:sz w:val="20"/>
                <w:szCs w:val="20"/>
              </w:rPr>
              <w:t xml:space="preserve">El </w:t>
            </w:r>
            <w:r w:rsidR="00046214">
              <w:rPr>
                <w:rFonts w:asciiTheme="majorHAnsi" w:eastAsia="Arial" w:hAnsiTheme="majorHAnsi" w:cstheme="majorHAnsi"/>
                <w:b/>
                <w:color w:val="101010"/>
                <w:sz w:val="20"/>
                <w:szCs w:val="20"/>
              </w:rPr>
              <w:t>E</w:t>
            </w:r>
            <w:r w:rsidRPr="00407C66">
              <w:rPr>
                <w:rFonts w:asciiTheme="majorHAnsi" w:eastAsia="Arial" w:hAnsiTheme="majorHAnsi" w:cstheme="majorHAnsi"/>
                <w:b/>
                <w:color w:val="101010"/>
                <w:sz w:val="20"/>
                <w:szCs w:val="20"/>
              </w:rPr>
              <w:t xml:space="preserve">stado no ha cumplido la recomendación </w:t>
            </w:r>
            <w:r w:rsidRPr="00D97091">
              <w:rPr>
                <w:rFonts w:asciiTheme="majorHAnsi" w:eastAsia="Arial" w:hAnsiTheme="majorHAnsi" w:cstheme="majorHAnsi"/>
                <w:b/>
                <w:bCs/>
                <w:color w:val="101010"/>
                <w:sz w:val="20"/>
                <w:szCs w:val="20"/>
              </w:rPr>
              <w:t>de</w:t>
            </w:r>
            <w:r w:rsidRPr="00046214">
              <w:rPr>
                <w:rFonts w:asciiTheme="majorHAnsi" w:eastAsia="Arial" w:hAnsiTheme="majorHAnsi" w:cstheme="majorHAnsi"/>
                <w:b/>
                <w:bCs/>
                <w:color w:val="101010"/>
                <w:sz w:val="20"/>
                <w:szCs w:val="20"/>
              </w:rPr>
              <w:t xml:space="preserve"> </w:t>
            </w:r>
            <w:r w:rsidRPr="00D97091">
              <w:rPr>
                <w:rFonts w:asciiTheme="majorHAnsi" w:eastAsia="Arial" w:hAnsiTheme="majorHAnsi" w:cstheme="majorHAnsi"/>
                <w:b/>
                <w:bCs/>
                <w:color w:val="101010"/>
                <w:sz w:val="20"/>
                <w:szCs w:val="20"/>
              </w:rPr>
              <w:t xml:space="preserve">asegurar </w:t>
            </w:r>
            <w:r w:rsidR="00046214" w:rsidRPr="00D97091">
              <w:rPr>
                <w:rFonts w:asciiTheme="majorHAnsi" w:eastAsia="Arial" w:hAnsiTheme="majorHAnsi" w:cstheme="majorHAnsi"/>
                <w:b/>
                <w:bCs/>
                <w:color w:val="101010"/>
                <w:sz w:val="20"/>
                <w:szCs w:val="20"/>
              </w:rPr>
              <w:t>los recursos humanos, financieros y técnicos</w:t>
            </w:r>
            <w:r w:rsidRPr="00D97091">
              <w:rPr>
                <w:rFonts w:asciiTheme="majorHAnsi" w:eastAsia="Arial" w:hAnsiTheme="majorHAnsi" w:cstheme="majorHAnsi"/>
                <w:b/>
                <w:bCs/>
                <w:color w:val="101010"/>
                <w:sz w:val="20"/>
                <w:szCs w:val="20"/>
              </w:rPr>
              <w:t xml:space="preserve"> de la “Unidad de Investigación de Delitos Cometidos Durante el Conflicto Armado” (UID-CA).</w:t>
            </w:r>
            <w:r w:rsidRPr="00407C66">
              <w:rPr>
                <w:rFonts w:asciiTheme="majorHAnsi" w:eastAsia="Arial" w:hAnsiTheme="majorHAnsi" w:cstheme="majorHAnsi"/>
                <w:color w:val="101010"/>
                <w:sz w:val="20"/>
                <w:szCs w:val="20"/>
              </w:rPr>
              <w:t xml:space="preserve"> Según información pública de la Fiscalía General de la República (FGR), la UID-CA ha mantenido la misma cantidad de personal para atender los casos del conflicto armado en los últimos años. Desde 2016, tiene asignado a cuatro fiscales auxiliares; y desde 2018, agregó dos personas con cargos administrativos - secretaria y motorista.</w:t>
            </w:r>
            <w:r w:rsidRPr="00407C66">
              <w:rPr>
                <w:rFonts w:asciiTheme="majorHAnsi" w:eastAsia="Arial" w:hAnsiTheme="majorHAnsi" w:cstheme="majorHAnsi"/>
                <w:color w:val="101010"/>
                <w:sz w:val="20"/>
                <w:szCs w:val="20"/>
                <w:vertAlign w:val="superscript"/>
              </w:rPr>
              <w:footnoteReference w:id="5"/>
            </w:r>
            <w:r w:rsidRPr="00407C66">
              <w:rPr>
                <w:rFonts w:asciiTheme="majorHAnsi" w:eastAsia="Arial" w:hAnsiTheme="majorHAnsi" w:cstheme="majorHAnsi"/>
                <w:color w:val="101010"/>
                <w:sz w:val="20"/>
                <w:szCs w:val="20"/>
              </w:rPr>
              <w:t xml:space="preserve"> Este personal es insuficiente para atender aproximadamente 213 casos y se han judicializado</w:t>
            </w:r>
            <w:r w:rsidR="002F089E">
              <w:rPr>
                <w:rFonts w:asciiTheme="majorHAnsi" w:eastAsia="Arial" w:hAnsiTheme="majorHAnsi" w:cstheme="majorHAnsi"/>
                <w:color w:val="101010"/>
                <w:sz w:val="20"/>
                <w:szCs w:val="20"/>
              </w:rPr>
              <w:t xml:space="preserve"> </w:t>
            </w:r>
            <w:r w:rsidRPr="00407C66">
              <w:rPr>
                <w:rFonts w:asciiTheme="majorHAnsi" w:eastAsia="Arial" w:hAnsiTheme="majorHAnsi" w:cstheme="majorHAnsi"/>
                <w:color w:val="101010"/>
                <w:sz w:val="20"/>
                <w:szCs w:val="20"/>
              </w:rPr>
              <w:t>21 casos</w:t>
            </w:r>
            <w:r w:rsidRPr="00407C66">
              <w:rPr>
                <w:rFonts w:asciiTheme="majorHAnsi" w:eastAsia="Arial" w:hAnsiTheme="majorHAnsi" w:cstheme="majorHAnsi"/>
                <w:color w:val="101010"/>
                <w:sz w:val="20"/>
                <w:szCs w:val="20"/>
                <w:vertAlign w:val="superscript"/>
              </w:rPr>
              <w:footnoteReference w:id="6"/>
            </w:r>
            <w:r w:rsidRPr="00407C66">
              <w:rPr>
                <w:rFonts w:asciiTheme="majorHAnsi" w:eastAsia="Arial" w:hAnsiTheme="majorHAnsi" w:cstheme="majorHAnsi"/>
                <w:color w:val="101010"/>
                <w:sz w:val="20"/>
                <w:szCs w:val="20"/>
              </w:rPr>
              <w:t xml:space="preserve">, lo que implica que cada fiscal podría atender cerca de 53 casos, lo que es irrazonable para la dimensión de una investigación de crímenes de lesa humanidad. Adicionalmente, la unidad carece de investigadores policiales o peritos forenses. En el informe de labores de la </w:t>
            </w:r>
            <w:proofErr w:type="gramStart"/>
            <w:r w:rsidRPr="00407C66">
              <w:rPr>
                <w:rFonts w:asciiTheme="majorHAnsi" w:eastAsia="Arial" w:hAnsiTheme="majorHAnsi" w:cstheme="majorHAnsi"/>
                <w:color w:val="101010"/>
                <w:sz w:val="20"/>
                <w:szCs w:val="20"/>
              </w:rPr>
              <w:t>Fiscalía General</w:t>
            </w:r>
            <w:proofErr w:type="gramEnd"/>
            <w:r w:rsidRPr="00407C66">
              <w:rPr>
                <w:rFonts w:asciiTheme="majorHAnsi" w:eastAsia="Arial" w:hAnsiTheme="majorHAnsi" w:cstheme="majorHAnsi"/>
                <w:color w:val="101010"/>
                <w:sz w:val="20"/>
                <w:szCs w:val="20"/>
              </w:rPr>
              <w:t xml:space="preserve"> correspondiente al 2020-2021, no existe ningún reporte del trabajo desarrollado por el Grupo para la Investigación de los Delitos Cometidos durante el Conflicto Armado</w:t>
            </w:r>
            <w:r w:rsidRPr="00407C66">
              <w:rPr>
                <w:rFonts w:asciiTheme="majorHAnsi" w:eastAsia="Arial" w:hAnsiTheme="majorHAnsi" w:cstheme="majorHAnsi"/>
                <w:color w:val="101010"/>
                <w:sz w:val="20"/>
                <w:szCs w:val="20"/>
                <w:vertAlign w:val="superscript"/>
              </w:rPr>
              <w:footnoteReference w:id="7"/>
            </w:r>
            <w:r w:rsidRPr="00407C66">
              <w:rPr>
                <w:rFonts w:asciiTheme="majorHAnsi" w:eastAsia="Arial" w:hAnsiTheme="majorHAnsi" w:cstheme="majorHAnsi"/>
                <w:color w:val="101010"/>
                <w:sz w:val="20"/>
                <w:szCs w:val="20"/>
              </w:rPr>
              <w:t>.</w:t>
            </w:r>
          </w:p>
          <w:p w14:paraId="091E7D7C" w14:textId="77777777" w:rsidR="00046214" w:rsidRPr="00407C66" w:rsidRDefault="00046214" w:rsidP="00BA012F">
            <w:pPr>
              <w:jc w:val="both"/>
              <w:rPr>
                <w:rFonts w:asciiTheme="majorHAnsi" w:eastAsia="Arial" w:hAnsiTheme="majorHAnsi" w:cstheme="majorHAnsi"/>
                <w:color w:val="101010"/>
                <w:sz w:val="20"/>
                <w:szCs w:val="20"/>
              </w:rPr>
            </w:pPr>
          </w:p>
          <w:p w14:paraId="23E572F6" w14:textId="77777777" w:rsidR="00257779" w:rsidRPr="00407C66" w:rsidRDefault="00257779" w:rsidP="00BA012F">
            <w:pPr>
              <w:jc w:val="both"/>
              <w:rPr>
                <w:rFonts w:asciiTheme="majorHAnsi" w:eastAsia="Arial" w:hAnsiTheme="majorHAnsi" w:cstheme="majorHAnsi"/>
                <w:color w:val="101010"/>
                <w:sz w:val="20"/>
                <w:szCs w:val="20"/>
              </w:rPr>
            </w:pPr>
            <w:r w:rsidRPr="00407C66">
              <w:rPr>
                <w:rFonts w:asciiTheme="majorHAnsi" w:eastAsia="Arial" w:hAnsiTheme="majorHAnsi" w:cstheme="majorHAnsi"/>
                <w:color w:val="101010"/>
                <w:sz w:val="20"/>
                <w:szCs w:val="20"/>
              </w:rPr>
              <w:t>En cuanto al fortalecimiento financiero, la UID-CA no cuenta con un presupuesto especial para las investigaciones, sino que está considerada en la línea presupuestaria de “Defensa de los Intereses de la Sociedad – Delitos contra la sociedad”, en los últimos años ha tenido un aumento presupuestario como se observa en el siguiente cuadro</w:t>
            </w:r>
            <w:r w:rsidRPr="00407C66">
              <w:rPr>
                <w:rFonts w:asciiTheme="majorHAnsi" w:eastAsia="Arial" w:hAnsiTheme="majorHAnsi" w:cstheme="majorHAnsi"/>
                <w:color w:val="101010"/>
                <w:sz w:val="20"/>
                <w:szCs w:val="20"/>
                <w:vertAlign w:val="superscript"/>
              </w:rPr>
              <w:footnoteReference w:id="8"/>
            </w:r>
          </w:p>
          <w:p w14:paraId="3477FB12" w14:textId="77777777" w:rsidR="00257779" w:rsidRPr="00407C66" w:rsidRDefault="00257779" w:rsidP="00BA012F">
            <w:pPr>
              <w:jc w:val="both"/>
              <w:rPr>
                <w:rFonts w:asciiTheme="majorHAnsi" w:eastAsia="Arial" w:hAnsiTheme="majorHAnsi" w:cstheme="majorHAnsi"/>
                <w:color w:val="101010"/>
                <w:sz w:val="20"/>
                <w:szCs w:val="20"/>
              </w:rPr>
            </w:pPr>
            <w:r w:rsidRPr="00407C66">
              <w:rPr>
                <w:rFonts w:asciiTheme="majorHAnsi" w:eastAsia="Arial" w:hAnsiTheme="majorHAnsi" w:cstheme="majorHAnsi"/>
                <w:noProof/>
                <w:color w:val="101010"/>
                <w:sz w:val="20"/>
                <w:szCs w:val="20"/>
              </w:rPr>
              <w:drawing>
                <wp:inline distT="114300" distB="114300" distL="114300" distR="114300" wp14:anchorId="629EE1E6" wp14:editId="79296924">
                  <wp:extent cx="6066064" cy="1504950"/>
                  <wp:effectExtent l="0" t="0" r="508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091253" cy="1511199"/>
                          </a:xfrm>
                          <a:prstGeom prst="rect">
                            <a:avLst/>
                          </a:prstGeom>
                          <a:ln/>
                        </pic:spPr>
                      </pic:pic>
                    </a:graphicData>
                  </a:graphic>
                </wp:inline>
              </w:drawing>
            </w:r>
          </w:p>
          <w:p w14:paraId="46353624" w14:textId="77777777" w:rsidR="00257779" w:rsidRPr="00407C66" w:rsidRDefault="00257779" w:rsidP="00BA012F">
            <w:pPr>
              <w:jc w:val="both"/>
              <w:rPr>
                <w:rFonts w:asciiTheme="majorHAnsi" w:eastAsia="Arial" w:hAnsiTheme="majorHAnsi" w:cstheme="majorHAnsi"/>
                <w:b/>
                <w:color w:val="101010"/>
                <w:sz w:val="20"/>
                <w:szCs w:val="20"/>
              </w:rPr>
            </w:pPr>
          </w:p>
          <w:p w14:paraId="57178726" w14:textId="7B020269" w:rsidR="00257779" w:rsidRDefault="00257779" w:rsidP="00BA012F">
            <w:pPr>
              <w:jc w:val="both"/>
              <w:rPr>
                <w:rFonts w:asciiTheme="majorHAnsi" w:eastAsia="Arial" w:hAnsiTheme="majorHAnsi" w:cstheme="majorHAnsi"/>
                <w:color w:val="101010"/>
                <w:sz w:val="20"/>
                <w:szCs w:val="20"/>
              </w:rPr>
            </w:pPr>
            <w:r w:rsidRPr="00407C66">
              <w:rPr>
                <w:rFonts w:asciiTheme="majorHAnsi" w:eastAsia="Arial" w:hAnsiTheme="majorHAnsi" w:cstheme="majorHAnsi"/>
                <w:color w:val="101010"/>
                <w:sz w:val="20"/>
                <w:szCs w:val="20"/>
              </w:rPr>
              <w:t xml:space="preserve">Finalmente, los programas estatales para víctimas del conflicto armado tienen poco presupuesto. Algunos de estos programas permanecen en el Ministerio de Desarrollo Local, con un presupuesto de $1.9 millones de USD, destinados para salarios, y no para las indemnizaciones de los 5,223 usuarios registrados. El programa gubernamental de reparaciones (Decreto Ejecutivo 204) ha sido </w:t>
            </w:r>
            <w:r w:rsidRPr="00407C66">
              <w:rPr>
                <w:rFonts w:asciiTheme="majorHAnsi" w:eastAsia="Arial" w:hAnsiTheme="majorHAnsi" w:cstheme="majorHAnsi"/>
                <w:color w:val="101010"/>
                <w:sz w:val="20"/>
                <w:szCs w:val="20"/>
              </w:rPr>
              <w:lastRenderedPageBreak/>
              <w:t xml:space="preserve">eliminado de hecho por la actual administración, así como el apoyo mensual de $15 </w:t>
            </w:r>
            <w:r w:rsidR="002F089E">
              <w:rPr>
                <w:rFonts w:asciiTheme="majorHAnsi" w:eastAsia="Arial" w:hAnsiTheme="majorHAnsi" w:cstheme="majorHAnsi"/>
                <w:color w:val="101010"/>
                <w:sz w:val="20"/>
                <w:szCs w:val="20"/>
              </w:rPr>
              <w:t>USD</w:t>
            </w:r>
            <w:r w:rsidRPr="00407C66">
              <w:rPr>
                <w:rFonts w:asciiTheme="majorHAnsi" w:eastAsia="Arial" w:hAnsiTheme="majorHAnsi" w:cstheme="majorHAnsi"/>
                <w:color w:val="101010"/>
                <w:sz w:val="20"/>
                <w:szCs w:val="20"/>
              </w:rPr>
              <w:t xml:space="preserve"> que recibían las víctimas. Con ello no existe ninguna acción gubernamental de reparación a víctimas. </w:t>
            </w:r>
          </w:p>
          <w:p w14:paraId="17236112" w14:textId="77777777" w:rsidR="002F089E" w:rsidRPr="002F089E" w:rsidRDefault="002F089E" w:rsidP="00BA012F">
            <w:pPr>
              <w:jc w:val="both"/>
              <w:rPr>
                <w:rFonts w:asciiTheme="majorHAnsi" w:eastAsia="Arial" w:hAnsiTheme="majorHAnsi" w:cstheme="majorHAnsi"/>
                <w:color w:val="101010"/>
                <w:sz w:val="20"/>
                <w:szCs w:val="20"/>
              </w:rPr>
            </w:pPr>
          </w:p>
          <w:p w14:paraId="16D1E832" w14:textId="131A2684" w:rsidR="00257779" w:rsidRDefault="00257779" w:rsidP="00BA012F">
            <w:pPr>
              <w:jc w:val="both"/>
              <w:rPr>
                <w:rFonts w:asciiTheme="majorHAnsi" w:eastAsia="Arial" w:hAnsiTheme="majorHAnsi" w:cstheme="majorHAnsi"/>
                <w:color w:val="101010"/>
                <w:sz w:val="20"/>
                <w:szCs w:val="20"/>
              </w:rPr>
            </w:pPr>
            <w:r w:rsidRPr="00407C66">
              <w:rPr>
                <w:rFonts w:asciiTheme="majorHAnsi" w:eastAsia="Arial" w:hAnsiTheme="majorHAnsi" w:cstheme="majorHAnsi"/>
                <w:b/>
                <w:color w:val="101010"/>
                <w:sz w:val="20"/>
                <w:szCs w:val="20"/>
              </w:rPr>
              <w:t>El Estado de El Salvador no ha cumplido su obligación de garantizar el acceso a la información pública vinculada con</w:t>
            </w:r>
            <w:r w:rsidR="00C10F10">
              <w:rPr>
                <w:rFonts w:asciiTheme="majorHAnsi" w:eastAsia="Arial" w:hAnsiTheme="majorHAnsi" w:cstheme="majorHAnsi"/>
                <w:b/>
                <w:color w:val="101010"/>
                <w:sz w:val="20"/>
                <w:szCs w:val="20"/>
              </w:rPr>
              <w:t xml:space="preserve"> las graves violaciones de derechos humanos cometidos en el</w:t>
            </w:r>
            <w:r w:rsidRPr="00407C66">
              <w:rPr>
                <w:rFonts w:asciiTheme="majorHAnsi" w:eastAsia="Arial" w:hAnsiTheme="majorHAnsi" w:cstheme="majorHAnsi"/>
                <w:b/>
                <w:color w:val="101010"/>
                <w:sz w:val="20"/>
                <w:szCs w:val="20"/>
              </w:rPr>
              <w:t xml:space="preserve"> conflicto armado, en particular la resguardada por la Fuerza Armada. </w:t>
            </w:r>
            <w:r w:rsidRPr="00407C66">
              <w:rPr>
                <w:rFonts w:asciiTheme="majorHAnsi" w:eastAsia="Arial" w:hAnsiTheme="majorHAnsi" w:cstheme="majorHAnsi"/>
                <w:color w:val="101010"/>
                <w:sz w:val="20"/>
                <w:szCs w:val="20"/>
              </w:rPr>
              <w:t>Aún no se cuenta con la legislación que regule el acceso a los archivos militares y de los cuerpos de seguridad que operaron durante la guerra, tal como lo ordenó la Sala de lo Constitucional</w:t>
            </w:r>
            <w:r w:rsidRPr="00407C66">
              <w:rPr>
                <w:rFonts w:asciiTheme="majorHAnsi" w:eastAsia="Arial" w:hAnsiTheme="majorHAnsi" w:cstheme="majorHAnsi"/>
                <w:color w:val="101010"/>
                <w:sz w:val="20"/>
                <w:szCs w:val="20"/>
                <w:vertAlign w:val="superscript"/>
              </w:rPr>
              <w:footnoteReference w:id="9"/>
            </w:r>
            <w:r w:rsidRPr="00407C66">
              <w:rPr>
                <w:rFonts w:asciiTheme="majorHAnsi" w:eastAsia="Arial" w:hAnsiTheme="majorHAnsi" w:cstheme="majorHAnsi"/>
                <w:color w:val="101010"/>
                <w:sz w:val="20"/>
                <w:szCs w:val="20"/>
              </w:rPr>
              <w:t xml:space="preserve">. </w:t>
            </w:r>
            <w:r w:rsidR="002F089E">
              <w:rPr>
                <w:rFonts w:asciiTheme="majorHAnsi" w:eastAsia="Arial" w:hAnsiTheme="majorHAnsi" w:cstheme="majorHAnsi"/>
                <w:color w:val="101010"/>
                <w:sz w:val="20"/>
                <w:szCs w:val="20"/>
              </w:rPr>
              <w:t>L</w:t>
            </w:r>
            <w:r w:rsidRPr="00407C66">
              <w:rPr>
                <w:rFonts w:asciiTheme="majorHAnsi" w:eastAsia="Arial" w:hAnsiTheme="majorHAnsi" w:cstheme="majorHAnsi"/>
                <w:color w:val="101010"/>
                <w:sz w:val="20"/>
                <w:szCs w:val="20"/>
              </w:rPr>
              <w:t>os colectivos de víctimas y organizaciones de derechos humanos han tenido un trabajo proactivo y propositivo con las instituciones estatales responsables, acercando una propuesta de ley conforme a los estándares internacionales</w:t>
            </w:r>
            <w:r w:rsidR="002F089E">
              <w:rPr>
                <w:rFonts w:asciiTheme="majorHAnsi" w:eastAsia="Arial" w:hAnsiTheme="majorHAnsi" w:cstheme="majorHAnsi"/>
                <w:color w:val="101010"/>
                <w:sz w:val="20"/>
                <w:szCs w:val="20"/>
              </w:rPr>
              <w:t>. A</w:t>
            </w:r>
            <w:r w:rsidRPr="00407C66">
              <w:rPr>
                <w:rFonts w:asciiTheme="majorHAnsi" w:eastAsia="Arial" w:hAnsiTheme="majorHAnsi" w:cstheme="majorHAnsi"/>
                <w:color w:val="101010"/>
                <w:sz w:val="20"/>
                <w:szCs w:val="20"/>
              </w:rPr>
              <w:t xml:space="preserve"> la fecha la Asamblea Legislativa se encuentra realizando un proceso de construcción de esta ley, negando la participación de las víctimas en este tipo de procesos.  </w:t>
            </w:r>
          </w:p>
          <w:p w14:paraId="0A4CFD80" w14:textId="77777777" w:rsidR="00046214" w:rsidRPr="00407C66" w:rsidRDefault="00046214" w:rsidP="00BA012F">
            <w:pPr>
              <w:jc w:val="both"/>
              <w:rPr>
                <w:rFonts w:asciiTheme="majorHAnsi" w:eastAsia="Arial" w:hAnsiTheme="majorHAnsi" w:cstheme="majorHAnsi"/>
                <w:color w:val="101010"/>
                <w:sz w:val="20"/>
                <w:szCs w:val="20"/>
              </w:rPr>
            </w:pPr>
          </w:p>
          <w:p w14:paraId="0DC57419" w14:textId="6D4456EA" w:rsidR="00257779" w:rsidRDefault="00257779" w:rsidP="00BA012F">
            <w:pPr>
              <w:jc w:val="both"/>
              <w:rPr>
                <w:rFonts w:asciiTheme="majorHAnsi" w:eastAsia="Arial" w:hAnsiTheme="majorHAnsi" w:cstheme="majorHAnsi"/>
                <w:color w:val="101010"/>
                <w:sz w:val="20"/>
                <w:szCs w:val="20"/>
              </w:rPr>
            </w:pPr>
            <w:r w:rsidRPr="00407C66">
              <w:rPr>
                <w:rFonts w:asciiTheme="majorHAnsi" w:eastAsia="Arial" w:hAnsiTheme="majorHAnsi" w:cstheme="majorHAnsi"/>
                <w:color w:val="101010"/>
                <w:sz w:val="20"/>
                <w:szCs w:val="20"/>
              </w:rPr>
              <w:t xml:space="preserve">Se ha constatado la obstrucción del acceso a información de archivos militares en casos del conflicto armado. Se destaca la desobediencia de la Fuerza Armada de El Salvador –apoyada por el </w:t>
            </w:r>
            <w:proofErr w:type="gramStart"/>
            <w:r w:rsidRPr="00407C66">
              <w:rPr>
                <w:rFonts w:asciiTheme="majorHAnsi" w:eastAsia="Arial" w:hAnsiTheme="majorHAnsi" w:cstheme="majorHAnsi"/>
                <w:color w:val="101010"/>
                <w:sz w:val="20"/>
                <w:szCs w:val="20"/>
              </w:rPr>
              <w:t>Presidente</w:t>
            </w:r>
            <w:proofErr w:type="gramEnd"/>
            <w:r w:rsidRPr="00407C66">
              <w:rPr>
                <w:rFonts w:asciiTheme="majorHAnsi" w:eastAsia="Arial" w:hAnsiTheme="majorHAnsi" w:cstheme="majorHAnsi"/>
                <w:color w:val="101010"/>
                <w:sz w:val="20"/>
                <w:szCs w:val="20"/>
              </w:rPr>
              <w:t xml:space="preserve"> de la República–, a una orden judicial del Juez de Primera Instancia de San Francisco Gotera en la causa penal de la masacre de El Mozote y lugares aledaños, para inspeccionar judicialmente 8 instalaciones militares</w:t>
            </w:r>
            <w:r w:rsidRPr="00407C66">
              <w:rPr>
                <w:rFonts w:asciiTheme="majorHAnsi" w:eastAsia="Arial" w:hAnsiTheme="majorHAnsi" w:cstheme="majorHAnsi"/>
                <w:color w:val="101010"/>
                <w:sz w:val="20"/>
                <w:szCs w:val="20"/>
                <w:vertAlign w:val="superscript"/>
              </w:rPr>
              <w:footnoteReference w:id="10"/>
            </w:r>
            <w:r w:rsidRPr="00407C66">
              <w:rPr>
                <w:rFonts w:asciiTheme="majorHAnsi" w:eastAsia="Arial" w:hAnsiTheme="majorHAnsi" w:cstheme="majorHAnsi"/>
                <w:color w:val="101010"/>
                <w:sz w:val="20"/>
                <w:szCs w:val="20"/>
              </w:rPr>
              <w:t>. La obstrucción incluyó estrategias jurídicas y de facto. El Ministro de la Defensa Nacional presentó una solicitud para que la Corte Suprema de Justicia detuviera la orden, la cual fue rechazada; posteriormente, negó el acceso al juez en cada una de las inspecciones programadas</w:t>
            </w:r>
            <w:r w:rsidRPr="00407C66">
              <w:rPr>
                <w:rFonts w:asciiTheme="majorHAnsi" w:eastAsia="Arial" w:hAnsiTheme="majorHAnsi" w:cstheme="majorHAnsi"/>
                <w:color w:val="101010"/>
                <w:sz w:val="20"/>
                <w:szCs w:val="20"/>
                <w:vertAlign w:val="superscript"/>
              </w:rPr>
              <w:footnoteReference w:id="11"/>
            </w:r>
            <w:r w:rsidRPr="00407C66">
              <w:rPr>
                <w:rFonts w:asciiTheme="majorHAnsi" w:eastAsia="Arial" w:hAnsiTheme="majorHAnsi" w:cstheme="majorHAnsi"/>
                <w:color w:val="101010"/>
                <w:sz w:val="20"/>
                <w:szCs w:val="20"/>
              </w:rPr>
              <w:t xml:space="preserve"> . “El juez de (caso El Mozote) San Francisco Gotera no tiene jurisdicción sobre la Fuerza Armada</w:t>
            </w:r>
            <w:r w:rsidRPr="00407C66">
              <w:rPr>
                <w:rStyle w:val="FootnoteReference"/>
                <w:rFonts w:asciiTheme="majorHAnsi" w:eastAsia="Arial" w:hAnsiTheme="majorHAnsi" w:cstheme="majorHAnsi"/>
                <w:color w:val="101010"/>
                <w:sz w:val="20"/>
                <w:szCs w:val="20"/>
              </w:rPr>
              <w:footnoteReference w:id="12"/>
            </w:r>
            <w:r w:rsidRPr="00407C66">
              <w:rPr>
                <w:rFonts w:asciiTheme="majorHAnsi" w:eastAsia="Arial" w:hAnsiTheme="majorHAnsi" w:cstheme="majorHAnsi"/>
                <w:color w:val="101010"/>
                <w:sz w:val="20"/>
                <w:szCs w:val="20"/>
              </w:rPr>
              <w:t>”, afirmaba el presidente de la República. Con la remoción de la Sala de lo Constitucional en mayo de 2021 y las reformas a la Ley de la Carrera Judicial</w:t>
            </w:r>
            <w:r w:rsidR="004B5461">
              <w:rPr>
                <w:rFonts w:asciiTheme="majorHAnsi" w:eastAsia="Arial" w:hAnsiTheme="majorHAnsi" w:cstheme="majorHAnsi"/>
                <w:color w:val="101010"/>
                <w:sz w:val="20"/>
                <w:szCs w:val="20"/>
              </w:rPr>
              <w:t xml:space="preserve"> en septiembre de 2021</w:t>
            </w:r>
            <w:r w:rsidRPr="00407C66">
              <w:rPr>
                <w:rFonts w:asciiTheme="majorHAnsi" w:eastAsia="Arial" w:hAnsiTheme="majorHAnsi" w:cstheme="majorHAnsi"/>
                <w:color w:val="101010"/>
                <w:sz w:val="20"/>
                <w:szCs w:val="20"/>
              </w:rPr>
              <w:t>, se procedió a apartar al juez del caso de la masacre de El Mozote</w:t>
            </w:r>
            <w:r w:rsidRPr="00407C66">
              <w:rPr>
                <w:rFonts w:asciiTheme="majorHAnsi" w:eastAsia="Arial" w:hAnsiTheme="majorHAnsi" w:cstheme="majorHAnsi"/>
                <w:color w:val="101010"/>
                <w:sz w:val="20"/>
                <w:szCs w:val="20"/>
                <w:vertAlign w:val="superscript"/>
              </w:rPr>
              <w:footnoteReference w:id="13"/>
            </w:r>
            <w:r w:rsidRPr="00407C66">
              <w:rPr>
                <w:rFonts w:asciiTheme="majorHAnsi" w:eastAsia="Arial" w:hAnsiTheme="majorHAnsi" w:cstheme="majorHAnsi"/>
                <w:color w:val="101010"/>
                <w:sz w:val="20"/>
                <w:szCs w:val="20"/>
              </w:rPr>
              <w:t xml:space="preserve">. </w:t>
            </w:r>
          </w:p>
          <w:p w14:paraId="6077355B" w14:textId="77777777" w:rsidR="00046214" w:rsidRPr="00407C66" w:rsidRDefault="00046214" w:rsidP="00BA012F">
            <w:pPr>
              <w:jc w:val="both"/>
              <w:rPr>
                <w:rFonts w:asciiTheme="majorHAnsi" w:eastAsia="Arial" w:hAnsiTheme="majorHAnsi" w:cstheme="majorHAnsi"/>
                <w:color w:val="101010"/>
                <w:sz w:val="20"/>
                <w:szCs w:val="20"/>
              </w:rPr>
            </w:pPr>
          </w:p>
          <w:p w14:paraId="602D8CDF" w14:textId="3FE52707" w:rsidR="00257779" w:rsidRPr="0044156F" w:rsidRDefault="00257779" w:rsidP="00BA012F">
            <w:pPr>
              <w:jc w:val="both"/>
              <w:rPr>
                <w:rFonts w:asciiTheme="majorHAnsi" w:eastAsia="Arial" w:hAnsiTheme="majorHAnsi" w:cstheme="majorHAnsi"/>
                <w:b/>
                <w:color w:val="101010"/>
                <w:sz w:val="20"/>
                <w:szCs w:val="20"/>
              </w:rPr>
            </w:pPr>
            <w:r w:rsidRPr="00407C66">
              <w:rPr>
                <w:rFonts w:asciiTheme="majorHAnsi" w:eastAsia="Arial" w:hAnsiTheme="majorHAnsi" w:cstheme="majorHAnsi"/>
                <w:color w:val="101010"/>
                <w:sz w:val="20"/>
                <w:szCs w:val="20"/>
              </w:rPr>
              <w:t>Aunado al patrón de negación de</w:t>
            </w:r>
            <w:r w:rsidR="004B5461">
              <w:rPr>
                <w:rFonts w:asciiTheme="majorHAnsi" w:eastAsia="Arial" w:hAnsiTheme="majorHAnsi" w:cstheme="majorHAnsi"/>
                <w:color w:val="101010"/>
                <w:sz w:val="20"/>
                <w:szCs w:val="20"/>
              </w:rPr>
              <w:t xml:space="preserve"> acceso a</w:t>
            </w:r>
            <w:r w:rsidRPr="00407C66">
              <w:rPr>
                <w:rFonts w:asciiTheme="majorHAnsi" w:eastAsia="Arial" w:hAnsiTheme="majorHAnsi" w:cstheme="majorHAnsi"/>
                <w:color w:val="101010"/>
                <w:sz w:val="20"/>
                <w:szCs w:val="20"/>
              </w:rPr>
              <w:t xml:space="preserve"> los archivos militares, también se ha realizado un proceso de </w:t>
            </w:r>
            <w:r w:rsidR="00BB2AA9">
              <w:rPr>
                <w:rFonts w:asciiTheme="majorHAnsi" w:eastAsia="Arial" w:hAnsiTheme="majorHAnsi" w:cstheme="majorHAnsi"/>
                <w:color w:val="101010"/>
                <w:sz w:val="20"/>
                <w:szCs w:val="20"/>
              </w:rPr>
              <w:t>debilitamiento</w:t>
            </w:r>
            <w:r w:rsidRPr="00407C66">
              <w:rPr>
                <w:rFonts w:asciiTheme="majorHAnsi" w:eastAsia="Arial" w:hAnsiTheme="majorHAnsi" w:cstheme="majorHAnsi"/>
                <w:color w:val="101010"/>
                <w:sz w:val="20"/>
                <w:szCs w:val="20"/>
              </w:rPr>
              <w:t xml:space="preserve"> de las instancias que deberían garantizar el acceso a la información. La Sala de lo Constitucional responde al </w:t>
            </w:r>
            <w:proofErr w:type="spellStart"/>
            <w:r w:rsidR="00BB2AA9">
              <w:rPr>
                <w:rFonts w:asciiTheme="majorHAnsi" w:eastAsia="Arial" w:hAnsiTheme="majorHAnsi" w:cstheme="majorHAnsi"/>
                <w:color w:val="101010"/>
                <w:sz w:val="20"/>
                <w:szCs w:val="20"/>
              </w:rPr>
              <w:t>ejecutivi</w:t>
            </w:r>
            <w:proofErr w:type="spellEnd"/>
            <w:r w:rsidRPr="00407C66">
              <w:rPr>
                <w:rFonts w:asciiTheme="majorHAnsi" w:eastAsia="Arial" w:hAnsiTheme="majorHAnsi" w:cstheme="majorHAnsi"/>
                <w:color w:val="101010"/>
                <w:sz w:val="20"/>
                <w:szCs w:val="20"/>
              </w:rPr>
              <w:t xml:space="preserve"> y </w:t>
            </w:r>
            <w:r w:rsidR="0079762C">
              <w:rPr>
                <w:rFonts w:asciiTheme="majorHAnsi" w:eastAsia="Arial" w:hAnsiTheme="majorHAnsi" w:cstheme="majorHAnsi"/>
                <w:color w:val="101010"/>
                <w:sz w:val="20"/>
                <w:szCs w:val="20"/>
              </w:rPr>
              <w:t>las funciones d</w:t>
            </w:r>
            <w:r w:rsidRPr="00407C66">
              <w:rPr>
                <w:rFonts w:asciiTheme="majorHAnsi" w:eastAsia="Arial" w:hAnsiTheme="majorHAnsi" w:cstheme="majorHAnsi"/>
                <w:color w:val="101010"/>
                <w:sz w:val="20"/>
                <w:szCs w:val="20"/>
              </w:rPr>
              <w:t>el Instituto de Acceso a la Información</w:t>
            </w:r>
            <w:r w:rsidR="00C10F10">
              <w:rPr>
                <w:rFonts w:asciiTheme="majorHAnsi" w:eastAsia="Arial" w:hAnsiTheme="majorHAnsi" w:cstheme="majorHAnsi"/>
                <w:color w:val="101010"/>
                <w:sz w:val="20"/>
                <w:szCs w:val="20"/>
              </w:rPr>
              <w:t xml:space="preserve"> ha</w:t>
            </w:r>
            <w:r w:rsidR="00BB2AA9">
              <w:rPr>
                <w:rFonts w:asciiTheme="majorHAnsi" w:eastAsia="Arial" w:hAnsiTheme="majorHAnsi" w:cstheme="majorHAnsi"/>
                <w:color w:val="101010"/>
                <w:sz w:val="20"/>
                <w:szCs w:val="20"/>
              </w:rPr>
              <w:t>n</w:t>
            </w:r>
            <w:r w:rsidR="00C10F10">
              <w:rPr>
                <w:rFonts w:asciiTheme="majorHAnsi" w:eastAsia="Arial" w:hAnsiTheme="majorHAnsi" w:cstheme="majorHAnsi"/>
                <w:color w:val="101010"/>
                <w:sz w:val="20"/>
                <w:szCs w:val="20"/>
              </w:rPr>
              <w:t xml:space="preserve"> sido reducid</w:t>
            </w:r>
            <w:r w:rsidR="00BB2AA9">
              <w:rPr>
                <w:rFonts w:asciiTheme="majorHAnsi" w:eastAsia="Arial" w:hAnsiTheme="majorHAnsi" w:cstheme="majorHAnsi"/>
                <w:color w:val="101010"/>
                <w:sz w:val="20"/>
                <w:szCs w:val="20"/>
              </w:rPr>
              <w:t>a</w:t>
            </w:r>
            <w:r w:rsidR="0079762C">
              <w:rPr>
                <w:rFonts w:asciiTheme="majorHAnsi" w:eastAsia="Arial" w:hAnsiTheme="majorHAnsi" w:cstheme="majorHAnsi"/>
                <w:color w:val="101010"/>
                <w:sz w:val="20"/>
                <w:szCs w:val="20"/>
              </w:rPr>
              <w:t xml:space="preserve">s de hecho </w:t>
            </w:r>
            <w:r w:rsidR="00BB2AA9">
              <w:rPr>
                <w:rFonts w:asciiTheme="majorHAnsi" w:eastAsia="Arial" w:hAnsiTheme="majorHAnsi" w:cstheme="majorHAnsi"/>
                <w:color w:val="101010"/>
                <w:sz w:val="20"/>
                <w:szCs w:val="20"/>
              </w:rPr>
              <w:t>resultando en</w:t>
            </w:r>
            <w:r w:rsidRPr="00407C66">
              <w:rPr>
                <w:rFonts w:asciiTheme="majorHAnsi" w:eastAsia="Arial" w:hAnsiTheme="majorHAnsi" w:cstheme="majorHAnsi"/>
                <w:color w:val="101010"/>
                <w:sz w:val="20"/>
                <w:szCs w:val="20"/>
              </w:rPr>
              <w:t xml:space="preserve"> </w:t>
            </w:r>
            <w:r w:rsidR="00C10F10">
              <w:rPr>
                <w:rFonts w:asciiTheme="majorHAnsi" w:eastAsia="Arial" w:hAnsiTheme="majorHAnsi" w:cstheme="majorHAnsi"/>
                <w:color w:val="101010"/>
                <w:sz w:val="20"/>
                <w:szCs w:val="20"/>
              </w:rPr>
              <w:t xml:space="preserve">falta de transparencia </w:t>
            </w:r>
            <w:r w:rsidRPr="00407C66">
              <w:rPr>
                <w:rFonts w:asciiTheme="majorHAnsi" w:eastAsia="Arial" w:hAnsiTheme="majorHAnsi" w:cstheme="majorHAnsi"/>
                <w:color w:val="101010"/>
                <w:sz w:val="20"/>
                <w:szCs w:val="20"/>
              </w:rPr>
              <w:t xml:space="preserve">en el manejo de la </w:t>
            </w:r>
            <w:r w:rsidR="004B5461">
              <w:rPr>
                <w:rFonts w:asciiTheme="majorHAnsi" w:eastAsia="Arial" w:hAnsiTheme="majorHAnsi" w:cstheme="majorHAnsi"/>
                <w:color w:val="101010"/>
                <w:sz w:val="20"/>
                <w:szCs w:val="20"/>
              </w:rPr>
              <w:t>información</w:t>
            </w:r>
            <w:r w:rsidRPr="00407C66">
              <w:rPr>
                <w:rFonts w:asciiTheme="majorHAnsi" w:eastAsia="Arial" w:hAnsiTheme="majorHAnsi" w:cstheme="majorHAnsi"/>
                <w:color w:val="101010"/>
                <w:sz w:val="20"/>
                <w:szCs w:val="20"/>
              </w:rPr>
              <w:t xml:space="preserve"> pública.</w:t>
            </w:r>
          </w:p>
        </w:tc>
      </w:tr>
      <w:tr w:rsidR="00257779" w:rsidRPr="00407C66" w14:paraId="6E0D371F" w14:textId="77777777" w:rsidTr="00257779">
        <w:tc>
          <w:tcPr>
            <w:tcW w:w="3290" w:type="dxa"/>
          </w:tcPr>
          <w:p w14:paraId="74B114A5" w14:textId="123E7B97" w:rsidR="00257779" w:rsidRPr="00407C66" w:rsidRDefault="00257779" w:rsidP="00BA012F">
            <w:pPr>
              <w:pBdr>
                <w:top w:val="nil"/>
                <w:left w:val="nil"/>
                <w:bottom w:val="nil"/>
                <w:right w:val="nil"/>
                <w:between w:val="nil"/>
              </w:pBdr>
              <w:tabs>
                <w:tab w:val="left" w:pos="9781"/>
              </w:tabs>
              <w:ind w:right="-52"/>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lastRenderedPageBreak/>
              <w:t xml:space="preserve">Garantizar la total protección, seguridad personal e independencia del Fiscal General y su oficina, incluyendo la total implementación de las medidas cautelares concedidas por </w:t>
            </w:r>
            <w:r w:rsidRPr="00407C66">
              <w:rPr>
                <w:rFonts w:asciiTheme="majorHAnsi" w:hAnsiTheme="majorHAnsi" w:cstheme="majorHAnsi"/>
                <w:color w:val="101010"/>
                <w:sz w:val="20"/>
                <w:szCs w:val="20"/>
              </w:rPr>
              <w:lastRenderedPageBreak/>
              <w:t>la Comisión Interamericana de Derechos Humanos, y tomar las medidas necesarias para prevenir actos de intimidación contra funcionarios públicos y miembros de la sociedad civil que están investigando estos casos</w:t>
            </w:r>
          </w:p>
        </w:tc>
        <w:tc>
          <w:tcPr>
            <w:tcW w:w="111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E7A6F" w14:textId="337658F6" w:rsidR="00257779" w:rsidRPr="00407C66" w:rsidRDefault="00257779" w:rsidP="005560DA">
            <w:pPr>
              <w:tabs>
                <w:tab w:val="left" w:pos="9781"/>
              </w:tabs>
              <w:jc w:val="both"/>
              <w:rPr>
                <w:rFonts w:asciiTheme="majorHAnsi" w:eastAsia="Arial" w:hAnsiTheme="majorHAnsi" w:cstheme="majorHAnsi"/>
                <w:color w:val="101010"/>
                <w:sz w:val="20"/>
                <w:szCs w:val="20"/>
              </w:rPr>
            </w:pPr>
            <w:r w:rsidRPr="00407C66">
              <w:rPr>
                <w:rFonts w:asciiTheme="majorHAnsi" w:eastAsia="Arial" w:hAnsiTheme="majorHAnsi" w:cstheme="majorHAnsi"/>
                <w:b/>
                <w:color w:val="101010"/>
                <w:sz w:val="20"/>
                <w:szCs w:val="20"/>
              </w:rPr>
              <w:lastRenderedPageBreak/>
              <w:t>El Estado ha realizado acciones contrarias a la recomendación</w:t>
            </w:r>
            <w:r w:rsidR="006B7253">
              <w:rPr>
                <w:rFonts w:asciiTheme="majorHAnsi" w:eastAsia="Arial" w:hAnsiTheme="majorHAnsi" w:cstheme="majorHAnsi"/>
                <w:b/>
                <w:color w:val="101010"/>
                <w:sz w:val="20"/>
                <w:szCs w:val="20"/>
              </w:rPr>
              <w:t xml:space="preserve"> de garantizar la</w:t>
            </w:r>
            <w:r w:rsidR="006B7253" w:rsidRPr="006B7253">
              <w:rPr>
                <w:rFonts w:asciiTheme="majorHAnsi" w:eastAsia="Arial" w:hAnsiTheme="majorHAnsi" w:cstheme="majorHAnsi"/>
                <w:b/>
                <w:color w:val="101010"/>
                <w:sz w:val="20"/>
                <w:szCs w:val="20"/>
              </w:rPr>
              <w:t xml:space="preserve"> </w:t>
            </w:r>
            <w:r w:rsidR="006B7253" w:rsidRPr="00D97091">
              <w:rPr>
                <w:rFonts w:asciiTheme="majorHAnsi" w:hAnsiTheme="majorHAnsi" w:cstheme="majorHAnsi"/>
                <w:b/>
                <w:color w:val="101010"/>
                <w:sz w:val="20"/>
                <w:szCs w:val="20"/>
              </w:rPr>
              <w:t xml:space="preserve">protección, seguridad personal e independencia del </w:t>
            </w:r>
            <w:proofErr w:type="gramStart"/>
            <w:r w:rsidR="006B7253" w:rsidRPr="00D97091">
              <w:rPr>
                <w:rFonts w:asciiTheme="majorHAnsi" w:hAnsiTheme="majorHAnsi" w:cstheme="majorHAnsi"/>
                <w:b/>
                <w:color w:val="101010"/>
                <w:sz w:val="20"/>
                <w:szCs w:val="20"/>
              </w:rPr>
              <w:t>Fiscal General</w:t>
            </w:r>
            <w:proofErr w:type="gramEnd"/>
            <w:r w:rsidR="006B7253" w:rsidRPr="00D97091">
              <w:rPr>
                <w:rFonts w:asciiTheme="majorHAnsi" w:hAnsiTheme="majorHAnsi" w:cstheme="majorHAnsi"/>
                <w:b/>
                <w:color w:val="101010"/>
                <w:sz w:val="20"/>
                <w:szCs w:val="20"/>
              </w:rPr>
              <w:t xml:space="preserve"> y su oficina</w:t>
            </w:r>
            <w:r w:rsidRPr="006B7253">
              <w:rPr>
                <w:rFonts w:asciiTheme="majorHAnsi" w:eastAsia="Arial" w:hAnsiTheme="majorHAnsi" w:cstheme="majorHAnsi"/>
                <w:b/>
                <w:color w:val="101010"/>
                <w:sz w:val="20"/>
                <w:szCs w:val="20"/>
              </w:rPr>
              <w:t>.</w:t>
            </w:r>
            <w:r w:rsidR="006B7253">
              <w:rPr>
                <w:rFonts w:asciiTheme="majorHAnsi" w:eastAsia="Arial" w:hAnsiTheme="majorHAnsi" w:cstheme="majorHAnsi"/>
                <w:color w:val="101010"/>
                <w:sz w:val="20"/>
                <w:szCs w:val="20"/>
              </w:rPr>
              <w:t xml:space="preserve"> Desde el 1° de mayo de 2021, el </w:t>
            </w:r>
            <w:r w:rsidRPr="00407C66">
              <w:rPr>
                <w:rFonts w:asciiTheme="majorHAnsi" w:eastAsia="Arial" w:hAnsiTheme="majorHAnsi" w:cstheme="majorHAnsi"/>
                <w:color w:val="101010"/>
                <w:sz w:val="20"/>
                <w:szCs w:val="20"/>
              </w:rPr>
              <w:t xml:space="preserve">Estado de Derecho y la independencia de poderes </w:t>
            </w:r>
            <w:r w:rsidR="006B7253">
              <w:rPr>
                <w:rFonts w:asciiTheme="majorHAnsi" w:eastAsia="Arial" w:hAnsiTheme="majorHAnsi" w:cstheme="majorHAnsi"/>
                <w:color w:val="101010"/>
                <w:sz w:val="20"/>
                <w:szCs w:val="20"/>
              </w:rPr>
              <w:t xml:space="preserve">en </w:t>
            </w:r>
            <w:r w:rsidRPr="00407C66">
              <w:rPr>
                <w:rFonts w:asciiTheme="majorHAnsi" w:eastAsia="Arial" w:hAnsiTheme="majorHAnsi" w:cstheme="majorHAnsi"/>
                <w:color w:val="101010"/>
                <w:sz w:val="20"/>
                <w:szCs w:val="20"/>
              </w:rPr>
              <w:t xml:space="preserve">El Salvador </w:t>
            </w:r>
            <w:r w:rsidR="006B7253">
              <w:rPr>
                <w:rFonts w:asciiTheme="majorHAnsi" w:eastAsia="Arial" w:hAnsiTheme="majorHAnsi" w:cstheme="majorHAnsi"/>
                <w:color w:val="101010"/>
                <w:sz w:val="20"/>
                <w:szCs w:val="20"/>
              </w:rPr>
              <w:t>se ha visto gravemente afectada</w:t>
            </w:r>
            <w:r w:rsidRPr="00407C66">
              <w:rPr>
                <w:rFonts w:asciiTheme="majorHAnsi" w:eastAsia="Arial" w:hAnsiTheme="majorHAnsi" w:cstheme="majorHAnsi"/>
                <w:color w:val="101010"/>
                <w:sz w:val="20"/>
                <w:szCs w:val="20"/>
              </w:rPr>
              <w:t xml:space="preserve">. La remoción inconstitucional e ilegal del Fiscal General de la República, Raúl Melara, con los votos de la bancada oficialista; y el nombramiento del actual Fiscal Rodolfo Delgado en clara contravención a la Constitución de la República, impactó </w:t>
            </w:r>
            <w:r w:rsidRPr="00407C66">
              <w:rPr>
                <w:rFonts w:asciiTheme="majorHAnsi" w:eastAsia="Arial" w:hAnsiTheme="majorHAnsi" w:cstheme="majorHAnsi"/>
                <w:color w:val="101010"/>
                <w:sz w:val="20"/>
                <w:szCs w:val="20"/>
              </w:rPr>
              <w:lastRenderedPageBreak/>
              <w:t xml:space="preserve">negativamente en la independencia y autonomía de la FGR. Rodolfo Delgado fue reelecto para un nuevo período en diciembre </w:t>
            </w:r>
            <w:r w:rsidR="006B7253">
              <w:rPr>
                <w:rFonts w:asciiTheme="majorHAnsi" w:eastAsia="Arial" w:hAnsiTheme="majorHAnsi" w:cstheme="majorHAnsi"/>
                <w:color w:val="101010"/>
                <w:sz w:val="20"/>
                <w:szCs w:val="20"/>
              </w:rPr>
              <w:t>de 2021</w:t>
            </w:r>
            <w:r w:rsidRPr="00407C66">
              <w:rPr>
                <w:rFonts w:asciiTheme="majorHAnsi" w:eastAsia="Arial" w:hAnsiTheme="majorHAnsi" w:cstheme="majorHAnsi"/>
                <w:color w:val="101010"/>
                <w:sz w:val="20"/>
                <w:szCs w:val="20"/>
              </w:rPr>
              <w:t>; en contra de los estándares internacionales y garantías mínimas de independencia e imparcialidad.</w:t>
            </w:r>
          </w:p>
          <w:p w14:paraId="3E5BBEBA" w14:textId="5EF6E4E0" w:rsidR="00257779" w:rsidRDefault="00257779" w:rsidP="00BA012F">
            <w:pPr>
              <w:tabs>
                <w:tab w:val="left" w:pos="9781"/>
              </w:tabs>
              <w:jc w:val="both"/>
              <w:rPr>
                <w:rFonts w:asciiTheme="majorHAnsi" w:eastAsia="Arial" w:hAnsiTheme="majorHAnsi" w:cstheme="majorHAnsi"/>
                <w:color w:val="101010"/>
                <w:sz w:val="20"/>
                <w:szCs w:val="20"/>
              </w:rPr>
            </w:pPr>
            <w:r w:rsidRPr="00407C66">
              <w:rPr>
                <w:rFonts w:asciiTheme="majorHAnsi" w:eastAsia="Arial" w:hAnsiTheme="majorHAnsi" w:cstheme="majorHAnsi"/>
                <w:color w:val="101010"/>
                <w:sz w:val="20"/>
                <w:szCs w:val="20"/>
              </w:rPr>
              <w:t>Una de las primeras acciones del Fiscal oficialista fue dar por terminado el acuerdo para el funcionamiento de la Comisión Internacional contra la Impunidad en El Salvador (CICES), que tenía como objetivo fortalecer el combate contra la corrupción e impunidad en la función pública.</w:t>
            </w:r>
          </w:p>
          <w:p w14:paraId="40B746B5" w14:textId="77777777" w:rsidR="006B7253" w:rsidRPr="00407C66" w:rsidRDefault="006B7253" w:rsidP="00BA012F">
            <w:pPr>
              <w:tabs>
                <w:tab w:val="left" w:pos="9781"/>
              </w:tabs>
              <w:jc w:val="both"/>
              <w:rPr>
                <w:rFonts w:asciiTheme="majorHAnsi" w:eastAsia="Arial" w:hAnsiTheme="majorHAnsi" w:cstheme="majorHAnsi"/>
                <w:color w:val="101010"/>
                <w:sz w:val="20"/>
                <w:szCs w:val="20"/>
              </w:rPr>
            </w:pPr>
          </w:p>
          <w:p w14:paraId="7ABD8A96" w14:textId="321C36A9" w:rsidR="0079762C" w:rsidRDefault="00257779" w:rsidP="00BB2AA9">
            <w:pPr>
              <w:pStyle w:val="NormalWeb"/>
              <w:shd w:val="clear" w:color="auto" w:fill="FFFFFF"/>
              <w:spacing w:before="0" w:beforeAutospacing="0"/>
              <w:rPr>
                <w:rFonts w:asciiTheme="majorHAnsi" w:eastAsia="Arial" w:hAnsiTheme="majorHAnsi" w:cstheme="majorHAnsi"/>
                <w:color w:val="101010"/>
                <w:sz w:val="20"/>
                <w:szCs w:val="20"/>
              </w:rPr>
            </w:pPr>
            <w:r w:rsidRPr="00407C66">
              <w:rPr>
                <w:rFonts w:asciiTheme="majorHAnsi" w:eastAsia="Arial" w:hAnsiTheme="majorHAnsi" w:cstheme="majorHAnsi"/>
                <w:color w:val="101010"/>
                <w:sz w:val="20"/>
                <w:szCs w:val="20"/>
              </w:rPr>
              <w:t>En agosto de 2021, la Asamblea Legislativa, emitió los decretos 144 y 145, ordenando a los ju</w:t>
            </w:r>
            <w:r w:rsidR="006B7253">
              <w:rPr>
                <w:rFonts w:asciiTheme="majorHAnsi" w:eastAsia="Arial" w:hAnsiTheme="majorHAnsi" w:cstheme="majorHAnsi"/>
                <w:color w:val="101010"/>
                <w:sz w:val="20"/>
                <w:szCs w:val="20"/>
              </w:rPr>
              <w:t>eces</w:t>
            </w:r>
            <w:r w:rsidRPr="00407C66">
              <w:rPr>
                <w:rFonts w:asciiTheme="majorHAnsi" w:eastAsia="Arial" w:hAnsiTheme="majorHAnsi" w:cstheme="majorHAnsi"/>
                <w:color w:val="101010"/>
                <w:sz w:val="20"/>
                <w:szCs w:val="20"/>
              </w:rPr>
              <w:t xml:space="preserve"> mayores de 60 años o con más de 30 años de servicio a presentar su renuncia a más tardar el 24 de septiembre de 2021</w:t>
            </w:r>
            <w:r w:rsidR="00BB2AA9">
              <w:rPr>
                <w:rFonts w:asciiTheme="majorHAnsi" w:eastAsia="Arial" w:hAnsiTheme="majorHAnsi" w:cstheme="majorHAnsi"/>
                <w:color w:val="101010"/>
                <w:sz w:val="20"/>
                <w:szCs w:val="20"/>
              </w:rPr>
              <w:t xml:space="preserve">. </w:t>
            </w:r>
            <w:r w:rsidRPr="00407C66">
              <w:rPr>
                <w:rFonts w:asciiTheme="majorHAnsi" w:eastAsia="Arial" w:hAnsiTheme="majorHAnsi" w:cstheme="majorHAnsi"/>
                <w:color w:val="101010"/>
                <w:sz w:val="20"/>
                <w:szCs w:val="20"/>
              </w:rPr>
              <w:t>El 22 de septiembre de 2021, la Cámara de Familia de San Miguel ordenó la suspensión de la aplicación del decreto 144 p</w:t>
            </w:r>
            <w:r w:rsidR="00C10F10">
              <w:rPr>
                <w:rFonts w:asciiTheme="majorHAnsi" w:eastAsia="Arial" w:hAnsiTheme="majorHAnsi" w:cstheme="majorHAnsi"/>
                <w:color w:val="101010"/>
                <w:sz w:val="20"/>
                <w:szCs w:val="20"/>
              </w:rPr>
              <w:t>or</w:t>
            </w:r>
            <w:r w:rsidRPr="00407C66">
              <w:rPr>
                <w:rFonts w:asciiTheme="majorHAnsi" w:eastAsia="Arial" w:hAnsiTheme="majorHAnsi" w:cstheme="majorHAnsi"/>
                <w:color w:val="101010"/>
                <w:sz w:val="20"/>
                <w:szCs w:val="20"/>
              </w:rPr>
              <w:t xml:space="preserve"> contradecir la </w:t>
            </w:r>
            <w:r w:rsidRPr="00407C66">
              <w:rPr>
                <w:rFonts w:asciiTheme="majorHAnsi" w:eastAsia="Arial" w:hAnsiTheme="majorHAnsi" w:cstheme="majorHAnsi"/>
                <w:i/>
                <w:color w:val="101010"/>
                <w:sz w:val="20"/>
                <w:szCs w:val="20"/>
              </w:rPr>
              <w:t>Convención Interamericana para la Protección de los Derechos Humanos de las Personas Mayores</w:t>
            </w:r>
            <w:r w:rsidRPr="00407C66">
              <w:rPr>
                <w:rFonts w:asciiTheme="majorHAnsi" w:eastAsia="Arial" w:hAnsiTheme="majorHAnsi" w:cstheme="majorHAnsi"/>
                <w:color w:val="101010"/>
                <w:sz w:val="20"/>
                <w:szCs w:val="20"/>
              </w:rPr>
              <w:t>.</w:t>
            </w:r>
            <w:r w:rsidR="00C10F10">
              <w:rPr>
                <w:rFonts w:asciiTheme="majorHAnsi" w:eastAsia="Arial" w:hAnsiTheme="majorHAnsi" w:cstheme="majorHAnsi"/>
                <w:color w:val="101010"/>
                <w:sz w:val="20"/>
                <w:szCs w:val="20"/>
              </w:rPr>
              <w:t xml:space="preserve"> </w:t>
            </w:r>
            <w:r w:rsidR="00BB2AA9">
              <w:rPr>
                <w:rFonts w:asciiTheme="majorHAnsi" w:eastAsia="Arial" w:hAnsiTheme="majorHAnsi" w:cstheme="majorHAnsi"/>
                <w:color w:val="101010"/>
                <w:sz w:val="20"/>
                <w:szCs w:val="20"/>
              </w:rPr>
              <w:t>Sin embargo, e</w:t>
            </w:r>
            <w:r w:rsidR="00C10F10" w:rsidRPr="00D97091">
              <w:rPr>
                <w:rFonts w:asciiTheme="majorHAnsi" w:eastAsia="Arial" w:hAnsiTheme="majorHAnsi" w:cstheme="majorHAnsi"/>
                <w:color w:val="101010"/>
                <w:sz w:val="20"/>
                <w:szCs w:val="20"/>
              </w:rPr>
              <w:t xml:space="preserve">l Pleno de la Corte Suprema de Justicia </w:t>
            </w:r>
            <w:r w:rsidR="00BB2AA9">
              <w:rPr>
                <w:rFonts w:asciiTheme="majorHAnsi" w:eastAsia="Arial" w:hAnsiTheme="majorHAnsi" w:cstheme="majorHAnsi"/>
                <w:color w:val="101010"/>
                <w:sz w:val="20"/>
                <w:szCs w:val="20"/>
              </w:rPr>
              <w:t>declaró la nulidad</w:t>
            </w:r>
            <w:r w:rsidR="00985C08">
              <w:rPr>
                <w:rFonts w:asciiTheme="majorHAnsi" w:eastAsia="Arial" w:hAnsiTheme="majorHAnsi" w:cstheme="majorHAnsi"/>
                <w:color w:val="101010"/>
                <w:sz w:val="20"/>
                <w:szCs w:val="20"/>
              </w:rPr>
              <w:t xml:space="preserve"> de</w:t>
            </w:r>
            <w:r w:rsidR="00BB2AA9">
              <w:rPr>
                <w:rFonts w:asciiTheme="majorHAnsi" w:eastAsia="Arial" w:hAnsiTheme="majorHAnsi" w:cstheme="majorHAnsi"/>
                <w:color w:val="101010"/>
                <w:sz w:val="20"/>
                <w:szCs w:val="20"/>
              </w:rPr>
              <w:t xml:space="preserve"> la orden de suspensión</w:t>
            </w:r>
            <w:r w:rsidR="00C10F10">
              <w:rPr>
                <w:rFonts w:asciiTheme="majorHAnsi" w:eastAsia="Arial" w:hAnsiTheme="majorHAnsi" w:cstheme="majorHAnsi"/>
                <w:color w:val="101010"/>
                <w:sz w:val="20"/>
                <w:szCs w:val="20"/>
              </w:rPr>
              <w:t>.</w:t>
            </w:r>
            <w:r w:rsidR="00C10F10">
              <w:rPr>
                <w:rStyle w:val="FootnoteReference"/>
                <w:rFonts w:asciiTheme="majorHAnsi" w:eastAsia="Arial" w:hAnsiTheme="majorHAnsi" w:cstheme="majorHAnsi"/>
                <w:color w:val="101010"/>
                <w:sz w:val="20"/>
                <w:szCs w:val="20"/>
              </w:rPr>
              <w:footnoteReference w:id="14"/>
            </w:r>
            <w:r w:rsidR="0079762C">
              <w:rPr>
                <w:rFonts w:asciiTheme="majorHAnsi" w:eastAsia="Arial" w:hAnsiTheme="majorHAnsi" w:cstheme="majorHAnsi"/>
                <w:color w:val="101010"/>
                <w:sz w:val="20"/>
                <w:szCs w:val="20"/>
              </w:rPr>
              <w:t xml:space="preserve">  Posteriormente, </w:t>
            </w:r>
            <w:r w:rsidR="00C10F10">
              <w:rPr>
                <w:rFonts w:asciiTheme="majorHAnsi" w:eastAsia="Arial" w:hAnsiTheme="majorHAnsi" w:cstheme="majorHAnsi"/>
                <w:color w:val="101010"/>
                <w:sz w:val="20"/>
                <w:szCs w:val="20"/>
              </w:rPr>
              <w:t>la Corte procedió, el</w:t>
            </w:r>
            <w:r w:rsidRPr="00407C66">
              <w:rPr>
                <w:rFonts w:asciiTheme="majorHAnsi" w:eastAsia="Arial" w:hAnsiTheme="majorHAnsi" w:cstheme="majorHAnsi"/>
                <w:color w:val="101010"/>
                <w:sz w:val="20"/>
                <w:szCs w:val="20"/>
              </w:rPr>
              <w:t xml:space="preserve"> 26 de septiembre</w:t>
            </w:r>
            <w:r w:rsidR="00C10F10">
              <w:rPr>
                <w:rFonts w:asciiTheme="majorHAnsi" w:eastAsia="Arial" w:hAnsiTheme="majorHAnsi" w:cstheme="majorHAnsi"/>
                <w:color w:val="101010"/>
                <w:sz w:val="20"/>
                <w:szCs w:val="20"/>
              </w:rPr>
              <w:t xml:space="preserve"> y de 14 de octubre</w:t>
            </w:r>
            <w:r w:rsidRPr="00407C66">
              <w:rPr>
                <w:rFonts w:asciiTheme="majorHAnsi" w:eastAsia="Arial" w:hAnsiTheme="majorHAnsi" w:cstheme="majorHAnsi"/>
                <w:color w:val="101010"/>
                <w:sz w:val="20"/>
                <w:szCs w:val="20"/>
              </w:rPr>
              <w:t xml:space="preserve"> de 2021</w:t>
            </w:r>
            <w:r w:rsidR="00C10F10">
              <w:rPr>
                <w:rFonts w:asciiTheme="majorHAnsi" w:eastAsia="Arial" w:hAnsiTheme="majorHAnsi" w:cstheme="majorHAnsi"/>
                <w:color w:val="101010"/>
                <w:sz w:val="20"/>
                <w:szCs w:val="20"/>
              </w:rPr>
              <w:t>,</w:t>
            </w:r>
            <w:r w:rsidRPr="00407C66">
              <w:rPr>
                <w:rFonts w:asciiTheme="majorHAnsi" w:eastAsia="Arial" w:hAnsiTheme="majorHAnsi" w:cstheme="majorHAnsi"/>
                <w:color w:val="101010"/>
                <w:sz w:val="20"/>
                <w:szCs w:val="20"/>
              </w:rPr>
              <w:t xml:space="preserve"> </w:t>
            </w:r>
            <w:r w:rsidR="00C10F10">
              <w:rPr>
                <w:rFonts w:asciiTheme="majorHAnsi" w:eastAsia="Arial" w:hAnsiTheme="majorHAnsi" w:cstheme="majorHAnsi"/>
                <w:color w:val="101010"/>
                <w:sz w:val="20"/>
                <w:szCs w:val="20"/>
              </w:rPr>
              <w:t>a nombrar a</w:t>
            </w:r>
            <w:r w:rsidRPr="00407C66">
              <w:rPr>
                <w:rFonts w:asciiTheme="majorHAnsi" w:eastAsia="Arial" w:hAnsiTheme="majorHAnsi" w:cstheme="majorHAnsi"/>
                <w:color w:val="101010"/>
                <w:sz w:val="20"/>
                <w:szCs w:val="20"/>
              </w:rPr>
              <w:t xml:space="preserve"> 98 jueces y magistrados; </w:t>
            </w:r>
            <w:r w:rsidR="00C10F10">
              <w:rPr>
                <w:rFonts w:asciiTheme="majorHAnsi" w:eastAsia="Arial" w:hAnsiTheme="majorHAnsi" w:cstheme="majorHAnsi"/>
                <w:color w:val="101010"/>
                <w:sz w:val="20"/>
                <w:szCs w:val="20"/>
              </w:rPr>
              <w:t xml:space="preserve">dejando </w:t>
            </w:r>
            <w:proofErr w:type="gramStart"/>
            <w:r w:rsidR="00C10F10">
              <w:rPr>
                <w:rFonts w:asciiTheme="majorHAnsi" w:eastAsia="Arial" w:hAnsiTheme="majorHAnsi" w:cstheme="majorHAnsi"/>
                <w:color w:val="101010"/>
                <w:sz w:val="20"/>
                <w:szCs w:val="20"/>
              </w:rPr>
              <w:t xml:space="preserve">a </w:t>
            </w:r>
            <w:r w:rsidRPr="00407C66">
              <w:rPr>
                <w:rFonts w:asciiTheme="majorHAnsi" w:eastAsia="Arial" w:hAnsiTheme="majorHAnsi" w:cstheme="majorHAnsi"/>
                <w:color w:val="101010"/>
                <w:sz w:val="20"/>
                <w:szCs w:val="20"/>
              </w:rPr>
              <w:t xml:space="preserve"> 115</w:t>
            </w:r>
            <w:proofErr w:type="gramEnd"/>
            <w:r w:rsidRPr="00407C66">
              <w:rPr>
                <w:rFonts w:asciiTheme="majorHAnsi" w:eastAsia="Arial" w:hAnsiTheme="majorHAnsi" w:cstheme="majorHAnsi"/>
                <w:color w:val="101010"/>
                <w:sz w:val="20"/>
                <w:szCs w:val="20"/>
              </w:rPr>
              <w:t xml:space="preserve"> </w:t>
            </w:r>
            <w:r w:rsidR="00C10F10">
              <w:rPr>
                <w:rFonts w:asciiTheme="majorHAnsi" w:eastAsia="Arial" w:hAnsiTheme="majorHAnsi" w:cstheme="majorHAnsi"/>
                <w:color w:val="101010"/>
                <w:sz w:val="20"/>
                <w:szCs w:val="20"/>
              </w:rPr>
              <w:t xml:space="preserve">de los jueces suspendidos </w:t>
            </w:r>
            <w:r w:rsidRPr="00407C66">
              <w:rPr>
                <w:rFonts w:asciiTheme="majorHAnsi" w:eastAsia="Arial" w:hAnsiTheme="majorHAnsi" w:cstheme="majorHAnsi"/>
                <w:color w:val="101010"/>
                <w:sz w:val="20"/>
                <w:szCs w:val="20"/>
              </w:rPr>
              <w:t xml:space="preserve">bajo régimen de disponibilidad, y 34 cesados sin indemnización. </w:t>
            </w:r>
            <w:r w:rsidR="00C10F10">
              <w:rPr>
                <w:rFonts w:asciiTheme="majorHAnsi" w:eastAsia="Arial" w:hAnsiTheme="majorHAnsi" w:cstheme="majorHAnsi"/>
                <w:color w:val="101010"/>
                <w:sz w:val="20"/>
                <w:szCs w:val="20"/>
              </w:rPr>
              <w:t xml:space="preserve">En total, se suspendieron a más de </w:t>
            </w:r>
            <w:r w:rsidR="0079762C">
              <w:rPr>
                <w:rFonts w:asciiTheme="majorHAnsi" w:eastAsia="Arial" w:hAnsiTheme="majorHAnsi" w:cstheme="majorHAnsi"/>
                <w:color w:val="101010"/>
                <w:sz w:val="20"/>
                <w:szCs w:val="20"/>
              </w:rPr>
              <w:t xml:space="preserve">200 </w:t>
            </w:r>
            <w:r w:rsidR="00C10F10">
              <w:rPr>
                <w:rFonts w:asciiTheme="majorHAnsi" w:eastAsia="Arial" w:hAnsiTheme="majorHAnsi" w:cstheme="majorHAnsi"/>
                <w:color w:val="101010"/>
                <w:sz w:val="20"/>
                <w:szCs w:val="20"/>
              </w:rPr>
              <w:t>jueces, juezas y magistrados con los decretos 144 y 145</w:t>
            </w:r>
            <w:r w:rsidR="0079762C">
              <w:rPr>
                <w:rFonts w:asciiTheme="majorHAnsi" w:eastAsia="Arial" w:hAnsiTheme="majorHAnsi" w:cstheme="majorHAnsi"/>
                <w:color w:val="101010"/>
                <w:sz w:val="20"/>
                <w:szCs w:val="20"/>
              </w:rPr>
              <w:t>.</w:t>
            </w:r>
            <w:r w:rsidR="00716640">
              <w:rPr>
                <w:rFonts w:asciiTheme="majorHAnsi" w:eastAsia="Arial" w:hAnsiTheme="majorHAnsi" w:cstheme="majorHAnsi"/>
                <w:color w:val="101010"/>
                <w:sz w:val="20"/>
                <w:szCs w:val="20"/>
              </w:rPr>
              <w:t xml:space="preserve"> Estos nombramientos</w:t>
            </w:r>
            <w:r w:rsidR="00985C08">
              <w:rPr>
                <w:rFonts w:asciiTheme="majorHAnsi" w:eastAsia="Arial" w:hAnsiTheme="majorHAnsi" w:cstheme="majorHAnsi"/>
                <w:color w:val="101010"/>
                <w:sz w:val="20"/>
                <w:szCs w:val="20"/>
              </w:rPr>
              <w:t xml:space="preserve"> evidencian</w:t>
            </w:r>
            <w:r w:rsidR="00716640">
              <w:rPr>
                <w:rFonts w:asciiTheme="majorHAnsi" w:eastAsia="Arial" w:hAnsiTheme="majorHAnsi" w:cstheme="majorHAnsi"/>
                <w:color w:val="101010"/>
                <w:sz w:val="20"/>
                <w:szCs w:val="20"/>
              </w:rPr>
              <w:t xml:space="preserve"> la falta de independencia entre poderes</w:t>
            </w:r>
            <w:r w:rsidR="00985C08">
              <w:rPr>
                <w:rFonts w:asciiTheme="majorHAnsi" w:eastAsia="Arial" w:hAnsiTheme="majorHAnsi" w:cstheme="majorHAnsi"/>
                <w:color w:val="101010"/>
                <w:sz w:val="20"/>
                <w:szCs w:val="20"/>
              </w:rPr>
              <w:t>.</w:t>
            </w:r>
          </w:p>
          <w:p w14:paraId="4B625676" w14:textId="1A9CD991" w:rsidR="006B7253" w:rsidRPr="00407C66" w:rsidRDefault="0079762C" w:rsidP="00D97091">
            <w:pPr>
              <w:pStyle w:val="NormalWeb"/>
              <w:rPr>
                <w:rFonts w:asciiTheme="majorHAnsi" w:eastAsia="Arial" w:hAnsiTheme="majorHAnsi" w:cstheme="majorHAnsi"/>
                <w:color w:val="101010"/>
                <w:sz w:val="20"/>
                <w:szCs w:val="20"/>
              </w:rPr>
            </w:pPr>
            <w:r>
              <w:rPr>
                <w:rFonts w:asciiTheme="majorHAnsi" w:eastAsia="Arial" w:hAnsiTheme="majorHAnsi" w:cstheme="majorHAnsi"/>
                <w:color w:val="101010"/>
                <w:sz w:val="20"/>
                <w:szCs w:val="20"/>
              </w:rPr>
              <w:t xml:space="preserve">Esta situación </w:t>
            </w:r>
            <w:r w:rsidR="00985C08">
              <w:rPr>
                <w:rFonts w:asciiTheme="majorHAnsi" w:eastAsia="Arial" w:hAnsiTheme="majorHAnsi" w:cstheme="majorHAnsi"/>
                <w:color w:val="101010"/>
                <w:sz w:val="20"/>
                <w:szCs w:val="20"/>
              </w:rPr>
              <w:t xml:space="preserve">de remoción de jueces </w:t>
            </w:r>
            <w:r w:rsidR="00257779" w:rsidRPr="00407C66">
              <w:rPr>
                <w:rFonts w:asciiTheme="majorHAnsi" w:eastAsia="Arial" w:hAnsiTheme="majorHAnsi" w:cstheme="majorHAnsi"/>
                <w:color w:val="101010"/>
                <w:sz w:val="20"/>
                <w:szCs w:val="20"/>
              </w:rPr>
              <w:t>afect</w:t>
            </w:r>
            <w:r w:rsidR="006B7253">
              <w:rPr>
                <w:rFonts w:asciiTheme="majorHAnsi" w:eastAsia="Arial" w:hAnsiTheme="majorHAnsi" w:cstheme="majorHAnsi"/>
                <w:color w:val="101010"/>
                <w:sz w:val="20"/>
                <w:szCs w:val="20"/>
              </w:rPr>
              <w:t>ó</w:t>
            </w:r>
            <w:r w:rsidR="00257779" w:rsidRPr="00407C66">
              <w:rPr>
                <w:rFonts w:asciiTheme="majorHAnsi" w:eastAsia="Arial" w:hAnsiTheme="majorHAnsi" w:cstheme="majorHAnsi"/>
                <w:color w:val="101010"/>
                <w:sz w:val="20"/>
                <w:szCs w:val="20"/>
              </w:rPr>
              <w:t xml:space="preserve"> a varios casos de crímenes durante el conflicto armado, como en la masacre de El Mozote y lugares aledaños, donde el juez Jorge Guzmán fue cesado </w:t>
            </w:r>
            <w:r w:rsidR="00716640">
              <w:rPr>
                <w:rFonts w:asciiTheme="majorHAnsi" w:eastAsia="Arial" w:hAnsiTheme="majorHAnsi" w:cstheme="majorHAnsi"/>
                <w:color w:val="101010"/>
                <w:sz w:val="20"/>
                <w:szCs w:val="20"/>
              </w:rPr>
              <w:t>arbitrariamente en septiembre de 2021</w:t>
            </w:r>
            <w:r w:rsidR="00716640">
              <w:rPr>
                <w:rStyle w:val="FootnoteReference"/>
                <w:rFonts w:asciiTheme="majorHAnsi" w:eastAsia="Arial" w:hAnsiTheme="majorHAnsi" w:cstheme="majorHAnsi"/>
                <w:color w:val="101010"/>
                <w:sz w:val="20"/>
                <w:szCs w:val="20"/>
              </w:rPr>
              <w:footnoteReference w:id="15"/>
            </w:r>
            <w:r w:rsidR="00716640">
              <w:rPr>
                <w:rFonts w:asciiTheme="majorHAnsi" w:eastAsia="Arial" w:hAnsiTheme="majorHAnsi" w:cstheme="majorHAnsi"/>
                <w:color w:val="101010"/>
                <w:sz w:val="20"/>
                <w:szCs w:val="20"/>
              </w:rPr>
              <w:t xml:space="preserve"> </w:t>
            </w:r>
            <w:r w:rsidR="00257779" w:rsidRPr="00407C66">
              <w:rPr>
                <w:rFonts w:asciiTheme="majorHAnsi" w:eastAsia="Arial" w:hAnsiTheme="majorHAnsi" w:cstheme="majorHAnsi"/>
                <w:color w:val="101010"/>
                <w:sz w:val="20"/>
                <w:szCs w:val="20"/>
              </w:rPr>
              <w:t>y sustituido por una nueva jueza.</w:t>
            </w:r>
            <w:r w:rsidR="00C10F10">
              <w:rPr>
                <w:rFonts w:asciiTheme="majorHAnsi" w:eastAsia="Arial" w:hAnsiTheme="majorHAnsi" w:cstheme="majorHAnsi"/>
                <w:color w:val="101010"/>
                <w:sz w:val="20"/>
                <w:szCs w:val="20"/>
              </w:rPr>
              <w:t xml:space="preserve">  </w:t>
            </w:r>
            <w:r>
              <w:rPr>
                <w:rFonts w:asciiTheme="majorHAnsi" w:eastAsia="Arial" w:hAnsiTheme="majorHAnsi" w:cstheme="majorHAnsi"/>
                <w:color w:val="101010"/>
                <w:sz w:val="20"/>
                <w:szCs w:val="20"/>
              </w:rPr>
              <w:t>Según recientes declaraciones del ex funcionario, él además ha recibido amenazas y acoso</w:t>
            </w:r>
            <w:r w:rsidR="00716640">
              <w:rPr>
                <w:rFonts w:asciiTheme="majorHAnsi" w:eastAsia="Arial" w:hAnsiTheme="majorHAnsi" w:cstheme="majorHAnsi"/>
                <w:color w:val="101010"/>
                <w:sz w:val="20"/>
                <w:szCs w:val="20"/>
              </w:rPr>
              <w:t xml:space="preserve"> en su casa</w:t>
            </w:r>
            <w:r>
              <w:rPr>
                <w:rFonts w:asciiTheme="majorHAnsi" w:eastAsia="Arial" w:hAnsiTheme="majorHAnsi" w:cstheme="majorHAnsi"/>
                <w:color w:val="101010"/>
                <w:sz w:val="20"/>
                <w:szCs w:val="20"/>
              </w:rPr>
              <w:t xml:space="preserve"> debido a su involucramiento con este caso</w:t>
            </w:r>
            <w:r w:rsidR="00716640">
              <w:rPr>
                <w:rFonts w:asciiTheme="majorHAnsi" w:eastAsia="Arial" w:hAnsiTheme="majorHAnsi" w:cstheme="majorHAnsi"/>
                <w:color w:val="101010"/>
                <w:sz w:val="20"/>
                <w:szCs w:val="20"/>
              </w:rPr>
              <w:t>, sin que la policía investigue esta situación</w:t>
            </w:r>
            <w:r>
              <w:rPr>
                <w:rFonts w:asciiTheme="majorHAnsi" w:eastAsia="Arial" w:hAnsiTheme="majorHAnsi" w:cstheme="majorHAnsi"/>
                <w:color w:val="101010"/>
                <w:sz w:val="20"/>
                <w:szCs w:val="20"/>
              </w:rPr>
              <w:t>.</w:t>
            </w:r>
            <w:r w:rsidR="00716640">
              <w:rPr>
                <w:rStyle w:val="FootnoteReference"/>
                <w:rFonts w:asciiTheme="majorHAnsi" w:eastAsia="Arial" w:hAnsiTheme="majorHAnsi" w:cstheme="majorHAnsi"/>
                <w:color w:val="101010"/>
                <w:sz w:val="20"/>
                <w:szCs w:val="20"/>
              </w:rPr>
              <w:footnoteReference w:id="16"/>
            </w:r>
          </w:p>
          <w:p w14:paraId="79CB385F" w14:textId="192578C0" w:rsidR="00257779" w:rsidRDefault="00257779" w:rsidP="00BA012F">
            <w:pPr>
              <w:tabs>
                <w:tab w:val="left" w:pos="9781"/>
              </w:tabs>
              <w:jc w:val="both"/>
              <w:rPr>
                <w:rFonts w:asciiTheme="majorHAnsi" w:eastAsia="Arial" w:hAnsiTheme="majorHAnsi" w:cstheme="majorHAnsi"/>
                <w:color w:val="101010"/>
                <w:sz w:val="20"/>
                <w:szCs w:val="20"/>
              </w:rPr>
            </w:pPr>
            <w:r w:rsidRPr="00407C66">
              <w:rPr>
                <w:rFonts w:asciiTheme="majorHAnsi" w:eastAsia="Arial" w:hAnsiTheme="majorHAnsi" w:cstheme="majorHAnsi"/>
                <w:color w:val="101010"/>
                <w:sz w:val="20"/>
                <w:szCs w:val="20"/>
              </w:rPr>
              <w:t xml:space="preserve">Durante este período se ha observado una narrativa del presidente de la República y funcionarios de su administración, de ataque a víctimas del conflicto armado, sus representantes y a personas defensoras de derechos humanos. Este fue el caso de los ataques contra José María </w:t>
            </w:r>
            <w:proofErr w:type="spellStart"/>
            <w:r w:rsidRPr="00407C66">
              <w:rPr>
                <w:rFonts w:asciiTheme="majorHAnsi" w:eastAsia="Arial" w:hAnsiTheme="majorHAnsi" w:cstheme="majorHAnsi"/>
                <w:color w:val="101010"/>
                <w:sz w:val="20"/>
                <w:szCs w:val="20"/>
              </w:rPr>
              <w:t>Tojeira</w:t>
            </w:r>
            <w:proofErr w:type="spellEnd"/>
            <w:r w:rsidRPr="00407C66">
              <w:rPr>
                <w:rFonts w:asciiTheme="majorHAnsi" w:eastAsia="Arial" w:hAnsiTheme="majorHAnsi" w:cstheme="majorHAnsi"/>
                <w:color w:val="101010"/>
                <w:sz w:val="20"/>
                <w:szCs w:val="20"/>
              </w:rPr>
              <w:t xml:space="preserve">, </w:t>
            </w:r>
            <w:r w:rsidR="006B7253">
              <w:rPr>
                <w:rFonts w:asciiTheme="majorHAnsi" w:eastAsia="Arial" w:hAnsiTheme="majorHAnsi" w:cstheme="majorHAnsi"/>
                <w:color w:val="101010"/>
                <w:sz w:val="20"/>
                <w:szCs w:val="20"/>
              </w:rPr>
              <w:t xml:space="preserve">quien lleva el </w:t>
            </w:r>
            <w:r w:rsidRPr="00407C66">
              <w:rPr>
                <w:rFonts w:asciiTheme="majorHAnsi" w:eastAsia="Arial" w:hAnsiTheme="majorHAnsi" w:cstheme="majorHAnsi"/>
                <w:color w:val="101010"/>
                <w:sz w:val="20"/>
                <w:szCs w:val="20"/>
              </w:rPr>
              <w:t>caso de la masacre en la U</w:t>
            </w:r>
            <w:r w:rsidR="006B7253">
              <w:rPr>
                <w:rFonts w:asciiTheme="majorHAnsi" w:eastAsia="Arial" w:hAnsiTheme="majorHAnsi" w:cstheme="majorHAnsi"/>
                <w:color w:val="101010"/>
                <w:sz w:val="20"/>
                <w:szCs w:val="20"/>
              </w:rPr>
              <w:t xml:space="preserve">niversidad </w:t>
            </w:r>
            <w:r w:rsidRPr="00407C66">
              <w:rPr>
                <w:rFonts w:asciiTheme="majorHAnsi" w:eastAsia="Arial" w:hAnsiTheme="majorHAnsi" w:cstheme="majorHAnsi"/>
                <w:color w:val="101010"/>
                <w:sz w:val="20"/>
                <w:szCs w:val="20"/>
              </w:rPr>
              <w:t>C</w:t>
            </w:r>
            <w:r w:rsidR="006B7253">
              <w:rPr>
                <w:rFonts w:asciiTheme="majorHAnsi" w:eastAsia="Arial" w:hAnsiTheme="majorHAnsi" w:cstheme="majorHAnsi"/>
                <w:color w:val="101010"/>
                <w:sz w:val="20"/>
                <w:szCs w:val="20"/>
              </w:rPr>
              <w:t>entroamericana</w:t>
            </w:r>
            <w:r w:rsidRPr="00407C66">
              <w:rPr>
                <w:rFonts w:asciiTheme="majorHAnsi" w:eastAsia="Arial" w:hAnsiTheme="majorHAnsi" w:cstheme="majorHAnsi"/>
                <w:color w:val="101010"/>
                <w:sz w:val="20"/>
                <w:szCs w:val="20"/>
                <w:vertAlign w:val="superscript"/>
              </w:rPr>
              <w:footnoteReference w:id="17"/>
            </w:r>
            <w:r w:rsidRPr="00407C66">
              <w:rPr>
                <w:rFonts w:asciiTheme="majorHAnsi" w:eastAsia="Arial" w:hAnsiTheme="majorHAnsi" w:cstheme="majorHAnsi"/>
                <w:color w:val="101010"/>
                <w:sz w:val="20"/>
                <w:szCs w:val="20"/>
              </w:rPr>
              <w:t xml:space="preserve"> o contra David Morales</w:t>
            </w:r>
            <w:r w:rsidR="006B7253">
              <w:rPr>
                <w:rFonts w:asciiTheme="majorHAnsi" w:eastAsia="Arial" w:hAnsiTheme="majorHAnsi" w:cstheme="majorHAnsi"/>
                <w:color w:val="101010"/>
                <w:sz w:val="20"/>
                <w:szCs w:val="20"/>
              </w:rPr>
              <w:t xml:space="preserve">, </w:t>
            </w:r>
            <w:r w:rsidR="00D97091">
              <w:rPr>
                <w:rFonts w:asciiTheme="majorHAnsi" w:eastAsia="Arial" w:hAnsiTheme="majorHAnsi" w:cstheme="majorHAnsi"/>
                <w:color w:val="101010"/>
                <w:sz w:val="20"/>
                <w:szCs w:val="20"/>
              </w:rPr>
              <w:t>ex</w:t>
            </w:r>
            <w:r w:rsidR="00D97091" w:rsidRPr="00407C66">
              <w:rPr>
                <w:rFonts w:asciiTheme="majorHAnsi" w:eastAsia="Arial" w:hAnsiTheme="majorHAnsi" w:cstheme="majorHAnsi"/>
                <w:color w:val="101010"/>
                <w:sz w:val="20"/>
                <w:szCs w:val="20"/>
              </w:rPr>
              <w:t xml:space="preserve"> procurador</w:t>
            </w:r>
            <w:r w:rsidRPr="00407C66">
              <w:rPr>
                <w:rFonts w:asciiTheme="majorHAnsi" w:eastAsia="Arial" w:hAnsiTheme="majorHAnsi" w:cstheme="majorHAnsi"/>
                <w:color w:val="101010"/>
                <w:sz w:val="20"/>
                <w:szCs w:val="20"/>
              </w:rPr>
              <w:t xml:space="preserve"> de Derechos Humanos y actual representante legal de las víctimas en el proceso judicial por la masacre de El Mozote</w:t>
            </w:r>
            <w:r w:rsidRPr="00407C66">
              <w:rPr>
                <w:rFonts w:asciiTheme="majorHAnsi" w:eastAsia="Arial" w:hAnsiTheme="majorHAnsi" w:cstheme="majorHAnsi"/>
                <w:color w:val="101010"/>
                <w:sz w:val="20"/>
                <w:szCs w:val="20"/>
                <w:vertAlign w:val="superscript"/>
              </w:rPr>
              <w:footnoteReference w:id="18"/>
            </w:r>
            <w:r w:rsidRPr="00407C66">
              <w:rPr>
                <w:rFonts w:asciiTheme="majorHAnsi" w:eastAsia="Arial" w:hAnsiTheme="majorHAnsi" w:cstheme="majorHAnsi"/>
                <w:color w:val="101010"/>
                <w:sz w:val="20"/>
                <w:szCs w:val="20"/>
              </w:rPr>
              <w:t xml:space="preserve">. </w:t>
            </w:r>
          </w:p>
          <w:p w14:paraId="2F22EF07" w14:textId="77777777" w:rsidR="0032741A" w:rsidRPr="00407C66" w:rsidRDefault="0032741A" w:rsidP="00BA012F">
            <w:pPr>
              <w:tabs>
                <w:tab w:val="left" w:pos="9781"/>
              </w:tabs>
              <w:jc w:val="both"/>
              <w:rPr>
                <w:rFonts w:asciiTheme="majorHAnsi" w:eastAsia="Arial" w:hAnsiTheme="majorHAnsi" w:cstheme="majorHAnsi"/>
                <w:color w:val="101010"/>
                <w:sz w:val="20"/>
                <w:szCs w:val="20"/>
              </w:rPr>
            </w:pPr>
          </w:p>
          <w:p w14:paraId="6C652BFB" w14:textId="77777777" w:rsidR="00257779" w:rsidRDefault="00257779" w:rsidP="00BA012F">
            <w:pPr>
              <w:tabs>
                <w:tab w:val="left" w:pos="9781"/>
              </w:tabs>
              <w:jc w:val="both"/>
              <w:rPr>
                <w:rFonts w:asciiTheme="majorHAnsi" w:eastAsia="Arial" w:hAnsiTheme="majorHAnsi" w:cstheme="majorHAnsi"/>
                <w:color w:val="101010"/>
                <w:sz w:val="20"/>
                <w:szCs w:val="20"/>
              </w:rPr>
            </w:pPr>
            <w:r w:rsidRPr="00407C66">
              <w:rPr>
                <w:rFonts w:asciiTheme="majorHAnsi" w:eastAsia="Arial" w:hAnsiTheme="majorHAnsi" w:cstheme="majorHAnsi"/>
                <w:color w:val="101010"/>
                <w:sz w:val="20"/>
                <w:szCs w:val="20"/>
              </w:rPr>
              <w:t xml:space="preserve">La situación de acoso a miembros de la sociedad civil y defensores de derechos humanos continúa por funcionarios públicos o incluso el </w:t>
            </w:r>
            <w:proofErr w:type="gramStart"/>
            <w:r w:rsidR="009125D0">
              <w:rPr>
                <w:rFonts w:asciiTheme="majorHAnsi" w:eastAsia="Arial" w:hAnsiTheme="majorHAnsi" w:cstheme="majorHAnsi"/>
                <w:color w:val="101010"/>
                <w:sz w:val="20"/>
                <w:szCs w:val="20"/>
              </w:rPr>
              <w:t>P</w:t>
            </w:r>
            <w:r w:rsidRPr="00407C66">
              <w:rPr>
                <w:rFonts w:asciiTheme="majorHAnsi" w:eastAsia="Arial" w:hAnsiTheme="majorHAnsi" w:cstheme="majorHAnsi"/>
                <w:color w:val="101010"/>
                <w:sz w:val="20"/>
                <w:szCs w:val="20"/>
              </w:rPr>
              <w:t>residente</w:t>
            </w:r>
            <w:proofErr w:type="gramEnd"/>
            <w:r w:rsidRPr="00407C66">
              <w:rPr>
                <w:rFonts w:asciiTheme="majorHAnsi" w:eastAsia="Arial" w:hAnsiTheme="majorHAnsi" w:cstheme="majorHAnsi"/>
                <w:color w:val="101010"/>
                <w:sz w:val="20"/>
                <w:szCs w:val="20"/>
              </w:rPr>
              <w:t xml:space="preserve"> de la </w:t>
            </w:r>
            <w:r w:rsidR="009125D0">
              <w:rPr>
                <w:rFonts w:asciiTheme="majorHAnsi" w:eastAsia="Arial" w:hAnsiTheme="majorHAnsi" w:cstheme="majorHAnsi"/>
                <w:color w:val="101010"/>
                <w:sz w:val="20"/>
                <w:szCs w:val="20"/>
              </w:rPr>
              <w:t>R</w:t>
            </w:r>
            <w:r w:rsidRPr="00407C66">
              <w:rPr>
                <w:rFonts w:asciiTheme="majorHAnsi" w:eastAsia="Arial" w:hAnsiTheme="majorHAnsi" w:cstheme="majorHAnsi"/>
                <w:color w:val="101010"/>
                <w:sz w:val="20"/>
                <w:szCs w:val="20"/>
              </w:rPr>
              <w:t>epública. El gobierno presentó la iniciativa de la “Ley de agentes extranjeros” que buscaba endurecer los mecanismos de control del Estado hacia las organizaciones de sociedad civil. La ley no ha sido aprobada debido a la presión internacional, aunque se desconoce si será presentada nuevamente.</w:t>
            </w:r>
          </w:p>
          <w:p w14:paraId="043E88A8" w14:textId="39A6E7FB" w:rsidR="00C10F10" w:rsidRPr="00407C66" w:rsidRDefault="00C10F10" w:rsidP="00BA012F">
            <w:pPr>
              <w:tabs>
                <w:tab w:val="left" w:pos="9781"/>
              </w:tabs>
              <w:jc w:val="both"/>
              <w:rPr>
                <w:rFonts w:asciiTheme="majorHAnsi" w:eastAsia="Arial" w:hAnsiTheme="majorHAnsi" w:cstheme="majorHAnsi"/>
                <w:color w:val="101010"/>
                <w:sz w:val="20"/>
                <w:szCs w:val="20"/>
              </w:rPr>
            </w:pPr>
            <w:r>
              <w:rPr>
                <w:rFonts w:asciiTheme="majorHAnsi" w:eastAsia="Arial" w:hAnsiTheme="majorHAnsi" w:cstheme="majorHAnsi"/>
                <w:color w:val="101010"/>
                <w:sz w:val="20"/>
                <w:szCs w:val="20"/>
              </w:rPr>
              <w:lastRenderedPageBreak/>
              <w:t>Todas estas acciones atentan contra la independencia judicial y la independencia fiscal, ya que constituyen actos intimidatorios contra los funcionarios de la judicatura, quienes ahora deben responder a las exigencias y lineamientos de la Presidencia de la República, a fin de no correr el riesgo de ser cesados o despedidos. Estas acciones, más allá de vulnerar los derechos a la no discriminación basada en edad, el debido proceso, o las garantías de las partes, atentan contra la imparcialidad y la separación de poderes</w:t>
            </w:r>
            <w:r w:rsidR="00985C08">
              <w:rPr>
                <w:rFonts w:asciiTheme="majorHAnsi" w:eastAsia="Arial" w:hAnsiTheme="majorHAnsi" w:cstheme="majorHAnsi"/>
                <w:color w:val="101010"/>
                <w:sz w:val="20"/>
                <w:szCs w:val="20"/>
              </w:rPr>
              <w:t>.</w:t>
            </w:r>
            <w:r>
              <w:rPr>
                <w:rFonts w:asciiTheme="majorHAnsi" w:eastAsia="Arial" w:hAnsiTheme="majorHAnsi" w:cstheme="majorHAnsi"/>
                <w:color w:val="101010"/>
                <w:sz w:val="20"/>
                <w:szCs w:val="20"/>
              </w:rPr>
              <w:t xml:space="preserve"> </w:t>
            </w:r>
          </w:p>
        </w:tc>
      </w:tr>
      <w:tr w:rsidR="00257779" w:rsidRPr="00407C66" w14:paraId="3E6916CA" w14:textId="77777777" w:rsidTr="00257779">
        <w:tc>
          <w:tcPr>
            <w:tcW w:w="3290" w:type="dxa"/>
          </w:tcPr>
          <w:p w14:paraId="0C0892E8" w14:textId="298E48BD" w:rsidR="00257779" w:rsidRPr="00407C66" w:rsidRDefault="00257779" w:rsidP="00BA012F">
            <w:pPr>
              <w:pBdr>
                <w:top w:val="nil"/>
                <w:left w:val="nil"/>
                <w:bottom w:val="nil"/>
                <w:right w:val="nil"/>
                <w:between w:val="nil"/>
              </w:pBdr>
              <w:tabs>
                <w:tab w:val="left" w:pos="9781"/>
              </w:tabs>
              <w:ind w:left="33" w:right="-52"/>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lastRenderedPageBreak/>
              <w:t>Acelerar la búsqueda de las personas desaparecidas y asegurar que se proporcionen los recursos adecuados para este fin, incluyendo la Comisión Nacional de Búsqueda de Personas Adultas Desaparecidas en el contexto del Conflicto Armado y la Comisión Nacional de Búsqueda de Niñas y Niños Desaparecidos durante el Conflicto Armado Interno. El Comité alienta al Estado parte a que considere ratificar la Convención Internacional para la Protección de Todas las Personas contra las Desapariciones Forzadas.</w:t>
            </w:r>
          </w:p>
        </w:tc>
        <w:tc>
          <w:tcPr>
            <w:tcW w:w="11198" w:type="dxa"/>
          </w:tcPr>
          <w:p w14:paraId="2D627502" w14:textId="2C944777" w:rsidR="00257779" w:rsidRDefault="00257779" w:rsidP="00BA012F">
            <w:pPr>
              <w:jc w:val="both"/>
              <w:rPr>
                <w:rFonts w:asciiTheme="majorHAnsi" w:hAnsiTheme="majorHAnsi" w:cstheme="majorHAnsi"/>
                <w:color w:val="101010"/>
                <w:sz w:val="20"/>
                <w:szCs w:val="20"/>
              </w:rPr>
            </w:pPr>
            <w:r w:rsidRPr="00407C66">
              <w:rPr>
                <w:rFonts w:asciiTheme="majorHAnsi" w:hAnsiTheme="majorHAnsi" w:cstheme="majorHAnsi"/>
                <w:b/>
                <w:bCs/>
                <w:sz w:val="20"/>
                <w:szCs w:val="20"/>
              </w:rPr>
              <w:t xml:space="preserve">El </w:t>
            </w:r>
            <w:r w:rsidR="009125D0">
              <w:rPr>
                <w:rFonts w:asciiTheme="majorHAnsi" w:hAnsiTheme="majorHAnsi" w:cstheme="majorHAnsi"/>
                <w:b/>
                <w:bCs/>
                <w:sz w:val="20"/>
                <w:szCs w:val="20"/>
              </w:rPr>
              <w:t>E</w:t>
            </w:r>
            <w:r w:rsidRPr="00407C66">
              <w:rPr>
                <w:rFonts w:asciiTheme="majorHAnsi" w:hAnsiTheme="majorHAnsi" w:cstheme="majorHAnsi"/>
                <w:b/>
                <w:bCs/>
                <w:sz w:val="20"/>
                <w:szCs w:val="20"/>
              </w:rPr>
              <w:t xml:space="preserve">stado </w:t>
            </w:r>
            <w:r w:rsidR="0032741A">
              <w:rPr>
                <w:rFonts w:asciiTheme="majorHAnsi" w:hAnsiTheme="majorHAnsi" w:cstheme="majorHAnsi"/>
                <w:b/>
                <w:bCs/>
                <w:sz w:val="20"/>
                <w:szCs w:val="20"/>
              </w:rPr>
              <w:t>no ha tomado medidas para implementar la</w:t>
            </w:r>
            <w:r w:rsidRPr="00407C66">
              <w:rPr>
                <w:rFonts w:asciiTheme="majorHAnsi" w:hAnsiTheme="majorHAnsi" w:cstheme="majorHAnsi"/>
                <w:b/>
                <w:bCs/>
                <w:sz w:val="20"/>
                <w:szCs w:val="20"/>
              </w:rPr>
              <w:t xml:space="preserve"> recomendación</w:t>
            </w:r>
            <w:r w:rsidR="0032741A">
              <w:rPr>
                <w:rFonts w:asciiTheme="majorHAnsi" w:hAnsiTheme="majorHAnsi" w:cstheme="majorHAnsi"/>
                <w:b/>
                <w:bCs/>
                <w:sz w:val="20"/>
                <w:szCs w:val="20"/>
              </w:rPr>
              <w:t xml:space="preserve"> de</w:t>
            </w:r>
            <w:r w:rsidR="0032741A" w:rsidRPr="0032741A">
              <w:rPr>
                <w:rFonts w:asciiTheme="majorHAnsi" w:hAnsiTheme="majorHAnsi" w:cstheme="majorHAnsi"/>
                <w:b/>
                <w:bCs/>
                <w:sz w:val="20"/>
                <w:szCs w:val="20"/>
              </w:rPr>
              <w:t xml:space="preserve"> </w:t>
            </w:r>
            <w:r w:rsidR="0032741A" w:rsidRPr="00D97091">
              <w:rPr>
                <w:rFonts w:asciiTheme="majorHAnsi" w:hAnsiTheme="majorHAnsi" w:cstheme="majorHAnsi"/>
                <w:b/>
                <w:bCs/>
                <w:color w:val="101010"/>
                <w:sz w:val="20"/>
                <w:szCs w:val="20"/>
              </w:rPr>
              <w:t>acelerar la búsqueda de las personas desaparecidas y asegurar que se proporcionen los recursos adecuados para este fin</w:t>
            </w:r>
            <w:r w:rsidR="0032741A">
              <w:rPr>
                <w:rFonts w:asciiTheme="majorHAnsi" w:hAnsiTheme="majorHAnsi" w:cstheme="majorHAnsi"/>
                <w:b/>
                <w:bCs/>
                <w:color w:val="101010"/>
                <w:sz w:val="20"/>
                <w:szCs w:val="20"/>
              </w:rPr>
              <w:t>.</w:t>
            </w:r>
            <w:r w:rsidR="0032741A">
              <w:rPr>
                <w:rFonts w:asciiTheme="majorHAnsi" w:hAnsiTheme="majorHAnsi" w:cstheme="majorHAnsi"/>
                <w:color w:val="101010"/>
                <w:sz w:val="20"/>
                <w:szCs w:val="20"/>
              </w:rPr>
              <w:t xml:space="preserve"> </w:t>
            </w:r>
            <w:r w:rsidRPr="00407C66">
              <w:rPr>
                <w:rFonts w:asciiTheme="majorHAnsi" w:hAnsiTheme="majorHAnsi" w:cstheme="majorHAnsi"/>
                <w:color w:val="101010"/>
                <w:sz w:val="20"/>
                <w:szCs w:val="20"/>
              </w:rPr>
              <w:t xml:space="preserve">Las Comisiones Nacionales de Búsqueda, tanto la Comisión Nacional de Búsqueda de Personas Adultas Desaparecidas en el contexto del Conflicto Armado (CONABÚSQUEDA) como la Comisión Nacional de Búsqueda de Niñas y Niños Desaparecidos durante el Conflicto Armado Interno (CNB), no han contado con recursos necesarios para realizar su labor. </w:t>
            </w:r>
            <w:r w:rsidR="00C10F10">
              <w:rPr>
                <w:rFonts w:asciiTheme="majorHAnsi" w:hAnsiTheme="majorHAnsi" w:cstheme="majorHAnsi"/>
                <w:color w:val="101010"/>
                <w:sz w:val="20"/>
                <w:szCs w:val="20"/>
              </w:rPr>
              <w:t>Desde el año 2018 a la fecha</w:t>
            </w:r>
            <w:r w:rsidRPr="00407C66">
              <w:rPr>
                <w:rFonts w:asciiTheme="majorHAnsi" w:hAnsiTheme="majorHAnsi" w:cstheme="majorHAnsi"/>
                <w:color w:val="101010"/>
                <w:sz w:val="20"/>
                <w:szCs w:val="20"/>
              </w:rPr>
              <w:t>, ambas Comisiones no cuentan con una base legal que garantice su estabilidad; su origen y naturaleza descansa en decretos ejecutivos que, si bien les permite su funcionalidad, dejan abierta la discrecionalidad gubernamental para cualquier cambio.</w:t>
            </w:r>
          </w:p>
          <w:p w14:paraId="5E8973CE" w14:textId="77777777" w:rsidR="00EB0D2B" w:rsidRPr="00407C66" w:rsidRDefault="00EB0D2B" w:rsidP="00BA012F">
            <w:pPr>
              <w:jc w:val="both"/>
              <w:rPr>
                <w:rFonts w:asciiTheme="majorHAnsi" w:hAnsiTheme="majorHAnsi" w:cstheme="majorHAnsi"/>
                <w:color w:val="101010"/>
                <w:sz w:val="20"/>
                <w:szCs w:val="20"/>
              </w:rPr>
            </w:pPr>
          </w:p>
          <w:p w14:paraId="352F8B78" w14:textId="4F86658A" w:rsidR="00257779" w:rsidRPr="00407C66" w:rsidRDefault="00257779" w:rsidP="00BA012F">
            <w:pP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 xml:space="preserve">Se carece del personal suficiente y de procesos formativos técnicos para desempeñar diligentemente las funciones. La falta de un presupuesto adecuado impide contratar personal técnico y especializado para desarrollar los procesos de trabajo implicados en la búsqueda acorde al número de casos, los cuales han crecido anualmente. </w:t>
            </w:r>
          </w:p>
          <w:p w14:paraId="7C0647D7" w14:textId="783E080F" w:rsidR="00257779" w:rsidRDefault="00257779" w:rsidP="00BA012F">
            <w:pP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 xml:space="preserve">En la práctica ha imperado la lógica contraria, </w:t>
            </w:r>
            <w:r w:rsidR="009125D0" w:rsidRPr="00407C66">
              <w:rPr>
                <w:rFonts w:asciiTheme="majorHAnsi" w:hAnsiTheme="majorHAnsi" w:cstheme="majorHAnsi"/>
                <w:color w:val="101010"/>
                <w:sz w:val="20"/>
                <w:szCs w:val="20"/>
              </w:rPr>
              <w:t>ya que,</w:t>
            </w:r>
            <w:r w:rsidRPr="00407C66">
              <w:rPr>
                <w:rFonts w:asciiTheme="majorHAnsi" w:hAnsiTheme="majorHAnsi" w:cstheme="majorHAnsi"/>
                <w:color w:val="101010"/>
                <w:sz w:val="20"/>
                <w:szCs w:val="20"/>
              </w:rPr>
              <w:t xml:space="preserve"> pese al aumento de casos en investigación, el presupuesto anual se ha reducido, tal como se muestra en el cuadro a continuación: </w:t>
            </w:r>
          </w:p>
          <w:p w14:paraId="7EC80E06" w14:textId="5BCEEFA5" w:rsidR="009125D0" w:rsidRDefault="009125D0" w:rsidP="00BA012F">
            <w:pPr>
              <w:jc w:val="both"/>
              <w:rPr>
                <w:rFonts w:asciiTheme="majorHAnsi" w:hAnsiTheme="majorHAnsi" w:cstheme="majorHAnsi"/>
                <w:color w:val="101010"/>
                <w:sz w:val="20"/>
                <w:szCs w:val="20"/>
              </w:rPr>
            </w:pPr>
          </w:p>
          <w:p w14:paraId="30C3E0F0" w14:textId="77777777" w:rsidR="009125D0" w:rsidRPr="00407C66" w:rsidRDefault="009125D0" w:rsidP="00BA012F">
            <w:pPr>
              <w:jc w:val="both"/>
              <w:rPr>
                <w:rFonts w:asciiTheme="majorHAnsi" w:hAnsiTheme="majorHAnsi" w:cstheme="majorHAnsi"/>
                <w:color w:val="101010"/>
                <w:sz w:val="20"/>
                <w:szCs w:val="20"/>
              </w:rPr>
            </w:pPr>
          </w:p>
          <w:p w14:paraId="17FF0DBA" w14:textId="77777777" w:rsidR="00257779" w:rsidRPr="009125D0" w:rsidRDefault="00257779" w:rsidP="00BA012F">
            <w:pPr>
              <w:jc w:val="both"/>
              <w:rPr>
                <w:rFonts w:asciiTheme="majorHAnsi" w:hAnsiTheme="majorHAnsi" w:cstheme="majorHAnsi"/>
                <w:b/>
                <w:bCs/>
                <w:color w:val="101010"/>
                <w:sz w:val="20"/>
                <w:szCs w:val="20"/>
              </w:rPr>
            </w:pPr>
            <w:r w:rsidRPr="009125D0">
              <w:rPr>
                <w:rFonts w:asciiTheme="majorHAnsi" w:hAnsiTheme="majorHAnsi" w:cstheme="majorHAnsi"/>
                <w:b/>
                <w:bCs/>
                <w:color w:val="101010"/>
                <w:sz w:val="20"/>
                <w:szCs w:val="20"/>
              </w:rPr>
              <w:t>Asignación presupuestaria aprobada a las Comisiones de Búsqueda en el Ministerio de Relaciones Exteriores</w:t>
            </w:r>
          </w:p>
          <w:p w14:paraId="2EBE4D8C" w14:textId="77777777" w:rsidR="00257779" w:rsidRPr="00407C66" w:rsidRDefault="00257779" w:rsidP="00BA012F">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 xml:space="preserve"> </w:t>
            </w:r>
            <w:r w:rsidRPr="00407C66">
              <w:rPr>
                <w:rFonts w:asciiTheme="majorHAnsi" w:hAnsiTheme="majorHAnsi" w:cstheme="majorHAnsi"/>
                <w:color w:val="101010"/>
                <w:sz w:val="20"/>
                <w:szCs w:val="20"/>
              </w:rPr>
              <w:tab/>
              <w:t>Presupuesto CNB</w:t>
            </w:r>
            <w:r w:rsidRPr="00407C66">
              <w:rPr>
                <w:rFonts w:asciiTheme="majorHAnsi" w:hAnsiTheme="majorHAnsi" w:cstheme="majorHAnsi"/>
                <w:color w:val="101010"/>
                <w:sz w:val="20"/>
                <w:szCs w:val="20"/>
              </w:rPr>
              <w:tab/>
              <w:t>Presupuesto CONABÚSQUEDA</w:t>
            </w:r>
            <w:r w:rsidRPr="00407C66">
              <w:rPr>
                <w:rFonts w:asciiTheme="majorHAnsi" w:hAnsiTheme="majorHAnsi" w:cstheme="majorHAnsi"/>
                <w:color w:val="101010"/>
                <w:sz w:val="20"/>
                <w:szCs w:val="20"/>
              </w:rPr>
              <w:tab/>
              <w:t>Total asignado</w:t>
            </w:r>
          </w:p>
          <w:p w14:paraId="55B1B772" w14:textId="77777777" w:rsidR="00257779" w:rsidRPr="00407C66" w:rsidRDefault="00257779" w:rsidP="00BA012F">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2018</w:t>
            </w:r>
            <w:r w:rsidRPr="00407C66">
              <w:rPr>
                <w:rFonts w:asciiTheme="majorHAnsi" w:hAnsiTheme="majorHAnsi" w:cstheme="majorHAnsi"/>
                <w:color w:val="101010"/>
                <w:sz w:val="20"/>
                <w:szCs w:val="20"/>
              </w:rPr>
              <w:tab/>
              <w:t>$221.675.00</w:t>
            </w:r>
            <w:r w:rsidRPr="00407C66">
              <w:rPr>
                <w:rFonts w:asciiTheme="majorHAnsi" w:hAnsiTheme="majorHAnsi" w:cstheme="majorHAnsi"/>
                <w:color w:val="101010"/>
                <w:sz w:val="20"/>
                <w:szCs w:val="20"/>
              </w:rPr>
              <w:tab/>
              <w:t>------</w:t>
            </w:r>
            <w:r w:rsidRPr="00407C66">
              <w:rPr>
                <w:rFonts w:asciiTheme="majorHAnsi" w:hAnsiTheme="majorHAnsi" w:cstheme="majorHAnsi"/>
                <w:color w:val="101010"/>
                <w:sz w:val="20"/>
                <w:szCs w:val="20"/>
              </w:rPr>
              <w:tab/>
              <w:t xml:space="preserve">                                                    $221.675.00</w:t>
            </w:r>
          </w:p>
          <w:p w14:paraId="1DD7641D" w14:textId="77777777" w:rsidR="00257779" w:rsidRPr="00407C66" w:rsidRDefault="00257779" w:rsidP="00BA012F">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2019</w:t>
            </w:r>
            <w:r w:rsidRPr="00407C66">
              <w:rPr>
                <w:rFonts w:asciiTheme="majorHAnsi" w:hAnsiTheme="majorHAnsi" w:cstheme="majorHAnsi"/>
                <w:color w:val="101010"/>
                <w:sz w:val="20"/>
                <w:szCs w:val="20"/>
              </w:rPr>
              <w:tab/>
              <w:t>$242.535.00</w:t>
            </w:r>
            <w:r w:rsidRPr="00407C66">
              <w:rPr>
                <w:rFonts w:asciiTheme="majorHAnsi" w:hAnsiTheme="majorHAnsi" w:cstheme="majorHAnsi"/>
                <w:color w:val="101010"/>
                <w:sz w:val="20"/>
                <w:szCs w:val="20"/>
              </w:rPr>
              <w:tab/>
              <w:t>$350.00.00</w:t>
            </w:r>
            <w:r w:rsidRPr="00407C66">
              <w:rPr>
                <w:rFonts w:asciiTheme="majorHAnsi" w:hAnsiTheme="majorHAnsi" w:cstheme="majorHAnsi"/>
                <w:color w:val="101010"/>
                <w:sz w:val="20"/>
                <w:szCs w:val="20"/>
              </w:rPr>
              <w:tab/>
              <w:t xml:space="preserve">                                  $592.535.00</w:t>
            </w:r>
          </w:p>
          <w:p w14:paraId="6B285BE3" w14:textId="77777777" w:rsidR="00257779" w:rsidRPr="00407C66" w:rsidRDefault="00257779" w:rsidP="00BA012F">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2020</w:t>
            </w:r>
            <w:r w:rsidRPr="00407C66">
              <w:rPr>
                <w:rFonts w:asciiTheme="majorHAnsi" w:hAnsiTheme="majorHAnsi" w:cstheme="majorHAnsi"/>
                <w:color w:val="101010"/>
                <w:sz w:val="20"/>
                <w:szCs w:val="20"/>
              </w:rPr>
              <w:tab/>
              <w:t>$240.920.00</w:t>
            </w:r>
            <w:r w:rsidRPr="00407C66">
              <w:rPr>
                <w:rFonts w:asciiTheme="majorHAnsi" w:hAnsiTheme="majorHAnsi" w:cstheme="majorHAnsi"/>
                <w:color w:val="101010"/>
                <w:sz w:val="20"/>
                <w:szCs w:val="20"/>
              </w:rPr>
              <w:tab/>
              <w:t>$217.110.00</w:t>
            </w:r>
            <w:r w:rsidRPr="00407C66">
              <w:rPr>
                <w:rFonts w:asciiTheme="majorHAnsi" w:hAnsiTheme="majorHAnsi" w:cstheme="majorHAnsi"/>
                <w:color w:val="101010"/>
                <w:sz w:val="20"/>
                <w:szCs w:val="20"/>
              </w:rPr>
              <w:tab/>
              <w:t xml:space="preserve">                                  $458.030.00</w:t>
            </w:r>
          </w:p>
          <w:p w14:paraId="065A0BE1" w14:textId="77777777" w:rsidR="00257779" w:rsidRPr="00407C66" w:rsidRDefault="00257779" w:rsidP="00BA012F">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2021</w:t>
            </w:r>
            <w:r w:rsidRPr="00407C66">
              <w:rPr>
                <w:rFonts w:asciiTheme="majorHAnsi" w:hAnsiTheme="majorHAnsi" w:cstheme="majorHAnsi"/>
                <w:color w:val="101010"/>
                <w:sz w:val="20"/>
                <w:szCs w:val="20"/>
              </w:rPr>
              <w:tab/>
              <w:t>$234.355.00</w:t>
            </w:r>
            <w:r w:rsidRPr="00407C66">
              <w:rPr>
                <w:rFonts w:asciiTheme="majorHAnsi" w:hAnsiTheme="majorHAnsi" w:cstheme="majorHAnsi"/>
                <w:color w:val="101010"/>
                <w:sz w:val="20"/>
                <w:szCs w:val="20"/>
              </w:rPr>
              <w:tab/>
              <w:t>$221.945.00</w:t>
            </w:r>
            <w:r w:rsidRPr="00407C66">
              <w:rPr>
                <w:rFonts w:asciiTheme="majorHAnsi" w:hAnsiTheme="majorHAnsi" w:cstheme="majorHAnsi"/>
                <w:color w:val="101010"/>
                <w:sz w:val="20"/>
                <w:szCs w:val="20"/>
              </w:rPr>
              <w:tab/>
              <w:t xml:space="preserve">                                  $456.300.00</w:t>
            </w:r>
          </w:p>
          <w:p w14:paraId="47866651" w14:textId="77777777" w:rsidR="00257779" w:rsidRPr="00407C66" w:rsidRDefault="00257779" w:rsidP="00BA012F">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2022</w:t>
            </w:r>
            <w:r w:rsidRPr="00407C66">
              <w:rPr>
                <w:rFonts w:asciiTheme="majorHAnsi" w:hAnsiTheme="majorHAnsi" w:cstheme="majorHAnsi"/>
                <w:color w:val="101010"/>
                <w:sz w:val="20"/>
                <w:szCs w:val="20"/>
              </w:rPr>
              <w:tab/>
              <w:t>$201.450.00</w:t>
            </w:r>
            <w:r w:rsidRPr="00407C66">
              <w:rPr>
                <w:rFonts w:asciiTheme="majorHAnsi" w:hAnsiTheme="majorHAnsi" w:cstheme="majorHAnsi"/>
                <w:color w:val="101010"/>
                <w:sz w:val="20"/>
                <w:szCs w:val="20"/>
              </w:rPr>
              <w:tab/>
              <w:t>$299.410.00</w:t>
            </w:r>
            <w:r w:rsidRPr="00407C66">
              <w:rPr>
                <w:rFonts w:asciiTheme="majorHAnsi" w:hAnsiTheme="majorHAnsi" w:cstheme="majorHAnsi"/>
                <w:color w:val="101010"/>
                <w:sz w:val="20"/>
                <w:szCs w:val="20"/>
              </w:rPr>
              <w:tab/>
              <w:t xml:space="preserve">                                  $500.860.00</w:t>
            </w:r>
          </w:p>
          <w:p w14:paraId="0A101862" w14:textId="77777777" w:rsidR="00257779" w:rsidRPr="00407C66" w:rsidRDefault="00257779" w:rsidP="00BA012F">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Fuente: Presupuestos Generales del Estado</w:t>
            </w:r>
          </w:p>
          <w:p w14:paraId="26840ABF" w14:textId="77777777" w:rsidR="00257779" w:rsidRPr="00407C66" w:rsidRDefault="00257779" w:rsidP="00BA012F">
            <w:pPr>
              <w:jc w:val="both"/>
              <w:rPr>
                <w:rFonts w:asciiTheme="majorHAnsi" w:hAnsiTheme="majorHAnsi" w:cstheme="majorHAnsi"/>
                <w:color w:val="101010"/>
                <w:sz w:val="20"/>
                <w:szCs w:val="20"/>
              </w:rPr>
            </w:pPr>
          </w:p>
          <w:p w14:paraId="329CFC22" w14:textId="4A8C7B7C" w:rsidR="00257779" w:rsidRDefault="00257779" w:rsidP="00BA012F">
            <w:pP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 xml:space="preserve">Para el año 2022, el presupuesto asignado tiene una reducción de $91,675 entre ambas Comisiones, significando un recorte del 15.5%. El 80% del presupuesto se destina al pago de remuneraciones; sin tener para costos de operatividad, equipamiento y herramientas técnico-científicas. </w:t>
            </w:r>
          </w:p>
          <w:p w14:paraId="03121B95" w14:textId="77777777" w:rsidR="00EB0D2B" w:rsidRPr="00407C66" w:rsidRDefault="00EB0D2B" w:rsidP="00BA012F">
            <w:pPr>
              <w:jc w:val="both"/>
              <w:rPr>
                <w:rFonts w:asciiTheme="majorHAnsi" w:hAnsiTheme="majorHAnsi" w:cstheme="majorHAnsi"/>
                <w:color w:val="101010"/>
                <w:sz w:val="20"/>
                <w:szCs w:val="20"/>
              </w:rPr>
            </w:pPr>
          </w:p>
          <w:p w14:paraId="4B816769" w14:textId="77777777" w:rsidR="00257779" w:rsidRPr="00407C66" w:rsidRDefault="00257779" w:rsidP="00BA012F">
            <w:pP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Después de 10 años de labores, la Comisión Nacional de Búsqueda de Niñas y Niños Desaparecidos durante el Conflicto Armado Interno reportó que, de los 371 casos recibidos, había resuelto 116 casos que significan un 31% del total. Por su parte, la Comisión Nacional de Búsqueda de Personas Adultas Desaparecidas en el contexto del Conflicto Armado, reporta como logro para el año 2021, la toma de muestras de ADN de 117 casos, que significan un 28% del total de casos recibidos que totalizan 416 a la fecha.</w:t>
            </w:r>
          </w:p>
        </w:tc>
      </w:tr>
    </w:tbl>
    <w:p w14:paraId="609C0F95" w14:textId="77777777" w:rsidR="00984D7C" w:rsidRPr="00407C66" w:rsidRDefault="00984D7C" w:rsidP="00BA012F">
      <w:pPr>
        <w:pBdr>
          <w:top w:val="nil"/>
          <w:left w:val="nil"/>
          <w:bottom w:val="nil"/>
          <w:right w:val="nil"/>
          <w:between w:val="nil"/>
        </w:pBdr>
        <w:ind w:left="1134" w:right="1134"/>
        <w:jc w:val="both"/>
        <w:rPr>
          <w:rFonts w:asciiTheme="majorHAnsi" w:hAnsiTheme="majorHAnsi" w:cstheme="majorHAnsi"/>
          <w:color w:val="101010"/>
          <w:sz w:val="20"/>
          <w:szCs w:val="20"/>
        </w:rPr>
        <w:sectPr w:rsidR="00984D7C" w:rsidRPr="00407C66">
          <w:footerReference w:type="first" r:id="rId9"/>
          <w:pgSz w:w="16840" w:h="11900" w:orient="landscape"/>
          <w:pgMar w:top="985" w:right="1814" w:bottom="1440" w:left="1440" w:header="708" w:footer="708" w:gutter="0"/>
          <w:pgNumType w:start="1"/>
          <w:cols w:space="720"/>
        </w:sectPr>
      </w:pPr>
    </w:p>
    <w:p w14:paraId="5E0EBCEA" w14:textId="528932EE" w:rsidR="00984D7C" w:rsidRPr="00407C66" w:rsidRDefault="007D152B" w:rsidP="00BA012F">
      <w:pPr>
        <w:pBdr>
          <w:top w:val="nil"/>
          <w:left w:val="nil"/>
          <w:bottom w:val="nil"/>
          <w:right w:val="nil"/>
          <w:between w:val="nil"/>
        </w:pBdr>
        <w:tabs>
          <w:tab w:val="left" w:pos="8931"/>
        </w:tabs>
        <w:ind w:right="89"/>
        <w:jc w:val="both"/>
        <w:rPr>
          <w:rFonts w:asciiTheme="majorHAnsi" w:hAnsiTheme="majorHAnsi" w:cstheme="majorHAnsi"/>
          <w:b/>
          <w:bCs/>
          <w:color w:val="101010"/>
          <w:sz w:val="20"/>
          <w:szCs w:val="20"/>
          <w:u w:val="single"/>
        </w:rPr>
      </w:pPr>
      <w:bookmarkStart w:id="0" w:name="_gjdgxs" w:colFirst="0" w:colLast="0"/>
      <w:bookmarkEnd w:id="0"/>
      <w:r w:rsidRPr="00407C66">
        <w:rPr>
          <w:rFonts w:asciiTheme="majorHAnsi" w:hAnsiTheme="majorHAnsi" w:cstheme="majorHAnsi"/>
          <w:b/>
          <w:bCs/>
          <w:color w:val="101010"/>
          <w:sz w:val="20"/>
          <w:szCs w:val="20"/>
          <w:u w:val="single"/>
        </w:rPr>
        <w:lastRenderedPageBreak/>
        <w:t>PARRAFO 22</w:t>
      </w:r>
      <w:r w:rsidR="00257779" w:rsidRPr="00407C66">
        <w:rPr>
          <w:rFonts w:asciiTheme="majorHAnsi" w:hAnsiTheme="majorHAnsi" w:cstheme="majorHAnsi"/>
          <w:b/>
          <w:bCs/>
          <w:color w:val="101010"/>
          <w:sz w:val="20"/>
          <w:szCs w:val="20"/>
          <w:u w:val="single"/>
        </w:rPr>
        <w:t xml:space="preserve"> </w:t>
      </w:r>
      <w:r w:rsidR="002A44A1" w:rsidRPr="00407C66">
        <w:rPr>
          <w:rFonts w:asciiTheme="majorHAnsi" w:hAnsiTheme="majorHAnsi" w:cstheme="majorHAnsi"/>
          <w:b/>
          <w:bCs/>
          <w:color w:val="101010"/>
          <w:sz w:val="20"/>
          <w:szCs w:val="20"/>
          <w:u w:val="single"/>
        </w:rPr>
        <w:t>EJECUCIONES EXTRAJUDICIALES Y DESAPARICIONES FORZADAS</w:t>
      </w:r>
    </w:p>
    <w:p w14:paraId="76724B86" w14:textId="77777777" w:rsidR="00984D7C" w:rsidRPr="00407C66" w:rsidRDefault="00984D7C" w:rsidP="00BA012F">
      <w:pPr>
        <w:pBdr>
          <w:top w:val="nil"/>
          <w:left w:val="nil"/>
          <w:bottom w:val="nil"/>
          <w:right w:val="nil"/>
          <w:between w:val="nil"/>
        </w:pBdr>
        <w:tabs>
          <w:tab w:val="left" w:pos="8931"/>
        </w:tabs>
        <w:ind w:right="89"/>
        <w:jc w:val="both"/>
        <w:rPr>
          <w:rFonts w:asciiTheme="majorHAnsi" w:hAnsiTheme="majorHAnsi" w:cstheme="majorHAnsi"/>
          <w:color w:val="101010"/>
          <w:sz w:val="20"/>
          <w:szCs w:val="20"/>
          <w:u w:val="single"/>
        </w:rPr>
      </w:pPr>
    </w:p>
    <w:tbl>
      <w:tblPr>
        <w:tblStyle w:val="a7"/>
        <w:tblW w:w="1477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48"/>
        <w:gridCol w:w="11624"/>
      </w:tblGrid>
      <w:tr w:rsidR="00257779" w:rsidRPr="00407C66" w14:paraId="5AB6DA7B" w14:textId="77777777" w:rsidTr="00587AAC">
        <w:tc>
          <w:tcPr>
            <w:tcW w:w="3148" w:type="dxa"/>
            <w:shd w:val="clear" w:color="auto" w:fill="BFBFBF" w:themeFill="background1" w:themeFillShade="BF"/>
          </w:tcPr>
          <w:p w14:paraId="34D0FC3A" w14:textId="77777777" w:rsidR="00257779" w:rsidRPr="00407C66" w:rsidRDefault="00257779" w:rsidP="00BA012F">
            <w:pPr>
              <w:pBdr>
                <w:top w:val="nil"/>
                <w:left w:val="nil"/>
                <w:bottom w:val="nil"/>
                <w:right w:val="nil"/>
                <w:between w:val="nil"/>
              </w:pBdr>
              <w:tabs>
                <w:tab w:val="left" w:pos="9781"/>
              </w:tabs>
              <w:ind w:right="-52"/>
              <w:jc w:val="center"/>
              <w:rPr>
                <w:rFonts w:asciiTheme="majorHAnsi" w:hAnsiTheme="majorHAnsi" w:cstheme="majorHAnsi"/>
                <w:b/>
                <w:bCs/>
                <w:color w:val="101010"/>
                <w:sz w:val="20"/>
                <w:szCs w:val="20"/>
              </w:rPr>
            </w:pPr>
            <w:r w:rsidRPr="00407C66">
              <w:rPr>
                <w:rFonts w:asciiTheme="majorHAnsi" w:hAnsiTheme="majorHAnsi" w:cstheme="majorHAnsi"/>
                <w:b/>
                <w:bCs/>
                <w:color w:val="101010"/>
                <w:sz w:val="20"/>
                <w:szCs w:val="20"/>
              </w:rPr>
              <w:t>Recomendación del comité</w:t>
            </w:r>
          </w:p>
        </w:tc>
        <w:tc>
          <w:tcPr>
            <w:tcW w:w="11624" w:type="dxa"/>
            <w:shd w:val="clear" w:color="auto" w:fill="BFBFBF" w:themeFill="background1" w:themeFillShade="BF"/>
          </w:tcPr>
          <w:p w14:paraId="69396A7B" w14:textId="4336A443" w:rsidR="00257779" w:rsidRPr="00407C66" w:rsidRDefault="00257779" w:rsidP="00BA012F">
            <w:pPr>
              <w:pBdr>
                <w:top w:val="nil"/>
                <w:left w:val="nil"/>
                <w:bottom w:val="nil"/>
                <w:right w:val="nil"/>
                <w:between w:val="nil"/>
              </w:pBdr>
              <w:tabs>
                <w:tab w:val="left" w:pos="9781"/>
              </w:tabs>
              <w:ind w:right="-52"/>
              <w:jc w:val="center"/>
              <w:rPr>
                <w:rFonts w:asciiTheme="majorHAnsi" w:hAnsiTheme="majorHAnsi" w:cstheme="majorHAnsi"/>
                <w:b/>
                <w:bCs/>
                <w:color w:val="101010"/>
                <w:sz w:val="20"/>
                <w:szCs w:val="20"/>
              </w:rPr>
            </w:pPr>
            <w:r w:rsidRPr="00407C66">
              <w:rPr>
                <w:rFonts w:asciiTheme="majorHAnsi" w:hAnsiTheme="majorHAnsi" w:cstheme="majorHAnsi"/>
                <w:b/>
                <w:bCs/>
                <w:color w:val="101010"/>
                <w:sz w:val="20"/>
                <w:szCs w:val="20"/>
              </w:rPr>
              <w:t>Medidas tomadas por el Estado para implementar las recomendaciones</w:t>
            </w:r>
          </w:p>
        </w:tc>
      </w:tr>
      <w:tr w:rsidR="00257779" w:rsidRPr="00407C66" w14:paraId="68AB2D24" w14:textId="77777777" w:rsidTr="00587AAC">
        <w:trPr>
          <w:trHeight w:val="699"/>
        </w:trPr>
        <w:tc>
          <w:tcPr>
            <w:tcW w:w="3148" w:type="dxa"/>
          </w:tcPr>
          <w:p w14:paraId="33E88CCE" w14:textId="1FB7D713" w:rsidR="00257779" w:rsidRPr="00407C66" w:rsidRDefault="00257779" w:rsidP="00BA012F">
            <w:pP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t>El Estado parte debe fortalecer el rol de la Policía Nacional Civil en sus funciones de mantenimiento del orden público y facilitar la asunción por parte de esta de las funciones de mantenimiento del orden público que ejercen las Fuerzas Armadas.</w:t>
            </w:r>
          </w:p>
        </w:tc>
        <w:tc>
          <w:tcPr>
            <w:tcW w:w="11624" w:type="dxa"/>
          </w:tcPr>
          <w:p w14:paraId="5CE89B68" w14:textId="5C99D32C" w:rsidR="00257779" w:rsidRDefault="00257779" w:rsidP="00BA012F">
            <w:pPr>
              <w:tabs>
                <w:tab w:val="left" w:pos="9781"/>
              </w:tabs>
              <w:jc w:val="both"/>
              <w:rPr>
                <w:rFonts w:asciiTheme="majorHAnsi" w:hAnsiTheme="majorHAnsi" w:cstheme="majorHAnsi"/>
                <w:color w:val="101010"/>
                <w:sz w:val="20"/>
                <w:szCs w:val="20"/>
                <w:highlight w:val="white"/>
              </w:rPr>
            </w:pPr>
            <w:bookmarkStart w:id="1" w:name="_Hlk100757752"/>
            <w:r w:rsidRPr="00407C66">
              <w:rPr>
                <w:rFonts w:asciiTheme="majorHAnsi" w:hAnsiTheme="majorHAnsi" w:cstheme="majorHAnsi"/>
                <w:b/>
                <w:color w:val="101010"/>
                <w:sz w:val="20"/>
                <w:szCs w:val="20"/>
                <w:highlight w:val="white"/>
              </w:rPr>
              <w:t xml:space="preserve">El Estado ha </w:t>
            </w:r>
            <w:r w:rsidR="00EB0D2B">
              <w:rPr>
                <w:rFonts w:asciiTheme="majorHAnsi" w:hAnsiTheme="majorHAnsi" w:cstheme="majorHAnsi"/>
                <w:b/>
                <w:color w:val="101010"/>
                <w:sz w:val="20"/>
                <w:szCs w:val="20"/>
                <w:highlight w:val="white"/>
              </w:rPr>
              <w:t>tomado medidas contrarias</w:t>
            </w:r>
            <w:r w:rsidRPr="00407C66">
              <w:rPr>
                <w:rFonts w:asciiTheme="majorHAnsi" w:hAnsiTheme="majorHAnsi" w:cstheme="majorHAnsi"/>
                <w:b/>
                <w:color w:val="101010"/>
                <w:sz w:val="20"/>
                <w:szCs w:val="20"/>
                <w:highlight w:val="white"/>
              </w:rPr>
              <w:t xml:space="preserve"> a la recomendación</w:t>
            </w:r>
            <w:r w:rsidR="00EB0D2B">
              <w:rPr>
                <w:rFonts w:asciiTheme="majorHAnsi" w:hAnsiTheme="majorHAnsi" w:cstheme="majorHAnsi"/>
                <w:b/>
                <w:color w:val="101010"/>
                <w:sz w:val="20"/>
                <w:szCs w:val="20"/>
                <w:highlight w:val="white"/>
              </w:rPr>
              <w:t xml:space="preserve"> de </w:t>
            </w:r>
            <w:r w:rsidR="00EB0D2B" w:rsidRPr="00D97091">
              <w:rPr>
                <w:rFonts w:asciiTheme="majorHAnsi" w:hAnsiTheme="majorHAnsi" w:cstheme="majorHAnsi"/>
                <w:b/>
                <w:bCs/>
                <w:color w:val="101010"/>
                <w:sz w:val="20"/>
                <w:szCs w:val="20"/>
              </w:rPr>
              <w:t>fortalecer el rol de la Policía Nacional Civil</w:t>
            </w:r>
            <w:r w:rsidRPr="00EB0D2B">
              <w:rPr>
                <w:rFonts w:asciiTheme="majorHAnsi" w:hAnsiTheme="majorHAnsi" w:cstheme="majorHAnsi"/>
                <w:b/>
                <w:bCs/>
                <w:color w:val="101010"/>
                <w:sz w:val="20"/>
                <w:szCs w:val="20"/>
                <w:highlight w:val="white"/>
              </w:rPr>
              <w:t xml:space="preserve">. </w:t>
            </w:r>
            <w:r w:rsidR="00EB0D2B">
              <w:rPr>
                <w:rFonts w:asciiTheme="majorHAnsi" w:hAnsiTheme="majorHAnsi" w:cstheme="majorHAnsi"/>
                <w:color w:val="101010"/>
                <w:sz w:val="20"/>
                <w:szCs w:val="20"/>
                <w:highlight w:val="white"/>
              </w:rPr>
              <w:t xml:space="preserve">Desde </w:t>
            </w:r>
            <w:r w:rsidRPr="00407C66">
              <w:rPr>
                <w:rFonts w:asciiTheme="majorHAnsi" w:hAnsiTheme="majorHAnsi" w:cstheme="majorHAnsi"/>
                <w:color w:val="101010"/>
                <w:sz w:val="20"/>
                <w:szCs w:val="20"/>
                <w:highlight w:val="white"/>
              </w:rPr>
              <w:t>junio de 2019</w:t>
            </w:r>
            <w:r w:rsidR="00EB0D2B">
              <w:rPr>
                <w:rFonts w:asciiTheme="majorHAnsi" w:hAnsiTheme="majorHAnsi" w:cstheme="majorHAnsi"/>
                <w:color w:val="101010"/>
                <w:sz w:val="20"/>
                <w:szCs w:val="20"/>
                <w:highlight w:val="white"/>
              </w:rPr>
              <w:t xml:space="preserve">, bajo la administración del </w:t>
            </w:r>
            <w:proofErr w:type="gramStart"/>
            <w:r w:rsidR="00EB0D2B">
              <w:rPr>
                <w:rFonts w:asciiTheme="majorHAnsi" w:hAnsiTheme="majorHAnsi" w:cstheme="majorHAnsi"/>
                <w:color w:val="101010"/>
                <w:sz w:val="20"/>
                <w:szCs w:val="20"/>
                <w:highlight w:val="white"/>
              </w:rPr>
              <w:t>Presidente</w:t>
            </w:r>
            <w:proofErr w:type="gramEnd"/>
            <w:r w:rsidR="00EB0D2B">
              <w:rPr>
                <w:rFonts w:asciiTheme="majorHAnsi" w:hAnsiTheme="majorHAnsi" w:cstheme="majorHAnsi"/>
                <w:color w:val="101010"/>
                <w:sz w:val="20"/>
                <w:szCs w:val="20"/>
                <w:highlight w:val="white"/>
              </w:rPr>
              <w:t xml:space="preserve"> </w:t>
            </w:r>
            <w:proofErr w:type="spellStart"/>
            <w:r w:rsidR="00EB0D2B">
              <w:rPr>
                <w:rFonts w:asciiTheme="majorHAnsi" w:hAnsiTheme="majorHAnsi" w:cstheme="majorHAnsi"/>
                <w:color w:val="101010"/>
                <w:sz w:val="20"/>
                <w:szCs w:val="20"/>
                <w:highlight w:val="white"/>
              </w:rPr>
              <w:t>Bukele</w:t>
            </w:r>
            <w:proofErr w:type="spellEnd"/>
            <w:r w:rsidR="00EB0D2B">
              <w:rPr>
                <w:rFonts w:asciiTheme="majorHAnsi" w:hAnsiTheme="majorHAnsi" w:cstheme="majorHAnsi"/>
                <w:color w:val="101010"/>
                <w:sz w:val="20"/>
                <w:szCs w:val="20"/>
                <w:highlight w:val="white"/>
              </w:rPr>
              <w:t>,</w:t>
            </w:r>
            <w:r w:rsidRPr="00407C66">
              <w:rPr>
                <w:rFonts w:asciiTheme="majorHAnsi" w:hAnsiTheme="majorHAnsi" w:cstheme="majorHAnsi"/>
                <w:color w:val="101010"/>
                <w:sz w:val="20"/>
                <w:szCs w:val="20"/>
                <w:highlight w:val="white"/>
              </w:rPr>
              <w:t xml:space="preserve"> </w:t>
            </w:r>
            <w:r w:rsidR="00EB0D2B">
              <w:rPr>
                <w:rFonts w:asciiTheme="majorHAnsi" w:hAnsiTheme="majorHAnsi" w:cstheme="majorHAnsi"/>
                <w:color w:val="101010"/>
                <w:sz w:val="20"/>
                <w:szCs w:val="20"/>
                <w:highlight w:val="white"/>
              </w:rPr>
              <w:t xml:space="preserve">se ha implementado </w:t>
            </w:r>
            <w:r w:rsidRPr="00407C66">
              <w:rPr>
                <w:rFonts w:asciiTheme="majorHAnsi" w:hAnsiTheme="majorHAnsi" w:cstheme="majorHAnsi"/>
                <w:color w:val="101010"/>
                <w:sz w:val="20"/>
                <w:szCs w:val="20"/>
                <w:highlight w:val="white"/>
              </w:rPr>
              <w:t>la política de seguridad pública denominada “Plan Control Territorial” (en adelante PCT). Dicho plan está compuesto por siete fases de las que, a la fecha, se conocen pocos elementos de cuatro de ellas: a) Fase I: control de territorios (20 de junio de 2019); b) Fase II: oportunidad (2 de julio de 2019); c) Fase III: modernización (6 de noviembre de 2019); d) Fase IV: incursión (19 de julio de 2021).</w:t>
            </w:r>
          </w:p>
          <w:p w14:paraId="6236DCD0" w14:textId="77777777" w:rsidR="00162D32" w:rsidRPr="00407C66" w:rsidRDefault="00162D32" w:rsidP="00BA012F">
            <w:pPr>
              <w:tabs>
                <w:tab w:val="left" w:pos="9781"/>
              </w:tabs>
              <w:jc w:val="both"/>
              <w:rPr>
                <w:rFonts w:asciiTheme="majorHAnsi" w:hAnsiTheme="majorHAnsi" w:cstheme="majorHAnsi"/>
                <w:color w:val="101010"/>
                <w:sz w:val="20"/>
                <w:szCs w:val="20"/>
                <w:highlight w:val="white"/>
              </w:rPr>
            </w:pPr>
          </w:p>
          <w:p w14:paraId="629EC1C4" w14:textId="14471A7A" w:rsidR="00257779" w:rsidRDefault="00257779" w:rsidP="00BA012F">
            <w:pPr>
              <w:tabs>
                <w:tab w:val="left" w:pos="9781"/>
              </w:tabs>
              <w:jc w:val="both"/>
              <w:rPr>
                <w:rFonts w:asciiTheme="majorHAnsi" w:hAnsiTheme="majorHAnsi" w:cstheme="majorHAnsi"/>
                <w:color w:val="101010"/>
                <w:sz w:val="20"/>
                <w:szCs w:val="20"/>
                <w:highlight w:val="white"/>
              </w:rPr>
            </w:pPr>
            <w:r w:rsidRPr="00407C66">
              <w:rPr>
                <w:rFonts w:asciiTheme="majorHAnsi" w:hAnsiTheme="majorHAnsi" w:cstheme="majorHAnsi"/>
                <w:color w:val="101010"/>
                <w:sz w:val="20"/>
                <w:szCs w:val="20"/>
                <w:highlight w:val="white"/>
              </w:rPr>
              <w:t>El PCT se caracteriza por la falta de acceso a la información. La Presidencia de la República ha resuelto solicitudes de acceso a la información pública en la que manifiesta no ser la entidad pertinente para brindar información, remitiendo a las y los peticionarios al Ministerio de Justicia y Seguridad Pública quien tampoco brinda información de esta política de seguridad.</w:t>
            </w:r>
            <w:r w:rsidRPr="00407C66">
              <w:rPr>
                <w:rFonts w:asciiTheme="majorHAnsi" w:hAnsiTheme="majorHAnsi" w:cstheme="majorHAnsi"/>
                <w:color w:val="101010"/>
                <w:sz w:val="20"/>
                <w:szCs w:val="20"/>
                <w:highlight w:val="white"/>
                <w:vertAlign w:val="superscript"/>
              </w:rPr>
              <w:footnoteReference w:id="19"/>
            </w:r>
          </w:p>
          <w:p w14:paraId="465F16AF" w14:textId="77777777" w:rsidR="00162D32" w:rsidRPr="00407C66" w:rsidRDefault="00162D32" w:rsidP="00BA012F">
            <w:pPr>
              <w:tabs>
                <w:tab w:val="left" w:pos="9781"/>
              </w:tabs>
              <w:jc w:val="both"/>
              <w:rPr>
                <w:rFonts w:asciiTheme="majorHAnsi" w:hAnsiTheme="majorHAnsi" w:cstheme="majorHAnsi"/>
                <w:color w:val="101010"/>
                <w:sz w:val="20"/>
                <w:szCs w:val="20"/>
                <w:highlight w:val="white"/>
              </w:rPr>
            </w:pPr>
          </w:p>
          <w:p w14:paraId="7F7C6600" w14:textId="06CF657C" w:rsidR="00257779" w:rsidRDefault="00257779" w:rsidP="00BA012F">
            <w:pPr>
              <w:tabs>
                <w:tab w:val="left" w:pos="9781"/>
              </w:tabs>
              <w:jc w:val="both"/>
              <w:rPr>
                <w:rFonts w:asciiTheme="majorHAnsi" w:hAnsiTheme="majorHAnsi" w:cstheme="majorHAnsi"/>
                <w:color w:val="101010"/>
                <w:sz w:val="20"/>
                <w:szCs w:val="20"/>
                <w:highlight w:val="white"/>
              </w:rPr>
            </w:pPr>
            <w:r w:rsidRPr="00407C66">
              <w:rPr>
                <w:rFonts w:asciiTheme="majorHAnsi" w:hAnsiTheme="majorHAnsi" w:cstheme="majorHAnsi"/>
                <w:color w:val="101010"/>
                <w:sz w:val="20"/>
                <w:szCs w:val="20"/>
                <w:highlight w:val="white"/>
              </w:rPr>
              <w:t>El PCT da énfasis al trabajo conjunto entre miembros de la Policía Nacional Civil (PNC) y de la Fuerza Armada de El Salvador (FAES) para llevar a cabo tareas de seguridad; tres de las cuatro fases antes mencionadas se centran en dotar de recursos a dichas instituciones. De modo particular, la Fase IV tiene por finalidad incrementar la cantidad de militares en la FAES de 20 mil a 40 mil elementos en cinco años</w:t>
            </w:r>
            <w:r w:rsidRPr="00407C66">
              <w:rPr>
                <w:rFonts w:asciiTheme="majorHAnsi" w:hAnsiTheme="majorHAnsi" w:cstheme="majorHAnsi"/>
                <w:color w:val="101010"/>
                <w:sz w:val="20"/>
                <w:szCs w:val="20"/>
                <w:highlight w:val="white"/>
                <w:vertAlign w:val="superscript"/>
              </w:rPr>
              <w:footnoteReference w:id="20"/>
            </w:r>
            <w:r w:rsidRPr="00407C66">
              <w:rPr>
                <w:rFonts w:asciiTheme="majorHAnsi" w:hAnsiTheme="majorHAnsi" w:cstheme="majorHAnsi"/>
                <w:color w:val="101010"/>
                <w:sz w:val="20"/>
                <w:szCs w:val="20"/>
                <w:highlight w:val="white"/>
              </w:rPr>
              <w:t xml:space="preserve">. </w:t>
            </w:r>
            <w:r w:rsidRPr="00407C66">
              <w:rPr>
                <w:rFonts w:asciiTheme="majorHAnsi" w:hAnsiTheme="majorHAnsi" w:cstheme="majorHAnsi"/>
                <w:b/>
                <w:color w:val="101010"/>
                <w:sz w:val="20"/>
                <w:szCs w:val="20"/>
                <w:highlight w:val="white"/>
              </w:rPr>
              <w:t>La lógica e implementación del PCT es contraria a la recomendación del Comité de Derechos Humanos porque dicha política no facilita que la PNC asuma las funciones de mantenimiento del orden público que en la actualidad ejerce junto con la FAES, por el contrario, las profundiza y amplía</w:t>
            </w:r>
            <w:r w:rsidRPr="00407C66">
              <w:rPr>
                <w:rFonts w:asciiTheme="majorHAnsi" w:hAnsiTheme="majorHAnsi" w:cstheme="majorHAnsi"/>
                <w:b/>
                <w:color w:val="101010"/>
                <w:sz w:val="20"/>
                <w:szCs w:val="20"/>
                <w:highlight w:val="white"/>
                <w:vertAlign w:val="superscript"/>
              </w:rPr>
              <w:footnoteReference w:id="21"/>
            </w:r>
            <w:r w:rsidRPr="00407C66">
              <w:rPr>
                <w:rFonts w:asciiTheme="majorHAnsi" w:hAnsiTheme="majorHAnsi" w:cstheme="majorHAnsi"/>
                <w:b/>
                <w:color w:val="101010"/>
                <w:sz w:val="20"/>
                <w:szCs w:val="20"/>
                <w:highlight w:val="white"/>
              </w:rPr>
              <w:t xml:space="preserve">, y orienta recursos a la FAES que debiesen destinarse al fortalecimiento, presupuestario e institucional de la PNC, de la Fiscalía General de la República (FGR) </w:t>
            </w:r>
            <w:r w:rsidRPr="00407C66">
              <w:rPr>
                <w:rFonts w:asciiTheme="majorHAnsi" w:hAnsiTheme="majorHAnsi" w:cstheme="majorHAnsi"/>
                <w:color w:val="101010"/>
                <w:sz w:val="20"/>
                <w:szCs w:val="20"/>
                <w:highlight w:val="white"/>
              </w:rPr>
              <w:t xml:space="preserve">y de otras instituciones con el mandato de persecución del delito, garantía y protección de derechos y atención integral a las víctimas. El presupuesto de la FAES ha pasado de 174 millones en 2018 a 220 millones en 2021. En el marco de una serie de reformas legales aprobadas en marzo de 2022, se sumaron 20 millones más, llegando a más de 256 millones. </w:t>
            </w:r>
          </w:p>
          <w:p w14:paraId="206BFF2F" w14:textId="77777777" w:rsidR="00162D32" w:rsidRPr="00407C66" w:rsidRDefault="00162D32" w:rsidP="00BA012F">
            <w:pPr>
              <w:tabs>
                <w:tab w:val="left" w:pos="9781"/>
              </w:tabs>
              <w:jc w:val="both"/>
              <w:rPr>
                <w:rFonts w:asciiTheme="majorHAnsi" w:hAnsiTheme="majorHAnsi" w:cstheme="majorHAnsi"/>
                <w:color w:val="101010"/>
                <w:sz w:val="20"/>
                <w:szCs w:val="20"/>
                <w:highlight w:val="white"/>
              </w:rPr>
            </w:pPr>
          </w:p>
          <w:p w14:paraId="7F512FFE" w14:textId="5D74EB23" w:rsidR="00257779" w:rsidRPr="00407C66" w:rsidRDefault="00257779" w:rsidP="00BA012F">
            <w:pPr>
              <w:tabs>
                <w:tab w:val="left" w:pos="9781"/>
              </w:tabs>
              <w:jc w:val="both"/>
              <w:rPr>
                <w:rFonts w:asciiTheme="majorHAnsi" w:hAnsiTheme="majorHAnsi" w:cstheme="majorHAnsi"/>
                <w:color w:val="101010"/>
                <w:sz w:val="20"/>
                <w:szCs w:val="20"/>
                <w:highlight w:val="white"/>
              </w:rPr>
            </w:pPr>
            <w:r w:rsidRPr="00407C66">
              <w:rPr>
                <w:rFonts w:asciiTheme="majorHAnsi" w:hAnsiTheme="majorHAnsi" w:cstheme="majorHAnsi"/>
                <w:color w:val="101010"/>
                <w:sz w:val="20"/>
                <w:szCs w:val="20"/>
                <w:highlight w:val="white"/>
              </w:rPr>
              <w:t xml:space="preserve">El art. 159 y 168 de la Constitución de la República, establecen que la seguridad pública debe estar a cargo de la PNC y, excepcionalmente, el </w:t>
            </w:r>
            <w:proofErr w:type="gramStart"/>
            <w:r w:rsidRPr="00407C66">
              <w:rPr>
                <w:rFonts w:asciiTheme="majorHAnsi" w:hAnsiTheme="majorHAnsi" w:cstheme="majorHAnsi"/>
                <w:color w:val="101010"/>
                <w:sz w:val="20"/>
                <w:szCs w:val="20"/>
                <w:highlight w:val="white"/>
              </w:rPr>
              <w:t>Presidente</w:t>
            </w:r>
            <w:proofErr w:type="gramEnd"/>
            <w:r w:rsidRPr="00407C66">
              <w:rPr>
                <w:rFonts w:asciiTheme="majorHAnsi" w:hAnsiTheme="majorHAnsi" w:cstheme="majorHAnsi"/>
                <w:color w:val="101010"/>
                <w:sz w:val="20"/>
                <w:szCs w:val="20"/>
                <w:highlight w:val="white"/>
              </w:rPr>
              <w:t xml:space="preserve"> podrá disponer de la FAES para esos fines; limitándose al tiempo y debe cesar cuando se haya alcanzado ese cometido. Los dos </w:t>
            </w:r>
            <w:r w:rsidRPr="00407C66">
              <w:rPr>
                <w:rFonts w:asciiTheme="majorHAnsi" w:hAnsiTheme="majorHAnsi" w:cstheme="majorHAnsi"/>
                <w:color w:val="101010"/>
                <w:sz w:val="20"/>
                <w:szCs w:val="20"/>
                <w:highlight w:val="white"/>
              </w:rPr>
              <w:lastRenderedPageBreak/>
              <w:t>preceptos constitucionales citados son permanentemente vulnerados por el Órgano Ejecutivo, quien emite disposiciones especiales transitorias para permitir la participación indefinida de la Fuerza Armada en operaciones policiales.</w:t>
            </w:r>
            <w:r w:rsidRPr="00407C66">
              <w:rPr>
                <w:rFonts w:asciiTheme="majorHAnsi" w:hAnsiTheme="majorHAnsi" w:cstheme="majorHAnsi"/>
                <w:color w:val="101010"/>
                <w:sz w:val="20"/>
                <w:szCs w:val="20"/>
                <w:highlight w:val="white"/>
                <w:vertAlign w:val="superscript"/>
              </w:rPr>
              <w:footnoteReference w:id="22"/>
            </w:r>
            <w:r w:rsidRPr="00407C66">
              <w:rPr>
                <w:rFonts w:asciiTheme="majorHAnsi" w:hAnsiTheme="majorHAnsi" w:cstheme="majorHAnsi"/>
                <w:color w:val="101010"/>
                <w:sz w:val="20"/>
                <w:szCs w:val="20"/>
                <w:highlight w:val="white"/>
              </w:rPr>
              <w:t xml:space="preserve"> Actualmente, el Ministerio de Defensa Nacional reporta la participación de 8,626 militares en tareas de seguridad pública.  </w:t>
            </w:r>
            <w:bookmarkEnd w:id="1"/>
          </w:p>
        </w:tc>
      </w:tr>
      <w:tr w:rsidR="00257779" w:rsidRPr="00407C66" w14:paraId="714D30AF" w14:textId="77777777" w:rsidTr="00587AAC">
        <w:trPr>
          <w:trHeight w:val="699"/>
        </w:trPr>
        <w:tc>
          <w:tcPr>
            <w:tcW w:w="3148" w:type="dxa"/>
          </w:tcPr>
          <w:p w14:paraId="550CDCFD" w14:textId="0578C667" w:rsidR="00257779" w:rsidRPr="00407C66" w:rsidRDefault="00257779" w:rsidP="00BA012F">
            <w:pPr>
              <w:jc w:val="both"/>
              <w:rPr>
                <w:rFonts w:asciiTheme="majorHAnsi" w:hAnsiTheme="majorHAnsi" w:cstheme="majorHAnsi"/>
                <w:color w:val="101010"/>
                <w:sz w:val="20"/>
                <w:szCs w:val="20"/>
              </w:rPr>
            </w:pPr>
            <w:r w:rsidRPr="00407C66">
              <w:rPr>
                <w:rFonts w:asciiTheme="majorHAnsi" w:hAnsiTheme="majorHAnsi" w:cstheme="majorHAnsi"/>
                <w:color w:val="101010"/>
                <w:sz w:val="20"/>
                <w:szCs w:val="20"/>
              </w:rPr>
              <w:lastRenderedPageBreak/>
              <w:t>Debe asegurar que se investiguen todos los casos de presuntas ejecuciones extrajudiciales, detenciones arbitrarias y desapariciones forzadas de manera pronta, exhaustiva e imparcial, que se busque a las personas desaparecidas, que los responsables sean enjuiciados y sancionados, y que las víctimas reciban una reparación integral</w:t>
            </w:r>
          </w:p>
        </w:tc>
        <w:tc>
          <w:tcPr>
            <w:tcW w:w="11624" w:type="dxa"/>
          </w:tcPr>
          <w:p w14:paraId="4F15ED51" w14:textId="0A473AF7" w:rsidR="000F5C9A" w:rsidRDefault="00257779" w:rsidP="00BA012F">
            <w:pPr>
              <w:tabs>
                <w:tab w:val="left" w:pos="9781"/>
              </w:tabs>
              <w:jc w:val="both"/>
              <w:rPr>
                <w:rFonts w:asciiTheme="majorHAnsi" w:hAnsiTheme="majorHAnsi" w:cstheme="majorHAnsi"/>
                <w:color w:val="101010"/>
                <w:sz w:val="20"/>
                <w:szCs w:val="20"/>
                <w:highlight w:val="white"/>
              </w:rPr>
            </w:pPr>
            <w:r w:rsidRPr="00407C66">
              <w:rPr>
                <w:rFonts w:asciiTheme="majorHAnsi" w:hAnsiTheme="majorHAnsi" w:cstheme="majorHAnsi"/>
                <w:b/>
                <w:color w:val="101010"/>
                <w:sz w:val="20"/>
                <w:szCs w:val="20"/>
                <w:highlight w:val="white"/>
              </w:rPr>
              <w:t>Las medidas adoptadas por el Estado no son satisfactorias.</w:t>
            </w:r>
            <w:r w:rsidRPr="00407C66">
              <w:rPr>
                <w:rFonts w:asciiTheme="majorHAnsi" w:hAnsiTheme="majorHAnsi" w:cstheme="majorHAnsi"/>
                <w:color w:val="101010"/>
                <w:sz w:val="20"/>
                <w:szCs w:val="20"/>
                <w:highlight w:val="white"/>
              </w:rPr>
              <w:t xml:space="preserve"> </w:t>
            </w:r>
          </w:p>
          <w:p w14:paraId="460E07AC" w14:textId="77777777" w:rsidR="000F5C9A" w:rsidRDefault="000F5C9A" w:rsidP="00BA012F">
            <w:pPr>
              <w:tabs>
                <w:tab w:val="left" w:pos="9781"/>
              </w:tabs>
              <w:jc w:val="both"/>
              <w:rPr>
                <w:rFonts w:asciiTheme="majorHAnsi" w:hAnsiTheme="majorHAnsi" w:cstheme="majorHAnsi"/>
                <w:color w:val="101010"/>
                <w:sz w:val="20"/>
                <w:szCs w:val="20"/>
                <w:highlight w:val="white"/>
              </w:rPr>
            </w:pPr>
          </w:p>
          <w:p w14:paraId="0CAF43C6" w14:textId="3CC3183B" w:rsidR="00257779" w:rsidRDefault="000F5C9A" w:rsidP="00BA012F">
            <w:pPr>
              <w:tabs>
                <w:tab w:val="left" w:pos="9781"/>
              </w:tabs>
              <w:jc w:val="both"/>
              <w:rPr>
                <w:rFonts w:asciiTheme="majorHAnsi" w:hAnsiTheme="majorHAnsi" w:cstheme="majorHAnsi"/>
                <w:color w:val="101010"/>
                <w:sz w:val="20"/>
                <w:szCs w:val="20"/>
                <w:highlight w:val="white"/>
              </w:rPr>
            </w:pPr>
            <w:r>
              <w:rPr>
                <w:rFonts w:asciiTheme="majorHAnsi" w:hAnsiTheme="majorHAnsi" w:cstheme="majorHAnsi"/>
                <w:color w:val="101010"/>
                <w:sz w:val="20"/>
                <w:szCs w:val="20"/>
                <w:highlight w:val="white"/>
              </w:rPr>
              <w:t xml:space="preserve">En lo que refiere a </w:t>
            </w:r>
            <w:r w:rsidRPr="00D97091">
              <w:rPr>
                <w:rFonts w:asciiTheme="majorHAnsi" w:hAnsiTheme="majorHAnsi" w:cstheme="majorHAnsi"/>
                <w:b/>
                <w:bCs/>
                <w:color w:val="101010"/>
                <w:sz w:val="20"/>
                <w:szCs w:val="20"/>
                <w:highlight w:val="white"/>
              </w:rPr>
              <w:t>ejecuciones extrajudiciales</w:t>
            </w:r>
            <w:r>
              <w:rPr>
                <w:rFonts w:asciiTheme="majorHAnsi" w:hAnsiTheme="majorHAnsi" w:cstheme="majorHAnsi"/>
                <w:color w:val="101010"/>
                <w:sz w:val="20"/>
                <w:szCs w:val="20"/>
                <w:highlight w:val="white"/>
              </w:rPr>
              <w:t>, d</w:t>
            </w:r>
            <w:r w:rsidR="00257779" w:rsidRPr="00407C66">
              <w:rPr>
                <w:rFonts w:asciiTheme="majorHAnsi" w:hAnsiTheme="majorHAnsi" w:cstheme="majorHAnsi"/>
                <w:color w:val="101010"/>
                <w:sz w:val="20"/>
                <w:szCs w:val="20"/>
                <w:highlight w:val="white"/>
              </w:rPr>
              <w:t xml:space="preserve">e acuerdo con la PNC entre 2015 y 2020 se registraron 2,497 supuestos enfrentamientos armados entre agentes policiales y personas particulares. Estos enfrentamientos provocaron la muerte de 1,824 personas particulares y 36 agentes policiales o militares. En 2018, el índice de letalidad fue de 2.32, en 2019 de 2.54, en 2020 de 1.40 y en 2021 de 1.65. Este indicador apunta a un claro abuso de la fuerza letal por parte de los agentes policiales, ya que debiera presentar valores menores a 1. En el mes de marzo de 2022, en el contexto del aumento de homicidios -62 en un solo día, el </w:t>
            </w:r>
            <w:proofErr w:type="gramStart"/>
            <w:r w:rsidR="00162D32">
              <w:rPr>
                <w:rFonts w:asciiTheme="majorHAnsi" w:hAnsiTheme="majorHAnsi" w:cstheme="majorHAnsi"/>
                <w:color w:val="101010"/>
                <w:sz w:val="20"/>
                <w:szCs w:val="20"/>
                <w:highlight w:val="white"/>
              </w:rPr>
              <w:t>P</w:t>
            </w:r>
            <w:r w:rsidR="00257779" w:rsidRPr="00407C66">
              <w:rPr>
                <w:rFonts w:asciiTheme="majorHAnsi" w:hAnsiTheme="majorHAnsi" w:cstheme="majorHAnsi"/>
                <w:color w:val="101010"/>
                <w:sz w:val="20"/>
                <w:szCs w:val="20"/>
                <w:highlight w:val="white"/>
              </w:rPr>
              <w:t>residente</w:t>
            </w:r>
            <w:proofErr w:type="gramEnd"/>
            <w:r w:rsidR="00257779" w:rsidRPr="00407C66">
              <w:rPr>
                <w:rFonts w:asciiTheme="majorHAnsi" w:hAnsiTheme="majorHAnsi" w:cstheme="majorHAnsi"/>
                <w:color w:val="101010"/>
                <w:sz w:val="20"/>
                <w:szCs w:val="20"/>
                <w:highlight w:val="white"/>
              </w:rPr>
              <w:t xml:space="preserve"> de la república public</w:t>
            </w:r>
            <w:r w:rsidR="00162D32">
              <w:rPr>
                <w:rFonts w:asciiTheme="majorHAnsi" w:hAnsiTheme="majorHAnsi" w:cstheme="majorHAnsi"/>
                <w:color w:val="101010"/>
                <w:sz w:val="20"/>
                <w:szCs w:val="20"/>
                <w:highlight w:val="white"/>
              </w:rPr>
              <w:t>ó en Twitter</w:t>
            </w:r>
            <w:r w:rsidR="00257779" w:rsidRPr="00407C66">
              <w:rPr>
                <w:rFonts w:asciiTheme="majorHAnsi" w:hAnsiTheme="majorHAnsi" w:cstheme="majorHAnsi"/>
                <w:color w:val="101010"/>
                <w:sz w:val="20"/>
                <w:szCs w:val="20"/>
                <w:highlight w:val="white"/>
              </w:rPr>
              <w:t>: “La @PNCSV y la @FUERZARMADASV deben dejar que los agentes y los soldados hagan su trabajo y defenderlos de las acusaciones de quienes protegen a los pandilleros”</w:t>
            </w:r>
            <w:r w:rsidR="00257779" w:rsidRPr="00407C66">
              <w:rPr>
                <w:rStyle w:val="FootnoteReference"/>
                <w:rFonts w:asciiTheme="majorHAnsi" w:hAnsiTheme="majorHAnsi" w:cstheme="majorHAnsi"/>
                <w:color w:val="101010"/>
                <w:sz w:val="20"/>
                <w:szCs w:val="20"/>
                <w:highlight w:val="white"/>
              </w:rPr>
              <w:footnoteReference w:id="23"/>
            </w:r>
            <w:r w:rsidR="00257779" w:rsidRPr="00407C66">
              <w:rPr>
                <w:rFonts w:asciiTheme="majorHAnsi" w:hAnsiTheme="majorHAnsi" w:cstheme="majorHAnsi"/>
                <w:color w:val="101010"/>
                <w:sz w:val="20"/>
                <w:szCs w:val="20"/>
                <w:highlight w:val="white"/>
              </w:rPr>
              <w:t xml:space="preserve"> En el año 2021 la relación de muertes de particulares por policía o militar fallecido en enfrentamiento fue de 48 personas por una muerte de un militar. </w:t>
            </w:r>
          </w:p>
          <w:p w14:paraId="51EA5D3E" w14:textId="77777777" w:rsidR="000F5C9A" w:rsidRPr="00407C66" w:rsidRDefault="000F5C9A" w:rsidP="00BA012F">
            <w:pPr>
              <w:tabs>
                <w:tab w:val="left" w:pos="9781"/>
              </w:tabs>
              <w:jc w:val="both"/>
              <w:rPr>
                <w:rFonts w:asciiTheme="majorHAnsi" w:hAnsiTheme="majorHAnsi" w:cstheme="majorHAnsi"/>
                <w:color w:val="101010"/>
                <w:sz w:val="20"/>
                <w:szCs w:val="20"/>
                <w:highlight w:val="white"/>
              </w:rPr>
            </w:pPr>
          </w:p>
          <w:p w14:paraId="1E1D1DE2" w14:textId="23857470" w:rsidR="00257779" w:rsidRDefault="00257779" w:rsidP="00BA012F">
            <w:pPr>
              <w:tabs>
                <w:tab w:val="left" w:pos="9781"/>
              </w:tabs>
              <w:jc w:val="both"/>
              <w:rPr>
                <w:rFonts w:asciiTheme="majorHAnsi" w:hAnsiTheme="majorHAnsi" w:cstheme="majorHAnsi"/>
                <w:color w:val="101010"/>
                <w:sz w:val="20"/>
                <w:szCs w:val="20"/>
                <w:highlight w:val="white"/>
              </w:rPr>
            </w:pPr>
            <w:r w:rsidRPr="00407C66">
              <w:rPr>
                <w:rFonts w:asciiTheme="majorHAnsi" w:hAnsiTheme="majorHAnsi" w:cstheme="majorHAnsi"/>
                <w:color w:val="101010"/>
                <w:sz w:val="20"/>
                <w:szCs w:val="20"/>
                <w:highlight w:val="white"/>
              </w:rPr>
              <w:t xml:space="preserve">El año 2021, el Ministerio de Justicia y Seguridad Pública, cerró el único espacio de diálogo entre organizaciones que trabajan temas de seguridad y derechos humanos, la llamada Mesa de Actuaciones Policiales y Derechos Humanos, sumando a ello una campaña de desprestigio por parte del </w:t>
            </w:r>
            <w:proofErr w:type="gramStart"/>
            <w:r w:rsidR="000F5C9A">
              <w:rPr>
                <w:rFonts w:asciiTheme="majorHAnsi" w:hAnsiTheme="majorHAnsi" w:cstheme="majorHAnsi"/>
                <w:color w:val="101010"/>
                <w:sz w:val="20"/>
                <w:szCs w:val="20"/>
                <w:highlight w:val="white"/>
              </w:rPr>
              <w:t>P</w:t>
            </w:r>
            <w:r w:rsidRPr="00407C66">
              <w:rPr>
                <w:rFonts w:asciiTheme="majorHAnsi" w:hAnsiTheme="majorHAnsi" w:cstheme="majorHAnsi"/>
                <w:color w:val="101010"/>
                <w:sz w:val="20"/>
                <w:szCs w:val="20"/>
                <w:highlight w:val="white"/>
              </w:rPr>
              <w:t>residente</w:t>
            </w:r>
            <w:proofErr w:type="gramEnd"/>
            <w:r w:rsidRPr="00407C66">
              <w:rPr>
                <w:rFonts w:asciiTheme="majorHAnsi" w:hAnsiTheme="majorHAnsi" w:cstheme="majorHAnsi"/>
                <w:color w:val="101010"/>
                <w:sz w:val="20"/>
                <w:szCs w:val="20"/>
                <w:highlight w:val="white"/>
              </w:rPr>
              <w:t xml:space="preserve"> y funcionarios de Estado en contra de las organizaciones que conformaban el espacio. Esta Mesa no logró realizar ninguna medición de indicadores del uso de la fuerza que fueron elaborados en la administración anterior, debido a restricciones en el acceso a la información.</w:t>
            </w:r>
          </w:p>
          <w:p w14:paraId="790119BC" w14:textId="77777777" w:rsidR="000F5C9A" w:rsidRPr="00407C66" w:rsidRDefault="000F5C9A" w:rsidP="00BA012F">
            <w:pPr>
              <w:tabs>
                <w:tab w:val="left" w:pos="9781"/>
              </w:tabs>
              <w:jc w:val="both"/>
              <w:rPr>
                <w:rFonts w:asciiTheme="majorHAnsi" w:hAnsiTheme="majorHAnsi" w:cstheme="majorHAnsi"/>
                <w:color w:val="101010"/>
                <w:sz w:val="20"/>
                <w:szCs w:val="20"/>
                <w:highlight w:val="white"/>
              </w:rPr>
            </w:pPr>
          </w:p>
          <w:p w14:paraId="5E101F12" w14:textId="51D0C0D5" w:rsidR="00257779" w:rsidRDefault="00257779" w:rsidP="00BA012F">
            <w:pPr>
              <w:tabs>
                <w:tab w:val="left" w:pos="9781"/>
              </w:tabs>
              <w:jc w:val="both"/>
              <w:rPr>
                <w:rFonts w:asciiTheme="majorHAnsi" w:hAnsiTheme="majorHAnsi" w:cstheme="majorHAnsi"/>
                <w:color w:val="101010"/>
                <w:sz w:val="20"/>
                <w:szCs w:val="20"/>
                <w:highlight w:val="white"/>
              </w:rPr>
            </w:pPr>
            <w:r w:rsidRPr="00407C66">
              <w:rPr>
                <w:rFonts w:asciiTheme="majorHAnsi" w:hAnsiTheme="majorHAnsi" w:cstheme="majorHAnsi"/>
                <w:color w:val="101010"/>
                <w:sz w:val="20"/>
                <w:szCs w:val="20"/>
                <w:highlight w:val="white"/>
              </w:rPr>
              <w:t xml:space="preserve">En cuanto al acceso a la justicia frente a este tipo de grave violación a los derechos humanos, el sistema judicial da un trato diferenciado a los agentes policiales y militares por delitos relacionados a las muertes violentas, respecto a otras personas. Por ejemplo, en general es usual que se decrete la detención provisional como medida para asegurar que las personas imputadas se sometan al proceso judicial, en el caso de los agentes de autoridad solo un 6% del total de imputados se les decretó esta medida, aun contraviniendo disposiciones legales. El sistema de justicia sólo imputó a 1,365 agentes de autoridad, la mayoría de los cuales fue sobreseído definitivamente (78%) y otro porcentaje importante sobreseído provisionalmente (14%). Solo un 2% del total de imputados fue condenado por delitos relativos a muertes violentas, manteniendo así la impunidad.  </w:t>
            </w:r>
          </w:p>
          <w:p w14:paraId="4D681AB8" w14:textId="77777777" w:rsidR="000F5C9A" w:rsidRPr="00407C66" w:rsidRDefault="000F5C9A" w:rsidP="00BA012F">
            <w:pPr>
              <w:tabs>
                <w:tab w:val="left" w:pos="9781"/>
              </w:tabs>
              <w:jc w:val="both"/>
              <w:rPr>
                <w:rFonts w:asciiTheme="majorHAnsi" w:hAnsiTheme="majorHAnsi" w:cstheme="majorHAnsi"/>
                <w:color w:val="101010"/>
                <w:sz w:val="20"/>
                <w:szCs w:val="20"/>
                <w:highlight w:val="white"/>
              </w:rPr>
            </w:pPr>
          </w:p>
          <w:p w14:paraId="312120DB" w14:textId="5082848B" w:rsidR="00716640" w:rsidRDefault="00257779" w:rsidP="00716640">
            <w:pPr>
              <w:tabs>
                <w:tab w:val="left" w:pos="9781"/>
              </w:tabs>
              <w:ind w:right="-60"/>
              <w:jc w:val="both"/>
              <w:rPr>
                <w:rFonts w:asciiTheme="majorHAnsi" w:hAnsiTheme="majorHAnsi" w:cstheme="majorHAnsi"/>
                <w:color w:val="101010"/>
                <w:sz w:val="20"/>
                <w:szCs w:val="20"/>
                <w:highlight w:val="white"/>
              </w:rPr>
            </w:pPr>
            <w:r w:rsidRPr="00407C66">
              <w:rPr>
                <w:rFonts w:asciiTheme="majorHAnsi" w:hAnsiTheme="majorHAnsi" w:cstheme="majorHAnsi"/>
                <w:color w:val="101010"/>
                <w:sz w:val="20"/>
                <w:szCs w:val="20"/>
                <w:highlight w:val="white"/>
              </w:rPr>
              <w:t xml:space="preserve">Sobre las </w:t>
            </w:r>
            <w:r w:rsidRPr="00D97091">
              <w:rPr>
                <w:rFonts w:asciiTheme="majorHAnsi" w:hAnsiTheme="majorHAnsi" w:cstheme="majorHAnsi"/>
                <w:b/>
                <w:bCs/>
                <w:color w:val="101010"/>
                <w:sz w:val="20"/>
                <w:szCs w:val="20"/>
                <w:highlight w:val="white"/>
              </w:rPr>
              <w:t>detenciones</w:t>
            </w:r>
            <w:r w:rsidR="00716640">
              <w:rPr>
                <w:rFonts w:asciiTheme="majorHAnsi" w:hAnsiTheme="majorHAnsi" w:cstheme="majorHAnsi"/>
                <w:color w:val="101010"/>
                <w:sz w:val="20"/>
                <w:szCs w:val="20"/>
                <w:highlight w:val="white"/>
              </w:rPr>
              <w:t xml:space="preserve">, cabe analizar primero la situación general del uso de la detención como medida provisional. La tendencia del uso de la detención por parte </w:t>
            </w:r>
            <w:r w:rsidR="00716640" w:rsidRPr="00407C66">
              <w:rPr>
                <w:rFonts w:asciiTheme="majorHAnsi" w:hAnsiTheme="majorHAnsi" w:cstheme="majorHAnsi"/>
                <w:color w:val="101010"/>
                <w:sz w:val="20"/>
                <w:szCs w:val="20"/>
                <w:highlight w:val="white"/>
              </w:rPr>
              <w:t xml:space="preserve">Estado salvadoreño </w:t>
            </w:r>
            <w:r w:rsidR="00985C08">
              <w:rPr>
                <w:rFonts w:asciiTheme="majorHAnsi" w:hAnsiTheme="majorHAnsi" w:cstheme="majorHAnsi"/>
                <w:color w:val="101010"/>
                <w:sz w:val="20"/>
                <w:szCs w:val="20"/>
                <w:highlight w:val="white"/>
              </w:rPr>
              <w:t>aumentó</w:t>
            </w:r>
            <w:r w:rsidR="00716640" w:rsidRPr="00407C66">
              <w:rPr>
                <w:rFonts w:asciiTheme="majorHAnsi" w:hAnsiTheme="majorHAnsi" w:cstheme="majorHAnsi"/>
                <w:color w:val="101010"/>
                <w:sz w:val="20"/>
                <w:szCs w:val="20"/>
                <w:highlight w:val="white"/>
              </w:rPr>
              <w:t xml:space="preserve"> del 5.6%</w:t>
            </w:r>
            <w:r w:rsidR="00716640">
              <w:rPr>
                <w:rFonts w:asciiTheme="majorHAnsi" w:hAnsiTheme="majorHAnsi" w:cstheme="majorHAnsi"/>
                <w:color w:val="101010"/>
                <w:sz w:val="20"/>
                <w:szCs w:val="20"/>
                <w:highlight w:val="white"/>
              </w:rPr>
              <w:t xml:space="preserve"> entre 2020 a 2021</w:t>
            </w:r>
            <w:r w:rsidR="00716640" w:rsidRPr="00407C66">
              <w:rPr>
                <w:rFonts w:asciiTheme="majorHAnsi" w:hAnsiTheme="majorHAnsi" w:cstheme="majorHAnsi"/>
                <w:color w:val="101010"/>
                <w:sz w:val="20"/>
                <w:szCs w:val="20"/>
                <w:highlight w:val="white"/>
              </w:rPr>
              <w:t xml:space="preserve">, pasando de 25,359 detenciones entre enero-octubre de 2020 a 26,777 en el mismo periodo de 2021. </w:t>
            </w:r>
          </w:p>
          <w:p w14:paraId="5EF63F68" w14:textId="77777777" w:rsidR="00716640" w:rsidRDefault="00716640" w:rsidP="00716640">
            <w:pPr>
              <w:tabs>
                <w:tab w:val="left" w:pos="9781"/>
              </w:tabs>
              <w:ind w:right="-62"/>
              <w:jc w:val="both"/>
              <w:rPr>
                <w:rFonts w:asciiTheme="majorHAnsi" w:hAnsiTheme="majorHAnsi" w:cstheme="majorHAnsi"/>
                <w:color w:val="101010"/>
                <w:sz w:val="20"/>
                <w:szCs w:val="20"/>
                <w:highlight w:val="white"/>
              </w:rPr>
            </w:pPr>
          </w:p>
          <w:p w14:paraId="6F549D18" w14:textId="2C344EB1" w:rsidR="00716640" w:rsidRDefault="00716640" w:rsidP="00716640">
            <w:pPr>
              <w:tabs>
                <w:tab w:val="left" w:pos="9781"/>
              </w:tabs>
              <w:ind w:right="-62"/>
              <w:jc w:val="both"/>
              <w:rPr>
                <w:rFonts w:asciiTheme="majorHAnsi" w:hAnsiTheme="majorHAnsi" w:cstheme="majorHAnsi"/>
                <w:color w:val="101010"/>
                <w:sz w:val="20"/>
                <w:szCs w:val="20"/>
                <w:highlight w:val="white"/>
              </w:rPr>
            </w:pPr>
            <w:r>
              <w:rPr>
                <w:rFonts w:asciiTheme="majorHAnsi" w:hAnsiTheme="majorHAnsi" w:cstheme="majorHAnsi"/>
                <w:color w:val="101010"/>
                <w:sz w:val="20"/>
                <w:szCs w:val="20"/>
                <w:highlight w:val="white"/>
              </w:rPr>
              <w:lastRenderedPageBreak/>
              <w:t>La detención en f</w:t>
            </w:r>
            <w:r w:rsidRPr="00B501F6">
              <w:rPr>
                <w:rFonts w:asciiTheme="majorHAnsi" w:hAnsiTheme="majorHAnsi" w:cstheme="majorHAnsi"/>
                <w:color w:val="101010"/>
                <w:sz w:val="20"/>
                <w:szCs w:val="20"/>
                <w:highlight w:val="white"/>
              </w:rPr>
              <w:t xml:space="preserve">lagrancia continúa siendo la forma predominante de detención </w:t>
            </w:r>
            <w:r>
              <w:rPr>
                <w:rFonts w:asciiTheme="majorHAnsi" w:hAnsiTheme="majorHAnsi" w:cstheme="majorHAnsi"/>
                <w:color w:val="101010"/>
                <w:sz w:val="20"/>
                <w:szCs w:val="20"/>
                <w:highlight w:val="white"/>
              </w:rPr>
              <w:t xml:space="preserve">con un </w:t>
            </w:r>
            <w:r w:rsidRPr="00B501F6">
              <w:rPr>
                <w:rFonts w:asciiTheme="majorHAnsi" w:hAnsiTheme="majorHAnsi" w:cstheme="majorHAnsi"/>
                <w:color w:val="101010"/>
                <w:sz w:val="20"/>
                <w:szCs w:val="20"/>
                <w:highlight w:val="white"/>
              </w:rPr>
              <w:t>68.5%, le siguen las administrativas con 18.3% y las judiciales con 13.2%. Adicionalmente, entre los diez delitos con más detenciones se encuentran las agrupaciones ilícitas, la resistencia, las lesiones y las amenazas, todas, con excepción de agrupaciones ilícitas (3 a 5 años)</w:t>
            </w:r>
            <w:r w:rsidR="00EB67C3">
              <w:rPr>
                <w:rFonts w:asciiTheme="majorHAnsi" w:hAnsiTheme="majorHAnsi" w:cstheme="majorHAnsi"/>
                <w:color w:val="101010"/>
                <w:sz w:val="20"/>
                <w:szCs w:val="20"/>
                <w:highlight w:val="white"/>
              </w:rPr>
              <w:t>,</w:t>
            </w:r>
            <w:r w:rsidRPr="00B501F6">
              <w:rPr>
                <w:rFonts w:asciiTheme="majorHAnsi" w:hAnsiTheme="majorHAnsi" w:cstheme="majorHAnsi"/>
                <w:color w:val="101010"/>
                <w:sz w:val="20"/>
                <w:szCs w:val="20"/>
                <w:highlight w:val="white"/>
              </w:rPr>
              <w:t xml:space="preserve"> son delitos leves </w:t>
            </w:r>
            <w:r w:rsidR="00EB67C3">
              <w:rPr>
                <w:rFonts w:asciiTheme="majorHAnsi" w:hAnsiTheme="majorHAnsi" w:cstheme="majorHAnsi"/>
                <w:color w:val="101010"/>
                <w:sz w:val="20"/>
                <w:szCs w:val="20"/>
                <w:highlight w:val="white"/>
              </w:rPr>
              <w:t xml:space="preserve">con penas de </w:t>
            </w:r>
            <w:r w:rsidRPr="00B501F6">
              <w:rPr>
                <w:rFonts w:asciiTheme="majorHAnsi" w:hAnsiTheme="majorHAnsi" w:cstheme="majorHAnsi"/>
                <w:color w:val="101010"/>
                <w:sz w:val="20"/>
                <w:szCs w:val="20"/>
                <w:highlight w:val="white"/>
              </w:rPr>
              <w:t xml:space="preserve">seis meses a 3 años. Por otro lado, el 46.7% de las personas detenidas son jóvenes. </w:t>
            </w:r>
            <w:r>
              <w:rPr>
                <w:rFonts w:asciiTheme="majorHAnsi" w:hAnsiTheme="majorHAnsi" w:cstheme="majorHAnsi"/>
                <w:color w:val="101010"/>
                <w:sz w:val="20"/>
                <w:szCs w:val="20"/>
                <w:highlight w:val="white"/>
              </w:rPr>
              <w:t>Estos</w:t>
            </w:r>
            <w:r w:rsidRPr="00B501F6">
              <w:rPr>
                <w:rFonts w:asciiTheme="majorHAnsi" w:hAnsiTheme="majorHAnsi" w:cstheme="majorHAnsi"/>
                <w:color w:val="101010"/>
                <w:sz w:val="20"/>
                <w:szCs w:val="20"/>
                <w:highlight w:val="white"/>
              </w:rPr>
              <w:t xml:space="preserve"> datos indican que existe un patrón de detención hacia la juventud, utilizando la figura de flagranci</w:t>
            </w:r>
            <w:r w:rsidR="00EB67C3">
              <w:rPr>
                <w:rFonts w:asciiTheme="majorHAnsi" w:hAnsiTheme="majorHAnsi" w:cstheme="majorHAnsi"/>
                <w:color w:val="101010"/>
                <w:sz w:val="20"/>
                <w:szCs w:val="20"/>
                <w:highlight w:val="white"/>
              </w:rPr>
              <w:t>a basado en</w:t>
            </w:r>
            <w:r w:rsidRPr="00B501F6">
              <w:rPr>
                <w:rFonts w:asciiTheme="majorHAnsi" w:hAnsiTheme="majorHAnsi" w:cstheme="majorHAnsi"/>
                <w:color w:val="101010"/>
                <w:sz w:val="20"/>
                <w:szCs w:val="20"/>
                <w:highlight w:val="white"/>
              </w:rPr>
              <w:t xml:space="preserve"> tipos delictivos leves.</w:t>
            </w:r>
          </w:p>
          <w:p w14:paraId="3AC1EB08" w14:textId="77777777" w:rsidR="00716640" w:rsidRDefault="00716640" w:rsidP="00716640">
            <w:pPr>
              <w:tabs>
                <w:tab w:val="left" w:pos="9781"/>
              </w:tabs>
              <w:jc w:val="both"/>
              <w:rPr>
                <w:rFonts w:asciiTheme="majorHAnsi" w:hAnsiTheme="majorHAnsi" w:cstheme="majorHAnsi"/>
                <w:color w:val="101010"/>
                <w:sz w:val="20"/>
                <w:szCs w:val="20"/>
                <w:highlight w:val="white"/>
              </w:rPr>
            </w:pPr>
          </w:p>
          <w:p w14:paraId="6A53F088" w14:textId="25CD8310" w:rsidR="00506F24" w:rsidRDefault="00EB67C3" w:rsidP="00716640">
            <w:pPr>
              <w:tabs>
                <w:tab w:val="left" w:pos="9781"/>
              </w:tabs>
              <w:spacing w:line="240" w:lineRule="atLeast"/>
              <w:jc w:val="both"/>
              <w:rPr>
                <w:rFonts w:asciiTheme="majorHAnsi" w:hAnsiTheme="majorHAnsi" w:cstheme="majorHAnsi"/>
                <w:color w:val="101010"/>
                <w:sz w:val="20"/>
                <w:szCs w:val="20"/>
                <w:highlight w:val="white"/>
              </w:rPr>
            </w:pPr>
            <w:r>
              <w:rPr>
                <w:rFonts w:asciiTheme="majorHAnsi" w:hAnsiTheme="majorHAnsi" w:cstheme="majorHAnsi"/>
                <w:color w:val="101010"/>
                <w:sz w:val="20"/>
                <w:szCs w:val="20"/>
                <w:highlight w:val="white"/>
              </w:rPr>
              <w:t>A partir de la aprobación del</w:t>
            </w:r>
            <w:r w:rsidR="00257779" w:rsidRPr="00407C66">
              <w:rPr>
                <w:rFonts w:asciiTheme="majorHAnsi" w:hAnsiTheme="majorHAnsi" w:cstheme="majorHAnsi"/>
                <w:color w:val="101010"/>
                <w:sz w:val="20"/>
                <w:szCs w:val="20"/>
                <w:highlight w:val="white"/>
              </w:rPr>
              <w:t xml:space="preserve"> Régimen de excepción</w:t>
            </w:r>
            <w:r>
              <w:rPr>
                <w:rFonts w:asciiTheme="majorHAnsi" w:hAnsiTheme="majorHAnsi" w:cstheme="majorHAnsi"/>
                <w:color w:val="101010"/>
                <w:sz w:val="20"/>
                <w:szCs w:val="20"/>
                <w:highlight w:val="white"/>
              </w:rPr>
              <w:t>,</w:t>
            </w:r>
            <w:r w:rsidR="00257779" w:rsidRPr="00407C66">
              <w:rPr>
                <w:rFonts w:asciiTheme="majorHAnsi" w:hAnsiTheme="majorHAnsi" w:cstheme="majorHAnsi"/>
                <w:color w:val="101010"/>
                <w:sz w:val="20"/>
                <w:szCs w:val="20"/>
                <w:highlight w:val="white"/>
              </w:rPr>
              <w:t xml:space="preserve"> aprobado </w:t>
            </w:r>
            <w:r w:rsidR="00716640">
              <w:rPr>
                <w:rFonts w:asciiTheme="majorHAnsi" w:hAnsiTheme="majorHAnsi" w:cstheme="majorHAnsi"/>
                <w:color w:val="101010"/>
                <w:sz w:val="20"/>
                <w:szCs w:val="20"/>
                <w:highlight w:val="white"/>
              </w:rPr>
              <w:t>el 27</w:t>
            </w:r>
            <w:r w:rsidR="00257779" w:rsidRPr="00407C66">
              <w:rPr>
                <w:rFonts w:asciiTheme="majorHAnsi" w:hAnsiTheme="majorHAnsi" w:cstheme="majorHAnsi"/>
                <w:color w:val="101010"/>
                <w:sz w:val="20"/>
                <w:szCs w:val="20"/>
                <w:highlight w:val="white"/>
              </w:rPr>
              <w:t xml:space="preserve"> marzo de 2022, </w:t>
            </w:r>
            <w:r>
              <w:rPr>
                <w:rFonts w:asciiTheme="majorHAnsi" w:hAnsiTheme="majorHAnsi" w:cstheme="majorHAnsi"/>
                <w:color w:val="101010"/>
                <w:sz w:val="20"/>
                <w:szCs w:val="20"/>
                <w:highlight w:val="white"/>
              </w:rPr>
              <w:t xml:space="preserve">las detenciones han aumentado </w:t>
            </w:r>
            <w:r w:rsidR="00607899">
              <w:rPr>
                <w:rFonts w:asciiTheme="majorHAnsi" w:hAnsiTheme="majorHAnsi" w:cstheme="majorHAnsi"/>
                <w:color w:val="101010"/>
                <w:sz w:val="20"/>
                <w:szCs w:val="20"/>
                <w:highlight w:val="white"/>
              </w:rPr>
              <w:t>exponencialmente</w:t>
            </w:r>
            <w:r>
              <w:rPr>
                <w:rFonts w:asciiTheme="majorHAnsi" w:hAnsiTheme="majorHAnsi" w:cstheme="majorHAnsi"/>
                <w:color w:val="101010"/>
                <w:sz w:val="20"/>
                <w:szCs w:val="20"/>
                <w:highlight w:val="white"/>
              </w:rPr>
              <w:t xml:space="preserve">. Entre el 27 de marzo y el 17 de abril </w:t>
            </w:r>
            <w:r w:rsidR="00607899">
              <w:rPr>
                <w:rFonts w:asciiTheme="majorHAnsi" w:hAnsiTheme="majorHAnsi" w:cstheme="majorHAnsi"/>
                <w:color w:val="101010"/>
                <w:sz w:val="20"/>
                <w:szCs w:val="20"/>
                <w:highlight w:val="white"/>
              </w:rPr>
              <w:t>se registraron 10,094 personas detenidas en flagrancia, entre ellos más de 100 menores de edad.</w:t>
            </w:r>
            <w:r w:rsidR="00607899" w:rsidRPr="00B501F6">
              <w:rPr>
                <w:rStyle w:val="FootnoteReference"/>
                <w:color w:val="262626"/>
                <w:sz w:val="18"/>
                <w:szCs w:val="18"/>
              </w:rPr>
              <w:footnoteReference w:id="24"/>
            </w:r>
            <w:r w:rsidR="00607899">
              <w:rPr>
                <w:rFonts w:asciiTheme="majorHAnsi" w:hAnsiTheme="majorHAnsi" w:cstheme="majorHAnsi"/>
                <w:color w:val="101010"/>
                <w:sz w:val="20"/>
                <w:szCs w:val="20"/>
                <w:highlight w:val="white"/>
              </w:rPr>
              <w:t xml:space="preserve"> Estas detenciones se han producido sin proveer a las personas detenidas información sobre las causas de su detención, sin abogado o legítima defensa y sin condiciones propias del debido proceso y las garantías de las personas detenidas, por lo cual las OSC las consideramos como </w:t>
            </w:r>
            <w:r w:rsidR="00607899" w:rsidRPr="00B501F6">
              <w:rPr>
                <w:rFonts w:asciiTheme="majorHAnsi" w:hAnsiTheme="majorHAnsi" w:cstheme="majorHAnsi"/>
                <w:b/>
                <w:bCs/>
                <w:color w:val="101010"/>
                <w:sz w:val="20"/>
                <w:szCs w:val="20"/>
                <w:highlight w:val="white"/>
              </w:rPr>
              <w:t>detenciones arbitrarias</w:t>
            </w:r>
            <w:r w:rsidR="00607899">
              <w:rPr>
                <w:rFonts w:asciiTheme="majorHAnsi" w:hAnsiTheme="majorHAnsi" w:cstheme="majorHAnsi"/>
                <w:color w:val="101010"/>
                <w:sz w:val="20"/>
                <w:szCs w:val="20"/>
                <w:highlight w:val="white"/>
              </w:rPr>
              <w:t xml:space="preserve">. </w:t>
            </w:r>
            <w:r w:rsidR="00B501F6">
              <w:rPr>
                <w:rFonts w:asciiTheme="majorHAnsi" w:hAnsiTheme="majorHAnsi" w:cstheme="majorHAnsi"/>
                <w:color w:val="101010"/>
                <w:sz w:val="20"/>
                <w:szCs w:val="20"/>
                <w:highlight w:val="white"/>
              </w:rPr>
              <w:t>Además,</w:t>
            </w:r>
            <w:r w:rsidR="00607899">
              <w:rPr>
                <w:rFonts w:asciiTheme="majorHAnsi" w:hAnsiTheme="majorHAnsi" w:cstheme="majorHAnsi"/>
                <w:color w:val="101010"/>
                <w:sz w:val="20"/>
                <w:szCs w:val="20"/>
                <w:highlight w:val="white"/>
              </w:rPr>
              <w:t xml:space="preserve"> se han aprobado </w:t>
            </w:r>
            <w:r w:rsidR="00716640">
              <w:rPr>
                <w:rFonts w:asciiTheme="majorHAnsi" w:hAnsiTheme="majorHAnsi" w:cstheme="majorHAnsi"/>
                <w:color w:val="101010"/>
                <w:sz w:val="20"/>
                <w:szCs w:val="20"/>
                <w:highlight w:val="white"/>
              </w:rPr>
              <w:t xml:space="preserve">reformas penales y de justicia penal juvenil, que incluyen </w:t>
            </w:r>
            <w:r w:rsidR="00607899">
              <w:rPr>
                <w:rFonts w:asciiTheme="majorHAnsi" w:hAnsiTheme="majorHAnsi" w:cstheme="majorHAnsi"/>
                <w:color w:val="101010"/>
                <w:sz w:val="20"/>
                <w:szCs w:val="20"/>
                <w:highlight w:val="white"/>
              </w:rPr>
              <w:t xml:space="preserve">la posibilidad </w:t>
            </w:r>
            <w:r w:rsidR="00D97091">
              <w:rPr>
                <w:rFonts w:asciiTheme="majorHAnsi" w:hAnsiTheme="majorHAnsi" w:cstheme="majorHAnsi"/>
                <w:color w:val="101010"/>
                <w:sz w:val="20"/>
                <w:szCs w:val="20"/>
                <w:highlight w:val="white"/>
              </w:rPr>
              <w:t>de procesar</w:t>
            </w:r>
            <w:r w:rsidR="00716640">
              <w:rPr>
                <w:rFonts w:asciiTheme="majorHAnsi" w:hAnsiTheme="majorHAnsi" w:cstheme="majorHAnsi"/>
                <w:color w:val="101010"/>
                <w:sz w:val="20"/>
                <w:szCs w:val="20"/>
                <w:highlight w:val="white"/>
              </w:rPr>
              <w:t xml:space="preserve"> a menores como adultos</w:t>
            </w:r>
            <w:r w:rsidR="00607899">
              <w:rPr>
                <w:rFonts w:asciiTheme="majorHAnsi" w:hAnsiTheme="majorHAnsi" w:cstheme="majorHAnsi"/>
                <w:color w:val="101010"/>
                <w:sz w:val="20"/>
                <w:szCs w:val="20"/>
                <w:highlight w:val="white"/>
              </w:rPr>
              <w:t>.</w:t>
            </w:r>
          </w:p>
          <w:p w14:paraId="2A04C113" w14:textId="77777777" w:rsidR="00506F24" w:rsidRDefault="00506F24" w:rsidP="00716640">
            <w:pPr>
              <w:tabs>
                <w:tab w:val="left" w:pos="9781"/>
              </w:tabs>
              <w:spacing w:line="240" w:lineRule="atLeast"/>
              <w:jc w:val="both"/>
              <w:rPr>
                <w:rFonts w:asciiTheme="majorHAnsi" w:hAnsiTheme="majorHAnsi" w:cstheme="majorHAnsi"/>
                <w:color w:val="101010"/>
                <w:sz w:val="20"/>
                <w:szCs w:val="20"/>
                <w:highlight w:val="white"/>
              </w:rPr>
            </w:pPr>
          </w:p>
          <w:p w14:paraId="1719BDA0" w14:textId="519E2C2F" w:rsidR="00506F24" w:rsidRDefault="00716640" w:rsidP="00506F24">
            <w:pPr>
              <w:tabs>
                <w:tab w:val="left" w:pos="9781"/>
              </w:tabs>
              <w:spacing w:line="240" w:lineRule="atLeast"/>
              <w:jc w:val="both"/>
              <w:rPr>
                <w:rFonts w:asciiTheme="majorHAnsi" w:hAnsiTheme="majorHAnsi" w:cstheme="majorHAnsi"/>
                <w:color w:val="101010"/>
                <w:sz w:val="20"/>
                <w:szCs w:val="20"/>
                <w:highlight w:val="white"/>
              </w:rPr>
            </w:pPr>
            <w:r>
              <w:rPr>
                <w:rFonts w:asciiTheme="majorHAnsi" w:hAnsiTheme="majorHAnsi" w:cstheme="majorHAnsi"/>
                <w:color w:val="101010"/>
                <w:sz w:val="20"/>
                <w:szCs w:val="20"/>
                <w:highlight w:val="white"/>
              </w:rPr>
              <w:t xml:space="preserve">A esto se suma </w:t>
            </w:r>
            <w:r w:rsidR="00506F24">
              <w:rPr>
                <w:rFonts w:asciiTheme="majorHAnsi" w:hAnsiTheme="majorHAnsi" w:cstheme="majorHAnsi"/>
                <w:color w:val="101010"/>
                <w:sz w:val="20"/>
                <w:szCs w:val="20"/>
                <w:highlight w:val="white"/>
              </w:rPr>
              <w:t>las denuncias hechas el martes 12 de abril por u</w:t>
            </w:r>
            <w:r w:rsidR="00506F24" w:rsidRPr="00B501F6">
              <w:rPr>
                <w:rFonts w:asciiTheme="majorHAnsi" w:hAnsiTheme="majorHAnsi" w:cstheme="majorHAnsi"/>
                <w:color w:val="101010"/>
                <w:sz w:val="20"/>
                <w:szCs w:val="20"/>
                <w:highlight w:val="white"/>
              </w:rPr>
              <w:t>n sindicato policial</w:t>
            </w:r>
            <w:r w:rsidR="00506F24">
              <w:rPr>
                <w:rFonts w:asciiTheme="majorHAnsi" w:hAnsiTheme="majorHAnsi" w:cstheme="majorHAnsi"/>
                <w:color w:val="101010"/>
                <w:sz w:val="20"/>
                <w:szCs w:val="20"/>
                <w:highlight w:val="white"/>
              </w:rPr>
              <w:t xml:space="preserve">, en la que alegan </w:t>
            </w:r>
            <w:r w:rsidR="00506F24" w:rsidRPr="00B501F6">
              <w:rPr>
                <w:rFonts w:asciiTheme="majorHAnsi" w:hAnsiTheme="majorHAnsi" w:cstheme="majorHAnsi"/>
                <w:color w:val="101010"/>
                <w:sz w:val="20"/>
                <w:szCs w:val="20"/>
                <w:highlight w:val="white"/>
              </w:rPr>
              <w:t>que algunos jefes les exigieron un número determinado de capturas al día, en el contexto de la fuerte ofensiva contra las pandillas.</w:t>
            </w:r>
            <w:r w:rsidR="00506F24">
              <w:rPr>
                <w:rFonts w:asciiTheme="majorHAnsi" w:hAnsiTheme="majorHAnsi" w:cstheme="majorHAnsi"/>
                <w:color w:val="101010"/>
                <w:sz w:val="20"/>
                <w:szCs w:val="20"/>
                <w:highlight w:val="white"/>
              </w:rPr>
              <w:t xml:space="preserve"> </w:t>
            </w:r>
          </w:p>
          <w:p w14:paraId="3D9FCEB7" w14:textId="7CD76DE1" w:rsidR="000F5C9A" w:rsidRPr="00407C66" w:rsidRDefault="00506F24" w:rsidP="00D97091">
            <w:pPr>
              <w:tabs>
                <w:tab w:val="left" w:pos="9781"/>
              </w:tabs>
              <w:spacing w:line="240" w:lineRule="atLeast"/>
              <w:jc w:val="both"/>
              <w:rPr>
                <w:rFonts w:asciiTheme="majorHAnsi" w:hAnsiTheme="majorHAnsi" w:cstheme="majorHAnsi"/>
                <w:color w:val="101010"/>
                <w:sz w:val="20"/>
                <w:szCs w:val="20"/>
                <w:highlight w:val="white"/>
              </w:rPr>
            </w:pPr>
            <w:r>
              <w:rPr>
                <w:rFonts w:asciiTheme="majorHAnsi" w:hAnsiTheme="majorHAnsi" w:cstheme="majorHAnsi"/>
                <w:color w:val="101010"/>
                <w:sz w:val="20"/>
                <w:szCs w:val="20"/>
                <w:highlight w:val="white"/>
              </w:rPr>
              <w:t xml:space="preserve"> </w:t>
            </w:r>
          </w:p>
          <w:p w14:paraId="25058085" w14:textId="6F9F44F3" w:rsidR="00257779" w:rsidRDefault="000F5C9A" w:rsidP="00BA012F">
            <w:pPr>
              <w:tabs>
                <w:tab w:val="left" w:pos="9781"/>
              </w:tabs>
              <w:ind w:right="-60"/>
              <w:jc w:val="both"/>
              <w:rPr>
                <w:rFonts w:asciiTheme="majorHAnsi" w:hAnsiTheme="majorHAnsi" w:cstheme="majorHAnsi"/>
                <w:color w:val="101010"/>
                <w:sz w:val="20"/>
                <w:szCs w:val="20"/>
                <w:highlight w:val="white"/>
              </w:rPr>
            </w:pPr>
            <w:r>
              <w:rPr>
                <w:rFonts w:asciiTheme="majorHAnsi" w:hAnsiTheme="majorHAnsi" w:cstheme="majorHAnsi"/>
                <w:color w:val="101010"/>
                <w:sz w:val="20"/>
                <w:szCs w:val="20"/>
                <w:highlight w:val="white"/>
              </w:rPr>
              <w:t xml:space="preserve">En cuanto a las </w:t>
            </w:r>
            <w:r w:rsidRPr="00B501F6">
              <w:rPr>
                <w:rFonts w:asciiTheme="majorHAnsi" w:hAnsiTheme="majorHAnsi" w:cstheme="majorHAnsi"/>
                <w:b/>
                <w:bCs/>
                <w:color w:val="101010"/>
                <w:sz w:val="20"/>
                <w:szCs w:val="20"/>
                <w:highlight w:val="white"/>
              </w:rPr>
              <w:t>desapariciones</w:t>
            </w:r>
            <w:r>
              <w:rPr>
                <w:rFonts w:asciiTheme="majorHAnsi" w:hAnsiTheme="majorHAnsi" w:cstheme="majorHAnsi"/>
                <w:color w:val="101010"/>
                <w:sz w:val="20"/>
                <w:szCs w:val="20"/>
                <w:highlight w:val="white"/>
              </w:rPr>
              <w:t>, s</w:t>
            </w:r>
            <w:r w:rsidR="00257779" w:rsidRPr="00407C66">
              <w:rPr>
                <w:rFonts w:asciiTheme="majorHAnsi" w:hAnsiTheme="majorHAnsi" w:cstheme="majorHAnsi"/>
                <w:color w:val="101010"/>
                <w:sz w:val="20"/>
                <w:szCs w:val="20"/>
                <w:highlight w:val="white"/>
              </w:rPr>
              <w:t>egún datos de la PNC y de la FGR el número de víctimas de desaparición de personas por particulares aumentó entre los años 2020 y 2021. La PNC reportó 1,535 víctimas en 2020 y 1,830 en 2021 representando un 19.2% de incremento. La FGR, por su parte, consignó un aumento de 79.9% al registrar 662 casos en 2020 y 1,191 en 2021.</w:t>
            </w:r>
            <w:r w:rsidR="00257779" w:rsidRPr="00407C66">
              <w:rPr>
                <w:rFonts w:asciiTheme="majorHAnsi" w:hAnsiTheme="majorHAnsi" w:cstheme="majorHAnsi"/>
                <w:color w:val="101010"/>
                <w:sz w:val="20"/>
                <w:szCs w:val="20"/>
                <w:highlight w:val="white"/>
                <w:vertAlign w:val="superscript"/>
              </w:rPr>
              <w:footnoteReference w:id="25"/>
            </w:r>
            <w:r w:rsidR="00257779" w:rsidRPr="00407C66">
              <w:rPr>
                <w:rFonts w:asciiTheme="majorHAnsi" w:hAnsiTheme="majorHAnsi" w:cstheme="majorHAnsi"/>
                <w:color w:val="101010"/>
                <w:sz w:val="20"/>
                <w:szCs w:val="20"/>
                <w:highlight w:val="white"/>
              </w:rPr>
              <w:t xml:space="preserve"> Destacan en estos datos la enorme disparidad y falta de homologación entre las estadísticas registradas por ambas instituciones. A esta grave violación de los derechos humanos se suma la ausencia de investigaciones imparciales y eficaces, la falta de procesos de búsqueda inmediata, la impunidad de los perpetradores y la carencia de acciones de prevención, siendo también reprochable la revictimización, falta de empatía y buen trato de la FGR para con los familiares de personas desaparecidas. La fiscalía ha llegado a sugerir, ante las denuncias públicas y demandas de acción urgente, que se trata de campañas generadas por actores políticos o sociales y no una realidad como tal. A lo anterior, se agrega la actitud condenable de la FGR de tratar los casos bajo el término “ausencias voluntarias” para referirse a casos de desaparición de personas, incluidas las que son encontradas sin vida. Adicionalmente, según datos de la PNC al finalizar los años 2020 y 2021 el 30% y de 35% de los casos de desaparición de personas, respectivamente, permanecían activos al final del año, es decir, las personas no habían sido localizadas. A esta realidad se suma la identificación de al menos 5 fosas clandestinas donde se conoce que pudieran encontrarse restos de personas que tienen reporte de desaparición, reconociendo que no siempre se realizan las excavaciones especializadas</w:t>
            </w:r>
            <w:r w:rsidR="00257779" w:rsidRPr="00407C66">
              <w:rPr>
                <w:rFonts w:asciiTheme="majorHAnsi" w:hAnsiTheme="majorHAnsi" w:cstheme="majorHAnsi"/>
                <w:color w:val="101010"/>
                <w:sz w:val="20"/>
                <w:szCs w:val="20"/>
                <w:highlight w:val="white"/>
                <w:vertAlign w:val="superscript"/>
              </w:rPr>
              <w:footnoteReference w:id="26"/>
            </w:r>
            <w:r w:rsidR="00257779" w:rsidRPr="00407C66">
              <w:rPr>
                <w:rFonts w:asciiTheme="majorHAnsi" w:hAnsiTheme="majorHAnsi" w:cstheme="majorHAnsi"/>
                <w:color w:val="101010"/>
                <w:sz w:val="20"/>
                <w:szCs w:val="20"/>
                <w:highlight w:val="white"/>
              </w:rPr>
              <w:t>.</w:t>
            </w:r>
          </w:p>
          <w:p w14:paraId="1FD5C2C8" w14:textId="77777777" w:rsidR="005560DA" w:rsidRPr="00407C66" w:rsidRDefault="005560DA" w:rsidP="00BA012F">
            <w:pPr>
              <w:tabs>
                <w:tab w:val="left" w:pos="9781"/>
              </w:tabs>
              <w:ind w:right="-60"/>
              <w:jc w:val="both"/>
              <w:rPr>
                <w:rFonts w:asciiTheme="majorHAnsi" w:hAnsiTheme="majorHAnsi" w:cstheme="majorHAnsi"/>
                <w:color w:val="101010"/>
                <w:sz w:val="20"/>
                <w:szCs w:val="20"/>
                <w:highlight w:val="white"/>
              </w:rPr>
            </w:pPr>
          </w:p>
          <w:p w14:paraId="6986BEA8" w14:textId="457CB889" w:rsidR="00257779" w:rsidRPr="00407C66" w:rsidRDefault="00257779" w:rsidP="00BA012F">
            <w:pPr>
              <w:tabs>
                <w:tab w:val="left" w:pos="9781"/>
              </w:tabs>
              <w:jc w:val="both"/>
              <w:rPr>
                <w:rFonts w:asciiTheme="majorHAnsi" w:hAnsiTheme="majorHAnsi" w:cstheme="majorHAnsi"/>
                <w:b/>
                <w:color w:val="101010"/>
                <w:sz w:val="20"/>
                <w:szCs w:val="20"/>
                <w:highlight w:val="white"/>
              </w:rPr>
            </w:pPr>
            <w:r w:rsidRPr="00407C66">
              <w:rPr>
                <w:rFonts w:asciiTheme="majorHAnsi" w:hAnsiTheme="majorHAnsi" w:cstheme="majorHAnsi"/>
                <w:b/>
                <w:color w:val="101010"/>
                <w:sz w:val="20"/>
                <w:szCs w:val="20"/>
                <w:highlight w:val="white"/>
              </w:rPr>
              <w:lastRenderedPageBreak/>
              <w:t xml:space="preserve">Con relación al derecho a la reparación integral de las víctimas de graves violaciones a los derechos humanos, el Estado ha </w:t>
            </w:r>
            <w:r w:rsidR="005560DA">
              <w:rPr>
                <w:rFonts w:asciiTheme="majorHAnsi" w:hAnsiTheme="majorHAnsi" w:cstheme="majorHAnsi"/>
                <w:b/>
                <w:color w:val="101010"/>
                <w:sz w:val="20"/>
                <w:szCs w:val="20"/>
                <w:highlight w:val="white"/>
              </w:rPr>
              <w:t>tomado medidas</w:t>
            </w:r>
            <w:r w:rsidRPr="00407C66">
              <w:rPr>
                <w:rFonts w:asciiTheme="majorHAnsi" w:hAnsiTheme="majorHAnsi" w:cstheme="majorHAnsi"/>
                <w:b/>
                <w:color w:val="101010"/>
                <w:sz w:val="20"/>
                <w:szCs w:val="20"/>
                <w:highlight w:val="white"/>
              </w:rPr>
              <w:t xml:space="preserve"> contrari</w:t>
            </w:r>
            <w:r w:rsidR="005560DA">
              <w:rPr>
                <w:rFonts w:asciiTheme="majorHAnsi" w:hAnsiTheme="majorHAnsi" w:cstheme="majorHAnsi"/>
                <w:b/>
                <w:color w:val="101010"/>
                <w:sz w:val="20"/>
                <w:szCs w:val="20"/>
                <w:highlight w:val="white"/>
              </w:rPr>
              <w:t>as</w:t>
            </w:r>
            <w:r w:rsidRPr="00407C66">
              <w:rPr>
                <w:rFonts w:asciiTheme="majorHAnsi" w:hAnsiTheme="majorHAnsi" w:cstheme="majorHAnsi"/>
                <w:b/>
                <w:color w:val="101010"/>
                <w:sz w:val="20"/>
                <w:szCs w:val="20"/>
                <w:highlight w:val="white"/>
              </w:rPr>
              <w:t xml:space="preserve"> a la recomendación. </w:t>
            </w:r>
            <w:r w:rsidRPr="00407C66">
              <w:rPr>
                <w:rFonts w:asciiTheme="majorHAnsi" w:hAnsiTheme="majorHAnsi" w:cstheme="majorHAnsi"/>
                <w:color w:val="101010"/>
                <w:sz w:val="20"/>
                <w:szCs w:val="20"/>
                <w:highlight w:val="white"/>
              </w:rPr>
              <w:t>El presupuesto asignado a la Dirección Nacional de Atención a Víctimas y Migración Forzada se ha visto reducido en estos años, pasando de $296,100 en 2019 a $269,315 en 2020. Además, los servicios prestados por dicha institución también se vieron disminuidos, pasando de 3,839 servicios en 2018, a 1,350 en el año 2020. Los sistemas de protección de víctimas de niñez y adolescencia y de mujeres, se han reportado una disminución de los casos atendidos entre 2018 y 2020</w:t>
            </w:r>
            <w:r w:rsidRPr="00407C66">
              <w:rPr>
                <w:rFonts w:asciiTheme="majorHAnsi" w:hAnsiTheme="majorHAnsi" w:cstheme="majorHAnsi"/>
                <w:color w:val="101010"/>
                <w:sz w:val="20"/>
                <w:szCs w:val="20"/>
                <w:highlight w:val="white"/>
                <w:vertAlign w:val="superscript"/>
              </w:rPr>
              <w:footnoteReference w:id="27"/>
            </w:r>
            <w:r w:rsidRPr="00407C66">
              <w:rPr>
                <w:rFonts w:asciiTheme="majorHAnsi" w:hAnsiTheme="majorHAnsi" w:cstheme="majorHAnsi"/>
                <w:color w:val="101010"/>
                <w:sz w:val="20"/>
                <w:szCs w:val="20"/>
                <w:highlight w:val="white"/>
              </w:rPr>
              <w:t>. Por otra parte, las víctimas de violencia estatal han denunciado la estigmatización, discriminación e, incluso, la criminalización cuando inician procesos de investigación en contra de policías y militares, como lo ha documentado la PDDH y organizaciones sociales.</w:t>
            </w:r>
          </w:p>
        </w:tc>
      </w:tr>
    </w:tbl>
    <w:p w14:paraId="09EFA050" w14:textId="77777777" w:rsidR="00984D7C" w:rsidRPr="00407C66" w:rsidRDefault="00984D7C" w:rsidP="00BA012F">
      <w:pPr>
        <w:jc w:val="both"/>
        <w:rPr>
          <w:rFonts w:asciiTheme="majorHAnsi" w:hAnsiTheme="majorHAnsi" w:cstheme="majorHAnsi"/>
          <w:sz w:val="20"/>
          <w:szCs w:val="20"/>
        </w:rPr>
      </w:pPr>
    </w:p>
    <w:sectPr w:rsidR="00984D7C" w:rsidRPr="00407C66">
      <w:pgSz w:w="16840" w:h="11900" w:orient="landscape"/>
      <w:pgMar w:top="1440" w:right="156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03CCF" w14:textId="77777777" w:rsidR="00A4612C" w:rsidRDefault="00A4612C">
      <w:r>
        <w:separator/>
      </w:r>
    </w:p>
  </w:endnote>
  <w:endnote w:type="continuationSeparator" w:id="0">
    <w:p w14:paraId="3C70C659" w14:textId="77777777" w:rsidR="00A4612C" w:rsidRDefault="00A4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boto">
    <w:panose1 w:val="020B0604020202020204"/>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D1991" w14:textId="77777777" w:rsidR="00984D7C" w:rsidRDefault="00984D7C">
    <w:pPr>
      <w:pBdr>
        <w:top w:val="nil"/>
        <w:left w:val="nil"/>
        <w:bottom w:val="nil"/>
        <w:right w:val="nil"/>
        <w:between w:val="nil"/>
      </w:pBdr>
      <w:tabs>
        <w:tab w:val="center" w:pos="4680"/>
        <w:tab w:val="right" w:pos="9360"/>
      </w:tabs>
      <w:ind w:left="-709"/>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821E8" w14:textId="77777777" w:rsidR="00A4612C" w:rsidRDefault="00A4612C">
      <w:r>
        <w:separator/>
      </w:r>
    </w:p>
  </w:footnote>
  <w:footnote w:type="continuationSeparator" w:id="0">
    <w:p w14:paraId="6454AF1D" w14:textId="77777777" w:rsidR="00A4612C" w:rsidRDefault="00A4612C">
      <w:r>
        <w:continuationSeparator/>
      </w:r>
    </w:p>
  </w:footnote>
  <w:footnote w:id="1">
    <w:p w14:paraId="7643D6CB" w14:textId="77777777" w:rsidR="00371F37" w:rsidRPr="002E1729" w:rsidRDefault="00371F37" w:rsidP="00371F37">
      <w:pPr>
        <w:pStyle w:val="FootnoteText"/>
        <w:rPr>
          <w:rFonts w:asciiTheme="minorHAnsi" w:hAnsiTheme="minorHAnsi" w:cstheme="minorHAnsi"/>
          <w:sz w:val="16"/>
          <w:szCs w:val="16"/>
          <w:lang w:val="es-ES_tradnl"/>
        </w:rPr>
      </w:pPr>
      <w:r w:rsidRPr="002E1729">
        <w:rPr>
          <w:rStyle w:val="FootnoteReference"/>
          <w:rFonts w:asciiTheme="minorHAnsi" w:hAnsiTheme="minorHAnsi" w:cstheme="minorHAnsi"/>
          <w:sz w:val="16"/>
          <w:szCs w:val="16"/>
          <w:lang w:val="es-ES_tradnl"/>
        </w:rPr>
        <w:footnoteRef/>
      </w:r>
      <w:r w:rsidRPr="002E1729">
        <w:rPr>
          <w:rFonts w:asciiTheme="minorHAnsi" w:hAnsiTheme="minorHAnsi" w:cstheme="minorHAnsi"/>
          <w:sz w:val="16"/>
          <w:szCs w:val="16"/>
          <w:lang w:val="es-ES_tradnl"/>
        </w:rPr>
        <w:t xml:space="preserve"> Observaciones finales del Comité de Derechos Humanos al séptimo informe periódico de El Salvador disponibles aquí: </w:t>
      </w:r>
      <w:hyperlink r:id="rId1" w:history="1">
        <w:r w:rsidRPr="002E1729">
          <w:rPr>
            <w:rStyle w:val="Hyperlink"/>
            <w:rFonts w:asciiTheme="minorHAnsi" w:hAnsiTheme="minorHAnsi" w:cstheme="minorHAnsi"/>
            <w:sz w:val="16"/>
            <w:szCs w:val="16"/>
            <w:lang w:val="es-ES_tradnl"/>
          </w:rPr>
          <w:t>https://tbinternet.ohchr.org/_layouts/15/treatybodyexternal/Download.aspx?symbolno=CCPR%2fC%2fSLV%2fCO%2f7&amp;Lang=en</w:t>
        </w:r>
      </w:hyperlink>
      <w:r w:rsidRPr="002E1729">
        <w:rPr>
          <w:rFonts w:asciiTheme="minorHAnsi" w:hAnsiTheme="minorHAnsi" w:cstheme="minorHAnsi"/>
          <w:sz w:val="16"/>
          <w:szCs w:val="16"/>
          <w:lang w:val="es-ES_tradnl"/>
        </w:rPr>
        <w:t xml:space="preserve"> </w:t>
      </w:r>
    </w:p>
  </w:footnote>
  <w:footnote w:id="2">
    <w:p w14:paraId="6BC882A9" w14:textId="77777777" w:rsidR="00984D7C" w:rsidRPr="005546CA" w:rsidRDefault="002A44A1"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hyperlink r:id="rId2">
        <w:r w:rsidRPr="005546CA">
          <w:rPr>
            <w:rFonts w:asciiTheme="majorHAnsi" w:hAnsiTheme="majorHAnsi" w:cstheme="majorHAnsi"/>
            <w:color w:val="000000" w:themeColor="text1"/>
            <w:sz w:val="20"/>
            <w:szCs w:val="20"/>
          </w:rPr>
          <w:t>https://www.presidencia.gob.sv/decreto-ejecutivo-32-apuesta-luchar-contra-el-covid-19-por-omision-legislativa-a-regimen-de-excepcion/</w:t>
        </w:r>
      </w:hyperlink>
    </w:p>
  </w:footnote>
  <w:footnote w:id="3">
    <w:p w14:paraId="4BD8DA36" w14:textId="3730F2AE" w:rsidR="00984D7C" w:rsidRPr="005546CA" w:rsidRDefault="002A44A1"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hyperlink r:id="rId3">
        <w:r w:rsidRPr="005546CA">
          <w:rPr>
            <w:rFonts w:asciiTheme="majorHAnsi" w:hAnsiTheme="majorHAnsi" w:cstheme="majorHAnsi"/>
            <w:color w:val="000000" w:themeColor="text1"/>
            <w:sz w:val="20"/>
            <w:szCs w:val="20"/>
          </w:rPr>
          <w:t>https://historico.elsalvador.com/historico/740872/nayib-bukele-ataque-sala-de-lo-constitucional-dictador.html</w:t>
        </w:r>
      </w:hyperlink>
    </w:p>
  </w:footnote>
  <w:footnote w:id="4">
    <w:p w14:paraId="5B83DC5A" w14:textId="77777777" w:rsidR="00984D7C" w:rsidRPr="005546CA" w:rsidRDefault="002A44A1"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hyperlink r:id="rId4">
        <w:r w:rsidRPr="005546CA">
          <w:rPr>
            <w:rFonts w:asciiTheme="majorHAnsi" w:hAnsiTheme="majorHAnsi" w:cstheme="majorHAnsi"/>
            <w:color w:val="000000" w:themeColor="text1"/>
            <w:sz w:val="20"/>
            <w:szCs w:val="20"/>
          </w:rPr>
          <w:t>ONU se muestra preocupada por régimen de excepción en El Salvador | Las noticias y análisis más importantes en América Latina | DW | 05.04.2022</w:t>
        </w:r>
      </w:hyperlink>
    </w:p>
  </w:footnote>
  <w:footnote w:id="5">
    <w:p w14:paraId="7D39D16D"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eastAsia="Arial" w:hAnsiTheme="majorHAnsi" w:cstheme="majorHAnsi"/>
          <w:color w:val="000000" w:themeColor="text1"/>
          <w:sz w:val="20"/>
          <w:szCs w:val="20"/>
        </w:rPr>
        <w:t>(Resolución No.484-UAIP-FGR-2021 de 29 de octubre de 2021, p. 7-8).</w:t>
      </w:r>
    </w:p>
  </w:footnote>
  <w:footnote w:id="6">
    <w:p w14:paraId="2E2441D4"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eastAsia="Arial" w:hAnsiTheme="majorHAnsi" w:cstheme="majorHAnsi"/>
          <w:color w:val="000000" w:themeColor="text1"/>
          <w:sz w:val="20"/>
          <w:szCs w:val="20"/>
        </w:rPr>
        <w:t xml:space="preserve"> (según reportó el Fiscal General de la República ante la Asamblea Legislativa 2022)</w:t>
      </w:r>
    </w:p>
  </w:footnote>
  <w:footnote w:id="7">
    <w:p w14:paraId="3FFE25FA"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eastAsia="Arial" w:hAnsiTheme="majorHAnsi" w:cstheme="majorHAnsi"/>
          <w:color w:val="000000" w:themeColor="text1"/>
          <w:sz w:val="20"/>
          <w:szCs w:val="20"/>
        </w:rPr>
        <w:t>FGR (2022). Memoria de labores 2020-2021. Disponible en: https://www.fiscalia.gob.sv</w:t>
      </w:r>
    </w:p>
  </w:footnote>
  <w:footnote w:id="8">
    <w:p w14:paraId="1403B7FF"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eastAsia="Arial" w:hAnsiTheme="majorHAnsi" w:cstheme="majorHAnsi"/>
          <w:color w:val="000000" w:themeColor="text1"/>
          <w:sz w:val="20"/>
          <w:szCs w:val="20"/>
        </w:rPr>
        <w:t>(Resolución No.484-UAIP-FGR-2021 de 29 de octubre de 2021, p. 10):</w:t>
      </w:r>
    </w:p>
  </w:footnote>
  <w:footnote w:id="9">
    <w:p w14:paraId="6DB672BF"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eastAsia="Arial" w:hAnsiTheme="majorHAnsi" w:cstheme="majorHAnsi"/>
          <w:color w:val="000000" w:themeColor="text1"/>
          <w:sz w:val="20"/>
          <w:szCs w:val="20"/>
        </w:rPr>
        <w:t xml:space="preserve"> Sentencia de inconstitucionalidad de la Ley de Amnistía 44-2013/145-2013, emitida en julio de 2016,</w:t>
      </w:r>
    </w:p>
  </w:footnote>
  <w:footnote w:id="10">
    <w:p w14:paraId="0B5D03AC" w14:textId="77777777" w:rsidR="00257779" w:rsidRPr="005546CA" w:rsidRDefault="00257779" w:rsidP="005546CA">
      <w:pPr>
        <w:jc w:val="both"/>
        <w:rPr>
          <w:rFonts w:asciiTheme="majorHAnsi" w:eastAsia="Arial"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eastAsia="Arial" w:hAnsiTheme="majorHAnsi" w:cstheme="majorHAnsi"/>
          <w:color w:val="000000" w:themeColor="text1"/>
          <w:sz w:val="20"/>
          <w:szCs w:val="20"/>
        </w:rPr>
        <w:t xml:space="preserve"> , Diario </w:t>
      </w:r>
      <w:proofErr w:type="spellStart"/>
      <w:r w:rsidRPr="005546CA">
        <w:rPr>
          <w:rFonts w:asciiTheme="majorHAnsi" w:eastAsia="Arial" w:hAnsiTheme="majorHAnsi" w:cstheme="majorHAnsi"/>
          <w:color w:val="000000" w:themeColor="text1"/>
          <w:sz w:val="20"/>
          <w:szCs w:val="20"/>
        </w:rPr>
        <w:t>Colatino</w:t>
      </w:r>
      <w:proofErr w:type="spellEnd"/>
      <w:r w:rsidRPr="005546CA">
        <w:rPr>
          <w:rFonts w:asciiTheme="majorHAnsi" w:eastAsia="Arial" w:hAnsiTheme="majorHAnsi" w:cstheme="majorHAnsi"/>
          <w:color w:val="000000" w:themeColor="text1"/>
          <w:sz w:val="20"/>
          <w:szCs w:val="20"/>
        </w:rPr>
        <w:t>, 14 de octubre de 2020</w:t>
      </w:r>
    </w:p>
  </w:footnote>
  <w:footnote w:id="11">
    <w:p w14:paraId="0A62A1BF"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eastAsia="Arial" w:hAnsiTheme="majorHAnsi" w:cstheme="majorHAnsi"/>
          <w:color w:val="000000" w:themeColor="text1"/>
          <w:sz w:val="20"/>
          <w:szCs w:val="20"/>
        </w:rPr>
        <w:t xml:space="preserve">El Faro (2020). La noche que </w:t>
      </w:r>
      <w:proofErr w:type="spellStart"/>
      <w:r w:rsidRPr="005546CA">
        <w:rPr>
          <w:rFonts w:asciiTheme="majorHAnsi" w:eastAsia="Arial" w:hAnsiTheme="majorHAnsi" w:cstheme="majorHAnsi"/>
          <w:color w:val="000000" w:themeColor="text1"/>
          <w:sz w:val="20"/>
          <w:szCs w:val="20"/>
        </w:rPr>
        <w:t>Bukele</w:t>
      </w:r>
      <w:proofErr w:type="spellEnd"/>
      <w:r w:rsidRPr="005546CA">
        <w:rPr>
          <w:rFonts w:asciiTheme="majorHAnsi" w:eastAsia="Arial" w:hAnsiTheme="majorHAnsi" w:cstheme="majorHAnsi"/>
          <w:color w:val="000000" w:themeColor="text1"/>
          <w:sz w:val="20"/>
          <w:szCs w:val="20"/>
        </w:rPr>
        <w:t xml:space="preserve"> despreció al juez, las víctimas, la Sala y los congresistas republicanos. Disponible en: https://elfaro.net/es/202009/el_salvador/24854/La-noche-en-que-Bukele-despreci%C3%B3-al-juez-las-v%C3%ADctimas-la-Sala-y-los-congresistas-republicanos.ht</w:t>
      </w:r>
    </w:p>
  </w:footnote>
  <w:footnote w:id="12">
    <w:p w14:paraId="04E3E213" w14:textId="77777777" w:rsidR="00257779" w:rsidRPr="005546CA" w:rsidRDefault="00257779" w:rsidP="005546CA">
      <w:pPr>
        <w:pStyle w:val="FootnoteText"/>
        <w:jc w:val="both"/>
        <w:rPr>
          <w:rFonts w:asciiTheme="majorHAnsi" w:hAnsiTheme="majorHAnsi" w:cstheme="majorHAnsi"/>
          <w:color w:val="000000" w:themeColor="text1"/>
          <w:lang w:val="es-SV"/>
        </w:rPr>
      </w:pPr>
      <w:r w:rsidRPr="005546CA">
        <w:rPr>
          <w:rStyle w:val="FootnoteReference"/>
          <w:rFonts w:asciiTheme="majorHAnsi" w:hAnsiTheme="majorHAnsi" w:cstheme="majorHAnsi"/>
          <w:color w:val="000000" w:themeColor="text1"/>
        </w:rPr>
        <w:footnoteRef/>
      </w:r>
      <w:r w:rsidRPr="005546CA">
        <w:rPr>
          <w:rFonts w:asciiTheme="majorHAnsi" w:hAnsiTheme="majorHAnsi" w:cstheme="majorHAnsi"/>
          <w:color w:val="000000" w:themeColor="text1"/>
        </w:rPr>
        <w:t xml:space="preserve"> Declaraciones d</w:t>
      </w:r>
      <w:r w:rsidRPr="005546CA">
        <w:rPr>
          <w:rFonts w:asciiTheme="majorHAnsi" w:eastAsia="Arial" w:hAnsiTheme="majorHAnsi" w:cstheme="majorHAnsi"/>
          <w:color w:val="000000" w:themeColor="text1"/>
        </w:rPr>
        <w:t>el presidente de la República en cadena nacional el 24 de septiembre de 2020.</w:t>
      </w:r>
    </w:p>
  </w:footnote>
  <w:footnote w:id="13">
    <w:p w14:paraId="3564A388" w14:textId="77777777" w:rsidR="00257779" w:rsidRPr="005546CA" w:rsidRDefault="00257779" w:rsidP="005546CA">
      <w:pPr>
        <w:jc w:val="both"/>
        <w:rPr>
          <w:rFonts w:asciiTheme="majorHAnsi" w:eastAsia="Arial"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G</w:t>
      </w:r>
      <w:r w:rsidRPr="005546CA">
        <w:rPr>
          <w:rFonts w:asciiTheme="majorHAnsi" w:eastAsia="Arial" w:hAnsiTheme="majorHAnsi" w:cstheme="majorHAnsi"/>
          <w:color w:val="000000" w:themeColor="text1"/>
          <w:sz w:val="20"/>
          <w:szCs w:val="20"/>
        </w:rPr>
        <w:t>ato encerrado (2021). Demandan a la Corte Suprema por nombramiento de nueva jueza del caso El Mozote. Disponible en: https://gatoencerrado.news/2021/12/09/demandan-a-la-corte-suprema-por-nombramiento-de-nueva-jueza-del-caso-el-mozote/</w:t>
      </w:r>
    </w:p>
    <w:p w14:paraId="70E26DD2" w14:textId="77777777" w:rsidR="00257779" w:rsidRPr="005546CA" w:rsidRDefault="00257779" w:rsidP="005546CA">
      <w:pPr>
        <w:jc w:val="both"/>
        <w:rPr>
          <w:rFonts w:asciiTheme="majorHAnsi" w:hAnsiTheme="majorHAnsi" w:cstheme="majorHAnsi"/>
          <w:color w:val="000000" w:themeColor="text1"/>
          <w:sz w:val="20"/>
          <w:szCs w:val="20"/>
        </w:rPr>
      </w:pPr>
    </w:p>
  </w:footnote>
  <w:footnote w:id="14">
    <w:p w14:paraId="65B28BDE" w14:textId="3E97C8C5" w:rsidR="00C10F10" w:rsidRPr="00C10F10" w:rsidRDefault="00C10F10">
      <w:pPr>
        <w:pStyle w:val="FootnoteText"/>
      </w:pPr>
      <w:r>
        <w:rPr>
          <w:rStyle w:val="FootnoteReference"/>
        </w:rPr>
        <w:footnoteRef/>
      </w:r>
      <w:r>
        <w:t xml:space="preserve"> </w:t>
      </w:r>
      <w:r w:rsidRPr="00C10F10">
        <w:t>https://www.dw.com/es/corte-suprema-de-el-salvador-apela-fallo-que-frena-despidos-de-m%C3%A1s-de-200-jueces</w:t>
      </w:r>
    </w:p>
  </w:footnote>
  <w:footnote w:id="15">
    <w:p w14:paraId="6632CFDC" w14:textId="57FE4B32" w:rsidR="00716640" w:rsidRPr="00716640" w:rsidRDefault="00716640">
      <w:pPr>
        <w:pStyle w:val="FootnoteText"/>
      </w:pPr>
      <w:r>
        <w:rPr>
          <w:rStyle w:val="FootnoteReference"/>
        </w:rPr>
        <w:footnoteRef/>
      </w:r>
      <w:r>
        <w:t xml:space="preserve"> </w:t>
      </w:r>
      <w:r w:rsidRPr="00716640">
        <w:t>https://elfaro.net/es/202109/el_salvador/25743/Juez-de-El-Mozote-%E2%80%9CEst%C3%A1n-obligando-a-los-jueces-a-renunciar-bajo-un-chantaje%E2%80%9D</w:t>
      </w:r>
    </w:p>
  </w:footnote>
  <w:footnote w:id="16">
    <w:p w14:paraId="68D42115" w14:textId="6FC667D5" w:rsidR="00716640" w:rsidRPr="00716640" w:rsidRDefault="00716640">
      <w:pPr>
        <w:pStyle w:val="FootnoteText"/>
      </w:pPr>
      <w:r>
        <w:rPr>
          <w:rStyle w:val="FootnoteReference"/>
        </w:rPr>
        <w:footnoteRef/>
      </w:r>
      <w:r>
        <w:t xml:space="preserve"> </w:t>
      </w:r>
      <w:r w:rsidRPr="00716640">
        <w:t>https://elfaro.net/es/202204/el_salvador/26129/Exjuez-de-El-Mozote-denuncia-hostigamiento-en-su-casa.htm</w:t>
      </w:r>
    </w:p>
  </w:footnote>
  <w:footnote w:id="17">
    <w:p w14:paraId="399C1431"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eastAsia="Arial" w:hAnsiTheme="majorHAnsi" w:cstheme="majorHAnsi"/>
          <w:color w:val="000000" w:themeColor="text1"/>
          <w:sz w:val="20"/>
          <w:szCs w:val="20"/>
        </w:rPr>
        <w:t xml:space="preserve"> </w:t>
      </w:r>
      <w:hyperlink r:id="rId5">
        <w:r w:rsidRPr="005546CA">
          <w:rPr>
            <w:rFonts w:asciiTheme="majorHAnsi" w:eastAsia="Arial" w:hAnsiTheme="majorHAnsi" w:cstheme="majorHAnsi"/>
            <w:color w:val="000000" w:themeColor="text1"/>
            <w:sz w:val="20"/>
            <w:szCs w:val="20"/>
            <w:u w:val="single"/>
          </w:rPr>
          <w:t>https://www.youtube.com/watch?v=cR0DYO_p6zQ&amp;ab_channel=SucesosElSalvador</w:t>
        </w:r>
      </w:hyperlink>
      <w:r w:rsidRPr="005546CA">
        <w:rPr>
          <w:rFonts w:asciiTheme="majorHAnsi" w:eastAsia="Arial" w:hAnsiTheme="majorHAnsi" w:cstheme="majorHAnsi"/>
          <w:color w:val="000000" w:themeColor="text1"/>
          <w:sz w:val="20"/>
          <w:szCs w:val="20"/>
        </w:rPr>
        <w:t xml:space="preserve">; </w:t>
      </w:r>
      <w:hyperlink r:id="rId6">
        <w:r w:rsidRPr="005546CA">
          <w:rPr>
            <w:rFonts w:asciiTheme="majorHAnsi" w:eastAsia="Arial" w:hAnsiTheme="majorHAnsi" w:cstheme="majorHAnsi"/>
            <w:color w:val="000000" w:themeColor="text1"/>
            <w:sz w:val="20"/>
            <w:szCs w:val="20"/>
          </w:rPr>
          <w:t xml:space="preserve"> </w:t>
        </w:r>
      </w:hyperlink>
      <w:hyperlink r:id="rId7">
        <w:r w:rsidRPr="005546CA">
          <w:rPr>
            <w:rFonts w:asciiTheme="majorHAnsi" w:eastAsia="Arial" w:hAnsiTheme="majorHAnsi" w:cstheme="majorHAnsi"/>
            <w:color w:val="000000" w:themeColor="text1"/>
            <w:sz w:val="20"/>
            <w:szCs w:val="20"/>
            <w:u w:val="single"/>
          </w:rPr>
          <w:t>https://elfaro.net/es/202009/el_salvador/24854/La-noche-en-que-Bukele-despreci%C3%B3-al-juez-las-v%C3%ADctimas-la-Sala-y-los-congresistas-republicanos.htm</w:t>
        </w:r>
      </w:hyperlink>
      <w:r w:rsidRPr="005546CA">
        <w:rPr>
          <w:rFonts w:asciiTheme="majorHAnsi" w:eastAsia="Arial" w:hAnsiTheme="majorHAnsi" w:cstheme="majorHAnsi"/>
          <w:color w:val="000000" w:themeColor="text1"/>
          <w:sz w:val="20"/>
          <w:szCs w:val="20"/>
        </w:rPr>
        <w:t>;</w:t>
      </w:r>
      <w:hyperlink r:id="rId8">
        <w:r w:rsidRPr="005546CA">
          <w:rPr>
            <w:rFonts w:asciiTheme="majorHAnsi" w:eastAsia="Arial" w:hAnsiTheme="majorHAnsi" w:cstheme="majorHAnsi"/>
            <w:color w:val="000000" w:themeColor="text1"/>
            <w:sz w:val="20"/>
            <w:szCs w:val="20"/>
          </w:rPr>
          <w:t xml:space="preserve"> </w:t>
        </w:r>
      </w:hyperlink>
      <w:hyperlink r:id="rId9">
        <w:r w:rsidRPr="005546CA">
          <w:rPr>
            <w:rFonts w:asciiTheme="majorHAnsi" w:eastAsia="Arial" w:hAnsiTheme="majorHAnsi" w:cstheme="majorHAnsi"/>
            <w:color w:val="000000" w:themeColor="text1"/>
            <w:sz w:val="20"/>
            <w:szCs w:val="20"/>
            <w:u w:val="single"/>
          </w:rPr>
          <w:t>https://www.102nueve.com/2020/09/25/bukele-recuerda-que-a-la-uca-no-le-importa-el-sobreseimiento-de-cristiani-si-al-final-logran-procesar-a-todos-los-militares/</w:t>
        </w:r>
      </w:hyperlink>
      <w:r w:rsidRPr="005546CA">
        <w:rPr>
          <w:rFonts w:asciiTheme="majorHAnsi" w:eastAsia="Arial" w:hAnsiTheme="majorHAnsi" w:cstheme="majorHAnsi"/>
          <w:color w:val="000000" w:themeColor="text1"/>
          <w:sz w:val="20"/>
          <w:szCs w:val="20"/>
        </w:rPr>
        <w:t>)</w:t>
      </w:r>
    </w:p>
  </w:footnote>
  <w:footnote w:id="18">
    <w:p w14:paraId="33BF5BDE"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hyperlink r:id="rId10">
        <w:r w:rsidRPr="005546CA">
          <w:rPr>
            <w:rFonts w:asciiTheme="majorHAnsi" w:eastAsia="Arial" w:hAnsiTheme="majorHAnsi" w:cstheme="majorHAnsi"/>
            <w:color w:val="000000" w:themeColor="text1"/>
            <w:sz w:val="20"/>
            <w:szCs w:val="20"/>
            <w:u w:val="single"/>
          </w:rPr>
          <w:t>https://www.lavanguardia.com/politica/20201219/6135889/ong-rechaza-ataques-presidente-salvadoreno-abogado-caso-mozote.html</w:t>
        </w:r>
      </w:hyperlink>
      <w:r w:rsidRPr="005546CA">
        <w:rPr>
          <w:rFonts w:asciiTheme="majorHAnsi" w:eastAsia="Arial" w:hAnsiTheme="majorHAnsi" w:cstheme="majorHAnsi"/>
          <w:color w:val="000000" w:themeColor="text1"/>
          <w:sz w:val="20"/>
          <w:szCs w:val="20"/>
        </w:rPr>
        <w:t>.</w:t>
      </w:r>
    </w:p>
  </w:footnote>
  <w:footnote w:id="19">
    <w:p w14:paraId="1BBFB441" w14:textId="23E39D01" w:rsidR="00257779" w:rsidRPr="005546CA" w:rsidRDefault="00257779" w:rsidP="005546CA">
      <w:pPr>
        <w:jc w:val="both"/>
        <w:rPr>
          <w:rFonts w:asciiTheme="majorHAnsi" w:eastAsia="Arial"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eastAsia="Arial" w:hAnsiTheme="majorHAnsi" w:cstheme="majorHAnsi"/>
          <w:i/>
          <w:color w:val="000000" w:themeColor="text1"/>
          <w:sz w:val="20"/>
          <w:szCs w:val="20"/>
          <w:highlight w:val="white"/>
        </w:rPr>
        <w:t>Vid.</w:t>
      </w:r>
      <w:r w:rsidRPr="005546CA">
        <w:rPr>
          <w:rFonts w:asciiTheme="majorHAnsi" w:eastAsia="Arial" w:hAnsiTheme="majorHAnsi" w:cstheme="majorHAnsi"/>
          <w:color w:val="000000" w:themeColor="text1"/>
          <w:sz w:val="20"/>
          <w:szCs w:val="20"/>
          <w:highlight w:val="white"/>
        </w:rPr>
        <w:t xml:space="preserve"> resoluciones de la Unidad de Acceso a la Información Pública de la Presidencia de la República Ref. UAIP-630-2019 y UAIP-452-2019, de fechas 9 de septiembre y 2 de diciembre de 2019 y resolución de la Unidad de Acceso a la Información Pública de la Presidencia de la República Ref. UAIP-108-2021, de fecha 22 de julio de 2021.</w:t>
      </w:r>
    </w:p>
    <w:p w14:paraId="6E0AE78F" w14:textId="77777777" w:rsidR="00257779" w:rsidRPr="005546CA" w:rsidRDefault="00257779" w:rsidP="005546CA">
      <w:pPr>
        <w:jc w:val="both"/>
        <w:rPr>
          <w:rFonts w:asciiTheme="majorHAnsi" w:hAnsiTheme="majorHAnsi" w:cstheme="majorHAnsi"/>
          <w:color w:val="000000" w:themeColor="text1"/>
          <w:sz w:val="20"/>
          <w:szCs w:val="20"/>
        </w:rPr>
      </w:pPr>
    </w:p>
  </w:footnote>
  <w:footnote w:id="20">
    <w:p w14:paraId="6656EEA7" w14:textId="4E3A0BCD" w:rsidR="00257779" w:rsidRPr="005546CA" w:rsidRDefault="00257779" w:rsidP="005546CA">
      <w:pPr>
        <w:tabs>
          <w:tab w:val="left" w:pos="9781"/>
        </w:tabs>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eastAsia="Arial" w:hAnsiTheme="majorHAnsi" w:cstheme="majorHAnsi"/>
          <w:color w:val="000000" w:themeColor="text1"/>
          <w:sz w:val="20"/>
          <w:szCs w:val="20"/>
          <w:highlight w:val="white"/>
        </w:rPr>
        <w:t xml:space="preserve">Servicio Social Pasionista (SSPAS), Uso de tecnología en las políticas de seguridad en El Salvador: los riesgos en los derechos humanos, San Salvador, septiembre de 2021, pp. 22-23 y Hernández, W. y Alas, L. (19/07/2021). </w:t>
      </w:r>
      <w:proofErr w:type="spellStart"/>
      <w:r w:rsidRPr="005546CA">
        <w:rPr>
          <w:rFonts w:asciiTheme="majorHAnsi" w:eastAsia="Arial" w:hAnsiTheme="majorHAnsi" w:cstheme="majorHAnsi"/>
          <w:color w:val="000000" w:themeColor="text1"/>
          <w:sz w:val="20"/>
          <w:szCs w:val="20"/>
          <w:highlight w:val="white"/>
        </w:rPr>
        <w:t>Bukele</w:t>
      </w:r>
      <w:proofErr w:type="spellEnd"/>
      <w:r w:rsidRPr="005546CA">
        <w:rPr>
          <w:rFonts w:asciiTheme="majorHAnsi" w:eastAsia="Arial" w:hAnsiTheme="majorHAnsi" w:cstheme="majorHAnsi"/>
          <w:color w:val="000000" w:themeColor="text1"/>
          <w:sz w:val="20"/>
          <w:szCs w:val="20"/>
          <w:highlight w:val="white"/>
        </w:rPr>
        <w:t xml:space="preserve"> anuncia que en cinco años la Fuerza Armada pasará de 20,000 a 40,000 soldados. El Diario de Hoy, recuperado de:</w:t>
      </w:r>
      <w:hyperlink r:id="rId11">
        <w:r w:rsidRPr="005546CA">
          <w:rPr>
            <w:rFonts w:asciiTheme="majorHAnsi" w:eastAsia="Arial" w:hAnsiTheme="majorHAnsi" w:cstheme="majorHAnsi"/>
            <w:color w:val="000000" w:themeColor="text1"/>
            <w:sz w:val="20"/>
            <w:szCs w:val="20"/>
            <w:highlight w:val="white"/>
          </w:rPr>
          <w:t xml:space="preserve"> </w:t>
        </w:r>
      </w:hyperlink>
      <w:hyperlink r:id="rId12">
        <w:r w:rsidRPr="005546CA">
          <w:rPr>
            <w:rFonts w:asciiTheme="majorHAnsi" w:eastAsia="Arial" w:hAnsiTheme="majorHAnsi" w:cstheme="majorHAnsi"/>
            <w:color w:val="000000" w:themeColor="text1"/>
            <w:sz w:val="20"/>
            <w:szCs w:val="20"/>
            <w:highlight w:val="white"/>
            <w:u w:val="single"/>
          </w:rPr>
          <w:t>https://www.elsalvador.com/noticias/nacional/nayib-bukele-anuncia-fase-4-plan-control-territorial/860600/2021/</w:t>
        </w:r>
      </w:hyperlink>
    </w:p>
  </w:footnote>
  <w:footnote w:id="21">
    <w:p w14:paraId="5A9671DE" w14:textId="77777777" w:rsidR="00257779" w:rsidRPr="005546CA" w:rsidRDefault="00257779" w:rsidP="005546CA">
      <w:pPr>
        <w:jc w:val="both"/>
        <w:rPr>
          <w:rFonts w:asciiTheme="majorHAnsi" w:hAnsiTheme="majorHAnsi" w:cstheme="majorHAnsi"/>
          <w:color w:val="000000" w:themeColor="text1"/>
          <w:sz w:val="20"/>
          <w:szCs w:val="20"/>
        </w:rPr>
      </w:pPr>
    </w:p>
    <w:p w14:paraId="300E6605" w14:textId="33623BA2" w:rsidR="00257779" w:rsidRPr="005546CA" w:rsidRDefault="00257779" w:rsidP="005546CA">
      <w:pPr>
        <w:jc w:val="both"/>
        <w:rPr>
          <w:rFonts w:asciiTheme="majorHAnsi" w:hAnsiTheme="majorHAnsi" w:cstheme="majorHAnsi"/>
          <w:color w:val="000000" w:themeColor="text1"/>
          <w:sz w:val="20"/>
          <w:szCs w:val="20"/>
          <w:highlight w:val="white"/>
          <w:u w:val="single"/>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hAnsiTheme="majorHAnsi" w:cstheme="majorHAnsi"/>
          <w:color w:val="000000" w:themeColor="text1"/>
          <w:sz w:val="20"/>
          <w:szCs w:val="20"/>
          <w:highlight w:val="white"/>
        </w:rPr>
        <w:t xml:space="preserve">Recomendación formulada en </w:t>
      </w:r>
      <w:proofErr w:type="gramStart"/>
      <w:r w:rsidRPr="005546CA">
        <w:rPr>
          <w:rFonts w:asciiTheme="majorHAnsi" w:hAnsiTheme="majorHAnsi" w:cstheme="majorHAnsi"/>
          <w:color w:val="000000" w:themeColor="text1"/>
          <w:sz w:val="20"/>
          <w:szCs w:val="20"/>
          <w:highlight w:val="white"/>
        </w:rPr>
        <w:t>el  Informe</w:t>
      </w:r>
      <w:proofErr w:type="gramEnd"/>
      <w:r w:rsidRPr="005546CA">
        <w:rPr>
          <w:rFonts w:asciiTheme="majorHAnsi" w:hAnsiTheme="majorHAnsi" w:cstheme="majorHAnsi"/>
          <w:color w:val="000000" w:themeColor="text1"/>
          <w:sz w:val="20"/>
          <w:szCs w:val="20"/>
          <w:highlight w:val="white"/>
        </w:rPr>
        <w:t xml:space="preserve"> de misión a El Salvador de la Relatora Especial sobre las ejecuciones extrajudiciales, sumarias o arbitrarias.  Observatorio Universitario de Derechos Humanos (OUDH). Recomendaciones:</w:t>
      </w:r>
      <w:hyperlink r:id="rId13">
        <w:r w:rsidRPr="005546CA">
          <w:rPr>
            <w:rFonts w:asciiTheme="majorHAnsi" w:hAnsiTheme="majorHAnsi" w:cstheme="majorHAnsi"/>
            <w:color w:val="000000" w:themeColor="text1"/>
            <w:sz w:val="20"/>
            <w:szCs w:val="20"/>
            <w:highlight w:val="white"/>
          </w:rPr>
          <w:t xml:space="preserve"> </w:t>
        </w:r>
      </w:hyperlink>
      <w:hyperlink r:id="rId14">
        <w:r w:rsidRPr="005546CA">
          <w:rPr>
            <w:rFonts w:asciiTheme="majorHAnsi" w:hAnsiTheme="majorHAnsi" w:cstheme="majorHAnsi"/>
            <w:color w:val="000000" w:themeColor="text1"/>
            <w:sz w:val="20"/>
            <w:szCs w:val="20"/>
            <w:highlight w:val="white"/>
            <w:u w:val="single"/>
          </w:rPr>
          <w:t>https://oudh.uca.edu.sv/cms/recomendaciones/fichas/2471</w:t>
        </w:r>
      </w:hyperlink>
    </w:p>
    <w:p w14:paraId="336C9021" w14:textId="77777777" w:rsidR="00257779" w:rsidRPr="005546CA" w:rsidRDefault="00257779" w:rsidP="005546CA">
      <w:pPr>
        <w:jc w:val="both"/>
        <w:rPr>
          <w:rFonts w:asciiTheme="majorHAnsi" w:hAnsiTheme="majorHAnsi" w:cstheme="majorHAnsi"/>
          <w:color w:val="000000" w:themeColor="text1"/>
          <w:sz w:val="20"/>
          <w:szCs w:val="20"/>
        </w:rPr>
      </w:pPr>
    </w:p>
  </w:footnote>
  <w:footnote w:id="22">
    <w:p w14:paraId="09E5561E" w14:textId="56B76B5D"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eastAsia="Arial" w:hAnsiTheme="majorHAnsi" w:cstheme="majorHAnsi"/>
          <w:color w:val="000000" w:themeColor="text1"/>
          <w:sz w:val="20"/>
          <w:szCs w:val="20"/>
        </w:rPr>
        <w:t xml:space="preserve"> L</w:t>
      </w:r>
      <w:r w:rsidRPr="005546CA">
        <w:rPr>
          <w:rFonts w:asciiTheme="majorHAnsi" w:eastAsia="Arial" w:hAnsiTheme="majorHAnsi" w:cstheme="majorHAnsi"/>
          <w:color w:val="000000" w:themeColor="text1"/>
          <w:sz w:val="20"/>
          <w:szCs w:val="20"/>
          <w:highlight w:val="white"/>
        </w:rPr>
        <w:t>os Decretos Ejecutivos números 36, 46 y 41, publicados en los Diarios Oficiales de fechas 27 de noviembre de 2019, 23 de diciembre de 2020, y 24 de noviembre de 2021, respectivamente, que prorrogan, por un año, la vigencia de la participación de la FAES en tareas de seguridad pública.</w:t>
      </w:r>
    </w:p>
  </w:footnote>
  <w:footnote w:id="23">
    <w:p w14:paraId="705E07AA" w14:textId="77777777" w:rsidR="00257779" w:rsidRPr="005546CA" w:rsidRDefault="00257779" w:rsidP="005546CA">
      <w:pPr>
        <w:pStyle w:val="FootnoteText"/>
        <w:jc w:val="both"/>
        <w:rPr>
          <w:rFonts w:asciiTheme="majorHAnsi" w:hAnsiTheme="majorHAnsi" w:cstheme="majorHAnsi"/>
          <w:color w:val="000000" w:themeColor="text1"/>
          <w:lang w:val="es-SV"/>
        </w:rPr>
      </w:pPr>
      <w:r w:rsidRPr="005546CA">
        <w:rPr>
          <w:rStyle w:val="FootnoteReference"/>
          <w:rFonts w:asciiTheme="majorHAnsi" w:hAnsiTheme="majorHAnsi" w:cstheme="majorHAnsi"/>
          <w:color w:val="000000" w:themeColor="text1"/>
        </w:rPr>
        <w:footnoteRef/>
      </w:r>
      <w:r w:rsidRPr="005546CA">
        <w:rPr>
          <w:rFonts w:asciiTheme="majorHAnsi" w:hAnsiTheme="majorHAnsi" w:cstheme="majorHAnsi"/>
          <w:color w:val="000000" w:themeColor="text1"/>
          <w:lang w:val="es-SV"/>
        </w:rPr>
        <w:t xml:space="preserve"> Twitter de Nayib Bukele, 27 de marzo 2022</w:t>
      </w:r>
    </w:p>
  </w:footnote>
  <w:footnote w:id="24">
    <w:p w14:paraId="49CB3086" w14:textId="77777777" w:rsidR="00607899" w:rsidRPr="00716640" w:rsidRDefault="00607899" w:rsidP="00607899">
      <w:pPr>
        <w:pStyle w:val="FootnoteText"/>
      </w:pPr>
      <w:r>
        <w:rPr>
          <w:rStyle w:val="FootnoteReference"/>
        </w:rPr>
        <w:footnoteRef/>
      </w:r>
      <w:r>
        <w:t xml:space="preserve"> </w:t>
      </w:r>
      <w:hyperlink r:id="rId15" w:history="1">
        <w:r w:rsidRPr="00994182">
          <w:rPr>
            <w:rStyle w:val="Hyperlink"/>
          </w:rPr>
          <w:t>https://ladiaria.com.uy/mundo/articulo/2022/4/el-salvador-mas-de-10000-pandilleros-fueron-detenidos-desde-que-rige-el-regimen-de-excepcion/</w:t>
        </w:r>
      </w:hyperlink>
      <w:r>
        <w:t xml:space="preserve">; </w:t>
      </w:r>
      <w:hyperlink r:id="rId16" w:history="1">
        <w:r w:rsidRPr="00994182">
          <w:rPr>
            <w:rStyle w:val="Hyperlink"/>
          </w:rPr>
          <w:t>https://www.nacion.com/el-mundo/centroamerica/detenidos-100-menores-durante-regimen-de-excepcion</w:t>
        </w:r>
      </w:hyperlink>
    </w:p>
  </w:footnote>
  <w:footnote w:id="25">
    <w:p w14:paraId="08BEEA1F"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eastAsia="Roboto" w:hAnsiTheme="majorHAnsi" w:cstheme="majorHAnsi"/>
          <w:color w:val="000000" w:themeColor="text1"/>
          <w:sz w:val="20"/>
          <w:szCs w:val="20"/>
          <w:highlight w:val="white"/>
        </w:rPr>
        <w:t xml:space="preserve"> </w:t>
      </w:r>
      <w:hyperlink r:id="rId17">
        <w:r w:rsidRPr="005546CA">
          <w:rPr>
            <w:rFonts w:asciiTheme="majorHAnsi" w:eastAsia="Roboto" w:hAnsiTheme="majorHAnsi" w:cstheme="majorHAnsi"/>
            <w:color w:val="000000" w:themeColor="text1"/>
            <w:sz w:val="20"/>
            <w:szCs w:val="20"/>
            <w:highlight w:val="white"/>
            <w:u w:val="single"/>
          </w:rPr>
          <w:t>https://drive.google.com/file/d/1pPKP5D6s_BZv2FYUKAd-R6q-P5ssXJz6/view</w:t>
        </w:r>
      </w:hyperlink>
    </w:p>
  </w:footnote>
  <w:footnote w:id="26">
    <w:p w14:paraId="1F284EAD"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hyperlink r:id="rId18" w:anchor=":~:text=El%20Salvador%20suele%20describirse%20como,de%20personas%20reportadas%20como%20desaparecidas">
        <w:r w:rsidRPr="005546CA">
          <w:rPr>
            <w:rFonts w:asciiTheme="majorHAnsi" w:eastAsia="Roboto" w:hAnsiTheme="majorHAnsi" w:cstheme="majorHAnsi"/>
            <w:color w:val="000000" w:themeColor="text1"/>
            <w:sz w:val="20"/>
            <w:szCs w:val="20"/>
            <w:highlight w:val="white"/>
            <w:u w:val="single"/>
          </w:rPr>
          <w:t>https://ysuca.org.sv/en-el-salvador-existen-fosas-clandestinas-que-aun-no-son-investigadas/#:~:text=El%20Salvador%20suele%20describirse%20como,de%20personas%20reportadas%20como%20desaparecidas</w:t>
        </w:r>
      </w:hyperlink>
      <w:r w:rsidRPr="005546CA">
        <w:rPr>
          <w:rFonts w:asciiTheme="majorHAnsi" w:eastAsia="Roboto" w:hAnsiTheme="majorHAnsi" w:cstheme="majorHAnsi"/>
          <w:color w:val="000000" w:themeColor="text1"/>
          <w:sz w:val="20"/>
          <w:szCs w:val="20"/>
          <w:highlight w:val="white"/>
        </w:rPr>
        <w:t>.</w:t>
      </w:r>
    </w:p>
  </w:footnote>
  <w:footnote w:id="27">
    <w:p w14:paraId="685F0B27" w14:textId="77777777" w:rsidR="00257779" w:rsidRPr="005546CA" w:rsidRDefault="00257779" w:rsidP="005546CA">
      <w:pPr>
        <w:jc w:val="both"/>
        <w:rPr>
          <w:rFonts w:asciiTheme="majorHAnsi" w:hAnsiTheme="majorHAnsi" w:cstheme="majorHAnsi"/>
          <w:color w:val="000000" w:themeColor="text1"/>
          <w:sz w:val="20"/>
          <w:szCs w:val="20"/>
        </w:rPr>
      </w:pPr>
      <w:r w:rsidRPr="005546CA">
        <w:rPr>
          <w:rFonts w:asciiTheme="majorHAnsi" w:hAnsiTheme="majorHAnsi" w:cstheme="majorHAnsi"/>
          <w:color w:val="000000" w:themeColor="text1"/>
          <w:sz w:val="20"/>
          <w:szCs w:val="20"/>
          <w:vertAlign w:val="superscript"/>
        </w:rPr>
        <w:footnoteRef/>
      </w:r>
      <w:r w:rsidRPr="005546CA">
        <w:rPr>
          <w:rFonts w:asciiTheme="majorHAnsi" w:hAnsiTheme="majorHAnsi" w:cstheme="majorHAnsi"/>
          <w:color w:val="000000" w:themeColor="text1"/>
          <w:sz w:val="20"/>
          <w:szCs w:val="20"/>
        </w:rPr>
        <w:t xml:space="preserve"> </w:t>
      </w:r>
      <w:r w:rsidRPr="005546CA">
        <w:rPr>
          <w:rFonts w:asciiTheme="majorHAnsi" w:eastAsia="Roboto" w:hAnsiTheme="majorHAnsi" w:cstheme="majorHAnsi"/>
          <w:color w:val="000000" w:themeColor="text1"/>
          <w:sz w:val="20"/>
          <w:szCs w:val="20"/>
          <w:highlight w:val="white"/>
        </w:rPr>
        <w:t xml:space="preserve">Plataforma por la Seguridad Ciudadana. Informe sobre seguridad ciudadana en El Salvador: medición de indicadores 2018-2020, págs. 70-73. Accesible en: </w:t>
      </w:r>
      <w:hyperlink r:id="rId19">
        <w:r w:rsidRPr="005546CA">
          <w:rPr>
            <w:rFonts w:asciiTheme="majorHAnsi" w:eastAsia="Roboto" w:hAnsiTheme="majorHAnsi" w:cstheme="majorHAnsi"/>
            <w:color w:val="000000" w:themeColor="text1"/>
            <w:sz w:val="20"/>
            <w:szCs w:val="20"/>
            <w:highlight w:val="white"/>
          </w:rPr>
          <w:t>https://sspas.org.sv/sspas/project/2674/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25EC"/>
    <w:multiLevelType w:val="hybridMultilevel"/>
    <w:tmpl w:val="0C9297B0"/>
    <w:lvl w:ilvl="0" w:tplc="1570D78E">
      <w:start w:val="1"/>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130F5DE6"/>
    <w:multiLevelType w:val="hybridMultilevel"/>
    <w:tmpl w:val="2DA69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B3859"/>
    <w:multiLevelType w:val="multilevel"/>
    <w:tmpl w:val="CE762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202ED4"/>
    <w:multiLevelType w:val="multilevel"/>
    <w:tmpl w:val="7F40627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CF87197"/>
    <w:multiLevelType w:val="multilevel"/>
    <w:tmpl w:val="131ED8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ED29A5"/>
    <w:multiLevelType w:val="hybridMultilevel"/>
    <w:tmpl w:val="AE4AEEF2"/>
    <w:lvl w:ilvl="0" w:tplc="AC4C8452">
      <w:start w:val="1"/>
      <w:numFmt w:val="upperRoman"/>
      <w:lvlText w:val="%1."/>
      <w:lvlJc w:val="left"/>
      <w:pPr>
        <w:ind w:left="1080" w:hanging="72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15:restartNumberingAfterBreak="0">
    <w:nsid w:val="3F7B1F3A"/>
    <w:multiLevelType w:val="multilevel"/>
    <w:tmpl w:val="6B3079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D3A499B"/>
    <w:multiLevelType w:val="hybridMultilevel"/>
    <w:tmpl w:val="F7BA4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6C1120"/>
    <w:multiLevelType w:val="multilevel"/>
    <w:tmpl w:val="764EF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8"/>
  </w:num>
  <w:num w:numId="4">
    <w:abstractNumId w:val="6"/>
  </w:num>
  <w:num w:numId="5">
    <w:abstractNumId w:val="0"/>
  </w:num>
  <w:num w:numId="6">
    <w:abstractNumId w:val="5"/>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D7C"/>
    <w:rsid w:val="00011E26"/>
    <w:rsid w:val="0004438F"/>
    <w:rsid w:val="00046214"/>
    <w:rsid w:val="00056AE5"/>
    <w:rsid w:val="000B68C4"/>
    <w:rsid w:val="000F5C9A"/>
    <w:rsid w:val="0010755F"/>
    <w:rsid w:val="00107C98"/>
    <w:rsid w:val="00112E74"/>
    <w:rsid w:val="00162D32"/>
    <w:rsid w:val="001E7D5A"/>
    <w:rsid w:val="0024350E"/>
    <w:rsid w:val="00257779"/>
    <w:rsid w:val="002A44A1"/>
    <w:rsid w:val="002E3061"/>
    <w:rsid w:val="002F089E"/>
    <w:rsid w:val="002F49B8"/>
    <w:rsid w:val="0032741A"/>
    <w:rsid w:val="00345E57"/>
    <w:rsid w:val="00371F37"/>
    <w:rsid w:val="0039371C"/>
    <w:rsid w:val="003943FB"/>
    <w:rsid w:val="00400FE8"/>
    <w:rsid w:val="00407C66"/>
    <w:rsid w:val="0044156F"/>
    <w:rsid w:val="00447D7A"/>
    <w:rsid w:val="00466055"/>
    <w:rsid w:val="004831A8"/>
    <w:rsid w:val="004B5461"/>
    <w:rsid w:val="00506F24"/>
    <w:rsid w:val="00510DA7"/>
    <w:rsid w:val="005546CA"/>
    <w:rsid w:val="005560DA"/>
    <w:rsid w:val="00587AAC"/>
    <w:rsid w:val="00607899"/>
    <w:rsid w:val="00610663"/>
    <w:rsid w:val="00671BCE"/>
    <w:rsid w:val="00695729"/>
    <w:rsid w:val="006A2C03"/>
    <w:rsid w:val="006B7253"/>
    <w:rsid w:val="006C2DF3"/>
    <w:rsid w:val="007001EF"/>
    <w:rsid w:val="00716640"/>
    <w:rsid w:val="00767818"/>
    <w:rsid w:val="0077234E"/>
    <w:rsid w:val="0079283D"/>
    <w:rsid w:val="007954D7"/>
    <w:rsid w:val="0079692B"/>
    <w:rsid w:val="0079762C"/>
    <w:rsid w:val="007A16CD"/>
    <w:rsid w:val="007A1F7C"/>
    <w:rsid w:val="007B236E"/>
    <w:rsid w:val="007B7375"/>
    <w:rsid w:val="007D152B"/>
    <w:rsid w:val="007F2F7C"/>
    <w:rsid w:val="007F3800"/>
    <w:rsid w:val="008549F2"/>
    <w:rsid w:val="0086375A"/>
    <w:rsid w:val="0088099C"/>
    <w:rsid w:val="009125D0"/>
    <w:rsid w:val="00936288"/>
    <w:rsid w:val="00966A93"/>
    <w:rsid w:val="00984D7C"/>
    <w:rsid w:val="00985C08"/>
    <w:rsid w:val="00A17E44"/>
    <w:rsid w:val="00A20DE9"/>
    <w:rsid w:val="00A30514"/>
    <w:rsid w:val="00A4612C"/>
    <w:rsid w:val="00AC6701"/>
    <w:rsid w:val="00B501F6"/>
    <w:rsid w:val="00B729BA"/>
    <w:rsid w:val="00BA012F"/>
    <w:rsid w:val="00BA3EFA"/>
    <w:rsid w:val="00BB2AA9"/>
    <w:rsid w:val="00C10F10"/>
    <w:rsid w:val="00CF6E0A"/>
    <w:rsid w:val="00D10DC5"/>
    <w:rsid w:val="00D3002A"/>
    <w:rsid w:val="00D35A27"/>
    <w:rsid w:val="00D97091"/>
    <w:rsid w:val="00DB1E6A"/>
    <w:rsid w:val="00E7240C"/>
    <w:rsid w:val="00E74DAC"/>
    <w:rsid w:val="00EB0D2B"/>
    <w:rsid w:val="00EB67C3"/>
    <w:rsid w:val="00ED5890"/>
    <w:rsid w:val="00EF40B9"/>
    <w:rsid w:val="00F41904"/>
    <w:rsid w:val="00F75B17"/>
    <w:rsid w:val="00FC66C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2E9A"/>
  <w15:docId w15:val="{63C92A3D-2E6F-482B-BF67-EA905753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S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ind w:left="1440" w:hanging="720"/>
      <w:jc w:val="both"/>
      <w:outlineLvl w:val="0"/>
    </w:pPr>
    <w:rPr>
      <w:rFonts w:ascii="Arial" w:eastAsia="Arial" w:hAnsi="Arial" w:cs="Arial"/>
      <w:b/>
      <w:color w:val="8496B0"/>
      <w:sz w:val="28"/>
      <w:szCs w:val="28"/>
    </w:rPr>
  </w:style>
  <w:style w:type="paragraph" w:styleId="Heading2">
    <w:name w:val="heading 2"/>
    <w:basedOn w:val="Normal"/>
    <w:next w:val="Normal"/>
    <w:uiPriority w:val="9"/>
    <w:semiHidden/>
    <w:unhideWhenUsed/>
    <w:qFormat/>
    <w:pPr>
      <w:keepNext/>
      <w:keepLines/>
      <w:spacing w:before="40"/>
      <w:outlineLvl w:val="1"/>
    </w:pPr>
    <w:rPr>
      <w:color w:val="2F5496"/>
      <w:sz w:val="26"/>
      <w:szCs w:val="26"/>
    </w:rPr>
  </w:style>
  <w:style w:type="paragraph" w:styleId="Heading3">
    <w:name w:val="heading 3"/>
    <w:basedOn w:val="Normal"/>
    <w:next w:val="Normal"/>
    <w:uiPriority w:val="9"/>
    <w:semiHidden/>
    <w:unhideWhenUsed/>
    <w:qFormat/>
    <w:pPr>
      <w:keepNext/>
      <w:keepLines/>
      <w:spacing w:before="200"/>
      <w:outlineLvl w:val="2"/>
    </w:pPr>
    <w:rPr>
      <w:b/>
      <w:color w:val="4472C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before="320"/>
      <w:jc w:val="right"/>
    </w:pPr>
    <w:rPr>
      <w:rFonts w:ascii="Century Gothic" w:eastAsia="Century Gothic" w:hAnsi="Century Gothic" w:cs="Century Gothic"/>
      <w:b/>
      <w:color w:val="FFFFFF"/>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left w:w="108" w:type="dxa"/>
        <w:right w:w="108" w:type="dxa"/>
      </w:tblCellMar>
    </w:tblPr>
  </w:style>
  <w:style w:type="table" w:styleId="TableGrid">
    <w:name w:val="Table Grid"/>
    <w:basedOn w:val="TableNormal"/>
    <w:uiPriority w:val="59"/>
    <w:rsid w:val="00E74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6288"/>
    <w:pPr>
      <w:tabs>
        <w:tab w:val="center" w:pos="4419"/>
        <w:tab w:val="right" w:pos="8838"/>
      </w:tabs>
    </w:pPr>
  </w:style>
  <w:style w:type="character" w:customStyle="1" w:styleId="HeaderChar">
    <w:name w:val="Header Char"/>
    <w:basedOn w:val="DefaultParagraphFont"/>
    <w:link w:val="Header"/>
    <w:uiPriority w:val="99"/>
    <w:rsid w:val="00936288"/>
  </w:style>
  <w:style w:type="paragraph" w:styleId="Footer">
    <w:name w:val="footer"/>
    <w:basedOn w:val="Normal"/>
    <w:link w:val="FooterChar"/>
    <w:uiPriority w:val="99"/>
    <w:unhideWhenUsed/>
    <w:rsid w:val="00936288"/>
    <w:pPr>
      <w:tabs>
        <w:tab w:val="center" w:pos="4419"/>
        <w:tab w:val="right" w:pos="8838"/>
      </w:tabs>
    </w:pPr>
  </w:style>
  <w:style w:type="character" w:customStyle="1" w:styleId="FooterChar">
    <w:name w:val="Footer Char"/>
    <w:basedOn w:val="DefaultParagraphFont"/>
    <w:link w:val="Footer"/>
    <w:uiPriority w:val="99"/>
    <w:rsid w:val="00936288"/>
  </w:style>
  <w:style w:type="paragraph" w:styleId="FootnoteText">
    <w:name w:val="footnote text"/>
    <w:aliases w:val="FA Fu,Footnote Text Char Char Char Char Char,Footnote Text Char Char Char Char,Footnote reference,Footnote Text Char Char Char,Texto nota pie [MM],FA Fußnotentext,FA Fuﬂnotentext,ft,texto de nota al pie, Car1,Ca,fn,Car1,C,Texto nota pie C"/>
    <w:basedOn w:val="Normal"/>
    <w:link w:val="FootnoteTextChar"/>
    <w:uiPriority w:val="99"/>
    <w:unhideWhenUsed/>
    <w:qFormat/>
    <w:rsid w:val="00936288"/>
    <w:rPr>
      <w:sz w:val="20"/>
      <w:szCs w:val="20"/>
    </w:rPr>
  </w:style>
  <w:style w:type="character" w:customStyle="1" w:styleId="FootnoteTextChar">
    <w:name w:val="Footnote Text Char"/>
    <w:aliases w:val="FA Fu Char,Footnote Text Char Char Char Char Char Char,Footnote Text Char Char Char Char Char1,Footnote reference Char,Footnote Text Char Char Char Char1,Texto nota pie [MM] Char,FA Fußnotentext Char,FA Fuﬂnotentext Char,ft Char"/>
    <w:basedOn w:val="DefaultParagraphFont"/>
    <w:link w:val="FootnoteText"/>
    <w:uiPriority w:val="99"/>
    <w:qFormat/>
    <w:rsid w:val="00936288"/>
    <w:rPr>
      <w:sz w:val="20"/>
      <w:szCs w:val="20"/>
    </w:rPr>
  </w:style>
  <w:style w:type="character" w:styleId="FootnoteReference">
    <w:name w:val="footnote reference"/>
    <w:aliases w:val="Heading 1 Char1,Appl Heading 1 Char1,4_G,Texto de nota al pie,Appel note de bas de page,Footnote number,Footnotes refss,referencia nota al pie,BVI fnr,f,Ref,de nota al pie,normal,16 Point,Superscript 6 Point,Texto nota al pie,Re"/>
    <w:basedOn w:val="DefaultParagraphFont"/>
    <w:link w:val="Refdenotaalpie"/>
    <w:uiPriority w:val="99"/>
    <w:unhideWhenUsed/>
    <w:qFormat/>
    <w:rsid w:val="00936288"/>
    <w:rPr>
      <w:vertAlign w:val="superscript"/>
    </w:rPr>
  </w:style>
  <w:style w:type="character" w:styleId="CommentReference">
    <w:name w:val="annotation reference"/>
    <w:basedOn w:val="DefaultParagraphFont"/>
    <w:uiPriority w:val="99"/>
    <w:semiHidden/>
    <w:unhideWhenUsed/>
    <w:rsid w:val="004831A8"/>
    <w:rPr>
      <w:sz w:val="16"/>
      <w:szCs w:val="16"/>
    </w:rPr>
  </w:style>
  <w:style w:type="paragraph" w:styleId="CommentText">
    <w:name w:val="annotation text"/>
    <w:basedOn w:val="Normal"/>
    <w:link w:val="CommentTextChar"/>
    <w:uiPriority w:val="99"/>
    <w:semiHidden/>
    <w:unhideWhenUsed/>
    <w:rsid w:val="004831A8"/>
    <w:rPr>
      <w:sz w:val="20"/>
      <w:szCs w:val="20"/>
    </w:rPr>
  </w:style>
  <w:style w:type="character" w:customStyle="1" w:styleId="CommentTextChar">
    <w:name w:val="Comment Text Char"/>
    <w:basedOn w:val="DefaultParagraphFont"/>
    <w:link w:val="CommentText"/>
    <w:uiPriority w:val="99"/>
    <w:semiHidden/>
    <w:rsid w:val="004831A8"/>
    <w:rPr>
      <w:sz w:val="20"/>
      <w:szCs w:val="20"/>
    </w:rPr>
  </w:style>
  <w:style w:type="paragraph" w:styleId="CommentSubject">
    <w:name w:val="annotation subject"/>
    <w:basedOn w:val="CommentText"/>
    <w:next w:val="CommentText"/>
    <w:link w:val="CommentSubjectChar"/>
    <w:uiPriority w:val="99"/>
    <w:semiHidden/>
    <w:unhideWhenUsed/>
    <w:rsid w:val="004831A8"/>
    <w:rPr>
      <w:b/>
      <w:bCs/>
    </w:rPr>
  </w:style>
  <w:style w:type="character" w:customStyle="1" w:styleId="CommentSubjectChar">
    <w:name w:val="Comment Subject Char"/>
    <w:basedOn w:val="CommentTextChar"/>
    <w:link w:val="CommentSubject"/>
    <w:uiPriority w:val="99"/>
    <w:semiHidden/>
    <w:rsid w:val="004831A8"/>
    <w:rPr>
      <w:b/>
      <w:bCs/>
      <w:sz w:val="20"/>
      <w:szCs w:val="20"/>
    </w:rPr>
  </w:style>
  <w:style w:type="paragraph" w:styleId="ListParagraph">
    <w:name w:val="List Paragraph"/>
    <w:basedOn w:val="Normal"/>
    <w:uiPriority w:val="34"/>
    <w:qFormat/>
    <w:rsid w:val="00A17E44"/>
    <w:pPr>
      <w:ind w:left="720"/>
      <w:contextualSpacing/>
    </w:pPr>
  </w:style>
  <w:style w:type="paragraph" w:customStyle="1" w:styleId="SingleTxtG">
    <w:name w:val="_ Single Txt_G"/>
    <w:basedOn w:val="Normal"/>
    <w:link w:val="SingleTxtGChar"/>
    <w:qFormat/>
    <w:rsid w:val="00A17E44"/>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A17E44"/>
    <w:rPr>
      <w:rFonts w:ascii="Times New Roman" w:eastAsia="SimSun" w:hAnsi="Times New Roman" w:cs="Times New Roman"/>
      <w:sz w:val="20"/>
      <w:szCs w:val="20"/>
      <w:lang w:val="en-GB" w:eastAsia="zh-CN"/>
    </w:rPr>
  </w:style>
  <w:style w:type="paragraph" w:styleId="NormalWeb">
    <w:name w:val="Normal (Web)"/>
    <w:basedOn w:val="Normal"/>
    <w:uiPriority w:val="99"/>
    <w:unhideWhenUsed/>
    <w:rsid w:val="00466055"/>
    <w:pPr>
      <w:spacing w:before="100" w:beforeAutospacing="1" w:after="100" w:afterAutospacing="1"/>
    </w:pPr>
    <w:rPr>
      <w:rFonts w:ascii="Times New Roman" w:eastAsia="Times New Roman" w:hAnsi="Times New Roman" w:cs="Times New Roman"/>
      <w:sz w:val="24"/>
      <w:szCs w:val="24"/>
      <w:lang w:eastAsia="en-US"/>
    </w:rPr>
  </w:style>
  <w:style w:type="character" w:styleId="Hyperlink">
    <w:name w:val="Hyperlink"/>
    <w:basedOn w:val="DefaultParagraphFont"/>
    <w:uiPriority w:val="99"/>
    <w:unhideWhenUsed/>
    <w:rsid w:val="00371F37"/>
    <w:rPr>
      <w:color w:val="0000FF" w:themeColor="hyperlink"/>
      <w:u w:val="single"/>
    </w:rPr>
  </w:style>
  <w:style w:type="paragraph" w:customStyle="1" w:styleId="Refdenotaalpie">
    <w:name w:val="Ref. de nota al pie."/>
    <w:aliases w:val="Footnote symbol,Footnote,Ref. de nota al pi,f1"/>
    <w:basedOn w:val="Normal"/>
    <w:link w:val="FootnoteReference"/>
    <w:uiPriority w:val="99"/>
    <w:rsid w:val="00371F37"/>
    <w:pPr>
      <w:spacing w:before="200" w:after="160" w:line="240" w:lineRule="exact"/>
    </w:pPr>
    <w:rPr>
      <w:vertAlign w:val="superscript"/>
    </w:rPr>
  </w:style>
  <w:style w:type="paragraph" w:styleId="Revision">
    <w:name w:val="Revision"/>
    <w:hidden/>
    <w:uiPriority w:val="99"/>
    <w:semiHidden/>
    <w:rsid w:val="00C10F10"/>
  </w:style>
  <w:style w:type="character" w:styleId="Emphasis">
    <w:name w:val="Emphasis"/>
    <w:basedOn w:val="DefaultParagraphFont"/>
    <w:uiPriority w:val="20"/>
    <w:qFormat/>
    <w:rsid w:val="00C10F10"/>
    <w:rPr>
      <w:i/>
      <w:iCs/>
    </w:rPr>
  </w:style>
  <w:style w:type="character" w:styleId="UnresolvedMention">
    <w:name w:val="Unresolved Mention"/>
    <w:basedOn w:val="DefaultParagraphFont"/>
    <w:uiPriority w:val="99"/>
    <w:semiHidden/>
    <w:unhideWhenUsed/>
    <w:rsid w:val="00716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665170">
      <w:bodyDiv w:val="1"/>
      <w:marLeft w:val="0"/>
      <w:marRight w:val="0"/>
      <w:marTop w:val="0"/>
      <w:marBottom w:val="0"/>
      <w:divBdr>
        <w:top w:val="none" w:sz="0" w:space="0" w:color="auto"/>
        <w:left w:val="none" w:sz="0" w:space="0" w:color="auto"/>
        <w:bottom w:val="none" w:sz="0" w:space="0" w:color="auto"/>
        <w:right w:val="none" w:sz="0" w:space="0" w:color="auto"/>
      </w:divBdr>
    </w:div>
    <w:div w:id="901453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102nueve.com/2020/09/25/bukele-recuerda-que-a-la-uca-no-le-importa-el-sobreseimiento-de-cristiani-si-al-final-logran-procesar-a-todos-los-militares/" TargetMode="External"/><Relationship Id="rId13" Type="http://schemas.openxmlformats.org/officeDocument/2006/relationships/hyperlink" Target="https://oudh.uca.edu.sv/cms/recomendaciones/fichas/2471" TargetMode="External"/><Relationship Id="rId18" Type="http://schemas.openxmlformats.org/officeDocument/2006/relationships/hyperlink" Target="https://ysuca.org.sv/en-el-salvador-existen-fosas-clandestinas-que-aun-no-son-investigadas/" TargetMode="External"/><Relationship Id="rId3" Type="http://schemas.openxmlformats.org/officeDocument/2006/relationships/hyperlink" Target="https://historico.elsalvador.com/historico/740872/nayib-bukele-ataque-sala-de-lo-constitucional-dictador.html" TargetMode="External"/><Relationship Id="rId7" Type="http://schemas.openxmlformats.org/officeDocument/2006/relationships/hyperlink" Target="https://elfaro.net/es/202009/el_salvador/24854/La-noche-en-que-Bukele-despreci%C3%B3-al-juez-las-v%C3%ADctimas-la-Sala-y-los-congresistas-republicanos.htm" TargetMode="External"/><Relationship Id="rId12" Type="http://schemas.openxmlformats.org/officeDocument/2006/relationships/hyperlink" Target="https://www.elsalvador.com/noticias/nacional/nayib-bukele-anuncia-fase-4-plan-control-territorial/860600/2021/" TargetMode="External"/><Relationship Id="rId17" Type="http://schemas.openxmlformats.org/officeDocument/2006/relationships/hyperlink" Target="https://drive.google.com/file/d/1pPKP5D6s_BZv2FYUKAd-R6q-P5ssXJz6/view" TargetMode="External"/><Relationship Id="rId2" Type="http://schemas.openxmlformats.org/officeDocument/2006/relationships/hyperlink" Target="https://www.presidencia.gob.sv/decreto-ejecutivo-32-apuesta-luchar-contra-el-covid-19-por-omision-legislativa-a-regimen-de-excepcion/" TargetMode="External"/><Relationship Id="rId16" Type="http://schemas.openxmlformats.org/officeDocument/2006/relationships/hyperlink" Target="https://www.nacion.com/el-mundo/centroamerica/detenidos-100-menores-durante-regimen-de-excepcion" TargetMode="External"/><Relationship Id="rId1" Type="http://schemas.openxmlformats.org/officeDocument/2006/relationships/hyperlink" Target="https://tbinternet.ohchr.org/_layouts/15/treatybodyexternal/Download.aspx?symbolno=CCPR%2fC%2fSLV%2fCO%2f7&amp;Lang=en" TargetMode="External"/><Relationship Id="rId6" Type="http://schemas.openxmlformats.org/officeDocument/2006/relationships/hyperlink" Target="https://elfaro.net/es/202009/el_salvador/24854/La-noche-en-que-Bukele-despreci%C3%B3-al-juez-las-v%C3%ADctimas-la-Sala-y-los-congresistas-republicanos.htm" TargetMode="External"/><Relationship Id="rId11" Type="http://schemas.openxmlformats.org/officeDocument/2006/relationships/hyperlink" Target="https://www.elsalvador.com/noticias/nacional/nayib-bukele-anuncia-fase-4-plan-control-territorial/860600/2021/" TargetMode="External"/><Relationship Id="rId5" Type="http://schemas.openxmlformats.org/officeDocument/2006/relationships/hyperlink" Target="https://www.youtube.com/watch?v=cR0DYO_p6zQ&amp;ab_channel=SucesosElSalvador" TargetMode="External"/><Relationship Id="rId15" Type="http://schemas.openxmlformats.org/officeDocument/2006/relationships/hyperlink" Target="https://ladiaria.com.uy/mundo/articulo/2022/4/el-salvador-mas-de-10000-pandilleros-fueron-detenidos-desde-que-rige-el-regimen-de-excepcion/" TargetMode="External"/><Relationship Id="rId10" Type="http://schemas.openxmlformats.org/officeDocument/2006/relationships/hyperlink" Target="https://www.lavanguardia.com/politica/20201219/6135889/ong-rechaza-ataques-presidente-salvadoreno-abogado-caso-mozote.html" TargetMode="External"/><Relationship Id="rId19" Type="http://schemas.openxmlformats.org/officeDocument/2006/relationships/hyperlink" Target="https://sspas.org.sv/sspas/project/2674/" TargetMode="External"/><Relationship Id="rId4" Type="http://schemas.openxmlformats.org/officeDocument/2006/relationships/hyperlink" Target="https://www.dw.com/es/onu-se-muestra-preocupada-por-r%C3%A9gimen-de-excepci%C3%B3n-en-el-salvador/a-61373286" TargetMode="External"/><Relationship Id="rId9" Type="http://schemas.openxmlformats.org/officeDocument/2006/relationships/hyperlink" Target="https://www.102nueve.com/2020/09/25/bukele-recuerda-que-a-la-uca-no-le-importa-el-sobreseimiento-de-cristiani-si-al-final-logran-procesar-a-todos-los-militares/" TargetMode="External"/><Relationship Id="rId14" Type="http://schemas.openxmlformats.org/officeDocument/2006/relationships/hyperlink" Target="https://oudh.uca.edu.sv/cms/recomendaciones/fichas/24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CEEB43-C777-4665-ADD0-0C36B8D9225F}">
  <ds:schemaRefs>
    <ds:schemaRef ds:uri="http://schemas.openxmlformats.org/officeDocument/2006/bibliography"/>
  </ds:schemaRefs>
</ds:datastoreItem>
</file>

<file path=customXml/itemProps2.xml><?xml version="1.0" encoding="utf-8"?>
<ds:datastoreItem xmlns:ds="http://schemas.openxmlformats.org/officeDocument/2006/customXml" ds:itemID="{59356B91-9FB9-436D-83C1-F200ED5D1DA4}"/>
</file>

<file path=customXml/itemProps3.xml><?xml version="1.0" encoding="utf-8"?>
<ds:datastoreItem xmlns:ds="http://schemas.openxmlformats.org/officeDocument/2006/customXml" ds:itemID="{4BD24769-7E57-4BD2-98CA-0E9876EBE2E8}"/>
</file>

<file path=customXml/itemProps4.xml><?xml version="1.0" encoding="utf-8"?>
<ds:datastoreItem xmlns:ds="http://schemas.openxmlformats.org/officeDocument/2006/customXml" ds:itemID="{AEE671C1-717A-4654-BAE5-60D7F652C084}"/>
</file>

<file path=docProps/app.xml><?xml version="1.0" encoding="utf-8"?>
<Properties xmlns="http://schemas.openxmlformats.org/officeDocument/2006/extended-properties" xmlns:vt="http://schemas.openxmlformats.org/officeDocument/2006/docPropsVTypes">
  <Template>Normal.dotm</Template>
  <TotalTime>0</TotalTime>
  <Pages>13</Pages>
  <Words>4917</Words>
  <Characters>28029</Characters>
  <Application>Microsoft Office Word</Application>
  <DocSecurity>0</DocSecurity>
  <Lines>233</Lines>
  <Paragraphs>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Salazar</dc:creator>
  <cp:lastModifiedBy>Andrea Meraz</cp:lastModifiedBy>
  <cp:revision>2</cp:revision>
  <dcterms:created xsi:type="dcterms:W3CDTF">2022-04-21T10:46:00Z</dcterms:created>
  <dcterms:modified xsi:type="dcterms:W3CDTF">2022-04-21T10:46:00Z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