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D827F" w14:textId="77777777" w:rsidR="00AB23E3" w:rsidRPr="004E5A53" w:rsidRDefault="00AB23E3" w:rsidP="00AB23E3">
      <w:pPr>
        <w:rPr>
          <w:b/>
          <w:sz w:val="28"/>
          <w:szCs w:val="28"/>
          <w:lang w:val="en-US"/>
        </w:rPr>
      </w:pPr>
      <w:r w:rsidRPr="004E5A53">
        <w:rPr>
          <w:b/>
          <w:sz w:val="28"/>
          <w:szCs w:val="28"/>
          <w:lang w:val="en-US"/>
        </w:rPr>
        <w:t xml:space="preserve">Additional information </w:t>
      </w:r>
    </w:p>
    <w:p w14:paraId="41F422CB" w14:textId="77777777" w:rsidR="00AB23E3" w:rsidRDefault="00AB23E3" w:rsidP="00AB23E3">
      <w:pPr>
        <w:rPr>
          <w:b/>
          <w:lang w:val="en-US"/>
        </w:rPr>
      </w:pPr>
      <w:r w:rsidRPr="004E5A53">
        <w:rPr>
          <w:b/>
          <w:lang w:val="en-US"/>
        </w:rPr>
        <w:t>to the interactive dialogue on the Sixth Country Report of the Principality of Liechtenstein under article 18 of the Convention on the Elimination of All Forms of Discrimination against Women</w:t>
      </w:r>
    </w:p>
    <w:p w14:paraId="4DE7ABB9" w14:textId="77777777" w:rsidR="004E5A53" w:rsidRPr="004E5A53" w:rsidRDefault="004E5A53" w:rsidP="00AB23E3">
      <w:pPr>
        <w:rPr>
          <w:lang w:val="en-US"/>
        </w:rPr>
      </w:pPr>
      <w:r w:rsidRPr="004E5A53">
        <w:rPr>
          <w:lang w:val="en-US"/>
        </w:rPr>
        <w:t>14 February 2025</w:t>
      </w:r>
    </w:p>
    <w:p w14:paraId="4BB3BA36" w14:textId="77777777" w:rsidR="00F27BC3" w:rsidRDefault="00F27BC3" w:rsidP="00AB23E3">
      <w:pPr>
        <w:rPr>
          <w:i/>
          <w:lang w:val="en-US"/>
        </w:rPr>
      </w:pPr>
    </w:p>
    <w:p w14:paraId="48FB99EF" w14:textId="43E59695" w:rsidR="00AB23E3" w:rsidRDefault="00C84B2D" w:rsidP="00AB23E3">
      <w:pPr>
        <w:rPr>
          <w:i/>
          <w:lang w:val="en-US"/>
        </w:rPr>
      </w:pPr>
      <w:r w:rsidRPr="004E5A53">
        <w:rPr>
          <w:i/>
          <w:lang w:val="en-US"/>
        </w:rPr>
        <w:t>Number of Students from Liechtenstein in the fields of economics and law</w:t>
      </w:r>
    </w:p>
    <w:p w14:paraId="59CEB329" w14:textId="04B456D7" w:rsidR="006B04C9" w:rsidRDefault="006B04C9" w:rsidP="00AB23E3">
      <w:pPr>
        <w:rPr>
          <w:i/>
          <w:lang w:val="en-US"/>
        </w:rPr>
      </w:pPr>
      <w:r w:rsidRPr="006B04C9">
        <w:rPr>
          <w:lang w:val="en-US"/>
        </w:rPr>
        <w:t>As illustrated in the table below, approximately one-third of the students enrolled in economics programs are women. In contrast, the gender ratio in the field of law is nearly equal. Similar to other disciplines, half of the students studying economics or law choose to continue their academic pursuits in Switzerland.</w:t>
      </w:r>
      <w:r>
        <w:rPr>
          <w:i/>
          <w:lang w:val="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CFDFD"/>
        <w:tblCellMar>
          <w:left w:w="0" w:type="dxa"/>
          <w:right w:w="0" w:type="dxa"/>
        </w:tblCellMar>
        <w:tblLook w:val="04A0" w:firstRow="1" w:lastRow="0" w:firstColumn="1" w:lastColumn="0" w:noHBand="0" w:noVBand="1"/>
        <w:tblDescription w:val="482.004d Studierende aus Liechtenstein an Universitäten nach Jahr, Fächergruppe, Geschlecht und Studienland"/>
      </w:tblPr>
      <w:tblGrid>
        <w:gridCol w:w="771"/>
        <w:gridCol w:w="2256"/>
        <w:gridCol w:w="1605"/>
        <w:gridCol w:w="1218"/>
        <w:gridCol w:w="1033"/>
        <w:gridCol w:w="980"/>
        <w:gridCol w:w="1131"/>
      </w:tblGrid>
      <w:tr w:rsidR="00C84B2D" w:rsidRPr="00C84B2D" w14:paraId="5CE1B6F9" w14:textId="77777777" w:rsidTr="006B04C9">
        <w:tc>
          <w:tcPr>
            <w:tcW w:w="2575" w:type="pct"/>
            <w:gridSpan w:val="3"/>
            <w:shd w:val="clear" w:color="auto" w:fill="FFFFFF"/>
            <w:tcMar>
              <w:top w:w="75" w:type="dxa"/>
              <w:left w:w="75" w:type="dxa"/>
              <w:bottom w:w="75" w:type="dxa"/>
              <w:right w:w="75" w:type="dxa"/>
            </w:tcMar>
            <w:vAlign w:val="bottom"/>
            <w:hideMark/>
          </w:tcPr>
          <w:p w14:paraId="774D4A60" w14:textId="77777777" w:rsidR="00C84B2D" w:rsidRPr="004E5A53" w:rsidRDefault="00C84B2D" w:rsidP="00C84B2D">
            <w:pPr>
              <w:spacing w:after="0"/>
              <w:jc w:val="center"/>
              <w:rPr>
                <w:rFonts w:ascii="inherit" w:hAnsi="inherit" w:cs="Times New Roman"/>
                <w:b/>
                <w:bCs/>
                <w:color w:val="000000"/>
                <w:sz w:val="18"/>
                <w:szCs w:val="18"/>
                <w:lang w:val="en-US" w:eastAsia="de-CH"/>
              </w:rPr>
            </w:pPr>
          </w:p>
        </w:tc>
        <w:tc>
          <w:tcPr>
            <w:tcW w:w="677" w:type="pct"/>
            <w:shd w:val="clear" w:color="auto" w:fill="FFFFFF"/>
            <w:tcMar>
              <w:top w:w="75" w:type="dxa"/>
              <w:left w:w="75" w:type="dxa"/>
              <w:bottom w:w="75" w:type="dxa"/>
              <w:right w:w="75" w:type="dxa"/>
            </w:tcMar>
            <w:vAlign w:val="bottom"/>
            <w:hideMark/>
          </w:tcPr>
          <w:p w14:paraId="6B2B3BEF" w14:textId="77777777" w:rsidR="00C84B2D" w:rsidRPr="00C84B2D" w:rsidRDefault="00C84B2D" w:rsidP="00C84B2D">
            <w:pPr>
              <w:spacing w:after="0"/>
              <w:jc w:val="center"/>
              <w:rPr>
                <w:rFonts w:ascii="inherit" w:hAnsi="inherit" w:cs="Times New Roman"/>
                <w:b/>
                <w:bCs/>
                <w:color w:val="222222"/>
                <w:sz w:val="16"/>
                <w:szCs w:val="16"/>
                <w:lang w:eastAsia="de-CH"/>
              </w:rPr>
            </w:pPr>
            <w:r w:rsidRPr="00C84B2D">
              <w:rPr>
                <w:rFonts w:ascii="inherit" w:hAnsi="inherit" w:cs="Times New Roman"/>
                <w:b/>
                <w:bCs/>
                <w:color w:val="222222"/>
                <w:sz w:val="16"/>
                <w:szCs w:val="16"/>
                <w:lang w:eastAsia="de-CH"/>
              </w:rPr>
              <w:t>Liechtenstein</w:t>
            </w:r>
          </w:p>
        </w:tc>
        <w:tc>
          <w:tcPr>
            <w:tcW w:w="574" w:type="pct"/>
            <w:shd w:val="clear" w:color="auto" w:fill="FFFFFF"/>
            <w:tcMar>
              <w:top w:w="75" w:type="dxa"/>
              <w:left w:w="75" w:type="dxa"/>
              <w:bottom w:w="75" w:type="dxa"/>
              <w:right w:w="75" w:type="dxa"/>
            </w:tcMar>
            <w:vAlign w:val="bottom"/>
            <w:hideMark/>
          </w:tcPr>
          <w:p w14:paraId="74A731CA" w14:textId="77777777" w:rsidR="00C84B2D" w:rsidRPr="00C84B2D" w:rsidRDefault="00C84B2D" w:rsidP="00C84B2D">
            <w:pPr>
              <w:spacing w:after="0"/>
              <w:jc w:val="center"/>
              <w:rPr>
                <w:rFonts w:ascii="inherit" w:hAnsi="inherit" w:cs="Times New Roman"/>
                <w:b/>
                <w:bCs/>
                <w:color w:val="222222"/>
                <w:sz w:val="16"/>
                <w:szCs w:val="16"/>
                <w:lang w:eastAsia="de-CH"/>
              </w:rPr>
            </w:pPr>
            <w:proofErr w:type="spellStart"/>
            <w:r>
              <w:rPr>
                <w:rFonts w:ascii="inherit" w:hAnsi="inherit" w:cs="Times New Roman"/>
                <w:b/>
                <w:bCs/>
                <w:color w:val="222222"/>
                <w:sz w:val="16"/>
                <w:szCs w:val="16"/>
                <w:lang w:eastAsia="de-CH"/>
              </w:rPr>
              <w:t>Switzerland</w:t>
            </w:r>
            <w:proofErr w:type="spellEnd"/>
          </w:p>
        </w:tc>
        <w:tc>
          <w:tcPr>
            <w:tcW w:w="545" w:type="pct"/>
            <w:shd w:val="clear" w:color="auto" w:fill="FFFFFF"/>
            <w:tcMar>
              <w:top w:w="75" w:type="dxa"/>
              <w:left w:w="75" w:type="dxa"/>
              <w:bottom w:w="75" w:type="dxa"/>
              <w:right w:w="75" w:type="dxa"/>
            </w:tcMar>
            <w:vAlign w:val="bottom"/>
            <w:hideMark/>
          </w:tcPr>
          <w:p w14:paraId="4D2DF6DC" w14:textId="77777777" w:rsidR="00C84B2D" w:rsidRPr="00C84B2D" w:rsidRDefault="00C84B2D" w:rsidP="00C84B2D">
            <w:pPr>
              <w:spacing w:after="0"/>
              <w:jc w:val="center"/>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Austria</w:t>
            </w:r>
          </w:p>
        </w:tc>
        <w:tc>
          <w:tcPr>
            <w:tcW w:w="629" w:type="pct"/>
            <w:shd w:val="clear" w:color="auto" w:fill="FFFFFF"/>
            <w:tcMar>
              <w:top w:w="75" w:type="dxa"/>
              <w:left w:w="75" w:type="dxa"/>
              <w:bottom w:w="75" w:type="dxa"/>
              <w:right w:w="75" w:type="dxa"/>
            </w:tcMar>
            <w:vAlign w:val="bottom"/>
            <w:hideMark/>
          </w:tcPr>
          <w:p w14:paraId="77644616" w14:textId="77777777" w:rsidR="00C84B2D" w:rsidRPr="00C84B2D" w:rsidRDefault="00C84B2D" w:rsidP="00C84B2D">
            <w:pPr>
              <w:spacing w:after="0"/>
              <w:jc w:val="center"/>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Germany</w:t>
            </w:r>
          </w:p>
        </w:tc>
      </w:tr>
      <w:tr w:rsidR="00C84B2D" w:rsidRPr="00C84B2D" w14:paraId="7EE2748F" w14:textId="77777777" w:rsidTr="006B04C9">
        <w:tc>
          <w:tcPr>
            <w:tcW w:w="429" w:type="pct"/>
            <w:vMerge w:val="restart"/>
            <w:shd w:val="clear" w:color="auto" w:fill="FFFFFF"/>
            <w:tcMar>
              <w:top w:w="0" w:type="dxa"/>
              <w:left w:w="45" w:type="dxa"/>
              <w:bottom w:w="0" w:type="dxa"/>
              <w:right w:w="45" w:type="dxa"/>
            </w:tcMar>
            <w:vAlign w:val="bottom"/>
            <w:hideMark/>
          </w:tcPr>
          <w:p w14:paraId="5A354765" w14:textId="77777777" w:rsidR="00C84B2D" w:rsidRPr="00C84B2D" w:rsidRDefault="00C84B2D" w:rsidP="00C84B2D">
            <w:pPr>
              <w:spacing w:after="0"/>
              <w:jc w:val="left"/>
              <w:rPr>
                <w:rFonts w:ascii="inherit" w:hAnsi="inherit" w:cs="Times New Roman"/>
                <w:b/>
                <w:bCs/>
                <w:color w:val="222222"/>
                <w:sz w:val="16"/>
                <w:szCs w:val="16"/>
                <w:lang w:eastAsia="de-CH"/>
              </w:rPr>
            </w:pPr>
            <w:r w:rsidRPr="00C84B2D">
              <w:rPr>
                <w:rFonts w:ascii="inherit" w:hAnsi="inherit" w:cs="Times New Roman"/>
                <w:b/>
                <w:bCs/>
                <w:color w:val="222222"/>
                <w:sz w:val="16"/>
                <w:szCs w:val="16"/>
                <w:lang w:eastAsia="de-CH"/>
              </w:rPr>
              <w:t>2022/23</w:t>
            </w:r>
          </w:p>
        </w:tc>
        <w:tc>
          <w:tcPr>
            <w:tcW w:w="1254" w:type="pct"/>
            <w:vMerge w:val="restart"/>
            <w:shd w:val="clear" w:color="auto" w:fill="FFFFFF"/>
            <w:tcMar>
              <w:top w:w="0" w:type="dxa"/>
              <w:left w:w="75" w:type="dxa"/>
              <w:bottom w:w="0" w:type="dxa"/>
              <w:right w:w="45" w:type="dxa"/>
            </w:tcMar>
            <w:vAlign w:val="bottom"/>
            <w:hideMark/>
          </w:tcPr>
          <w:p w14:paraId="4900DED5"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Economics</w:t>
            </w:r>
          </w:p>
        </w:tc>
        <w:tc>
          <w:tcPr>
            <w:tcW w:w="892" w:type="pct"/>
            <w:shd w:val="clear" w:color="auto" w:fill="FFFFFF"/>
            <w:tcMar>
              <w:top w:w="0" w:type="dxa"/>
              <w:left w:w="150" w:type="dxa"/>
              <w:bottom w:w="0" w:type="dxa"/>
              <w:right w:w="45" w:type="dxa"/>
            </w:tcMar>
            <w:vAlign w:val="bottom"/>
            <w:hideMark/>
          </w:tcPr>
          <w:p w14:paraId="417175DC"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Total</w:t>
            </w:r>
          </w:p>
        </w:tc>
        <w:tc>
          <w:tcPr>
            <w:tcW w:w="677" w:type="pct"/>
            <w:shd w:val="clear" w:color="auto" w:fill="FFFFFF"/>
            <w:noWrap/>
            <w:tcMar>
              <w:top w:w="75" w:type="dxa"/>
              <w:left w:w="75" w:type="dxa"/>
              <w:bottom w:w="75" w:type="dxa"/>
              <w:right w:w="75" w:type="dxa"/>
            </w:tcMar>
            <w:vAlign w:val="bottom"/>
            <w:hideMark/>
          </w:tcPr>
          <w:p w14:paraId="38C342A7"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66</w:t>
            </w:r>
          </w:p>
        </w:tc>
        <w:tc>
          <w:tcPr>
            <w:tcW w:w="574" w:type="pct"/>
            <w:shd w:val="clear" w:color="auto" w:fill="FFFFFF"/>
            <w:noWrap/>
            <w:tcMar>
              <w:top w:w="75" w:type="dxa"/>
              <w:left w:w="75" w:type="dxa"/>
              <w:bottom w:w="75" w:type="dxa"/>
              <w:right w:w="75" w:type="dxa"/>
            </w:tcMar>
            <w:vAlign w:val="bottom"/>
            <w:hideMark/>
          </w:tcPr>
          <w:p w14:paraId="35E0D051"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90</w:t>
            </w:r>
          </w:p>
        </w:tc>
        <w:tc>
          <w:tcPr>
            <w:tcW w:w="545" w:type="pct"/>
            <w:shd w:val="clear" w:color="auto" w:fill="FFFFFF"/>
            <w:noWrap/>
            <w:tcMar>
              <w:top w:w="75" w:type="dxa"/>
              <w:left w:w="75" w:type="dxa"/>
              <w:bottom w:w="75" w:type="dxa"/>
              <w:right w:w="75" w:type="dxa"/>
            </w:tcMar>
            <w:vAlign w:val="bottom"/>
            <w:hideMark/>
          </w:tcPr>
          <w:p w14:paraId="0CA4907D"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20</w:t>
            </w:r>
          </w:p>
        </w:tc>
        <w:tc>
          <w:tcPr>
            <w:tcW w:w="629" w:type="pct"/>
            <w:shd w:val="clear" w:color="auto" w:fill="FFFFFF"/>
            <w:noWrap/>
            <w:tcMar>
              <w:top w:w="75" w:type="dxa"/>
              <w:left w:w="75" w:type="dxa"/>
              <w:bottom w:w="75" w:type="dxa"/>
              <w:right w:w="75" w:type="dxa"/>
            </w:tcMar>
            <w:vAlign w:val="bottom"/>
            <w:hideMark/>
          </w:tcPr>
          <w:p w14:paraId="2047D5D1"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11</w:t>
            </w:r>
          </w:p>
        </w:tc>
      </w:tr>
      <w:tr w:rsidR="00C84B2D" w:rsidRPr="00C84B2D" w14:paraId="588F29E2" w14:textId="77777777" w:rsidTr="006B04C9">
        <w:tc>
          <w:tcPr>
            <w:tcW w:w="429" w:type="pct"/>
            <w:vMerge/>
            <w:shd w:val="clear" w:color="auto" w:fill="FCFDFD"/>
            <w:vAlign w:val="bottom"/>
            <w:hideMark/>
          </w:tcPr>
          <w:p w14:paraId="509E96A6"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1254" w:type="pct"/>
            <w:vMerge/>
            <w:shd w:val="clear" w:color="auto" w:fill="FCFDFD"/>
            <w:vAlign w:val="bottom"/>
            <w:hideMark/>
          </w:tcPr>
          <w:p w14:paraId="6F062C27"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892" w:type="pct"/>
            <w:shd w:val="clear" w:color="auto" w:fill="FFFFFF"/>
            <w:tcMar>
              <w:top w:w="0" w:type="dxa"/>
              <w:left w:w="150" w:type="dxa"/>
              <w:bottom w:w="0" w:type="dxa"/>
              <w:right w:w="45" w:type="dxa"/>
            </w:tcMar>
            <w:vAlign w:val="bottom"/>
            <w:hideMark/>
          </w:tcPr>
          <w:p w14:paraId="5AD8C9CE"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Women</w:t>
            </w:r>
          </w:p>
        </w:tc>
        <w:tc>
          <w:tcPr>
            <w:tcW w:w="677" w:type="pct"/>
            <w:shd w:val="clear" w:color="auto" w:fill="FFFFFF"/>
            <w:noWrap/>
            <w:tcMar>
              <w:top w:w="75" w:type="dxa"/>
              <w:left w:w="75" w:type="dxa"/>
              <w:bottom w:w="75" w:type="dxa"/>
              <w:right w:w="75" w:type="dxa"/>
            </w:tcMar>
            <w:vAlign w:val="bottom"/>
            <w:hideMark/>
          </w:tcPr>
          <w:p w14:paraId="49C2C491"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23</w:t>
            </w:r>
          </w:p>
        </w:tc>
        <w:tc>
          <w:tcPr>
            <w:tcW w:w="574" w:type="pct"/>
            <w:shd w:val="clear" w:color="auto" w:fill="FFFFFF"/>
            <w:noWrap/>
            <w:tcMar>
              <w:top w:w="75" w:type="dxa"/>
              <w:left w:w="75" w:type="dxa"/>
              <w:bottom w:w="75" w:type="dxa"/>
              <w:right w:w="75" w:type="dxa"/>
            </w:tcMar>
            <w:vAlign w:val="bottom"/>
            <w:hideMark/>
          </w:tcPr>
          <w:p w14:paraId="4FFBDB9F"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28</w:t>
            </w:r>
          </w:p>
        </w:tc>
        <w:tc>
          <w:tcPr>
            <w:tcW w:w="545" w:type="pct"/>
            <w:shd w:val="clear" w:color="auto" w:fill="FFFFFF"/>
            <w:noWrap/>
            <w:tcMar>
              <w:top w:w="75" w:type="dxa"/>
              <w:left w:w="75" w:type="dxa"/>
              <w:bottom w:w="75" w:type="dxa"/>
              <w:right w:w="75" w:type="dxa"/>
            </w:tcMar>
            <w:vAlign w:val="bottom"/>
            <w:hideMark/>
          </w:tcPr>
          <w:p w14:paraId="0C2540A6"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6</w:t>
            </w:r>
          </w:p>
        </w:tc>
        <w:tc>
          <w:tcPr>
            <w:tcW w:w="629" w:type="pct"/>
            <w:shd w:val="clear" w:color="auto" w:fill="FFFFFF"/>
            <w:noWrap/>
            <w:tcMar>
              <w:top w:w="75" w:type="dxa"/>
              <w:left w:w="75" w:type="dxa"/>
              <w:bottom w:w="75" w:type="dxa"/>
              <w:right w:w="75" w:type="dxa"/>
            </w:tcMar>
            <w:vAlign w:val="bottom"/>
            <w:hideMark/>
          </w:tcPr>
          <w:p w14:paraId="0C2DEAA3"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4</w:t>
            </w:r>
          </w:p>
        </w:tc>
      </w:tr>
      <w:tr w:rsidR="00C84B2D" w:rsidRPr="00C84B2D" w14:paraId="06B41A56" w14:textId="77777777" w:rsidTr="006B04C9">
        <w:tc>
          <w:tcPr>
            <w:tcW w:w="429" w:type="pct"/>
            <w:vMerge/>
            <w:shd w:val="clear" w:color="auto" w:fill="FCFDFD"/>
            <w:vAlign w:val="bottom"/>
            <w:hideMark/>
          </w:tcPr>
          <w:p w14:paraId="0746A590"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1254" w:type="pct"/>
            <w:vMerge/>
            <w:shd w:val="clear" w:color="auto" w:fill="FCFDFD"/>
            <w:vAlign w:val="bottom"/>
            <w:hideMark/>
          </w:tcPr>
          <w:p w14:paraId="3C4A2C5A"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892" w:type="pct"/>
            <w:shd w:val="clear" w:color="auto" w:fill="FFFFFF"/>
            <w:tcMar>
              <w:top w:w="0" w:type="dxa"/>
              <w:left w:w="150" w:type="dxa"/>
              <w:bottom w:w="0" w:type="dxa"/>
              <w:right w:w="45" w:type="dxa"/>
            </w:tcMar>
            <w:vAlign w:val="bottom"/>
            <w:hideMark/>
          </w:tcPr>
          <w:p w14:paraId="04944487"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Men</w:t>
            </w:r>
          </w:p>
        </w:tc>
        <w:tc>
          <w:tcPr>
            <w:tcW w:w="677" w:type="pct"/>
            <w:shd w:val="clear" w:color="auto" w:fill="FFFFFF"/>
            <w:noWrap/>
            <w:tcMar>
              <w:top w:w="75" w:type="dxa"/>
              <w:left w:w="75" w:type="dxa"/>
              <w:bottom w:w="75" w:type="dxa"/>
              <w:right w:w="75" w:type="dxa"/>
            </w:tcMar>
            <w:vAlign w:val="bottom"/>
            <w:hideMark/>
          </w:tcPr>
          <w:p w14:paraId="47159BA0"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43</w:t>
            </w:r>
          </w:p>
        </w:tc>
        <w:tc>
          <w:tcPr>
            <w:tcW w:w="574" w:type="pct"/>
            <w:shd w:val="clear" w:color="auto" w:fill="FFFFFF"/>
            <w:noWrap/>
            <w:tcMar>
              <w:top w:w="75" w:type="dxa"/>
              <w:left w:w="75" w:type="dxa"/>
              <w:bottom w:w="75" w:type="dxa"/>
              <w:right w:w="75" w:type="dxa"/>
            </w:tcMar>
            <w:vAlign w:val="bottom"/>
            <w:hideMark/>
          </w:tcPr>
          <w:p w14:paraId="230025E3"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62</w:t>
            </w:r>
          </w:p>
        </w:tc>
        <w:tc>
          <w:tcPr>
            <w:tcW w:w="545" w:type="pct"/>
            <w:shd w:val="clear" w:color="auto" w:fill="FFFFFF"/>
            <w:noWrap/>
            <w:tcMar>
              <w:top w:w="75" w:type="dxa"/>
              <w:left w:w="75" w:type="dxa"/>
              <w:bottom w:w="75" w:type="dxa"/>
              <w:right w:w="75" w:type="dxa"/>
            </w:tcMar>
            <w:vAlign w:val="bottom"/>
            <w:hideMark/>
          </w:tcPr>
          <w:p w14:paraId="57BA4A5C"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14</w:t>
            </w:r>
          </w:p>
        </w:tc>
        <w:tc>
          <w:tcPr>
            <w:tcW w:w="629" w:type="pct"/>
            <w:shd w:val="clear" w:color="auto" w:fill="FFFFFF"/>
            <w:noWrap/>
            <w:tcMar>
              <w:top w:w="75" w:type="dxa"/>
              <w:left w:w="75" w:type="dxa"/>
              <w:bottom w:w="75" w:type="dxa"/>
              <w:right w:w="75" w:type="dxa"/>
            </w:tcMar>
            <w:vAlign w:val="bottom"/>
            <w:hideMark/>
          </w:tcPr>
          <w:p w14:paraId="20C37D8C"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7</w:t>
            </w:r>
          </w:p>
        </w:tc>
      </w:tr>
      <w:tr w:rsidR="00C84B2D" w:rsidRPr="00C84B2D" w14:paraId="71B439A0" w14:textId="77777777" w:rsidTr="006B04C9">
        <w:tc>
          <w:tcPr>
            <w:tcW w:w="429" w:type="pct"/>
            <w:vMerge/>
            <w:shd w:val="clear" w:color="auto" w:fill="FCFDFD"/>
            <w:vAlign w:val="bottom"/>
            <w:hideMark/>
          </w:tcPr>
          <w:p w14:paraId="46630ABE"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1254" w:type="pct"/>
            <w:vMerge w:val="restart"/>
            <w:shd w:val="clear" w:color="auto" w:fill="FFFFFF"/>
            <w:tcMar>
              <w:top w:w="0" w:type="dxa"/>
              <w:left w:w="75" w:type="dxa"/>
              <w:bottom w:w="0" w:type="dxa"/>
              <w:right w:w="45" w:type="dxa"/>
            </w:tcMar>
            <w:vAlign w:val="bottom"/>
            <w:hideMark/>
          </w:tcPr>
          <w:p w14:paraId="609FE906"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Law</w:t>
            </w:r>
          </w:p>
        </w:tc>
        <w:tc>
          <w:tcPr>
            <w:tcW w:w="892" w:type="pct"/>
            <w:shd w:val="clear" w:color="auto" w:fill="FFFFFF"/>
            <w:tcMar>
              <w:top w:w="0" w:type="dxa"/>
              <w:left w:w="150" w:type="dxa"/>
              <w:bottom w:w="0" w:type="dxa"/>
              <w:right w:w="45" w:type="dxa"/>
            </w:tcMar>
            <w:vAlign w:val="bottom"/>
            <w:hideMark/>
          </w:tcPr>
          <w:p w14:paraId="71BB6863"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Total</w:t>
            </w:r>
          </w:p>
        </w:tc>
        <w:tc>
          <w:tcPr>
            <w:tcW w:w="677" w:type="pct"/>
            <w:shd w:val="clear" w:color="auto" w:fill="FFFFFF"/>
            <w:noWrap/>
            <w:tcMar>
              <w:top w:w="75" w:type="dxa"/>
              <w:left w:w="75" w:type="dxa"/>
              <w:bottom w:w="75" w:type="dxa"/>
              <w:right w:w="75" w:type="dxa"/>
            </w:tcMar>
            <w:vAlign w:val="bottom"/>
            <w:hideMark/>
          </w:tcPr>
          <w:p w14:paraId="3DA09CAB"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37</w:t>
            </w:r>
          </w:p>
        </w:tc>
        <w:tc>
          <w:tcPr>
            <w:tcW w:w="574" w:type="pct"/>
            <w:shd w:val="clear" w:color="auto" w:fill="FFFFFF"/>
            <w:noWrap/>
            <w:tcMar>
              <w:top w:w="75" w:type="dxa"/>
              <w:left w:w="75" w:type="dxa"/>
              <w:bottom w:w="75" w:type="dxa"/>
              <w:right w:w="75" w:type="dxa"/>
            </w:tcMar>
            <w:vAlign w:val="bottom"/>
            <w:hideMark/>
          </w:tcPr>
          <w:p w14:paraId="55A72BF4"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93</w:t>
            </w:r>
          </w:p>
        </w:tc>
        <w:tc>
          <w:tcPr>
            <w:tcW w:w="545" w:type="pct"/>
            <w:shd w:val="clear" w:color="auto" w:fill="FFFFFF"/>
            <w:noWrap/>
            <w:tcMar>
              <w:top w:w="75" w:type="dxa"/>
              <w:left w:w="75" w:type="dxa"/>
              <w:bottom w:w="75" w:type="dxa"/>
              <w:right w:w="75" w:type="dxa"/>
            </w:tcMar>
            <w:vAlign w:val="bottom"/>
            <w:hideMark/>
          </w:tcPr>
          <w:p w14:paraId="094E15B2"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52</w:t>
            </w:r>
          </w:p>
        </w:tc>
        <w:tc>
          <w:tcPr>
            <w:tcW w:w="629" w:type="pct"/>
            <w:shd w:val="clear" w:color="auto" w:fill="FFFFFF"/>
            <w:noWrap/>
            <w:tcMar>
              <w:top w:w="75" w:type="dxa"/>
              <w:left w:w="75" w:type="dxa"/>
              <w:bottom w:w="75" w:type="dxa"/>
              <w:right w:w="75" w:type="dxa"/>
            </w:tcMar>
            <w:vAlign w:val="bottom"/>
            <w:hideMark/>
          </w:tcPr>
          <w:p w14:paraId="13A31047"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1</w:t>
            </w:r>
          </w:p>
        </w:tc>
      </w:tr>
      <w:tr w:rsidR="00C84B2D" w:rsidRPr="00C84B2D" w14:paraId="3F763B50" w14:textId="77777777" w:rsidTr="006B04C9">
        <w:tc>
          <w:tcPr>
            <w:tcW w:w="429" w:type="pct"/>
            <w:vMerge/>
            <w:shd w:val="clear" w:color="auto" w:fill="FCFDFD"/>
            <w:vAlign w:val="bottom"/>
            <w:hideMark/>
          </w:tcPr>
          <w:p w14:paraId="2A13940E"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1254" w:type="pct"/>
            <w:vMerge/>
            <w:shd w:val="clear" w:color="auto" w:fill="FCFDFD"/>
            <w:vAlign w:val="bottom"/>
            <w:hideMark/>
          </w:tcPr>
          <w:p w14:paraId="4C23AA56"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892" w:type="pct"/>
            <w:shd w:val="clear" w:color="auto" w:fill="FFFFFF"/>
            <w:tcMar>
              <w:top w:w="0" w:type="dxa"/>
              <w:left w:w="150" w:type="dxa"/>
              <w:bottom w:w="0" w:type="dxa"/>
              <w:right w:w="45" w:type="dxa"/>
            </w:tcMar>
            <w:vAlign w:val="bottom"/>
            <w:hideMark/>
          </w:tcPr>
          <w:p w14:paraId="0F4A8980"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Women</w:t>
            </w:r>
          </w:p>
        </w:tc>
        <w:tc>
          <w:tcPr>
            <w:tcW w:w="677" w:type="pct"/>
            <w:shd w:val="clear" w:color="auto" w:fill="FFFFFF"/>
            <w:noWrap/>
            <w:tcMar>
              <w:top w:w="75" w:type="dxa"/>
              <w:left w:w="75" w:type="dxa"/>
              <w:bottom w:w="75" w:type="dxa"/>
              <w:right w:w="75" w:type="dxa"/>
            </w:tcMar>
            <w:vAlign w:val="bottom"/>
            <w:hideMark/>
          </w:tcPr>
          <w:p w14:paraId="3989A853"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15</w:t>
            </w:r>
          </w:p>
        </w:tc>
        <w:tc>
          <w:tcPr>
            <w:tcW w:w="574" w:type="pct"/>
            <w:shd w:val="clear" w:color="auto" w:fill="FFFFFF"/>
            <w:noWrap/>
            <w:tcMar>
              <w:top w:w="75" w:type="dxa"/>
              <w:left w:w="75" w:type="dxa"/>
              <w:bottom w:w="75" w:type="dxa"/>
              <w:right w:w="75" w:type="dxa"/>
            </w:tcMar>
            <w:vAlign w:val="bottom"/>
            <w:hideMark/>
          </w:tcPr>
          <w:p w14:paraId="710B5429"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52</w:t>
            </w:r>
          </w:p>
        </w:tc>
        <w:tc>
          <w:tcPr>
            <w:tcW w:w="545" w:type="pct"/>
            <w:shd w:val="clear" w:color="auto" w:fill="FFFFFF"/>
            <w:noWrap/>
            <w:tcMar>
              <w:top w:w="75" w:type="dxa"/>
              <w:left w:w="75" w:type="dxa"/>
              <w:bottom w:w="75" w:type="dxa"/>
              <w:right w:w="75" w:type="dxa"/>
            </w:tcMar>
            <w:vAlign w:val="bottom"/>
            <w:hideMark/>
          </w:tcPr>
          <w:p w14:paraId="5AA8AB32"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25</w:t>
            </w:r>
          </w:p>
        </w:tc>
        <w:tc>
          <w:tcPr>
            <w:tcW w:w="629" w:type="pct"/>
            <w:shd w:val="clear" w:color="auto" w:fill="FFFFFF"/>
            <w:noWrap/>
            <w:tcMar>
              <w:top w:w="75" w:type="dxa"/>
              <w:left w:w="75" w:type="dxa"/>
              <w:bottom w:w="75" w:type="dxa"/>
              <w:right w:w="75" w:type="dxa"/>
            </w:tcMar>
            <w:vAlign w:val="bottom"/>
            <w:hideMark/>
          </w:tcPr>
          <w:p w14:paraId="13BC7236" w14:textId="77777777" w:rsidR="00C84B2D" w:rsidRPr="00C84B2D" w:rsidRDefault="00C84B2D" w:rsidP="00C84B2D">
            <w:pPr>
              <w:spacing w:after="0"/>
              <w:jc w:val="right"/>
              <w:rPr>
                <w:rFonts w:ascii="inherit" w:hAnsi="inherit" w:cs="Times New Roman"/>
                <w:color w:val="000000"/>
                <w:sz w:val="18"/>
                <w:szCs w:val="18"/>
                <w:lang w:eastAsia="de-CH"/>
              </w:rPr>
            </w:pPr>
            <w:r w:rsidRPr="00C84B2D">
              <w:rPr>
                <w:rFonts w:ascii="inherit" w:hAnsi="inherit" w:cs="Times New Roman"/>
                <w:color w:val="000000"/>
                <w:sz w:val="18"/>
                <w:szCs w:val="18"/>
                <w:lang w:eastAsia="de-CH"/>
              </w:rPr>
              <w:t>1</w:t>
            </w:r>
          </w:p>
        </w:tc>
      </w:tr>
      <w:tr w:rsidR="00C84B2D" w:rsidRPr="00C84B2D" w14:paraId="57A4E9BD" w14:textId="77777777" w:rsidTr="006B04C9">
        <w:trPr>
          <w:trHeight w:val="381"/>
        </w:trPr>
        <w:tc>
          <w:tcPr>
            <w:tcW w:w="429" w:type="pct"/>
            <w:vMerge/>
            <w:shd w:val="clear" w:color="auto" w:fill="FCFDFD"/>
            <w:vAlign w:val="bottom"/>
            <w:hideMark/>
          </w:tcPr>
          <w:p w14:paraId="35CE40A8"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1254" w:type="pct"/>
            <w:vMerge/>
            <w:shd w:val="clear" w:color="auto" w:fill="FCFDFD"/>
            <w:vAlign w:val="bottom"/>
            <w:hideMark/>
          </w:tcPr>
          <w:p w14:paraId="449349A5" w14:textId="77777777" w:rsidR="00C84B2D" w:rsidRPr="00C84B2D" w:rsidRDefault="00C84B2D" w:rsidP="00C84B2D">
            <w:pPr>
              <w:spacing w:after="0"/>
              <w:jc w:val="left"/>
              <w:rPr>
                <w:rFonts w:ascii="inherit" w:hAnsi="inherit" w:cs="Times New Roman"/>
                <w:b/>
                <w:bCs/>
                <w:color w:val="222222"/>
                <w:sz w:val="16"/>
                <w:szCs w:val="16"/>
                <w:lang w:eastAsia="de-CH"/>
              </w:rPr>
            </w:pPr>
          </w:p>
        </w:tc>
        <w:tc>
          <w:tcPr>
            <w:tcW w:w="892" w:type="pct"/>
            <w:shd w:val="clear" w:color="auto" w:fill="FFFFFF"/>
            <w:tcMar>
              <w:top w:w="0" w:type="dxa"/>
              <w:left w:w="150" w:type="dxa"/>
              <w:bottom w:w="0" w:type="dxa"/>
              <w:right w:w="45" w:type="dxa"/>
            </w:tcMar>
            <w:vAlign w:val="bottom"/>
            <w:hideMark/>
          </w:tcPr>
          <w:p w14:paraId="617D05E6" w14:textId="77777777" w:rsidR="00C84B2D" w:rsidRPr="00C84B2D" w:rsidRDefault="00C84B2D" w:rsidP="00C84B2D">
            <w:pPr>
              <w:spacing w:after="0"/>
              <w:jc w:val="left"/>
              <w:rPr>
                <w:rFonts w:ascii="inherit" w:hAnsi="inherit" w:cs="Times New Roman"/>
                <w:b/>
                <w:bCs/>
                <w:color w:val="222222"/>
                <w:sz w:val="16"/>
                <w:szCs w:val="16"/>
                <w:lang w:eastAsia="de-CH"/>
              </w:rPr>
            </w:pPr>
            <w:r>
              <w:rPr>
                <w:rFonts w:ascii="inherit" w:hAnsi="inherit" w:cs="Times New Roman"/>
                <w:b/>
                <w:bCs/>
                <w:color w:val="222222"/>
                <w:sz w:val="16"/>
                <w:szCs w:val="16"/>
                <w:lang w:eastAsia="de-CH"/>
              </w:rPr>
              <w:t>Men</w:t>
            </w:r>
          </w:p>
        </w:tc>
        <w:tc>
          <w:tcPr>
            <w:tcW w:w="677" w:type="pct"/>
            <w:shd w:val="clear" w:color="auto" w:fill="FCFDFD"/>
            <w:vAlign w:val="center"/>
            <w:hideMark/>
          </w:tcPr>
          <w:p w14:paraId="145822EC" w14:textId="57F09734" w:rsidR="00C84B2D" w:rsidRPr="006B04C9" w:rsidRDefault="006B04C9" w:rsidP="006B04C9">
            <w:pPr>
              <w:spacing w:after="0"/>
              <w:jc w:val="right"/>
              <w:rPr>
                <w:rFonts w:ascii="inherit" w:hAnsi="inherit" w:cs="Times New Roman"/>
                <w:color w:val="000000"/>
                <w:sz w:val="18"/>
                <w:szCs w:val="18"/>
                <w:lang w:eastAsia="de-CH"/>
              </w:rPr>
            </w:pPr>
            <w:r w:rsidRPr="006B04C9">
              <w:rPr>
                <w:rFonts w:ascii="inherit" w:hAnsi="inherit" w:cs="Times New Roman"/>
                <w:color w:val="000000"/>
                <w:sz w:val="18"/>
                <w:szCs w:val="18"/>
                <w:lang w:eastAsia="de-CH"/>
              </w:rPr>
              <w:t>22</w:t>
            </w:r>
            <w:r>
              <w:rPr>
                <w:rFonts w:ascii="inherit" w:hAnsi="inherit" w:cs="Times New Roman"/>
                <w:color w:val="000000"/>
                <w:sz w:val="18"/>
                <w:szCs w:val="18"/>
                <w:lang w:eastAsia="de-CH"/>
              </w:rPr>
              <w:t xml:space="preserve"> </w:t>
            </w:r>
          </w:p>
        </w:tc>
        <w:tc>
          <w:tcPr>
            <w:tcW w:w="574" w:type="pct"/>
            <w:shd w:val="clear" w:color="auto" w:fill="FCFDFD"/>
            <w:vAlign w:val="center"/>
            <w:hideMark/>
          </w:tcPr>
          <w:p w14:paraId="14406D76" w14:textId="45507F5D" w:rsidR="00C84B2D" w:rsidRPr="006B04C9" w:rsidRDefault="006B04C9" w:rsidP="006B04C9">
            <w:pPr>
              <w:spacing w:after="0"/>
              <w:jc w:val="right"/>
              <w:rPr>
                <w:rFonts w:ascii="inherit" w:hAnsi="inherit" w:cs="Times New Roman"/>
                <w:color w:val="000000"/>
                <w:sz w:val="18"/>
                <w:szCs w:val="18"/>
                <w:lang w:eastAsia="de-CH"/>
              </w:rPr>
            </w:pPr>
            <w:r w:rsidRPr="006B04C9">
              <w:rPr>
                <w:rFonts w:ascii="inherit" w:hAnsi="inherit" w:cs="Times New Roman"/>
                <w:color w:val="000000"/>
                <w:sz w:val="18"/>
                <w:szCs w:val="18"/>
                <w:lang w:eastAsia="de-CH"/>
              </w:rPr>
              <w:t>41</w:t>
            </w:r>
          </w:p>
        </w:tc>
        <w:tc>
          <w:tcPr>
            <w:tcW w:w="545" w:type="pct"/>
            <w:shd w:val="clear" w:color="auto" w:fill="FCFDFD"/>
            <w:vAlign w:val="center"/>
            <w:hideMark/>
          </w:tcPr>
          <w:p w14:paraId="06B4046A" w14:textId="1D27D7BC" w:rsidR="00C84B2D" w:rsidRPr="006B04C9" w:rsidRDefault="006B04C9" w:rsidP="006B04C9">
            <w:pPr>
              <w:spacing w:after="0"/>
              <w:jc w:val="right"/>
              <w:rPr>
                <w:rFonts w:ascii="inherit" w:hAnsi="inherit" w:cs="Times New Roman"/>
                <w:color w:val="000000"/>
                <w:sz w:val="18"/>
                <w:szCs w:val="18"/>
                <w:lang w:eastAsia="de-CH"/>
              </w:rPr>
            </w:pPr>
            <w:r w:rsidRPr="006B04C9">
              <w:rPr>
                <w:rFonts w:ascii="inherit" w:hAnsi="inherit" w:cs="Times New Roman"/>
                <w:color w:val="000000"/>
                <w:sz w:val="18"/>
                <w:szCs w:val="18"/>
                <w:lang w:eastAsia="de-CH"/>
              </w:rPr>
              <w:t>27</w:t>
            </w:r>
          </w:p>
        </w:tc>
        <w:tc>
          <w:tcPr>
            <w:tcW w:w="629" w:type="pct"/>
            <w:shd w:val="clear" w:color="auto" w:fill="FCFDFD"/>
            <w:vAlign w:val="center"/>
            <w:hideMark/>
          </w:tcPr>
          <w:p w14:paraId="431A00FE" w14:textId="02ECE159" w:rsidR="00C84B2D" w:rsidRPr="006B04C9" w:rsidRDefault="006B04C9" w:rsidP="006B04C9">
            <w:pPr>
              <w:spacing w:after="0"/>
              <w:jc w:val="right"/>
              <w:rPr>
                <w:rFonts w:ascii="inherit" w:hAnsi="inherit" w:cs="Times New Roman"/>
                <w:color w:val="000000"/>
                <w:sz w:val="18"/>
                <w:szCs w:val="18"/>
                <w:lang w:eastAsia="de-CH"/>
              </w:rPr>
            </w:pPr>
            <w:r>
              <w:rPr>
                <w:rFonts w:ascii="inherit" w:hAnsi="inherit" w:cs="Times New Roman"/>
                <w:color w:val="000000"/>
                <w:sz w:val="18"/>
                <w:szCs w:val="18"/>
                <w:lang w:eastAsia="de-CH"/>
              </w:rPr>
              <w:t>-</w:t>
            </w:r>
          </w:p>
        </w:tc>
      </w:tr>
    </w:tbl>
    <w:p w14:paraId="6CA7CCDA" w14:textId="77777777" w:rsidR="00C84B2D" w:rsidRDefault="00C84B2D" w:rsidP="00AB23E3"/>
    <w:p w14:paraId="7C6AB530" w14:textId="77777777" w:rsidR="004E5A53" w:rsidRPr="004E5A53" w:rsidRDefault="004E5A53" w:rsidP="004E5A53">
      <w:pPr>
        <w:rPr>
          <w:i/>
          <w:lang w:val="en-US"/>
        </w:rPr>
      </w:pPr>
      <w:r w:rsidRPr="004E5A53">
        <w:rPr>
          <w:i/>
          <w:lang w:val="en-US"/>
        </w:rPr>
        <w:t>Reservation on Art. 44 paragraph 3 of the Istanbul Convention</w:t>
      </w:r>
      <w:r>
        <w:rPr>
          <w:i/>
          <w:lang w:val="en-US"/>
        </w:rPr>
        <w:t xml:space="preserve"> (regarding Art. 39)</w:t>
      </w:r>
    </w:p>
    <w:p w14:paraId="7D151E58" w14:textId="7737087A" w:rsidR="004E5A53" w:rsidRPr="00CB5641" w:rsidRDefault="004E5A53" w:rsidP="00AB23E3">
      <w:pPr>
        <w:rPr>
          <w:lang w:val="en-US"/>
        </w:rPr>
      </w:pPr>
      <w:r>
        <w:rPr>
          <w:lang w:val="en-US"/>
        </w:rPr>
        <w:t>In accordance with Article 78, paragraph 2, of the</w:t>
      </w:r>
      <w:r w:rsidR="00F27BC3">
        <w:rPr>
          <w:lang w:val="en-US"/>
        </w:rPr>
        <w:t xml:space="preserve"> Istanbul</w:t>
      </w:r>
      <w:r>
        <w:rPr>
          <w:lang w:val="en-US"/>
        </w:rPr>
        <w:t xml:space="preserve"> Convention, the Principality of Liechtenstein</w:t>
      </w:r>
      <w:r>
        <w:rPr>
          <w:rFonts w:cs="Calibri"/>
          <w:sz w:val="22"/>
          <w:lang w:val="en-US" w:eastAsia="en-US"/>
        </w:rPr>
        <w:t xml:space="preserve"> </w:t>
      </w:r>
      <w:r>
        <w:rPr>
          <w:lang w:val="en-US"/>
        </w:rPr>
        <w:t xml:space="preserve">reserves the right not to apply Article 44, paragraph 3, with regard to forced abortion and forced </w:t>
      </w:r>
      <w:proofErr w:type="spellStart"/>
      <w:r>
        <w:rPr>
          <w:lang w:val="en-US"/>
        </w:rPr>
        <w:t>sterilisation</w:t>
      </w:r>
      <w:proofErr w:type="spellEnd"/>
      <w:r>
        <w:rPr>
          <w:lang w:val="en-US"/>
        </w:rPr>
        <w:t xml:space="preserve"> (Article 39 of the Convention). T</w:t>
      </w:r>
      <w:r w:rsidRPr="004E5A53">
        <w:rPr>
          <w:lang w:val="en-US"/>
        </w:rPr>
        <w:t xml:space="preserve">he reservation was made on the basis of the existing legislation of </w:t>
      </w:r>
      <w:r>
        <w:rPr>
          <w:lang w:val="en-US"/>
        </w:rPr>
        <w:t xml:space="preserve">Liechtenstein. </w:t>
      </w:r>
      <w:r w:rsidRPr="004E5A53">
        <w:rPr>
          <w:lang w:val="en-US"/>
        </w:rPr>
        <w:t xml:space="preserve">According to § 64 para. 1 no. 4a of the Criminal Code, all offenses related to the implementation of Article 36, 37 and 38 of the Istanbul Convention are punishable under Liechtenstein law, even if committed abroad, regardless of the laws in the country where the crime occurred. However, according to § 65 of the Criminal Code extraterritorial jurisdiction for offenses under Article 39 is only granted if they are also punishable in the country where they were committed. </w:t>
      </w:r>
    </w:p>
    <w:p w14:paraId="0B21F812" w14:textId="77777777" w:rsidR="00367461" w:rsidRDefault="00367461" w:rsidP="00AB23E3">
      <w:pPr>
        <w:rPr>
          <w:i/>
          <w:lang w:val="en-US"/>
        </w:rPr>
      </w:pPr>
    </w:p>
    <w:p w14:paraId="2E3A041D" w14:textId="7E4729F8" w:rsidR="00091423" w:rsidRPr="00B6449C" w:rsidRDefault="00B6449C" w:rsidP="00AB23E3">
      <w:pPr>
        <w:rPr>
          <w:i/>
          <w:lang w:val="en-US"/>
        </w:rPr>
      </w:pPr>
      <w:r w:rsidRPr="00B6449C">
        <w:rPr>
          <w:i/>
          <w:lang w:val="en-US"/>
        </w:rPr>
        <w:lastRenderedPageBreak/>
        <w:t>Breast cancer screening</w:t>
      </w:r>
    </w:p>
    <w:p w14:paraId="02BCA6FA" w14:textId="1751E390" w:rsidR="00003A01" w:rsidRPr="00003A01" w:rsidRDefault="001D30B2" w:rsidP="00003A01">
      <w:pPr>
        <w:rPr>
          <w:lang w:val="en-US"/>
        </w:rPr>
      </w:pPr>
      <w:bookmarkStart w:id="0" w:name="_Hlk190699114"/>
      <w:r>
        <w:rPr>
          <w:lang w:val="en-US"/>
        </w:rPr>
        <w:t>One expert mentioned the low</w:t>
      </w:r>
      <w:r w:rsidR="00003A01" w:rsidRPr="00003A01">
        <w:rPr>
          <w:lang w:val="en-US"/>
        </w:rPr>
        <w:t xml:space="preserve"> participation in breast cancer screening</w:t>
      </w:r>
      <w:r>
        <w:rPr>
          <w:lang w:val="en-US"/>
        </w:rPr>
        <w:t xml:space="preserve">. Liechtenstein would like clarify that this comes </w:t>
      </w:r>
      <w:r w:rsidR="00003A01" w:rsidRPr="00003A01">
        <w:rPr>
          <w:lang w:val="en-US"/>
        </w:rPr>
        <w:t xml:space="preserve">from the health survey, which is conducted every </w:t>
      </w:r>
      <w:r w:rsidR="00003A01">
        <w:rPr>
          <w:lang w:val="en-US"/>
        </w:rPr>
        <w:t>five</w:t>
      </w:r>
      <w:r w:rsidR="00003A01" w:rsidRPr="00003A01">
        <w:rPr>
          <w:lang w:val="en-US"/>
        </w:rPr>
        <w:t xml:space="preserve"> years in Liechtenstein. In 2017 the </w:t>
      </w:r>
      <w:r w:rsidR="00003A01">
        <w:rPr>
          <w:lang w:val="en-US"/>
        </w:rPr>
        <w:t>figure</w:t>
      </w:r>
      <w:r w:rsidR="00003A01" w:rsidRPr="00003A01">
        <w:rPr>
          <w:lang w:val="en-US"/>
        </w:rPr>
        <w:t xml:space="preserve"> was 10.8%, in 2022 15.3%. However, in th</w:t>
      </w:r>
      <w:r w:rsidR="00003A01">
        <w:rPr>
          <w:lang w:val="en-US"/>
        </w:rPr>
        <w:t>is</w:t>
      </w:r>
      <w:r w:rsidR="00003A01" w:rsidRPr="00003A01">
        <w:rPr>
          <w:lang w:val="en-US"/>
        </w:rPr>
        <w:t xml:space="preserve"> analysis women aged 20 and over were </w:t>
      </w:r>
      <w:r w:rsidR="00E4397A">
        <w:rPr>
          <w:lang w:val="en-US"/>
        </w:rPr>
        <w:t>included (in combination with the cervical smear test)</w:t>
      </w:r>
      <w:r w:rsidR="00003A01" w:rsidRPr="00003A01">
        <w:rPr>
          <w:lang w:val="en-US"/>
        </w:rPr>
        <w:t xml:space="preserve">. This leads to an interpretation error. As mentioned on Friday, women are actively invited for a mammogram every 2.5 years </w:t>
      </w:r>
      <w:r w:rsidR="00003A01">
        <w:rPr>
          <w:lang w:val="en-US"/>
        </w:rPr>
        <w:t xml:space="preserve">starting </w:t>
      </w:r>
      <w:r w:rsidR="00003A01" w:rsidRPr="00003A01">
        <w:rPr>
          <w:lang w:val="en-US"/>
        </w:rPr>
        <w:t>from the age of 50. This means that the age group 20-</w:t>
      </w:r>
      <w:r w:rsidR="00367461">
        <w:rPr>
          <w:lang w:val="en-US"/>
        </w:rPr>
        <w:t xml:space="preserve">49 </w:t>
      </w:r>
      <w:r w:rsidR="00003A01" w:rsidRPr="00003A01">
        <w:rPr>
          <w:lang w:val="en-US"/>
        </w:rPr>
        <w:t>years</w:t>
      </w:r>
      <w:r w:rsidR="00E4397A">
        <w:rPr>
          <w:lang w:val="en-US"/>
        </w:rPr>
        <w:t xml:space="preserve"> (as not eligible)</w:t>
      </w:r>
      <w:r w:rsidR="00003A01" w:rsidRPr="00003A01">
        <w:rPr>
          <w:lang w:val="en-US"/>
        </w:rPr>
        <w:t xml:space="preserve"> should not be </w:t>
      </w:r>
      <w:r w:rsidR="00E4397A">
        <w:rPr>
          <w:lang w:val="en-US"/>
        </w:rPr>
        <w:t xml:space="preserve">considered. It </w:t>
      </w:r>
      <w:r w:rsidR="00003A01" w:rsidRPr="00003A01">
        <w:rPr>
          <w:lang w:val="en-US"/>
        </w:rPr>
        <w:t xml:space="preserve">distorts the results. </w:t>
      </w:r>
      <w:r w:rsidR="00E4397A" w:rsidRPr="00E4397A">
        <w:rPr>
          <w:lang w:val="en-US"/>
        </w:rPr>
        <w:t xml:space="preserve">This must be taken into </w:t>
      </w:r>
      <w:r w:rsidR="00E4397A">
        <w:rPr>
          <w:lang w:val="en-US"/>
        </w:rPr>
        <w:t>consideration</w:t>
      </w:r>
      <w:r w:rsidR="00E4397A" w:rsidRPr="00E4397A">
        <w:rPr>
          <w:lang w:val="en-US"/>
        </w:rPr>
        <w:t xml:space="preserve"> for future statistical evaluations.</w:t>
      </w:r>
    </w:p>
    <w:bookmarkEnd w:id="0"/>
    <w:p w14:paraId="74816DA0" w14:textId="77777777" w:rsidR="00367461" w:rsidRDefault="00367461" w:rsidP="00003A01">
      <w:pPr>
        <w:rPr>
          <w:i/>
          <w:lang w:val="en-US"/>
        </w:rPr>
      </w:pPr>
    </w:p>
    <w:p w14:paraId="1A5E8184" w14:textId="02543BA9" w:rsidR="00003A01" w:rsidRDefault="00B6449C" w:rsidP="00003A01">
      <w:pPr>
        <w:rPr>
          <w:i/>
          <w:lang w:val="en-US"/>
        </w:rPr>
      </w:pPr>
      <w:bookmarkStart w:id="1" w:name="_GoBack"/>
      <w:bookmarkEnd w:id="1"/>
      <w:r w:rsidRPr="00B6449C">
        <w:rPr>
          <w:i/>
          <w:lang w:val="en-US"/>
        </w:rPr>
        <w:t>Information on sexually transmitted diseases</w:t>
      </w:r>
    </w:p>
    <w:p w14:paraId="369B5D61" w14:textId="60903BD4" w:rsidR="00B6449C" w:rsidRPr="004E5A53" w:rsidRDefault="00B6449C" w:rsidP="00B6449C">
      <w:pPr>
        <w:rPr>
          <w:lang w:val="en-US"/>
        </w:rPr>
      </w:pPr>
      <w:r w:rsidRPr="004E5A53">
        <w:rPr>
          <w:lang w:val="en-US"/>
        </w:rPr>
        <w:t xml:space="preserve">Data on sexually transmitted diseases can be found in the statistical yearbook (see link): </w:t>
      </w:r>
      <w:hyperlink r:id="rId8" w:history="1">
        <w:r w:rsidR="00421975" w:rsidRPr="002717D8">
          <w:rPr>
            <w:rStyle w:val="Hyperlink"/>
            <w:lang w:val="en-US"/>
          </w:rPr>
          <w:t>https://www.statistikportal.li/de/uebergreifendes-indikatoren/statistisches-jahrbuch</w:t>
        </w:r>
      </w:hyperlink>
      <w:r w:rsidR="00421975">
        <w:rPr>
          <w:lang w:val="en-US"/>
        </w:rPr>
        <w:t xml:space="preserve"> </w:t>
      </w:r>
    </w:p>
    <w:p w14:paraId="015A141B" w14:textId="2161C832" w:rsidR="00B6449C" w:rsidRPr="004E5A53" w:rsidRDefault="00B6449C" w:rsidP="00B6449C">
      <w:pPr>
        <w:rPr>
          <w:lang w:val="en-US"/>
        </w:rPr>
      </w:pPr>
      <w:r w:rsidRPr="004E5A53">
        <w:rPr>
          <w:lang w:val="en-US"/>
        </w:rPr>
        <w:t>Data specifically for Liechtenstein can also be filtered on the dashboard of the Swiss FOPH</w:t>
      </w:r>
      <w:r w:rsidR="00367461" w:rsidRPr="00367461">
        <w:rPr>
          <w:lang w:val="en-US"/>
        </w:rPr>
        <w:t xml:space="preserve"> </w:t>
      </w:r>
      <w:hyperlink r:id="rId9" w:history="1">
        <w:r w:rsidR="00367461" w:rsidRPr="002717D8">
          <w:rPr>
            <w:rStyle w:val="Hyperlink"/>
            <w:lang w:val="en-US"/>
          </w:rPr>
          <w:t>https://www.idd.bag.admin.ch/</w:t>
        </w:r>
      </w:hyperlink>
      <w:r w:rsidR="00367461">
        <w:rPr>
          <w:lang w:val="en-US"/>
        </w:rPr>
        <w:t>.</w:t>
      </w:r>
      <w:r w:rsidRPr="004E5A53">
        <w:rPr>
          <w:lang w:val="en-US"/>
        </w:rPr>
        <w:t xml:space="preserve"> This is because Liechtenstein uses the platform together with Switzerland for the reportable data (</w:t>
      </w:r>
      <w:r w:rsidR="001F5346">
        <w:rPr>
          <w:lang w:val="en-US"/>
        </w:rPr>
        <w:t xml:space="preserve">the Swiss </w:t>
      </w:r>
      <w:r w:rsidRPr="004E5A53">
        <w:rPr>
          <w:lang w:val="en-US"/>
        </w:rPr>
        <w:t xml:space="preserve">Epidemics Act </w:t>
      </w:r>
      <w:r w:rsidR="001F5346">
        <w:rPr>
          <w:lang w:val="en-US"/>
        </w:rPr>
        <w:t xml:space="preserve">is </w:t>
      </w:r>
      <w:r w:rsidRPr="004E5A53">
        <w:rPr>
          <w:lang w:val="en-US"/>
        </w:rPr>
        <w:t xml:space="preserve">applicable in Liechtenstein via </w:t>
      </w:r>
      <w:r w:rsidR="001F5346">
        <w:rPr>
          <w:lang w:val="en-US"/>
        </w:rPr>
        <w:t xml:space="preserve">the </w:t>
      </w:r>
      <w:r w:rsidRPr="004E5A53">
        <w:rPr>
          <w:lang w:val="en-US"/>
        </w:rPr>
        <w:t>customs treaty</w:t>
      </w:r>
      <w:r w:rsidR="001F5346">
        <w:rPr>
          <w:lang w:val="en-US"/>
        </w:rPr>
        <w:t xml:space="preserve"> between Liechtenstein and Switzerland</w:t>
      </w:r>
      <w:r w:rsidRPr="004E5A53">
        <w:rPr>
          <w:lang w:val="en-US"/>
        </w:rPr>
        <w:t xml:space="preserve">). </w:t>
      </w:r>
    </w:p>
    <w:p w14:paraId="77C1F652" w14:textId="77777777" w:rsidR="00B6449C" w:rsidRPr="004E5A53" w:rsidRDefault="00B6449C" w:rsidP="00B6449C">
      <w:pPr>
        <w:rPr>
          <w:lang w:val="en-US"/>
        </w:rPr>
      </w:pPr>
      <w:r w:rsidRPr="004E5A53">
        <w:rPr>
          <w:lang w:val="en-US"/>
        </w:rPr>
        <w:t xml:space="preserve">Furthermore, Liechtenstein makes the notifiable diseases available to international </w:t>
      </w:r>
      <w:proofErr w:type="spellStart"/>
      <w:r w:rsidRPr="004E5A53">
        <w:rPr>
          <w:lang w:val="en-US"/>
        </w:rPr>
        <w:t>organisations</w:t>
      </w:r>
      <w:proofErr w:type="spellEnd"/>
      <w:r w:rsidRPr="004E5A53">
        <w:rPr>
          <w:lang w:val="en-US"/>
        </w:rPr>
        <w:t xml:space="preserve"> such as the European Centre for Disease Prevention and Control (ECDC), which are then published by ECDC. </w:t>
      </w:r>
    </w:p>
    <w:p w14:paraId="67138F90" w14:textId="77777777" w:rsidR="0058565B" w:rsidRPr="00B6449C" w:rsidRDefault="0058565B" w:rsidP="00AB23E3">
      <w:pPr>
        <w:rPr>
          <w:lang w:val="en-US"/>
        </w:rPr>
      </w:pPr>
    </w:p>
    <w:sectPr w:rsidR="0058565B" w:rsidRPr="00B6449C" w:rsidSect="00C13277">
      <w:headerReference w:type="default" r:id="rId10"/>
      <w:headerReference w:type="first" r:id="rId11"/>
      <w:footerReference w:type="first" r:id="rId12"/>
      <w:type w:val="continuous"/>
      <w:pgSz w:w="11906" w:h="16838" w:code="9"/>
      <w:pgMar w:top="1134" w:right="1701" w:bottom="1985" w:left="1361" w:header="397" w:footer="482" w:gutter="0"/>
      <w:paperSrc w:first="7" w:other="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2CB43" w14:textId="77777777" w:rsidR="003643B2" w:rsidRDefault="003643B2">
      <w:pPr>
        <w:spacing w:after="0"/>
      </w:pPr>
      <w:r>
        <w:separator/>
      </w:r>
    </w:p>
  </w:endnote>
  <w:endnote w:type="continuationSeparator" w:id="0">
    <w:p w14:paraId="75E5000F" w14:textId="77777777" w:rsidR="003643B2" w:rsidRDefault="003643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yant Medium">
    <w:altName w:val="Arial"/>
    <w:panose1 w:val="02000603030000020004"/>
    <w:charset w:val="00"/>
    <w:family w:val="modern"/>
    <w:notTrueType/>
    <w:pitch w:val="variable"/>
    <w:sig w:usb0="A00000AF" w:usb1="5000204A" w:usb2="00000000" w:usb3="00000000" w:csb0="00000093" w:csb1="00000000"/>
  </w:font>
  <w:font w:name="Bryant Regular">
    <w:altName w:val="Arial"/>
    <w:panose1 w:val="02000603040000020004"/>
    <w:charset w:val="00"/>
    <w:family w:val="modern"/>
    <w:notTrueType/>
    <w:pitch w:val="variable"/>
    <w:sig w:usb0="A00000A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41DB8" w14:textId="77777777" w:rsidR="009F362A" w:rsidRPr="00EE41D7" w:rsidRDefault="00C4481C" w:rsidP="00E965FC">
    <w:pPr>
      <w:pStyle w:val="Fuzeile"/>
      <w:tabs>
        <w:tab w:val="right" w:pos="9918"/>
      </w:tabs>
      <w:jc w:val="center"/>
    </w:pPr>
    <w:bookmarkStart w:id="3" w:name="MetaTool_Script5"/>
    <w:r>
      <w:t>Giessenstrasse 3 | 9490 Vaduz | Fürstentum Liechtenstein | +423 236 60 58 | info.aaa@llv.li | www.llv.li/aaa</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1453B" w14:textId="77777777" w:rsidR="003643B2" w:rsidRDefault="003643B2">
      <w:pPr>
        <w:spacing w:after="0"/>
      </w:pPr>
      <w:r>
        <w:separator/>
      </w:r>
    </w:p>
  </w:footnote>
  <w:footnote w:type="continuationSeparator" w:id="0">
    <w:p w14:paraId="7B3151F3" w14:textId="77777777" w:rsidR="003643B2" w:rsidRDefault="003643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9CAF9" w14:textId="77777777" w:rsidR="009F362A" w:rsidRDefault="00C4481C" w:rsidP="008A28DF">
    <w:pPr>
      <w:pStyle w:val="Kopfzeile"/>
    </w:pPr>
    <w:r>
      <w:tab/>
    </w:r>
    <w:r>
      <w:fldChar w:fldCharType="begin"/>
    </w:r>
    <w:r>
      <w:instrText xml:space="preserve"> PAGE </w:instrText>
    </w:r>
    <w:r>
      <w:fldChar w:fldCharType="separate"/>
    </w:r>
    <w:r>
      <w:rPr>
        <w:noProof/>
      </w:rPr>
      <w:t>2</w:t>
    </w:r>
    <w:r>
      <w:fldChar w:fldCharType="end"/>
    </w:r>
    <w:r>
      <w:t>/</w:t>
    </w:r>
    <w:r w:rsidR="003643B2">
      <w:fldChar w:fldCharType="begin"/>
    </w:r>
    <w:r w:rsidR="003643B2">
      <w:instrText xml:space="preserve"> NUMPAGES </w:instrText>
    </w:r>
    <w:r w:rsidR="003643B2">
      <w:fldChar w:fldCharType="separate"/>
    </w:r>
    <w:r>
      <w:rPr>
        <w:noProof/>
      </w:rPr>
      <w:t>1</w:t>
    </w:r>
    <w:r w:rsidR="003643B2">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52" w:type="dxa"/>
      <w:tblBorders>
        <w:bottom w:val="single" w:sz="4" w:space="0" w:color="auto"/>
        <w:insideH w:val="single" w:sz="4" w:space="0" w:color="auto"/>
      </w:tblBorders>
      <w:tblCellMar>
        <w:left w:w="0" w:type="dxa"/>
        <w:right w:w="0" w:type="dxa"/>
      </w:tblCellMar>
      <w:tblLook w:val="01E0" w:firstRow="1" w:lastRow="1" w:firstColumn="1" w:lastColumn="1" w:noHBand="0" w:noVBand="0"/>
    </w:tblPr>
    <w:tblGrid>
      <w:gridCol w:w="9752"/>
    </w:tblGrid>
    <w:tr w:rsidR="002C5696" w:rsidRPr="00367461" w14:paraId="50DB44B7" w14:textId="77777777" w:rsidTr="008F1C38">
      <w:trPr>
        <w:trHeight w:hRule="exact" w:val="2098"/>
      </w:trPr>
      <w:tc>
        <w:tcPr>
          <w:tcW w:w="9060" w:type="dxa"/>
          <w:tcBorders>
            <w:top w:val="nil"/>
            <w:bottom w:val="nil"/>
          </w:tcBorders>
          <w:shd w:val="clear" w:color="auto" w:fill="auto"/>
        </w:tcPr>
        <w:p w14:paraId="5D31F095" w14:textId="77777777" w:rsidR="009F362A" w:rsidRPr="001D30B2" w:rsidRDefault="00C4481C" w:rsidP="008F1C38">
          <w:pPr>
            <w:pStyle w:val="Kopfzeile"/>
            <w:spacing w:after="760"/>
            <w:contextualSpacing/>
            <w:rPr>
              <w:lang w:val="en-US"/>
            </w:rPr>
          </w:pPr>
          <w:r>
            <w:rPr>
              <w:noProof/>
              <w:lang w:eastAsia="de-CH"/>
            </w:rPr>
            <w:drawing>
              <wp:anchor distT="0" distB="0" distL="114300" distR="114300" simplePos="0" relativeHeight="251658240" behindDoc="1" locked="0" layoutInCell="1" allowOverlap="1" wp14:anchorId="4A60677D" wp14:editId="6F6EF8AE">
                <wp:simplePos x="0" y="0"/>
                <wp:positionH relativeFrom="column">
                  <wp:posOffset>1905</wp:posOffset>
                </wp:positionH>
                <wp:positionV relativeFrom="page">
                  <wp:posOffset>-251864</wp:posOffset>
                </wp:positionV>
                <wp:extent cx="709200" cy="748800"/>
                <wp:effectExtent l="0" t="0" r="0" b="0"/>
                <wp:wrapNone/>
                <wp:docPr id="2" name="Grafik 2" descr="C:\Users\jamn\Desktop\LLV_Briefpapier_neutral_25x25mm_600_RGB.jpg"/>
                <wp:cNvGraphicFramePr/>
                <a:graphic xmlns:a="http://schemas.openxmlformats.org/drawingml/2006/main">
                  <a:graphicData uri="http://schemas.openxmlformats.org/drawingml/2006/picture">
                    <pic:pic xmlns:pic="http://schemas.openxmlformats.org/drawingml/2006/picture">
                      <pic:nvPicPr>
                        <pic:cNvPr id="2" name="Grafik 2" descr="C:\Users\jamn\Desktop\LLV_Briefpapier_neutral_25x25mm_600_RGB.jp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09200" cy="748800"/>
                        </a:xfrm>
                        <a:prstGeom prst="rect">
                          <a:avLst/>
                        </a:prstGeom>
                        <a:noFill/>
                        <a:ln>
                          <a:noFill/>
                        </a:ln>
                      </pic:spPr>
                    </pic:pic>
                  </a:graphicData>
                </a:graphic>
              </wp:anchor>
            </w:drawing>
          </w:r>
          <w:r w:rsidRPr="001D30B2">
            <w:rPr>
              <w:lang w:val="en-US"/>
            </w:rPr>
            <w:tab/>
          </w:r>
          <w:r>
            <w:fldChar w:fldCharType="begin"/>
          </w:r>
          <w:r w:rsidRPr="001D30B2">
            <w:rPr>
              <w:lang w:val="en-US"/>
            </w:rPr>
            <w:instrText xml:space="preserve"> PAGE </w:instrText>
          </w:r>
          <w:r>
            <w:fldChar w:fldCharType="separate"/>
          </w:r>
          <w:r w:rsidRPr="001D30B2">
            <w:rPr>
              <w:noProof/>
              <w:lang w:val="en-US"/>
            </w:rPr>
            <w:t>1</w:t>
          </w:r>
          <w:r>
            <w:fldChar w:fldCharType="end"/>
          </w:r>
          <w:r w:rsidRPr="001D30B2">
            <w:rPr>
              <w:lang w:val="en-US"/>
            </w:rPr>
            <w:t>/</w:t>
          </w:r>
          <w:r w:rsidR="00EB7373">
            <w:fldChar w:fldCharType="begin"/>
          </w:r>
          <w:r w:rsidR="00EB7373" w:rsidRPr="001D30B2">
            <w:rPr>
              <w:lang w:val="en-US"/>
            </w:rPr>
            <w:instrText xml:space="preserve"> NUMPAGES </w:instrText>
          </w:r>
          <w:r w:rsidR="00EB7373">
            <w:fldChar w:fldCharType="separate"/>
          </w:r>
          <w:r w:rsidRPr="001D30B2">
            <w:rPr>
              <w:noProof/>
              <w:lang w:val="en-US"/>
            </w:rPr>
            <w:t>1</w:t>
          </w:r>
          <w:r w:rsidR="00EB7373">
            <w:rPr>
              <w:noProof/>
            </w:rPr>
            <w:fldChar w:fldCharType="end"/>
          </w:r>
        </w:p>
        <w:p w14:paraId="5DFFCD71" w14:textId="77777777" w:rsidR="00CB5641" w:rsidRPr="008E55C3" w:rsidRDefault="00CB5641" w:rsidP="00CB5641">
          <w:pPr>
            <w:pStyle w:val="LLVAmt"/>
            <w:rPr>
              <w:lang w:val="en-GB"/>
            </w:rPr>
          </w:pPr>
          <w:r w:rsidRPr="008E55C3">
            <w:rPr>
              <w:lang w:val="en-GB"/>
            </w:rPr>
            <w:t>Office for Foreign Affairs</w:t>
          </w:r>
        </w:p>
        <w:p w14:paraId="1BD3F4B6" w14:textId="7D0C8C0C" w:rsidR="00B91F7C" w:rsidRPr="00CB5641" w:rsidRDefault="00CB5641" w:rsidP="00CB5641">
          <w:pPr>
            <w:pStyle w:val="LLVLand"/>
            <w:contextualSpacing/>
            <w:rPr>
              <w:lang w:val="en-US"/>
            </w:rPr>
          </w:pPr>
          <w:r w:rsidRPr="0045306E">
            <w:rPr>
              <w:lang w:val="en-US"/>
            </w:rPr>
            <w:t>PRINCIPALITY OF LIECHTENSTEIN</w:t>
          </w:r>
          <w:r w:rsidRPr="00CB5641">
            <w:rPr>
              <w:lang w:val="en-US"/>
            </w:rPr>
            <w:t xml:space="preserve"> </w:t>
          </w:r>
        </w:p>
        <w:p w14:paraId="2D5F9B32" w14:textId="77777777" w:rsidR="00D1640F" w:rsidRPr="00CB5641" w:rsidRDefault="003643B2" w:rsidP="00D1640F">
          <w:pPr>
            <w:pStyle w:val="LLVAmt"/>
            <w:contextualSpacing/>
            <w:rPr>
              <w:rFonts w:ascii="Bryant Regular" w:hAnsi="Bryant Regular"/>
              <w:szCs w:val="22"/>
              <w:lang w:val="en-US"/>
            </w:rPr>
          </w:pPr>
          <w:bookmarkStart w:id="2" w:name="MetaTool_Script4"/>
          <w:bookmarkEnd w:id="2"/>
        </w:p>
        <w:p w14:paraId="47D1A607" w14:textId="77777777" w:rsidR="00D1640F" w:rsidRPr="00CB5641" w:rsidRDefault="003643B2" w:rsidP="00B943E8">
          <w:pPr>
            <w:pStyle w:val="LLVLand"/>
            <w:contextualSpacing/>
            <w:rPr>
              <w:lang w:val="en-US"/>
            </w:rPr>
          </w:pPr>
        </w:p>
      </w:tc>
    </w:tr>
  </w:tbl>
  <w:p w14:paraId="06E80916" w14:textId="77777777" w:rsidR="009F362A" w:rsidRPr="00CB5641" w:rsidRDefault="003643B2" w:rsidP="00CD0CC3">
    <w:pPr>
      <w:spacing w:after="0"/>
      <w:rPr>
        <w:sz w:val="2"/>
        <w:szCs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D36FF"/>
    <w:multiLevelType w:val="multilevel"/>
    <w:tmpl w:val="9A903646"/>
    <w:lvl w:ilvl="0">
      <w:start w:val="1"/>
      <w:numFmt w:val="bullet"/>
      <w:pStyle w:val="Aufzhlungszeichen"/>
      <w:lvlText w:val="-"/>
      <w:lvlJc w:val="left"/>
      <w:pPr>
        <w:tabs>
          <w:tab w:val="num" w:pos="170"/>
        </w:tabs>
        <w:ind w:left="170" w:hanging="170"/>
      </w:pPr>
      <w:rPr>
        <w:rFonts w:ascii="Calibri" w:hAnsi="Calibri" w:hint="default"/>
      </w:rPr>
    </w:lvl>
    <w:lvl w:ilvl="1">
      <w:start w:val="1"/>
      <w:numFmt w:val="bullet"/>
      <w:lvlRestart w:val="0"/>
      <w:pStyle w:val="Aufzhlungszeichen2"/>
      <w:lvlText w:val="-"/>
      <w:lvlJc w:val="left"/>
      <w:pPr>
        <w:tabs>
          <w:tab w:val="num" w:pos="454"/>
        </w:tabs>
        <w:ind w:left="454" w:hanging="170"/>
      </w:pPr>
      <w:rPr>
        <w:rFonts w:ascii="Calibri" w:hAnsi="Calibri" w:hint="default"/>
      </w:rPr>
    </w:lvl>
    <w:lvl w:ilvl="2">
      <w:start w:val="1"/>
      <w:numFmt w:val="bullet"/>
      <w:lvlRestart w:val="0"/>
      <w:pStyle w:val="Aufzhlungszeichen3"/>
      <w:lvlText w:val="-"/>
      <w:lvlJc w:val="left"/>
      <w:pPr>
        <w:tabs>
          <w:tab w:val="num" w:pos="624"/>
        </w:tabs>
        <w:ind w:left="624" w:hanging="170"/>
      </w:pPr>
      <w:rPr>
        <w:rFonts w:ascii="Calibri" w:hAnsi="Calibri" w:hint="default"/>
      </w:rPr>
    </w:lvl>
    <w:lvl w:ilvl="3">
      <w:start w:val="1"/>
      <w:numFmt w:val="bullet"/>
      <w:lvlRestart w:val="0"/>
      <w:pStyle w:val="Aufzhlungszeichen4"/>
      <w:lvlText w:val="-"/>
      <w:lvlJc w:val="left"/>
      <w:pPr>
        <w:tabs>
          <w:tab w:val="num" w:pos="794"/>
        </w:tabs>
        <w:ind w:left="794" w:hanging="170"/>
      </w:pPr>
      <w:rPr>
        <w:rFonts w:ascii="Calibri" w:hAnsi="Calibri" w:hint="default"/>
      </w:rPr>
    </w:lvl>
    <w:lvl w:ilvl="4">
      <w:start w:val="1"/>
      <w:numFmt w:val="bullet"/>
      <w:lvlRestart w:val="0"/>
      <w:lvlText w:val="-"/>
      <w:lvlJc w:val="left"/>
      <w:pPr>
        <w:tabs>
          <w:tab w:val="num" w:pos="964"/>
        </w:tabs>
        <w:ind w:left="964" w:hanging="170"/>
      </w:pPr>
      <w:rPr>
        <w:rFonts w:ascii="Calibri" w:hAnsi="Calibri"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 w15:restartNumberingAfterBreak="0">
    <w:nsid w:val="3C6D5805"/>
    <w:multiLevelType w:val="multilevel"/>
    <w:tmpl w:val="BC76898A"/>
    <w:name w:val="Nummerierung"/>
    <w:lvl w:ilvl="0">
      <w:start w:val="1"/>
      <w:numFmt w:val="decimal"/>
      <w:lvlText w:val="%1."/>
      <w:lvlJc w:val="left"/>
      <w:pPr>
        <w:tabs>
          <w:tab w:val="num" w:pos="170"/>
        </w:tabs>
        <w:ind w:left="170" w:hanging="170"/>
      </w:pPr>
      <w:rPr>
        <w:rFonts w:ascii="Calibri" w:hAnsi="Calibri" w:hint="default"/>
      </w:rPr>
    </w:lvl>
    <w:lvl w:ilvl="1">
      <w:start w:val="1"/>
      <w:numFmt w:val="lowerLetter"/>
      <w:lvlText w:val="%2."/>
      <w:lvlJc w:val="left"/>
      <w:pPr>
        <w:tabs>
          <w:tab w:val="num" w:pos="454"/>
        </w:tabs>
        <w:ind w:left="397" w:hanging="113"/>
      </w:pPr>
      <w:rPr>
        <w:rFonts w:ascii="Calibri" w:hAnsi="Calibri" w:hint="default"/>
      </w:rPr>
    </w:lvl>
    <w:lvl w:ilvl="2">
      <w:start w:val="1"/>
      <w:numFmt w:val="lowerRoman"/>
      <w:lvlText w:val="%3"/>
      <w:lvlJc w:val="left"/>
      <w:pPr>
        <w:tabs>
          <w:tab w:val="num" w:pos="624"/>
        </w:tabs>
        <w:ind w:left="624" w:hanging="170"/>
      </w:pPr>
      <w:rPr>
        <w:rFonts w:ascii="Calibri" w:hAnsi="Calibri" w:hint="default"/>
      </w:rPr>
    </w:lvl>
    <w:lvl w:ilvl="3">
      <w:start w:val="1"/>
      <w:numFmt w:val="decimal"/>
      <w:lvlText w:val="%4"/>
      <w:lvlJc w:val="right"/>
      <w:pPr>
        <w:tabs>
          <w:tab w:val="num" w:pos="794"/>
        </w:tabs>
        <w:ind w:left="794" w:hanging="170"/>
      </w:pPr>
      <w:rPr>
        <w:rFonts w:ascii="Calibri" w:hAnsi="Calibri" w:hint="default"/>
      </w:rPr>
    </w:lvl>
    <w:lvl w:ilvl="4">
      <w:start w:val="1"/>
      <w:numFmt w:val="lowerLetter"/>
      <w:pStyle w:val="Aufzhlungszeichen5"/>
      <w:lvlText w:val="%5"/>
      <w:lvlJc w:val="left"/>
      <w:pPr>
        <w:tabs>
          <w:tab w:val="num" w:pos="964"/>
        </w:tabs>
        <w:ind w:left="964" w:hanging="170"/>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2" w15:restartNumberingAfterBreak="0">
    <w:nsid w:val="5DEF5C69"/>
    <w:multiLevelType w:val="multilevel"/>
    <w:tmpl w:val="3AD8F090"/>
    <w:lvl w:ilvl="0">
      <w:start w:val="1"/>
      <w:numFmt w:val="decimal"/>
      <w:pStyle w:val="Listennummer"/>
      <w:lvlText w:val="%1."/>
      <w:lvlJc w:val="left"/>
      <w:pPr>
        <w:tabs>
          <w:tab w:val="num" w:pos="340"/>
        </w:tabs>
        <w:ind w:left="340" w:hanging="340"/>
      </w:pPr>
      <w:rPr>
        <w:rFonts w:ascii="Calibri" w:hAnsi="Calibri" w:hint="default"/>
      </w:rPr>
    </w:lvl>
    <w:lvl w:ilvl="1">
      <w:start w:val="1"/>
      <w:numFmt w:val="lowerLetter"/>
      <w:pStyle w:val="Listennummer2"/>
      <w:lvlText w:val="%2."/>
      <w:lvlJc w:val="left"/>
      <w:pPr>
        <w:tabs>
          <w:tab w:val="num" w:pos="567"/>
        </w:tabs>
        <w:ind w:left="567" w:hanging="227"/>
      </w:pPr>
      <w:rPr>
        <w:rFonts w:ascii="Calibri" w:hAnsi="Calibri" w:hint="default"/>
      </w:rPr>
    </w:lvl>
    <w:lvl w:ilvl="2">
      <w:start w:val="1"/>
      <w:numFmt w:val="lowerRoman"/>
      <w:pStyle w:val="Listennummer3"/>
      <w:lvlText w:val="%3"/>
      <w:lvlJc w:val="left"/>
      <w:pPr>
        <w:tabs>
          <w:tab w:val="num" w:pos="907"/>
        </w:tabs>
        <w:ind w:left="907" w:hanging="340"/>
      </w:pPr>
      <w:rPr>
        <w:rFonts w:ascii="Calibri" w:hAnsi="Calibri" w:hint="default"/>
      </w:rPr>
    </w:lvl>
    <w:lvl w:ilvl="3">
      <w:start w:val="1"/>
      <w:numFmt w:val="decimal"/>
      <w:pStyle w:val="Listennummer4"/>
      <w:lvlText w:val="%4"/>
      <w:lvlJc w:val="right"/>
      <w:pPr>
        <w:tabs>
          <w:tab w:val="num" w:pos="1247"/>
        </w:tabs>
        <w:ind w:left="1247" w:hanging="340"/>
      </w:pPr>
      <w:rPr>
        <w:rFonts w:ascii="Calibri" w:hAnsi="Calibri" w:hint="default"/>
      </w:rPr>
    </w:lvl>
    <w:lvl w:ilvl="4">
      <w:start w:val="1"/>
      <w:numFmt w:val="lowerLetter"/>
      <w:pStyle w:val="Listennummer5"/>
      <w:lvlText w:val="%5"/>
      <w:lvlJc w:val="left"/>
      <w:pPr>
        <w:tabs>
          <w:tab w:val="num" w:pos="1361"/>
        </w:tabs>
        <w:ind w:left="1361" w:hanging="227"/>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3" w15:restartNumberingAfterBreak="0">
    <w:nsid w:val="5E1D4403"/>
    <w:multiLevelType w:val="multilevel"/>
    <w:tmpl w:val="D5E8C098"/>
    <w:styleLink w:val="Liste-Strich"/>
    <w:lvl w:ilvl="0">
      <w:start w:val="1"/>
      <w:numFmt w:val="bullet"/>
      <w:lvlText w:val="-"/>
      <w:lvlJc w:val="left"/>
      <w:pPr>
        <w:tabs>
          <w:tab w:val="num" w:pos="360"/>
        </w:tabs>
        <w:ind w:left="360" w:hanging="360"/>
      </w:pPr>
      <w:rPr>
        <w:rFonts w:hint="default"/>
      </w:rPr>
    </w:lvl>
    <w:lvl w:ilvl="1">
      <w:start w:val="1"/>
      <w:numFmt w:val="bullet"/>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hint="default"/>
      </w:rPr>
    </w:lvl>
    <w:lvl w:ilvl="4">
      <w:start w:val="1"/>
      <w:numFmt w:val="bullet"/>
      <w:lvlText w:val="-"/>
      <w:lvlJc w:val="left"/>
      <w:pPr>
        <w:tabs>
          <w:tab w:val="num" w:pos="1800"/>
        </w:tabs>
        <w:ind w:left="1800" w:hanging="360"/>
      </w:pPr>
      <w:rPr>
        <w:rFonts w:hint="default"/>
      </w:rPr>
    </w:lvl>
    <w:lvl w:ilvl="5">
      <w:start w:val="1"/>
      <w:numFmt w:val="bullet"/>
      <w:lvlText w:val="-"/>
      <w:lvlJc w:val="left"/>
      <w:pPr>
        <w:tabs>
          <w:tab w:val="num" w:pos="2160"/>
        </w:tabs>
        <w:ind w:left="2160" w:hanging="360"/>
      </w:pPr>
      <w:rPr>
        <w:rFonts w:hint="default"/>
      </w:rPr>
    </w:lvl>
    <w:lvl w:ilvl="6">
      <w:start w:val="1"/>
      <w:numFmt w:val="bullet"/>
      <w:lvlText w:val="-"/>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hint="default"/>
      </w:rPr>
    </w:lvl>
    <w:lvl w:ilvl="8">
      <w:start w:val="1"/>
      <w:numFmt w:val="bullet"/>
      <w:lvlText w:val="-"/>
      <w:lvlJc w:val="left"/>
      <w:pPr>
        <w:tabs>
          <w:tab w:val="num" w:pos="3240"/>
        </w:tabs>
        <w:ind w:left="3240" w:hanging="360"/>
      </w:pPr>
      <w:rPr>
        <w:rFonts w:hint="default"/>
      </w:rPr>
    </w:lvl>
  </w:abstractNum>
  <w:abstractNum w:abstractNumId="4" w15:restartNumberingAfterBreak="0">
    <w:nsid w:val="75756222"/>
    <w:multiLevelType w:val="multilevel"/>
    <w:tmpl w:val="20304A44"/>
    <w:styleLink w:val="111111"/>
    <w:lvl w:ilvl="0">
      <w:start w:val="1"/>
      <w:numFmt w:val="decimal"/>
      <w:pStyle w:val="berschrift1"/>
      <w:suff w:val="space"/>
      <w:lvlText w:val="%1."/>
      <w:lvlJc w:val="left"/>
      <w:pPr>
        <w:ind w:left="284" w:hanging="284"/>
      </w:pPr>
      <w:rPr>
        <w:rFonts w:hint="default"/>
      </w:rPr>
    </w:lvl>
    <w:lvl w:ilvl="1">
      <w:start w:val="1"/>
      <w:numFmt w:val="decimal"/>
      <w:pStyle w:val="berschrift2"/>
      <w:suff w:val="space"/>
      <w:lvlText w:val="%1.%2"/>
      <w:lvlJc w:val="left"/>
      <w:pPr>
        <w:ind w:left="454" w:hanging="454"/>
      </w:pPr>
      <w:rPr>
        <w:rFonts w:hint="default"/>
      </w:rPr>
    </w:lvl>
    <w:lvl w:ilvl="2">
      <w:start w:val="1"/>
      <w:numFmt w:val="decimal"/>
      <w:pStyle w:val="berschrift3"/>
      <w:suff w:val="space"/>
      <w:lvlText w:val="%2.%1.%3"/>
      <w:lvlJc w:val="left"/>
      <w:pPr>
        <w:ind w:left="624" w:hanging="624"/>
      </w:pPr>
      <w:rPr>
        <w:rFonts w:hint="default"/>
      </w:rPr>
    </w:lvl>
    <w:lvl w:ilvl="3">
      <w:start w:val="1"/>
      <w:numFmt w:val="decimal"/>
      <w:suff w:val="space"/>
      <w:lvlText w:val="%1.%2.%3.%4"/>
      <w:lvlJc w:val="left"/>
      <w:pPr>
        <w:ind w:left="864" w:hanging="864"/>
      </w:pPr>
      <w:rPr>
        <w:rFonts w:hint="default"/>
      </w:rPr>
    </w:lvl>
    <w:lvl w:ilvl="4">
      <w:start w:val="1"/>
      <w:numFmt w:val="decimal"/>
      <w:suff w:val="space"/>
      <w:lvlText w:val="%1.%2.%3.%4.%5"/>
      <w:lvlJc w:val="left"/>
      <w:pPr>
        <w:ind w:left="1008" w:hanging="1008"/>
      </w:pPr>
      <w:rPr>
        <w:rFonts w:hint="default"/>
      </w:rPr>
    </w:lvl>
    <w:lvl w:ilvl="5">
      <w:start w:val="1"/>
      <w:numFmt w:val="decimal"/>
      <w:suff w:val="space"/>
      <w:lvlText w:val="%1.%2.%3.%4.%5.%6"/>
      <w:lvlJc w:val="left"/>
      <w:pPr>
        <w:ind w:left="1152" w:hanging="1152"/>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1440" w:hanging="1440"/>
      </w:pPr>
      <w:rPr>
        <w:rFonts w:hint="default"/>
      </w:rPr>
    </w:lvl>
    <w:lvl w:ilvl="8">
      <w:start w:val="1"/>
      <w:numFmt w:val="decimal"/>
      <w:suff w:val="space"/>
      <w:lvlText w:val="%1.%2.%3.%4.%5.%6.%7.%8.%9"/>
      <w:lvlJc w:val="left"/>
      <w:pPr>
        <w:ind w:left="1584" w:hanging="1584"/>
      </w:pPr>
      <w:rPr>
        <w:rFonts w:hint="default"/>
      </w:rPr>
    </w:lvl>
  </w:abstractNum>
  <w:num w:numId="1">
    <w:abstractNumId w:val="3"/>
  </w:num>
  <w:num w:numId="2">
    <w:abstractNumId w:val="1"/>
  </w:num>
  <w:num w:numId="3">
    <w:abstractNumId w:val="4"/>
  </w:num>
  <w:num w:numId="4">
    <w:abstractNumId w:val="0"/>
  </w:num>
  <w:num w:numId="5">
    <w:abstractNumId w:val="2"/>
  </w:num>
  <w:num w:numId="6">
    <w:abstractNumId w:val="4"/>
  </w:num>
  <w:num w:numId="7">
    <w:abstractNumId w:val="4"/>
  </w:num>
  <w:num w:numId="8">
    <w:abstractNumId w:val="0"/>
  </w:num>
  <w:num w:numId="9">
    <w:abstractNumId w:val="0"/>
  </w:num>
  <w:num w:numId="10">
    <w:abstractNumId w:val="0"/>
  </w:num>
  <w:num w:numId="11">
    <w:abstractNumId w:val="0"/>
  </w:num>
  <w:num w:numId="12">
    <w:abstractNumId w:val="2"/>
  </w:num>
  <w:num w:numId="13">
    <w:abstractNumId w:val="2"/>
  </w:num>
  <w:num w:numId="14">
    <w:abstractNumId w:val="2"/>
  </w:num>
  <w:num w:numId="15">
    <w:abstractNumId w:val="2"/>
  </w:num>
  <w:num w:numId="16">
    <w:abstractNumId w:val="2"/>
  </w:num>
  <w:num w:numId="17">
    <w:abstractNumId w:val="4"/>
  </w:num>
  <w:num w:numId="18">
    <w:abstractNumId w:val="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etaTool_CreatorGeko" w:val="LLV"/>
    <w:docVar w:name="MetaTool_Script1_Report" w:val="using System;_x000d__x000a_using CMI.MetaTool.Generated;_x000d__x000a_using CMI.DomainModel;_x000d__x000a__x000d__x000a_namespace CMI.MetaTool.Generated.TemplateScript_x000d__x000a_{_x000d__x000a_   public class TemplateScript_x000d__x000a_   {_x000d__x000a__x0009__x0009_public string Eval(Dokument obj)_x000d__x000a__x0009__x0009_{         _x000d__x000a__x0009__x0009__x0009_if (obj.Geschaeft == null)_x000d__x000a__x0009__x0009__x0009_{_x000d__x000a__x0009__x0009__x0009__x0009_return String.Empty;_x000d__x000a__x0009__x0009__x0009_}_x000d__x000a__x0009__x0009__x0009__x0009__x0009__x0009__x0009__x0009__x0009__x000d__x000a__x0009__x0009__x0009_if (obj.Geschaeft is Geschaeft)_x000d__x000a__x0009__x0009__x0009_{_x000d__x000a__x0009__x0009__x0009__x0009_Geschaeft ges = (Geschaeft) obj.Geschaeft;_x000d__x000a__x0009__x0009__x0009__x0009__x0009__x0009__x0009__x0009__x000d__x000a__x0009__x0009__x0009__x0009_if (ges.CustomAktenzeichenLLV == null)_x000d__x000a__x0009__x0009__x0009__x0009_{_x000d__x000a__x0009__x0009__x0009__x0009__x0009_return string.Empty;_x000d__x000a__x0009__x0009__x0009__x0009_}_x000d__x000a__x0009__x0009__x0009__x0009__x000d__x000a__x0009__x0009__x0009__x0009_return ges.CustomAktenzeichenLLV.ToString() + &quot;/&quot; + ges.Laufnummer.ToString();_x000d__x000a__x0009__x0009__x0009_}_x000d__x000a__x0009__x0009__x0009_else_x000d__x000a__x0009__x0009__x0009_{_x000d__x000a__x0009__x0009__x0009__x0009_return String.Empty;_x000d__x000a__x0009__x0009__x0009_}_x000d__x000a__x0009__x0009_}_x000d__x000a__x0009_}_x000d__x000a_}"/>
    <w:docVar w:name="MetaTool_Script2_Report" w:val="using System;_x000d__x000a_using CMI.MetaTool.Generated;_x000d__x000a_using CMI.DomainModel;_x000d__x000a_using CMI.DomainModel.MappingInterfaces;_x000d__x000a_using System.Collections;_x000d__x000a_using System.Text;_x000d__x000a__x000d__x000a__x000d__x000a_namespace CMI.MetaTool.Generated.TemplateScript_x000d__x000a_{_x000d__x000a_   public class TemplateScript_x000d__x000a_   {_x000d__x000a_       public string Eval(Dokument obj)_x000d__x000a_       {_x000d__x000a__x0009__x0009_return CMI.DomainModel.MappingInterfaces.MapperSingleton.Instance.UserId;_x0009__x000d__x000a_       }_x000d__x000a_   }_x000d__x000a_}_x000d__x000a_"/>
    <w:docVar w:name="MetaTool_Script3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string datum = String.Empty;_x000d__x000a__x0009__x0009__x0009__x0009__x0009__x000d__x000a__x0009__x0009_datum = System.DateTime.Today.ToString(&quot;d. MMMM yyyy&quot;);_x000d__x000a__x0009__x0009__x0009__x0009__x0009__x0009__x0009__x000d__x000a_        return datum;_x000d__x000a_       }_x000d__x000a_   }_x000d__x000a_}"/>
    <w:docVar w:name="MetaTool_Script4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Kopfzeile initialisieren _x000d__x000a__x0009__x0009__x0009_string kopfzeile = string.Empty;_x000d__x000a__x0009__x0009__x000d__x000a__x0009__x0009__x0009_//Aktueller Benutzer lesen_x000d__x000a__x0009__x0009_    System.Guid userGuid = CMI.DomainModel.MappingInterfaces.MapperSingleton.Instance.UserGuid;_x000d__x000a_                  _x000d__x000a_            TypeDefinition benutzerTd = DefinitionsManager.Definitionen.TypeDefinitions.FindBySchluessel(&quot;Benutzer&quot;);_x000d__x000a_            if(benutzerTd == null)_x000d__x000a_                return string.Empty;_x000d__x000a_                                        _x000d__x000a_            Query q = new Query(benutzerTd);_x000d__x000a_            GUIDCriterion crit = new GUIDCriterion(userGuid);_x000d__x000a_            q.Criterions.Add(crit);_x000d__x000a_           _x000d__x000a__x0009__x0009__x0009_TypedIObjektList allBenutzers = CMI.DomainModel.MappingInterfaces.MapperSingleton.Instance.ExecuteObjektQuery(q, benutzerTd.AllFieldAndAssocFieldIds);_x000d__x000a_            if(allBenutzers.Count != 1)_x000d__x000a_                return string.Empty;_x000d__x000a_                  _x000d__x000a_            Benutzer benutzer = allBenutzers[0] as Benutzer;_x000d__x000a_            if (benutzer == null)_x000d__x000a_                return string.Empty;_x000d__x000a__x0009__x0009__x0009__x000d__x000a__x0009__x0009__x0009_//Kopfzeile Brief zu aktuellem Benutzer auslesen_x000d__x000a__x0009__x0009__x0009_if (benutzer.CustomBriefKopfzeile != null)_x000d__x000a__x0009__x0009__x0009_{_x000d__x000a__x0009__x0009__x0009__x0009_kopfzeile = benutzer.CustomBriefKopfzeile.ToString();_x0009__x0009__x0009__x0009__x0009__x0009__x0009__x0009__x0009__x0009__x0009__x0009__x0009__x0009__x0009__x0009__x000d__x000a__x0009__x0009__x0009_}_x000d__x000a__x0009__x0009__x0009_return kopfzeile;_x000d__x000a_       }_x000d__x000a_   }_x000d__x000a_}_x000d__x000a_"/>
    <w:docVar w:name="MetaTool_Script5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_x0009__x0009__x0009_//Fusszeile initialisieren _x000d__x000a__x0009__x0009__x0009_string fusszeile = string.Empty;_x000d__x000a__x0009__x0009__x000d__x000a__x0009__x0009__x0009_//Aktueller Benutzer lesen_x000d__x000a__x0009__x0009_    System.Guid userGuid = CMI.DomainModel.MappingInterfaces.MapperSingleton.Instance.UserGuid;_x000d__x000a_                  _x000d__x000a_            TypeDefinition benutzerTd = DefinitionsManager.Definitionen.TypeDefinitions.FindBySchluessel(&quot;Benutzer&quot;);_x000d__x000a_            if(benutzerTd == null)_x000d__x000a_                return string.Empty;_x000d__x000a_                                        _x000d__x000a_            Query q = new Query(benutzerTd);_x000d__x000a_            GUIDCriterion crit = new GUIDCriterion(userGuid);_x000d__x000a_            q.Criterions.Add(crit);_x000d__x000a_           _x000d__x000a__x0009__x0009__x0009_TypedIObjektList allBenutzers = CMI.DomainModel.MappingInterfaces.MapperSingleton.Instance.ExecuteObjektQuery(q, benutzerTd.AllFieldAndAssocFieldIds);_x000d__x000a_            if(allBenutzers.Count != 1)_x000d__x000a_                return string.Empty;_x000d__x000a_                  _x000d__x000a_            Benutzer benutzer = allBenutzers[0] as Benutzer;_x000d__x000a_            if (benutzer == null)_x000d__x000a_                return string.Empty;_x000d__x000a__x0009__x0009__x0009__x000d__x000a__x0009__x0009__x0009_//Fusszeile Brief zu aktuellem Benutzer auslesen_x000d__x000a__x0009__x0009__x0009_if (benutzer.CustomBriefFusszeile != null)_x000d__x000a__x0009__x0009__x0009_{_x000d__x000a__x0009__x0009__x0009__x0009_fusszeile = benutzer.CustomBriefFusszeile.ToString();_x0009__x0009__x0009__x0009__x0009__x0009__x0009__x0009__x0009__x0009__x0009__x0009__x0009__x0009__x0009__x0009__x000d__x000a__x0009__x0009__x0009_}_x000d__x000a__x0009__x0009__x0009_return fusszeile;_x000d__x000a_       }_x000d__x000a_   }_x000d__x000a_}_x000d__x000a_"/>
    <w:docVar w:name="MetaTool_Script6_Report" w:val="using System;_x000d__x000a_using CMI.MetaTool.Generated;_x000d__x000a_using CMI.DomainModel;_x000d__x000a__x000d__x000a_namespace CMI.MetaTool.Generated.TemplateScript_x000d__x000a_{_x000d__x000a_   public class TemplateScript_x000d__x000a_   {_x000d__x000a_       public string Eval(Dokument obj)_x000d__x000a_       {_x000d__x000a_                  System.Guid userGuid = CMI.DomainModel.MappingInterfaces.MapperSingleton.Instance.UserGuid;_x000d__x000a_                  _x000d__x000a_                  TypeDefinition benutzerTd = DefinitionsManager.Definitionen.TypeDefinitions.FindBySchluessel(&quot;Benutzer&quot;);_x000d__x000a_                  if(benutzerTd == null)_x000d__x000a_                        return string.Empty;_x000d__x000a_                                         _x000d__x000a_                  Query q = new Query(benutzerTd);_x000d__x000a_                  GUIDCriterion crit = new GUIDCriterion(userGuid);_x000d__x000a_            _x000d__x000a_                  q.Criterions.Add(crit);_x000d__x000a_            _x000d__x000a_                  TypedObjektList allBenutzers = CMI.DomainModel.MappingInterfaces.MapperSingleton.Instance.ExecuteObjektQuery(q, benutzerTd.AllFieldAndAssocFieldIds);_x000d__x000a_                  if(allBenutzers.Count != 1)_x000d__x000a_                        return string.Empty;_x000d__x000a_                  _x000d__x000a_                  Benutzer benutzer = allBenutzers[0] as Benutzer;_x000d__x000a_                  if (benutzer == null)_x000d__x000a_                        return string.Empty;_x000d__x000a_                  _x000d__x000a_                  if (benutzer.Organisation == null)_x000d__x000a_                        return string.Empty;_x000d__x000a_                  _x000d__x000a_                return benutzer.Organisation.CurrentValue;  _x0009__x0009__x0009__x0009__x000d__x000a_       }_x000d__x000a_   }_x000d__x000a_}_x000d__x000a_"/>
    <w:docVar w:name="MetaTool_TypeDefinition" w:val="Dokument"/>
  </w:docVars>
  <w:rsids>
    <w:rsidRoot w:val="002C5696"/>
    <w:rsid w:val="00003A01"/>
    <w:rsid w:val="00091423"/>
    <w:rsid w:val="001D30B2"/>
    <w:rsid w:val="001F5346"/>
    <w:rsid w:val="00213668"/>
    <w:rsid w:val="00280BED"/>
    <w:rsid w:val="0029183C"/>
    <w:rsid w:val="002C5696"/>
    <w:rsid w:val="0031288D"/>
    <w:rsid w:val="003643B2"/>
    <w:rsid w:val="00367461"/>
    <w:rsid w:val="00401BC2"/>
    <w:rsid w:val="00421975"/>
    <w:rsid w:val="004A0B6C"/>
    <w:rsid w:val="004E5A53"/>
    <w:rsid w:val="00555FBD"/>
    <w:rsid w:val="0058565B"/>
    <w:rsid w:val="0063488F"/>
    <w:rsid w:val="006B04C9"/>
    <w:rsid w:val="008911C6"/>
    <w:rsid w:val="008C070E"/>
    <w:rsid w:val="00A071F2"/>
    <w:rsid w:val="00AB23E3"/>
    <w:rsid w:val="00B61D27"/>
    <w:rsid w:val="00B6449C"/>
    <w:rsid w:val="00C4481C"/>
    <w:rsid w:val="00C84B2D"/>
    <w:rsid w:val="00CA0390"/>
    <w:rsid w:val="00CB5641"/>
    <w:rsid w:val="00DF7C20"/>
    <w:rsid w:val="00E03A62"/>
    <w:rsid w:val="00E4397A"/>
    <w:rsid w:val="00EB7373"/>
    <w:rsid w:val="00F27BC3"/>
    <w:rsid w:val="00F3008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23383E"/>
  <w15:docId w15:val="{693C8EED-7730-46AC-8D50-6F882D96B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233A28"/>
    <w:pPr>
      <w:spacing w:after="240"/>
      <w:jc w:val="both"/>
    </w:pPr>
    <w:rPr>
      <w:rFonts w:ascii="Calibri" w:hAnsi="Calibri" w:cs="Arial"/>
      <w:sz w:val="24"/>
      <w:szCs w:val="22"/>
      <w:lang w:eastAsia="de-DE"/>
    </w:rPr>
  </w:style>
  <w:style w:type="paragraph" w:styleId="berschrift1">
    <w:name w:val="heading 1"/>
    <w:basedOn w:val="Standard"/>
    <w:next w:val="Standard"/>
    <w:autoRedefine/>
    <w:qFormat/>
    <w:rsid w:val="00233A28"/>
    <w:pPr>
      <w:keepNext/>
      <w:numPr>
        <w:numId w:val="19"/>
      </w:numPr>
      <w:outlineLvl w:val="0"/>
    </w:pPr>
    <w:rPr>
      <w:bCs/>
      <w:sz w:val="32"/>
      <w:szCs w:val="32"/>
    </w:rPr>
  </w:style>
  <w:style w:type="paragraph" w:styleId="berschrift2">
    <w:name w:val="heading 2"/>
    <w:basedOn w:val="Standard"/>
    <w:next w:val="Standard"/>
    <w:autoRedefine/>
    <w:qFormat/>
    <w:rsid w:val="00233A28"/>
    <w:pPr>
      <w:keepNext/>
      <w:numPr>
        <w:ilvl w:val="1"/>
        <w:numId w:val="19"/>
      </w:numPr>
      <w:outlineLvl w:val="1"/>
    </w:pPr>
    <w:rPr>
      <w:bCs/>
      <w:iCs/>
      <w:sz w:val="28"/>
      <w:szCs w:val="28"/>
    </w:rPr>
  </w:style>
  <w:style w:type="paragraph" w:styleId="berschrift3">
    <w:name w:val="heading 3"/>
    <w:basedOn w:val="Standard"/>
    <w:next w:val="Standard"/>
    <w:autoRedefine/>
    <w:qFormat/>
    <w:rsid w:val="00233A28"/>
    <w:pPr>
      <w:keepNext/>
      <w:numPr>
        <w:ilvl w:val="2"/>
        <w:numId w:val="19"/>
      </w:numPr>
      <w:outlineLvl w:val="2"/>
    </w:pPr>
    <w:rPr>
      <w:bCs/>
      <w:szCs w:val="26"/>
    </w:rPr>
  </w:style>
  <w:style w:type="paragraph" w:styleId="berschrift4">
    <w:name w:val="heading 4"/>
    <w:basedOn w:val="Standard"/>
    <w:next w:val="Standard"/>
    <w:qFormat/>
    <w:rsid w:val="00233A28"/>
    <w:pPr>
      <w:keepNext/>
      <w:spacing w:before="240" w:after="60"/>
      <w:outlineLvl w:val="3"/>
    </w:pPr>
    <w:rPr>
      <w:rFonts w:cs="Times New Roman"/>
      <w:b/>
      <w:bCs/>
      <w:szCs w:val="28"/>
    </w:rPr>
  </w:style>
  <w:style w:type="paragraph" w:styleId="berschrift5">
    <w:name w:val="heading 5"/>
    <w:basedOn w:val="Standard"/>
    <w:next w:val="Standard"/>
    <w:qFormat/>
    <w:rsid w:val="00233A28"/>
    <w:pPr>
      <w:spacing w:before="240" w:after="60"/>
      <w:outlineLvl w:val="4"/>
    </w:pPr>
    <w:rPr>
      <w:bCs/>
      <w:iCs/>
      <w:szCs w:val="26"/>
    </w:rPr>
  </w:style>
  <w:style w:type="paragraph" w:styleId="berschrift6">
    <w:name w:val="heading 6"/>
    <w:basedOn w:val="Standard"/>
    <w:next w:val="Standard"/>
    <w:qFormat/>
    <w:rsid w:val="00233A28"/>
    <w:pPr>
      <w:spacing w:before="240" w:after="60"/>
      <w:outlineLvl w:val="5"/>
    </w:pPr>
    <w:rPr>
      <w:rFonts w:cs="Times New Roman"/>
      <w:bCs/>
    </w:rPr>
  </w:style>
  <w:style w:type="paragraph" w:styleId="berschrift7">
    <w:name w:val="heading 7"/>
    <w:basedOn w:val="Standard"/>
    <w:next w:val="Standard"/>
    <w:qFormat/>
    <w:rsid w:val="00233A28"/>
    <w:pPr>
      <w:spacing w:before="240" w:after="60"/>
      <w:outlineLvl w:val="6"/>
    </w:pPr>
    <w:rPr>
      <w:rFonts w:cs="Times New Roman"/>
      <w:szCs w:val="24"/>
    </w:rPr>
  </w:style>
  <w:style w:type="paragraph" w:styleId="berschrift8">
    <w:name w:val="heading 8"/>
    <w:basedOn w:val="Standard"/>
    <w:next w:val="Standard"/>
    <w:qFormat/>
    <w:rsid w:val="00233A28"/>
    <w:pPr>
      <w:spacing w:before="240" w:after="60"/>
      <w:outlineLvl w:val="7"/>
    </w:pPr>
    <w:rPr>
      <w:rFonts w:cs="Times New Roman"/>
      <w:iCs/>
      <w:szCs w:val="24"/>
    </w:rPr>
  </w:style>
  <w:style w:type="paragraph" w:styleId="berschrift9">
    <w:name w:val="heading 9"/>
    <w:basedOn w:val="Standard"/>
    <w:next w:val="Standard"/>
    <w:qFormat/>
    <w:rsid w:val="00233A28"/>
    <w:pPr>
      <w:spacing w:before="240" w:after="6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233A28"/>
    <w:pPr>
      <w:spacing w:after="100" w:afterAutospacing="1"/>
      <w:contextualSpacing/>
    </w:pPr>
    <w:rPr>
      <w:rFonts w:ascii="Calibri" w:hAnsi="Calibri"/>
      <w:sz w:val="24"/>
    </w:rPr>
    <w:tblPr>
      <w:tblBorders>
        <w:bottom w:val="single" w:sz="4" w:space="0" w:color="auto"/>
        <w:insideH w:val="single" w:sz="4" w:space="0" w:color="auto"/>
      </w:tblBorders>
      <w:tblCellMar>
        <w:left w:w="0" w:type="dxa"/>
      </w:tblCellMar>
    </w:tblPr>
  </w:style>
  <w:style w:type="numbering" w:styleId="111111">
    <w:name w:val="Outline List 2"/>
    <w:basedOn w:val="KeineListe"/>
    <w:rsid w:val="00233A28"/>
    <w:pPr>
      <w:numPr>
        <w:numId w:val="3"/>
      </w:numPr>
    </w:pPr>
  </w:style>
  <w:style w:type="paragraph" w:customStyle="1" w:styleId="Referenzinfos">
    <w:name w:val="Referenzinfos"/>
    <w:basedOn w:val="Standard"/>
    <w:rsid w:val="00233A28"/>
    <w:pPr>
      <w:spacing w:after="0"/>
      <w:jc w:val="left"/>
    </w:pPr>
    <w:rPr>
      <w:rFonts w:cs="Times New Roman"/>
      <w:sz w:val="16"/>
      <w:szCs w:val="20"/>
    </w:rPr>
  </w:style>
  <w:style w:type="paragraph" w:styleId="Kopfzeile">
    <w:name w:val="header"/>
    <w:basedOn w:val="Standard"/>
    <w:rsid w:val="00233A28"/>
    <w:pPr>
      <w:tabs>
        <w:tab w:val="right" w:pos="9639"/>
      </w:tabs>
      <w:spacing w:after="0"/>
      <w:jc w:val="left"/>
    </w:pPr>
    <w:rPr>
      <w:sz w:val="16"/>
    </w:rPr>
  </w:style>
  <w:style w:type="paragraph" w:styleId="Fuzeile">
    <w:name w:val="footer"/>
    <w:basedOn w:val="Standard"/>
    <w:rsid w:val="00233A28"/>
    <w:pPr>
      <w:tabs>
        <w:tab w:val="center" w:pos="4153"/>
        <w:tab w:val="right" w:pos="9639"/>
      </w:tabs>
      <w:spacing w:after="0"/>
      <w:jc w:val="left"/>
    </w:pPr>
    <w:rPr>
      <w:sz w:val="16"/>
      <w:szCs w:val="16"/>
    </w:rPr>
  </w:style>
  <w:style w:type="paragraph" w:customStyle="1" w:styleId="LLVAmt">
    <w:name w:val="LLV Amt"/>
    <w:basedOn w:val="Standard"/>
    <w:rsid w:val="00233A28"/>
    <w:pPr>
      <w:spacing w:after="0"/>
      <w:jc w:val="left"/>
    </w:pPr>
    <w:rPr>
      <w:rFonts w:ascii="Bryant Medium" w:hAnsi="Bryant Medium"/>
      <w:caps/>
      <w:sz w:val="15"/>
      <w:szCs w:val="15"/>
    </w:rPr>
  </w:style>
  <w:style w:type="paragraph" w:styleId="Unterschrift">
    <w:name w:val="Signature"/>
    <w:basedOn w:val="UnterschriftGruss"/>
    <w:rsid w:val="00233A28"/>
    <w:pPr>
      <w:spacing w:before="720" w:after="480"/>
    </w:pPr>
  </w:style>
  <w:style w:type="paragraph" w:styleId="Titel">
    <w:name w:val="Title"/>
    <w:basedOn w:val="Standard"/>
    <w:qFormat/>
    <w:rsid w:val="00233A28"/>
    <w:pPr>
      <w:spacing w:before="240" w:after="60"/>
      <w:jc w:val="left"/>
      <w:outlineLvl w:val="0"/>
    </w:pPr>
    <w:rPr>
      <w:b/>
      <w:bCs/>
      <w:kern w:val="28"/>
      <w:sz w:val="40"/>
      <w:szCs w:val="32"/>
    </w:rPr>
  </w:style>
  <w:style w:type="paragraph" w:customStyle="1" w:styleId="UnterschriftGruss">
    <w:name w:val="Unterschrift Gruss"/>
    <w:basedOn w:val="Standard"/>
    <w:rsid w:val="00233A28"/>
    <w:pPr>
      <w:tabs>
        <w:tab w:val="left" w:pos="3969"/>
      </w:tabs>
      <w:spacing w:before="480"/>
      <w:jc w:val="left"/>
    </w:pPr>
  </w:style>
  <w:style w:type="paragraph" w:customStyle="1" w:styleId="LLVLand">
    <w:name w:val="LLV Land"/>
    <w:basedOn w:val="Standard"/>
    <w:rsid w:val="00233A28"/>
    <w:pPr>
      <w:spacing w:after="0"/>
      <w:jc w:val="left"/>
    </w:pPr>
    <w:rPr>
      <w:rFonts w:ascii="Bryant Regular" w:hAnsi="Bryant Regular"/>
      <w:caps/>
      <w:sz w:val="15"/>
    </w:rPr>
  </w:style>
  <w:style w:type="paragraph" w:styleId="Sprechblasentext">
    <w:name w:val="Balloon Text"/>
    <w:basedOn w:val="Standard"/>
    <w:semiHidden/>
    <w:rsid w:val="00233A28"/>
    <w:rPr>
      <w:rFonts w:ascii="Tahoma" w:hAnsi="Tahoma" w:cs="Tahoma"/>
      <w:sz w:val="16"/>
      <w:szCs w:val="16"/>
    </w:rPr>
  </w:style>
  <w:style w:type="paragraph" w:styleId="Dokumentstruktur">
    <w:name w:val="Document Map"/>
    <w:basedOn w:val="Standard"/>
    <w:semiHidden/>
    <w:rsid w:val="00901BE7"/>
    <w:pPr>
      <w:shd w:val="clear" w:color="auto" w:fill="000080"/>
    </w:pPr>
    <w:rPr>
      <w:rFonts w:ascii="Tahoma" w:hAnsi="Tahoma" w:cs="Tahoma"/>
      <w:sz w:val="20"/>
      <w:szCs w:val="20"/>
    </w:rPr>
  </w:style>
  <w:style w:type="paragraph" w:customStyle="1" w:styleId="Betreff">
    <w:name w:val="Betreff"/>
    <w:basedOn w:val="Standard"/>
    <w:rsid w:val="00233A28"/>
    <w:pPr>
      <w:jc w:val="left"/>
    </w:pPr>
    <w:rPr>
      <w:b/>
    </w:rPr>
  </w:style>
  <w:style w:type="paragraph" w:customStyle="1" w:styleId="DokumentTyp">
    <w:name w:val="Dokument Typ"/>
    <w:basedOn w:val="Standard"/>
    <w:autoRedefine/>
    <w:rsid w:val="00233A28"/>
    <w:pPr>
      <w:spacing w:after="120"/>
      <w:jc w:val="left"/>
    </w:pPr>
    <w:rPr>
      <w:sz w:val="40"/>
    </w:rPr>
  </w:style>
  <w:style w:type="character" w:styleId="Hyperlink">
    <w:name w:val="Hyperlink"/>
    <w:rsid w:val="00233A28"/>
    <w:rPr>
      <w:color w:val="0000FF"/>
      <w:u w:val="single"/>
    </w:rPr>
  </w:style>
  <w:style w:type="paragraph" w:styleId="Index1">
    <w:name w:val="index 1"/>
    <w:basedOn w:val="Standard"/>
    <w:next w:val="Standard"/>
    <w:autoRedefine/>
    <w:semiHidden/>
    <w:rsid w:val="00233A28"/>
    <w:pPr>
      <w:ind w:left="220" w:hanging="220"/>
    </w:pPr>
  </w:style>
  <w:style w:type="numbering" w:customStyle="1" w:styleId="Liste-Strich">
    <w:name w:val="Liste - Strich"/>
    <w:rsid w:val="00CD0CC3"/>
    <w:pPr>
      <w:numPr>
        <w:numId w:val="1"/>
      </w:numPr>
    </w:pPr>
  </w:style>
  <w:style w:type="paragraph" w:styleId="NurText">
    <w:name w:val="Plain Text"/>
    <w:basedOn w:val="Standard"/>
    <w:rsid w:val="00CD0CC3"/>
    <w:pPr>
      <w:spacing w:after="0"/>
    </w:pPr>
    <w:rPr>
      <w:rFonts w:cs="Courier New"/>
      <w:szCs w:val="20"/>
    </w:rPr>
  </w:style>
  <w:style w:type="character" w:styleId="Seitenzahl">
    <w:name w:val="page number"/>
    <w:rsid w:val="00CD0CC3"/>
    <w:rPr>
      <w:rFonts w:ascii="Calibri" w:hAnsi="Calibri"/>
    </w:rPr>
  </w:style>
  <w:style w:type="paragraph" w:styleId="Untertitel">
    <w:name w:val="Subtitle"/>
    <w:basedOn w:val="Standard"/>
    <w:autoRedefine/>
    <w:qFormat/>
    <w:rsid w:val="00233A28"/>
    <w:pPr>
      <w:spacing w:after="60"/>
      <w:jc w:val="left"/>
      <w:outlineLvl w:val="1"/>
    </w:pPr>
    <w:rPr>
      <w:sz w:val="40"/>
      <w:szCs w:val="24"/>
    </w:rPr>
  </w:style>
  <w:style w:type="paragraph" w:styleId="Verzeichnis1">
    <w:name w:val="toc 1"/>
    <w:basedOn w:val="Standard"/>
    <w:next w:val="Standard"/>
    <w:autoRedefine/>
    <w:rsid w:val="009E5D99"/>
    <w:pPr>
      <w:tabs>
        <w:tab w:val="left" w:pos="440"/>
        <w:tab w:val="right" w:leader="underscore" w:pos="8834"/>
      </w:tabs>
    </w:pPr>
    <w:rPr>
      <w:color w:val="000000"/>
    </w:rPr>
  </w:style>
  <w:style w:type="character" w:styleId="Zeilennummer">
    <w:name w:val="line number"/>
    <w:rsid w:val="00CD0CC3"/>
    <w:rPr>
      <w:rFonts w:ascii="Calibri" w:hAnsi="Calibri"/>
      <w:sz w:val="22"/>
    </w:rPr>
  </w:style>
  <w:style w:type="character" w:styleId="Funotenzeichen">
    <w:name w:val="footnote reference"/>
    <w:semiHidden/>
    <w:rsid w:val="00233A28"/>
    <w:rPr>
      <w:vertAlign w:val="superscript"/>
    </w:rPr>
  </w:style>
  <w:style w:type="paragraph" w:styleId="Funotentext">
    <w:name w:val="footnote text"/>
    <w:basedOn w:val="Standard"/>
    <w:semiHidden/>
    <w:rsid w:val="00233A28"/>
    <w:pPr>
      <w:spacing w:after="0"/>
    </w:pPr>
    <w:rPr>
      <w:sz w:val="16"/>
      <w:szCs w:val="20"/>
    </w:rPr>
  </w:style>
  <w:style w:type="paragraph" w:styleId="Aufzhlungszeichen">
    <w:name w:val="List Bullet"/>
    <w:basedOn w:val="Standard"/>
    <w:autoRedefine/>
    <w:rsid w:val="00233A28"/>
    <w:pPr>
      <w:numPr>
        <w:numId w:val="11"/>
      </w:numPr>
      <w:spacing w:after="0"/>
    </w:pPr>
  </w:style>
  <w:style w:type="paragraph" w:styleId="Aufzhlungszeichen2">
    <w:name w:val="List Bullet 2"/>
    <w:basedOn w:val="Standard"/>
    <w:autoRedefine/>
    <w:rsid w:val="00233A28"/>
    <w:pPr>
      <w:numPr>
        <w:ilvl w:val="1"/>
        <w:numId w:val="11"/>
      </w:numPr>
      <w:spacing w:after="0"/>
    </w:pPr>
  </w:style>
  <w:style w:type="paragraph" w:styleId="Aufzhlungszeichen3">
    <w:name w:val="List Bullet 3"/>
    <w:basedOn w:val="Standard"/>
    <w:autoRedefine/>
    <w:rsid w:val="00233A28"/>
    <w:pPr>
      <w:numPr>
        <w:ilvl w:val="2"/>
        <w:numId w:val="11"/>
      </w:numPr>
      <w:spacing w:after="0"/>
    </w:pPr>
  </w:style>
  <w:style w:type="paragraph" w:styleId="Aufzhlungszeichen4">
    <w:name w:val="List Bullet 4"/>
    <w:basedOn w:val="Standard"/>
    <w:autoRedefine/>
    <w:rsid w:val="00233A28"/>
    <w:pPr>
      <w:numPr>
        <w:ilvl w:val="3"/>
        <w:numId w:val="11"/>
      </w:numPr>
      <w:spacing w:after="0"/>
    </w:pPr>
  </w:style>
  <w:style w:type="paragraph" w:styleId="Aufzhlungszeichen5">
    <w:name w:val="List Bullet 5"/>
    <w:basedOn w:val="Standard"/>
    <w:autoRedefine/>
    <w:rsid w:val="00351D06"/>
    <w:pPr>
      <w:numPr>
        <w:ilvl w:val="4"/>
        <w:numId w:val="2"/>
      </w:numPr>
      <w:spacing w:after="0"/>
    </w:pPr>
  </w:style>
  <w:style w:type="paragraph" w:styleId="Listennummer">
    <w:name w:val="List Number"/>
    <w:basedOn w:val="Standard"/>
    <w:autoRedefine/>
    <w:rsid w:val="00233A28"/>
    <w:pPr>
      <w:numPr>
        <w:numId w:val="16"/>
      </w:numPr>
      <w:spacing w:after="0"/>
    </w:pPr>
  </w:style>
  <w:style w:type="paragraph" w:styleId="Listennummer2">
    <w:name w:val="List Number 2"/>
    <w:basedOn w:val="Standard"/>
    <w:autoRedefine/>
    <w:rsid w:val="00233A28"/>
    <w:pPr>
      <w:numPr>
        <w:ilvl w:val="1"/>
        <w:numId w:val="16"/>
      </w:numPr>
      <w:spacing w:after="0"/>
    </w:pPr>
  </w:style>
  <w:style w:type="paragraph" w:styleId="Listennummer3">
    <w:name w:val="List Number 3"/>
    <w:basedOn w:val="Standard"/>
    <w:autoRedefine/>
    <w:rsid w:val="00233A28"/>
    <w:pPr>
      <w:numPr>
        <w:ilvl w:val="2"/>
        <w:numId w:val="16"/>
      </w:numPr>
      <w:spacing w:after="0"/>
    </w:pPr>
  </w:style>
  <w:style w:type="paragraph" w:styleId="Listennummer4">
    <w:name w:val="List Number 4"/>
    <w:basedOn w:val="Standard"/>
    <w:autoRedefine/>
    <w:rsid w:val="00233A28"/>
    <w:pPr>
      <w:numPr>
        <w:ilvl w:val="3"/>
        <w:numId w:val="16"/>
      </w:numPr>
      <w:spacing w:after="0"/>
    </w:pPr>
  </w:style>
  <w:style w:type="paragraph" w:styleId="Listennummer5">
    <w:name w:val="List Number 5"/>
    <w:basedOn w:val="Standard"/>
    <w:autoRedefine/>
    <w:rsid w:val="00233A28"/>
    <w:pPr>
      <w:numPr>
        <w:ilvl w:val="4"/>
        <w:numId w:val="16"/>
      </w:numPr>
      <w:spacing w:after="0"/>
    </w:pPr>
  </w:style>
  <w:style w:type="paragraph" w:styleId="Verzeichnis2">
    <w:name w:val="toc 2"/>
    <w:basedOn w:val="Standard"/>
    <w:next w:val="Standard"/>
    <w:autoRedefine/>
    <w:rsid w:val="00233A28"/>
    <w:pPr>
      <w:ind w:left="220"/>
    </w:pPr>
  </w:style>
  <w:style w:type="paragraph" w:styleId="Verzeichnis3">
    <w:name w:val="toc 3"/>
    <w:basedOn w:val="Standard"/>
    <w:next w:val="Standard"/>
    <w:autoRedefine/>
    <w:rsid w:val="00233A28"/>
    <w:pPr>
      <w:ind w:left="440"/>
    </w:pPr>
  </w:style>
  <w:style w:type="paragraph" w:customStyle="1" w:styleId="AdressText">
    <w:name w:val="Adress Text"/>
    <w:basedOn w:val="Standard"/>
    <w:autoRedefine/>
    <w:rsid w:val="00233A28"/>
    <w:pPr>
      <w:spacing w:after="0"/>
      <w:jc w:val="left"/>
    </w:pPr>
  </w:style>
  <w:style w:type="table" w:customStyle="1" w:styleId="BriefTabelle">
    <w:name w:val="BriefTabelle"/>
    <w:basedOn w:val="NormaleTabelle"/>
    <w:rsid w:val="00233A28"/>
    <w:pPr>
      <w:jc w:val="both"/>
    </w:pPr>
    <w:rPr>
      <w:rFonts w:ascii="Calibri" w:hAnsi="Calibri"/>
      <w:sz w:val="24"/>
    </w:rPr>
    <w:tblPr/>
  </w:style>
  <w:style w:type="paragraph" w:customStyle="1" w:styleId="StandardNach0pt">
    <w:name w:val="Standard + Nach:  0 pt"/>
    <w:basedOn w:val="Standard"/>
    <w:rsid w:val="00B163E7"/>
    <w:pPr>
      <w:spacing w:after="0"/>
    </w:pPr>
  </w:style>
  <w:style w:type="character" w:styleId="Kommentarzeichen">
    <w:name w:val="annotation reference"/>
    <w:basedOn w:val="Absatz-Standardschriftart"/>
    <w:semiHidden/>
    <w:unhideWhenUsed/>
    <w:rsid w:val="00401BC2"/>
    <w:rPr>
      <w:sz w:val="16"/>
      <w:szCs w:val="16"/>
    </w:rPr>
  </w:style>
  <w:style w:type="paragraph" w:styleId="Kommentartext">
    <w:name w:val="annotation text"/>
    <w:basedOn w:val="Standard"/>
    <w:link w:val="KommentartextZchn"/>
    <w:semiHidden/>
    <w:unhideWhenUsed/>
    <w:rsid w:val="00401BC2"/>
    <w:rPr>
      <w:sz w:val="20"/>
      <w:szCs w:val="20"/>
    </w:rPr>
  </w:style>
  <w:style w:type="character" w:customStyle="1" w:styleId="KommentartextZchn">
    <w:name w:val="Kommentartext Zchn"/>
    <w:basedOn w:val="Absatz-Standardschriftart"/>
    <w:link w:val="Kommentartext"/>
    <w:semiHidden/>
    <w:rsid w:val="00401BC2"/>
    <w:rPr>
      <w:rFonts w:ascii="Calibri" w:hAnsi="Calibri" w:cs="Arial"/>
      <w:lang w:eastAsia="de-DE"/>
    </w:rPr>
  </w:style>
  <w:style w:type="paragraph" w:styleId="Kommentarthema">
    <w:name w:val="annotation subject"/>
    <w:basedOn w:val="Kommentartext"/>
    <w:next w:val="Kommentartext"/>
    <w:link w:val="KommentarthemaZchn"/>
    <w:semiHidden/>
    <w:unhideWhenUsed/>
    <w:rsid w:val="00401BC2"/>
    <w:rPr>
      <w:b/>
      <w:bCs/>
    </w:rPr>
  </w:style>
  <w:style w:type="character" w:customStyle="1" w:styleId="KommentarthemaZchn">
    <w:name w:val="Kommentarthema Zchn"/>
    <w:basedOn w:val="KommentartextZchn"/>
    <w:link w:val="Kommentarthema"/>
    <w:semiHidden/>
    <w:rsid w:val="00401BC2"/>
    <w:rPr>
      <w:rFonts w:ascii="Calibri" w:hAnsi="Calibri" w:cs="Arial"/>
      <w:b/>
      <w:bCs/>
      <w:lang w:eastAsia="de-DE"/>
    </w:rPr>
  </w:style>
  <w:style w:type="character" w:styleId="NichtaufgelsteErwhnung">
    <w:name w:val="Unresolved Mention"/>
    <w:basedOn w:val="Absatz-Standardschriftart"/>
    <w:rsid w:val="00421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191073">
      <w:bodyDiv w:val="1"/>
      <w:marLeft w:val="0"/>
      <w:marRight w:val="0"/>
      <w:marTop w:val="0"/>
      <w:marBottom w:val="0"/>
      <w:divBdr>
        <w:top w:val="none" w:sz="0" w:space="0" w:color="auto"/>
        <w:left w:val="none" w:sz="0" w:space="0" w:color="auto"/>
        <w:bottom w:val="none" w:sz="0" w:space="0" w:color="auto"/>
        <w:right w:val="none" w:sz="0" w:space="0" w:color="auto"/>
      </w:divBdr>
    </w:div>
    <w:div w:id="1166821787">
      <w:bodyDiv w:val="1"/>
      <w:marLeft w:val="0"/>
      <w:marRight w:val="0"/>
      <w:marTop w:val="0"/>
      <w:marBottom w:val="0"/>
      <w:divBdr>
        <w:top w:val="none" w:sz="0" w:space="0" w:color="auto"/>
        <w:left w:val="none" w:sz="0" w:space="0" w:color="auto"/>
        <w:bottom w:val="none" w:sz="0" w:space="0" w:color="auto"/>
        <w:right w:val="none" w:sz="0" w:space="0" w:color="auto"/>
      </w:divBdr>
    </w:div>
    <w:div w:id="1386567359">
      <w:bodyDiv w:val="1"/>
      <w:marLeft w:val="0"/>
      <w:marRight w:val="0"/>
      <w:marTop w:val="0"/>
      <w:marBottom w:val="0"/>
      <w:divBdr>
        <w:top w:val="none" w:sz="0" w:space="0" w:color="auto"/>
        <w:left w:val="none" w:sz="0" w:space="0" w:color="auto"/>
        <w:bottom w:val="none" w:sz="0" w:space="0" w:color="auto"/>
        <w:right w:val="none" w:sz="0" w:space="0" w:color="auto"/>
      </w:divBdr>
    </w:div>
    <w:div w:id="177736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ikportal.li/de/uebergreifendes-indikatoren/statistisches-jahrbu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dd.bag.admin.ch/"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2025-02-17T16:06:32+00:00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3CC4A5-596C-4E5D-B1DD-BF76EFA68C55}">
  <ds:schemaRefs>
    <ds:schemaRef ds:uri="http://schemas.openxmlformats.org/officeDocument/2006/bibliography"/>
  </ds:schemaRefs>
</ds:datastoreItem>
</file>

<file path=customXml/itemProps2.xml><?xml version="1.0" encoding="utf-8"?>
<ds:datastoreItem xmlns:ds="http://schemas.openxmlformats.org/officeDocument/2006/customXml" ds:itemID="{FEF11CD7-F3D7-454A-A763-B705DEE57150}"/>
</file>

<file path=customXml/itemProps3.xml><?xml version="1.0" encoding="utf-8"?>
<ds:datastoreItem xmlns:ds="http://schemas.openxmlformats.org/officeDocument/2006/customXml" ds:itemID="{4D42412D-3A95-444E-8297-5ABCE2C0225C}"/>
</file>

<file path=customXml/itemProps4.xml><?xml version="1.0" encoding="utf-8"?>
<ds:datastoreItem xmlns:ds="http://schemas.openxmlformats.org/officeDocument/2006/customXml" ds:itemID="{B35FA582-6CE9-4D3E-9129-AAC1D64CEAC2}"/>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2875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LLV Amtsvermerk</vt:lpstr>
    </vt:vector>
  </TitlesOfParts>
  <Company>Liechtensteinische Landesverwaltung</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LLV Amtsvermerk</dc:title>
  <dc:creator>Jäggi Monique</dc:creator>
  <cp:lastModifiedBy>Schwärzler Emma</cp:lastModifiedBy>
  <cp:revision>25</cp:revision>
  <cp:lastPrinted>2008-07-24T08:15:00Z</cp:lastPrinted>
  <dcterms:created xsi:type="dcterms:W3CDTF">2017-09-01T08:16:00Z</dcterms:created>
  <dcterms:modified xsi:type="dcterms:W3CDTF">2025-02-17T15:39:00Z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