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40AA7" w14:textId="77777777" w:rsidR="00640623" w:rsidRDefault="00640623" w:rsidP="00640623">
      <w:pPr>
        <w:spacing w:before="100" w:beforeAutospacing="1" w:after="100" w:afterAutospacing="1" w:line="240" w:lineRule="auto"/>
        <w:jc w:val="both"/>
        <w:outlineLvl w:val="0"/>
        <w:rPr>
          <w:rFonts w:ascii="Times New Roman" w:eastAsia="Times New Roman" w:hAnsi="Times New Roman" w:cs="Times New Roman"/>
          <w:b/>
          <w:bCs/>
          <w:kern w:val="36"/>
          <w:sz w:val="48"/>
          <w:szCs w:val="48"/>
          <w14:ligatures w14:val="none"/>
        </w:rPr>
      </w:pPr>
    </w:p>
    <w:p w14:paraId="646D54ED" w14:textId="77777777" w:rsidR="00640623" w:rsidRDefault="00640623" w:rsidP="00640623">
      <w:pPr>
        <w:spacing w:before="100" w:beforeAutospacing="1" w:after="100" w:afterAutospacing="1" w:line="240" w:lineRule="auto"/>
        <w:jc w:val="both"/>
        <w:outlineLvl w:val="0"/>
        <w:rPr>
          <w:rFonts w:ascii="Times New Roman" w:eastAsia="Times New Roman" w:hAnsi="Times New Roman" w:cs="Times New Roman"/>
          <w:b/>
          <w:bCs/>
          <w:kern w:val="36"/>
          <w:sz w:val="48"/>
          <w:szCs w:val="48"/>
          <w14:ligatures w14:val="none"/>
        </w:rPr>
      </w:pPr>
    </w:p>
    <w:p w14:paraId="185EBA0D" w14:textId="4F7F5F06" w:rsidR="00640623" w:rsidRPr="00640623" w:rsidRDefault="00640623" w:rsidP="00640623">
      <w:pPr>
        <w:spacing w:before="100" w:beforeAutospacing="1" w:after="100" w:afterAutospacing="1" w:line="240" w:lineRule="auto"/>
        <w:jc w:val="both"/>
        <w:outlineLvl w:val="0"/>
        <w:rPr>
          <w:rFonts w:ascii="Times New Roman" w:eastAsia="Times New Roman" w:hAnsi="Times New Roman" w:cs="Times New Roman"/>
          <w:b/>
          <w:bCs/>
          <w:kern w:val="36"/>
          <w:sz w:val="48"/>
          <w:szCs w:val="48"/>
          <w14:ligatures w14:val="none"/>
        </w:rPr>
      </w:pPr>
      <w:r w:rsidRPr="00640623">
        <w:rPr>
          <w:rFonts w:ascii="Times New Roman" w:eastAsia="Times New Roman" w:hAnsi="Times New Roman" w:cs="Times New Roman"/>
          <w:b/>
          <w:bCs/>
          <w:kern w:val="36"/>
          <w:sz w:val="48"/>
          <w:szCs w:val="48"/>
          <w14:ligatures w14:val="none"/>
        </w:rPr>
        <w:t>UN Committee on Enforced Disappearances (CED)</w:t>
      </w:r>
    </w:p>
    <w:p w14:paraId="051431C2" w14:textId="77777777" w:rsidR="00640623" w:rsidRPr="00640623" w:rsidRDefault="00640623" w:rsidP="00640623">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640623">
        <w:rPr>
          <w:rFonts w:ascii="Times New Roman" w:eastAsia="Times New Roman" w:hAnsi="Times New Roman" w:cs="Times New Roman"/>
          <w:b/>
          <w:bCs/>
          <w:kern w:val="0"/>
          <w:sz w:val="36"/>
          <w:szCs w:val="36"/>
          <w14:ligatures w14:val="none"/>
        </w:rPr>
        <w:t>30th Session (9–27 March 2026)</w:t>
      </w:r>
    </w:p>
    <w:p w14:paraId="72C59952" w14:textId="77777777" w:rsidR="00640623" w:rsidRPr="00640623" w:rsidRDefault="00640623" w:rsidP="0064062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40623">
        <w:rPr>
          <w:rFonts w:ascii="Times New Roman" w:eastAsia="Times New Roman" w:hAnsi="Times New Roman" w:cs="Times New Roman"/>
          <w:b/>
          <w:bCs/>
          <w:kern w:val="0"/>
          <w:sz w:val="27"/>
          <w:szCs w:val="27"/>
          <w14:ligatures w14:val="none"/>
        </w:rPr>
        <w:t>Civil Society Submission on Iraq</w:t>
      </w:r>
    </w:p>
    <w:p w14:paraId="2197C152" w14:textId="77777777" w:rsidR="00640623" w:rsidRPr="00640623" w:rsidRDefault="00640623" w:rsidP="0064062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b/>
          <w:bCs/>
          <w:kern w:val="0"/>
          <w:sz w:val="24"/>
          <w:szCs w:val="24"/>
          <w14:ligatures w14:val="none"/>
        </w:rPr>
        <w:t>Reports on Additional Information</w:t>
      </w:r>
      <w:r w:rsidRPr="00640623">
        <w:rPr>
          <w:rFonts w:ascii="Times New Roman" w:eastAsia="Times New Roman" w:hAnsi="Times New Roman" w:cs="Times New Roman"/>
          <w:kern w:val="0"/>
          <w:sz w:val="24"/>
          <w:szCs w:val="24"/>
          <w14:ligatures w14:val="none"/>
        </w:rPr>
        <w:t xml:space="preserve"> (Article 29(4) of the Convention)</w:t>
      </w:r>
    </w:p>
    <w:p w14:paraId="55E03B3B" w14:textId="6E89B5C2" w:rsidR="00640623" w:rsidRPr="00640623" w:rsidRDefault="00640623" w:rsidP="00640623">
      <w:pPr>
        <w:spacing w:before="100" w:beforeAutospacing="1" w:after="100" w:afterAutospacing="1" w:line="240" w:lineRule="auto"/>
        <w:rPr>
          <w:rFonts w:ascii="Times New Roman" w:eastAsia="Times New Roman" w:hAnsi="Times New Roman" w:cs="Times New Roman"/>
          <w:b/>
          <w:bCs/>
          <w:kern w:val="0"/>
          <w:sz w:val="24"/>
          <w:szCs w:val="24"/>
          <w:u w:val="single"/>
          <w:lang w:val="fr-FR"/>
          <w14:ligatures w14:val="none"/>
        </w:rPr>
      </w:pPr>
      <w:r w:rsidRPr="00640623">
        <w:rPr>
          <w:rFonts w:ascii="Times New Roman" w:eastAsia="Times New Roman" w:hAnsi="Times New Roman" w:cs="Times New Roman"/>
          <w:b/>
          <w:bCs/>
          <w:kern w:val="0"/>
          <w:sz w:val="24"/>
          <w:szCs w:val="24"/>
          <w:lang w:val="fr-FR"/>
          <w14:ligatures w14:val="none"/>
        </w:rPr>
        <w:t>Submitted by:</w:t>
      </w:r>
      <w:r w:rsidRPr="00640623">
        <w:rPr>
          <w:rFonts w:ascii="Times New Roman" w:eastAsia="Times New Roman" w:hAnsi="Times New Roman" w:cs="Times New Roman"/>
          <w:kern w:val="0"/>
          <w:sz w:val="24"/>
          <w:szCs w:val="24"/>
          <w:lang w:val="fr-FR"/>
          <w14:ligatures w14:val="none"/>
        </w:rPr>
        <w:br/>
      </w:r>
      <w:r w:rsidRPr="00640623">
        <w:rPr>
          <w:rFonts w:ascii="Times New Roman" w:eastAsia="Times New Roman" w:hAnsi="Times New Roman" w:cs="Times New Roman"/>
          <w:b/>
          <w:bCs/>
          <w:kern w:val="0"/>
          <w:sz w:val="24"/>
          <w:szCs w:val="24"/>
          <w:u w:val="single"/>
          <w:lang w:val="fr-FR"/>
          <w14:ligatures w14:val="none"/>
        </w:rPr>
        <w:t>Alliance internationale pour la défense des droits et des libertés (AIDL)</w:t>
      </w:r>
    </w:p>
    <w:p w14:paraId="2BEF6028" w14:textId="4B83986E" w:rsidR="00640623" w:rsidRPr="00640623" w:rsidRDefault="00640623" w:rsidP="0064062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b/>
          <w:bCs/>
          <w:kern w:val="0"/>
          <w:sz w:val="24"/>
          <w:szCs w:val="24"/>
          <w14:ligatures w14:val="none"/>
        </w:rPr>
        <w:t>Contact:</w:t>
      </w:r>
      <w:r w:rsidRPr="00640623">
        <w:rPr>
          <w:rFonts w:ascii="Times New Roman" w:eastAsia="Times New Roman" w:hAnsi="Times New Roman" w:cs="Times New Roman"/>
          <w:kern w:val="0"/>
          <w:sz w:val="24"/>
          <w:szCs w:val="24"/>
          <w14:ligatures w14:val="none"/>
        </w:rPr>
        <w:t xml:space="preserve"> </w:t>
      </w:r>
      <w:hyperlink r:id="rId7" w:history="1">
        <w:r w:rsidRPr="00640623">
          <w:rPr>
            <w:rFonts w:ascii="Times New Roman" w:eastAsia="Times New Roman" w:hAnsi="Times New Roman" w:cs="Times New Roman"/>
            <w:color w:val="0000FF"/>
            <w:kern w:val="0"/>
            <w:sz w:val="24"/>
            <w:szCs w:val="24"/>
            <w:u w:val="single"/>
            <w14:ligatures w14:val="none"/>
          </w:rPr>
          <w:t>AIDL@AIDL.EU</w:t>
        </w:r>
      </w:hyperlink>
      <w:r w:rsidRPr="00640623">
        <w:rPr>
          <w:rFonts w:ascii="Times New Roman" w:eastAsia="Times New Roman" w:hAnsi="Times New Roman" w:cs="Times New Roman"/>
          <w:kern w:val="0"/>
          <w:sz w:val="24"/>
          <w:szCs w:val="24"/>
          <w14:ligatures w14:val="none"/>
        </w:rPr>
        <w:t xml:space="preserve">, </w:t>
      </w:r>
      <w:hyperlink r:id="rId8" w:history="1">
        <w:r w:rsidRPr="00640623">
          <w:rPr>
            <w:rFonts w:ascii="Times New Roman" w:eastAsia="Times New Roman" w:hAnsi="Times New Roman" w:cs="Times New Roman"/>
            <w:color w:val="0000FF"/>
            <w:kern w:val="0"/>
            <w:sz w:val="24"/>
            <w:szCs w:val="24"/>
            <w:u w:val="single"/>
            <w14:ligatures w14:val="none"/>
          </w:rPr>
          <w:t>www.aidl.eu</w:t>
        </w:r>
      </w:hyperlink>
      <w:r w:rsidRPr="00640623">
        <w:rPr>
          <w:rFonts w:ascii="Times New Roman" w:eastAsia="Times New Roman" w:hAnsi="Times New Roman" w:cs="Times New Roman"/>
          <w:kern w:val="0"/>
          <w:sz w:val="24"/>
          <w:szCs w:val="24"/>
          <w14:ligatures w14:val="none"/>
        </w:rPr>
        <w:br/>
      </w:r>
      <w:r w:rsidRPr="00640623">
        <w:rPr>
          <w:rFonts w:ascii="Times New Roman" w:eastAsia="Times New Roman" w:hAnsi="Times New Roman" w:cs="Times New Roman"/>
          <w:b/>
          <w:bCs/>
          <w:kern w:val="0"/>
          <w:sz w:val="24"/>
          <w:szCs w:val="24"/>
          <w14:ligatures w14:val="none"/>
        </w:rPr>
        <w:t>Date:</w:t>
      </w:r>
      <w:r w:rsidRPr="00640623">
        <w:rPr>
          <w:rFonts w:ascii="Times New Roman" w:eastAsia="Times New Roman" w:hAnsi="Times New Roman" w:cs="Times New Roman"/>
          <w:kern w:val="0"/>
          <w:sz w:val="24"/>
          <w:szCs w:val="24"/>
          <w14:ligatures w14:val="none"/>
        </w:rPr>
        <w:t xml:space="preserve"> January 2026</w:t>
      </w:r>
      <w:r w:rsidRPr="00640623">
        <w:rPr>
          <w:rFonts w:ascii="Times New Roman" w:eastAsia="Times New Roman" w:hAnsi="Times New Roman" w:cs="Times New Roman"/>
          <w:kern w:val="0"/>
          <w:sz w:val="24"/>
          <w:szCs w:val="24"/>
          <w14:ligatures w14:val="none"/>
        </w:rPr>
        <w:br/>
      </w:r>
      <w:r w:rsidRPr="00640623">
        <w:rPr>
          <w:rFonts w:ascii="Times New Roman" w:eastAsia="Times New Roman" w:hAnsi="Times New Roman" w:cs="Times New Roman"/>
          <w:b/>
          <w:bCs/>
          <w:kern w:val="0"/>
          <w:sz w:val="24"/>
          <w:szCs w:val="24"/>
          <w14:ligatures w14:val="none"/>
        </w:rPr>
        <w:t>Submission type:</w:t>
      </w:r>
      <w:r w:rsidRPr="00640623">
        <w:rPr>
          <w:rFonts w:ascii="Times New Roman" w:eastAsia="Times New Roman" w:hAnsi="Times New Roman" w:cs="Times New Roman"/>
          <w:kern w:val="0"/>
          <w:sz w:val="24"/>
          <w:szCs w:val="24"/>
          <w14:ligatures w14:val="none"/>
        </w:rPr>
        <w:t xml:space="preserve"> NGO submission for the CED review of Iraq’s additional information (Article 29(4))</w:t>
      </w:r>
    </w:p>
    <w:p w14:paraId="1948B826" w14:textId="77777777" w:rsidR="00640623" w:rsidRPr="00640623" w:rsidRDefault="00640623" w:rsidP="00640623">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640623">
        <w:rPr>
          <w:rFonts w:ascii="Times New Roman" w:eastAsia="Times New Roman" w:hAnsi="Times New Roman" w:cs="Times New Roman"/>
          <w:b/>
          <w:bCs/>
          <w:kern w:val="0"/>
          <w:sz w:val="36"/>
          <w:szCs w:val="36"/>
          <w14:ligatures w14:val="none"/>
        </w:rPr>
        <w:t>1. Executive Summary</w:t>
      </w:r>
    </w:p>
    <w:p w14:paraId="15CD4693" w14:textId="29BC5A7B"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This submission is presented to the UN Committee on Enforced Disappearances (CED) in advance of the Committee’s consideration of </w:t>
      </w:r>
      <w:r w:rsidRPr="00640623">
        <w:rPr>
          <w:rFonts w:ascii="Times New Roman" w:eastAsia="Times New Roman" w:hAnsi="Times New Roman" w:cs="Times New Roman"/>
          <w:b/>
          <w:bCs/>
          <w:kern w:val="0"/>
          <w:sz w:val="24"/>
          <w:szCs w:val="24"/>
          <w14:ligatures w14:val="none"/>
        </w:rPr>
        <w:t>Iraq under “Reports on Additional Information” at its 30th session (9–27 March 2026)</w:t>
      </w:r>
      <w:r w:rsidRPr="00640623">
        <w:rPr>
          <w:rFonts w:ascii="Times New Roman" w:eastAsia="Times New Roman" w:hAnsi="Times New Roman" w:cs="Times New Roman"/>
          <w:kern w:val="0"/>
          <w:sz w:val="24"/>
          <w:szCs w:val="24"/>
          <w14:ligatures w14:val="none"/>
        </w:rPr>
        <w:t xml:space="preserve">. </w:t>
      </w:r>
    </w:p>
    <w:p w14:paraId="7F1934CA"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AIDL’s assessment is unambiguous: </w:t>
      </w:r>
      <w:r w:rsidRPr="00640623">
        <w:rPr>
          <w:rFonts w:ascii="Times New Roman" w:eastAsia="Times New Roman" w:hAnsi="Times New Roman" w:cs="Times New Roman"/>
          <w:b/>
          <w:bCs/>
          <w:kern w:val="0"/>
          <w:sz w:val="24"/>
          <w:szCs w:val="24"/>
          <w14:ligatures w14:val="none"/>
        </w:rPr>
        <w:t>enforced disappearance in Iraq remains a systemic and unresolved human rights emergency</w:t>
      </w:r>
      <w:r w:rsidRPr="00640623">
        <w:rPr>
          <w:rFonts w:ascii="Times New Roman" w:eastAsia="Times New Roman" w:hAnsi="Times New Roman" w:cs="Times New Roman"/>
          <w:kern w:val="0"/>
          <w:sz w:val="24"/>
          <w:szCs w:val="24"/>
          <w14:ligatures w14:val="none"/>
        </w:rPr>
        <w:t>, sustained by persistent structural failures in (i) prevention, (ii) registration and traceability of deprivation of liberty, (iii) effective search, (iv) prompt and independent investigations, (v) criminal accountability, and (vi) victim-centred remedies.</w:t>
      </w:r>
    </w:p>
    <w:p w14:paraId="050B1CDA"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The State’s engagement through additional information procedures does not substitute for compliance. The Committee should treat this review as a hard accountability checkpoint, demanding </w:t>
      </w:r>
      <w:r w:rsidRPr="00640623">
        <w:rPr>
          <w:rFonts w:ascii="Times New Roman" w:eastAsia="Times New Roman" w:hAnsi="Times New Roman" w:cs="Times New Roman"/>
          <w:b/>
          <w:bCs/>
          <w:kern w:val="0"/>
          <w:sz w:val="24"/>
          <w:szCs w:val="24"/>
          <w14:ligatures w14:val="none"/>
        </w:rPr>
        <w:t>verifiable results, disaggregated data, operational proof of search and investigation capacity, and clear timelines</w:t>
      </w:r>
      <w:r w:rsidRPr="00640623">
        <w:rPr>
          <w:rFonts w:ascii="Times New Roman" w:eastAsia="Times New Roman" w:hAnsi="Times New Roman" w:cs="Times New Roman"/>
          <w:kern w:val="0"/>
          <w:sz w:val="24"/>
          <w:szCs w:val="24"/>
          <w14:ligatures w14:val="none"/>
        </w:rPr>
        <w:t>.</w:t>
      </w:r>
    </w:p>
    <w:p w14:paraId="165E873A"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This submission relies particularly on:</w:t>
      </w:r>
    </w:p>
    <w:p w14:paraId="4376801B" w14:textId="124F2631" w:rsidR="00640623" w:rsidRPr="00640623" w:rsidRDefault="00640623" w:rsidP="00640623">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CED’s </w:t>
      </w:r>
      <w:r w:rsidRPr="00640623">
        <w:rPr>
          <w:rFonts w:ascii="Times New Roman" w:eastAsia="Times New Roman" w:hAnsi="Times New Roman" w:cs="Times New Roman"/>
          <w:b/>
          <w:bCs/>
          <w:kern w:val="0"/>
          <w:sz w:val="24"/>
          <w:szCs w:val="24"/>
          <w14:ligatures w14:val="none"/>
        </w:rPr>
        <w:t>Concluding Observations on Iraq (2015)</w:t>
      </w:r>
      <w:r w:rsidRPr="00640623">
        <w:rPr>
          <w:rFonts w:ascii="Times New Roman" w:eastAsia="Times New Roman" w:hAnsi="Times New Roman" w:cs="Times New Roman"/>
          <w:kern w:val="0"/>
          <w:sz w:val="24"/>
          <w:szCs w:val="24"/>
          <w14:ligatures w14:val="none"/>
        </w:rPr>
        <w:t xml:space="preserve">. </w:t>
      </w:r>
    </w:p>
    <w:p w14:paraId="341D62F4" w14:textId="16EC0963" w:rsidR="00640623" w:rsidRPr="00640623" w:rsidRDefault="00640623" w:rsidP="00640623">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The </w:t>
      </w:r>
      <w:r w:rsidRPr="00640623">
        <w:rPr>
          <w:rFonts w:ascii="Times New Roman" w:eastAsia="Times New Roman" w:hAnsi="Times New Roman" w:cs="Times New Roman"/>
          <w:b/>
          <w:bCs/>
          <w:kern w:val="0"/>
          <w:sz w:val="24"/>
          <w:szCs w:val="24"/>
          <w14:ligatures w14:val="none"/>
        </w:rPr>
        <w:t>UNAMI/OHCHR report on enforced disappearances in Anbar (2015–2016)</w:t>
      </w:r>
      <w:r w:rsidRPr="00640623">
        <w:rPr>
          <w:rFonts w:ascii="Times New Roman" w:eastAsia="Times New Roman" w:hAnsi="Times New Roman" w:cs="Times New Roman"/>
          <w:kern w:val="0"/>
          <w:sz w:val="24"/>
          <w:szCs w:val="24"/>
          <w14:ligatures w14:val="none"/>
        </w:rPr>
        <w:t xml:space="preserve">, documenting patterns and State obligations on accountability and the right to truth. </w:t>
      </w:r>
    </w:p>
    <w:p w14:paraId="6669E7A1" w14:textId="16FA4A86" w:rsidR="00640623" w:rsidRDefault="00640623" w:rsidP="00640623">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CED </w:t>
      </w:r>
      <w:r w:rsidRPr="00640623">
        <w:rPr>
          <w:rFonts w:ascii="Times New Roman" w:eastAsia="Times New Roman" w:hAnsi="Times New Roman" w:cs="Times New Roman"/>
          <w:b/>
          <w:bCs/>
          <w:kern w:val="0"/>
          <w:sz w:val="24"/>
          <w:szCs w:val="24"/>
          <w14:ligatures w14:val="none"/>
        </w:rPr>
        <w:t>Guiding Principles for the Search for Disappeared Persons</w:t>
      </w:r>
      <w:r w:rsidRPr="00640623">
        <w:rPr>
          <w:rFonts w:ascii="Times New Roman" w:eastAsia="Times New Roman" w:hAnsi="Times New Roman" w:cs="Times New Roman"/>
          <w:kern w:val="0"/>
          <w:sz w:val="24"/>
          <w:szCs w:val="24"/>
          <w14:ligatures w14:val="none"/>
        </w:rPr>
        <w:t xml:space="preserve"> and CED’s standards on the duty to search. </w:t>
      </w:r>
    </w:p>
    <w:p w14:paraId="33AE3C11" w14:textId="77777777" w:rsid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33A32C76"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6B40A08A" w14:textId="22A0F4E6" w:rsidR="00640623" w:rsidRPr="00640623" w:rsidRDefault="00640623" w:rsidP="00640623">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The treaty-body record confirming Iraq’s current procedure, including the State’s </w:t>
      </w:r>
      <w:r w:rsidRPr="00640623">
        <w:rPr>
          <w:rFonts w:ascii="Times New Roman" w:eastAsia="Times New Roman" w:hAnsi="Times New Roman" w:cs="Times New Roman"/>
          <w:b/>
          <w:bCs/>
          <w:kern w:val="0"/>
          <w:sz w:val="24"/>
          <w:szCs w:val="24"/>
          <w14:ligatures w14:val="none"/>
        </w:rPr>
        <w:t>additional information submission (AI/2)</w:t>
      </w:r>
      <w:r w:rsidRPr="00640623">
        <w:rPr>
          <w:rFonts w:ascii="Times New Roman" w:eastAsia="Times New Roman" w:hAnsi="Times New Roman" w:cs="Times New Roman"/>
          <w:kern w:val="0"/>
          <w:sz w:val="24"/>
          <w:szCs w:val="24"/>
          <w14:ligatures w14:val="none"/>
        </w:rPr>
        <w:t xml:space="preserve"> and the Committee’s </w:t>
      </w:r>
      <w:r w:rsidRPr="00640623">
        <w:rPr>
          <w:rFonts w:ascii="Times New Roman" w:eastAsia="Times New Roman" w:hAnsi="Times New Roman" w:cs="Times New Roman"/>
          <w:b/>
          <w:bCs/>
          <w:kern w:val="0"/>
          <w:sz w:val="24"/>
          <w:szCs w:val="24"/>
          <w14:ligatures w14:val="none"/>
        </w:rPr>
        <w:t>priority themes (Q/AI/2)</w:t>
      </w:r>
      <w:r w:rsidRPr="00640623">
        <w:rPr>
          <w:rFonts w:ascii="Times New Roman" w:eastAsia="Times New Roman" w:hAnsi="Times New Roman" w:cs="Times New Roman"/>
          <w:kern w:val="0"/>
          <w:sz w:val="24"/>
          <w:szCs w:val="24"/>
          <w14:ligatures w14:val="none"/>
        </w:rPr>
        <w:t xml:space="preserve"> in the UN treaty body database. </w:t>
      </w:r>
    </w:p>
    <w:p w14:paraId="295BCBF0" w14:textId="77777777" w:rsidR="00640623" w:rsidRPr="00640623" w:rsidRDefault="00640623" w:rsidP="00640623">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640623">
        <w:rPr>
          <w:rFonts w:ascii="Times New Roman" w:eastAsia="Times New Roman" w:hAnsi="Times New Roman" w:cs="Times New Roman"/>
          <w:b/>
          <w:bCs/>
          <w:kern w:val="0"/>
          <w:sz w:val="36"/>
          <w:szCs w:val="36"/>
          <w14:ligatures w14:val="none"/>
        </w:rPr>
        <w:t>2. Context and Procedural Posture</w:t>
      </w:r>
    </w:p>
    <w:p w14:paraId="41AB8F21" w14:textId="552233D8"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Iraq is before the Committee under the </w:t>
      </w:r>
      <w:r w:rsidRPr="00640623">
        <w:rPr>
          <w:rFonts w:ascii="Times New Roman" w:eastAsia="Times New Roman" w:hAnsi="Times New Roman" w:cs="Times New Roman"/>
          <w:b/>
          <w:bCs/>
          <w:kern w:val="0"/>
          <w:sz w:val="24"/>
          <w:szCs w:val="24"/>
          <w14:ligatures w14:val="none"/>
        </w:rPr>
        <w:t>Article 29(4) “additional information” procedure</w:t>
      </w:r>
      <w:r w:rsidRPr="00640623">
        <w:rPr>
          <w:rFonts w:ascii="Times New Roman" w:eastAsia="Times New Roman" w:hAnsi="Times New Roman" w:cs="Times New Roman"/>
          <w:kern w:val="0"/>
          <w:sz w:val="24"/>
          <w:szCs w:val="24"/>
          <w14:ligatures w14:val="none"/>
        </w:rPr>
        <w:t xml:space="preserve">, and the State has filed additional information (CED/C/IRQ/AI/2) with corresponding Committee priority themes (CED/C/IRQ/Q/AI/2). </w:t>
      </w:r>
    </w:p>
    <w:p w14:paraId="6D9EAFC4" w14:textId="55E6C4E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The Committee has already identified core compliance deficits in Iraq in its 2015 concluding observations. </w:t>
      </w:r>
      <w:r w:rsidRPr="00640623">
        <w:rPr>
          <w:rFonts w:ascii="Times New Roman" w:eastAsia="Times New Roman" w:hAnsi="Times New Roman" w:cs="Times New Roman"/>
          <w:kern w:val="0"/>
          <w:sz w:val="24"/>
          <w:szCs w:val="24"/>
          <w14:ligatures w14:val="none"/>
        </w:rPr>
        <w:br/>
        <w:t xml:space="preserve">This additional information review must therefore focus on whether Iraq has delivered </w:t>
      </w:r>
      <w:r w:rsidRPr="00640623">
        <w:rPr>
          <w:rFonts w:ascii="Times New Roman" w:eastAsia="Times New Roman" w:hAnsi="Times New Roman" w:cs="Times New Roman"/>
          <w:b/>
          <w:bCs/>
          <w:kern w:val="0"/>
          <w:sz w:val="24"/>
          <w:szCs w:val="24"/>
          <w14:ligatures w14:val="none"/>
        </w:rPr>
        <w:t>results</w:t>
      </w:r>
      <w:r w:rsidRPr="00640623">
        <w:rPr>
          <w:rFonts w:ascii="Times New Roman" w:eastAsia="Times New Roman" w:hAnsi="Times New Roman" w:cs="Times New Roman"/>
          <w:kern w:val="0"/>
          <w:sz w:val="24"/>
          <w:szCs w:val="24"/>
          <w14:ligatures w14:val="none"/>
        </w:rPr>
        <w:t>, not whether it has issued plans.</w:t>
      </w:r>
    </w:p>
    <w:p w14:paraId="093DC162" w14:textId="77777777" w:rsidR="00640623" w:rsidRPr="00640623" w:rsidRDefault="00640623" w:rsidP="00640623">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640623">
        <w:rPr>
          <w:rFonts w:ascii="Times New Roman" w:eastAsia="Times New Roman" w:hAnsi="Times New Roman" w:cs="Times New Roman"/>
          <w:b/>
          <w:bCs/>
          <w:kern w:val="0"/>
          <w:sz w:val="36"/>
          <w:szCs w:val="36"/>
          <w14:ligatures w14:val="none"/>
        </w:rPr>
        <w:t>3. Applicable Legal Obligations</w:t>
      </w:r>
    </w:p>
    <w:p w14:paraId="21307CEF"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Under the International Convention for the Protection of All Persons from Enforced Disappearance, Iraq must ensure:</w:t>
      </w:r>
    </w:p>
    <w:p w14:paraId="5C35965E" w14:textId="77777777" w:rsidR="00640623" w:rsidRPr="00640623" w:rsidRDefault="00640623" w:rsidP="00640623">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b/>
          <w:bCs/>
          <w:kern w:val="0"/>
          <w:sz w:val="24"/>
          <w:szCs w:val="24"/>
          <w14:ligatures w14:val="none"/>
        </w:rPr>
        <w:t>Prevention</w:t>
      </w:r>
      <w:r w:rsidRPr="00640623">
        <w:rPr>
          <w:rFonts w:ascii="Times New Roman" w:eastAsia="Times New Roman" w:hAnsi="Times New Roman" w:cs="Times New Roman"/>
          <w:kern w:val="0"/>
          <w:sz w:val="24"/>
          <w:szCs w:val="24"/>
          <w14:ligatures w14:val="none"/>
        </w:rPr>
        <w:t xml:space="preserve"> through effective safeguards, including traceability of deprivation of liberty, accessible registers, and oversight.</w:t>
      </w:r>
    </w:p>
    <w:p w14:paraId="0ED6812C" w14:textId="77777777" w:rsidR="00640623" w:rsidRPr="00640623" w:rsidRDefault="00640623" w:rsidP="00640623">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b/>
          <w:bCs/>
          <w:kern w:val="0"/>
          <w:sz w:val="24"/>
          <w:szCs w:val="24"/>
          <w14:ligatures w14:val="none"/>
        </w:rPr>
        <w:t>Prompt, impartial, and effective investigations</w:t>
      </w:r>
      <w:r w:rsidRPr="00640623">
        <w:rPr>
          <w:rFonts w:ascii="Times New Roman" w:eastAsia="Times New Roman" w:hAnsi="Times New Roman" w:cs="Times New Roman"/>
          <w:kern w:val="0"/>
          <w:sz w:val="24"/>
          <w:szCs w:val="24"/>
          <w14:ligatures w14:val="none"/>
        </w:rPr>
        <w:t xml:space="preserve"> into all allegations of enforced disappearance, including where the fate or whereabouts remain unknown.</w:t>
      </w:r>
    </w:p>
    <w:p w14:paraId="56263379" w14:textId="2120060B" w:rsidR="00640623" w:rsidRPr="00640623" w:rsidRDefault="00640623" w:rsidP="00640623">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b/>
          <w:bCs/>
          <w:kern w:val="0"/>
          <w:sz w:val="24"/>
          <w:szCs w:val="24"/>
          <w14:ligatures w14:val="none"/>
        </w:rPr>
        <w:t>Search</w:t>
      </w:r>
      <w:r w:rsidRPr="00640623">
        <w:rPr>
          <w:rFonts w:ascii="Times New Roman" w:eastAsia="Times New Roman" w:hAnsi="Times New Roman" w:cs="Times New Roman"/>
          <w:kern w:val="0"/>
          <w:sz w:val="24"/>
          <w:szCs w:val="24"/>
          <w14:ligatures w14:val="none"/>
        </w:rPr>
        <w:t xml:space="preserve"> as a continuing obligation until the fate and whereabouts are clarified, using a coordinated, victim-centred approach consistent with the Committee’s guidance. </w:t>
      </w:r>
    </w:p>
    <w:p w14:paraId="76223D72" w14:textId="2936D96F" w:rsidR="00640623" w:rsidRPr="00640623" w:rsidRDefault="00640623" w:rsidP="00640623">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b/>
          <w:bCs/>
          <w:kern w:val="0"/>
          <w:sz w:val="24"/>
          <w:szCs w:val="24"/>
          <w14:ligatures w14:val="none"/>
        </w:rPr>
        <w:t>Right to truth</w:t>
      </w:r>
      <w:r w:rsidRPr="00640623">
        <w:rPr>
          <w:rFonts w:ascii="Times New Roman" w:eastAsia="Times New Roman" w:hAnsi="Times New Roman" w:cs="Times New Roman"/>
          <w:kern w:val="0"/>
          <w:sz w:val="24"/>
          <w:szCs w:val="24"/>
          <w14:ligatures w14:val="none"/>
        </w:rPr>
        <w:t xml:space="preserve"> for families and society, and </w:t>
      </w:r>
      <w:r w:rsidRPr="00640623">
        <w:rPr>
          <w:rFonts w:ascii="Times New Roman" w:eastAsia="Times New Roman" w:hAnsi="Times New Roman" w:cs="Times New Roman"/>
          <w:b/>
          <w:bCs/>
          <w:kern w:val="0"/>
          <w:sz w:val="24"/>
          <w:szCs w:val="24"/>
          <w14:ligatures w14:val="none"/>
        </w:rPr>
        <w:t>effective remedies and reparation</w:t>
      </w:r>
      <w:r w:rsidRPr="00640623">
        <w:rPr>
          <w:rFonts w:ascii="Times New Roman" w:eastAsia="Times New Roman" w:hAnsi="Times New Roman" w:cs="Times New Roman"/>
          <w:kern w:val="0"/>
          <w:sz w:val="24"/>
          <w:szCs w:val="24"/>
          <w14:ligatures w14:val="none"/>
        </w:rPr>
        <w:t>.</w:t>
      </w:r>
    </w:p>
    <w:p w14:paraId="1A9C43B7" w14:textId="77777777" w:rsidR="00640623" w:rsidRPr="00640623" w:rsidRDefault="00640623" w:rsidP="00640623">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640623">
        <w:rPr>
          <w:rFonts w:ascii="Times New Roman" w:eastAsia="Times New Roman" w:hAnsi="Times New Roman" w:cs="Times New Roman"/>
          <w:b/>
          <w:bCs/>
          <w:kern w:val="0"/>
          <w:sz w:val="36"/>
          <w:szCs w:val="36"/>
          <w14:ligatures w14:val="none"/>
        </w:rPr>
        <w:t>4. Key Findings and Concerns (Focused, High-Impact)</w:t>
      </w:r>
    </w:p>
    <w:p w14:paraId="77DE7C59" w14:textId="77777777" w:rsidR="00640623" w:rsidRPr="00640623" w:rsidRDefault="00640623" w:rsidP="00640623">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640623">
        <w:rPr>
          <w:rFonts w:ascii="Times New Roman" w:eastAsia="Times New Roman" w:hAnsi="Times New Roman" w:cs="Times New Roman"/>
          <w:b/>
          <w:bCs/>
          <w:kern w:val="0"/>
          <w:sz w:val="27"/>
          <w:szCs w:val="27"/>
          <w14:ligatures w14:val="none"/>
        </w:rPr>
        <w:t>A. Right to Truth: Persistent Denial Through Inaction</w:t>
      </w:r>
    </w:p>
    <w:p w14:paraId="2D555D5E" w14:textId="7ECE57A4"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The UNAMI/OHCHR report on Anbar (2015–2016) underscores that enforced disappearance is not an abstract allegation, but a documented pattern linked to operations and subsequent phases, demanding accountability and vindication of the right to truth. </w:t>
      </w:r>
    </w:p>
    <w:p w14:paraId="6FE044B9" w14:textId="34A49606" w:rsid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AIDL’s assessment: </w:t>
      </w:r>
      <w:r w:rsidRPr="00640623">
        <w:rPr>
          <w:rFonts w:ascii="Times New Roman" w:eastAsia="Times New Roman" w:hAnsi="Times New Roman" w:cs="Times New Roman"/>
          <w:b/>
          <w:bCs/>
          <w:kern w:val="0"/>
          <w:sz w:val="24"/>
          <w:szCs w:val="24"/>
          <w14:ligatures w14:val="none"/>
        </w:rPr>
        <w:t>families are still systematically denied credible information</w:t>
      </w:r>
      <w:r w:rsidRPr="00640623">
        <w:rPr>
          <w:rFonts w:ascii="Times New Roman" w:eastAsia="Times New Roman" w:hAnsi="Times New Roman" w:cs="Times New Roman"/>
          <w:kern w:val="0"/>
          <w:sz w:val="24"/>
          <w:szCs w:val="24"/>
          <w14:ligatures w14:val="none"/>
        </w:rPr>
        <w:t>, and the State’s response remains operationally insufficient. The Committee should require Iraq to demonstrate measurable progress in clarifying fate and whereabouts, not merely to reference committees or intentions.</w:t>
      </w:r>
    </w:p>
    <w:p w14:paraId="13D5E832" w14:textId="77777777" w:rsid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08B451FA" w14:textId="77777777" w:rsid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5394C8C8"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1EA7BB30" w14:textId="0DE77135" w:rsidR="00640623" w:rsidRPr="00640623" w:rsidRDefault="00640623" w:rsidP="00640623">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640623">
        <w:rPr>
          <w:rFonts w:ascii="Times New Roman" w:eastAsia="Times New Roman" w:hAnsi="Times New Roman" w:cs="Times New Roman"/>
          <w:b/>
          <w:bCs/>
          <w:kern w:val="0"/>
          <w:sz w:val="27"/>
          <w:szCs w:val="27"/>
          <w14:ligatures w14:val="none"/>
        </w:rPr>
        <w:t>B. Traceability of Deprivation of Liberty: Structural Conditions Enabling Disappearance</w:t>
      </w:r>
    </w:p>
    <w:p w14:paraId="288D7391"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CED compliance collapses when the State cannot guarantee real-time traceability of detention. In Iraq, persistent gaps in unified registration, access to information for families, and consistent oversight continue to create the predictable conditions under which enforced disappearance can occur and remain concealed.</w:t>
      </w:r>
    </w:p>
    <w:p w14:paraId="28E11CAC" w14:textId="54A5DFC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The Committee should demand: (i) proof of a functioning, unified register system, (ii) independent verification access, and (iii) clear sanctions and enforcement for any unregistered detention.</w:t>
      </w:r>
    </w:p>
    <w:p w14:paraId="5F15BE76" w14:textId="77777777" w:rsidR="00640623" w:rsidRPr="00640623" w:rsidRDefault="00640623" w:rsidP="00640623">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640623">
        <w:rPr>
          <w:rFonts w:ascii="Times New Roman" w:eastAsia="Times New Roman" w:hAnsi="Times New Roman" w:cs="Times New Roman"/>
          <w:b/>
          <w:bCs/>
          <w:kern w:val="0"/>
          <w:sz w:val="27"/>
          <w:szCs w:val="27"/>
          <w14:ligatures w14:val="none"/>
        </w:rPr>
        <w:t>C. Search: Obligation of Result-Oriented Action, Not Administrative Formality</w:t>
      </w:r>
    </w:p>
    <w:p w14:paraId="603895BF" w14:textId="7A86B62C"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CED standards and the Committee’s Guiding Principles establish the duty to search as an immediate, continuous, and organized State obligation until fate and whereabouts are clarified. </w:t>
      </w:r>
    </w:p>
    <w:p w14:paraId="75D5BB44"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AIDL’s position: Iraq must be required to demonstrate, with operational evidence, that it has an effective national search architecture, including:</w:t>
      </w:r>
    </w:p>
    <w:p w14:paraId="237E1BB6" w14:textId="77777777" w:rsidR="00640623" w:rsidRPr="00640623" w:rsidRDefault="00640623" w:rsidP="00640623">
      <w:pPr>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a unified case-management mechanism,</w:t>
      </w:r>
    </w:p>
    <w:p w14:paraId="37F9E045" w14:textId="77777777" w:rsidR="00640623" w:rsidRPr="00640623" w:rsidRDefault="00640623" w:rsidP="00640623">
      <w:pPr>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family participation,</w:t>
      </w:r>
    </w:p>
    <w:p w14:paraId="081D9807" w14:textId="77777777" w:rsidR="00640623" w:rsidRPr="00640623" w:rsidRDefault="00640623" w:rsidP="00640623">
      <w:pPr>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forensic capacity and chain-of-custody integrity,</w:t>
      </w:r>
    </w:p>
    <w:p w14:paraId="725DF9AA" w14:textId="77777777" w:rsidR="00640623" w:rsidRPr="00640623" w:rsidRDefault="00640623" w:rsidP="00640623">
      <w:pPr>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and transparent reporting of outcomes.</w:t>
      </w:r>
    </w:p>
    <w:p w14:paraId="1A3FE6A5"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Without this, “search” becomes performative and families remain trapped in indefinite uncertainty.</w:t>
      </w:r>
    </w:p>
    <w:p w14:paraId="20801365" w14:textId="6D0F0C24" w:rsidR="00640623" w:rsidRPr="00640623" w:rsidRDefault="00640623" w:rsidP="00640623">
      <w:pPr>
        <w:spacing w:after="0" w:line="240" w:lineRule="auto"/>
        <w:jc w:val="both"/>
        <w:rPr>
          <w:rFonts w:ascii="Times New Roman" w:eastAsia="Times New Roman" w:hAnsi="Times New Roman" w:cs="Times New Roman"/>
          <w:kern w:val="0"/>
          <w:sz w:val="24"/>
          <w:szCs w:val="24"/>
          <w14:ligatures w14:val="none"/>
        </w:rPr>
      </w:pPr>
    </w:p>
    <w:p w14:paraId="6C74E028" w14:textId="77777777" w:rsidR="00640623" w:rsidRPr="00640623" w:rsidRDefault="00640623" w:rsidP="00640623">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640623">
        <w:rPr>
          <w:rFonts w:ascii="Times New Roman" w:eastAsia="Times New Roman" w:hAnsi="Times New Roman" w:cs="Times New Roman"/>
          <w:b/>
          <w:bCs/>
          <w:kern w:val="0"/>
          <w:sz w:val="27"/>
          <w:szCs w:val="27"/>
          <w14:ligatures w14:val="none"/>
        </w:rPr>
        <w:t>D. Investigations and Accountability: Impunity as a System Output</w:t>
      </w:r>
    </w:p>
    <w:p w14:paraId="5AC84FE5" w14:textId="4B190A4B"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The Anbar documentation highlights State responsibility to ensure evidence-based investigations and accountability. </w:t>
      </w:r>
    </w:p>
    <w:p w14:paraId="51ADFDA6"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AIDL’s assessment is direct: </w:t>
      </w:r>
      <w:r w:rsidRPr="00640623">
        <w:rPr>
          <w:rFonts w:ascii="Times New Roman" w:eastAsia="Times New Roman" w:hAnsi="Times New Roman" w:cs="Times New Roman"/>
          <w:b/>
          <w:bCs/>
          <w:kern w:val="0"/>
          <w:sz w:val="24"/>
          <w:szCs w:val="24"/>
          <w14:ligatures w14:val="none"/>
        </w:rPr>
        <w:t>impunity remains structurally embedded</w:t>
      </w:r>
      <w:r w:rsidRPr="00640623">
        <w:rPr>
          <w:rFonts w:ascii="Times New Roman" w:eastAsia="Times New Roman" w:hAnsi="Times New Roman" w:cs="Times New Roman"/>
          <w:kern w:val="0"/>
          <w:sz w:val="24"/>
          <w:szCs w:val="24"/>
          <w14:ligatures w14:val="none"/>
        </w:rPr>
        <w:t xml:space="preserve"> when investigations are slow, fragmented, non-independent, or do not translate into prosecutions and sanctions. The Committee must require Iraq to provide case-based, disaggregated statistics on investigations, indictments, convictions, and penalties, including command responsibility where relevant.</w:t>
      </w:r>
    </w:p>
    <w:p w14:paraId="6C4E5703" w14:textId="77777777" w:rsidR="00640623" w:rsidRPr="00640623" w:rsidRDefault="00640623" w:rsidP="00640623">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640623">
        <w:rPr>
          <w:rFonts w:ascii="Times New Roman" w:eastAsia="Times New Roman" w:hAnsi="Times New Roman" w:cs="Times New Roman"/>
          <w:b/>
          <w:bCs/>
          <w:kern w:val="0"/>
          <w:sz w:val="27"/>
          <w:szCs w:val="27"/>
          <w14:ligatures w14:val="none"/>
        </w:rPr>
        <w:t>E. Victims’ Rights: Remedies, Reparation, and Protection from Reprisals</w:t>
      </w:r>
    </w:p>
    <w:p w14:paraId="146D0754"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CED compliance requires effective remedies and reparation. Iraq must demonstrate that families have:</w:t>
      </w:r>
    </w:p>
    <w:p w14:paraId="35BED119" w14:textId="77777777" w:rsidR="00640623" w:rsidRPr="00640623" w:rsidRDefault="00640623" w:rsidP="00640623">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accessible complaint mechanisms,</w:t>
      </w:r>
    </w:p>
    <w:p w14:paraId="74686CAB" w14:textId="77777777" w:rsidR="00640623" w:rsidRDefault="00640623" w:rsidP="00640623">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legal aid and protection against intimidation or reprisals,</w:t>
      </w:r>
    </w:p>
    <w:p w14:paraId="765F35E7" w14:textId="77777777" w:rsidR="00361C89" w:rsidRDefault="00361C89" w:rsidP="00640623">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1BA93326" w14:textId="77777777" w:rsid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578E5115" w14:textId="77777777" w:rsid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651DCBFD" w14:textId="77777777" w:rsidR="00640623" w:rsidRPr="00640623" w:rsidRDefault="00640623" w:rsidP="00640623">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psychosocial support,</w:t>
      </w:r>
    </w:p>
    <w:p w14:paraId="43278A18" w14:textId="77777777" w:rsidR="00640623" w:rsidRPr="00640623" w:rsidRDefault="00640623" w:rsidP="00640623">
      <w:pPr>
        <w:numPr>
          <w:ilvl w:val="0"/>
          <w:numId w:val="24"/>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and enforceable reparation frameworks.</w:t>
      </w:r>
    </w:p>
    <w:p w14:paraId="5EE984BF"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The Committee should require proof of budgeted, operational victim support and rehabilitation pathways.</w:t>
      </w:r>
    </w:p>
    <w:p w14:paraId="3F967EE9" w14:textId="04CF86DC" w:rsidR="00640623" w:rsidRPr="00640623" w:rsidRDefault="00640623" w:rsidP="00640623">
      <w:pPr>
        <w:spacing w:after="0" w:line="240" w:lineRule="auto"/>
        <w:jc w:val="both"/>
        <w:rPr>
          <w:rFonts w:ascii="Times New Roman" w:eastAsia="Times New Roman" w:hAnsi="Times New Roman" w:cs="Times New Roman"/>
          <w:kern w:val="0"/>
          <w:sz w:val="24"/>
          <w:szCs w:val="24"/>
          <w14:ligatures w14:val="none"/>
        </w:rPr>
      </w:pPr>
    </w:p>
    <w:p w14:paraId="0B8F7D3A" w14:textId="77777777" w:rsidR="00640623" w:rsidRPr="00640623" w:rsidRDefault="00640623" w:rsidP="00640623">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640623">
        <w:rPr>
          <w:rFonts w:ascii="Times New Roman" w:eastAsia="Times New Roman" w:hAnsi="Times New Roman" w:cs="Times New Roman"/>
          <w:b/>
          <w:bCs/>
          <w:kern w:val="0"/>
          <w:sz w:val="36"/>
          <w:szCs w:val="36"/>
          <w14:ligatures w14:val="none"/>
        </w:rPr>
        <w:t>5. AIDL Requests to the Committee (Evidence-Forcing, Time-Bound)</w:t>
      </w:r>
    </w:p>
    <w:p w14:paraId="1AC3BF9D"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AIDL urges the Committee to request Iraq to submit within a short deadline (60–90 days) the following </w:t>
      </w:r>
      <w:r w:rsidRPr="00640623">
        <w:rPr>
          <w:rFonts w:ascii="Times New Roman" w:eastAsia="Times New Roman" w:hAnsi="Times New Roman" w:cs="Times New Roman"/>
          <w:b/>
          <w:bCs/>
          <w:kern w:val="0"/>
          <w:sz w:val="24"/>
          <w:szCs w:val="24"/>
          <w14:ligatures w14:val="none"/>
        </w:rPr>
        <w:t>verifiable information</w:t>
      </w:r>
      <w:r w:rsidRPr="00640623">
        <w:rPr>
          <w:rFonts w:ascii="Times New Roman" w:eastAsia="Times New Roman" w:hAnsi="Times New Roman" w:cs="Times New Roman"/>
          <w:kern w:val="0"/>
          <w:sz w:val="24"/>
          <w:szCs w:val="24"/>
          <w14:ligatures w14:val="none"/>
        </w:rPr>
        <w:t>, including disaggregation by governorate, year, alleged perpetrator authority, and victim profile where appropriate:</w:t>
      </w:r>
    </w:p>
    <w:p w14:paraId="629A9D96" w14:textId="77777777" w:rsidR="00640623" w:rsidRPr="00640623" w:rsidRDefault="00640623" w:rsidP="00640623">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640623">
        <w:rPr>
          <w:rFonts w:ascii="Times New Roman" w:eastAsia="Times New Roman" w:hAnsi="Times New Roman" w:cs="Times New Roman"/>
          <w:b/>
          <w:bCs/>
          <w:kern w:val="0"/>
          <w:sz w:val="27"/>
          <w:szCs w:val="27"/>
          <w14:ligatures w14:val="none"/>
        </w:rPr>
        <w:t>5.1 National registers and traceability</w:t>
      </w:r>
    </w:p>
    <w:p w14:paraId="609C5C21" w14:textId="77777777" w:rsidR="00640623" w:rsidRPr="00640623" w:rsidRDefault="00640623" w:rsidP="00640623">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A legally binding framework and operational proof of a </w:t>
      </w:r>
      <w:r w:rsidRPr="00640623">
        <w:rPr>
          <w:rFonts w:ascii="Times New Roman" w:eastAsia="Times New Roman" w:hAnsi="Times New Roman" w:cs="Times New Roman"/>
          <w:b/>
          <w:bCs/>
          <w:kern w:val="0"/>
          <w:sz w:val="24"/>
          <w:szCs w:val="24"/>
          <w14:ligatures w14:val="none"/>
        </w:rPr>
        <w:t>unified, real-time register</w:t>
      </w:r>
      <w:r w:rsidRPr="00640623">
        <w:rPr>
          <w:rFonts w:ascii="Times New Roman" w:eastAsia="Times New Roman" w:hAnsi="Times New Roman" w:cs="Times New Roman"/>
          <w:kern w:val="0"/>
          <w:sz w:val="24"/>
          <w:szCs w:val="24"/>
          <w14:ligatures w14:val="none"/>
        </w:rPr>
        <w:t xml:space="preserve"> of all persons deprived of liberty, including place of detention, authority responsible, time/date of apprehension, and judicial status.</w:t>
      </w:r>
    </w:p>
    <w:p w14:paraId="6987599E" w14:textId="77777777" w:rsidR="00640623" w:rsidRPr="00640623" w:rsidRDefault="00640623" w:rsidP="00640623">
      <w:pPr>
        <w:numPr>
          <w:ilvl w:val="0"/>
          <w:numId w:val="25"/>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Independent audit mechanisms and sanctions for any unregistered detention.</w:t>
      </w:r>
    </w:p>
    <w:p w14:paraId="0885F75D" w14:textId="77777777" w:rsidR="00640623" w:rsidRPr="00640623" w:rsidRDefault="00640623" w:rsidP="00640623">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640623">
        <w:rPr>
          <w:rFonts w:ascii="Times New Roman" w:eastAsia="Times New Roman" w:hAnsi="Times New Roman" w:cs="Times New Roman"/>
          <w:b/>
          <w:bCs/>
          <w:kern w:val="0"/>
          <w:sz w:val="27"/>
          <w:szCs w:val="27"/>
          <w14:ligatures w14:val="none"/>
        </w:rPr>
        <w:t>5.2 Search architecture and results</w:t>
      </w:r>
    </w:p>
    <w:p w14:paraId="166F7305" w14:textId="3A9FBC75" w:rsidR="00640623" w:rsidRPr="00640623" w:rsidRDefault="00640623" w:rsidP="00640623">
      <w:pPr>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A national search plan aligned with CED Guiding Principles, including family participation, forensic standards, and a case-management system. </w:t>
      </w:r>
    </w:p>
    <w:p w14:paraId="4C9C3E30" w14:textId="77777777" w:rsidR="00640623" w:rsidRPr="00640623" w:rsidRDefault="00640623" w:rsidP="00640623">
      <w:pPr>
        <w:numPr>
          <w:ilvl w:val="0"/>
          <w:numId w:val="26"/>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Year-by-year data (2014–2025): number of reported disappearances, cases clarified, remains identified, and cases pending.</w:t>
      </w:r>
    </w:p>
    <w:p w14:paraId="210A9A32" w14:textId="77777777" w:rsidR="00640623" w:rsidRPr="00640623" w:rsidRDefault="00640623" w:rsidP="00640623">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640623">
        <w:rPr>
          <w:rFonts w:ascii="Times New Roman" w:eastAsia="Times New Roman" w:hAnsi="Times New Roman" w:cs="Times New Roman"/>
          <w:b/>
          <w:bCs/>
          <w:kern w:val="0"/>
          <w:sz w:val="27"/>
          <w:szCs w:val="27"/>
          <w14:ligatures w14:val="none"/>
        </w:rPr>
        <w:t>5.3 Investigations, prosecutions, and sanctions</w:t>
      </w:r>
    </w:p>
    <w:p w14:paraId="2ECA3314" w14:textId="77777777" w:rsidR="00640623" w:rsidRPr="00640623" w:rsidRDefault="00640623" w:rsidP="00640623">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Statistics (2014–2025) on: investigations opened, suspects identified, indictments filed, convictions obtained, sanctions imposed, and reparations granted, including breakdown by authority and region.</w:t>
      </w:r>
    </w:p>
    <w:p w14:paraId="1E16419C" w14:textId="77777777" w:rsidR="00640623" w:rsidRDefault="00640623" w:rsidP="00640623">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Proof of independence and effectiveness of investigations, including timelines and public reporting.</w:t>
      </w:r>
    </w:p>
    <w:p w14:paraId="5E102EA1" w14:textId="77777777" w:rsidR="00640623" w:rsidRPr="00640623" w:rsidRDefault="00640623" w:rsidP="00640623">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56DFD21D" w14:textId="77777777" w:rsidR="00640623" w:rsidRPr="00640623" w:rsidRDefault="00640623" w:rsidP="00640623">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640623">
        <w:rPr>
          <w:rFonts w:ascii="Times New Roman" w:eastAsia="Times New Roman" w:hAnsi="Times New Roman" w:cs="Times New Roman"/>
          <w:b/>
          <w:bCs/>
          <w:kern w:val="0"/>
          <w:sz w:val="27"/>
          <w:szCs w:val="27"/>
          <w14:ligatures w14:val="none"/>
        </w:rPr>
        <w:t>5.4 Victim rights and protection</w:t>
      </w:r>
    </w:p>
    <w:p w14:paraId="638C9792" w14:textId="77777777" w:rsidR="00640623" w:rsidRDefault="00640623" w:rsidP="00640623">
      <w:pPr>
        <w:numPr>
          <w:ilvl w:val="0"/>
          <w:numId w:val="28"/>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Legal aid coverage, complaint accessibility, measures against reprisals, and victim rehabilitation services (medical, psychosocial, legal).</w:t>
      </w:r>
    </w:p>
    <w:p w14:paraId="135417EF" w14:textId="77777777" w:rsid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6B466895"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239FB19B" w14:textId="1D0DADAC" w:rsidR="00640623" w:rsidRDefault="00640623" w:rsidP="00640623">
      <w:pPr>
        <w:spacing w:after="0" w:line="240" w:lineRule="auto"/>
        <w:jc w:val="both"/>
        <w:rPr>
          <w:rFonts w:ascii="Times New Roman" w:eastAsia="Times New Roman" w:hAnsi="Times New Roman" w:cs="Times New Roman"/>
          <w:kern w:val="0"/>
          <w:sz w:val="24"/>
          <w:szCs w:val="24"/>
          <w14:ligatures w14:val="none"/>
        </w:rPr>
      </w:pPr>
    </w:p>
    <w:p w14:paraId="2A77AEF4" w14:textId="77777777" w:rsidR="00640623" w:rsidRDefault="00640623" w:rsidP="00640623">
      <w:pPr>
        <w:spacing w:after="0" w:line="240" w:lineRule="auto"/>
        <w:jc w:val="both"/>
        <w:rPr>
          <w:rFonts w:ascii="Times New Roman" w:eastAsia="Times New Roman" w:hAnsi="Times New Roman" w:cs="Times New Roman"/>
          <w:kern w:val="0"/>
          <w:sz w:val="24"/>
          <w:szCs w:val="24"/>
          <w14:ligatures w14:val="none"/>
        </w:rPr>
      </w:pPr>
    </w:p>
    <w:p w14:paraId="54FD7A38" w14:textId="77777777" w:rsidR="00640623" w:rsidRDefault="00640623" w:rsidP="00640623">
      <w:pPr>
        <w:spacing w:after="0" w:line="240" w:lineRule="auto"/>
        <w:jc w:val="both"/>
        <w:rPr>
          <w:rFonts w:ascii="Times New Roman" w:eastAsia="Times New Roman" w:hAnsi="Times New Roman" w:cs="Times New Roman"/>
          <w:kern w:val="0"/>
          <w:sz w:val="24"/>
          <w:szCs w:val="24"/>
          <w14:ligatures w14:val="none"/>
        </w:rPr>
      </w:pPr>
    </w:p>
    <w:p w14:paraId="406D3A8F" w14:textId="77777777" w:rsidR="00640623" w:rsidRPr="00640623" w:rsidRDefault="00640623" w:rsidP="00640623">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640623">
        <w:rPr>
          <w:rFonts w:ascii="Times New Roman" w:eastAsia="Times New Roman" w:hAnsi="Times New Roman" w:cs="Times New Roman"/>
          <w:b/>
          <w:bCs/>
          <w:kern w:val="0"/>
          <w:sz w:val="36"/>
          <w:szCs w:val="36"/>
          <w14:ligatures w14:val="none"/>
        </w:rPr>
        <w:t>6. Targeted Recommendations for Concluding Follow-Up</w:t>
      </w:r>
    </w:p>
    <w:p w14:paraId="396C6314"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AIDL urges the Committee to recommend that Iraq:</w:t>
      </w:r>
    </w:p>
    <w:p w14:paraId="0E21DC06" w14:textId="77777777" w:rsidR="00640623" w:rsidRPr="00640623" w:rsidRDefault="00640623" w:rsidP="00640623">
      <w:pPr>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Establish a </w:t>
      </w:r>
      <w:r w:rsidRPr="00640623">
        <w:rPr>
          <w:rFonts w:ascii="Times New Roman" w:eastAsia="Times New Roman" w:hAnsi="Times New Roman" w:cs="Times New Roman"/>
          <w:b/>
          <w:bCs/>
          <w:kern w:val="0"/>
          <w:sz w:val="24"/>
          <w:szCs w:val="24"/>
          <w14:ligatures w14:val="none"/>
        </w:rPr>
        <w:t>national, unified detention registration and traceability system</w:t>
      </w:r>
      <w:r w:rsidRPr="00640623">
        <w:rPr>
          <w:rFonts w:ascii="Times New Roman" w:eastAsia="Times New Roman" w:hAnsi="Times New Roman" w:cs="Times New Roman"/>
          <w:kern w:val="0"/>
          <w:sz w:val="24"/>
          <w:szCs w:val="24"/>
          <w14:ligatures w14:val="none"/>
        </w:rPr>
        <w:t>, independently auditable, with enforceable sanctions.</w:t>
      </w:r>
    </w:p>
    <w:p w14:paraId="440278EB" w14:textId="281395AA" w:rsidR="00640623" w:rsidRPr="00640623" w:rsidRDefault="00640623" w:rsidP="00640623">
      <w:pPr>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Operationalize a </w:t>
      </w:r>
      <w:r w:rsidRPr="00640623">
        <w:rPr>
          <w:rFonts w:ascii="Times New Roman" w:eastAsia="Times New Roman" w:hAnsi="Times New Roman" w:cs="Times New Roman"/>
          <w:b/>
          <w:bCs/>
          <w:kern w:val="0"/>
          <w:sz w:val="24"/>
          <w:szCs w:val="24"/>
          <w14:ligatures w14:val="none"/>
        </w:rPr>
        <w:t>national search mechanism</w:t>
      </w:r>
      <w:r w:rsidRPr="00640623">
        <w:rPr>
          <w:rFonts w:ascii="Times New Roman" w:eastAsia="Times New Roman" w:hAnsi="Times New Roman" w:cs="Times New Roman"/>
          <w:kern w:val="0"/>
          <w:sz w:val="24"/>
          <w:szCs w:val="24"/>
          <w14:ligatures w14:val="none"/>
        </w:rPr>
        <w:t xml:space="preserve"> consistent with CED Guiding Principles, with family participation and forensic integrity. </w:t>
      </w:r>
    </w:p>
    <w:p w14:paraId="2DE5A5B1" w14:textId="77777777" w:rsidR="00640623" w:rsidRPr="00640623" w:rsidRDefault="00640623" w:rsidP="00640623">
      <w:pPr>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Deliver measurable accountability outcomes: investigations, prosecutions, convictions, and sanctions, with annual public reporting.</w:t>
      </w:r>
    </w:p>
    <w:p w14:paraId="5E12345E" w14:textId="77777777" w:rsidR="00640623" w:rsidRPr="00640623" w:rsidRDefault="00640623" w:rsidP="00640623">
      <w:pPr>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Guarantee the right to truth through transparent, victim-centred procedures, including case communication protocols for families.</w:t>
      </w:r>
    </w:p>
    <w:p w14:paraId="0C5B0021" w14:textId="2ECF9825" w:rsidR="00640623" w:rsidRPr="00640623" w:rsidRDefault="00640623" w:rsidP="00640623">
      <w:pPr>
        <w:numPr>
          <w:ilvl w:val="0"/>
          <w:numId w:val="2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Ensure effective remedies and reparation, including rehabilitation and protection from reprisals.</w:t>
      </w:r>
    </w:p>
    <w:p w14:paraId="1A20A385" w14:textId="77777777" w:rsidR="00640623" w:rsidRPr="00640623" w:rsidRDefault="00640623" w:rsidP="00640623">
      <w:pPr>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640623">
        <w:rPr>
          <w:rFonts w:ascii="Times New Roman" w:eastAsia="Times New Roman" w:hAnsi="Times New Roman" w:cs="Times New Roman"/>
          <w:b/>
          <w:bCs/>
          <w:kern w:val="0"/>
          <w:sz w:val="36"/>
          <w:szCs w:val="36"/>
          <w14:ligatures w14:val="none"/>
        </w:rPr>
        <w:t>7. Concluding Statement</w:t>
      </w:r>
    </w:p>
    <w:p w14:paraId="712DDB43" w14:textId="77777777"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Iraq’s additional information procedure must not become an administrative cycle without consequences. The Committee should require Iraq to demonstrate </w:t>
      </w:r>
      <w:r w:rsidRPr="00640623">
        <w:rPr>
          <w:rFonts w:ascii="Times New Roman" w:eastAsia="Times New Roman" w:hAnsi="Times New Roman" w:cs="Times New Roman"/>
          <w:b/>
          <w:bCs/>
          <w:kern w:val="0"/>
          <w:sz w:val="24"/>
          <w:szCs w:val="24"/>
          <w14:ligatures w14:val="none"/>
        </w:rPr>
        <w:t>proof of practice</w:t>
      </w:r>
      <w:r w:rsidRPr="00640623">
        <w:rPr>
          <w:rFonts w:ascii="Times New Roman" w:eastAsia="Times New Roman" w:hAnsi="Times New Roman" w:cs="Times New Roman"/>
          <w:kern w:val="0"/>
          <w:sz w:val="24"/>
          <w:szCs w:val="24"/>
          <w14:ligatures w14:val="none"/>
        </w:rPr>
        <w:t>: functioning registers, active search with results, independent investigations producing convictions, and enforceable remedies.</w:t>
      </w:r>
    </w:p>
    <w:p w14:paraId="07419127" w14:textId="1798E93A" w:rsidR="00640623" w:rsidRPr="00640623" w:rsidRDefault="00640623" w:rsidP="00640623">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40623">
        <w:rPr>
          <w:rFonts w:ascii="Times New Roman" w:eastAsia="Times New Roman" w:hAnsi="Times New Roman" w:cs="Times New Roman"/>
          <w:kern w:val="0"/>
          <w:sz w:val="24"/>
          <w:szCs w:val="24"/>
          <w14:ligatures w14:val="none"/>
        </w:rPr>
        <w:t xml:space="preserve">AIDL submits this report as a firm accountability instrument, consistent with the Committee’s mandate to dismantle enforced disappearance as a practice and to restore the rights of victims and families to truth, justice, and reparation. </w:t>
      </w:r>
    </w:p>
    <w:p w14:paraId="5D58D89E" w14:textId="6481E71C" w:rsidR="00027D5C" w:rsidRPr="00640623" w:rsidRDefault="00027D5C" w:rsidP="00640623">
      <w:pPr>
        <w:spacing w:after="0" w:line="240" w:lineRule="auto"/>
        <w:jc w:val="both"/>
        <w:rPr>
          <w:rFonts w:ascii="Times New Roman" w:eastAsia="Times New Roman" w:hAnsi="Times New Roman" w:cs="Times New Roman"/>
          <w:kern w:val="0"/>
          <w:sz w:val="24"/>
          <w:szCs w:val="24"/>
          <w14:ligatures w14:val="none"/>
        </w:rPr>
      </w:pPr>
    </w:p>
    <w:sectPr w:rsidR="00027D5C" w:rsidRPr="00640623" w:rsidSect="00E67BD9">
      <w:headerReference w:type="default" r:id="rId9"/>
      <w:pgSz w:w="11906" w:h="16838" w:code="9"/>
      <w:pgMar w:top="1440" w:right="991"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81C3A" w14:textId="77777777" w:rsidR="00F57CF0" w:rsidRDefault="00F57CF0" w:rsidP="00F51A9C">
      <w:pPr>
        <w:spacing w:after="0" w:line="240" w:lineRule="auto"/>
      </w:pPr>
      <w:r>
        <w:separator/>
      </w:r>
    </w:p>
  </w:endnote>
  <w:endnote w:type="continuationSeparator" w:id="0">
    <w:p w14:paraId="7E7A91AA" w14:textId="77777777" w:rsidR="00F57CF0" w:rsidRDefault="00F57CF0" w:rsidP="00F51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BFACE" w14:textId="77777777" w:rsidR="00F57CF0" w:rsidRDefault="00F57CF0" w:rsidP="00F51A9C">
      <w:pPr>
        <w:spacing w:after="0" w:line="240" w:lineRule="auto"/>
      </w:pPr>
      <w:r>
        <w:separator/>
      </w:r>
    </w:p>
  </w:footnote>
  <w:footnote w:type="continuationSeparator" w:id="0">
    <w:p w14:paraId="293FDE74" w14:textId="77777777" w:rsidR="00F57CF0" w:rsidRDefault="00F57CF0" w:rsidP="00F51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B4959" w14:textId="720495A0" w:rsidR="00F51A9C" w:rsidRDefault="00F51A9C">
    <w:pPr>
      <w:pStyle w:val="Header"/>
    </w:pPr>
    <w:r>
      <w:rPr>
        <w:noProof/>
      </w:rPr>
      <w:drawing>
        <wp:anchor distT="0" distB="0" distL="114300" distR="114300" simplePos="0" relativeHeight="251658240" behindDoc="1" locked="0" layoutInCell="1" allowOverlap="1" wp14:anchorId="34ED1868" wp14:editId="1658123F">
          <wp:simplePos x="0" y="0"/>
          <wp:positionH relativeFrom="margin">
            <wp:posOffset>-882869</wp:posOffset>
          </wp:positionH>
          <wp:positionV relativeFrom="paragraph">
            <wp:posOffset>-425669</wp:posOffset>
          </wp:positionV>
          <wp:extent cx="7503160" cy="10641724"/>
          <wp:effectExtent l="0" t="0" r="2540" b="7620"/>
          <wp:wrapNone/>
          <wp:docPr id="865172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42095" cy="1069694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5078"/>
    <w:multiLevelType w:val="multilevel"/>
    <w:tmpl w:val="A1D04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46F58"/>
    <w:multiLevelType w:val="multilevel"/>
    <w:tmpl w:val="9B8025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7C21C2"/>
    <w:multiLevelType w:val="multilevel"/>
    <w:tmpl w:val="881E6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79364F"/>
    <w:multiLevelType w:val="multilevel"/>
    <w:tmpl w:val="6B18E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A0E75"/>
    <w:multiLevelType w:val="multilevel"/>
    <w:tmpl w:val="96085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DE79A6"/>
    <w:multiLevelType w:val="multilevel"/>
    <w:tmpl w:val="4AD2EF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774C9A"/>
    <w:multiLevelType w:val="multilevel"/>
    <w:tmpl w:val="072A2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2A0D99"/>
    <w:multiLevelType w:val="multilevel"/>
    <w:tmpl w:val="B4C68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ED601C"/>
    <w:multiLevelType w:val="multilevel"/>
    <w:tmpl w:val="DDC6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D93F87"/>
    <w:multiLevelType w:val="multilevel"/>
    <w:tmpl w:val="DD7A55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5552CF"/>
    <w:multiLevelType w:val="multilevel"/>
    <w:tmpl w:val="2236BDB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AD06EF"/>
    <w:multiLevelType w:val="multilevel"/>
    <w:tmpl w:val="40DE164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3C441D"/>
    <w:multiLevelType w:val="multilevel"/>
    <w:tmpl w:val="9F588A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391F45"/>
    <w:multiLevelType w:val="multilevel"/>
    <w:tmpl w:val="9A58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DE2C0D"/>
    <w:multiLevelType w:val="multilevel"/>
    <w:tmpl w:val="4D4CE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6F5EF0"/>
    <w:multiLevelType w:val="multilevel"/>
    <w:tmpl w:val="D2B283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4973B4"/>
    <w:multiLevelType w:val="multilevel"/>
    <w:tmpl w:val="2F68F4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7016CE"/>
    <w:multiLevelType w:val="multilevel"/>
    <w:tmpl w:val="2FE02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BC49B4"/>
    <w:multiLevelType w:val="multilevel"/>
    <w:tmpl w:val="8EC4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C63BC8"/>
    <w:multiLevelType w:val="multilevel"/>
    <w:tmpl w:val="23A61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005E03"/>
    <w:multiLevelType w:val="multilevel"/>
    <w:tmpl w:val="DB8E712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4C5383"/>
    <w:multiLevelType w:val="multilevel"/>
    <w:tmpl w:val="3E34B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073F70"/>
    <w:multiLevelType w:val="multilevel"/>
    <w:tmpl w:val="FCD4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B91EEC"/>
    <w:multiLevelType w:val="multilevel"/>
    <w:tmpl w:val="DB68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C21485"/>
    <w:multiLevelType w:val="multilevel"/>
    <w:tmpl w:val="BC080B9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A16F06"/>
    <w:multiLevelType w:val="multilevel"/>
    <w:tmpl w:val="19F6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7D353D"/>
    <w:multiLevelType w:val="multilevel"/>
    <w:tmpl w:val="6C7EB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665281"/>
    <w:multiLevelType w:val="multilevel"/>
    <w:tmpl w:val="ACF0D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A175A4"/>
    <w:multiLevelType w:val="multilevel"/>
    <w:tmpl w:val="AD8C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9638590">
    <w:abstractNumId w:val="19"/>
  </w:num>
  <w:num w:numId="2" w16cid:durableId="2065516937">
    <w:abstractNumId w:val="14"/>
  </w:num>
  <w:num w:numId="3" w16cid:durableId="1045327936">
    <w:abstractNumId w:val="22"/>
  </w:num>
  <w:num w:numId="4" w16cid:durableId="1519469022">
    <w:abstractNumId w:val="8"/>
  </w:num>
  <w:num w:numId="5" w16cid:durableId="306596875">
    <w:abstractNumId w:val="13"/>
  </w:num>
  <w:num w:numId="6" w16cid:durableId="1708946107">
    <w:abstractNumId w:val="3"/>
  </w:num>
  <w:num w:numId="7" w16cid:durableId="1709330312">
    <w:abstractNumId w:val="21"/>
  </w:num>
  <w:num w:numId="8" w16cid:durableId="1339576508">
    <w:abstractNumId w:val="18"/>
  </w:num>
  <w:num w:numId="9" w16cid:durableId="2009937396">
    <w:abstractNumId w:val="4"/>
  </w:num>
  <w:num w:numId="10" w16cid:durableId="93332958">
    <w:abstractNumId w:val="6"/>
  </w:num>
  <w:num w:numId="11" w16cid:durableId="451243711">
    <w:abstractNumId w:val="25"/>
  </w:num>
  <w:num w:numId="12" w16cid:durableId="315375086">
    <w:abstractNumId w:val="27"/>
  </w:num>
  <w:num w:numId="13" w16cid:durableId="265187996">
    <w:abstractNumId w:val="9"/>
  </w:num>
  <w:num w:numId="14" w16cid:durableId="1725980681">
    <w:abstractNumId w:val="12"/>
  </w:num>
  <w:num w:numId="15" w16cid:durableId="194117815">
    <w:abstractNumId w:val="5"/>
  </w:num>
  <w:num w:numId="16" w16cid:durableId="280185874">
    <w:abstractNumId w:val="11"/>
  </w:num>
  <w:num w:numId="17" w16cid:durableId="1313219314">
    <w:abstractNumId w:val="10"/>
  </w:num>
  <w:num w:numId="18" w16cid:durableId="595288432">
    <w:abstractNumId w:val="24"/>
  </w:num>
  <w:num w:numId="19" w16cid:durableId="1864512274">
    <w:abstractNumId w:val="20"/>
  </w:num>
  <w:num w:numId="20" w16cid:durableId="1543904067">
    <w:abstractNumId w:val="26"/>
  </w:num>
  <w:num w:numId="21" w16cid:durableId="138084391">
    <w:abstractNumId w:val="23"/>
  </w:num>
  <w:num w:numId="22" w16cid:durableId="1535119328">
    <w:abstractNumId w:val="28"/>
  </w:num>
  <w:num w:numId="23" w16cid:durableId="1312903263">
    <w:abstractNumId w:val="17"/>
  </w:num>
  <w:num w:numId="24" w16cid:durableId="2122451307">
    <w:abstractNumId w:val="0"/>
  </w:num>
  <w:num w:numId="25" w16cid:durableId="961838820">
    <w:abstractNumId w:val="2"/>
  </w:num>
  <w:num w:numId="26" w16cid:durableId="514998130">
    <w:abstractNumId w:val="15"/>
  </w:num>
  <w:num w:numId="27" w16cid:durableId="1664159594">
    <w:abstractNumId w:val="16"/>
  </w:num>
  <w:num w:numId="28" w16cid:durableId="1874879841">
    <w:abstractNumId w:val="1"/>
  </w:num>
  <w:num w:numId="29" w16cid:durableId="13658661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A9C"/>
    <w:rsid w:val="000075B7"/>
    <w:rsid w:val="00025B14"/>
    <w:rsid w:val="00027D5C"/>
    <w:rsid w:val="000832F8"/>
    <w:rsid w:val="000C01D7"/>
    <w:rsid w:val="00123FE8"/>
    <w:rsid w:val="00191133"/>
    <w:rsid w:val="00272C4B"/>
    <w:rsid w:val="00283E96"/>
    <w:rsid w:val="002C6634"/>
    <w:rsid w:val="002D2692"/>
    <w:rsid w:val="00361C89"/>
    <w:rsid w:val="00462F39"/>
    <w:rsid w:val="00507986"/>
    <w:rsid w:val="005616F8"/>
    <w:rsid w:val="00577A8E"/>
    <w:rsid w:val="005B080B"/>
    <w:rsid w:val="006239C3"/>
    <w:rsid w:val="00640623"/>
    <w:rsid w:val="00693CF5"/>
    <w:rsid w:val="00732349"/>
    <w:rsid w:val="00741881"/>
    <w:rsid w:val="00750DE9"/>
    <w:rsid w:val="00A11038"/>
    <w:rsid w:val="00A24983"/>
    <w:rsid w:val="00A70FCA"/>
    <w:rsid w:val="00B4515B"/>
    <w:rsid w:val="00BB0710"/>
    <w:rsid w:val="00C77676"/>
    <w:rsid w:val="00CE2869"/>
    <w:rsid w:val="00D855B3"/>
    <w:rsid w:val="00E67BD9"/>
    <w:rsid w:val="00F31C7B"/>
    <w:rsid w:val="00F51A9C"/>
    <w:rsid w:val="00F57C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BFC27"/>
  <w15:chartTrackingRefBased/>
  <w15:docId w15:val="{92B69F94-D2C0-4527-85A9-688F0332F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1A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A9C"/>
  </w:style>
  <w:style w:type="paragraph" w:styleId="Footer">
    <w:name w:val="footer"/>
    <w:basedOn w:val="Normal"/>
    <w:link w:val="FooterChar"/>
    <w:uiPriority w:val="99"/>
    <w:unhideWhenUsed/>
    <w:rsid w:val="00F51A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A9C"/>
  </w:style>
  <w:style w:type="paragraph" w:styleId="NormalWeb">
    <w:name w:val="Normal (Web)"/>
    <w:basedOn w:val="Normal"/>
    <w:uiPriority w:val="99"/>
    <w:unhideWhenUsed/>
    <w:rsid w:val="005616F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62F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idl.eu/"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AIDL@AIDL.EU"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2026-01-21T09:40:09+00:00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D982060-1451-499A-85F3-1350DCAED889}"/>
</file>

<file path=customXml/itemProps2.xml><?xml version="1.0" encoding="utf-8"?>
<ds:datastoreItem xmlns:ds="http://schemas.openxmlformats.org/officeDocument/2006/customXml" ds:itemID="{84126046-5E91-4813-BD9C-0CFA6A76CD96}"/>
</file>

<file path=customXml/itemProps3.xml><?xml version="1.0" encoding="utf-8"?>
<ds:datastoreItem xmlns:ds="http://schemas.openxmlformats.org/officeDocument/2006/customXml" ds:itemID="{3376B7FF-0674-44BC-9463-4667500F6E8D}"/>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5</Pages>
  <Words>1312</Words>
  <Characters>7480</Characters>
  <Application>Microsoft Office Word</Application>
  <DocSecurity>0</DocSecurity>
  <Lines>62</Lines>
  <Paragraphs>17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almufti ahmed</dc:creator>
  <cp:keywords/>
  <dc:description/>
  <cp:lastModifiedBy>Perrine Deja</cp:lastModifiedBy>
  <cp:revision>2</cp:revision>
  <dcterms:created xsi:type="dcterms:W3CDTF">2026-01-21T09:40:00Z</dcterms:created>
  <dcterms:modified xsi:type="dcterms:W3CDTF">2026-01-21T09:40:00Z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