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0" w:line="264" w:lineRule="auto"/>
        <w:rPr>
          <w:b w:val="1"/>
          <w:sz w:val="20"/>
          <w:szCs w:val="20"/>
        </w:rPr>
      </w:pPr>
      <w:r w:rsidDel="00000000" w:rsidR="00000000" w:rsidRPr="00000000">
        <w:rPr>
          <w:rtl w:val="0"/>
        </w:rPr>
      </w:r>
    </w:p>
    <w:p w:rsidR="00000000" w:rsidDel="00000000" w:rsidP="00000000" w:rsidRDefault="00000000" w:rsidRPr="00000000" w14:paraId="00000002">
      <w:pPr>
        <w:spacing w:before="0" w:line="264" w:lineRule="auto"/>
        <w:rPr>
          <w:b w:val="1"/>
          <w:sz w:val="20"/>
          <w:szCs w:val="20"/>
        </w:rPr>
      </w:pPr>
      <w:r w:rsidDel="00000000" w:rsidR="00000000" w:rsidRPr="00000000">
        <w:rPr>
          <w:rtl w:val="0"/>
        </w:rPr>
      </w:r>
    </w:p>
    <w:p w:rsidR="00000000" w:rsidDel="00000000" w:rsidP="00000000" w:rsidRDefault="00000000" w:rsidRPr="00000000" w14:paraId="00000003">
      <w:pPr>
        <w:spacing w:before="0" w:line="264" w:lineRule="auto"/>
        <w:rPr>
          <w:b w:val="1"/>
          <w:sz w:val="20"/>
          <w:szCs w:val="20"/>
        </w:rPr>
      </w:pPr>
      <w:r w:rsidDel="00000000" w:rsidR="00000000" w:rsidRPr="00000000">
        <w:rPr>
          <w:rtl w:val="0"/>
        </w:rPr>
      </w:r>
    </w:p>
    <w:p w:rsidR="00000000" w:rsidDel="00000000" w:rsidP="00000000" w:rsidRDefault="00000000" w:rsidRPr="00000000" w14:paraId="00000004">
      <w:pPr>
        <w:spacing w:before="0" w:line="264" w:lineRule="auto"/>
        <w:rPr>
          <w:b w:val="1"/>
          <w:sz w:val="20"/>
          <w:szCs w:val="20"/>
        </w:rPr>
      </w:pPr>
      <w:r w:rsidDel="00000000" w:rsidR="00000000" w:rsidRPr="00000000">
        <w:rPr>
          <w:rtl w:val="0"/>
        </w:rPr>
      </w:r>
    </w:p>
    <w:p w:rsidR="00000000" w:rsidDel="00000000" w:rsidP="00000000" w:rsidRDefault="00000000" w:rsidRPr="00000000" w14:paraId="00000005">
      <w:pPr>
        <w:spacing w:before="0" w:line="264" w:lineRule="auto"/>
        <w:rPr>
          <w:b w:val="1"/>
          <w:sz w:val="20"/>
          <w:szCs w:val="20"/>
        </w:rPr>
      </w:pPr>
      <w:r w:rsidDel="00000000" w:rsidR="00000000" w:rsidRPr="00000000">
        <w:rPr>
          <w:rtl w:val="0"/>
        </w:rPr>
      </w:r>
    </w:p>
    <w:p w:rsidR="00000000" w:rsidDel="00000000" w:rsidP="00000000" w:rsidRDefault="00000000" w:rsidRPr="00000000" w14:paraId="00000006">
      <w:pPr>
        <w:spacing w:before="0" w:line="264" w:lineRule="auto"/>
        <w:rPr>
          <w:b w:val="1"/>
          <w:sz w:val="20"/>
          <w:szCs w:val="20"/>
        </w:rPr>
      </w:pPr>
      <w:r w:rsidDel="00000000" w:rsidR="00000000" w:rsidRPr="00000000">
        <w:rPr>
          <w:rtl w:val="0"/>
        </w:rPr>
      </w:r>
    </w:p>
    <w:p w:rsidR="00000000" w:rsidDel="00000000" w:rsidP="00000000" w:rsidRDefault="00000000" w:rsidRPr="00000000" w14:paraId="00000007">
      <w:pPr>
        <w:spacing w:before="0" w:line="264" w:lineRule="auto"/>
        <w:rPr>
          <w:b w:val="1"/>
          <w:sz w:val="20"/>
          <w:szCs w:val="20"/>
        </w:rPr>
      </w:pPr>
      <w:r w:rsidDel="00000000" w:rsidR="00000000" w:rsidRPr="00000000">
        <w:rPr>
          <w:rtl w:val="0"/>
        </w:rPr>
      </w:r>
    </w:p>
    <w:p w:rsidR="00000000" w:rsidDel="00000000" w:rsidP="00000000" w:rsidRDefault="00000000" w:rsidRPr="00000000" w14:paraId="00000008">
      <w:pPr>
        <w:spacing w:before="0" w:line="264" w:lineRule="auto"/>
        <w:rPr>
          <w:b w:val="1"/>
          <w:sz w:val="20"/>
          <w:szCs w:val="20"/>
        </w:rPr>
      </w:pPr>
      <w:r w:rsidDel="00000000" w:rsidR="00000000" w:rsidRPr="00000000">
        <w:rPr>
          <w:rtl w:val="0"/>
        </w:rPr>
      </w:r>
    </w:p>
    <w:p w:rsidR="00000000" w:rsidDel="00000000" w:rsidP="00000000" w:rsidRDefault="00000000" w:rsidRPr="00000000" w14:paraId="00000009">
      <w:pPr>
        <w:spacing w:before="0" w:line="264" w:lineRule="auto"/>
        <w:rPr>
          <w:b w:val="1"/>
          <w:sz w:val="20"/>
          <w:szCs w:val="20"/>
        </w:rPr>
      </w:pPr>
      <w:r w:rsidDel="00000000" w:rsidR="00000000" w:rsidRPr="00000000">
        <w:rPr>
          <w:rtl w:val="0"/>
        </w:rPr>
      </w:r>
    </w:p>
    <w:p w:rsidR="00000000" w:rsidDel="00000000" w:rsidP="00000000" w:rsidRDefault="00000000" w:rsidRPr="00000000" w14:paraId="0000000A">
      <w:pPr>
        <w:spacing w:before="0" w:line="264" w:lineRule="auto"/>
        <w:rPr>
          <w:b w:val="1"/>
          <w:sz w:val="20"/>
          <w:szCs w:val="20"/>
        </w:rPr>
      </w:pPr>
      <w:r w:rsidDel="00000000" w:rsidR="00000000" w:rsidRPr="00000000">
        <w:rPr>
          <w:rtl w:val="0"/>
        </w:rPr>
      </w:r>
    </w:p>
    <w:p w:rsidR="00000000" w:rsidDel="00000000" w:rsidP="00000000" w:rsidRDefault="00000000" w:rsidRPr="00000000" w14:paraId="0000000B">
      <w:pPr>
        <w:spacing w:before="0" w:line="264" w:lineRule="auto"/>
        <w:rPr>
          <w:b w:val="1"/>
          <w:sz w:val="20"/>
          <w:szCs w:val="20"/>
        </w:rPr>
      </w:pPr>
      <w:r w:rsidDel="00000000" w:rsidR="00000000" w:rsidRPr="00000000">
        <w:rPr>
          <w:rtl w:val="0"/>
        </w:rPr>
      </w:r>
    </w:p>
    <w:p w:rsidR="00000000" w:rsidDel="00000000" w:rsidP="00000000" w:rsidRDefault="00000000" w:rsidRPr="00000000" w14:paraId="0000000C">
      <w:pPr>
        <w:spacing w:before="0" w:line="264" w:lineRule="auto"/>
        <w:rPr>
          <w:b w:val="1"/>
          <w:sz w:val="20"/>
          <w:szCs w:val="20"/>
        </w:rPr>
      </w:pPr>
      <w:r w:rsidDel="00000000" w:rsidR="00000000" w:rsidRPr="00000000">
        <w:rPr>
          <w:rtl w:val="0"/>
        </w:rPr>
      </w:r>
    </w:p>
    <w:p w:rsidR="00000000" w:rsidDel="00000000" w:rsidP="00000000" w:rsidRDefault="00000000" w:rsidRPr="00000000" w14:paraId="0000000D">
      <w:pPr>
        <w:spacing w:before="0" w:line="264" w:lineRule="auto"/>
        <w:rPr>
          <w:b w:val="1"/>
          <w:sz w:val="20"/>
          <w:szCs w:val="20"/>
        </w:rPr>
      </w:pPr>
      <w:r w:rsidDel="00000000" w:rsidR="00000000" w:rsidRPr="00000000">
        <w:rPr>
          <w:rtl w:val="0"/>
        </w:rPr>
      </w:r>
    </w:p>
    <w:p w:rsidR="00000000" w:rsidDel="00000000" w:rsidP="00000000" w:rsidRDefault="00000000" w:rsidRPr="00000000" w14:paraId="0000000E">
      <w:pPr>
        <w:spacing w:before="0" w:line="264" w:lineRule="auto"/>
        <w:rPr>
          <w:b w:val="1"/>
          <w:sz w:val="20"/>
          <w:szCs w:val="20"/>
        </w:rPr>
      </w:pPr>
      <w:r w:rsidDel="00000000" w:rsidR="00000000" w:rsidRPr="00000000">
        <w:rPr>
          <w:rtl w:val="0"/>
        </w:rPr>
      </w:r>
    </w:p>
    <w:p w:rsidR="00000000" w:rsidDel="00000000" w:rsidP="00000000" w:rsidRDefault="00000000" w:rsidRPr="00000000" w14:paraId="0000000F">
      <w:pPr>
        <w:spacing w:before="0" w:line="264" w:lineRule="auto"/>
        <w:rPr>
          <w:b w:val="1"/>
          <w:sz w:val="20"/>
          <w:szCs w:val="20"/>
        </w:rPr>
      </w:pPr>
      <w:r w:rsidDel="00000000" w:rsidR="00000000" w:rsidRPr="00000000">
        <w:rPr>
          <w:rtl w:val="0"/>
        </w:rPr>
      </w:r>
    </w:p>
    <w:p w:rsidR="00000000" w:rsidDel="00000000" w:rsidP="00000000" w:rsidRDefault="00000000" w:rsidRPr="00000000" w14:paraId="00000010">
      <w:pPr>
        <w:spacing w:before="0" w:line="264" w:lineRule="auto"/>
        <w:rPr>
          <w:b w:val="1"/>
          <w:sz w:val="20"/>
          <w:szCs w:val="20"/>
        </w:rPr>
      </w:pPr>
      <w:r w:rsidDel="00000000" w:rsidR="00000000" w:rsidRPr="00000000">
        <w:rPr>
          <w:rtl w:val="0"/>
        </w:rPr>
      </w:r>
    </w:p>
    <w:p w:rsidR="00000000" w:rsidDel="00000000" w:rsidP="00000000" w:rsidRDefault="00000000" w:rsidRPr="00000000" w14:paraId="00000011">
      <w:pPr>
        <w:spacing w:before="0" w:line="264" w:lineRule="auto"/>
        <w:rPr>
          <w:b w:val="1"/>
          <w:sz w:val="20"/>
          <w:szCs w:val="20"/>
        </w:rPr>
      </w:pPr>
      <w:r w:rsidDel="00000000" w:rsidR="00000000" w:rsidRPr="00000000">
        <w:rPr>
          <w:rtl w:val="0"/>
        </w:rPr>
      </w:r>
    </w:p>
    <w:p w:rsidR="00000000" w:rsidDel="00000000" w:rsidP="00000000" w:rsidRDefault="00000000" w:rsidRPr="00000000" w14:paraId="00000012">
      <w:pPr>
        <w:spacing w:before="0" w:line="264" w:lineRule="auto"/>
        <w:rPr>
          <w:b w:val="1"/>
          <w:sz w:val="20"/>
          <w:szCs w:val="20"/>
        </w:rPr>
      </w:pPr>
      <w:r w:rsidDel="00000000" w:rsidR="00000000" w:rsidRPr="00000000">
        <w:rPr>
          <w:rtl w:val="0"/>
        </w:rPr>
      </w:r>
    </w:p>
    <w:p w:rsidR="00000000" w:rsidDel="00000000" w:rsidP="00000000" w:rsidRDefault="00000000" w:rsidRPr="00000000" w14:paraId="00000013">
      <w:pPr>
        <w:spacing w:after="160" w:line="259" w:lineRule="auto"/>
        <w:jc w:val="center"/>
        <w:rPr>
          <w:b w:val="1"/>
        </w:rPr>
      </w:pPr>
      <w:r w:rsidDel="00000000" w:rsidR="00000000" w:rsidRPr="00000000">
        <w:rPr>
          <w:b w:val="1"/>
          <w:rtl w:val="0"/>
        </w:rPr>
        <w:t xml:space="preserve">NGO Alternative Report to the United Nations Committee on the Rights of the Child</w:t>
      </w:r>
    </w:p>
    <w:p w:rsidR="00000000" w:rsidDel="00000000" w:rsidP="00000000" w:rsidRDefault="00000000" w:rsidRPr="00000000" w14:paraId="00000014">
      <w:pPr>
        <w:spacing w:after="160" w:line="259" w:lineRule="auto"/>
        <w:jc w:val="center"/>
        <w:rPr>
          <w:b w:val="1"/>
        </w:rPr>
      </w:pPr>
      <w:r w:rsidDel="00000000" w:rsidR="00000000" w:rsidRPr="00000000">
        <w:rPr>
          <w:b w:val="1"/>
          <w:rtl w:val="0"/>
        </w:rPr>
        <w:t xml:space="preserve">October 2024</w:t>
      </w:r>
    </w:p>
    <w:p w:rsidR="00000000" w:rsidDel="00000000" w:rsidP="00000000" w:rsidRDefault="00000000" w:rsidRPr="00000000" w14:paraId="00000015">
      <w:pPr>
        <w:spacing w:before="0" w:line="264" w:lineRule="auto"/>
        <w:jc w:val="center"/>
        <w:rPr>
          <w:b w:val="1"/>
        </w:rPr>
      </w:pPr>
      <w:r w:rsidDel="00000000" w:rsidR="00000000" w:rsidRPr="00000000">
        <w:rPr>
          <w:b w:val="1"/>
          <w:rtl w:val="0"/>
        </w:rPr>
        <w:t xml:space="preserve">The status of LGBTIQ and gender diverse children in Malaysia </w:t>
      </w:r>
    </w:p>
    <w:p w:rsidR="00000000" w:rsidDel="00000000" w:rsidP="00000000" w:rsidRDefault="00000000" w:rsidRPr="00000000" w14:paraId="00000016">
      <w:pPr>
        <w:spacing w:before="0" w:line="264" w:lineRule="auto"/>
        <w:jc w:val="center"/>
        <w:rPr/>
      </w:pPr>
      <w:r w:rsidDel="00000000" w:rsidR="00000000" w:rsidRPr="00000000">
        <w:rPr>
          <w:rtl w:val="0"/>
        </w:rPr>
        <w:t xml:space="preserve">A joint submission</w:t>
      </w:r>
      <w:r w:rsidDel="00000000" w:rsidR="00000000" w:rsidRPr="00000000">
        <w:rPr>
          <w:rtl w:val="0"/>
        </w:rPr>
        <w:t xml:space="preserve"> by Justice for Sisters, PLUHO, PT Foundation, Jejaka </w:t>
      </w:r>
    </w:p>
    <w:p w:rsidR="00000000" w:rsidDel="00000000" w:rsidP="00000000" w:rsidRDefault="00000000" w:rsidRPr="00000000" w14:paraId="00000017">
      <w:pPr>
        <w:spacing w:before="0" w:line="264" w:lineRule="auto"/>
        <w:rPr>
          <w:sz w:val="24"/>
          <w:szCs w:val="24"/>
        </w:rPr>
      </w:pPr>
      <w:r w:rsidDel="00000000" w:rsidR="00000000" w:rsidRPr="00000000">
        <w:rPr>
          <w:rtl w:val="0"/>
        </w:rPr>
      </w:r>
    </w:p>
    <w:p w:rsidR="00000000" w:rsidDel="00000000" w:rsidP="00000000" w:rsidRDefault="00000000" w:rsidRPr="00000000" w14:paraId="00000018">
      <w:pPr>
        <w:spacing w:before="0" w:line="264" w:lineRule="auto"/>
        <w:rPr>
          <w:b w:val="1"/>
          <w:sz w:val="20"/>
          <w:szCs w:val="20"/>
        </w:rPr>
      </w:pPr>
      <w:r w:rsidDel="00000000" w:rsidR="00000000" w:rsidRPr="00000000">
        <w:rPr>
          <w:rtl w:val="0"/>
        </w:rPr>
      </w:r>
    </w:p>
    <w:p w:rsidR="00000000" w:rsidDel="00000000" w:rsidP="00000000" w:rsidRDefault="00000000" w:rsidRPr="00000000" w14:paraId="00000019">
      <w:pPr>
        <w:spacing w:before="0" w:line="264" w:lineRule="auto"/>
        <w:rPr>
          <w:b w:val="1"/>
          <w:sz w:val="20"/>
          <w:szCs w:val="20"/>
        </w:rPr>
      </w:pPr>
      <w:r w:rsidDel="00000000" w:rsidR="00000000" w:rsidRPr="00000000">
        <w:rPr>
          <w:rtl w:val="0"/>
        </w:rPr>
      </w:r>
    </w:p>
    <w:p w:rsidR="00000000" w:rsidDel="00000000" w:rsidP="00000000" w:rsidRDefault="00000000" w:rsidRPr="00000000" w14:paraId="0000001A">
      <w:pPr>
        <w:spacing w:before="0" w:line="264"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B">
      <w:pPr>
        <w:spacing w:before="0" w:line="264" w:lineRule="auto"/>
        <w:rPr>
          <w:b w:val="1"/>
          <w:sz w:val="24"/>
          <w:szCs w:val="24"/>
        </w:rPr>
      </w:pPr>
      <w:r w:rsidDel="00000000" w:rsidR="00000000" w:rsidRPr="00000000">
        <w:rPr>
          <w:b w:val="1"/>
          <w:sz w:val="24"/>
          <w:szCs w:val="24"/>
          <w:rtl w:val="0"/>
        </w:rPr>
        <w:t xml:space="preserve">Table of contents</w:t>
      </w:r>
    </w:p>
    <w:p w:rsidR="00000000" w:rsidDel="00000000" w:rsidP="00000000" w:rsidRDefault="00000000" w:rsidRPr="00000000" w14:paraId="0000001C">
      <w:pPr>
        <w:spacing w:before="0" w:line="264" w:lineRule="auto"/>
        <w:rPr>
          <w:b w:val="1"/>
          <w:sz w:val="20"/>
          <w:szCs w:val="2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D">
          <w:pPr>
            <w:widowControl w:val="0"/>
            <w:tabs>
              <w:tab w:val="right" w:leader="none" w:pos="12000"/>
            </w:tabs>
            <w:spacing w:before="60" w:line="240" w:lineRule="auto"/>
            <w:rPr>
              <w:i w:val="0"/>
              <w:smallCaps w:val="0"/>
              <w:strike w:val="0"/>
              <w:color w:val="000000"/>
              <w:sz w:val="20"/>
              <w:szCs w:val="20"/>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kmbbrik5q8r7">
            <w:r w:rsidDel="00000000" w:rsidR="00000000" w:rsidRPr="00000000">
              <w:rPr>
                <w:i w:val="0"/>
                <w:smallCaps w:val="0"/>
                <w:strike w:val="0"/>
                <w:color w:val="000000"/>
                <w:sz w:val="20"/>
                <w:szCs w:val="20"/>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rPr>
              <w:i w:val="0"/>
              <w:smallCaps w:val="0"/>
              <w:strike w:val="0"/>
              <w:color w:val="000000"/>
              <w:sz w:val="20"/>
              <w:szCs w:val="20"/>
              <w:u w:val="none"/>
              <w:shd w:fill="auto" w:val="clear"/>
              <w:vertAlign w:val="baseline"/>
            </w:rPr>
          </w:pPr>
          <w:hyperlink w:anchor="_rdw3k94ja1ro">
            <w:r w:rsidDel="00000000" w:rsidR="00000000" w:rsidRPr="00000000">
              <w:rPr>
                <w:i w:val="0"/>
                <w:smallCaps w:val="0"/>
                <w:strike w:val="0"/>
                <w:color w:val="000000"/>
                <w:sz w:val="20"/>
                <w:szCs w:val="20"/>
                <w:u w:val="none"/>
                <w:shd w:fill="auto" w:val="clear"/>
                <w:vertAlign w:val="baseline"/>
                <w:rtl w:val="0"/>
              </w:rPr>
              <w:t xml:space="preserve">General Principles</w:t>
              <w:tab/>
              <w:t xml:space="preserve">3</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rPr>
              <w:i w:val="0"/>
              <w:smallCaps w:val="0"/>
              <w:strike w:val="0"/>
              <w:color w:val="000000"/>
              <w:sz w:val="20"/>
              <w:szCs w:val="20"/>
              <w:u w:val="none"/>
              <w:shd w:fill="auto" w:val="clear"/>
              <w:vertAlign w:val="baseline"/>
            </w:rPr>
          </w:pPr>
          <w:hyperlink w:anchor="_x9lm2743c5ad">
            <w:r w:rsidDel="00000000" w:rsidR="00000000" w:rsidRPr="00000000">
              <w:rPr>
                <w:i w:val="0"/>
                <w:smallCaps w:val="0"/>
                <w:strike w:val="0"/>
                <w:color w:val="000000"/>
                <w:sz w:val="20"/>
                <w:szCs w:val="20"/>
                <w:u w:val="none"/>
                <w:shd w:fill="auto" w:val="clear"/>
                <w:vertAlign w:val="baseline"/>
                <w:rtl w:val="0"/>
              </w:rPr>
              <w:t xml:space="preserve">Civil and political rights</w:t>
              <w:tab/>
              <w:t xml:space="preserve">5</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rPr>
              <w:i w:val="0"/>
              <w:smallCaps w:val="0"/>
              <w:strike w:val="0"/>
              <w:color w:val="000000"/>
              <w:sz w:val="20"/>
              <w:szCs w:val="20"/>
              <w:u w:val="none"/>
              <w:shd w:fill="auto" w:val="clear"/>
              <w:vertAlign w:val="baseline"/>
            </w:rPr>
          </w:pPr>
          <w:hyperlink w:anchor="_8csjsn4a2s1j">
            <w:r w:rsidDel="00000000" w:rsidR="00000000" w:rsidRPr="00000000">
              <w:rPr>
                <w:i w:val="0"/>
                <w:smallCaps w:val="0"/>
                <w:strike w:val="0"/>
                <w:color w:val="000000"/>
                <w:sz w:val="20"/>
                <w:szCs w:val="20"/>
                <w:u w:val="none"/>
                <w:shd w:fill="auto" w:val="clear"/>
                <w:vertAlign w:val="baseline"/>
                <w:rtl w:val="0"/>
              </w:rPr>
              <w:t xml:space="preserve">Violence against children</w:t>
              <w:tab/>
              <w:t xml:space="preserve">6</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rPr>
              <w:i w:val="0"/>
              <w:smallCaps w:val="0"/>
              <w:strike w:val="0"/>
              <w:color w:val="000000"/>
              <w:sz w:val="20"/>
              <w:szCs w:val="20"/>
              <w:u w:val="none"/>
              <w:shd w:fill="auto" w:val="clear"/>
              <w:vertAlign w:val="baseline"/>
            </w:rPr>
          </w:pPr>
          <w:hyperlink w:anchor="_arlbk9va0obz">
            <w:r w:rsidDel="00000000" w:rsidR="00000000" w:rsidRPr="00000000">
              <w:rPr>
                <w:i w:val="0"/>
                <w:smallCaps w:val="0"/>
                <w:strike w:val="0"/>
                <w:color w:val="000000"/>
                <w:sz w:val="20"/>
                <w:szCs w:val="20"/>
                <w:u w:val="none"/>
                <w:shd w:fill="auto" w:val="clear"/>
                <w:vertAlign w:val="baseline"/>
                <w:rtl w:val="0"/>
              </w:rPr>
              <w:t xml:space="preserve">Health</w:t>
              <w:tab/>
              <w:t xml:space="preserve">7</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rPr>
              <w:i w:val="0"/>
              <w:smallCaps w:val="0"/>
              <w:strike w:val="0"/>
              <w:color w:val="000000"/>
              <w:sz w:val="20"/>
              <w:szCs w:val="20"/>
              <w:u w:val="none"/>
              <w:shd w:fill="auto" w:val="clear"/>
              <w:vertAlign w:val="baseline"/>
            </w:rPr>
          </w:pPr>
          <w:hyperlink w:anchor="_8zn407m1it2u">
            <w:r w:rsidDel="00000000" w:rsidR="00000000" w:rsidRPr="00000000">
              <w:rPr>
                <w:i w:val="0"/>
                <w:smallCaps w:val="0"/>
                <w:strike w:val="0"/>
                <w:color w:val="000000"/>
                <w:sz w:val="20"/>
                <w:szCs w:val="20"/>
                <w:u w:val="none"/>
                <w:shd w:fill="auto" w:val="clear"/>
                <w:vertAlign w:val="baseline"/>
                <w:rtl w:val="0"/>
              </w:rPr>
              <w:t xml:space="preserve">Education, leisure, and cultural activities</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pStyle w:val="Heading1"/>
        <w:spacing w:line="264" w:lineRule="auto"/>
        <w:rPr>
          <w:b w:val="1"/>
          <w:sz w:val="24"/>
          <w:szCs w:val="24"/>
        </w:rPr>
      </w:pPr>
      <w:bookmarkStart w:colFirst="0" w:colLast="0" w:name="_i8wm0g4x7c4r" w:id="0"/>
      <w:bookmarkEnd w:id="0"/>
      <w:r w:rsidDel="00000000" w:rsidR="00000000" w:rsidRPr="00000000">
        <w:rPr>
          <w:rtl w:val="0"/>
        </w:rPr>
      </w:r>
    </w:p>
    <w:p w:rsidR="00000000" w:rsidDel="00000000" w:rsidP="00000000" w:rsidRDefault="00000000" w:rsidRPr="00000000" w14:paraId="00000024">
      <w:pPr>
        <w:pStyle w:val="Heading1"/>
        <w:spacing w:line="264" w:lineRule="auto"/>
        <w:rPr>
          <w:b w:val="1"/>
          <w:sz w:val="24"/>
          <w:szCs w:val="24"/>
        </w:rPr>
      </w:pPr>
      <w:bookmarkStart w:colFirst="0" w:colLast="0" w:name="_kmbbrik5q8r7" w:id="1"/>
      <w:bookmarkEnd w:id="1"/>
      <w:r w:rsidDel="00000000" w:rsidR="00000000" w:rsidRPr="00000000">
        <w:rPr>
          <w:b w:val="1"/>
          <w:sz w:val="24"/>
          <w:szCs w:val="24"/>
          <w:rtl w:val="0"/>
        </w:rPr>
        <w:t xml:space="preserve">Executive summary </w:t>
      </w:r>
    </w:p>
    <w:p w:rsidR="00000000" w:rsidDel="00000000" w:rsidP="00000000" w:rsidRDefault="00000000" w:rsidRPr="00000000" w14:paraId="00000025">
      <w:pPr>
        <w:spacing w:before="0" w:line="264" w:lineRule="auto"/>
        <w:rPr>
          <w:b w:val="1"/>
          <w:sz w:val="20"/>
          <w:szCs w:val="20"/>
        </w:rPr>
      </w:pPr>
      <w:r w:rsidDel="00000000" w:rsidR="00000000" w:rsidRPr="00000000">
        <w:rPr>
          <w:rtl w:val="0"/>
        </w:rPr>
      </w:r>
    </w:p>
    <w:p w:rsidR="00000000" w:rsidDel="00000000" w:rsidP="00000000" w:rsidRDefault="00000000" w:rsidRPr="00000000" w14:paraId="00000026">
      <w:pPr>
        <w:spacing w:before="0" w:line="264" w:lineRule="auto"/>
        <w:rPr>
          <w:sz w:val="20"/>
          <w:szCs w:val="20"/>
        </w:rPr>
      </w:pPr>
      <w:r w:rsidDel="00000000" w:rsidR="00000000" w:rsidRPr="00000000">
        <w:rPr>
          <w:sz w:val="20"/>
          <w:szCs w:val="20"/>
          <w:rtl w:val="0"/>
        </w:rPr>
        <w:t xml:space="preserve">The human rights of LGBTI and gender-diverse children in Malaysia continue to decline against the backdrop of increasing criminalisation, state-sponsored conversion practices, restriction of freedom of expression, and anti-LGBT speech by state actors, among others. </w:t>
      </w:r>
    </w:p>
    <w:p w:rsidR="00000000" w:rsidDel="00000000" w:rsidP="00000000" w:rsidRDefault="00000000" w:rsidRPr="00000000" w14:paraId="00000027">
      <w:pPr>
        <w:spacing w:before="0" w:line="264" w:lineRule="auto"/>
        <w:rPr>
          <w:sz w:val="20"/>
          <w:szCs w:val="20"/>
        </w:rPr>
      </w:pPr>
      <w:r w:rsidDel="00000000" w:rsidR="00000000" w:rsidRPr="00000000">
        <w:rPr>
          <w:rtl w:val="0"/>
        </w:rPr>
      </w:r>
    </w:p>
    <w:p w:rsidR="00000000" w:rsidDel="00000000" w:rsidP="00000000" w:rsidRDefault="00000000" w:rsidRPr="00000000" w14:paraId="00000028">
      <w:pPr>
        <w:spacing w:before="0" w:line="264" w:lineRule="auto"/>
        <w:rPr>
          <w:sz w:val="20"/>
          <w:szCs w:val="20"/>
        </w:rPr>
      </w:pPr>
      <w:r w:rsidDel="00000000" w:rsidR="00000000" w:rsidRPr="00000000">
        <w:rPr>
          <w:sz w:val="20"/>
          <w:szCs w:val="20"/>
          <w:rtl w:val="0"/>
        </w:rPr>
        <w:t xml:space="preserve">The reinforcement of gender binary ideas, roles, and constructs permeate throughout the education system from disciplinary rules to curriculum and other activities and measures. The criminalisation of LGBT adults is mirrored in public schools, where students can be subjected to corporal punishments because of their sexual orientation, gender identity, and gender expression (SOGIE). Schools, students, and young people are targets of both state and non-state-led promotion of conversion practices, often through HIV awareness, and motivational or religious activities, where gender binary ideas and abstinence are promoted. </w:t>
      </w:r>
    </w:p>
    <w:p w:rsidR="00000000" w:rsidDel="00000000" w:rsidP="00000000" w:rsidRDefault="00000000" w:rsidRPr="00000000" w14:paraId="00000029">
      <w:pPr>
        <w:spacing w:before="0" w:line="264" w:lineRule="auto"/>
        <w:rPr>
          <w:sz w:val="20"/>
          <w:szCs w:val="20"/>
        </w:rPr>
      </w:pPr>
      <w:r w:rsidDel="00000000" w:rsidR="00000000" w:rsidRPr="00000000">
        <w:rPr>
          <w:rtl w:val="0"/>
        </w:rPr>
      </w:r>
    </w:p>
    <w:p w:rsidR="00000000" w:rsidDel="00000000" w:rsidP="00000000" w:rsidRDefault="00000000" w:rsidRPr="00000000" w14:paraId="0000002A">
      <w:pPr>
        <w:spacing w:before="0" w:line="264" w:lineRule="auto"/>
        <w:rPr>
          <w:sz w:val="20"/>
          <w:szCs w:val="20"/>
        </w:rPr>
      </w:pPr>
      <w:r w:rsidDel="00000000" w:rsidR="00000000" w:rsidRPr="00000000">
        <w:rPr>
          <w:sz w:val="20"/>
          <w:szCs w:val="20"/>
          <w:rtl w:val="0"/>
        </w:rPr>
        <w:t xml:space="preserve">All five young people between 18 and 20 years old who contributed to this submission expressed hopelessness, fear, self-censorship, and isolation living in Malaysia. They also find it challenging to discover, explore, freely develop, and express their SOGIE. Meanwhile, LGBTI groups note the extraneous challenges in ensuring access to LGBTI-affirming information and services to children and young people in this context. </w:t>
      </w:r>
    </w:p>
    <w:p w:rsidR="00000000" w:rsidDel="00000000" w:rsidP="00000000" w:rsidRDefault="00000000" w:rsidRPr="00000000" w14:paraId="0000002B">
      <w:pPr>
        <w:spacing w:before="0" w:line="264" w:lineRule="auto"/>
        <w:rPr>
          <w:sz w:val="20"/>
          <w:szCs w:val="20"/>
        </w:rPr>
      </w:pPr>
      <w:r w:rsidDel="00000000" w:rsidR="00000000" w:rsidRPr="00000000">
        <w:rPr>
          <w:rtl w:val="0"/>
        </w:rPr>
      </w:r>
    </w:p>
    <w:p w:rsidR="00000000" w:rsidDel="00000000" w:rsidP="00000000" w:rsidRDefault="00000000" w:rsidRPr="00000000" w14:paraId="0000002C">
      <w:pPr>
        <w:spacing w:before="0" w:line="264" w:lineRule="auto"/>
        <w:rPr>
          <w:b w:val="1"/>
          <w:sz w:val="20"/>
          <w:szCs w:val="20"/>
        </w:rPr>
      </w:pPr>
      <w:r w:rsidDel="00000000" w:rsidR="00000000" w:rsidRPr="00000000">
        <w:rPr>
          <w:rtl w:val="0"/>
        </w:rPr>
      </w:r>
    </w:p>
    <w:p w:rsidR="00000000" w:rsidDel="00000000" w:rsidP="00000000" w:rsidRDefault="00000000" w:rsidRPr="00000000" w14:paraId="0000002D">
      <w:pPr>
        <w:spacing w:before="0" w:line="264" w:lineRule="auto"/>
        <w:rPr>
          <w:b w:val="1"/>
          <w:sz w:val="20"/>
          <w:szCs w:val="20"/>
        </w:rPr>
      </w:pPr>
      <w:r w:rsidDel="00000000" w:rsidR="00000000" w:rsidRPr="00000000">
        <w:rPr>
          <w:rtl w:val="0"/>
        </w:rPr>
      </w:r>
    </w:p>
    <w:p w:rsidR="00000000" w:rsidDel="00000000" w:rsidP="00000000" w:rsidRDefault="00000000" w:rsidRPr="00000000" w14:paraId="0000002E">
      <w:pPr>
        <w:spacing w:before="0" w:line="264"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spacing w:line="264" w:lineRule="auto"/>
        <w:rPr>
          <w:sz w:val="24"/>
          <w:szCs w:val="24"/>
        </w:rPr>
      </w:pPr>
      <w:bookmarkStart w:colFirst="0" w:colLast="0" w:name="_rdw3k94ja1ro" w:id="2"/>
      <w:bookmarkEnd w:id="2"/>
      <w:r w:rsidDel="00000000" w:rsidR="00000000" w:rsidRPr="00000000">
        <w:rPr>
          <w:b w:val="1"/>
          <w:sz w:val="24"/>
          <w:szCs w:val="24"/>
          <w:rtl w:val="0"/>
        </w:rPr>
        <w:t xml:space="preserve">General Principles</w:t>
      </w:r>
      <w:r w:rsidDel="00000000" w:rsidR="00000000" w:rsidRPr="00000000">
        <w:rPr>
          <w:sz w:val="24"/>
          <w:szCs w:val="24"/>
          <w:rtl w:val="0"/>
        </w:rPr>
        <w:t xml:space="preserve"> </w:t>
      </w:r>
    </w:p>
    <w:p w:rsidR="00000000" w:rsidDel="00000000" w:rsidP="00000000" w:rsidRDefault="00000000" w:rsidRPr="00000000" w14:paraId="00000030">
      <w:pPr>
        <w:spacing w:before="0" w:line="264" w:lineRule="auto"/>
        <w:rPr>
          <w:b w:val="1"/>
          <w:i w:val="1"/>
          <w:sz w:val="20"/>
          <w:szCs w:val="20"/>
        </w:rPr>
      </w:pPr>
      <w:r w:rsidDel="00000000" w:rsidR="00000000" w:rsidRPr="00000000">
        <w:rPr>
          <w:b w:val="1"/>
          <w:i w:val="1"/>
          <w:sz w:val="20"/>
          <w:szCs w:val="20"/>
          <w:rtl w:val="0"/>
        </w:rPr>
        <w:t xml:space="preserve">Definition and non-discrimination </w:t>
      </w:r>
    </w:p>
    <w:p w:rsidR="00000000" w:rsidDel="00000000" w:rsidP="00000000" w:rsidRDefault="00000000" w:rsidRPr="00000000" w14:paraId="00000031">
      <w:pPr>
        <w:spacing w:before="0" w:line="264" w:lineRule="auto"/>
        <w:rPr>
          <w:sz w:val="20"/>
          <w:szCs w:val="20"/>
        </w:rPr>
      </w:pPr>
      <w:r w:rsidDel="00000000" w:rsidR="00000000" w:rsidRPr="00000000">
        <w:rPr>
          <w:sz w:val="20"/>
          <w:szCs w:val="20"/>
          <w:rtl w:val="0"/>
        </w:rPr>
        <w:t xml:space="preserve">1.1 LGBTI children face criminalization, state-funded conversion practices, censorship, misinformation, and regulations of freedom of expression, among other state-sponsored anti-LGBT efforts. The criminalization of LGBT adults under the Federal and state syariah laws is mirrored in educational institutions through school regulations that penalize students based on SOGIE.</w:t>
      </w:r>
    </w:p>
    <w:p w:rsidR="00000000" w:rsidDel="00000000" w:rsidP="00000000" w:rsidRDefault="00000000" w:rsidRPr="00000000" w14:paraId="00000032">
      <w:pPr>
        <w:spacing w:before="0" w:line="264" w:lineRule="auto"/>
        <w:rPr>
          <w:sz w:val="20"/>
          <w:szCs w:val="20"/>
        </w:rPr>
      </w:pPr>
      <w:r w:rsidDel="00000000" w:rsidR="00000000" w:rsidRPr="00000000">
        <w:rPr>
          <w:rtl w:val="0"/>
        </w:rPr>
      </w:r>
    </w:p>
    <w:p w:rsidR="00000000" w:rsidDel="00000000" w:rsidP="00000000" w:rsidRDefault="00000000" w:rsidRPr="00000000" w14:paraId="00000033">
      <w:pPr>
        <w:spacing w:before="0" w:line="264" w:lineRule="auto"/>
        <w:rPr>
          <w:sz w:val="20"/>
          <w:szCs w:val="20"/>
        </w:rPr>
      </w:pPr>
      <w:r w:rsidDel="00000000" w:rsidR="00000000" w:rsidRPr="00000000">
        <w:rPr>
          <w:sz w:val="20"/>
          <w:szCs w:val="20"/>
          <w:rtl w:val="0"/>
        </w:rPr>
        <w:t xml:space="preserve">1.2 The government consistently conflates sex and gender and views them together in a binary, a position reiterated at Malaysia’s 2024 CEDAW session. Malaysia noted that the “… </w:t>
      </w:r>
      <w:r w:rsidDel="00000000" w:rsidR="00000000" w:rsidRPr="00000000">
        <w:rPr>
          <w:b w:val="1"/>
          <w:sz w:val="20"/>
          <w:szCs w:val="20"/>
          <w:rtl w:val="0"/>
        </w:rPr>
        <w:t xml:space="preserve">rule of law depends on the moral consensus of the community. cultural and religious beliefs</w:t>
      </w:r>
      <w:r w:rsidDel="00000000" w:rsidR="00000000" w:rsidRPr="00000000">
        <w:rPr>
          <w:sz w:val="20"/>
          <w:szCs w:val="20"/>
          <w:rtl w:val="0"/>
        </w:rPr>
        <w:t xml:space="preserve"> … The moral ethos of the community also directly influences the laws related to sexual behaviours. …. In abiding with these, the government takes </w:t>
      </w:r>
      <w:r w:rsidDel="00000000" w:rsidR="00000000" w:rsidRPr="00000000">
        <w:rPr>
          <w:b w:val="1"/>
          <w:sz w:val="20"/>
          <w:szCs w:val="20"/>
          <w:rtl w:val="0"/>
        </w:rPr>
        <w:t xml:space="preserve">a moral consensus of the country, … based on the rights of the majority of the population,</w:t>
      </w:r>
      <w:r w:rsidDel="00000000" w:rsidR="00000000" w:rsidRPr="00000000">
        <w:rPr>
          <w:sz w:val="20"/>
          <w:szCs w:val="20"/>
          <w:rtl w:val="0"/>
        </w:rPr>
        <w:t xml:space="preserve"> while recognizing the importance of equality and non-discrimination for all …, there is also a need to uphold the sanctity of religion and its well-accepted norms and values.”</w:t>
      </w:r>
      <w:r w:rsidDel="00000000" w:rsidR="00000000" w:rsidRPr="00000000">
        <w:rPr>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34">
      <w:pPr>
        <w:spacing w:line="264" w:lineRule="auto"/>
        <w:rPr>
          <w:sz w:val="20"/>
          <w:szCs w:val="20"/>
        </w:rPr>
      </w:pPr>
      <w:r w:rsidDel="00000000" w:rsidR="00000000" w:rsidRPr="00000000">
        <w:rPr>
          <w:rtl w:val="0"/>
        </w:rPr>
      </w:r>
    </w:p>
    <w:p w:rsidR="00000000" w:rsidDel="00000000" w:rsidP="00000000" w:rsidRDefault="00000000" w:rsidRPr="00000000" w14:paraId="00000035">
      <w:pPr>
        <w:spacing w:before="0" w:line="264" w:lineRule="auto"/>
        <w:rPr>
          <w:sz w:val="20"/>
          <w:szCs w:val="20"/>
        </w:rPr>
      </w:pPr>
      <w:r w:rsidDel="00000000" w:rsidR="00000000" w:rsidRPr="00000000">
        <w:rPr>
          <w:sz w:val="20"/>
          <w:szCs w:val="20"/>
          <w:rtl w:val="0"/>
        </w:rPr>
        <w:t xml:space="preserve">1.3 The Prime Minister’s Department (Religious Affairs) and JAKIM, which oversees Malaysia’s LGBT-related programs, adopt an ‘acceptance with exception’ approach to the issues. JAKIM does not agree with LGBT acts; however, it believes LGBT persons have a right to be guided and advised to the right path.</w:t>
      </w:r>
      <w:r w:rsidDel="00000000" w:rsidR="00000000" w:rsidRPr="00000000">
        <w:rPr>
          <w:sz w:val="20"/>
          <w:szCs w:val="20"/>
          <w:vertAlign w:val="superscript"/>
        </w:rPr>
        <w:footnoteReference w:customMarkFollows="0" w:id="1"/>
      </w:r>
      <w:r w:rsidDel="00000000" w:rsidR="00000000" w:rsidRPr="00000000">
        <w:rPr>
          <w:sz w:val="20"/>
          <w:szCs w:val="20"/>
          <w:rtl w:val="0"/>
        </w:rPr>
        <w:t xml:space="preserve"> Consequently, JAKIM has introduced an array of LGBT rehabilitation or conversion practices activities, including camps; Islamic psycho-spiritual treatment;</w:t>
      </w:r>
      <w:r w:rsidDel="00000000" w:rsidR="00000000" w:rsidRPr="00000000">
        <w:rPr>
          <w:sz w:val="20"/>
          <w:szCs w:val="20"/>
          <w:vertAlign w:val="superscript"/>
        </w:rPr>
        <w:footnoteReference w:customMarkFollows="0" w:id="2"/>
      </w:r>
      <w:r w:rsidDel="00000000" w:rsidR="00000000" w:rsidRPr="00000000">
        <w:rPr>
          <w:sz w:val="20"/>
          <w:szCs w:val="20"/>
          <w:rtl w:val="0"/>
        </w:rPr>
        <w:t xml:space="preserve"> which uses religious guilt, shame, and peer pressure to ‘rehabilitate’ or ‘return LGBT people to the right path’. Accordingly, LGBT people’s right to religion is conditional upon the denouncement of their SOGIE. </w:t>
      </w:r>
    </w:p>
    <w:p w:rsidR="00000000" w:rsidDel="00000000" w:rsidP="00000000" w:rsidRDefault="00000000" w:rsidRPr="00000000" w14:paraId="00000036">
      <w:pPr>
        <w:spacing w:before="0" w:line="264" w:lineRule="auto"/>
        <w:rPr>
          <w:sz w:val="20"/>
          <w:szCs w:val="20"/>
        </w:rPr>
      </w:pPr>
      <w:r w:rsidDel="00000000" w:rsidR="00000000" w:rsidRPr="00000000">
        <w:rPr>
          <w:rtl w:val="0"/>
        </w:rPr>
      </w:r>
    </w:p>
    <w:p w:rsidR="00000000" w:rsidDel="00000000" w:rsidP="00000000" w:rsidRDefault="00000000" w:rsidRPr="00000000" w14:paraId="00000037">
      <w:pPr>
        <w:spacing w:line="264" w:lineRule="auto"/>
        <w:rPr>
          <w:sz w:val="20"/>
          <w:szCs w:val="20"/>
        </w:rPr>
      </w:pPr>
      <w:r w:rsidDel="00000000" w:rsidR="00000000" w:rsidRPr="00000000">
        <w:rPr>
          <w:sz w:val="20"/>
          <w:szCs w:val="20"/>
          <w:rtl w:val="0"/>
        </w:rPr>
        <w:t xml:space="preserve">1.4 The Special Rapporteur on Freedom of Religion and Belief ‘rejected any claim that religious beliefs can be invoked as a legitimate “justification” for violence or discrimination based on their SOGI. (A/HRC/43/48)’. </w:t>
      </w:r>
    </w:p>
    <w:p w:rsidR="00000000" w:rsidDel="00000000" w:rsidP="00000000" w:rsidRDefault="00000000" w:rsidRPr="00000000" w14:paraId="00000038">
      <w:pPr>
        <w:spacing w:before="0" w:line="264" w:lineRule="auto"/>
        <w:rPr>
          <w:sz w:val="20"/>
          <w:szCs w:val="20"/>
        </w:rPr>
      </w:pPr>
      <w:r w:rsidDel="00000000" w:rsidR="00000000" w:rsidRPr="00000000">
        <w:rPr>
          <w:rtl w:val="0"/>
        </w:rPr>
      </w:r>
    </w:p>
    <w:p w:rsidR="00000000" w:rsidDel="00000000" w:rsidP="00000000" w:rsidRDefault="00000000" w:rsidRPr="00000000" w14:paraId="00000039">
      <w:pPr>
        <w:spacing w:before="0" w:line="264" w:lineRule="auto"/>
        <w:rPr>
          <w:b w:val="1"/>
          <w:i w:val="1"/>
          <w:sz w:val="20"/>
          <w:szCs w:val="20"/>
        </w:rPr>
      </w:pPr>
      <w:r w:rsidDel="00000000" w:rsidR="00000000" w:rsidRPr="00000000">
        <w:rPr>
          <w:b w:val="1"/>
          <w:i w:val="1"/>
          <w:sz w:val="20"/>
          <w:szCs w:val="20"/>
          <w:rtl w:val="0"/>
        </w:rPr>
        <w:t xml:space="preserve">Criminalization of LGBT people</w:t>
      </w:r>
    </w:p>
    <w:p w:rsidR="00000000" w:rsidDel="00000000" w:rsidP="00000000" w:rsidRDefault="00000000" w:rsidRPr="00000000" w14:paraId="0000003A">
      <w:pPr>
        <w:spacing w:before="0" w:line="264" w:lineRule="auto"/>
        <w:rPr>
          <w:sz w:val="20"/>
          <w:szCs w:val="20"/>
        </w:rPr>
      </w:pPr>
      <w:r w:rsidDel="00000000" w:rsidR="00000000" w:rsidRPr="00000000">
        <w:rPr>
          <w:sz w:val="20"/>
          <w:szCs w:val="20"/>
          <w:rtl w:val="0"/>
        </w:rPr>
        <w:t xml:space="preserve">1.5 LGBT people are criminalized under Federal and state syariah law. Section 377A &amp; B criminalize carnal intercourse against the order of nature regardless of SOGI. </w:t>
      </w:r>
    </w:p>
    <w:p w:rsidR="00000000" w:rsidDel="00000000" w:rsidP="00000000" w:rsidRDefault="00000000" w:rsidRPr="00000000" w14:paraId="0000003B">
      <w:pPr>
        <w:spacing w:before="0" w:line="264" w:lineRule="auto"/>
        <w:rPr>
          <w:sz w:val="20"/>
          <w:szCs w:val="20"/>
        </w:rPr>
      </w:pPr>
      <w:r w:rsidDel="00000000" w:rsidR="00000000" w:rsidRPr="00000000">
        <w:rPr>
          <w:rtl w:val="0"/>
        </w:rPr>
      </w:r>
    </w:p>
    <w:p w:rsidR="00000000" w:rsidDel="00000000" w:rsidP="00000000" w:rsidRDefault="00000000" w:rsidRPr="00000000" w14:paraId="0000003C">
      <w:pPr>
        <w:spacing w:before="0" w:line="264" w:lineRule="auto"/>
        <w:rPr>
          <w:sz w:val="20"/>
          <w:szCs w:val="20"/>
        </w:rPr>
      </w:pPr>
      <w:r w:rsidDel="00000000" w:rsidR="00000000" w:rsidRPr="00000000">
        <w:rPr>
          <w:sz w:val="20"/>
          <w:szCs w:val="20"/>
          <w:rtl w:val="0"/>
        </w:rPr>
        <w:t xml:space="preserve">1.6  JFS’ media monitoring found that Section 377A &amp; B are used interchangeably with Section 377C, which criminalizes non-consensual carnal intercourse against the order of nature. Media reports show Section 377 A &amp; B are used both in consensual and non-consensual contexts.</w:t>
      </w:r>
      <w:r w:rsidDel="00000000" w:rsidR="00000000" w:rsidRPr="00000000">
        <w:rPr>
          <w:sz w:val="20"/>
          <w:szCs w:val="20"/>
          <w:vertAlign w:val="superscript"/>
        </w:rPr>
        <w:footnoteReference w:customMarkFollows="0" w:id="3"/>
      </w:r>
      <w:r w:rsidDel="00000000" w:rsidR="00000000" w:rsidRPr="00000000">
        <w:rPr>
          <w:sz w:val="20"/>
          <w:szCs w:val="20"/>
          <w:vertAlign w:val="superscript"/>
        </w:rPr>
        <w:footnoteReference w:customMarkFollows="0" w:id="4"/>
      </w:r>
      <w:r w:rsidDel="00000000" w:rsidR="00000000" w:rsidRPr="00000000">
        <w:rPr>
          <w:sz w:val="20"/>
          <w:szCs w:val="20"/>
          <w:vertAlign w:val="superscript"/>
        </w:rPr>
        <w:footnoteReference w:customMarkFollows="0" w:id="5"/>
      </w:r>
      <w:r w:rsidDel="00000000" w:rsidR="00000000" w:rsidRPr="00000000">
        <w:rPr>
          <w:sz w:val="20"/>
          <w:szCs w:val="20"/>
          <w:rtl w:val="0"/>
        </w:rPr>
        <w:t xml:space="preserve"> It also found increased vulnerability to prosecution faced by children regardless of SOGI who appear to engage in consensual sexual acts. </w:t>
      </w:r>
    </w:p>
    <w:p w:rsidR="00000000" w:rsidDel="00000000" w:rsidP="00000000" w:rsidRDefault="00000000" w:rsidRPr="00000000" w14:paraId="0000003D">
      <w:pPr>
        <w:spacing w:before="0" w:line="264" w:lineRule="auto"/>
        <w:rPr>
          <w:sz w:val="20"/>
          <w:szCs w:val="20"/>
        </w:rPr>
      </w:pPr>
      <w:r w:rsidDel="00000000" w:rsidR="00000000" w:rsidRPr="00000000">
        <w:rPr>
          <w:rtl w:val="0"/>
        </w:rPr>
      </w:r>
    </w:p>
    <w:p w:rsidR="00000000" w:rsidDel="00000000" w:rsidP="00000000" w:rsidRDefault="00000000" w:rsidRPr="00000000" w14:paraId="0000003E">
      <w:pPr>
        <w:spacing w:line="264" w:lineRule="auto"/>
        <w:rPr>
          <w:sz w:val="20"/>
          <w:szCs w:val="20"/>
        </w:rPr>
      </w:pPr>
      <w:r w:rsidDel="00000000" w:rsidR="00000000" w:rsidRPr="00000000">
        <w:rPr>
          <w:sz w:val="20"/>
          <w:szCs w:val="20"/>
          <w:rtl w:val="0"/>
        </w:rPr>
        <w:t xml:space="preserve">1.7 </w:t>
      </w:r>
      <w:r w:rsidDel="00000000" w:rsidR="00000000" w:rsidRPr="00000000">
        <w:rPr>
          <w:sz w:val="20"/>
          <w:szCs w:val="20"/>
          <w:rtl w:val="0"/>
        </w:rPr>
        <w:t xml:space="preserve">In 2020, a 17-year-old boy was arrested and investigated under both Sections 8 and 10 of the Sexual Offences Against Children Act 2017 for using a child to make child pornography and accessing child pornography as well as Section 377B of the Penal Code after a self-recorded video of him and a 13-year-old went viral. The girl reportedly shared the video with her friends.</w:t>
      </w:r>
      <w:r w:rsidDel="00000000" w:rsidR="00000000" w:rsidRPr="00000000">
        <w:rPr>
          <w:sz w:val="20"/>
          <w:szCs w:val="20"/>
          <w:vertAlign w:val="superscript"/>
        </w:rPr>
        <w:footnoteReference w:customMarkFollows="0" w:id="6"/>
      </w:r>
      <w:r w:rsidDel="00000000" w:rsidR="00000000" w:rsidRPr="00000000">
        <w:rPr>
          <w:sz w:val="20"/>
          <w:szCs w:val="20"/>
          <w:rtl w:val="0"/>
        </w:rPr>
        <w:t xml:space="preserve"> The use of Section 377B further suggests that the relationship could have been consensual.</w:t>
      </w:r>
    </w:p>
    <w:p w:rsidR="00000000" w:rsidDel="00000000" w:rsidP="00000000" w:rsidRDefault="00000000" w:rsidRPr="00000000" w14:paraId="0000003F">
      <w:pPr>
        <w:spacing w:before="0" w:line="264" w:lineRule="auto"/>
        <w:rPr>
          <w:sz w:val="20"/>
          <w:szCs w:val="20"/>
        </w:rPr>
      </w:pPr>
      <w:r w:rsidDel="00000000" w:rsidR="00000000" w:rsidRPr="00000000">
        <w:rPr>
          <w:rtl w:val="0"/>
        </w:rPr>
      </w:r>
    </w:p>
    <w:p w:rsidR="00000000" w:rsidDel="00000000" w:rsidP="00000000" w:rsidRDefault="00000000" w:rsidRPr="00000000" w14:paraId="00000040">
      <w:pPr>
        <w:spacing w:before="0" w:line="264" w:lineRule="auto"/>
        <w:rPr>
          <w:sz w:val="20"/>
          <w:szCs w:val="20"/>
        </w:rPr>
      </w:pPr>
      <w:r w:rsidDel="00000000" w:rsidR="00000000" w:rsidRPr="00000000">
        <w:rPr>
          <w:sz w:val="20"/>
          <w:szCs w:val="20"/>
          <w:rtl w:val="0"/>
        </w:rPr>
        <w:t xml:space="preserve">1.8 Between 2019 and 2022, 8 new anti-LGBT state Syariah laws were introduced in three states, increasing the number of state Syariah anti-LGBT laws to 52 laws. The new laws include a female person posing as a man (3), attempt to </w:t>
      </w:r>
      <w:r w:rsidDel="00000000" w:rsidR="00000000" w:rsidRPr="00000000">
        <w:rPr>
          <w:i w:val="1"/>
          <w:sz w:val="20"/>
          <w:szCs w:val="20"/>
          <w:rtl w:val="0"/>
        </w:rPr>
        <w:t xml:space="preserve">musahaqah</w:t>
      </w:r>
      <w:r w:rsidDel="00000000" w:rsidR="00000000" w:rsidRPr="00000000">
        <w:rPr>
          <w:sz w:val="20"/>
          <w:szCs w:val="20"/>
          <w:vertAlign w:val="superscript"/>
        </w:rPr>
        <w:footnoteReference w:customMarkFollows="0" w:id="7"/>
      </w:r>
      <w:r w:rsidDel="00000000" w:rsidR="00000000" w:rsidRPr="00000000">
        <w:rPr>
          <w:sz w:val="20"/>
          <w:szCs w:val="20"/>
          <w:rtl w:val="0"/>
        </w:rPr>
        <w:t xml:space="preserve"> </w:t>
      </w:r>
      <w:r w:rsidDel="00000000" w:rsidR="00000000" w:rsidRPr="00000000">
        <w:rPr>
          <w:sz w:val="20"/>
          <w:szCs w:val="20"/>
          <w:rtl w:val="0"/>
        </w:rPr>
        <w:t xml:space="preserve">(2), attempt to</w:t>
      </w:r>
      <w:r w:rsidDel="00000000" w:rsidR="00000000" w:rsidRPr="00000000">
        <w:rPr>
          <w:i w:val="1"/>
          <w:sz w:val="20"/>
          <w:szCs w:val="20"/>
          <w:rtl w:val="0"/>
        </w:rPr>
        <w:t xml:space="preserve"> liwat</w:t>
      </w:r>
      <w:r w:rsidDel="00000000" w:rsidR="00000000" w:rsidRPr="00000000">
        <w:rPr>
          <w:i w:val="1"/>
          <w:sz w:val="20"/>
          <w:szCs w:val="20"/>
          <w:vertAlign w:val="superscript"/>
        </w:rPr>
        <w:footnoteReference w:customMarkFollows="0" w:id="8"/>
      </w:r>
      <w:r w:rsidDel="00000000" w:rsidR="00000000" w:rsidRPr="00000000">
        <w:rPr>
          <w:i w:val="1"/>
          <w:sz w:val="20"/>
          <w:szCs w:val="20"/>
          <w:rtl w:val="0"/>
        </w:rPr>
        <w:t xml:space="preserve"> </w:t>
      </w:r>
      <w:r w:rsidDel="00000000" w:rsidR="00000000" w:rsidRPr="00000000">
        <w:rPr>
          <w:sz w:val="20"/>
          <w:szCs w:val="20"/>
          <w:rtl w:val="0"/>
        </w:rPr>
        <w:t xml:space="preserve">(2), and changing gender (1).</w:t>
      </w:r>
    </w:p>
    <w:p w:rsidR="00000000" w:rsidDel="00000000" w:rsidP="00000000" w:rsidRDefault="00000000" w:rsidRPr="00000000" w14:paraId="00000041">
      <w:pPr>
        <w:spacing w:before="0" w:line="264" w:lineRule="auto"/>
        <w:rPr>
          <w:sz w:val="20"/>
          <w:szCs w:val="20"/>
        </w:rPr>
      </w:pPr>
      <w:r w:rsidDel="00000000" w:rsidR="00000000" w:rsidRPr="00000000">
        <w:rPr>
          <w:rtl w:val="0"/>
        </w:rPr>
      </w:r>
    </w:p>
    <w:p w:rsidR="00000000" w:rsidDel="00000000" w:rsidP="00000000" w:rsidRDefault="00000000" w:rsidRPr="00000000" w14:paraId="00000042">
      <w:pPr>
        <w:spacing w:before="0" w:line="264" w:lineRule="auto"/>
        <w:rPr>
          <w:b w:val="1"/>
          <w:i w:val="1"/>
          <w:sz w:val="20"/>
          <w:szCs w:val="20"/>
        </w:rPr>
      </w:pPr>
      <w:r w:rsidDel="00000000" w:rsidR="00000000" w:rsidRPr="00000000">
        <w:rPr>
          <w:b w:val="1"/>
          <w:i w:val="1"/>
          <w:sz w:val="20"/>
          <w:szCs w:val="20"/>
          <w:rtl w:val="0"/>
        </w:rPr>
        <w:t xml:space="preserve">State-funded conversion practices  </w:t>
      </w:r>
    </w:p>
    <w:p w:rsidR="00000000" w:rsidDel="00000000" w:rsidP="00000000" w:rsidRDefault="00000000" w:rsidRPr="00000000" w14:paraId="00000043">
      <w:pPr>
        <w:spacing w:before="0" w:line="264" w:lineRule="auto"/>
        <w:rPr>
          <w:sz w:val="20"/>
          <w:szCs w:val="20"/>
        </w:rPr>
      </w:pPr>
      <w:r w:rsidDel="00000000" w:rsidR="00000000" w:rsidRPr="00000000">
        <w:rPr>
          <w:sz w:val="20"/>
          <w:szCs w:val="20"/>
          <w:rtl w:val="0"/>
        </w:rPr>
        <w:t xml:space="preserve">1.9 The state’s conversion practices, some of which are characterized as ‘spiritual guidance programs’, comprise</w:t>
      </w:r>
    </w:p>
    <w:p w:rsidR="00000000" w:rsidDel="00000000" w:rsidP="00000000" w:rsidRDefault="00000000" w:rsidRPr="00000000" w14:paraId="00000044">
      <w:pPr>
        <w:numPr>
          <w:ilvl w:val="0"/>
          <w:numId w:val="1"/>
        </w:numPr>
        <w:spacing w:before="0" w:line="264" w:lineRule="auto"/>
        <w:ind w:left="720" w:hanging="360"/>
        <w:rPr>
          <w:sz w:val="20"/>
          <w:szCs w:val="20"/>
        </w:rPr>
      </w:pPr>
      <w:r w:rsidDel="00000000" w:rsidR="00000000" w:rsidRPr="00000000">
        <w:rPr>
          <w:b w:val="1"/>
          <w:sz w:val="20"/>
          <w:szCs w:val="20"/>
          <w:rtl w:val="0"/>
        </w:rPr>
        <w:t xml:space="preserve">Education, prevention, and advocacy</w:t>
      </w:r>
      <w:r w:rsidDel="00000000" w:rsidR="00000000" w:rsidRPr="00000000">
        <w:rPr>
          <w:sz w:val="20"/>
          <w:szCs w:val="20"/>
          <w:rtl w:val="0"/>
        </w:rPr>
        <w:t xml:space="preserve"> include the establishment of an inter-ministerial and Islamic NGO Special Committee on Muslim LGBT persons, collaborative inter-ministerial activities, and counseling and Islamic Psychotherapy.</w:t>
      </w:r>
    </w:p>
    <w:p w:rsidR="00000000" w:rsidDel="00000000" w:rsidP="00000000" w:rsidRDefault="00000000" w:rsidRPr="00000000" w14:paraId="00000045">
      <w:pPr>
        <w:spacing w:before="0" w:line="264" w:lineRule="auto"/>
        <w:ind w:left="720" w:firstLine="0"/>
        <w:rPr>
          <w:sz w:val="20"/>
          <w:szCs w:val="20"/>
        </w:rPr>
      </w:pPr>
      <w:r w:rsidDel="00000000" w:rsidR="00000000" w:rsidRPr="00000000">
        <w:rPr>
          <w:rtl w:val="0"/>
        </w:rPr>
      </w:r>
    </w:p>
    <w:p w:rsidR="00000000" w:rsidDel="00000000" w:rsidP="00000000" w:rsidRDefault="00000000" w:rsidRPr="00000000" w14:paraId="00000046">
      <w:pPr>
        <w:numPr>
          <w:ilvl w:val="0"/>
          <w:numId w:val="1"/>
        </w:numPr>
        <w:spacing w:before="0" w:line="264" w:lineRule="auto"/>
        <w:ind w:left="720" w:hanging="360"/>
        <w:rPr>
          <w:sz w:val="20"/>
          <w:szCs w:val="20"/>
        </w:rPr>
      </w:pPr>
      <w:r w:rsidDel="00000000" w:rsidR="00000000" w:rsidRPr="00000000">
        <w:rPr>
          <w:b w:val="1"/>
          <w:i w:val="1"/>
          <w:sz w:val="20"/>
          <w:szCs w:val="20"/>
          <w:rtl w:val="0"/>
        </w:rPr>
        <w:t xml:space="preserve">Dakwah</w:t>
      </w:r>
      <w:r w:rsidDel="00000000" w:rsidR="00000000" w:rsidRPr="00000000">
        <w:rPr>
          <w:b w:val="1"/>
          <w:sz w:val="20"/>
          <w:szCs w:val="20"/>
          <w:rtl w:val="0"/>
        </w:rPr>
        <w:t xml:space="preserve"> and guidance </w:t>
      </w:r>
      <w:r w:rsidDel="00000000" w:rsidR="00000000" w:rsidRPr="00000000">
        <w:rPr>
          <w:sz w:val="20"/>
          <w:szCs w:val="20"/>
          <w:rtl w:val="0"/>
        </w:rPr>
        <w:t xml:space="preserve">activities targeting LGBTI and non-LGBTI persons, including young people, parents, peer educators, and counselors, through seminars, camps, and other outreach programs. At least 2,000 people have reportedly participated in state-organised rehabilitation activities, through which 12 ex-LGBT groups were established. In 2023 alone, 18 anti-LGBT activities, including seminars, webinars, and Training of Trainers (ToT) were held. 16 of which were ToT with PROSTAR, an HIV/AIDS prevention program targeting youth in government schools. The training module notes that “teens are now exposed to challenging environments … negative elements … social media influence, and lesbian, gay, bisexual, and transgender (LGBT).”</w:t>
      </w:r>
      <w:r w:rsidDel="00000000" w:rsidR="00000000" w:rsidRPr="00000000">
        <w:rPr>
          <w:sz w:val="20"/>
          <w:szCs w:val="20"/>
          <w:vertAlign w:val="superscript"/>
        </w:rPr>
        <w:footnoteReference w:customMarkFollows="0" w:id="9"/>
      </w:r>
      <w:r w:rsidDel="00000000" w:rsidR="00000000" w:rsidRPr="00000000">
        <w:rPr>
          <w:sz w:val="20"/>
          <w:szCs w:val="20"/>
          <w:rtl w:val="0"/>
        </w:rPr>
        <w:t xml:space="preserve"> </w:t>
      </w:r>
    </w:p>
    <w:p w:rsidR="00000000" w:rsidDel="00000000" w:rsidP="00000000" w:rsidRDefault="00000000" w:rsidRPr="00000000" w14:paraId="00000047">
      <w:pPr>
        <w:spacing w:before="0" w:line="264" w:lineRule="auto"/>
        <w:ind w:left="720" w:firstLine="0"/>
        <w:rPr>
          <w:sz w:val="20"/>
          <w:szCs w:val="20"/>
        </w:rPr>
      </w:pPr>
      <w:r w:rsidDel="00000000" w:rsidR="00000000" w:rsidRPr="00000000">
        <w:rPr>
          <w:rtl w:val="0"/>
        </w:rPr>
      </w:r>
    </w:p>
    <w:p w:rsidR="00000000" w:rsidDel="00000000" w:rsidP="00000000" w:rsidRDefault="00000000" w:rsidRPr="00000000" w14:paraId="00000048">
      <w:pPr>
        <w:numPr>
          <w:ilvl w:val="0"/>
          <w:numId w:val="1"/>
        </w:numPr>
        <w:spacing w:before="0" w:line="264" w:lineRule="auto"/>
        <w:ind w:left="720" w:hanging="360"/>
        <w:rPr>
          <w:rFonts w:ascii="Roboto" w:cs="Roboto" w:eastAsia="Roboto" w:hAnsi="Roboto"/>
          <w:sz w:val="20"/>
          <w:szCs w:val="20"/>
        </w:rPr>
      </w:pPr>
      <w:r w:rsidDel="00000000" w:rsidR="00000000" w:rsidRPr="00000000">
        <w:rPr>
          <w:b w:val="1"/>
          <w:sz w:val="20"/>
          <w:szCs w:val="20"/>
          <w:rtl w:val="0"/>
        </w:rPr>
        <w:t xml:space="preserve">Research</w:t>
      </w:r>
      <w:r w:rsidDel="00000000" w:rsidR="00000000" w:rsidRPr="00000000">
        <w:rPr>
          <w:sz w:val="20"/>
          <w:szCs w:val="20"/>
          <w:rtl w:val="0"/>
        </w:rPr>
        <w:t xml:space="preserve"> on among others the rehabilitation of trans people </w:t>
      </w:r>
    </w:p>
    <w:p w:rsidR="00000000" w:rsidDel="00000000" w:rsidP="00000000" w:rsidRDefault="00000000" w:rsidRPr="00000000" w14:paraId="00000049">
      <w:pPr>
        <w:numPr>
          <w:ilvl w:val="0"/>
          <w:numId w:val="1"/>
        </w:numPr>
        <w:spacing w:before="0" w:line="264" w:lineRule="auto"/>
        <w:ind w:left="720" w:hanging="360"/>
        <w:rPr>
          <w:sz w:val="20"/>
          <w:szCs w:val="20"/>
        </w:rPr>
      </w:pPr>
      <w:r w:rsidDel="00000000" w:rsidR="00000000" w:rsidRPr="00000000">
        <w:rPr>
          <w:b w:val="1"/>
          <w:sz w:val="20"/>
          <w:szCs w:val="20"/>
          <w:rtl w:val="0"/>
        </w:rPr>
        <w:t xml:space="preserve">Action and enforcement</w:t>
      </w:r>
    </w:p>
    <w:p w:rsidR="00000000" w:rsidDel="00000000" w:rsidP="00000000" w:rsidRDefault="00000000" w:rsidRPr="00000000" w14:paraId="0000004A">
      <w:pPr>
        <w:spacing w:before="0" w:line="264" w:lineRule="auto"/>
        <w:ind w:left="720" w:firstLine="0"/>
        <w:rPr>
          <w:sz w:val="20"/>
          <w:szCs w:val="20"/>
        </w:rPr>
      </w:pPr>
      <w:r w:rsidDel="00000000" w:rsidR="00000000" w:rsidRPr="00000000">
        <w:rPr>
          <w:sz w:val="20"/>
          <w:szCs w:val="20"/>
          <w:rtl w:val="0"/>
        </w:rPr>
        <w:t xml:space="preserve"> </w:t>
      </w:r>
    </w:p>
    <w:p w:rsidR="00000000" w:rsidDel="00000000" w:rsidP="00000000" w:rsidRDefault="00000000" w:rsidRPr="00000000" w14:paraId="0000004B">
      <w:pPr>
        <w:spacing w:before="0" w:line="264" w:lineRule="auto"/>
        <w:rPr>
          <w:color w:val="222222"/>
          <w:sz w:val="20"/>
          <w:szCs w:val="20"/>
        </w:rPr>
      </w:pPr>
      <w:r w:rsidDel="00000000" w:rsidR="00000000" w:rsidRPr="00000000">
        <w:rPr>
          <w:sz w:val="20"/>
          <w:szCs w:val="20"/>
          <w:rtl w:val="0"/>
        </w:rPr>
        <w:t xml:space="preserve">1.10 The state activities use an ‘Islamic psychospiritual’ approach, which employs a combination of shame, religious guilt, incentives, pseudo-science, peer pressure, and the weaponization of sex work and HIV to reinforce the notion of sin.</w:t>
      </w:r>
      <w:r w:rsidDel="00000000" w:rsidR="00000000" w:rsidRPr="00000000">
        <w:rPr>
          <w:sz w:val="20"/>
          <w:szCs w:val="20"/>
          <w:vertAlign w:val="superscript"/>
        </w:rPr>
        <w:footnoteReference w:customMarkFollows="0" w:id="10"/>
      </w:r>
      <w:r w:rsidDel="00000000" w:rsidR="00000000" w:rsidRPr="00000000">
        <w:rPr>
          <w:sz w:val="20"/>
          <w:szCs w:val="20"/>
          <w:vertAlign w:val="superscript"/>
        </w:rPr>
        <w:footnoteReference w:customMarkFollows="0" w:id="11"/>
      </w:r>
      <w:r w:rsidDel="00000000" w:rsidR="00000000" w:rsidRPr="00000000">
        <w:rPr>
          <w:sz w:val="20"/>
          <w:szCs w:val="20"/>
          <w:rtl w:val="0"/>
        </w:rPr>
        <w:t xml:space="preserve"> Financial support is provided to incentivize SOGIE change. </w:t>
      </w:r>
      <w:r w:rsidDel="00000000" w:rsidR="00000000" w:rsidRPr="00000000">
        <w:rPr>
          <w:rtl w:val="0"/>
        </w:rPr>
      </w:r>
    </w:p>
    <w:p w:rsidR="00000000" w:rsidDel="00000000" w:rsidP="00000000" w:rsidRDefault="00000000" w:rsidRPr="00000000" w14:paraId="0000004C">
      <w:pPr>
        <w:spacing w:before="0" w:line="264" w:lineRule="auto"/>
        <w:rPr>
          <w:sz w:val="20"/>
          <w:szCs w:val="20"/>
        </w:rPr>
      </w:pPr>
      <w:r w:rsidDel="00000000" w:rsidR="00000000" w:rsidRPr="00000000">
        <w:rPr>
          <w:rtl w:val="0"/>
        </w:rPr>
      </w:r>
    </w:p>
    <w:p w:rsidR="00000000" w:rsidDel="00000000" w:rsidP="00000000" w:rsidRDefault="00000000" w:rsidRPr="00000000" w14:paraId="0000004D">
      <w:pPr>
        <w:spacing w:before="0" w:line="264" w:lineRule="auto"/>
        <w:rPr>
          <w:sz w:val="20"/>
          <w:szCs w:val="20"/>
        </w:rPr>
      </w:pPr>
      <w:r w:rsidDel="00000000" w:rsidR="00000000" w:rsidRPr="00000000">
        <w:rPr>
          <w:sz w:val="20"/>
          <w:szCs w:val="20"/>
          <w:rtl w:val="0"/>
        </w:rPr>
        <w:t xml:space="preserve">1.11 Against this backdrop, the promotion of conversion practices by non-state actors on social media platforms, through training,</w:t>
      </w:r>
      <w:r w:rsidDel="00000000" w:rsidR="00000000" w:rsidRPr="00000000">
        <w:rPr>
          <w:sz w:val="20"/>
          <w:szCs w:val="20"/>
          <w:vertAlign w:val="superscript"/>
        </w:rPr>
        <w:footnoteReference w:customMarkFollows="0" w:id="12"/>
      </w:r>
      <w:r w:rsidDel="00000000" w:rsidR="00000000" w:rsidRPr="00000000">
        <w:rPr>
          <w:sz w:val="20"/>
          <w:szCs w:val="20"/>
          <w:rtl w:val="0"/>
        </w:rPr>
        <w:t xml:space="preserve"> among others, is increasing. In 2024, an ‘LGBT counseling workshop’ targeting counselors supported by the Board of Counselors, a body under the Ministry of Women, Family, and Community Development, offered 4 CPD points for attendees. The workshop included identifying lesbian and gay symptoms, ​​family coping skills, including effective application of media.</w:t>
      </w:r>
      <w:r w:rsidDel="00000000" w:rsidR="00000000" w:rsidRPr="00000000">
        <w:rPr>
          <w:sz w:val="20"/>
          <w:szCs w:val="20"/>
          <w:vertAlign w:val="superscript"/>
        </w:rPr>
        <w:footnoteReference w:customMarkFollows="0" w:id="13"/>
      </w:r>
      <w:r w:rsidDel="00000000" w:rsidR="00000000" w:rsidRPr="00000000">
        <w:rPr>
          <w:sz w:val="20"/>
          <w:szCs w:val="20"/>
          <w:rtl w:val="0"/>
        </w:rPr>
        <w:t xml:space="preserve"> </w:t>
      </w:r>
    </w:p>
    <w:p w:rsidR="00000000" w:rsidDel="00000000" w:rsidP="00000000" w:rsidRDefault="00000000" w:rsidRPr="00000000" w14:paraId="0000004E">
      <w:pPr>
        <w:spacing w:before="0" w:line="264" w:lineRule="auto"/>
        <w:rPr>
          <w:sz w:val="20"/>
          <w:szCs w:val="20"/>
        </w:rPr>
      </w:pPr>
      <w:r w:rsidDel="00000000" w:rsidR="00000000" w:rsidRPr="00000000">
        <w:rPr>
          <w:rtl w:val="0"/>
        </w:rPr>
      </w:r>
    </w:p>
    <w:p w:rsidR="00000000" w:rsidDel="00000000" w:rsidP="00000000" w:rsidRDefault="00000000" w:rsidRPr="00000000" w14:paraId="0000004F">
      <w:pPr>
        <w:spacing w:before="0" w:line="264" w:lineRule="auto"/>
        <w:rPr>
          <w:i w:val="1"/>
          <w:sz w:val="20"/>
          <w:szCs w:val="20"/>
        </w:rPr>
      </w:pPr>
      <w:r w:rsidDel="00000000" w:rsidR="00000000" w:rsidRPr="00000000">
        <w:rPr>
          <w:sz w:val="20"/>
          <w:szCs w:val="20"/>
          <w:rtl w:val="0"/>
        </w:rPr>
        <w:t xml:space="preserve">1.12 In this context, LGBTI children face increased minority stress and hopelessness.</w:t>
      </w:r>
      <w:r w:rsidDel="00000000" w:rsidR="00000000" w:rsidRPr="00000000">
        <w:rPr>
          <w:sz w:val="20"/>
          <w:szCs w:val="20"/>
          <w:vertAlign w:val="superscript"/>
        </w:rPr>
        <w:footnoteReference w:customMarkFollows="0" w:id="14"/>
      </w:r>
      <w:r w:rsidDel="00000000" w:rsidR="00000000" w:rsidRPr="00000000">
        <w:rPr>
          <w:sz w:val="20"/>
          <w:szCs w:val="20"/>
          <w:rtl w:val="0"/>
        </w:rPr>
        <w:t xml:space="preserve"> LGBTI groups face increased challenges in providing support services for LGBTI children, although they receive requests for support from LGBT children and their immediate and extended family members. </w:t>
      </w:r>
      <w:r w:rsidDel="00000000" w:rsidR="00000000" w:rsidRPr="00000000">
        <w:rPr>
          <w:rtl w:val="0"/>
        </w:rPr>
      </w:r>
    </w:p>
    <w:p w:rsidR="00000000" w:rsidDel="00000000" w:rsidP="00000000" w:rsidRDefault="00000000" w:rsidRPr="00000000" w14:paraId="00000050">
      <w:pPr>
        <w:spacing w:before="0" w:line="264" w:lineRule="auto"/>
        <w:rPr>
          <w:i w:val="1"/>
          <w:sz w:val="20"/>
          <w:szCs w:val="20"/>
        </w:rPr>
      </w:pPr>
      <w:r w:rsidDel="00000000" w:rsidR="00000000" w:rsidRPr="00000000">
        <w:rPr>
          <w:rtl w:val="0"/>
        </w:rPr>
      </w:r>
    </w:p>
    <w:p w:rsidR="00000000" w:rsidDel="00000000" w:rsidP="00000000" w:rsidRDefault="00000000" w:rsidRPr="00000000" w14:paraId="00000051">
      <w:pPr>
        <w:spacing w:before="0" w:line="264" w:lineRule="auto"/>
        <w:rPr>
          <w:b w:val="1"/>
          <w:sz w:val="20"/>
          <w:szCs w:val="20"/>
        </w:rPr>
      </w:pPr>
      <w:r w:rsidDel="00000000" w:rsidR="00000000" w:rsidRPr="00000000">
        <w:rPr>
          <w:b w:val="1"/>
          <w:sz w:val="20"/>
          <w:szCs w:val="20"/>
          <w:rtl w:val="0"/>
        </w:rPr>
        <w:t xml:space="preserve">Recommendations </w:t>
      </w:r>
    </w:p>
    <w:p w:rsidR="00000000" w:rsidDel="00000000" w:rsidP="00000000" w:rsidRDefault="00000000" w:rsidRPr="00000000" w14:paraId="00000052">
      <w:pPr>
        <w:numPr>
          <w:ilvl w:val="0"/>
          <w:numId w:val="7"/>
        </w:numPr>
        <w:spacing w:before="0" w:line="264" w:lineRule="auto"/>
        <w:ind w:left="720" w:hanging="360"/>
        <w:rPr>
          <w:sz w:val="20"/>
          <w:szCs w:val="20"/>
        </w:rPr>
      </w:pPr>
      <w:r w:rsidDel="00000000" w:rsidR="00000000" w:rsidRPr="00000000">
        <w:rPr>
          <w:sz w:val="20"/>
          <w:szCs w:val="20"/>
          <w:rtl w:val="0"/>
        </w:rPr>
        <w:t xml:space="preserve">Repeal all laws and regulations that discriminate against LGBTI people based on actual or perceived SOGIE</w:t>
      </w:r>
    </w:p>
    <w:p w:rsidR="00000000" w:rsidDel="00000000" w:rsidP="00000000" w:rsidRDefault="00000000" w:rsidRPr="00000000" w14:paraId="00000053">
      <w:pPr>
        <w:numPr>
          <w:ilvl w:val="0"/>
          <w:numId w:val="7"/>
        </w:numPr>
        <w:spacing w:before="0" w:line="264" w:lineRule="auto"/>
        <w:ind w:left="720" w:hanging="360"/>
        <w:rPr>
          <w:sz w:val="20"/>
          <w:szCs w:val="20"/>
        </w:rPr>
      </w:pPr>
      <w:r w:rsidDel="00000000" w:rsidR="00000000" w:rsidRPr="00000000">
        <w:rPr>
          <w:sz w:val="20"/>
          <w:szCs w:val="20"/>
          <w:rtl w:val="0"/>
        </w:rPr>
        <w:t xml:space="preserve">End all forms of rehabilitation, or spiritual guidance programmes aiming to change LGBT children and people’s SOGIE  </w:t>
      </w:r>
    </w:p>
    <w:p w:rsidR="00000000" w:rsidDel="00000000" w:rsidP="00000000" w:rsidRDefault="00000000" w:rsidRPr="00000000" w14:paraId="00000054">
      <w:pPr>
        <w:numPr>
          <w:ilvl w:val="0"/>
          <w:numId w:val="7"/>
        </w:numPr>
        <w:spacing w:before="0" w:line="264" w:lineRule="auto"/>
        <w:ind w:left="720" w:hanging="360"/>
        <w:rPr>
          <w:sz w:val="20"/>
          <w:szCs w:val="20"/>
        </w:rPr>
      </w:pPr>
      <w:r w:rsidDel="00000000" w:rsidR="00000000" w:rsidRPr="00000000">
        <w:rPr>
          <w:sz w:val="20"/>
          <w:szCs w:val="20"/>
          <w:rtl w:val="0"/>
        </w:rPr>
        <w:t xml:space="preserve">Undertake training to increase the capacity of state actors on gender, intersectionality, and diversity </w:t>
      </w:r>
    </w:p>
    <w:p w:rsidR="00000000" w:rsidDel="00000000" w:rsidP="00000000" w:rsidRDefault="00000000" w:rsidRPr="00000000" w14:paraId="00000055">
      <w:pPr>
        <w:numPr>
          <w:ilvl w:val="0"/>
          <w:numId w:val="7"/>
        </w:numPr>
        <w:spacing w:before="0" w:line="264" w:lineRule="auto"/>
        <w:ind w:left="720" w:hanging="360"/>
        <w:rPr>
          <w:sz w:val="20"/>
          <w:szCs w:val="20"/>
        </w:rPr>
      </w:pPr>
      <w:r w:rsidDel="00000000" w:rsidR="00000000" w:rsidRPr="00000000">
        <w:rPr>
          <w:sz w:val="20"/>
          <w:szCs w:val="20"/>
          <w:rtl w:val="0"/>
        </w:rPr>
        <w:t xml:space="preserve">Ensure a safe and open environment for service providers to provide LGBTI-affirming services</w:t>
      </w:r>
    </w:p>
    <w:p w:rsidR="00000000" w:rsidDel="00000000" w:rsidP="00000000" w:rsidRDefault="00000000" w:rsidRPr="00000000" w14:paraId="00000056">
      <w:pPr>
        <w:numPr>
          <w:ilvl w:val="0"/>
          <w:numId w:val="7"/>
        </w:numPr>
        <w:spacing w:before="0" w:line="264" w:lineRule="auto"/>
        <w:ind w:left="720" w:hanging="360"/>
        <w:rPr>
          <w:sz w:val="20"/>
          <w:szCs w:val="20"/>
        </w:rPr>
      </w:pPr>
      <w:r w:rsidDel="00000000" w:rsidR="00000000" w:rsidRPr="00000000">
        <w:rPr>
          <w:sz w:val="20"/>
          <w:szCs w:val="20"/>
          <w:rtl w:val="0"/>
        </w:rPr>
        <w:t xml:space="preserve">Engage LGBTI human rights groups to address discrimination and violence faced by LGBTI children</w:t>
      </w:r>
    </w:p>
    <w:p w:rsidR="00000000" w:rsidDel="00000000" w:rsidP="00000000" w:rsidRDefault="00000000" w:rsidRPr="00000000" w14:paraId="00000057">
      <w:pPr>
        <w:pStyle w:val="Heading1"/>
        <w:spacing w:line="264" w:lineRule="auto"/>
        <w:rPr>
          <w:b w:val="1"/>
          <w:sz w:val="24"/>
          <w:szCs w:val="24"/>
        </w:rPr>
      </w:pPr>
      <w:bookmarkStart w:colFirst="0" w:colLast="0" w:name="_54avnsqaa165" w:id="3"/>
      <w:bookmarkEnd w:id="3"/>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1"/>
        <w:spacing w:line="264" w:lineRule="auto"/>
        <w:rPr>
          <w:i w:val="1"/>
          <w:color w:val="ff0000"/>
          <w:sz w:val="24"/>
          <w:szCs w:val="24"/>
        </w:rPr>
      </w:pPr>
      <w:bookmarkStart w:colFirst="0" w:colLast="0" w:name="_x9lm2743c5ad" w:id="4"/>
      <w:bookmarkEnd w:id="4"/>
      <w:r w:rsidDel="00000000" w:rsidR="00000000" w:rsidRPr="00000000">
        <w:rPr>
          <w:b w:val="1"/>
          <w:sz w:val="24"/>
          <w:szCs w:val="24"/>
          <w:rtl w:val="0"/>
        </w:rPr>
        <w:t xml:space="preserve">Civil and political rights </w:t>
      </w:r>
      <w:r w:rsidDel="00000000" w:rsidR="00000000" w:rsidRPr="00000000">
        <w:rPr>
          <w:rtl w:val="0"/>
        </w:rPr>
      </w:r>
    </w:p>
    <w:p w:rsidR="00000000" w:rsidDel="00000000" w:rsidP="00000000" w:rsidRDefault="00000000" w:rsidRPr="00000000" w14:paraId="00000059">
      <w:pPr>
        <w:spacing w:before="0" w:line="264" w:lineRule="auto"/>
        <w:rPr>
          <w:sz w:val="20"/>
          <w:szCs w:val="20"/>
        </w:rPr>
      </w:pPr>
      <w:r w:rsidDel="00000000" w:rsidR="00000000" w:rsidRPr="00000000">
        <w:rPr>
          <w:sz w:val="20"/>
          <w:szCs w:val="20"/>
          <w:rtl w:val="0"/>
        </w:rPr>
        <w:t xml:space="preserve">2</w:t>
      </w:r>
      <w:r w:rsidDel="00000000" w:rsidR="00000000" w:rsidRPr="00000000">
        <w:rPr>
          <w:sz w:val="20"/>
          <w:szCs w:val="20"/>
          <w:rtl w:val="0"/>
        </w:rPr>
        <w:t xml:space="preserve">.1 LGBTI expressions are increasingly criminalized. In 2023, new </w:t>
      </w:r>
      <w:r w:rsidDel="00000000" w:rsidR="00000000" w:rsidRPr="00000000">
        <w:rPr>
          <w:sz w:val="20"/>
          <w:szCs w:val="20"/>
          <w:highlight w:val="white"/>
          <w:rtl w:val="0"/>
        </w:rPr>
        <w:t xml:space="preserve">guidelines on entertainment activities (concerts) in higher learning institutions</w:t>
      </w:r>
      <w:r w:rsidDel="00000000" w:rsidR="00000000" w:rsidRPr="00000000">
        <w:rPr>
          <w:sz w:val="20"/>
          <w:szCs w:val="20"/>
          <w:rtl w:val="0"/>
        </w:rPr>
        <w:t xml:space="preserve"> and new additional anti-LGBT provisions in the film censorship guidelines were introduced to prohibit gender non-conforming expressions and display of LGBT symbols and support. The concert guideline also regulates gendered interaction and seating.</w:t>
      </w:r>
      <w:r w:rsidDel="00000000" w:rsidR="00000000" w:rsidRPr="00000000">
        <w:rPr>
          <w:sz w:val="20"/>
          <w:szCs w:val="20"/>
          <w:vertAlign w:val="superscript"/>
        </w:rPr>
        <w:footnoteReference w:customMarkFollows="0" w:id="15"/>
      </w:r>
      <w:r w:rsidDel="00000000" w:rsidR="00000000" w:rsidRPr="00000000">
        <w:rPr>
          <w:rtl w:val="0"/>
        </w:rPr>
      </w:r>
    </w:p>
    <w:p w:rsidR="00000000" w:rsidDel="00000000" w:rsidP="00000000" w:rsidRDefault="00000000" w:rsidRPr="00000000" w14:paraId="0000005A">
      <w:pPr>
        <w:spacing w:before="0" w:line="264" w:lineRule="auto"/>
        <w:rPr>
          <w:sz w:val="20"/>
          <w:szCs w:val="20"/>
        </w:rPr>
      </w:pPr>
      <w:r w:rsidDel="00000000" w:rsidR="00000000" w:rsidRPr="00000000">
        <w:rPr>
          <w:rtl w:val="0"/>
        </w:rPr>
      </w:r>
    </w:p>
    <w:p w:rsidR="00000000" w:rsidDel="00000000" w:rsidP="00000000" w:rsidRDefault="00000000" w:rsidRPr="00000000" w14:paraId="0000005B">
      <w:pPr>
        <w:spacing w:line="240" w:lineRule="auto"/>
        <w:rPr>
          <w:sz w:val="20"/>
          <w:szCs w:val="20"/>
        </w:rPr>
      </w:pPr>
      <w:r w:rsidDel="00000000" w:rsidR="00000000" w:rsidRPr="00000000">
        <w:rPr>
          <w:sz w:val="20"/>
          <w:szCs w:val="20"/>
          <w:rtl w:val="0"/>
        </w:rPr>
        <w:t xml:space="preserve">2.2. Between 2020 and 2023, the Printing Presses and Publication Act (PPPA) has been used 7 times to ban LGBT-themed books, including children’s books</w:t>
      </w:r>
      <w:r w:rsidDel="00000000" w:rsidR="00000000" w:rsidRPr="00000000">
        <w:rPr>
          <w:sz w:val="20"/>
          <w:szCs w:val="20"/>
          <w:vertAlign w:val="superscript"/>
        </w:rPr>
        <w:footnoteReference w:customMarkFollows="0" w:id="16"/>
      </w:r>
      <w:r w:rsidDel="00000000" w:rsidR="00000000" w:rsidRPr="00000000">
        <w:rPr>
          <w:sz w:val="20"/>
          <w:szCs w:val="20"/>
          <w:rtl w:val="0"/>
        </w:rPr>
        <w:t xml:space="preserve"> and watches for being ’</w:t>
      </w:r>
      <w:r w:rsidDel="00000000" w:rsidR="00000000" w:rsidRPr="00000000">
        <w:rPr>
          <w:sz w:val="20"/>
          <w:szCs w:val="20"/>
          <w:highlight w:val="white"/>
          <w:rtl w:val="0"/>
        </w:rPr>
        <w:t xml:space="preserve">detrimental to public order, morals, and public interest’</w:t>
      </w:r>
      <w:r w:rsidDel="00000000" w:rsidR="00000000" w:rsidRPr="00000000">
        <w:rPr>
          <w:sz w:val="20"/>
          <w:szCs w:val="20"/>
          <w:rtl w:val="0"/>
        </w:rPr>
        <w:t xml:space="preserve">. In 2022, the Home Ministry appealed a book ban lifted by the High Court.</w:t>
      </w:r>
      <w:r w:rsidDel="00000000" w:rsidR="00000000" w:rsidRPr="00000000">
        <w:rPr>
          <w:sz w:val="20"/>
          <w:szCs w:val="20"/>
          <w:vertAlign w:val="superscript"/>
        </w:rPr>
        <w:footnoteReference w:customMarkFollows="0" w:id="17"/>
      </w:r>
      <w:r w:rsidDel="00000000" w:rsidR="00000000" w:rsidRPr="00000000">
        <w:rPr>
          <w:sz w:val="20"/>
          <w:szCs w:val="20"/>
          <w:rtl w:val="0"/>
        </w:rPr>
        <w:t xml:space="preserve"> In 2022, two celebrities</w:t>
      </w:r>
      <w:r w:rsidDel="00000000" w:rsidR="00000000" w:rsidRPr="00000000">
        <w:rPr>
          <w:sz w:val="20"/>
          <w:szCs w:val="20"/>
          <w:vertAlign w:val="superscript"/>
        </w:rPr>
        <w:footnoteReference w:customMarkFollows="0" w:id="18"/>
      </w:r>
      <w:r w:rsidDel="00000000" w:rsidR="00000000" w:rsidRPr="00000000">
        <w:rPr>
          <w:sz w:val="20"/>
          <w:szCs w:val="20"/>
          <w:rtl w:val="0"/>
        </w:rPr>
        <w:t xml:space="preserve"> were charged under the Communications and Multimedia Act (CMA) for sharing their music videos featuring gender-diverse and drag performers on social media platforms.</w:t>
      </w:r>
      <w:r w:rsidDel="00000000" w:rsidR="00000000" w:rsidRPr="00000000">
        <w:rPr>
          <w:sz w:val="20"/>
          <w:szCs w:val="20"/>
          <w:vertAlign w:val="superscript"/>
        </w:rPr>
        <w:footnoteReference w:customMarkFollows="0" w:id="19"/>
      </w:r>
      <w:r w:rsidDel="00000000" w:rsidR="00000000" w:rsidRPr="00000000">
        <w:rPr>
          <w:sz w:val="20"/>
          <w:szCs w:val="20"/>
          <w:rtl w:val="0"/>
        </w:rPr>
        <w:t xml:space="preserve"> Two films</w:t>
      </w:r>
      <w:r w:rsidDel="00000000" w:rsidR="00000000" w:rsidRPr="00000000">
        <w:rPr>
          <w:sz w:val="20"/>
          <w:szCs w:val="20"/>
          <w:vertAlign w:val="superscript"/>
        </w:rPr>
        <w:footnoteReference w:customMarkFollows="0" w:id="20"/>
      </w:r>
      <w:r w:rsidDel="00000000" w:rsidR="00000000" w:rsidRPr="00000000">
        <w:rPr>
          <w:sz w:val="20"/>
          <w:szCs w:val="20"/>
          <w:rtl w:val="0"/>
        </w:rPr>
        <w:t xml:space="preserve"> and websites</w:t>
      </w:r>
      <w:r w:rsidDel="00000000" w:rsidR="00000000" w:rsidRPr="00000000">
        <w:rPr>
          <w:sz w:val="20"/>
          <w:szCs w:val="20"/>
          <w:vertAlign w:val="superscript"/>
        </w:rPr>
        <w:footnoteReference w:customMarkFollows="0" w:id="21"/>
      </w:r>
      <w:r w:rsidDel="00000000" w:rsidR="00000000" w:rsidRPr="00000000">
        <w:rPr>
          <w:sz w:val="20"/>
          <w:szCs w:val="20"/>
          <w:rtl w:val="0"/>
        </w:rPr>
        <w:t xml:space="preserve"> have been banned due to LGBT content. </w:t>
      </w:r>
    </w:p>
    <w:p w:rsidR="00000000" w:rsidDel="00000000" w:rsidP="00000000" w:rsidRDefault="00000000" w:rsidRPr="00000000" w14:paraId="0000005C">
      <w:pPr>
        <w:spacing w:lin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5D">
      <w:pPr>
        <w:spacing w:after="240" w:line="240" w:lineRule="auto"/>
        <w:rPr>
          <w:sz w:val="20"/>
          <w:szCs w:val="20"/>
        </w:rPr>
      </w:pPr>
      <w:r w:rsidDel="00000000" w:rsidR="00000000" w:rsidRPr="00000000">
        <w:rPr>
          <w:sz w:val="20"/>
          <w:szCs w:val="20"/>
          <w:rtl w:val="0"/>
        </w:rPr>
        <w:t xml:space="preserve">2.3 The Minister of Unity explained that the PPPA is used to ‘curb normalization of LGBTQ culture in Malaysia’, including but not limited to confiscating LGBT-themed publications,  imposing a Prohibition Order to ban all aspects of the publication, cancelling or suspending the license of publishers for publishing LGBT-themed publications. The Ministry’s 2024 public survey to amend the PPPA identifies, among others, LGBT-themed publications, radicalism, terrorism as publications as unwanted publications or publications that can cause public immorality and national insecurity.</w:t>
      </w:r>
      <w:r w:rsidDel="00000000" w:rsidR="00000000" w:rsidRPr="00000000">
        <w:rPr>
          <w:sz w:val="20"/>
          <w:szCs w:val="20"/>
          <w:vertAlign w:val="superscript"/>
        </w:rPr>
        <w:footnoteReference w:customMarkFollows="0" w:id="22"/>
      </w:r>
      <w:r w:rsidDel="00000000" w:rsidR="00000000" w:rsidRPr="00000000">
        <w:rPr>
          <w:rtl w:val="0"/>
        </w:rPr>
      </w:r>
    </w:p>
    <w:p w:rsidR="00000000" w:rsidDel="00000000" w:rsidP="00000000" w:rsidRDefault="00000000" w:rsidRPr="00000000" w14:paraId="0000005E">
      <w:pPr>
        <w:spacing w:line="264" w:lineRule="auto"/>
        <w:rPr>
          <w:sz w:val="20"/>
          <w:szCs w:val="20"/>
        </w:rPr>
      </w:pPr>
      <w:r w:rsidDel="00000000" w:rsidR="00000000" w:rsidRPr="00000000">
        <w:rPr>
          <w:sz w:val="20"/>
          <w:szCs w:val="20"/>
          <w:rtl w:val="0"/>
        </w:rPr>
        <w:t xml:space="preserve">2.4  The LGBT-related misinformation and hate speech are equally high. Boarding schools and social media are deemed as causes of LGBT people’s SOGIE</w:t>
      </w:r>
      <w:r w:rsidDel="00000000" w:rsidR="00000000" w:rsidRPr="00000000">
        <w:rPr>
          <w:sz w:val="20"/>
          <w:szCs w:val="20"/>
          <w:vertAlign w:val="superscript"/>
        </w:rPr>
        <w:footnoteReference w:customMarkFollows="0" w:id="23"/>
      </w:r>
      <w:r w:rsidDel="00000000" w:rsidR="00000000" w:rsidRPr="00000000">
        <w:rPr>
          <w:sz w:val="20"/>
          <w:szCs w:val="20"/>
          <w:rtl w:val="0"/>
        </w:rPr>
        <w:t xml:space="preserve"> among state</w:t>
      </w:r>
      <w:r w:rsidDel="00000000" w:rsidR="00000000" w:rsidRPr="00000000">
        <w:rPr>
          <w:sz w:val="20"/>
          <w:szCs w:val="20"/>
          <w:vertAlign w:val="superscript"/>
        </w:rPr>
        <w:footnoteReference w:customMarkFollows="0" w:id="24"/>
      </w:r>
      <w:r w:rsidDel="00000000" w:rsidR="00000000" w:rsidRPr="00000000">
        <w:rPr>
          <w:sz w:val="20"/>
          <w:szCs w:val="20"/>
          <w:vertAlign w:val="superscript"/>
        </w:rPr>
        <w:footnoteReference w:customMarkFollows="0" w:id="25"/>
      </w:r>
      <w:r w:rsidDel="00000000" w:rsidR="00000000" w:rsidRPr="00000000">
        <w:rPr>
          <w:sz w:val="20"/>
          <w:szCs w:val="20"/>
          <w:rtl w:val="0"/>
        </w:rPr>
        <w:t xml:space="preserve"> and non-state actors.</w:t>
      </w:r>
      <w:r w:rsidDel="00000000" w:rsidR="00000000" w:rsidRPr="00000000">
        <w:rPr>
          <w:sz w:val="20"/>
          <w:szCs w:val="20"/>
          <w:vertAlign w:val="superscript"/>
        </w:rPr>
        <w:footnoteReference w:customMarkFollows="0" w:id="26"/>
      </w:r>
      <w:r w:rsidDel="00000000" w:rsidR="00000000" w:rsidRPr="00000000">
        <w:rPr>
          <w:sz w:val="20"/>
          <w:szCs w:val="20"/>
          <w:rtl w:val="0"/>
        </w:rPr>
        <w:t xml:space="preserve"> A government health guideline recommends “Parents should pay more attention in ensuring their children are not influenced by transgender characters in social media. The media should not portray transgender characters as a social norm.”</w:t>
      </w:r>
      <w:r w:rsidDel="00000000" w:rsidR="00000000" w:rsidRPr="00000000">
        <w:rPr>
          <w:sz w:val="20"/>
          <w:szCs w:val="20"/>
          <w:vertAlign w:val="superscript"/>
        </w:rPr>
        <w:footnoteReference w:customMarkFollows="0" w:id="27"/>
      </w:r>
      <w:r w:rsidDel="00000000" w:rsidR="00000000" w:rsidRPr="00000000">
        <w:rPr>
          <w:sz w:val="20"/>
          <w:szCs w:val="20"/>
          <w:rtl w:val="0"/>
        </w:rPr>
        <w:t xml:space="preserve"> </w:t>
      </w:r>
    </w:p>
    <w:p w:rsidR="00000000" w:rsidDel="00000000" w:rsidP="00000000" w:rsidRDefault="00000000" w:rsidRPr="00000000" w14:paraId="0000005F">
      <w:pPr>
        <w:spacing w:line="264" w:lineRule="auto"/>
        <w:rPr>
          <w:sz w:val="20"/>
          <w:szCs w:val="20"/>
        </w:rPr>
      </w:pPr>
      <w:r w:rsidDel="00000000" w:rsidR="00000000" w:rsidRPr="00000000">
        <w:rPr>
          <w:rtl w:val="0"/>
        </w:rPr>
      </w:r>
    </w:p>
    <w:p w:rsidR="00000000" w:rsidDel="00000000" w:rsidP="00000000" w:rsidRDefault="00000000" w:rsidRPr="00000000" w14:paraId="00000060">
      <w:pPr>
        <w:spacing w:line="264" w:lineRule="auto"/>
        <w:rPr>
          <w:sz w:val="20"/>
          <w:szCs w:val="20"/>
        </w:rPr>
      </w:pPr>
      <w:r w:rsidDel="00000000" w:rsidR="00000000" w:rsidRPr="00000000">
        <w:rPr>
          <w:sz w:val="20"/>
          <w:szCs w:val="20"/>
          <w:rtl w:val="0"/>
        </w:rPr>
        <w:t xml:space="preserve">2.5 An election hate speech monitoring found offensive speech related to gender and sexual orientation was 3 times higher than religion- and race-related offensive speech.</w:t>
      </w:r>
      <w:r w:rsidDel="00000000" w:rsidR="00000000" w:rsidRPr="00000000">
        <w:rPr>
          <w:sz w:val="20"/>
          <w:szCs w:val="20"/>
          <w:vertAlign w:val="superscript"/>
        </w:rPr>
        <w:footnoteReference w:customMarkFollows="0" w:id="28"/>
      </w:r>
      <w:r w:rsidDel="00000000" w:rsidR="00000000" w:rsidRPr="00000000">
        <w:rPr>
          <w:sz w:val="20"/>
          <w:szCs w:val="20"/>
          <w:rtl w:val="0"/>
        </w:rPr>
        <w:t xml:space="preserve"> Meanwhile, media representation and portrayal of LGBT people is dehumanizing and limited to the lived experiences of ex-LGBT people, in line with the state’s promotion of conversion practices. </w:t>
      </w:r>
    </w:p>
    <w:p w:rsidR="00000000" w:rsidDel="00000000" w:rsidP="00000000" w:rsidRDefault="00000000" w:rsidRPr="00000000" w14:paraId="00000061">
      <w:pPr>
        <w:spacing w:line="264" w:lineRule="auto"/>
        <w:rPr>
          <w:sz w:val="20"/>
          <w:szCs w:val="20"/>
        </w:rPr>
      </w:pPr>
      <w:r w:rsidDel="00000000" w:rsidR="00000000" w:rsidRPr="00000000">
        <w:rPr>
          <w:rtl w:val="0"/>
        </w:rPr>
      </w:r>
    </w:p>
    <w:p w:rsidR="00000000" w:rsidDel="00000000" w:rsidP="00000000" w:rsidRDefault="00000000" w:rsidRPr="00000000" w14:paraId="00000062">
      <w:pPr>
        <w:spacing w:line="264" w:lineRule="auto"/>
        <w:rPr>
          <w:sz w:val="20"/>
          <w:szCs w:val="20"/>
        </w:rPr>
      </w:pPr>
      <w:r w:rsidDel="00000000" w:rsidR="00000000" w:rsidRPr="00000000">
        <w:rPr>
          <w:sz w:val="20"/>
          <w:szCs w:val="20"/>
          <w:rtl w:val="0"/>
        </w:rPr>
        <w:t xml:space="preserve">2.6 A survey with 220 LGBT people found that 55% and 53% faced increased stress due to media sensationalism and online hate speech. Meanwhile, between 33% - 39% experienced discrimination. It also finds a correlation between negative LGBT media representation and increased anti-LGBT conversation in the family, increased minority stress and strain on mental health, and self-censorship.</w:t>
      </w:r>
      <w:r w:rsidDel="00000000" w:rsidR="00000000" w:rsidRPr="00000000">
        <w:rPr>
          <w:sz w:val="20"/>
          <w:szCs w:val="20"/>
          <w:vertAlign w:val="superscript"/>
        </w:rPr>
        <w:footnoteReference w:customMarkFollows="0" w:id="29"/>
      </w:r>
      <w:r w:rsidDel="00000000" w:rsidR="00000000" w:rsidRPr="00000000">
        <w:rPr>
          <w:rtl w:val="0"/>
        </w:rPr>
      </w:r>
    </w:p>
    <w:p w:rsidR="00000000" w:rsidDel="00000000" w:rsidP="00000000" w:rsidRDefault="00000000" w:rsidRPr="00000000" w14:paraId="00000063">
      <w:pPr>
        <w:spacing w:before="0" w:line="264" w:lineRule="auto"/>
        <w:rPr>
          <w:sz w:val="20"/>
          <w:szCs w:val="20"/>
        </w:rPr>
      </w:pPr>
      <w:r w:rsidDel="00000000" w:rsidR="00000000" w:rsidRPr="00000000">
        <w:rPr>
          <w:rtl w:val="0"/>
        </w:rPr>
      </w:r>
    </w:p>
    <w:p w:rsidR="00000000" w:rsidDel="00000000" w:rsidP="00000000" w:rsidRDefault="00000000" w:rsidRPr="00000000" w14:paraId="00000064">
      <w:pPr>
        <w:spacing w:before="0" w:line="264" w:lineRule="auto"/>
        <w:rPr>
          <w:sz w:val="20"/>
          <w:szCs w:val="20"/>
        </w:rPr>
      </w:pPr>
      <w:r w:rsidDel="00000000" w:rsidR="00000000" w:rsidRPr="00000000">
        <w:rPr>
          <w:rtl w:val="0"/>
        </w:rPr>
      </w:r>
    </w:p>
    <w:p w:rsidR="00000000" w:rsidDel="00000000" w:rsidP="00000000" w:rsidRDefault="00000000" w:rsidRPr="00000000" w14:paraId="00000065">
      <w:pPr>
        <w:spacing w:before="0" w:line="264" w:lineRule="auto"/>
        <w:rPr>
          <w:b w:val="1"/>
          <w:sz w:val="20"/>
          <w:szCs w:val="20"/>
        </w:rPr>
      </w:pPr>
      <w:r w:rsidDel="00000000" w:rsidR="00000000" w:rsidRPr="00000000">
        <w:rPr>
          <w:b w:val="1"/>
          <w:sz w:val="20"/>
          <w:szCs w:val="20"/>
          <w:rtl w:val="0"/>
        </w:rPr>
        <w:t xml:space="preserve">Recommendations </w:t>
      </w:r>
    </w:p>
    <w:p w:rsidR="00000000" w:rsidDel="00000000" w:rsidP="00000000" w:rsidRDefault="00000000" w:rsidRPr="00000000" w14:paraId="00000066">
      <w:pPr>
        <w:numPr>
          <w:ilvl w:val="0"/>
          <w:numId w:val="6"/>
        </w:numPr>
        <w:spacing w:before="0" w:line="264" w:lineRule="auto"/>
        <w:ind w:left="720" w:hanging="360"/>
        <w:rPr>
          <w:sz w:val="20"/>
          <w:szCs w:val="20"/>
        </w:rPr>
      </w:pPr>
      <w:r w:rsidDel="00000000" w:rsidR="00000000" w:rsidRPr="00000000">
        <w:rPr>
          <w:sz w:val="20"/>
          <w:szCs w:val="20"/>
          <w:rtl w:val="0"/>
        </w:rPr>
        <w:t xml:space="preserve">End all forms of censorship and restrictions against LGBTI children and people, including removing all discriminatory guidelines </w:t>
      </w:r>
    </w:p>
    <w:p w:rsidR="00000000" w:rsidDel="00000000" w:rsidP="00000000" w:rsidRDefault="00000000" w:rsidRPr="00000000" w14:paraId="00000067">
      <w:pPr>
        <w:numPr>
          <w:ilvl w:val="0"/>
          <w:numId w:val="6"/>
        </w:numPr>
        <w:spacing w:before="0" w:line="264" w:lineRule="auto"/>
        <w:ind w:left="720" w:hanging="360"/>
        <w:rPr>
          <w:sz w:val="20"/>
          <w:szCs w:val="20"/>
        </w:rPr>
      </w:pPr>
      <w:r w:rsidDel="00000000" w:rsidR="00000000" w:rsidRPr="00000000">
        <w:rPr>
          <w:sz w:val="20"/>
          <w:szCs w:val="20"/>
          <w:rtl w:val="0"/>
        </w:rPr>
        <w:t xml:space="preserve">Address gendered and LGBTIQ-related misinformation and disinformation through fact-checking</w:t>
      </w:r>
      <w:r w:rsidDel="00000000" w:rsidR="00000000" w:rsidRPr="00000000">
        <w:rPr>
          <w:rtl w:val="0"/>
        </w:rPr>
      </w:r>
    </w:p>
    <w:p w:rsidR="00000000" w:rsidDel="00000000" w:rsidP="00000000" w:rsidRDefault="00000000" w:rsidRPr="00000000" w14:paraId="00000068">
      <w:pPr>
        <w:pStyle w:val="Heading1"/>
        <w:spacing w:line="264" w:lineRule="auto"/>
        <w:rPr>
          <w:b w:val="1"/>
          <w:sz w:val="24"/>
          <w:szCs w:val="24"/>
        </w:rPr>
      </w:pPr>
      <w:bookmarkStart w:colFirst="0" w:colLast="0" w:name="_llrjf3ucbvc8" w:id="5"/>
      <w:bookmarkEnd w:id="5"/>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spacing w:line="264" w:lineRule="auto"/>
        <w:rPr>
          <w:sz w:val="24"/>
          <w:szCs w:val="24"/>
        </w:rPr>
      </w:pPr>
      <w:bookmarkStart w:colFirst="0" w:colLast="0" w:name="_8csjsn4a2s1j" w:id="6"/>
      <w:bookmarkEnd w:id="6"/>
      <w:r w:rsidDel="00000000" w:rsidR="00000000" w:rsidRPr="00000000">
        <w:rPr>
          <w:b w:val="1"/>
          <w:sz w:val="24"/>
          <w:szCs w:val="24"/>
          <w:rtl w:val="0"/>
        </w:rPr>
        <w:t xml:space="preserve">Violence against children</w:t>
      </w:r>
      <w:r w:rsidDel="00000000" w:rsidR="00000000" w:rsidRPr="00000000">
        <w:rPr>
          <w:sz w:val="24"/>
          <w:szCs w:val="24"/>
          <w:rtl w:val="0"/>
        </w:rPr>
        <w:t xml:space="preserve"> </w:t>
      </w:r>
    </w:p>
    <w:p w:rsidR="00000000" w:rsidDel="00000000" w:rsidP="00000000" w:rsidRDefault="00000000" w:rsidRPr="00000000" w14:paraId="0000006A">
      <w:pPr>
        <w:widowControl w:val="0"/>
        <w:spacing w:before="0" w:line="264" w:lineRule="auto"/>
        <w:rPr>
          <w:sz w:val="20"/>
          <w:szCs w:val="20"/>
        </w:rPr>
      </w:pPr>
      <w:r w:rsidDel="00000000" w:rsidR="00000000" w:rsidRPr="00000000">
        <w:rPr>
          <w:sz w:val="20"/>
          <w:szCs w:val="20"/>
          <w:rtl w:val="0"/>
        </w:rPr>
        <w:t xml:space="preserve">3.1 LGBTI groups report that LGBT and gender-diverse children seek support and advice for wide-ranging violence based on their SOGIESC by various actors, including but not limited to family members, online users, and educators. They can be categorized as </w:t>
      </w:r>
    </w:p>
    <w:p w:rsidR="00000000" w:rsidDel="00000000" w:rsidP="00000000" w:rsidRDefault="00000000" w:rsidRPr="00000000" w14:paraId="0000006B">
      <w:pPr>
        <w:widowControl w:val="0"/>
        <w:numPr>
          <w:ilvl w:val="0"/>
          <w:numId w:val="4"/>
        </w:numPr>
        <w:spacing w:before="0" w:line="264" w:lineRule="auto"/>
        <w:ind w:left="720" w:hanging="360"/>
        <w:rPr>
          <w:sz w:val="20"/>
          <w:szCs w:val="20"/>
        </w:rPr>
      </w:pPr>
      <w:r w:rsidDel="00000000" w:rsidR="00000000" w:rsidRPr="00000000">
        <w:rPr>
          <w:sz w:val="20"/>
          <w:szCs w:val="20"/>
          <w:rtl w:val="0"/>
        </w:rPr>
        <w:t xml:space="preserve">Domestic violence, namely lack of acceptance, disownment, physical and psychological violence, withdrawal of financial support, conversion practices, and self-censorship in online or offline spaces. </w:t>
      </w:r>
    </w:p>
    <w:p w:rsidR="00000000" w:rsidDel="00000000" w:rsidP="00000000" w:rsidRDefault="00000000" w:rsidRPr="00000000" w14:paraId="0000006C">
      <w:pPr>
        <w:widowControl w:val="0"/>
        <w:numPr>
          <w:ilvl w:val="0"/>
          <w:numId w:val="4"/>
        </w:numPr>
        <w:spacing w:before="0" w:line="264" w:lineRule="auto"/>
        <w:ind w:left="720" w:hanging="360"/>
        <w:rPr>
          <w:sz w:val="20"/>
          <w:szCs w:val="20"/>
        </w:rPr>
      </w:pPr>
      <w:r w:rsidDel="00000000" w:rsidR="00000000" w:rsidRPr="00000000">
        <w:rPr>
          <w:sz w:val="20"/>
          <w:szCs w:val="20"/>
          <w:rtl w:val="0"/>
        </w:rPr>
        <w:t xml:space="preserve">Online gender-based violence, including but not limited to extortion, blackmail, doxxing, outing, and shaming</w:t>
      </w:r>
    </w:p>
    <w:p w:rsidR="00000000" w:rsidDel="00000000" w:rsidP="00000000" w:rsidRDefault="00000000" w:rsidRPr="00000000" w14:paraId="0000006D">
      <w:pPr>
        <w:widowControl w:val="0"/>
        <w:numPr>
          <w:ilvl w:val="0"/>
          <w:numId w:val="4"/>
        </w:numPr>
        <w:spacing w:before="0" w:line="264" w:lineRule="auto"/>
        <w:ind w:left="720" w:hanging="360"/>
        <w:rPr>
          <w:sz w:val="20"/>
          <w:szCs w:val="20"/>
        </w:rPr>
      </w:pPr>
      <w:r w:rsidDel="00000000" w:rsidR="00000000" w:rsidRPr="00000000">
        <w:rPr>
          <w:sz w:val="20"/>
          <w:szCs w:val="20"/>
          <w:rtl w:val="0"/>
        </w:rPr>
        <w:t xml:space="preserve">Violence in educational institutions, including name-calling, and sexual and physical violence, among others. </w:t>
      </w:r>
    </w:p>
    <w:p w:rsidR="00000000" w:rsidDel="00000000" w:rsidP="00000000" w:rsidRDefault="00000000" w:rsidRPr="00000000" w14:paraId="0000006E">
      <w:pPr>
        <w:widowControl w:val="0"/>
        <w:numPr>
          <w:ilvl w:val="0"/>
          <w:numId w:val="4"/>
        </w:numPr>
        <w:spacing w:before="0" w:line="264" w:lineRule="auto"/>
        <w:ind w:left="720" w:hanging="360"/>
        <w:rPr>
          <w:sz w:val="20"/>
          <w:szCs w:val="20"/>
        </w:rPr>
      </w:pPr>
      <w:r w:rsidDel="00000000" w:rsidR="00000000" w:rsidRPr="00000000">
        <w:rPr>
          <w:sz w:val="20"/>
          <w:szCs w:val="20"/>
          <w:rtl w:val="0"/>
        </w:rPr>
        <w:t xml:space="preserve">Hate crimes  </w:t>
      </w:r>
    </w:p>
    <w:p w:rsidR="00000000" w:rsidDel="00000000" w:rsidP="00000000" w:rsidRDefault="00000000" w:rsidRPr="00000000" w14:paraId="0000006F">
      <w:pPr>
        <w:widowControl w:val="0"/>
        <w:spacing w:before="0" w:line="264" w:lineRule="auto"/>
        <w:rPr>
          <w:sz w:val="20"/>
          <w:szCs w:val="20"/>
        </w:rPr>
      </w:pPr>
      <w:r w:rsidDel="00000000" w:rsidR="00000000" w:rsidRPr="00000000">
        <w:rPr>
          <w:rtl w:val="0"/>
        </w:rPr>
      </w:r>
    </w:p>
    <w:p w:rsidR="00000000" w:rsidDel="00000000" w:rsidP="00000000" w:rsidRDefault="00000000" w:rsidRPr="00000000" w14:paraId="00000070">
      <w:pPr>
        <w:widowControl w:val="0"/>
        <w:spacing w:before="0" w:line="264" w:lineRule="auto"/>
        <w:rPr>
          <w:sz w:val="20"/>
          <w:szCs w:val="20"/>
        </w:rPr>
      </w:pPr>
      <w:r w:rsidDel="00000000" w:rsidR="00000000" w:rsidRPr="00000000">
        <w:rPr>
          <w:sz w:val="20"/>
          <w:szCs w:val="20"/>
          <w:rtl w:val="0"/>
        </w:rPr>
        <w:t xml:space="preserve">3.2 However, the availability of LGBTI child-friendly, inclusive, and affirming services and responses is severely underdeveloped or non-existent, compounded by the fear of legal repercussions against the victims, LGBTI groups, or others providing such support. At least two LGBTI groups have been subjected to police reports and actions for providing support for LGBT children who were facing familial abuse. In 2020, an LGBT group that rescued a young gay couple from domestic violence by their family members was contacted by the police for inquiries after the parents filed a police report against the group. The young people returned to their parents due to heightened risks all around.</w:t>
      </w:r>
      <w:r w:rsidDel="00000000" w:rsidR="00000000" w:rsidRPr="00000000">
        <w:rPr>
          <w:sz w:val="20"/>
          <w:szCs w:val="20"/>
          <w:vertAlign w:val="superscript"/>
        </w:rPr>
        <w:footnoteReference w:customMarkFollows="0" w:id="30"/>
      </w:r>
      <w:r w:rsidDel="00000000" w:rsidR="00000000" w:rsidRPr="00000000">
        <w:rPr>
          <w:sz w:val="20"/>
          <w:szCs w:val="20"/>
          <w:rtl w:val="0"/>
        </w:rPr>
        <w:t xml:space="preserve"> </w:t>
      </w:r>
    </w:p>
    <w:p w:rsidR="00000000" w:rsidDel="00000000" w:rsidP="00000000" w:rsidRDefault="00000000" w:rsidRPr="00000000" w14:paraId="00000071">
      <w:pPr>
        <w:widowControl w:val="0"/>
        <w:spacing w:before="0" w:line="264" w:lineRule="auto"/>
        <w:rPr>
          <w:sz w:val="20"/>
          <w:szCs w:val="20"/>
        </w:rPr>
      </w:pPr>
      <w:r w:rsidDel="00000000" w:rsidR="00000000" w:rsidRPr="00000000">
        <w:rPr>
          <w:rtl w:val="0"/>
        </w:rPr>
      </w:r>
    </w:p>
    <w:p w:rsidR="00000000" w:rsidDel="00000000" w:rsidP="00000000" w:rsidRDefault="00000000" w:rsidRPr="00000000" w14:paraId="00000072">
      <w:pPr>
        <w:widowControl w:val="0"/>
        <w:spacing w:before="0" w:line="264" w:lineRule="auto"/>
        <w:rPr>
          <w:sz w:val="20"/>
          <w:szCs w:val="20"/>
        </w:rPr>
      </w:pPr>
      <w:r w:rsidDel="00000000" w:rsidR="00000000" w:rsidRPr="00000000">
        <w:rPr>
          <w:sz w:val="20"/>
          <w:szCs w:val="20"/>
          <w:rtl w:val="0"/>
        </w:rPr>
        <w:t xml:space="preserve">3.3 LGBT children facing disownment and domestic violence are unable to find LGBTI-affirming shelters due to their age and SOGIESC. Gender binary rules at shelters and the lack of an LGBTI-survivor-centered lens deter LGBTI children from seeking support services. LGBTI NGO shelters only allow residents 18 years old and above due to legal concerns. </w:t>
      </w:r>
    </w:p>
    <w:p w:rsidR="00000000" w:rsidDel="00000000" w:rsidP="00000000" w:rsidRDefault="00000000" w:rsidRPr="00000000" w14:paraId="00000073">
      <w:pPr>
        <w:widowControl w:val="0"/>
        <w:spacing w:before="0" w:line="264" w:lineRule="auto"/>
        <w:rPr>
          <w:sz w:val="20"/>
          <w:szCs w:val="20"/>
        </w:rPr>
      </w:pPr>
      <w:r w:rsidDel="00000000" w:rsidR="00000000" w:rsidRPr="00000000">
        <w:rPr>
          <w:rtl w:val="0"/>
        </w:rPr>
      </w:r>
    </w:p>
    <w:p w:rsidR="00000000" w:rsidDel="00000000" w:rsidP="00000000" w:rsidRDefault="00000000" w:rsidRPr="00000000" w14:paraId="00000074">
      <w:pPr>
        <w:widowControl w:val="0"/>
        <w:spacing w:before="0" w:line="264" w:lineRule="auto"/>
        <w:rPr>
          <w:sz w:val="20"/>
          <w:szCs w:val="20"/>
        </w:rPr>
      </w:pPr>
      <w:r w:rsidDel="00000000" w:rsidR="00000000" w:rsidRPr="00000000">
        <w:rPr>
          <w:sz w:val="20"/>
          <w:szCs w:val="20"/>
          <w:rtl w:val="0"/>
        </w:rPr>
        <w:t xml:space="preserve">3.4 In 2017, an 18-year-old gender-diverse person died following a brutal assault due to his gender expression. All five perpetrators, including 4 teenagers, who bullied the victim in school, were tried in court for murder.</w:t>
      </w:r>
      <w:r w:rsidDel="00000000" w:rsidR="00000000" w:rsidRPr="00000000">
        <w:rPr>
          <w:sz w:val="20"/>
          <w:szCs w:val="20"/>
          <w:vertAlign w:val="superscript"/>
        </w:rPr>
        <w:footnoteReference w:customMarkFollows="0" w:id="31"/>
      </w:r>
      <w:r w:rsidDel="00000000" w:rsidR="00000000" w:rsidRPr="00000000">
        <w:rPr>
          <w:sz w:val="20"/>
          <w:szCs w:val="20"/>
          <w:rtl w:val="0"/>
        </w:rPr>
        <w:t xml:space="preserve"> In 2023, all five were acquitted of their charges by a High Court due to the failure of the prosecution to prove prima facie evidence, including, lack of testimony from the doctor who treated the victim, resulting in a lack of information to ascertain the cause of death. The trial was only started in 2021 due to multiple postponements over paperwork.</w:t>
      </w:r>
      <w:r w:rsidDel="00000000" w:rsidR="00000000" w:rsidRPr="00000000">
        <w:rPr>
          <w:sz w:val="20"/>
          <w:szCs w:val="20"/>
          <w:vertAlign w:val="superscript"/>
        </w:rPr>
        <w:footnoteReference w:customMarkFollows="0" w:id="32"/>
      </w:r>
      <w:r w:rsidDel="00000000" w:rsidR="00000000" w:rsidRPr="00000000">
        <w:rPr>
          <w:sz w:val="20"/>
          <w:szCs w:val="20"/>
          <w:rtl w:val="0"/>
        </w:rPr>
        <w:t xml:space="preserve"> Following the High Court decision, the government announced that it may file an appeal</w:t>
      </w:r>
      <w:r w:rsidDel="00000000" w:rsidR="00000000" w:rsidRPr="00000000">
        <w:rPr>
          <w:sz w:val="20"/>
          <w:szCs w:val="20"/>
          <w:vertAlign w:val="superscript"/>
        </w:rPr>
        <w:footnoteReference w:customMarkFollows="0" w:id="33"/>
      </w:r>
      <w:r w:rsidDel="00000000" w:rsidR="00000000" w:rsidRPr="00000000">
        <w:rPr>
          <w:sz w:val="20"/>
          <w:szCs w:val="20"/>
          <w:rtl w:val="0"/>
        </w:rPr>
        <w:t xml:space="preserve"> </w:t>
      </w:r>
      <w:r w:rsidDel="00000000" w:rsidR="00000000" w:rsidRPr="00000000">
        <w:rPr>
          <w:color w:val="212529"/>
          <w:sz w:val="20"/>
          <w:szCs w:val="20"/>
          <w:highlight w:val="white"/>
          <w:rtl w:val="0"/>
        </w:rPr>
        <w:t xml:space="preserve">upon receipt of the official appeal records”.</w:t>
      </w:r>
      <w:r w:rsidDel="00000000" w:rsidR="00000000" w:rsidRPr="00000000">
        <w:rPr>
          <w:color w:val="212529"/>
          <w:sz w:val="20"/>
          <w:szCs w:val="20"/>
          <w:highlight w:val="white"/>
          <w:vertAlign w:val="superscript"/>
        </w:rPr>
        <w:footnoteReference w:customMarkFollows="0" w:id="34"/>
      </w:r>
      <w:r w:rsidDel="00000000" w:rsidR="00000000" w:rsidRPr="00000000">
        <w:rPr>
          <w:color w:val="212529"/>
          <w:sz w:val="20"/>
          <w:szCs w:val="20"/>
          <w:highlight w:val="white"/>
          <w:rtl w:val="0"/>
        </w:rPr>
        <w:t xml:space="preserve"> </w:t>
      </w:r>
      <w:r w:rsidDel="00000000" w:rsidR="00000000" w:rsidRPr="00000000">
        <w:rPr>
          <w:rtl w:val="0"/>
        </w:rPr>
      </w:r>
    </w:p>
    <w:p w:rsidR="00000000" w:rsidDel="00000000" w:rsidP="00000000" w:rsidRDefault="00000000" w:rsidRPr="00000000" w14:paraId="00000075">
      <w:pPr>
        <w:widowControl w:val="0"/>
        <w:spacing w:before="0" w:line="264" w:lineRule="auto"/>
        <w:rPr>
          <w:sz w:val="20"/>
          <w:szCs w:val="20"/>
        </w:rPr>
      </w:pPr>
      <w:r w:rsidDel="00000000" w:rsidR="00000000" w:rsidRPr="00000000">
        <w:rPr>
          <w:rtl w:val="0"/>
        </w:rPr>
      </w:r>
    </w:p>
    <w:p w:rsidR="00000000" w:rsidDel="00000000" w:rsidP="00000000" w:rsidRDefault="00000000" w:rsidRPr="00000000" w14:paraId="00000076">
      <w:pPr>
        <w:widowControl w:val="0"/>
        <w:spacing w:before="0" w:line="264" w:lineRule="auto"/>
        <w:rPr>
          <w:b w:val="1"/>
          <w:sz w:val="20"/>
          <w:szCs w:val="20"/>
        </w:rPr>
      </w:pPr>
      <w:r w:rsidDel="00000000" w:rsidR="00000000" w:rsidRPr="00000000">
        <w:rPr>
          <w:b w:val="1"/>
          <w:sz w:val="20"/>
          <w:szCs w:val="20"/>
          <w:rtl w:val="0"/>
        </w:rPr>
        <w:t xml:space="preserve">Recommendations </w:t>
      </w:r>
    </w:p>
    <w:p w:rsidR="00000000" w:rsidDel="00000000" w:rsidP="00000000" w:rsidRDefault="00000000" w:rsidRPr="00000000" w14:paraId="00000077">
      <w:pPr>
        <w:widowControl w:val="0"/>
        <w:numPr>
          <w:ilvl w:val="0"/>
          <w:numId w:val="3"/>
        </w:numPr>
        <w:spacing w:line="264" w:lineRule="auto"/>
        <w:ind w:left="720" w:hanging="360"/>
        <w:rPr>
          <w:sz w:val="20"/>
          <w:szCs w:val="20"/>
        </w:rPr>
      </w:pPr>
      <w:r w:rsidDel="00000000" w:rsidR="00000000" w:rsidRPr="00000000">
        <w:rPr>
          <w:sz w:val="20"/>
          <w:szCs w:val="20"/>
          <w:rtl w:val="0"/>
        </w:rPr>
        <w:t xml:space="preserve">Establish collaboration and coordination with first responders and LGBTI human rights groups </w:t>
      </w:r>
    </w:p>
    <w:p w:rsidR="00000000" w:rsidDel="00000000" w:rsidP="00000000" w:rsidRDefault="00000000" w:rsidRPr="00000000" w14:paraId="00000078">
      <w:pPr>
        <w:widowControl w:val="0"/>
        <w:numPr>
          <w:ilvl w:val="0"/>
          <w:numId w:val="3"/>
        </w:numPr>
        <w:spacing w:before="0" w:line="264" w:lineRule="auto"/>
        <w:ind w:left="720" w:hanging="360"/>
        <w:rPr>
          <w:sz w:val="20"/>
          <w:szCs w:val="20"/>
        </w:rPr>
      </w:pPr>
      <w:r w:rsidDel="00000000" w:rsidR="00000000" w:rsidRPr="00000000">
        <w:rPr>
          <w:sz w:val="20"/>
          <w:szCs w:val="20"/>
          <w:rtl w:val="0"/>
        </w:rPr>
        <w:t xml:space="preserve">Introduce addendums to the Domestic Violence Case Handling Guidelines and One Stop Crisis Center: Policy and Guidelines for Hospitals on LGBTI child-friendly and survivor-centered GBV response </w:t>
      </w:r>
    </w:p>
    <w:p w:rsidR="00000000" w:rsidDel="00000000" w:rsidP="00000000" w:rsidRDefault="00000000" w:rsidRPr="00000000" w14:paraId="00000079">
      <w:pPr>
        <w:widowControl w:val="0"/>
        <w:numPr>
          <w:ilvl w:val="0"/>
          <w:numId w:val="3"/>
        </w:numPr>
        <w:spacing w:before="0" w:line="264" w:lineRule="auto"/>
        <w:ind w:left="720" w:hanging="360"/>
        <w:rPr>
          <w:sz w:val="20"/>
          <w:szCs w:val="20"/>
        </w:rPr>
      </w:pPr>
      <w:r w:rsidDel="00000000" w:rsidR="00000000" w:rsidRPr="00000000">
        <w:rPr>
          <w:sz w:val="20"/>
          <w:szCs w:val="20"/>
          <w:rtl w:val="0"/>
        </w:rPr>
        <w:t xml:space="preserve">Training of responders, including police and Welfare Department on LGBTI child-friendly and survivor-centered GBV response </w:t>
      </w:r>
    </w:p>
    <w:p w:rsidR="00000000" w:rsidDel="00000000" w:rsidP="00000000" w:rsidRDefault="00000000" w:rsidRPr="00000000" w14:paraId="0000007A">
      <w:pPr>
        <w:widowControl w:val="0"/>
        <w:numPr>
          <w:ilvl w:val="0"/>
          <w:numId w:val="3"/>
        </w:numPr>
        <w:spacing w:line="264" w:lineRule="auto"/>
        <w:ind w:left="720" w:hanging="360"/>
        <w:rPr>
          <w:sz w:val="20"/>
          <w:szCs w:val="20"/>
        </w:rPr>
      </w:pPr>
      <w:r w:rsidDel="00000000" w:rsidR="00000000" w:rsidRPr="00000000">
        <w:rPr>
          <w:sz w:val="20"/>
          <w:szCs w:val="20"/>
          <w:rtl w:val="0"/>
        </w:rPr>
        <w:t xml:space="preserve">Establish LGBTI child-friendly and survivor-centered GBV response mechanisms and support services </w:t>
      </w:r>
    </w:p>
    <w:p w:rsidR="00000000" w:rsidDel="00000000" w:rsidP="00000000" w:rsidRDefault="00000000" w:rsidRPr="00000000" w14:paraId="0000007B">
      <w:pPr>
        <w:widowControl w:val="0"/>
        <w:numPr>
          <w:ilvl w:val="0"/>
          <w:numId w:val="3"/>
        </w:numPr>
        <w:spacing w:line="264" w:lineRule="auto"/>
        <w:ind w:left="720" w:hanging="360"/>
        <w:rPr>
          <w:sz w:val="20"/>
          <w:szCs w:val="20"/>
        </w:rPr>
      </w:pPr>
      <w:r w:rsidDel="00000000" w:rsidR="00000000" w:rsidRPr="00000000">
        <w:rPr>
          <w:sz w:val="20"/>
          <w:szCs w:val="20"/>
          <w:rtl w:val="0"/>
        </w:rPr>
        <w:t xml:space="preserve">Ensure meaningful access to justice for victims and survivors of violence </w:t>
      </w:r>
      <w:r w:rsidDel="00000000" w:rsidR="00000000" w:rsidRPr="00000000">
        <w:rPr>
          <w:rtl w:val="0"/>
        </w:rPr>
      </w:r>
    </w:p>
    <w:p w:rsidR="00000000" w:rsidDel="00000000" w:rsidP="00000000" w:rsidRDefault="00000000" w:rsidRPr="00000000" w14:paraId="0000007C">
      <w:pPr>
        <w:pStyle w:val="Heading1"/>
        <w:widowControl w:val="0"/>
        <w:spacing w:line="264" w:lineRule="auto"/>
        <w:rPr>
          <w:b w:val="1"/>
          <w:sz w:val="24"/>
          <w:szCs w:val="24"/>
        </w:rPr>
      </w:pPr>
      <w:bookmarkStart w:colFirst="0" w:colLast="0" w:name="_arlbk9va0obz" w:id="7"/>
      <w:bookmarkEnd w:id="7"/>
      <w:r w:rsidDel="00000000" w:rsidR="00000000" w:rsidRPr="00000000">
        <w:rPr>
          <w:b w:val="1"/>
          <w:sz w:val="24"/>
          <w:szCs w:val="24"/>
          <w:rtl w:val="0"/>
        </w:rPr>
        <w:t xml:space="preserve">Health </w:t>
      </w:r>
    </w:p>
    <w:p w:rsidR="00000000" w:rsidDel="00000000" w:rsidP="00000000" w:rsidRDefault="00000000" w:rsidRPr="00000000" w14:paraId="0000007D">
      <w:pPr>
        <w:spacing w:before="0" w:line="264" w:lineRule="auto"/>
        <w:rPr>
          <w:sz w:val="20"/>
          <w:szCs w:val="20"/>
        </w:rPr>
      </w:pPr>
      <w:r w:rsidDel="00000000" w:rsidR="00000000" w:rsidRPr="00000000">
        <w:rPr>
          <w:sz w:val="20"/>
          <w:szCs w:val="20"/>
          <w:rtl w:val="0"/>
        </w:rPr>
        <w:t xml:space="preserve">4.1 The 2017 </w:t>
      </w:r>
      <w:r w:rsidDel="00000000" w:rsidR="00000000" w:rsidRPr="00000000">
        <w:rPr>
          <w:b w:val="1"/>
          <w:i w:val="1"/>
          <w:sz w:val="20"/>
          <w:szCs w:val="20"/>
          <w:rtl w:val="0"/>
        </w:rPr>
        <w:t xml:space="preserve">Guideline on the Management of Problems Related to Gender and Health</w:t>
      </w:r>
      <w:r w:rsidDel="00000000" w:rsidR="00000000" w:rsidRPr="00000000">
        <w:rPr>
          <w:sz w:val="20"/>
          <w:szCs w:val="20"/>
          <w:rtl w:val="0"/>
        </w:rPr>
        <w:t xml:space="preserve"> notes “in the context of the Constitution and Malaysian laws sex or gender refers to biological status male or female, which includes physical traits such as chromosome, sex, gonad, sex hormones, internal reproductive structure and external genitalia.”</w:t>
      </w:r>
      <w:r w:rsidDel="00000000" w:rsidR="00000000" w:rsidRPr="00000000">
        <w:rPr>
          <w:sz w:val="20"/>
          <w:szCs w:val="20"/>
          <w:vertAlign w:val="superscript"/>
        </w:rPr>
        <w:footnoteReference w:customMarkFollows="0" w:id="35"/>
      </w:r>
      <w:r w:rsidDel="00000000" w:rsidR="00000000" w:rsidRPr="00000000">
        <w:rPr>
          <w:sz w:val="20"/>
          <w:szCs w:val="20"/>
          <w:rtl w:val="0"/>
        </w:rPr>
        <w:t xml:space="preserve"> The guideline medicalises and pathologises LGBT people as having ‘gender confusion’ due to sexual violence, lack of love, and absent parents, among other widely debunked pseudo-scientific myths. </w:t>
      </w:r>
    </w:p>
    <w:p w:rsidR="00000000" w:rsidDel="00000000" w:rsidP="00000000" w:rsidRDefault="00000000" w:rsidRPr="00000000" w14:paraId="0000007E">
      <w:pPr>
        <w:spacing w:before="0" w:line="264" w:lineRule="auto"/>
        <w:rPr>
          <w:sz w:val="20"/>
          <w:szCs w:val="20"/>
        </w:rPr>
      </w:pPr>
      <w:r w:rsidDel="00000000" w:rsidR="00000000" w:rsidRPr="00000000">
        <w:rPr>
          <w:rtl w:val="0"/>
        </w:rPr>
      </w:r>
    </w:p>
    <w:p w:rsidR="00000000" w:rsidDel="00000000" w:rsidP="00000000" w:rsidRDefault="00000000" w:rsidRPr="00000000" w14:paraId="0000007F">
      <w:pPr>
        <w:spacing w:before="0" w:line="264" w:lineRule="auto"/>
        <w:rPr>
          <w:sz w:val="20"/>
          <w:szCs w:val="20"/>
        </w:rPr>
      </w:pPr>
      <w:r w:rsidDel="00000000" w:rsidR="00000000" w:rsidRPr="00000000">
        <w:rPr>
          <w:sz w:val="20"/>
          <w:szCs w:val="20"/>
          <w:rtl w:val="0"/>
        </w:rPr>
        <w:t xml:space="preserve">4.2 The guideline recommends physical and mental examinations and a chromosome test for teenagers seeking medical support for gender-related issues. For adults, it suggests two treatment pathways: medical treatment and counselling with state agencies, counsellors, and religious institutions, among others. Intersex babies are described as ‘ambiguous’ and medicalized. </w:t>
      </w:r>
    </w:p>
    <w:p w:rsidR="00000000" w:rsidDel="00000000" w:rsidP="00000000" w:rsidRDefault="00000000" w:rsidRPr="00000000" w14:paraId="00000080">
      <w:pPr>
        <w:spacing w:before="0" w:line="264"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81">
      <w:pPr>
        <w:spacing w:before="0" w:line="264" w:lineRule="auto"/>
        <w:rPr>
          <w:sz w:val="20"/>
          <w:szCs w:val="20"/>
        </w:rPr>
      </w:pPr>
      <w:r w:rsidDel="00000000" w:rsidR="00000000" w:rsidRPr="00000000">
        <w:rPr>
          <w:sz w:val="20"/>
          <w:szCs w:val="20"/>
          <w:rtl w:val="0"/>
        </w:rPr>
        <w:t xml:space="preserve">4.3 The 2019 Paediatric Protocols recommends gender assignment and sex rearing for intersex babies based on ‘most probable adult gender identity and potential for adult function’ and medical and non-medical measures to reinforce the assigned gender.</w:t>
      </w:r>
      <w:r w:rsidDel="00000000" w:rsidR="00000000" w:rsidRPr="00000000">
        <w:rPr>
          <w:sz w:val="20"/>
          <w:szCs w:val="20"/>
          <w:vertAlign w:val="superscript"/>
        </w:rPr>
        <w:footnoteReference w:customMarkFollows="0" w:id="36"/>
      </w:r>
      <w:r w:rsidDel="00000000" w:rsidR="00000000" w:rsidRPr="00000000">
        <w:rPr>
          <w:sz w:val="20"/>
          <w:szCs w:val="20"/>
          <w:rtl w:val="0"/>
        </w:rPr>
        <w:t xml:space="preserve"> These harmful medical recommendations are not informed by medical and human rights standards. </w:t>
      </w:r>
    </w:p>
    <w:p w:rsidR="00000000" w:rsidDel="00000000" w:rsidP="00000000" w:rsidRDefault="00000000" w:rsidRPr="00000000" w14:paraId="00000082">
      <w:pPr>
        <w:spacing w:before="0" w:line="264" w:lineRule="auto"/>
        <w:rPr>
          <w:sz w:val="20"/>
          <w:szCs w:val="20"/>
        </w:rPr>
      </w:pPr>
      <w:r w:rsidDel="00000000" w:rsidR="00000000" w:rsidRPr="00000000">
        <w:rPr>
          <w:rtl w:val="0"/>
        </w:rPr>
      </w:r>
    </w:p>
    <w:p w:rsidR="00000000" w:rsidDel="00000000" w:rsidP="00000000" w:rsidRDefault="00000000" w:rsidRPr="00000000" w14:paraId="00000083">
      <w:pPr>
        <w:spacing w:before="0" w:line="264" w:lineRule="auto"/>
        <w:rPr>
          <w:sz w:val="20"/>
          <w:szCs w:val="20"/>
        </w:rPr>
      </w:pPr>
      <w:r w:rsidDel="00000000" w:rsidR="00000000" w:rsidRPr="00000000">
        <w:rPr>
          <w:sz w:val="20"/>
          <w:szCs w:val="20"/>
          <w:rtl w:val="0"/>
        </w:rPr>
        <w:t xml:space="preserve">4.4 In 1982 and 1983, Malaysia introduced two fatwas (religious edicts) that prohibited gender-affirming procedures for trans people, resulting in the lack of availability of trans-specific health care in Malaysia</w:t>
      </w:r>
      <w:r w:rsidDel="00000000" w:rsidR="00000000" w:rsidRPr="00000000">
        <w:rPr>
          <w:sz w:val="20"/>
          <w:szCs w:val="20"/>
          <w:vertAlign w:val="superscript"/>
        </w:rPr>
        <w:footnoteReference w:customMarkFollows="0" w:id="37"/>
      </w:r>
      <w:r w:rsidDel="00000000" w:rsidR="00000000" w:rsidRPr="00000000">
        <w:rPr>
          <w:sz w:val="20"/>
          <w:szCs w:val="20"/>
          <w:rtl w:val="0"/>
        </w:rPr>
        <w:t xml:space="preserve"> and legal gender recognition for trans people. </w:t>
      </w:r>
    </w:p>
    <w:p w:rsidR="00000000" w:rsidDel="00000000" w:rsidP="00000000" w:rsidRDefault="00000000" w:rsidRPr="00000000" w14:paraId="00000084">
      <w:pPr>
        <w:spacing w:before="0" w:line="264" w:lineRule="auto"/>
        <w:rPr>
          <w:sz w:val="20"/>
          <w:szCs w:val="20"/>
        </w:rPr>
      </w:pPr>
      <w:r w:rsidDel="00000000" w:rsidR="00000000" w:rsidRPr="00000000">
        <w:rPr>
          <w:rtl w:val="0"/>
        </w:rPr>
      </w:r>
    </w:p>
    <w:p w:rsidR="00000000" w:rsidDel="00000000" w:rsidP="00000000" w:rsidRDefault="00000000" w:rsidRPr="00000000" w14:paraId="00000085">
      <w:pPr>
        <w:spacing w:line="264" w:lineRule="auto"/>
        <w:rPr>
          <w:sz w:val="20"/>
          <w:szCs w:val="20"/>
        </w:rPr>
      </w:pPr>
      <w:r w:rsidDel="00000000" w:rsidR="00000000" w:rsidRPr="00000000">
        <w:rPr>
          <w:sz w:val="20"/>
          <w:szCs w:val="20"/>
          <w:rtl w:val="0"/>
        </w:rPr>
        <w:t xml:space="preserve">4.5 HIV prevalence based on sexual transmission is the main mode of transmission in Malaysia. HIV cases among young people between 18 to 25 years old are on the rise.</w:t>
      </w:r>
      <w:r w:rsidDel="00000000" w:rsidR="00000000" w:rsidRPr="00000000">
        <w:rPr>
          <w:sz w:val="20"/>
          <w:szCs w:val="20"/>
          <w:vertAlign w:val="superscript"/>
        </w:rPr>
        <w:footnoteReference w:customMarkFollows="0" w:id="38"/>
      </w:r>
      <w:r w:rsidDel="00000000" w:rsidR="00000000" w:rsidRPr="00000000">
        <w:rPr>
          <w:sz w:val="20"/>
          <w:szCs w:val="20"/>
          <w:rtl w:val="0"/>
        </w:rPr>
        <w:t xml:space="preserve"> The </w:t>
      </w:r>
      <w:r w:rsidDel="00000000" w:rsidR="00000000" w:rsidRPr="00000000">
        <w:rPr>
          <w:sz w:val="20"/>
          <w:szCs w:val="20"/>
          <w:highlight w:val="white"/>
          <w:rtl w:val="0"/>
        </w:rPr>
        <w:t xml:space="preserve">Ministry</w:t>
      </w:r>
      <w:r w:rsidDel="00000000" w:rsidR="00000000" w:rsidRPr="00000000">
        <w:rPr>
          <w:sz w:val="20"/>
          <w:szCs w:val="20"/>
          <w:rtl w:val="0"/>
        </w:rPr>
        <w:t xml:space="preserve"> of Health’s 2020 Annual HIV Progress Report noted that GBQ men and MSM as the hardest population to reach due to discrimination.</w:t>
      </w:r>
      <w:r w:rsidDel="00000000" w:rsidR="00000000" w:rsidRPr="00000000">
        <w:rPr>
          <w:sz w:val="20"/>
          <w:szCs w:val="20"/>
          <w:vertAlign w:val="superscript"/>
        </w:rPr>
        <w:footnoteReference w:customMarkFollows="0" w:id="39"/>
      </w:r>
      <w:r w:rsidDel="00000000" w:rsidR="00000000" w:rsidRPr="00000000">
        <w:rPr>
          <w:sz w:val="20"/>
          <w:szCs w:val="20"/>
          <w:rtl w:val="0"/>
        </w:rPr>
        <w:t xml:space="preserve"> Subsequent annual HIV progress reports have consistently projected GBQ men and MSM to be the main key population affected by HIV by 2030.</w:t>
      </w:r>
      <w:r w:rsidDel="00000000" w:rsidR="00000000" w:rsidRPr="00000000">
        <w:rPr>
          <w:sz w:val="20"/>
          <w:szCs w:val="20"/>
          <w:vertAlign w:val="superscript"/>
        </w:rPr>
        <w:footnoteReference w:customMarkFollows="0" w:id="40"/>
      </w:r>
      <w:r w:rsidDel="00000000" w:rsidR="00000000" w:rsidRPr="00000000">
        <w:rPr>
          <w:sz w:val="20"/>
          <w:szCs w:val="20"/>
          <w:vertAlign w:val="superscript"/>
        </w:rPr>
        <w:footnoteReference w:customMarkFollows="0" w:id="41"/>
      </w:r>
      <w:r w:rsidDel="00000000" w:rsidR="00000000" w:rsidRPr="00000000">
        <w:rPr>
          <w:rtl w:val="0"/>
        </w:rPr>
      </w:r>
    </w:p>
    <w:p w:rsidR="00000000" w:rsidDel="00000000" w:rsidP="00000000" w:rsidRDefault="00000000" w:rsidRPr="00000000" w14:paraId="00000086">
      <w:pPr>
        <w:spacing w:before="0" w:line="264" w:lineRule="auto"/>
        <w:rPr>
          <w:sz w:val="20"/>
          <w:szCs w:val="20"/>
        </w:rPr>
      </w:pPr>
      <w:r w:rsidDel="00000000" w:rsidR="00000000" w:rsidRPr="00000000">
        <w:rPr>
          <w:rtl w:val="0"/>
        </w:rPr>
      </w:r>
    </w:p>
    <w:p w:rsidR="00000000" w:rsidDel="00000000" w:rsidP="00000000" w:rsidRDefault="00000000" w:rsidRPr="00000000" w14:paraId="00000087">
      <w:pPr>
        <w:spacing w:before="0" w:line="264" w:lineRule="auto"/>
        <w:rPr>
          <w:sz w:val="20"/>
          <w:szCs w:val="20"/>
        </w:rPr>
      </w:pPr>
      <w:r w:rsidDel="00000000" w:rsidR="00000000" w:rsidRPr="00000000">
        <w:rPr>
          <w:sz w:val="20"/>
          <w:szCs w:val="20"/>
          <w:rtl w:val="0"/>
        </w:rPr>
        <w:t xml:space="preserve">4.6 LGBTI groups reportedly receive inquiries about mental health, trans-specific health care, gender-affirming care, and sexual reproductive health, including HIV and STI information and tests, which are absent in the national healthcare system and severely underdeveloped in the private sectors, by LGBT children and their relatives. A group noted that they receive several sexual health-related inquiries or cases involving LGBT children annually. In some cases, young people fake their age to access HIV services and care. In cases where they reveal their actual age, the organisation can only offer counseling, as the MOH does not allow testing of people below 18 years old without parental or guardian consent. </w:t>
      </w:r>
    </w:p>
    <w:p w:rsidR="00000000" w:rsidDel="00000000" w:rsidP="00000000" w:rsidRDefault="00000000" w:rsidRPr="00000000" w14:paraId="00000088">
      <w:pPr>
        <w:spacing w:before="0" w:line="264" w:lineRule="auto"/>
        <w:rPr>
          <w:sz w:val="20"/>
          <w:szCs w:val="20"/>
        </w:rPr>
      </w:pPr>
      <w:r w:rsidDel="00000000" w:rsidR="00000000" w:rsidRPr="00000000">
        <w:rPr>
          <w:rtl w:val="0"/>
        </w:rPr>
      </w:r>
    </w:p>
    <w:p w:rsidR="00000000" w:rsidDel="00000000" w:rsidP="00000000" w:rsidRDefault="00000000" w:rsidRPr="00000000" w14:paraId="00000089">
      <w:pPr>
        <w:spacing w:before="0" w:line="264" w:lineRule="auto"/>
        <w:rPr>
          <w:sz w:val="20"/>
          <w:szCs w:val="20"/>
        </w:rPr>
      </w:pPr>
      <w:r w:rsidDel="00000000" w:rsidR="00000000" w:rsidRPr="00000000">
        <w:rPr>
          <w:sz w:val="20"/>
          <w:szCs w:val="20"/>
          <w:rtl w:val="0"/>
        </w:rPr>
        <w:t xml:space="preserve">4.7 LGBTI groups report mixed responses in obtaining parental or guardian consent. While some are successful, in other cases, some have lost contact with LGBTI children clients after bringing up the subject of parental consent. In some cases, LGBTI children are advised to wait until they are 18 to receive treatment without parental consent, resulting in delayed treatment, and transitioning in the case of trans and non-binary children. The lack of familial support is a key barrier for LGBTI children in obtaining parental support. </w:t>
      </w:r>
    </w:p>
    <w:p w:rsidR="00000000" w:rsidDel="00000000" w:rsidP="00000000" w:rsidRDefault="00000000" w:rsidRPr="00000000" w14:paraId="0000008A">
      <w:pPr>
        <w:spacing w:before="0" w:line="264" w:lineRule="auto"/>
        <w:rPr>
          <w:sz w:val="20"/>
          <w:szCs w:val="20"/>
        </w:rPr>
      </w:pPr>
      <w:r w:rsidDel="00000000" w:rsidR="00000000" w:rsidRPr="00000000">
        <w:rPr>
          <w:rtl w:val="0"/>
        </w:rPr>
      </w:r>
    </w:p>
    <w:p w:rsidR="00000000" w:rsidDel="00000000" w:rsidP="00000000" w:rsidRDefault="00000000" w:rsidRPr="00000000" w14:paraId="0000008B">
      <w:pPr>
        <w:spacing w:before="0" w:line="264" w:lineRule="auto"/>
        <w:rPr>
          <w:sz w:val="20"/>
          <w:szCs w:val="20"/>
        </w:rPr>
      </w:pPr>
      <w:r w:rsidDel="00000000" w:rsidR="00000000" w:rsidRPr="00000000">
        <w:rPr>
          <w:sz w:val="20"/>
          <w:szCs w:val="20"/>
          <w:rtl w:val="0"/>
        </w:rPr>
        <w:t xml:space="preserve">4.8 LGBTI children and young people’s access to contraceptives and safer sex materials is limited. An LGBTI group reported cases of parents throwing away their children’s condoms and safer sex kits upon finding them. </w:t>
      </w:r>
    </w:p>
    <w:p w:rsidR="00000000" w:rsidDel="00000000" w:rsidP="00000000" w:rsidRDefault="00000000" w:rsidRPr="00000000" w14:paraId="0000008C">
      <w:pPr>
        <w:spacing w:before="0" w:line="264" w:lineRule="auto"/>
        <w:rPr>
          <w:sz w:val="20"/>
          <w:szCs w:val="20"/>
        </w:rPr>
      </w:pPr>
      <w:r w:rsidDel="00000000" w:rsidR="00000000" w:rsidRPr="00000000">
        <w:rPr>
          <w:rtl w:val="0"/>
        </w:rPr>
      </w:r>
    </w:p>
    <w:p w:rsidR="00000000" w:rsidDel="00000000" w:rsidP="00000000" w:rsidRDefault="00000000" w:rsidRPr="00000000" w14:paraId="0000008D">
      <w:pPr>
        <w:spacing w:before="0" w:line="264" w:lineRule="auto"/>
        <w:rPr>
          <w:b w:val="1"/>
          <w:sz w:val="20"/>
          <w:szCs w:val="20"/>
        </w:rPr>
      </w:pPr>
      <w:r w:rsidDel="00000000" w:rsidR="00000000" w:rsidRPr="00000000">
        <w:rPr>
          <w:b w:val="1"/>
          <w:sz w:val="20"/>
          <w:szCs w:val="20"/>
          <w:rtl w:val="0"/>
        </w:rPr>
        <w:t xml:space="preserve">Recommendations </w:t>
      </w:r>
    </w:p>
    <w:p w:rsidR="00000000" w:rsidDel="00000000" w:rsidP="00000000" w:rsidRDefault="00000000" w:rsidRPr="00000000" w14:paraId="0000008E">
      <w:pPr>
        <w:numPr>
          <w:ilvl w:val="0"/>
          <w:numId w:val="5"/>
        </w:numPr>
        <w:spacing w:before="0" w:line="264" w:lineRule="auto"/>
        <w:ind w:left="720" w:hanging="360"/>
        <w:rPr>
          <w:sz w:val="20"/>
          <w:szCs w:val="20"/>
        </w:rPr>
      </w:pPr>
      <w:r w:rsidDel="00000000" w:rsidR="00000000" w:rsidRPr="00000000">
        <w:rPr>
          <w:sz w:val="20"/>
          <w:szCs w:val="20"/>
          <w:rtl w:val="0"/>
        </w:rPr>
        <w:t xml:space="preserve">Lower the testing age to 16 years and introduce SOP to facilitate youth-friendly testing services </w:t>
      </w:r>
    </w:p>
    <w:p w:rsidR="00000000" w:rsidDel="00000000" w:rsidP="00000000" w:rsidRDefault="00000000" w:rsidRPr="00000000" w14:paraId="0000008F">
      <w:pPr>
        <w:numPr>
          <w:ilvl w:val="0"/>
          <w:numId w:val="5"/>
        </w:numPr>
        <w:spacing w:line="264" w:lineRule="auto"/>
        <w:ind w:left="720" w:hanging="360"/>
        <w:rPr>
          <w:sz w:val="20"/>
          <w:szCs w:val="20"/>
        </w:rPr>
      </w:pPr>
      <w:r w:rsidDel="00000000" w:rsidR="00000000" w:rsidRPr="00000000">
        <w:rPr>
          <w:sz w:val="20"/>
          <w:szCs w:val="20"/>
          <w:rtl w:val="0"/>
        </w:rPr>
        <w:t xml:space="preserve">Train and increase the capacity of healthcare workers on youth and gender-affirming care as well as culturally appropriate care </w:t>
      </w:r>
    </w:p>
    <w:p w:rsidR="00000000" w:rsidDel="00000000" w:rsidP="00000000" w:rsidRDefault="00000000" w:rsidRPr="00000000" w14:paraId="00000090">
      <w:pPr>
        <w:numPr>
          <w:ilvl w:val="0"/>
          <w:numId w:val="5"/>
        </w:numPr>
        <w:spacing w:before="0" w:line="264" w:lineRule="auto"/>
        <w:ind w:left="720" w:hanging="360"/>
        <w:rPr>
          <w:sz w:val="20"/>
          <w:szCs w:val="20"/>
        </w:rPr>
      </w:pPr>
      <w:r w:rsidDel="00000000" w:rsidR="00000000" w:rsidRPr="00000000">
        <w:rPr>
          <w:sz w:val="20"/>
          <w:szCs w:val="20"/>
          <w:rtl w:val="0"/>
        </w:rPr>
        <w:t xml:space="preserve">Review the Guideline on the Management of Problems Related to Gender and Health and the Paediatric Protocols, and </w:t>
      </w:r>
      <w:r w:rsidDel="00000000" w:rsidR="00000000" w:rsidRPr="00000000">
        <w:rPr>
          <w:i w:val="1"/>
          <w:sz w:val="20"/>
          <w:szCs w:val="20"/>
          <w:rtl w:val="0"/>
        </w:rPr>
        <w:t xml:space="preserve">fatwa </w:t>
      </w:r>
      <w:r w:rsidDel="00000000" w:rsidR="00000000" w:rsidRPr="00000000">
        <w:rPr>
          <w:sz w:val="20"/>
          <w:szCs w:val="20"/>
          <w:rtl w:val="0"/>
        </w:rPr>
        <w:t xml:space="preserve">that prohibits gender-affirming procedures for trans people in accordance with international human rights law </w:t>
      </w:r>
    </w:p>
    <w:p w:rsidR="00000000" w:rsidDel="00000000" w:rsidP="00000000" w:rsidRDefault="00000000" w:rsidRPr="00000000" w14:paraId="00000091">
      <w:pPr>
        <w:numPr>
          <w:ilvl w:val="0"/>
          <w:numId w:val="5"/>
        </w:numPr>
        <w:spacing w:before="0" w:line="264" w:lineRule="auto"/>
        <w:ind w:left="720" w:hanging="360"/>
        <w:rPr>
          <w:sz w:val="20"/>
          <w:szCs w:val="20"/>
        </w:rPr>
      </w:pPr>
      <w:r w:rsidDel="00000000" w:rsidR="00000000" w:rsidRPr="00000000">
        <w:rPr>
          <w:sz w:val="20"/>
          <w:szCs w:val="20"/>
          <w:rtl w:val="0"/>
        </w:rPr>
        <w:t xml:space="preserve">Introduce LGBTI-affirming healthcare in the national healthcare system, including trans-specific healthcare </w:t>
      </w:r>
    </w:p>
    <w:p w:rsidR="00000000" w:rsidDel="00000000" w:rsidP="00000000" w:rsidRDefault="00000000" w:rsidRPr="00000000" w14:paraId="00000092">
      <w:pPr>
        <w:numPr>
          <w:ilvl w:val="0"/>
          <w:numId w:val="5"/>
        </w:numPr>
        <w:spacing w:before="0" w:line="264" w:lineRule="auto"/>
        <w:ind w:left="720" w:hanging="360"/>
        <w:rPr>
          <w:sz w:val="20"/>
          <w:szCs w:val="20"/>
        </w:rPr>
      </w:pPr>
      <w:r w:rsidDel="00000000" w:rsidR="00000000" w:rsidRPr="00000000">
        <w:rPr>
          <w:sz w:val="20"/>
          <w:szCs w:val="20"/>
          <w:rtl w:val="0"/>
        </w:rPr>
        <w:t xml:space="preserve">Provide age-appropriate sexual education and resources for young people and parents  </w:t>
      </w:r>
    </w:p>
    <w:p w:rsidR="00000000" w:rsidDel="00000000" w:rsidP="00000000" w:rsidRDefault="00000000" w:rsidRPr="00000000" w14:paraId="00000093">
      <w:pPr>
        <w:pStyle w:val="Heading1"/>
        <w:spacing w:line="264" w:lineRule="auto"/>
        <w:rPr>
          <w:b w:val="1"/>
          <w:sz w:val="24"/>
          <w:szCs w:val="24"/>
        </w:rPr>
      </w:pPr>
      <w:bookmarkStart w:colFirst="0" w:colLast="0" w:name="_s45f7xnvfz6o" w:id="8"/>
      <w:bookmarkEnd w:id="8"/>
      <w:r w:rsidDel="00000000" w:rsidR="00000000" w:rsidRPr="00000000">
        <w:br w:type="page"/>
      </w:r>
      <w:r w:rsidDel="00000000" w:rsidR="00000000" w:rsidRPr="00000000">
        <w:rPr>
          <w:rtl w:val="0"/>
        </w:rPr>
      </w:r>
    </w:p>
    <w:p w:rsidR="00000000" w:rsidDel="00000000" w:rsidP="00000000" w:rsidRDefault="00000000" w:rsidRPr="00000000" w14:paraId="00000094">
      <w:pPr>
        <w:pStyle w:val="Heading1"/>
        <w:spacing w:line="264" w:lineRule="auto"/>
        <w:rPr>
          <w:sz w:val="24"/>
          <w:szCs w:val="24"/>
        </w:rPr>
      </w:pPr>
      <w:bookmarkStart w:colFirst="0" w:colLast="0" w:name="_8zn407m1it2u" w:id="9"/>
      <w:bookmarkEnd w:id="9"/>
      <w:r w:rsidDel="00000000" w:rsidR="00000000" w:rsidRPr="00000000">
        <w:rPr>
          <w:b w:val="1"/>
          <w:sz w:val="24"/>
          <w:szCs w:val="24"/>
          <w:rtl w:val="0"/>
        </w:rPr>
        <w:t xml:space="preserve">Education, leisure, and cultural</w:t>
      </w:r>
      <w:r w:rsidDel="00000000" w:rsidR="00000000" w:rsidRPr="00000000">
        <w:rPr>
          <w:sz w:val="24"/>
          <w:szCs w:val="24"/>
          <w:rtl w:val="0"/>
        </w:rPr>
        <w:t xml:space="preserve"> </w:t>
      </w:r>
      <w:r w:rsidDel="00000000" w:rsidR="00000000" w:rsidRPr="00000000">
        <w:rPr>
          <w:b w:val="1"/>
          <w:sz w:val="24"/>
          <w:szCs w:val="24"/>
          <w:rtl w:val="0"/>
        </w:rPr>
        <w:t xml:space="preserve">activities</w:t>
      </w:r>
      <w:r w:rsidDel="00000000" w:rsidR="00000000" w:rsidRPr="00000000">
        <w:rPr>
          <w:sz w:val="24"/>
          <w:szCs w:val="24"/>
          <w:rtl w:val="0"/>
        </w:rPr>
        <w:t xml:space="preserve"> </w:t>
      </w:r>
    </w:p>
    <w:p w:rsidR="00000000" w:rsidDel="00000000" w:rsidP="00000000" w:rsidRDefault="00000000" w:rsidRPr="00000000" w14:paraId="00000095">
      <w:pPr>
        <w:spacing w:before="0" w:line="264" w:lineRule="auto"/>
        <w:rPr>
          <w:sz w:val="20"/>
          <w:szCs w:val="20"/>
        </w:rPr>
      </w:pPr>
      <w:r w:rsidDel="00000000" w:rsidR="00000000" w:rsidRPr="00000000">
        <w:rPr>
          <w:sz w:val="20"/>
          <w:szCs w:val="20"/>
          <w:rtl w:val="0"/>
        </w:rPr>
        <w:t xml:space="preserve">5.1 The Ministry of Education’s </w:t>
      </w:r>
      <w:r w:rsidDel="00000000" w:rsidR="00000000" w:rsidRPr="00000000">
        <w:rPr>
          <w:i w:val="1"/>
          <w:sz w:val="20"/>
          <w:szCs w:val="20"/>
          <w:rtl w:val="0"/>
        </w:rPr>
        <w:t xml:space="preserve">Circular No 7/2003 Power of Teachers to Cane</w:t>
      </w:r>
      <w:r w:rsidDel="00000000" w:rsidR="00000000" w:rsidRPr="00000000">
        <w:rPr>
          <w:sz w:val="20"/>
          <w:szCs w:val="20"/>
          <w:vertAlign w:val="superscript"/>
        </w:rPr>
        <w:footnoteReference w:customMarkFollows="0" w:id="42"/>
      </w:r>
      <w:r w:rsidDel="00000000" w:rsidR="00000000" w:rsidRPr="00000000">
        <w:rPr>
          <w:b w:val="1"/>
          <w:i w:val="1"/>
          <w:sz w:val="20"/>
          <w:szCs w:val="20"/>
          <w:rtl w:val="0"/>
        </w:rPr>
        <w:t xml:space="preserve"> </w:t>
      </w:r>
      <w:r w:rsidDel="00000000" w:rsidR="00000000" w:rsidRPr="00000000">
        <w:rPr>
          <w:sz w:val="20"/>
          <w:szCs w:val="20"/>
          <w:rtl w:val="0"/>
        </w:rPr>
        <w:t xml:space="preserve">and the Federal Territory Education Department’s discipline rule book for secondary school students impose corporal punishment for so-called serious offences, including homosexuality and ‘gender confusion’. The latter allows stern warning, expulsion, caning, suspension, fine, and being charged in court against students because of their SOGIE. </w:t>
      </w:r>
    </w:p>
    <w:p w:rsidR="00000000" w:rsidDel="00000000" w:rsidP="00000000" w:rsidRDefault="00000000" w:rsidRPr="00000000" w14:paraId="00000096">
      <w:pPr>
        <w:spacing w:before="0" w:line="264" w:lineRule="auto"/>
        <w:rPr>
          <w:sz w:val="20"/>
          <w:szCs w:val="20"/>
        </w:rPr>
      </w:pPr>
      <w:r w:rsidDel="00000000" w:rsidR="00000000" w:rsidRPr="00000000">
        <w:rPr>
          <w:rtl w:val="0"/>
        </w:rPr>
      </w:r>
    </w:p>
    <w:p w:rsidR="00000000" w:rsidDel="00000000" w:rsidP="00000000" w:rsidRDefault="00000000" w:rsidRPr="00000000" w14:paraId="00000097">
      <w:pPr>
        <w:spacing w:before="0" w:line="264" w:lineRule="auto"/>
        <w:rPr>
          <w:sz w:val="20"/>
          <w:szCs w:val="20"/>
        </w:rPr>
      </w:pPr>
      <w:r w:rsidDel="00000000" w:rsidR="00000000" w:rsidRPr="00000000">
        <w:rPr>
          <w:sz w:val="20"/>
          <w:szCs w:val="20"/>
          <w:rtl w:val="0"/>
        </w:rPr>
        <w:t xml:space="preserve">5.2 The Form 2 reproductive and sexual health education (PEERS) module describes sexual orientation and gender identity (SOGI) as a form of confusion or disorder and that it is inconsistent with religion and culture.</w:t>
      </w:r>
      <w:r w:rsidDel="00000000" w:rsidR="00000000" w:rsidRPr="00000000">
        <w:rPr>
          <w:sz w:val="20"/>
          <w:szCs w:val="20"/>
          <w:vertAlign w:val="superscript"/>
        </w:rPr>
        <w:footnoteReference w:customMarkFollows="0" w:id="43"/>
      </w:r>
      <w:r w:rsidDel="00000000" w:rsidR="00000000" w:rsidRPr="00000000">
        <w:rPr>
          <w:sz w:val="20"/>
          <w:szCs w:val="20"/>
          <w:rtl w:val="0"/>
        </w:rPr>
        <w:t xml:space="preserve"> The modules are also abstinence-based.</w:t>
      </w:r>
      <w:r w:rsidDel="00000000" w:rsidR="00000000" w:rsidRPr="00000000">
        <w:rPr>
          <w:sz w:val="20"/>
          <w:szCs w:val="20"/>
          <w:vertAlign w:val="superscript"/>
        </w:rPr>
        <w:footnoteReference w:customMarkFollows="0" w:id="44"/>
      </w:r>
      <w:r w:rsidDel="00000000" w:rsidR="00000000" w:rsidRPr="00000000">
        <w:rPr>
          <w:sz w:val="20"/>
          <w:szCs w:val="20"/>
          <w:vertAlign w:val="superscript"/>
        </w:rPr>
        <w:footnoteReference w:customMarkFollows="0" w:id="45"/>
      </w:r>
      <w:r w:rsidDel="00000000" w:rsidR="00000000" w:rsidRPr="00000000">
        <w:rPr>
          <w:sz w:val="20"/>
          <w:szCs w:val="20"/>
          <w:rtl w:val="0"/>
        </w:rPr>
        <w:t xml:space="preserve"> </w:t>
      </w:r>
    </w:p>
    <w:p w:rsidR="00000000" w:rsidDel="00000000" w:rsidP="00000000" w:rsidRDefault="00000000" w:rsidRPr="00000000" w14:paraId="00000098">
      <w:pPr>
        <w:spacing w:before="0" w:line="264" w:lineRule="auto"/>
        <w:rPr>
          <w:sz w:val="20"/>
          <w:szCs w:val="20"/>
        </w:rPr>
      </w:pPr>
      <w:r w:rsidDel="00000000" w:rsidR="00000000" w:rsidRPr="00000000">
        <w:rPr>
          <w:rtl w:val="0"/>
        </w:rPr>
      </w:r>
    </w:p>
    <w:p w:rsidR="00000000" w:rsidDel="00000000" w:rsidP="00000000" w:rsidRDefault="00000000" w:rsidRPr="00000000" w14:paraId="00000099">
      <w:pPr>
        <w:spacing w:before="0" w:line="264" w:lineRule="auto"/>
        <w:rPr>
          <w:sz w:val="20"/>
          <w:szCs w:val="20"/>
        </w:rPr>
      </w:pPr>
      <w:r w:rsidDel="00000000" w:rsidR="00000000" w:rsidRPr="00000000">
        <w:rPr>
          <w:sz w:val="20"/>
          <w:szCs w:val="20"/>
          <w:rtl w:val="0"/>
        </w:rPr>
        <w:t xml:space="preserve">5.3 Research shows LBQ girls and gender-diverse persons face ‘outing’, isolation, and microaggressions by peers and teachers; religious interventions by teachers to correct their sexual orientation; and religious condemnation of LGBT people in classes. In most cases, they lack support at home and in school, resulting in further isolation.</w:t>
      </w:r>
      <w:r w:rsidDel="00000000" w:rsidR="00000000" w:rsidRPr="00000000">
        <w:rPr>
          <w:sz w:val="20"/>
          <w:szCs w:val="20"/>
          <w:vertAlign w:val="superscript"/>
        </w:rPr>
        <w:footnoteReference w:customMarkFollows="0" w:id="46"/>
      </w:r>
      <w:r w:rsidDel="00000000" w:rsidR="00000000" w:rsidRPr="00000000">
        <w:rPr>
          <w:sz w:val="20"/>
          <w:szCs w:val="20"/>
          <w:rtl w:val="0"/>
        </w:rPr>
        <w:t xml:space="preserve"> </w:t>
      </w:r>
    </w:p>
    <w:p w:rsidR="00000000" w:rsidDel="00000000" w:rsidP="00000000" w:rsidRDefault="00000000" w:rsidRPr="00000000" w14:paraId="0000009A">
      <w:pPr>
        <w:spacing w:before="0" w:line="264" w:lineRule="auto"/>
        <w:rPr>
          <w:sz w:val="20"/>
          <w:szCs w:val="20"/>
        </w:rPr>
      </w:pPr>
      <w:r w:rsidDel="00000000" w:rsidR="00000000" w:rsidRPr="00000000">
        <w:rPr>
          <w:rtl w:val="0"/>
        </w:rPr>
      </w:r>
    </w:p>
    <w:p w:rsidR="00000000" w:rsidDel="00000000" w:rsidP="00000000" w:rsidRDefault="00000000" w:rsidRPr="00000000" w14:paraId="0000009B">
      <w:pPr>
        <w:spacing w:before="0" w:line="264" w:lineRule="auto"/>
        <w:rPr>
          <w:sz w:val="20"/>
          <w:szCs w:val="20"/>
        </w:rPr>
      </w:pPr>
      <w:r w:rsidDel="00000000" w:rsidR="00000000" w:rsidRPr="00000000">
        <w:rPr>
          <w:sz w:val="20"/>
          <w:szCs w:val="20"/>
          <w:rtl w:val="0"/>
        </w:rPr>
        <w:t xml:space="preserve">5.4 Research shows that conversion practices or SOGIE change efforts in schools are perpetrated by the Ministry or state education department, schools, and teachers. State-funded activities include the various state-funded camps, seminars, and programs targeting students, school counselors, parents, volunteers, health staff, and representatives of Muslim NGOs to encourage people to avoid committing ‘LGBT acts,’ and encourage others to identify and curb ‘LGBT behaviors’ within their families, social circles, and workplaces.</w:t>
      </w:r>
      <w:r w:rsidDel="00000000" w:rsidR="00000000" w:rsidRPr="00000000">
        <w:rPr>
          <w:sz w:val="20"/>
          <w:szCs w:val="20"/>
          <w:vertAlign w:val="superscript"/>
        </w:rPr>
        <w:footnoteReference w:customMarkFollows="0" w:id="47"/>
      </w:r>
      <w:r w:rsidDel="00000000" w:rsidR="00000000" w:rsidRPr="00000000">
        <w:rPr>
          <w:sz w:val="20"/>
          <w:szCs w:val="20"/>
          <w:rtl w:val="0"/>
        </w:rPr>
        <w:t xml:space="preserve"> </w:t>
      </w:r>
    </w:p>
    <w:p w:rsidR="00000000" w:rsidDel="00000000" w:rsidP="00000000" w:rsidRDefault="00000000" w:rsidRPr="00000000" w14:paraId="0000009C">
      <w:pPr>
        <w:spacing w:before="0" w:line="264" w:lineRule="auto"/>
        <w:rPr>
          <w:sz w:val="20"/>
          <w:szCs w:val="20"/>
        </w:rPr>
      </w:pPr>
      <w:r w:rsidDel="00000000" w:rsidR="00000000" w:rsidRPr="00000000">
        <w:rPr>
          <w:rtl w:val="0"/>
        </w:rPr>
      </w:r>
    </w:p>
    <w:p w:rsidR="00000000" w:rsidDel="00000000" w:rsidP="00000000" w:rsidRDefault="00000000" w:rsidRPr="00000000" w14:paraId="0000009D">
      <w:pPr>
        <w:spacing w:before="0" w:line="264" w:lineRule="auto"/>
        <w:rPr>
          <w:sz w:val="20"/>
          <w:szCs w:val="20"/>
        </w:rPr>
      </w:pPr>
      <w:r w:rsidDel="00000000" w:rsidR="00000000" w:rsidRPr="00000000">
        <w:rPr>
          <w:sz w:val="20"/>
          <w:szCs w:val="20"/>
          <w:rtl w:val="0"/>
        </w:rPr>
        <w:t xml:space="preserve">5.5 In 2017, a counseling unit in a secondary school in Sabah reportedly organized a year-long, gender-awareness program targeting 15 ‘effeminate’ students, according to the school’s 2017 yearbook, to “set them straight.” The school issued an apology and agreed to introduce positive programs for the 15 students following public outcry. However, no information is available on any proposed programs.</w:t>
      </w:r>
      <w:r w:rsidDel="00000000" w:rsidR="00000000" w:rsidRPr="00000000">
        <w:rPr>
          <w:sz w:val="20"/>
          <w:szCs w:val="20"/>
          <w:vertAlign w:val="superscript"/>
        </w:rPr>
        <w:footnoteReference w:customMarkFollows="0" w:id="48"/>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9E">
      <w:pPr>
        <w:spacing w:before="0" w:line="264" w:lineRule="auto"/>
        <w:rPr>
          <w:sz w:val="20"/>
          <w:szCs w:val="20"/>
        </w:rPr>
      </w:pPr>
      <w:r w:rsidDel="00000000" w:rsidR="00000000" w:rsidRPr="00000000">
        <w:rPr>
          <w:rtl w:val="0"/>
        </w:rPr>
      </w:r>
    </w:p>
    <w:p w:rsidR="00000000" w:rsidDel="00000000" w:rsidP="00000000" w:rsidRDefault="00000000" w:rsidRPr="00000000" w14:paraId="0000009F">
      <w:pPr>
        <w:spacing w:before="0" w:line="264" w:lineRule="auto"/>
        <w:rPr>
          <w:sz w:val="20"/>
          <w:szCs w:val="20"/>
        </w:rPr>
      </w:pPr>
      <w:r w:rsidDel="00000000" w:rsidR="00000000" w:rsidRPr="00000000">
        <w:rPr>
          <w:sz w:val="20"/>
          <w:szCs w:val="20"/>
          <w:rtl w:val="0"/>
        </w:rPr>
        <w:t xml:space="preserve">5.6 A SUHAKAM study with trans people found name-calling, physical violence, and sexual harassment as pervasive forms of discrimination faced by transgender students in school, resulting in stress, depression, loss of interest, and suicidal attempts. It concludes that the educational system lacks any redress mechanism that transgender children trust to discuss the unique challenges they face.</w:t>
      </w:r>
      <w:r w:rsidDel="00000000" w:rsidR="00000000" w:rsidRPr="00000000">
        <w:rPr>
          <w:sz w:val="20"/>
          <w:szCs w:val="20"/>
          <w:vertAlign w:val="superscript"/>
        </w:rPr>
        <w:footnoteReference w:customMarkFollows="0" w:id="49"/>
      </w:r>
      <w:r w:rsidDel="00000000" w:rsidR="00000000" w:rsidRPr="00000000">
        <w:rPr>
          <w:rtl w:val="0"/>
        </w:rPr>
      </w:r>
    </w:p>
    <w:p w:rsidR="00000000" w:rsidDel="00000000" w:rsidP="00000000" w:rsidRDefault="00000000" w:rsidRPr="00000000" w14:paraId="000000A0">
      <w:pPr>
        <w:spacing w:before="0" w:line="264" w:lineRule="auto"/>
        <w:rPr>
          <w:sz w:val="20"/>
          <w:szCs w:val="20"/>
        </w:rPr>
      </w:pPr>
      <w:r w:rsidDel="00000000" w:rsidR="00000000" w:rsidRPr="00000000">
        <w:rPr>
          <w:rtl w:val="0"/>
        </w:rPr>
      </w:r>
    </w:p>
    <w:p w:rsidR="00000000" w:rsidDel="00000000" w:rsidP="00000000" w:rsidRDefault="00000000" w:rsidRPr="00000000" w14:paraId="000000A1">
      <w:pPr>
        <w:spacing w:line="264" w:lineRule="auto"/>
        <w:rPr>
          <w:sz w:val="20"/>
          <w:szCs w:val="20"/>
        </w:rPr>
      </w:pPr>
      <w:r w:rsidDel="00000000" w:rsidR="00000000" w:rsidRPr="00000000">
        <w:rPr>
          <w:sz w:val="20"/>
          <w:szCs w:val="20"/>
          <w:rtl w:val="0"/>
        </w:rPr>
        <w:t xml:space="preserve">5.6 LGBT groups have received cases of expulsion of students in private schools due to sexual orientation and denial of education scholarships due to SOGI.</w:t>
      </w:r>
      <w:r w:rsidDel="00000000" w:rsidR="00000000" w:rsidRPr="00000000">
        <w:rPr>
          <w:sz w:val="20"/>
          <w:szCs w:val="20"/>
          <w:vertAlign w:val="superscript"/>
        </w:rPr>
        <w:footnoteReference w:customMarkFollows="0" w:id="50"/>
      </w:r>
      <w:r w:rsidDel="00000000" w:rsidR="00000000" w:rsidRPr="00000000">
        <w:rPr>
          <w:rtl w:val="0"/>
        </w:rPr>
      </w:r>
    </w:p>
    <w:p w:rsidR="00000000" w:rsidDel="00000000" w:rsidP="00000000" w:rsidRDefault="00000000" w:rsidRPr="00000000" w14:paraId="000000A2">
      <w:pPr>
        <w:spacing w:line="264" w:lineRule="auto"/>
        <w:rPr>
          <w:sz w:val="20"/>
          <w:szCs w:val="20"/>
        </w:rPr>
      </w:pPr>
      <w:r w:rsidDel="00000000" w:rsidR="00000000" w:rsidRPr="00000000">
        <w:rPr>
          <w:rtl w:val="0"/>
        </w:rPr>
      </w:r>
    </w:p>
    <w:p w:rsidR="00000000" w:rsidDel="00000000" w:rsidP="00000000" w:rsidRDefault="00000000" w:rsidRPr="00000000" w14:paraId="000000A3">
      <w:pPr>
        <w:spacing w:line="264" w:lineRule="auto"/>
        <w:rPr>
          <w:sz w:val="20"/>
          <w:szCs w:val="20"/>
        </w:rPr>
      </w:pPr>
      <w:r w:rsidDel="00000000" w:rsidR="00000000" w:rsidRPr="00000000">
        <w:rPr>
          <w:sz w:val="20"/>
          <w:szCs w:val="20"/>
          <w:rtl w:val="0"/>
        </w:rPr>
        <w:t xml:space="preserve">5.7 The Ministry of Higher Education reported that students are required to undergo a health test, which includes an HIV test, as part of its admission requirement into government higher learning institutions.</w:t>
      </w:r>
      <w:r w:rsidDel="00000000" w:rsidR="00000000" w:rsidRPr="00000000">
        <w:rPr>
          <w:sz w:val="20"/>
          <w:szCs w:val="20"/>
          <w:vertAlign w:val="superscript"/>
        </w:rPr>
        <w:footnoteReference w:customMarkFollows="0" w:id="51"/>
      </w:r>
      <w:r w:rsidDel="00000000" w:rsidR="00000000" w:rsidRPr="00000000">
        <w:rPr>
          <w:sz w:val="20"/>
          <w:szCs w:val="20"/>
          <w:rtl w:val="0"/>
        </w:rPr>
        <w:t xml:space="preserve"> LGBT groups have reported that LGBT students have been barred or denied entry into university based on HIV and STI status. Often, the HIV status could create suspicion over a person’s sexual orientation, resulting in multiple forms of discrimination. </w:t>
      </w:r>
    </w:p>
    <w:p w:rsidR="00000000" w:rsidDel="00000000" w:rsidP="00000000" w:rsidRDefault="00000000" w:rsidRPr="00000000" w14:paraId="000000A4">
      <w:pPr>
        <w:spacing w:before="0" w:line="264" w:lineRule="auto"/>
        <w:rPr>
          <w:sz w:val="20"/>
          <w:szCs w:val="20"/>
        </w:rPr>
      </w:pPr>
      <w:r w:rsidDel="00000000" w:rsidR="00000000" w:rsidRPr="00000000">
        <w:rPr>
          <w:rtl w:val="0"/>
        </w:rPr>
      </w:r>
    </w:p>
    <w:p w:rsidR="00000000" w:rsidDel="00000000" w:rsidP="00000000" w:rsidRDefault="00000000" w:rsidRPr="00000000" w14:paraId="000000A5">
      <w:pPr>
        <w:spacing w:before="0" w:line="264" w:lineRule="auto"/>
        <w:rPr>
          <w:sz w:val="20"/>
          <w:szCs w:val="20"/>
        </w:rPr>
      </w:pPr>
      <w:r w:rsidDel="00000000" w:rsidR="00000000" w:rsidRPr="00000000">
        <w:rPr>
          <w:sz w:val="20"/>
          <w:szCs w:val="20"/>
          <w:rtl w:val="0"/>
        </w:rPr>
        <w:t xml:space="preserve">5.7 Openly LGBT groups face restrictions from providing safer sex information and services to young people. An LGBT group reported that it was disallowed from distributing safer sex information and services to university students. The university warned the students that they would be kicked out if they were found to engage in sexual activities. </w:t>
      </w:r>
    </w:p>
    <w:p w:rsidR="00000000" w:rsidDel="00000000" w:rsidP="00000000" w:rsidRDefault="00000000" w:rsidRPr="00000000" w14:paraId="000000A6">
      <w:pPr>
        <w:spacing w:before="0" w:line="264" w:lineRule="auto"/>
        <w:rPr>
          <w:sz w:val="20"/>
          <w:szCs w:val="20"/>
        </w:rPr>
      </w:pPr>
      <w:r w:rsidDel="00000000" w:rsidR="00000000" w:rsidRPr="00000000">
        <w:rPr>
          <w:rtl w:val="0"/>
        </w:rPr>
      </w:r>
    </w:p>
    <w:p w:rsidR="00000000" w:rsidDel="00000000" w:rsidP="00000000" w:rsidRDefault="00000000" w:rsidRPr="00000000" w14:paraId="000000A7">
      <w:pPr>
        <w:spacing w:before="0" w:line="264" w:lineRule="auto"/>
        <w:rPr>
          <w:b w:val="1"/>
          <w:sz w:val="20"/>
          <w:szCs w:val="20"/>
        </w:rPr>
      </w:pPr>
      <w:r w:rsidDel="00000000" w:rsidR="00000000" w:rsidRPr="00000000">
        <w:rPr>
          <w:b w:val="1"/>
          <w:sz w:val="20"/>
          <w:szCs w:val="20"/>
          <w:rtl w:val="0"/>
        </w:rPr>
        <w:t xml:space="preserve">Recommendations </w:t>
      </w:r>
    </w:p>
    <w:p w:rsidR="00000000" w:rsidDel="00000000" w:rsidP="00000000" w:rsidRDefault="00000000" w:rsidRPr="00000000" w14:paraId="000000A8">
      <w:pPr>
        <w:numPr>
          <w:ilvl w:val="0"/>
          <w:numId w:val="2"/>
        </w:numPr>
        <w:spacing w:before="0" w:line="264" w:lineRule="auto"/>
        <w:ind w:left="720" w:hanging="360"/>
        <w:rPr>
          <w:sz w:val="20"/>
          <w:szCs w:val="20"/>
        </w:rPr>
      </w:pPr>
      <w:r w:rsidDel="00000000" w:rsidR="00000000" w:rsidRPr="00000000">
        <w:rPr>
          <w:sz w:val="20"/>
          <w:szCs w:val="20"/>
          <w:rtl w:val="0"/>
        </w:rPr>
        <w:t xml:space="preserve">Review the current PEERS’ abstinence-based approach and remove discriminatory elements in the modules </w:t>
      </w:r>
    </w:p>
    <w:p w:rsidR="00000000" w:rsidDel="00000000" w:rsidP="00000000" w:rsidRDefault="00000000" w:rsidRPr="00000000" w14:paraId="000000A9">
      <w:pPr>
        <w:numPr>
          <w:ilvl w:val="0"/>
          <w:numId w:val="2"/>
        </w:numPr>
        <w:spacing w:before="0" w:line="264" w:lineRule="auto"/>
        <w:ind w:left="720" w:hanging="360"/>
        <w:rPr>
          <w:sz w:val="20"/>
          <w:szCs w:val="20"/>
        </w:rPr>
      </w:pPr>
      <w:r w:rsidDel="00000000" w:rsidR="00000000" w:rsidRPr="00000000">
        <w:rPr>
          <w:sz w:val="20"/>
          <w:szCs w:val="20"/>
          <w:rtl w:val="0"/>
        </w:rPr>
        <w:t xml:space="preserve">Introduce comprehensive sexuality education </w:t>
      </w:r>
    </w:p>
    <w:p w:rsidR="00000000" w:rsidDel="00000000" w:rsidP="00000000" w:rsidRDefault="00000000" w:rsidRPr="00000000" w14:paraId="000000AA">
      <w:pPr>
        <w:numPr>
          <w:ilvl w:val="0"/>
          <w:numId w:val="2"/>
        </w:numPr>
        <w:spacing w:before="0" w:line="264" w:lineRule="auto"/>
        <w:ind w:left="720" w:hanging="360"/>
        <w:rPr>
          <w:sz w:val="20"/>
          <w:szCs w:val="20"/>
        </w:rPr>
      </w:pPr>
      <w:r w:rsidDel="00000000" w:rsidR="00000000" w:rsidRPr="00000000">
        <w:rPr>
          <w:sz w:val="20"/>
          <w:szCs w:val="20"/>
          <w:rtl w:val="0"/>
        </w:rPr>
        <w:t xml:space="preserve">Remove all circulars and school guidelines that discriminate against LGBT students and children based on their SOGIE </w:t>
      </w:r>
    </w:p>
    <w:p w:rsidR="00000000" w:rsidDel="00000000" w:rsidP="00000000" w:rsidRDefault="00000000" w:rsidRPr="00000000" w14:paraId="000000AB">
      <w:pPr>
        <w:spacing w:before="0" w:line="264" w:lineRule="auto"/>
        <w:rPr>
          <w:sz w:val="20"/>
          <w:szCs w:val="20"/>
        </w:rPr>
      </w:pPr>
      <w:r w:rsidDel="00000000" w:rsidR="00000000" w:rsidRPr="00000000">
        <w:rPr>
          <w:rtl w:val="0"/>
        </w:rPr>
      </w:r>
    </w:p>
    <w:p w:rsidR="00000000" w:rsidDel="00000000" w:rsidP="00000000" w:rsidRDefault="00000000" w:rsidRPr="00000000" w14:paraId="000000AC">
      <w:pPr>
        <w:spacing w:before="0" w:line="264" w:lineRule="auto"/>
        <w:rPr>
          <w:sz w:val="20"/>
          <w:szCs w:val="20"/>
        </w:rPr>
      </w:pPr>
      <w:r w:rsidDel="00000000" w:rsidR="00000000" w:rsidRPr="00000000">
        <w:rPr>
          <w:rtl w:val="0"/>
        </w:rPr>
      </w:r>
    </w:p>
    <w:p w:rsidR="00000000" w:rsidDel="00000000" w:rsidP="00000000" w:rsidRDefault="00000000" w:rsidRPr="00000000" w14:paraId="000000AD">
      <w:pPr>
        <w:spacing w:before="0" w:line="264" w:lineRule="auto"/>
        <w:rPr>
          <w:sz w:val="20"/>
          <w:szCs w:val="20"/>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jc w:val="right"/>
      <w:rPr>
        <w:rFonts w:ascii="Roboto" w:cs="Roboto" w:eastAsia="Roboto" w:hAnsi="Roboto"/>
        <w:sz w:val="20"/>
        <w:szCs w:val="20"/>
      </w:rPr>
    </w:pPr>
    <w:r w:rsidDel="00000000" w:rsidR="00000000" w:rsidRPr="00000000">
      <w:rPr>
        <w:rFonts w:ascii="Roboto" w:cs="Roboto" w:eastAsia="Roboto" w:hAnsi="Roboto"/>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6">
    <w:p w:rsidR="00000000" w:rsidDel="00000000" w:rsidP="00000000" w:rsidRDefault="00000000" w:rsidRPr="00000000" w14:paraId="000000A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
        <w:r w:rsidDel="00000000" w:rsidR="00000000" w:rsidRPr="00000000">
          <w:rPr>
            <w:color w:val="1155cc"/>
            <w:sz w:val="16"/>
            <w:szCs w:val="16"/>
            <w:u w:val="single"/>
            <w:rtl w:val="0"/>
          </w:rPr>
          <w:t xml:space="preserve">PAEDIATRIC PROTOCOLS For Malaysian Hospitals 4th Edition</w:t>
        </w:r>
      </w:hyperlink>
      <w:r w:rsidDel="00000000" w:rsidR="00000000" w:rsidRPr="00000000">
        <w:rPr>
          <w:sz w:val="16"/>
          <w:szCs w:val="16"/>
          <w:rtl w:val="0"/>
        </w:rPr>
        <w:t xml:space="preserve"> (2019), page 322 and 323</w:t>
      </w:r>
    </w:p>
  </w:footnote>
  <w:footnote w:id="1">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Hassan, M.S. (2021, May 16). </w:t>
      </w:r>
      <w:hyperlink r:id="rId2">
        <w:r w:rsidDel="00000000" w:rsidR="00000000" w:rsidRPr="00000000">
          <w:rPr>
            <w:color w:val="1155cc"/>
            <w:sz w:val="16"/>
            <w:szCs w:val="16"/>
            <w:u w:val="single"/>
            <w:rtl w:val="0"/>
          </w:rPr>
          <w:t xml:space="preserve">Jakim santuni golongan LGBT</w:t>
        </w:r>
      </w:hyperlink>
      <w:r w:rsidDel="00000000" w:rsidR="00000000" w:rsidRPr="00000000">
        <w:rPr>
          <w:sz w:val="16"/>
          <w:szCs w:val="16"/>
          <w:rtl w:val="0"/>
        </w:rPr>
        <w:t xml:space="preserve">. Harian Metro. </w:t>
      </w:r>
      <w:r w:rsidDel="00000000" w:rsidR="00000000" w:rsidRPr="00000000">
        <w:rPr>
          <w:rtl w:val="0"/>
        </w:rPr>
      </w:r>
    </w:p>
  </w:footnote>
  <w:footnote w:id="2">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Wan Yusoff, W.F.Z. et al. (2019, Oct 8-9). </w:t>
      </w:r>
      <w:hyperlink r:id="rId3">
        <w:r w:rsidDel="00000000" w:rsidR="00000000" w:rsidRPr="00000000">
          <w:rPr>
            <w:color w:val="1155cc"/>
            <w:sz w:val="16"/>
            <w:szCs w:val="16"/>
            <w:u w:val="single"/>
            <w:rtl w:val="0"/>
          </w:rPr>
          <w:t xml:space="preserve">A Literature Review of Psycho-spiritual Therapy Using Al-Quran and Hadith in Recovering Transgender</w:t>
        </w:r>
      </w:hyperlink>
      <w:r w:rsidDel="00000000" w:rsidR="00000000" w:rsidRPr="00000000">
        <w:rPr>
          <w:sz w:val="16"/>
          <w:szCs w:val="16"/>
          <w:rtl w:val="0"/>
        </w:rPr>
        <w:t xml:space="preserve">. Proceedings of the 6th International Conference on Quran as Foundation of Civilisation (SWAT 2019), FPQS,Universiti Sains Islam Malaysia, Paper No. BI020. </w:t>
      </w:r>
      <w:r w:rsidDel="00000000" w:rsidR="00000000" w:rsidRPr="00000000">
        <w:rPr>
          <w:rtl w:val="0"/>
        </w:rPr>
      </w:r>
    </w:p>
  </w:footnote>
  <w:footnote w:id="9">
    <w:p w:rsidR="00000000" w:rsidDel="00000000" w:rsidP="00000000" w:rsidRDefault="00000000" w:rsidRPr="00000000" w14:paraId="000000B1">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http://elearningjknj.moh.gov.my/pluginfile.php/57508/mod_folder/content/0/35.%20MODUL%20PROSTAR%202.0%20updated%20Februari%202023.pdf?forcedownload=1</w:t>
      </w:r>
    </w:p>
  </w:footnote>
  <w:footnote w:id="12">
    <w:p w:rsidR="00000000" w:rsidDel="00000000" w:rsidP="00000000" w:rsidRDefault="00000000" w:rsidRPr="00000000" w14:paraId="000000B3">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4">
        <w:r w:rsidDel="00000000" w:rsidR="00000000" w:rsidRPr="00000000">
          <w:rPr>
            <w:color w:val="1155cc"/>
            <w:sz w:val="16"/>
            <w:szCs w:val="16"/>
            <w:u w:val="single"/>
            <w:rtl w:val="0"/>
          </w:rPr>
          <w:t xml:space="preserve">https://www.facebook.com/100064552038139/photos/665003735661355/?_rdr</w:t>
        </w:r>
      </w:hyperlink>
      <w:r w:rsidDel="00000000" w:rsidR="00000000" w:rsidRPr="00000000">
        <w:rPr>
          <w:rtl w:val="0"/>
        </w:rPr>
      </w:r>
    </w:p>
  </w:footnote>
  <w:footnote w:id="13">
    <w:p w:rsidR="00000000" w:rsidDel="00000000" w:rsidP="00000000" w:rsidRDefault="00000000" w:rsidRPr="00000000" w14:paraId="000000B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https://images.app.goo.gl/mXyeya7YQXVGDD1w8</w:t>
      </w:r>
    </w:p>
  </w:footnote>
  <w:footnote w:id="11">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Justice for Sisters (2022) </w:t>
      </w:r>
      <w:hyperlink r:id="rId5">
        <w:r w:rsidDel="00000000" w:rsidR="00000000" w:rsidRPr="00000000">
          <w:rPr>
            <w:color w:val="1155cc"/>
            <w:sz w:val="16"/>
            <w:szCs w:val="16"/>
            <w:u w:val="single"/>
            <w:rtl w:val="0"/>
          </w:rPr>
          <w:t xml:space="preserve">Hidden Behind The Right Path: Untangling Malaysia’s “Soft Approach” To LGBTQ Rehabilitation</w:t>
        </w:r>
      </w:hyperlink>
      <w:r w:rsidDel="00000000" w:rsidR="00000000" w:rsidRPr="00000000">
        <w:rPr>
          <w:rtl w:val="0"/>
        </w:rPr>
      </w:r>
    </w:p>
  </w:footnote>
  <w:footnote w:id="10">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Human Rights Watch &amp; Justice for Sisters (2022) </w:t>
      </w:r>
      <w:hyperlink r:id="rId6">
        <w:r w:rsidDel="00000000" w:rsidR="00000000" w:rsidRPr="00000000">
          <w:rPr>
            <w:color w:val="1155cc"/>
            <w:sz w:val="16"/>
            <w:szCs w:val="16"/>
            <w:u w:val="single"/>
            <w:rtl w:val="0"/>
          </w:rPr>
          <w:t xml:space="preserve">“I Don’t Want to Change Myself” Anti-LGBT Conversion Practices, Discrimination, and Violence in Malaysia</w:t>
        </w:r>
      </w:hyperlink>
      <w:r w:rsidDel="00000000" w:rsidR="00000000" w:rsidRPr="00000000">
        <w:rPr>
          <w:rtl w:val="0"/>
        </w:rPr>
      </w:r>
    </w:p>
  </w:footnote>
  <w:footnote w:id="6">
    <w:p w:rsidR="00000000" w:rsidDel="00000000" w:rsidP="00000000" w:rsidRDefault="00000000" w:rsidRPr="00000000" w14:paraId="000000B7">
      <w:pPr>
        <w:spacing w:line="240" w:lineRule="auto"/>
        <w:rPr>
          <w:color w:val="1a1a1a"/>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a1a1a"/>
          <w:sz w:val="16"/>
          <w:szCs w:val="16"/>
          <w:rtl w:val="0"/>
        </w:rPr>
        <w:t xml:space="preserve">Cops nab male student in Kampar for indecency probe after viral video with 13-year-old girl (October, 2020)</w:t>
      </w:r>
    </w:p>
    <w:p w:rsidR="00000000" w:rsidDel="00000000" w:rsidP="00000000" w:rsidRDefault="00000000" w:rsidRPr="00000000" w14:paraId="000000B8">
      <w:pPr>
        <w:spacing w:line="240" w:lineRule="auto"/>
        <w:rPr>
          <w:sz w:val="16"/>
          <w:szCs w:val="16"/>
        </w:rPr>
      </w:pPr>
      <w:hyperlink r:id="rId7">
        <w:r w:rsidDel="00000000" w:rsidR="00000000" w:rsidRPr="00000000">
          <w:rPr>
            <w:color w:val="1155cc"/>
            <w:sz w:val="16"/>
            <w:szCs w:val="16"/>
            <w:u w:val="single"/>
            <w:rtl w:val="0"/>
          </w:rPr>
          <w:t xml:space="preserve">https://www.malaymail.com/news/malaysia/2020/10/02/cops-nab-male-student-in-kampar-for-indecency-probe-after-viral-video-with/1908932</w:t>
        </w:r>
      </w:hyperlink>
      <w:r w:rsidDel="00000000" w:rsidR="00000000" w:rsidRPr="00000000">
        <w:rPr>
          <w:rtl w:val="0"/>
        </w:rPr>
      </w:r>
    </w:p>
  </w:footnote>
  <w:footnote w:id="19">
    <w:p w:rsidR="00000000" w:rsidDel="00000000" w:rsidP="00000000" w:rsidRDefault="00000000" w:rsidRPr="00000000" w14:paraId="000000B9">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color w:val="1a1a1a"/>
          <w:sz w:val="16"/>
          <w:szCs w:val="16"/>
          <w:rtl w:val="0"/>
        </w:rPr>
        <w:t xml:space="preserve">Bernama (2022) </w:t>
      </w:r>
      <w:hyperlink r:id="rId8">
        <w:r w:rsidDel="00000000" w:rsidR="00000000" w:rsidRPr="00000000">
          <w:rPr>
            <w:color w:val="1155cc"/>
            <w:sz w:val="16"/>
            <w:szCs w:val="16"/>
            <w:u w:val="single"/>
            <w:rtl w:val="0"/>
          </w:rPr>
          <w:t xml:space="preserve">Cosmetics tycoon Vida pleads not guilty to uploading offensive video</w:t>
        </w:r>
      </w:hyperlink>
      <w:r w:rsidDel="00000000" w:rsidR="00000000" w:rsidRPr="00000000">
        <w:rPr>
          <w:rtl w:val="0"/>
        </w:rPr>
      </w:r>
    </w:p>
  </w:footnote>
  <w:footnote w:id="20">
    <w:p w:rsidR="00000000" w:rsidDel="00000000" w:rsidP="00000000" w:rsidRDefault="00000000" w:rsidRPr="00000000" w14:paraId="000000BA">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Khalid, M. K. a. M. (2023, October 13). </w:t>
      </w:r>
      <w:hyperlink r:id="rId9">
        <w:r w:rsidDel="00000000" w:rsidR="00000000" w:rsidRPr="00000000">
          <w:rPr>
            <w:color w:val="1155cc"/>
            <w:sz w:val="16"/>
            <w:szCs w:val="16"/>
            <w:u w:val="single"/>
            <w:rtl w:val="0"/>
          </w:rPr>
          <w:t xml:space="preserve">85 aplikasi, laman sesawang aktiviti songsang disekat.</w:t>
        </w:r>
      </w:hyperlink>
      <w:r w:rsidDel="00000000" w:rsidR="00000000" w:rsidRPr="00000000">
        <w:rPr>
          <w:sz w:val="16"/>
          <w:szCs w:val="16"/>
          <w:rtl w:val="0"/>
        </w:rPr>
        <w:t xml:space="preserve"> </w:t>
      </w:r>
      <w:r w:rsidDel="00000000" w:rsidR="00000000" w:rsidRPr="00000000">
        <w:rPr>
          <w:i w:val="1"/>
          <w:sz w:val="16"/>
          <w:szCs w:val="16"/>
          <w:rtl w:val="0"/>
        </w:rPr>
        <w:t xml:space="preserve">Harian Metro</w:t>
      </w:r>
      <w:r w:rsidDel="00000000" w:rsidR="00000000" w:rsidRPr="00000000">
        <w:rPr>
          <w:sz w:val="16"/>
          <w:szCs w:val="16"/>
          <w:rtl w:val="0"/>
        </w:rPr>
        <w:t xml:space="preserve">. </w:t>
      </w:r>
    </w:p>
  </w:footnote>
  <w:footnote w:id="21">
    <w:p w:rsidR="00000000" w:rsidDel="00000000" w:rsidP="00000000" w:rsidRDefault="00000000" w:rsidRPr="00000000" w14:paraId="000000BB">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Elton John’s 2019 biopic, Rocketman was censored, Disney’s Thor and Lightyear were banned in 2022</w:t>
      </w:r>
    </w:p>
  </w:footnote>
  <w:footnote w:id="22">
    <w:p w:rsidR="00000000" w:rsidDel="00000000" w:rsidP="00000000" w:rsidRDefault="00000000" w:rsidRPr="00000000" w14:paraId="000000BC">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Survey on amendments to PPPA https://upc.mpc.gov.my/csp/sys/bi/%25cspapp.bi.work.nc.custom.regulation.cls?regId=828</w:t>
      </w:r>
    </w:p>
  </w:footnote>
  <w:footnote w:id="28">
    <w:p w:rsidR="00000000" w:rsidDel="00000000" w:rsidP="00000000" w:rsidRDefault="00000000" w:rsidRPr="00000000" w14:paraId="000000BD">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Center for Independent Journalism (CIJ) (2022) </w:t>
      </w:r>
      <w:hyperlink r:id="rId10">
        <w:r w:rsidDel="00000000" w:rsidR="00000000" w:rsidRPr="00000000">
          <w:rPr>
            <w:color w:val="1155cc"/>
            <w:sz w:val="16"/>
            <w:szCs w:val="16"/>
            <w:u w:val="single"/>
            <w:rtl w:val="0"/>
          </w:rPr>
          <w:t xml:space="preserve">https://cijmalaysia.net/</w:t>
        </w:r>
      </w:hyperlink>
      <w:r w:rsidDel="00000000" w:rsidR="00000000" w:rsidRPr="00000000">
        <w:rPr>
          <w:rtl w:val="0"/>
        </w:rPr>
      </w:r>
    </w:p>
  </w:footnote>
  <w:footnote w:id="26">
    <w:p w:rsidR="00000000" w:rsidDel="00000000" w:rsidP="00000000" w:rsidRDefault="00000000" w:rsidRPr="00000000" w14:paraId="000000B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Bilangan gay, transgender semakin meningkat: JAKIM </w:t>
      </w:r>
      <w:hyperlink r:id="rId11">
        <w:r w:rsidDel="00000000" w:rsidR="00000000" w:rsidRPr="00000000">
          <w:rPr>
            <w:color w:val="1155cc"/>
            <w:sz w:val="16"/>
            <w:szCs w:val="16"/>
            <w:u w:val="single"/>
            <w:rtl w:val="0"/>
          </w:rPr>
          <w:t xml:space="preserve">https://www.bharian.com.my/berita/nasional/2018/10/491972/bilangan-gay-transgender-semakin-meningkat-jakim</w:t>
        </w:r>
      </w:hyperlink>
      <w:r w:rsidDel="00000000" w:rsidR="00000000" w:rsidRPr="00000000">
        <w:rPr>
          <w:rtl w:val="0"/>
        </w:rPr>
      </w:r>
    </w:p>
  </w:footnote>
  <w:footnote w:id="17">
    <w:p w:rsidR="00000000" w:rsidDel="00000000" w:rsidP="00000000" w:rsidRDefault="00000000" w:rsidRPr="00000000" w14:paraId="000000BF">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Ayamany. K, (2022) </w:t>
      </w:r>
      <w:hyperlink r:id="rId12">
        <w:r w:rsidDel="00000000" w:rsidR="00000000" w:rsidRPr="00000000">
          <w:rPr>
            <w:color w:val="1155cc"/>
            <w:sz w:val="16"/>
            <w:szCs w:val="16"/>
            <w:u w:val="single"/>
            <w:rtl w:val="0"/>
          </w:rPr>
          <w:t xml:space="preserve">Court quashes Home Ministry’s ban on ‘Gay Is OK!’ book</w:t>
        </w:r>
      </w:hyperlink>
      <w:r w:rsidDel="00000000" w:rsidR="00000000" w:rsidRPr="00000000">
        <w:rPr>
          <w:rtl w:val="0"/>
        </w:rPr>
      </w:r>
    </w:p>
  </w:footnote>
  <w:footnote w:id="18">
    <w:p w:rsidR="00000000" w:rsidDel="00000000" w:rsidP="00000000" w:rsidRDefault="00000000" w:rsidRPr="00000000" w14:paraId="000000C0">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Bernama (2022) </w:t>
      </w:r>
      <w:hyperlink r:id="rId13">
        <w:r w:rsidDel="00000000" w:rsidR="00000000" w:rsidRPr="00000000">
          <w:rPr>
            <w:color w:val="1155cc"/>
            <w:sz w:val="16"/>
            <w:szCs w:val="16"/>
            <w:u w:val="single"/>
            <w:rtl w:val="0"/>
          </w:rPr>
          <w:t xml:space="preserve">Aliff Syukri claims trial to uploading offensive social media content </w:t>
        </w:r>
      </w:hyperlink>
      <w:r w:rsidDel="00000000" w:rsidR="00000000" w:rsidRPr="00000000">
        <w:rPr>
          <w:rtl w:val="0"/>
        </w:rPr>
      </w:r>
    </w:p>
  </w:footnote>
  <w:footnote w:id="16">
    <w:p w:rsidR="00000000" w:rsidDel="00000000" w:rsidP="00000000" w:rsidRDefault="00000000" w:rsidRPr="00000000" w14:paraId="000000C1">
      <w:pPr>
        <w:spacing w:line="240" w:lineRule="auto"/>
        <w:rPr>
          <w:sz w:val="18"/>
          <w:szCs w:val="18"/>
        </w:rPr>
      </w:pPr>
      <w:r w:rsidDel="00000000" w:rsidR="00000000" w:rsidRPr="00000000">
        <w:rPr>
          <w:rStyle w:val="FootnoteReference"/>
          <w:vertAlign w:val="superscript"/>
        </w:rPr>
        <w:footnoteRef/>
      </w:r>
      <w:r w:rsidDel="00000000" w:rsidR="00000000" w:rsidRPr="00000000">
        <w:rPr>
          <w:sz w:val="16"/>
          <w:szCs w:val="16"/>
          <w:rtl w:val="0"/>
        </w:rPr>
        <w:t xml:space="preserve"> Activists slam Malaysian govt for banning ‘immoral,’ ‘LGBTQ’ books </w:t>
      </w:r>
      <w:hyperlink r:id="rId14">
        <w:r w:rsidDel="00000000" w:rsidR="00000000" w:rsidRPr="00000000">
          <w:rPr>
            <w:color w:val="1155cc"/>
            <w:sz w:val="16"/>
            <w:szCs w:val="16"/>
            <w:u w:val="single"/>
            <w:rtl w:val="0"/>
          </w:rPr>
          <w:t xml:space="preserve">https://www.benarnews.org/english/news/malaysian/malaysia-bans-books-lgbtq-02162023115305.html</w:t>
        </w:r>
      </w:hyperlink>
      <w:r w:rsidDel="00000000" w:rsidR="00000000" w:rsidRPr="00000000">
        <w:rPr>
          <w:rtl w:val="0"/>
        </w:rPr>
      </w:r>
    </w:p>
  </w:footnote>
  <w:footnote w:id="35">
    <w:p w:rsidR="00000000" w:rsidDel="00000000" w:rsidP="00000000" w:rsidRDefault="00000000" w:rsidRPr="00000000" w14:paraId="000000C2">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Draman, S. (2017, Jan). </w:t>
      </w:r>
      <w:hyperlink r:id="rId15">
        <w:r w:rsidDel="00000000" w:rsidR="00000000" w:rsidRPr="00000000">
          <w:rPr>
            <w:color w:val="1155cc"/>
            <w:sz w:val="16"/>
            <w:szCs w:val="16"/>
            <w:u w:val="single"/>
            <w:rtl w:val="0"/>
          </w:rPr>
          <w:t xml:space="preserve">Garispanduan Pengendalian Masalah Kesihatan Gender di Klinik Kesihatan</w:t>
        </w:r>
      </w:hyperlink>
      <w:r w:rsidDel="00000000" w:rsidR="00000000" w:rsidRPr="00000000">
        <w:rPr>
          <w:sz w:val="16"/>
          <w:szCs w:val="16"/>
          <w:rtl w:val="0"/>
        </w:rPr>
        <w:t xml:space="preserve">. Bahagian Pembangunan Kesihatan Keluarga, Kementerian Kesihatan Malaysia. </w:t>
      </w:r>
    </w:p>
  </w:footnote>
  <w:footnote w:id="27">
    <w:p w:rsidR="00000000" w:rsidDel="00000000" w:rsidP="00000000" w:rsidRDefault="00000000" w:rsidRPr="00000000" w14:paraId="000000C3">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Draman, S. (2017, Jan). </w:t>
      </w:r>
      <w:hyperlink r:id="rId16">
        <w:r w:rsidDel="00000000" w:rsidR="00000000" w:rsidRPr="00000000">
          <w:rPr>
            <w:color w:val="1155cc"/>
            <w:sz w:val="16"/>
            <w:szCs w:val="16"/>
            <w:u w:val="single"/>
            <w:rtl w:val="0"/>
          </w:rPr>
          <w:t xml:space="preserve">Garispanduan Pengendalian Masalah Kesihatan Gender di Klinik Kesihatan</w:t>
        </w:r>
      </w:hyperlink>
      <w:r w:rsidDel="00000000" w:rsidR="00000000" w:rsidRPr="00000000">
        <w:rPr>
          <w:sz w:val="16"/>
          <w:szCs w:val="16"/>
          <w:rtl w:val="0"/>
        </w:rPr>
        <w:t xml:space="preserve">. Bahagian Pembangunan Kesihatan Keluarga, Kementerian Kesihatan Malaysia. Page 16  </w:t>
      </w:r>
    </w:p>
  </w:footnote>
  <w:footnote w:id="29">
    <w:p w:rsidR="00000000" w:rsidDel="00000000" w:rsidP="00000000" w:rsidRDefault="00000000" w:rsidRPr="00000000" w14:paraId="000000C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Justice for Sisters et al (2021) </w:t>
      </w:r>
      <w:hyperlink r:id="rId17">
        <w:r w:rsidDel="00000000" w:rsidR="00000000" w:rsidRPr="00000000">
          <w:rPr>
            <w:color w:val="1155cc"/>
            <w:sz w:val="16"/>
            <w:szCs w:val="16"/>
            <w:highlight w:val="white"/>
            <w:u w:val="single"/>
            <w:rtl w:val="0"/>
          </w:rPr>
          <w:t xml:space="preserve">Survey findings: Impact of Covid-19 &amp; anti-LGBT narratives on LGBTQ+ persons in Malaysia</w:t>
        </w:r>
      </w:hyperlink>
      <w:r w:rsidDel="00000000" w:rsidR="00000000" w:rsidRPr="00000000">
        <w:rPr>
          <w:rtl w:val="0"/>
        </w:rPr>
      </w:r>
    </w:p>
  </w:footnote>
  <w:footnote w:id="15">
    <w:p w:rsidR="00000000" w:rsidDel="00000000" w:rsidP="00000000" w:rsidRDefault="00000000" w:rsidRPr="00000000" w14:paraId="000000C5">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color w:val="333333"/>
          <w:sz w:val="16"/>
          <w:szCs w:val="16"/>
          <w:rtl w:val="0"/>
        </w:rPr>
        <w:t xml:space="preserve">Media Statement: Recall Ministry Of Higher Education’s Entertainment Guideline </w:t>
      </w:r>
      <w:hyperlink r:id="rId18">
        <w:r w:rsidDel="00000000" w:rsidR="00000000" w:rsidRPr="00000000">
          <w:rPr>
            <w:color w:val="1155cc"/>
            <w:sz w:val="16"/>
            <w:szCs w:val="16"/>
            <w:u w:val="single"/>
            <w:rtl w:val="0"/>
          </w:rPr>
          <w:t xml:space="preserve">https://justiceforsisters.wordpress.com/2023/09/11/media-statement-recall-ministry-of-higher-educations-entertainment-guideline/</w:t>
        </w:r>
      </w:hyperlink>
      <w:r w:rsidDel="00000000" w:rsidR="00000000" w:rsidRPr="00000000">
        <w:rPr>
          <w:rtl w:val="0"/>
        </w:rPr>
      </w:r>
    </w:p>
  </w:footnote>
  <w:footnote w:id="42">
    <w:p w:rsidR="00000000" w:rsidDel="00000000" w:rsidP="00000000" w:rsidRDefault="00000000" w:rsidRPr="00000000" w14:paraId="000000C6">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9">
        <w:r w:rsidDel="00000000" w:rsidR="00000000" w:rsidRPr="00000000">
          <w:rPr>
            <w:color w:val="1155cc"/>
            <w:sz w:val="16"/>
            <w:szCs w:val="16"/>
            <w:u w:val="single"/>
            <w:rtl w:val="0"/>
          </w:rPr>
          <w:t xml:space="preserve">Surat Pekeliling Ikhtisas bil. 7/2003 : Kuasa Guru Merotan Murid</w:t>
        </w:r>
      </w:hyperlink>
      <w:r w:rsidDel="00000000" w:rsidR="00000000" w:rsidRPr="00000000">
        <w:rPr>
          <w:sz w:val="16"/>
          <w:szCs w:val="16"/>
          <w:rtl w:val="0"/>
        </w:rPr>
        <w:t xml:space="preserve">. </w:t>
      </w:r>
    </w:p>
  </w:footnote>
  <w:footnote w:id="43">
    <w:p w:rsidR="00000000" w:rsidDel="00000000" w:rsidP="00000000" w:rsidRDefault="00000000" w:rsidRPr="00000000" w14:paraId="000000C7">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KSSM Komponen Pendidikan Jasmani Tingkatan 2. (2022). </w:t>
      </w:r>
      <w:hyperlink r:id="rId20">
        <w:r w:rsidDel="00000000" w:rsidR="00000000" w:rsidRPr="00000000">
          <w:rPr>
            <w:color w:val="1155cc"/>
            <w:sz w:val="16"/>
            <w:szCs w:val="16"/>
            <w:u w:val="single"/>
            <w:rtl w:val="0"/>
          </w:rPr>
          <w:t xml:space="preserve">Pendidikan Kesihatan Reproduktif dan Seksual (PEERS)</w:t>
        </w:r>
      </w:hyperlink>
      <w:r w:rsidDel="00000000" w:rsidR="00000000" w:rsidRPr="00000000">
        <w:rPr>
          <w:sz w:val="16"/>
          <w:szCs w:val="16"/>
          <w:rtl w:val="0"/>
        </w:rPr>
        <w:t xml:space="preserve">, pp. 99.</w:t>
      </w:r>
    </w:p>
  </w:footnote>
  <w:footnote w:id="32">
    <w:p w:rsidR="00000000" w:rsidDel="00000000" w:rsidP="00000000" w:rsidRDefault="00000000" w:rsidRPr="00000000" w14:paraId="000000C8">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color w:val="212529"/>
          <w:sz w:val="16"/>
          <w:szCs w:val="16"/>
          <w:rtl w:val="0"/>
        </w:rPr>
        <w:t xml:space="preserve">Nhaveen murder trial: High Court acquits and discharges 5 men without calling defence [NSTTV] </w:t>
      </w:r>
      <w:hyperlink r:id="rId21">
        <w:r w:rsidDel="00000000" w:rsidR="00000000" w:rsidRPr="00000000">
          <w:rPr>
            <w:color w:val="1155cc"/>
            <w:sz w:val="16"/>
            <w:szCs w:val="16"/>
            <w:u w:val="single"/>
            <w:rtl w:val="0"/>
          </w:rPr>
          <w:t xml:space="preserve">https://www.nst.com.my/news/crime-courts/2023/10/962434/nhaveen-murder-trial-high-court-acquits-and-discharges-5-men</w:t>
        </w:r>
      </w:hyperlink>
      <w:r w:rsidDel="00000000" w:rsidR="00000000" w:rsidRPr="00000000">
        <w:rPr>
          <w:color w:val="212529"/>
          <w:sz w:val="16"/>
          <w:szCs w:val="16"/>
          <w:rtl w:val="0"/>
        </w:rPr>
        <w:t xml:space="preserve"> </w:t>
      </w:r>
      <w:r w:rsidDel="00000000" w:rsidR="00000000" w:rsidRPr="00000000">
        <w:rPr>
          <w:rtl w:val="0"/>
        </w:rPr>
      </w:r>
    </w:p>
  </w:footnote>
  <w:footnote w:id="31">
    <w:p w:rsidR="00000000" w:rsidDel="00000000" w:rsidP="00000000" w:rsidRDefault="00000000" w:rsidRPr="00000000" w14:paraId="000000C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color w:val="212529"/>
          <w:sz w:val="16"/>
          <w:szCs w:val="16"/>
          <w:rtl w:val="0"/>
        </w:rPr>
        <w:t xml:space="preserve">Four teenagers charged with the murder of Nhaveen </w:t>
      </w:r>
      <w:hyperlink r:id="rId22">
        <w:r w:rsidDel="00000000" w:rsidR="00000000" w:rsidRPr="00000000">
          <w:rPr>
            <w:color w:val="1155cc"/>
            <w:sz w:val="16"/>
            <w:szCs w:val="16"/>
            <w:u w:val="single"/>
            <w:rtl w:val="0"/>
          </w:rPr>
          <w:t xml:space="preserve">https://www.nst.com.my/news/crime-courts/2017/06/250459/four-teenagers-charged-murder-nhaveen</w:t>
        </w:r>
      </w:hyperlink>
      <w:r w:rsidDel="00000000" w:rsidR="00000000" w:rsidRPr="00000000">
        <w:rPr>
          <w:rtl w:val="0"/>
        </w:rPr>
      </w:r>
    </w:p>
  </w:footnote>
  <w:footnote w:id="34">
    <w:p w:rsidR="00000000" w:rsidDel="00000000" w:rsidP="00000000" w:rsidRDefault="00000000" w:rsidRPr="00000000" w14:paraId="000000CA">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​​AGC awaiting court record before deciding on T Nhaveen’s murder case appeal </w:t>
      </w:r>
      <w:hyperlink r:id="rId23">
        <w:r w:rsidDel="00000000" w:rsidR="00000000" w:rsidRPr="00000000">
          <w:rPr>
            <w:color w:val="1155cc"/>
            <w:sz w:val="16"/>
            <w:szCs w:val="16"/>
            <w:u w:val="single"/>
            <w:rtl w:val="0"/>
          </w:rPr>
          <w:t xml:space="preserve">https://www.freemalaysiatoday.com/category/nation/2024/04/05/agc-awaiting-court-record-before-deciding-on-t-nhaveens-murder-case-appeal/</w:t>
        </w:r>
      </w:hyperlink>
      <w:r w:rsidDel="00000000" w:rsidR="00000000" w:rsidRPr="00000000">
        <w:rPr>
          <w:rtl w:val="0"/>
        </w:rPr>
      </w:r>
    </w:p>
  </w:footnote>
  <w:footnote w:id="33">
    <w:p w:rsidR="00000000" w:rsidDel="00000000" w:rsidP="00000000" w:rsidRDefault="00000000" w:rsidRPr="00000000" w14:paraId="000000CB">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T Nhaveen’s mother in tears after AGC confirms appeal over acquittal </w:t>
      </w:r>
      <w:hyperlink r:id="rId24">
        <w:r w:rsidDel="00000000" w:rsidR="00000000" w:rsidRPr="00000000">
          <w:rPr>
            <w:color w:val="1155cc"/>
            <w:sz w:val="16"/>
            <w:szCs w:val="16"/>
            <w:u w:val="single"/>
            <w:rtl w:val="0"/>
          </w:rPr>
          <w:t xml:space="preserve">https://www.freemalaysiatoday.com/category/nation/2023/10/13/t-nhaveens-mother-in-tears-after-agc-confirms-appeal-over-acquittal/</w:t>
        </w:r>
      </w:hyperlink>
      <w:r w:rsidDel="00000000" w:rsidR="00000000" w:rsidRPr="00000000">
        <w:rPr>
          <w:rtl w:val="0"/>
        </w:rPr>
      </w:r>
    </w:p>
  </w:footnote>
  <w:footnote w:id="30">
    <w:p w:rsidR="00000000" w:rsidDel="00000000" w:rsidP="00000000" w:rsidRDefault="00000000" w:rsidRPr="00000000" w14:paraId="000000CC">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Reported by LGBT groups </w:t>
      </w:r>
    </w:p>
  </w:footnote>
  <w:footnote w:id="46">
    <w:p w:rsidR="00000000" w:rsidDel="00000000" w:rsidP="00000000" w:rsidRDefault="00000000" w:rsidRPr="00000000" w14:paraId="000000CD">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sz w:val="16"/>
          <w:szCs w:val="16"/>
          <w:rtl w:val="0"/>
        </w:rPr>
        <w:t xml:space="preserve">Status report on Child Rights in Malaysia </w:t>
      </w:r>
      <w:hyperlink r:id="rId25">
        <w:r w:rsidDel="00000000" w:rsidR="00000000" w:rsidRPr="00000000">
          <w:rPr>
            <w:color w:val="1155cc"/>
            <w:sz w:val="16"/>
            <w:szCs w:val="16"/>
            <w:u w:val="single"/>
            <w:rtl w:val="0"/>
          </w:rPr>
          <w:t xml:space="preserve">https://wao.org.my/wp-content/uploads/2020/11/CRCM-STATUS-REPORT-2019-FINAL.pdf</w:t>
        </w:r>
      </w:hyperlink>
      <w:r w:rsidDel="00000000" w:rsidR="00000000" w:rsidRPr="00000000">
        <w:rPr>
          <w:rtl w:val="0"/>
        </w:rPr>
      </w:r>
    </w:p>
  </w:footnote>
  <w:footnote w:id="49">
    <w:p w:rsidR="00000000" w:rsidDel="00000000" w:rsidP="00000000" w:rsidRDefault="00000000" w:rsidRPr="00000000" w14:paraId="000000C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SUHAKAM. (2019). Study on discrimination against transgender persons based in Kuala Lumpur and Selangor. Available at: https://drive.google.com/file/d/1wEJ2pVGheprNhqFquoQtMNV01nmfbK48/view</w:t>
      </w:r>
    </w:p>
  </w:footnote>
  <w:footnote w:id="37">
    <w:p w:rsidR="00000000" w:rsidDel="00000000" w:rsidP="00000000" w:rsidRDefault="00000000" w:rsidRPr="00000000" w14:paraId="000000CF">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"I’m Scared to Be a Woman"Human Rights Abuses Against Transgender People in Malaysia, </w:t>
      </w:r>
      <w:hyperlink r:id="rId26">
        <w:r w:rsidDel="00000000" w:rsidR="00000000" w:rsidRPr="00000000">
          <w:rPr>
            <w:color w:val="1155cc"/>
            <w:sz w:val="16"/>
            <w:szCs w:val="16"/>
            <w:u w:val="single"/>
            <w:rtl w:val="0"/>
          </w:rPr>
          <w:t xml:space="preserve">https://www.hrw.org/report/2014/09/25/im-scared-be-woman/human-rights-abuses-against-transgender-people-malaysia</w:t>
        </w:r>
      </w:hyperlink>
      <w:r w:rsidDel="00000000" w:rsidR="00000000" w:rsidRPr="00000000">
        <w:rPr>
          <w:rtl w:val="0"/>
        </w:rPr>
      </w:r>
    </w:p>
  </w:footnote>
  <w:footnote w:id="44">
    <w:p w:rsidR="00000000" w:rsidDel="00000000" w:rsidP="00000000" w:rsidRDefault="00000000" w:rsidRPr="00000000" w14:paraId="000000D0">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Youth: Sexual Education and Reproduction Health </w:t>
      </w:r>
      <w:hyperlink r:id="rId27">
        <w:r w:rsidDel="00000000" w:rsidR="00000000" w:rsidRPr="00000000">
          <w:rPr>
            <w:color w:val="1155cc"/>
            <w:sz w:val="16"/>
            <w:szCs w:val="16"/>
            <w:u w:val="single"/>
            <w:rtl w:val="0"/>
          </w:rPr>
          <w:t xml:space="preserve">https://mprh.lppkn.gov.my/youth-sexual-education-and-reproductive-health/</w:t>
        </w:r>
      </w:hyperlink>
      <w:r w:rsidDel="00000000" w:rsidR="00000000" w:rsidRPr="00000000">
        <w:rPr>
          <w:rtl w:val="0"/>
        </w:rPr>
      </w:r>
    </w:p>
  </w:footnote>
  <w:footnote w:id="45">
    <w:p w:rsidR="00000000" w:rsidDel="00000000" w:rsidP="00000000" w:rsidRDefault="00000000" w:rsidRPr="00000000" w14:paraId="000000D1">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color w:val="4b5563"/>
          <w:sz w:val="16"/>
          <w:szCs w:val="16"/>
          <w:rtl w:val="0"/>
        </w:rPr>
        <w:t xml:space="preserve">LETTER | Empower teachers to teach sexuality education </w:t>
      </w:r>
      <w:hyperlink r:id="rId28">
        <w:r w:rsidDel="00000000" w:rsidR="00000000" w:rsidRPr="00000000">
          <w:rPr>
            <w:color w:val="1155cc"/>
            <w:sz w:val="16"/>
            <w:szCs w:val="16"/>
            <w:u w:val="single"/>
            <w:rtl w:val="0"/>
          </w:rPr>
          <w:t xml:space="preserve">https://www.malaysiakini.com/letters/572815</w:t>
        </w:r>
      </w:hyperlink>
      <w:r w:rsidDel="00000000" w:rsidR="00000000" w:rsidRPr="00000000">
        <w:rPr>
          <w:rtl w:val="0"/>
        </w:rPr>
      </w:r>
    </w:p>
  </w:footnote>
  <w:footnote w:id="38">
    <w:p w:rsidR="00000000" w:rsidDel="00000000" w:rsidP="00000000" w:rsidRDefault="00000000" w:rsidRPr="00000000" w14:paraId="000000D2">
      <w:pPr>
        <w:spacing w:line="240" w:lineRule="auto"/>
        <w:rPr>
          <w:color w:val="212529"/>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12529"/>
          <w:sz w:val="16"/>
          <w:szCs w:val="16"/>
          <w:rtl w:val="0"/>
        </w:rPr>
        <w:t xml:space="preserve">HIV infections among tertiary students in Malaysia on the rise</w:t>
      </w:r>
    </w:p>
    <w:p w:rsidR="00000000" w:rsidDel="00000000" w:rsidP="00000000" w:rsidRDefault="00000000" w:rsidRPr="00000000" w14:paraId="000000D3">
      <w:pPr>
        <w:spacing w:line="240" w:lineRule="auto"/>
        <w:rPr>
          <w:sz w:val="16"/>
          <w:szCs w:val="16"/>
        </w:rPr>
      </w:pPr>
      <w:hyperlink r:id="rId29">
        <w:r w:rsidDel="00000000" w:rsidR="00000000" w:rsidRPr="00000000">
          <w:rPr>
            <w:color w:val="1155cc"/>
            <w:sz w:val="16"/>
            <w:szCs w:val="16"/>
            <w:u w:val="single"/>
            <w:rtl w:val="0"/>
          </w:rPr>
          <w:t xml:space="preserve">https://www.nst.com.my/news/nation/2024/07/1071691/hiv-infections-among-tertiary-students-malaysia-rise</w:t>
        </w:r>
      </w:hyperlink>
      <w:r w:rsidDel="00000000" w:rsidR="00000000" w:rsidRPr="00000000">
        <w:rPr>
          <w:rtl w:val="0"/>
        </w:rPr>
      </w:r>
    </w:p>
  </w:footnote>
  <w:footnote w:id="39">
    <w:p w:rsidR="00000000" w:rsidDel="00000000" w:rsidP="00000000" w:rsidRDefault="00000000" w:rsidRPr="00000000" w14:paraId="000000D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Ministry of Health Malaysia. (2020). </w:t>
      </w:r>
      <w:r w:rsidDel="00000000" w:rsidR="00000000" w:rsidRPr="00000000">
        <w:rPr>
          <w:i w:val="1"/>
          <w:sz w:val="16"/>
          <w:szCs w:val="16"/>
          <w:rtl w:val="0"/>
        </w:rPr>
        <w:t xml:space="preserve">GLOBAL AIDS MONITORING 2020 Malaysia HIV/AIDS Progress Report</w:t>
      </w:r>
      <w:r w:rsidDel="00000000" w:rsidR="00000000" w:rsidRPr="00000000">
        <w:rPr>
          <w:sz w:val="16"/>
          <w:szCs w:val="16"/>
          <w:rtl w:val="0"/>
        </w:rPr>
        <w:t xml:space="preserve">. https://www.moh.gov.my/moh/resources/Penerbitan/Laporan/Umum/Laporan_Global_AIDS_Monitoring_2020_new.pdf</w:t>
      </w:r>
    </w:p>
  </w:footnote>
  <w:footnote w:id="40">
    <w:p w:rsidR="00000000" w:rsidDel="00000000" w:rsidP="00000000" w:rsidRDefault="00000000" w:rsidRPr="00000000" w14:paraId="000000D5">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Ministry of Health. (2021). </w:t>
      </w:r>
      <w:r w:rsidDel="00000000" w:rsidR="00000000" w:rsidRPr="00000000">
        <w:rPr>
          <w:i w:val="1"/>
          <w:sz w:val="16"/>
          <w:szCs w:val="16"/>
          <w:rtl w:val="0"/>
        </w:rPr>
        <w:t xml:space="preserve">GLOBAL AIDS MONITORING 2021 Malaysia HIV/AIDS Progress Report.</w:t>
      </w:r>
      <w:r w:rsidDel="00000000" w:rsidR="00000000" w:rsidRPr="00000000">
        <w:rPr>
          <w:sz w:val="16"/>
          <w:szCs w:val="16"/>
          <w:rtl w:val="0"/>
        </w:rPr>
        <w:t xml:space="preserve">https://www.moh.gov.my/moh/resources/Penerbitan/Laporan/Umum/20211130_MYS_country_report_2021.pdf</w:t>
      </w:r>
    </w:p>
  </w:footnote>
  <w:footnote w:id="41">
    <w:p w:rsidR="00000000" w:rsidDel="00000000" w:rsidP="00000000" w:rsidRDefault="00000000" w:rsidRPr="00000000" w14:paraId="000000D6">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Ministry of Health. (2022). </w:t>
      </w:r>
      <w:r w:rsidDel="00000000" w:rsidR="00000000" w:rsidRPr="00000000">
        <w:rPr>
          <w:i w:val="1"/>
          <w:sz w:val="16"/>
          <w:szCs w:val="16"/>
          <w:rtl w:val="0"/>
        </w:rPr>
        <w:t xml:space="preserve">GLOBAL AIDS MONITORING 2022 Malaysia HIV/AIDS Progress Report.</w:t>
      </w:r>
      <w:r w:rsidDel="00000000" w:rsidR="00000000" w:rsidRPr="00000000">
        <w:rPr>
          <w:sz w:val="16"/>
          <w:szCs w:val="16"/>
          <w:rtl w:val="0"/>
        </w:rPr>
        <w:t xml:space="preserve">https://www.moh.gov.my/moh/resources/Penerbitan/Laporan/Umum/MYS_country_report_2021.pdf</w:t>
      </w:r>
    </w:p>
  </w:footnote>
  <w:footnote w:id="50">
    <w:p w:rsidR="00000000" w:rsidDel="00000000" w:rsidP="00000000" w:rsidRDefault="00000000" w:rsidRPr="00000000" w14:paraId="000000D7">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Reported by LGBT group </w:t>
      </w:r>
    </w:p>
  </w:footnote>
  <w:footnote w:id="51">
    <w:p w:rsidR="00000000" w:rsidDel="00000000" w:rsidP="00000000" w:rsidRDefault="00000000" w:rsidRPr="00000000" w14:paraId="000000D8">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color w:val="4b5563"/>
          <w:sz w:val="16"/>
          <w:szCs w:val="16"/>
          <w:rtl w:val="0"/>
        </w:rPr>
        <w:t xml:space="preserve">Health checks including HIV tests for fresh uni students not new - minister </w:t>
      </w:r>
      <w:hyperlink r:id="rId30">
        <w:r w:rsidDel="00000000" w:rsidR="00000000" w:rsidRPr="00000000">
          <w:rPr>
            <w:color w:val="1155cc"/>
            <w:sz w:val="16"/>
            <w:szCs w:val="16"/>
            <w:u w:val="single"/>
            <w:rtl w:val="0"/>
          </w:rPr>
          <w:t xml:space="preserve">https://www.malaysiakini.com/news/711893#</w:t>
        </w:r>
      </w:hyperlink>
      <w:r w:rsidDel="00000000" w:rsidR="00000000" w:rsidRPr="00000000">
        <w:rPr>
          <w:rtl w:val="0"/>
        </w:rPr>
      </w:r>
    </w:p>
  </w:footnote>
  <w:footnote w:id="48">
    <w:p w:rsidR="00000000" w:rsidDel="00000000" w:rsidP="00000000" w:rsidRDefault="00000000" w:rsidRPr="00000000" w14:paraId="000000D9">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Ibid </w:t>
      </w:r>
    </w:p>
  </w:footnote>
  <w:footnote w:id="47">
    <w:p w:rsidR="00000000" w:rsidDel="00000000" w:rsidP="00000000" w:rsidRDefault="00000000" w:rsidRPr="00000000" w14:paraId="000000DA">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Justice for Sisters. (2022). ‘Hidden Behind the Right Path: Untangling Malaysia’s “soft approach” to LGBTQ rehabilitation.’ https://justiceforsisters.org/wp-content/uploads/2023/05/Conversion-Therapy.pdf</w:t>
      </w:r>
    </w:p>
  </w:footnote>
  <w:footnote w:id="0">
    <w:p w:rsidR="00000000" w:rsidDel="00000000" w:rsidP="00000000" w:rsidRDefault="00000000" w:rsidRPr="00000000" w14:paraId="000000DB">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Malaysia’s response to LBTI issues </w:t>
      </w:r>
      <w:hyperlink r:id="rId31">
        <w:r w:rsidDel="00000000" w:rsidR="00000000" w:rsidRPr="00000000">
          <w:rPr>
            <w:color w:val="1155cc"/>
            <w:sz w:val="16"/>
            <w:szCs w:val="16"/>
            <w:u w:val="single"/>
            <w:rtl w:val="0"/>
          </w:rPr>
          <w:t xml:space="preserve">https://webtv.un.org/en/asset/k1h/k1hp7ergp2</w:t>
        </w:r>
      </w:hyperlink>
      <w:r w:rsidDel="00000000" w:rsidR="00000000" w:rsidRPr="00000000">
        <w:rPr>
          <w:sz w:val="16"/>
          <w:szCs w:val="16"/>
          <w:rtl w:val="0"/>
        </w:rPr>
        <w:t xml:space="preserve"> [1:50:21]</w:t>
      </w:r>
    </w:p>
  </w:footnote>
  <w:footnote w:id="14">
    <w:p w:rsidR="00000000" w:rsidDel="00000000" w:rsidP="00000000" w:rsidRDefault="00000000" w:rsidRPr="00000000" w14:paraId="000000DD">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Focus group discussion with LGBTIQ and gender diverse young people between 18 and 20 years old </w:t>
      </w:r>
    </w:p>
  </w:footnote>
  <w:footnote w:id="3">
    <w:p w:rsidR="00000000" w:rsidDel="00000000" w:rsidP="00000000" w:rsidRDefault="00000000" w:rsidRPr="00000000" w14:paraId="000000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2">
        <w:r w:rsidDel="00000000" w:rsidR="00000000" w:rsidRPr="00000000">
          <w:rPr>
            <w:sz w:val="16"/>
            <w:szCs w:val="16"/>
            <w:rtl w:val="0"/>
          </w:rPr>
          <w:t xml:space="preserve">FMT Reporters</w:t>
        </w:r>
      </w:hyperlink>
      <w:r w:rsidDel="00000000" w:rsidR="00000000" w:rsidRPr="00000000">
        <w:rPr>
          <w:sz w:val="16"/>
          <w:szCs w:val="16"/>
          <w:rtl w:val="0"/>
        </w:rPr>
        <w:t xml:space="preserve">(27 June 2024) </w:t>
      </w:r>
      <w:r w:rsidDel="00000000" w:rsidR="00000000" w:rsidRPr="00000000">
        <w:rPr>
          <w:sz w:val="16"/>
          <w:szCs w:val="16"/>
          <w:rtl w:val="0"/>
        </w:rPr>
        <w:t xml:space="preserve">Tattoo artist nabbed for allegedly sodomising customer </w:t>
      </w:r>
      <w:hyperlink r:id="rId33">
        <w:r w:rsidDel="00000000" w:rsidR="00000000" w:rsidRPr="00000000">
          <w:rPr>
            <w:sz w:val="16"/>
            <w:szCs w:val="16"/>
            <w:rtl w:val="0"/>
          </w:rPr>
          <w:t xml:space="preserve">https://www.freemalaysiatoday.com/category/nation/2024/06/27/tattoo-artist-nabbed-for-allegedly-sodomising-customer/</w:t>
        </w:r>
      </w:hyperlink>
      <w:r w:rsidDel="00000000" w:rsidR="00000000" w:rsidRPr="00000000">
        <w:rPr>
          <w:rtl w:val="0"/>
        </w:rPr>
      </w:r>
    </w:p>
  </w:footnote>
  <w:footnote w:id="7">
    <w:p w:rsidR="00000000" w:rsidDel="00000000" w:rsidP="00000000" w:rsidRDefault="00000000" w:rsidRPr="00000000" w14:paraId="000000DF">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sexual relations between women</w:t>
      </w:r>
    </w:p>
  </w:footnote>
  <w:footnote w:id="8">
    <w:p w:rsidR="00000000" w:rsidDel="00000000" w:rsidP="00000000" w:rsidRDefault="00000000" w:rsidRPr="00000000" w14:paraId="000000E0">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anal sex or sexual relations between men</w:t>
      </w:r>
    </w:p>
  </w:footnote>
  <w:footnote w:id="23">
    <w:p w:rsidR="00000000" w:rsidDel="00000000" w:rsidP="00000000" w:rsidRDefault="00000000" w:rsidRPr="00000000" w14:paraId="000000E1">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34">
        <w:r w:rsidDel="00000000" w:rsidR="00000000" w:rsidRPr="00000000">
          <w:rPr>
            <w:color w:val="222222"/>
            <w:sz w:val="16"/>
            <w:szCs w:val="16"/>
            <w:rtl w:val="0"/>
          </w:rPr>
          <w:t xml:space="preserve">Media Sosial Dan Sekolah Asrama Punca Jumlah Golongan LGBT Meningkat</w:t>
        </w:r>
      </w:hyperlink>
      <w:r w:rsidDel="00000000" w:rsidR="00000000" w:rsidRPr="00000000">
        <w:rPr>
          <w:sz w:val="16"/>
          <w:szCs w:val="16"/>
          <w:rtl w:val="0"/>
        </w:rPr>
        <w:t xml:space="preserve"> </w:t>
      </w:r>
      <w:hyperlink r:id="rId35">
        <w:r w:rsidDel="00000000" w:rsidR="00000000" w:rsidRPr="00000000">
          <w:rPr>
            <w:color w:val="1155cc"/>
            <w:sz w:val="16"/>
            <w:szCs w:val="16"/>
            <w:u w:val="single"/>
            <w:rtl w:val="0"/>
          </w:rPr>
          <w:t xml:space="preserve">https://ohbulan.com/punca-lgbt-meningkat/</w:t>
        </w:r>
      </w:hyperlink>
      <w:r w:rsidDel="00000000" w:rsidR="00000000" w:rsidRPr="00000000">
        <w:rPr>
          <w:rtl w:val="0"/>
        </w:rPr>
      </w:r>
    </w:p>
  </w:footnote>
  <w:footnote w:id="24">
    <w:p w:rsidR="00000000" w:rsidDel="00000000" w:rsidP="00000000" w:rsidRDefault="00000000" w:rsidRPr="00000000" w14:paraId="000000E2">
      <w:pPr>
        <w:spacing w:line="240" w:lineRule="auto"/>
        <w:rPr>
          <w:color w:val="1a1a1a"/>
          <w:sz w:val="16"/>
          <w:szCs w:val="16"/>
        </w:rPr>
      </w:pPr>
      <w:r w:rsidDel="00000000" w:rsidR="00000000" w:rsidRPr="00000000">
        <w:rPr>
          <w:rStyle w:val="FootnoteReference"/>
          <w:vertAlign w:val="superscript"/>
        </w:rPr>
        <w:footnoteRef/>
      </w:r>
      <w:r w:rsidDel="00000000" w:rsidR="00000000" w:rsidRPr="00000000">
        <w:rPr>
          <w:rFonts w:ascii="Roboto" w:cs="Roboto" w:eastAsia="Roboto" w:hAnsi="Roboto"/>
          <w:sz w:val="18"/>
          <w:szCs w:val="18"/>
          <w:rtl w:val="0"/>
        </w:rPr>
        <w:t xml:space="preserve"> </w:t>
      </w:r>
      <w:r w:rsidDel="00000000" w:rsidR="00000000" w:rsidRPr="00000000">
        <w:rPr>
          <w:color w:val="1a1a1a"/>
          <w:sz w:val="16"/>
          <w:szCs w:val="16"/>
          <w:rtl w:val="0"/>
        </w:rPr>
        <w:t xml:space="preserve">Jakim officer claims internet and boarding school reasons for rise in LGBT</w:t>
      </w:r>
    </w:p>
    <w:p w:rsidR="00000000" w:rsidDel="00000000" w:rsidP="00000000" w:rsidRDefault="00000000" w:rsidRPr="00000000" w14:paraId="000000E3">
      <w:pPr>
        <w:spacing w:line="240" w:lineRule="auto"/>
        <w:rPr>
          <w:sz w:val="16"/>
          <w:szCs w:val="16"/>
        </w:rPr>
      </w:pPr>
      <w:hyperlink r:id="rId36">
        <w:r w:rsidDel="00000000" w:rsidR="00000000" w:rsidRPr="00000000">
          <w:rPr>
            <w:color w:val="1155cc"/>
            <w:sz w:val="16"/>
            <w:szCs w:val="16"/>
            <w:u w:val="single"/>
            <w:rtl w:val="0"/>
          </w:rPr>
          <w:t xml:space="preserve">https://www.malaymail.com/news/malaysia/2018/10/29/jakim-officer-claims-internet-and-boarding-school-reason-for-rise-in-lgbt/1687750</w:t>
        </w:r>
      </w:hyperlink>
      <w:r w:rsidDel="00000000" w:rsidR="00000000" w:rsidRPr="00000000">
        <w:rPr>
          <w:rtl w:val="0"/>
        </w:rPr>
      </w:r>
    </w:p>
  </w:footnote>
  <w:footnote w:id="25">
    <w:p w:rsidR="00000000" w:rsidDel="00000000" w:rsidP="00000000" w:rsidRDefault="00000000" w:rsidRPr="00000000" w14:paraId="000000E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Tindakan tegas promosi LGBT di media sosial </w:t>
      </w:r>
      <w:hyperlink r:id="rId37">
        <w:r w:rsidDel="00000000" w:rsidR="00000000" w:rsidRPr="00000000">
          <w:rPr>
            <w:color w:val="1155cc"/>
            <w:sz w:val="16"/>
            <w:szCs w:val="16"/>
            <w:u w:val="single"/>
            <w:rtl w:val="0"/>
          </w:rPr>
          <w:t xml:space="preserve">https://www.kosmo.com.my/2021/06/24/tindakan-tegas-promosi-lgbt-di-media-sosial/</w:t>
        </w:r>
      </w:hyperlink>
      <w:r w:rsidDel="00000000" w:rsidR="00000000" w:rsidRPr="00000000">
        <w:rPr>
          <w:rtl w:val="0"/>
        </w:rPr>
      </w:r>
    </w:p>
  </w:footnote>
  <w:footnote w:id="4">
    <w:p w:rsidR="00000000" w:rsidDel="00000000" w:rsidP="00000000" w:rsidRDefault="00000000" w:rsidRPr="00000000" w14:paraId="000000E5">
      <w:pPr>
        <w:spacing w:line="240" w:lineRule="auto"/>
        <w:rPr>
          <w:color w:val="3f3f42"/>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color w:val="3f3f42"/>
          <w:sz w:val="16"/>
          <w:szCs w:val="16"/>
          <w:rtl w:val="0"/>
        </w:rPr>
        <w:t xml:space="preserve">Lelaki mengaku tidak bersalah rogol, rompak wanita Myanmar</w:t>
      </w:r>
    </w:p>
    <w:p w:rsidR="00000000" w:rsidDel="00000000" w:rsidP="00000000" w:rsidRDefault="00000000" w:rsidRPr="00000000" w14:paraId="000000E6">
      <w:pPr>
        <w:spacing w:line="240" w:lineRule="auto"/>
        <w:rPr>
          <w:sz w:val="16"/>
          <w:szCs w:val="16"/>
        </w:rPr>
      </w:pPr>
      <w:hyperlink r:id="rId38">
        <w:r w:rsidDel="00000000" w:rsidR="00000000" w:rsidRPr="00000000">
          <w:rPr>
            <w:color w:val="1155cc"/>
            <w:sz w:val="16"/>
            <w:szCs w:val="16"/>
            <w:u w:val="single"/>
            <w:rtl w:val="0"/>
          </w:rPr>
          <w:t xml:space="preserve">https://www.sinarharian.com.my/article/168218/berita/semasa/lelaki-mengaku-tidak-bersalah-rogol-rompak-wanita-myanmar</w:t>
        </w:r>
      </w:hyperlink>
      <w:r w:rsidDel="00000000" w:rsidR="00000000" w:rsidRPr="00000000">
        <w:rPr>
          <w:rtl w:val="0"/>
        </w:rPr>
      </w:r>
    </w:p>
  </w:footnote>
  <w:footnote w:id="5">
    <w:p w:rsidR="00000000" w:rsidDel="00000000" w:rsidP="00000000" w:rsidRDefault="00000000" w:rsidRPr="00000000" w14:paraId="000000E7">
      <w:pPr>
        <w:spacing w:line="240" w:lineRule="auto"/>
        <w:rPr>
          <w:color w:val="212529"/>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color w:val="212529"/>
          <w:sz w:val="16"/>
          <w:szCs w:val="16"/>
          <w:rtl w:val="0"/>
        </w:rPr>
        <w:t xml:space="preserve">Peniaga dipenjara 15 tahun, 9 sebatan, laku jenayah seksual terhadap kanak-kanak (2023) </w:t>
      </w:r>
    </w:p>
    <w:p w:rsidR="00000000" w:rsidDel="00000000" w:rsidP="00000000" w:rsidRDefault="00000000" w:rsidRPr="00000000" w14:paraId="000000E8">
      <w:pPr>
        <w:spacing w:line="240" w:lineRule="auto"/>
        <w:rPr>
          <w:sz w:val="16"/>
          <w:szCs w:val="16"/>
        </w:rPr>
      </w:pPr>
      <w:hyperlink r:id="rId39">
        <w:r w:rsidDel="00000000" w:rsidR="00000000" w:rsidRPr="00000000">
          <w:rPr>
            <w:color w:val="1155cc"/>
            <w:sz w:val="16"/>
            <w:szCs w:val="16"/>
            <w:u w:val="single"/>
            <w:rtl w:val="0"/>
          </w:rPr>
          <w:t xml:space="preserve">https://www.hmetro.com.my/mutakhir/2023/02/934014/peniaga-dipenjara-15-tahun-9-sebatan-laku-jenayah-seksual-terhadap-kanak</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anyflip.com/pvoey/wgzk/basic/51-100" TargetMode="External"/><Relationship Id="rId22" Type="http://schemas.openxmlformats.org/officeDocument/2006/relationships/hyperlink" Target="https://www.nst.com.my/news/crime-courts/2017/06/250459/four-teenagers-charged-murder-nhaveen" TargetMode="External"/><Relationship Id="rId21" Type="http://schemas.openxmlformats.org/officeDocument/2006/relationships/hyperlink" Target="https://www.nst.com.my/news/crime-courts/2023/10/962434/nhaveen-murder-trial-high-court-acquits-and-discharges-5-men" TargetMode="External"/><Relationship Id="rId24" Type="http://schemas.openxmlformats.org/officeDocument/2006/relationships/hyperlink" Target="https://www.freemalaysiatoday.com/category/nation/2023/10/13/t-nhaveens-mother-in-tears-after-agc-confirms-appeal-over-acquittal/" TargetMode="External"/><Relationship Id="rId23" Type="http://schemas.openxmlformats.org/officeDocument/2006/relationships/hyperlink" Target="https://www.freemalaysiatoday.com/category/nation/2024/04/05/agc-awaiting-court-record-before-deciding-on-t-nhaveens-murder-case-appeal/" TargetMode="External"/><Relationship Id="rId1" Type="http://schemas.openxmlformats.org/officeDocument/2006/relationships/hyperlink" Target="https://mpaeds.my/wp-content/uploads/2019/09/Paediatric_Protocols_4th_Edition_(MPA%20Version)_2nd_Print_Aug_2019.pdf" TargetMode="External"/><Relationship Id="rId2" Type="http://schemas.openxmlformats.org/officeDocument/2006/relationships/hyperlink" Target="https://www.hmetro.com.my/utama/2021/05/706415/jakim-santuni-golongan-lgbt:" TargetMode="External"/><Relationship Id="rId3" Type="http://schemas.openxmlformats.org/officeDocument/2006/relationships/hyperlink" Target="https://oarep.usim.edu.my/jspui/bitstream/123456789/12042/4/4.%20SWAT%20PAPER%20PROCEEDINGS%20A%20Literature%20review%20of%20Psycho%20spiritual%20Therapy%20Using%20Al%20Quran%20and%20Hadith%20in%20Recovering%20Transgender.pdf" TargetMode="External"/><Relationship Id="rId4" Type="http://schemas.openxmlformats.org/officeDocument/2006/relationships/hyperlink" Target="https://www.facebook.com/100064552038139/photos/665003735661355/?_rdr" TargetMode="External"/><Relationship Id="rId9" Type="http://schemas.openxmlformats.org/officeDocument/2006/relationships/hyperlink" Target="https://www.hmetro.com.my/mutakhir/2023/10/1019493/85-aplikasi-laman-sesawang-aktiviti-songsang-disekat" TargetMode="External"/><Relationship Id="rId26" Type="http://schemas.openxmlformats.org/officeDocument/2006/relationships/hyperlink" Target="https://www.hrw.org/report/2014/09/25/im-scared-be-woman/human-rights-abuses-against-transgender-people-malaysia" TargetMode="External"/><Relationship Id="rId25" Type="http://schemas.openxmlformats.org/officeDocument/2006/relationships/hyperlink" Target="https://wao.org.my/wp-content/uploads/2020/11/CRCM-STATUS-REPORT-2019-FINAL.pdf" TargetMode="External"/><Relationship Id="rId28" Type="http://schemas.openxmlformats.org/officeDocument/2006/relationships/hyperlink" Target="https://www.malaysiakini.com/letters/572815" TargetMode="External"/><Relationship Id="rId27" Type="http://schemas.openxmlformats.org/officeDocument/2006/relationships/hyperlink" Target="https://mprh.lppkn.gov.my/youth-sexual-education-and-reproductive-health/" TargetMode="External"/><Relationship Id="rId5" Type="http://schemas.openxmlformats.org/officeDocument/2006/relationships/hyperlink" Target="https://justiceforsisters.org/wp-content/uploads/2023/05/Conversion-Therapy.pdf" TargetMode="External"/><Relationship Id="rId6" Type="http://schemas.openxmlformats.org/officeDocument/2006/relationships/hyperlink" Target="https://www.hrw.org/report/2022/08/10/i-dont-want-change-myself/anti-lgbt-conversion-practices-discrimination-and" TargetMode="External"/><Relationship Id="rId29" Type="http://schemas.openxmlformats.org/officeDocument/2006/relationships/hyperlink" Target="https://www.nst.com.my/news/nation/2024/07/1071691/hiv-infections-among-tertiary-students-malaysia-rise" TargetMode="External"/><Relationship Id="rId7" Type="http://schemas.openxmlformats.org/officeDocument/2006/relationships/hyperlink" Target="https://www.malaymail.com/news/malaysia/2020/10/02/cops-nab-male-student-in-kampar-for-indecency-probe-after-viral-video-with/1908932" TargetMode="External"/><Relationship Id="rId8" Type="http://schemas.openxmlformats.org/officeDocument/2006/relationships/hyperlink" Target="https://www.malaymail.com/news/malaysia/2022/11/08/cosmetics-tycoon-vida-pleads-not-guilty-to-uploading-offensive-video/38277" TargetMode="External"/><Relationship Id="rId31" Type="http://schemas.openxmlformats.org/officeDocument/2006/relationships/hyperlink" Target="https://webtv.un.org/en/asset/k1h/k1hp7ergp2" TargetMode="External"/><Relationship Id="rId30" Type="http://schemas.openxmlformats.org/officeDocument/2006/relationships/hyperlink" Target="https://www.malaysiakini.com/news/711893#" TargetMode="External"/><Relationship Id="rId11" Type="http://schemas.openxmlformats.org/officeDocument/2006/relationships/hyperlink" Target="https://www.bharian.com.my/berita/nasional/2018/10/491972/bilangan-gay-transgender-semakin-meningkat-jakim" TargetMode="External"/><Relationship Id="rId33" Type="http://schemas.openxmlformats.org/officeDocument/2006/relationships/hyperlink" Target="https://www.freemalaysiatoday.com/category/nation/2024/06/27/tattoo-artist-nabbed-for-allegedly-sodomising-customer/" TargetMode="External"/><Relationship Id="rId10" Type="http://schemas.openxmlformats.org/officeDocument/2006/relationships/hyperlink" Target="https://cijmalaysia.net/" TargetMode="External"/><Relationship Id="rId32" Type="http://schemas.openxmlformats.org/officeDocument/2006/relationships/hyperlink" Target="https://www.freemalaysiatoday.com/category/author/fmtreporters" TargetMode="External"/><Relationship Id="rId13" Type="http://schemas.openxmlformats.org/officeDocument/2006/relationships/hyperlink" Target="https://www.malaymail.com/news/malaysia/2022/10/13/aliff-syukri-claims-trial-to-uploading-offensive-social-media-content/33379" TargetMode="External"/><Relationship Id="rId35" Type="http://schemas.openxmlformats.org/officeDocument/2006/relationships/hyperlink" Target="https://ohbulan.com/punca-lgbt-meningkat/" TargetMode="External"/><Relationship Id="rId12" Type="http://schemas.openxmlformats.org/officeDocument/2006/relationships/hyperlink" Target="https://www.malaymail.com/news/malaysia/2022/02/22/court-quashes-home-ministrys-ban-on-gay-is-ok-book/2043145" TargetMode="External"/><Relationship Id="rId34" Type="http://schemas.openxmlformats.org/officeDocument/2006/relationships/hyperlink" Target="https://ohbulan.com/punca-lgbt-meningkat/" TargetMode="External"/><Relationship Id="rId15" Type="http://schemas.openxmlformats.org/officeDocument/2006/relationships/hyperlink" Target="https://www.researchgate.net/publication/314228943_GARISPANDUAN_PENGENDALIAN_MASALAH_KESIHATAN_GENDER_DI_KLINIK_KESIHATAN" TargetMode="External"/><Relationship Id="rId37" Type="http://schemas.openxmlformats.org/officeDocument/2006/relationships/hyperlink" Target="https://www.kosmo.com.my/2021/06/24/tindakan-tegas-promosi-lgbt-di-media-sosial/" TargetMode="External"/><Relationship Id="rId14" Type="http://schemas.openxmlformats.org/officeDocument/2006/relationships/hyperlink" Target="https://www.benarnews.org/english/news/malaysian/malaysia-bans-books-lgbtq-02162023115305.html" TargetMode="External"/><Relationship Id="rId36" Type="http://schemas.openxmlformats.org/officeDocument/2006/relationships/hyperlink" Target="https://www.malaymail.com/news/malaysia/2018/10/29/jakim-officer-claims-internet-and-boarding-school-reason-for-rise-in-lgbt/1687750" TargetMode="External"/><Relationship Id="rId17" Type="http://schemas.openxmlformats.org/officeDocument/2006/relationships/hyperlink" Target="https://www.queerlapis.com/wp-content/uploads/2021/12/311221-Survey-findings_Impact-of-Covid-19-and-anti-LGBT-narratives-on-LGBT-persons-in-Malaysia.pdf" TargetMode="External"/><Relationship Id="rId39" Type="http://schemas.openxmlformats.org/officeDocument/2006/relationships/hyperlink" Target="https://www.hmetro.com.my/mutakhir/2023/02/934014/peniaga-dipenjara-15-tahun-9-sebatan-laku-jenayah-seksual-terhadap-kanak" TargetMode="External"/><Relationship Id="rId16" Type="http://schemas.openxmlformats.org/officeDocument/2006/relationships/hyperlink" Target="https://www.researchgate.net/publication/314228943_GARISPANDUAN_PENGENDALIAN_MASALAH_KESIHATAN_GENDER_DI_KLINIK_KESIHATAN" TargetMode="External"/><Relationship Id="rId38" Type="http://schemas.openxmlformats.org/officeDocument/2006/relationships/hyperlink" Target="https://www.sinarharian.com.my/article/168218/berita/semasa/lelaki-mengaku-tidak-bersalah-rogol-rompak-wanita-myanmar" TargetMode="External"/><Relationship Id="rId19" Type="http://schemas.openxmlformats.org/officeDocument/2006/relationships/hyperlink" Target="https://www.moe.gov.my/pekeliling/1970-surat-pekeliling-ikhtisas-bilangan-7-tahun-2003-kuasa-guru-merotan-murid/file" TargetMode="External"/><Relationship Id="rId18" Type="http://schemas.openxmlformats.org/officeDocument/2006/relationships/hyperlink" Target="https://justiceforsisters.wordpress.com/2023/09/11/media-statement-recall-ministry-of-higher-educations-entertainment-guid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