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40850" w14:textId="1CE8F05B" w:rsidR="0091153D" w:rsidRPr="0091153D" w:rsidRDefault="0091153D" w:rsidP="0091153D">
      <w:pPr>
        <w:pBdr>
          <w:bottom w:val="single" w:sz="18" w:space="1" w:color="auto"/>
        </w:pBdr>
        <w:jc w:val="center"/>
        <w:rPr>
          <w:rFonts w:ascii="Aptos" w:hAnsi="Aptos" w:cs="Times New Roman"/>
          <w:b/>
          <w:color w:val="1F4E79"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153D">
        <w:rPr>
          <w:rFonts w:ascii="Aptos" w:hAnsi="Aptos" w:cs="Times New Roman"/>
          <w:b/>
          <w:color w:val="1F4E79"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Submitted by The International Alliance for Peace and Development Regarding </w:t>
      </w:r>
      <w:r w:rsidRPr="0091153D">
        <w:rPr>
          <w:rFonts w:ascii="Aptos" w:hAnsi="Aptos" w:cs="Times New Roman"/>
          <w:b/>
          <w:color w:val="70AD47" w:themeColor="accent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Israel</w:t>
      </w:r>
      <w:r w:rsidRPr="0091153D">
        <w:rPr>
          <w:rFonts w:ascii="Aptos" w:hAnsi="Aptos" w:cs="Times New Roman"/>
          <w:b/>
          <w:color w:val="1F4E79"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 United Nations Committee Against Torture</w:t>
      </w:r>
    </w:p>
    <w:p w14:paraId="7B7F87D3"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The International Alliance for Peace and Development (IAPD) presents this report to the United Nations Committee Against Torture prior to its upcoming review of Israel. This report has been prepared following a review of the sixth periodic report submitted by Israel to the committee, which was noted to have been submitted outside the specified time frame. IAPD's report focuses on concerns it hopes will be considered when assessing the extent of the Israeli government's compliance with the provisions of the Convention Against Torture and Other Cruel, Inhuman or Degrading Treatment or Punishment. This report also includes recommendations that IAPD suggests the committee share with the Israeli government.</w:t>
      </w:r>
    </w:p>
    <w:p w14:paraId="668AB4A5"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The report specifically addresses the analysis of legal materials in Israel's national legislation and reviews some documented testimonies of individuals who have suffered abuse and torture, as well as its general obligations derived from the imperative nature of this prohibition in international law.</w:t>
      </w:r>
    </w:p>
    <w:p w14:paraId="72410138" w14:textId="77777777" w:rsidR="0091153D" w:rsidRPr="0091153D" w:rsidRDefault="0091153D" w:rsidP="0091153D">
      <w:pPr>
        <w:pStyle w:val="ListParagraph"/>
        <w:numPr>
          <w:ilvl w:val="0"/>
          <w:numId w:val="29"/>
        </w:numPr>
        <w:spacing w:after="160"/>
        <w:jc w:val="both"/>
        <w:rPr>
          <w:rFonts w:ascii="Aptos" w:hAnsi="Aptos" w:cs="Times New Roman"/>
          <w:b/>
          <w:bCs/>
          <w:color w:val="70AD47" w:themeColor="accent6"/>
          <w:sz w:val="28"/>
          <w:szCs w:val="28"/>
        </w:rPr>
      </w:pPr>
      <w:r w:rsidRPr="0091153D">
        <w:rPr>
          <w:rFonts w:ascii="Aptos" w:hAnsi="Aptos" w:cs="Times New Roman"/>
          <w:b/>
          <w:bCs/>
          <w:color w:val="70AD47" w:themeColor="accent6"/>
          <w:sz w:val="28"/>
          <w:szCs w:val="28"/>
        </w:rPr>
        <w:t>The "Necessity" Defense in Interrogations</w:t>
      </w:r>
    </w:p>
    <w:p w14:paraId="42D8B508"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Israel continues to use the "necessity" defense in the context of interrogations with detainees, particularly Palestinian detainees. Israel acknowledged in its sixth periodic report that the "necessity" defense has been used in the narrowest scope, and that the Israeli Security Agency has employed this practice only in a few interrogations of individuals suspected of involvement in terrorist activities.</w:t>
      </w:r>
      <w:r w:rsidRPr="0091153D">
        <w:rPr>
          <w:rStyle w:val="FootnoteReference"/>
          <w:rFonts w:ascii="Aptos" w:hAnsi="Aptos" w:cs="Times New Roman"/>
          <w:sz w:val="24"/>
          <w:szCs w:val="24"/>
        </w:rPr>
        <w:footnoteReference w:id="1"/>
      </w:r>
    </w:p>
    <w:p w14:paraId="0EA5DF22"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Although the committee recommended in its concluding observations on Israel's fifth periodic report that the "necessity" defense be abolished as a justification for the potential commission of torture, as of the time of writing this report, this concept has not been abolished, which allows investigators the opportunity to resort to torturing detainees during interrogation. This contradicts the second paragraph of Article 2 of the Convention Against Torture, which absolutely prohibits torture,</w:t>
      </w:r>
      <w:r w:rsidRPr="0091153D">
        <w:rPr>
          <w:rStyle w:val="FootnoteReference"/>
          <w:rFonts w:ascii="Aptos" w:hAnsi="Aptos" w:cs="Times New Roman"/>
          <w:sz w:val="24"/>
          <w:szCs w:val="24"/>
        </w:rPr>
        <w:footnoteReference w:id="2"/>
      </w:r>
      <w:r w:rsidRPr="0091153D">
        <w:rPr>
          <w:rFonts w:ascii="Aptos" w:hAnsi="Aptos" w:cs="Times New Roman"/>
          <w:sz w:val="24"/>
          <w:szCs w:val="24"/>
        </w:rPr>
        <w:t xml:space="preserve"> stating that no exceptional circumstances may be invoked as a justification for torture under any circumstances.</w:t>
      </w:r>
    </w:p>
    <w:p w14:paraId="0C6DCC0F"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 xml:space="preserve">On another note, IAPD draws the committee's attention to what was mentioned in Israel's sixth periodic report regarding interrogations by the Israeli Security Agency and the claimed measures and reforms taken to implement previous recommendations. However, practical reality reveals the continuation of Israeli policies in the West Bank that routinely and systematically facilitate practices of torture and ill-treatment. </w:t>
      </w:r>
      <w:r w:rsidRPr="00066AEF">
        <w:rPr>
          <w:rFonts w:ascii="Aptos" w:hAnsi="Aptos" w:cs="Times New Roman"/>
          <w:sz w:val="24"/>
          <w:szCs w:val="24"/>
          <w:highlight w:val="yellow"/>
        </w:rPr>
        <w:t>In October 2023, the Israeli Prison Service declared a state of emergency and began imposing retaliatory collective punitive measures against detainees,</w:t>
      </w:r>
      <w:r w:rsidRPr="0091153D">
        <w:rPr>
          <w:rFonts w:ascii="Aptos" w:hAnsi="Aptos" w:cs="Times New Roman"/>
          <w:sz w:val="24"/>
          <w:szCs w:val="24"/>
        </w:rPr>
        <w:t xml:space="preserve"> </w:t>
      </w:r>
      <w:r w:rsidRPr="00066AEF">
        <w:rPr>
          <w:rFonts w:ascii="Aptos" w:hAnsi="Aptos" w:cs="Times New Roman"/>
          <w:sz w:val="24"/>
          <w:szCs w:val="24"/>
          <w:highlight w:val="yellow"/>
        </w:rPr>
        <w:lastRenderedPageBreak/>
        <w:t>which included excessive reductions in living spaces, the removal of beds and their replacement with floor mats leading to overcrowding,</w:t>
      </w:r>
      <w:r w:rsidRPr="00066AEF">
        <w:rPr>
          <w:rStyle w:val="FootnoteReference"/>
          <w:rFonts w:ascii="Aptos" w:hAnsi="Aptos" w:cs="Times New Roman"/>
          <w:sz w:val="24"/>
          <w:szCs w:val="24"/>
          <w:highlight w:val="yellow"/>
        </w:rPr>
        <w:footnoteReference w:id="3"/>
      </w:r>
      <w:r w:rsidRPr="00066AEF">
        <w:rPr>
          <w:rFonts w:ascii="Aptos" w:hAnsi="Aptos" w:cs="Times New Roman"/>
          <w:sz w:val="24"/>
          <w:szCs w:val="24"/>
          <w:highlight w:val="yellow"/>
        </w:rPr>
        <w:t xml:space="preserve"> and the enforcement of a "lockdown" policy meaning total isolation of detainees, with prisons closed to family visits, the Red Cross, and lawyers. Additionally, in-person trials were replaced with sessions conducted through video technology.</w:t>
      </w:r>
      <w:r w:rsidRPr="0091153D">
        <w:rPr>
          <w:rStyle w:val="FootnoteReference"/>
          <w:rFonts w:ascii="Aptos" w:hAnsi="Aptos" w:cs="Times New Roman"/>
          <w:sz w:val="24"/>
          <w:szCs w:val="24"/>
        </w:rPr>
        <w:footnoteReference w:id="4"/>
      </w:r>
    </w:p>
    <w:p w14:paraId="6B3A1178" w14:textId="77777777" w:rsidR="0091153D" w:rsidRPr="0091153D" w:rsidRDefault="0091153D" w:rsidP="0091153D">
      <w:pPr>
        <w:jc w:val="both"/>
        <w:rPr>
          <w:rFonts w:ascii="Aptos" w:hAnsi="Aptos" w:cs="Times New Roman"/>
          <w:sz w:val="24"/>
          <w:szCs w:val="24"/>
        </w:rPr>
      </w:pPr>
      <w:r w:rsidRPr="00066AEF">
        <w:rPr>
          <w:rFonts w:ascii="Aptos" w:hAnsi="Aptos" w:cs="Times New Roman"/>
          <w:sz w:val="24"/>
          <w:szCs w:val="24"/>
          <w:highlight w:val="yellow"/>
        </w:rPr>
        <w:t>These violations extend beyond these measures to include practices such as confiscation of personal belongings, cutting off electricity, using shackles and blindfolds for extended periods, severe beating on various parts of the body, extinguishing cigarettes on detainees’ necks, and using electric shocks. They also include deprivation of sleep or access to sanitary facilities, forcing detainees to urinate in their clothes, as well as sexual humiliation, harassment, and beating on genitalia, alongside various other forms of psychological torture.</w:t>
      </w:r>
      <w:r w:rsidRPr="0091153D">
        <w:rPr>
          <w:rFonts w:ascii="Aptos" w:hAnsi="Aptos" w:cs="Times New Roman"/>
          <w:sz w:val="24"/>
          <w:szCs w:val="24"/>
        </w:rPr>
        <w:t xml:space="preserve"> This constitutes a direct violation of Article 16 of the Convention Against Torture, which obligates states to prevent all forms of cruel, inhuman, or degrading treatment or punishment.</w:t>
      </w:r>
    </w:p>
    <w:p w14:paraId="2DBD2760" w14:textId="77777777" w:rsidR="0091153D" w:rsidRPr="0091153D" w:rsidRDefault="0091153D" w:rsidP="0091153D">
      <w:pPr>
        <w:pStyle w:val="ListParagraph"/>
        <w:numPr>
          <w:ilvl w:val="0"/>
          <w:numId w:val="29"/>
        </w:numPr>
        <w:spacing w:after="160"/>
        <w:jc w:val="both"/>
        <w:rPr>
          <w:rFonts w:ascii="Aptos" w:hAnsi="Aptos" w:cs="Times New Roman"/>
          <w:b/>
          <w:bCs/>
          <w:color w:val="70AD47" w:themeColor="accent6"/>
          <w:sz w:val="28"/>
          <w:szCs w:val="28"/>
        </w:rPr>
      </w:pPr>
      <w:r w:rsidRPr="0091153D">
        <w:rPr>
          <w:rFonts w:ascii="Aptos" w:hAnsi="Aptos" w:cs="Times New Roman"/>
          <w:b/>
          <w:bCs/>
          <w:color w:val="70AD47" w:themeColor="accent6"/>
          <w:sz w:val="28"/>
          <w:szCs w:val="28"/>
        </w:rPr>
        <w:t>Prohibition of Torture as a Peremptory Norm</w:t>
      </w:r>
    </w:p>
    <w:p w14:paraId="4C9C4E3D" w14:textId="5C6F3AA2"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The prohibition of torture is one of the most established principles in international law, transcending its contractual nature to attain the status of a peremptory norm that cannot be deviated from or diminished in scope. The Convention Against Torture clarifies this principle by imposing specific obligations on the state parties to the convention, including the prevention and criminalization of torture, the investigation of allegations, and the guarantee that perpetrators will not escape punishment. However, the legal value of the prohibition of torture precedes this convention and supersedes it; it is an absolute prohibition that imposes obligations on all states, with the commitment to this prohibition intensifying upon Israel’s accession to the convention. This has legal implications on two levels: the national level and the international level.</w:t>
      </w:r>
    </w:p>
    <w:p w14:paraId="23725520"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 xml:space="preserve">Therefore, </w:t>
      </w:r>
      <w:r w:rsidRPr="00066AEF">
        <w:rPr>
          <w:rFonts w:ascii="Aptos" w:hAnsi="Aptos" w:cs="Times New Roman"/>
          <w:sz w:val="24"/>
          <w:szCs w:val="24"/>
          <w:highlight w:val="yellow"/>
        </w:rPr>
        <w:t>IAPD wishes to draw the committee's attention to what Israel stated in its report to the committee regarding the "contractual" nature of the Convention Against Torture and its restriction on domestic applicability by a decision from the Knesset, which contradicts the special nature of this prohibition. The prohibition of torture is not merely a contractual obligation; it is a peremptory norm that supersedes other rules and laws. Consequently, these norms impose obligations on all states, regardless of whether they are parties to the convention, and cannot be evaded under the pretext of non-integration into national legislation. IAPD also reminds the committee that a broad understanding of the additional legal effects of peremptory norms may extend to nullifying national measures that hinder the effective implementation of this absolute prohibition against torture, reinforcing that the Convention Against Torture possesses a special status according to the provisions of the Vienna Convention on the Law of Treaties of 1969. Therefore, Israel cannot invoke any internal legislative decisions to justify non-implementation of the convention’s provisions.</w:t>
      </w:r>
    </w:p>
    <w:p w14:paraId="743873BB"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 xml:space="preserve">At the national level, Israel must align its legislative and legal framework with the provisions of the convention. In reviewing the Israeli legislative framework, </w:t>
      </w:r>
      <w:r w:rsidRPr="00066AEF">
        <w:rPr>
          <w:rFonts w:ascii="Aptos" w:hAnsi="Aptos" w:cs="Times New Roman"/>
          <w:sz w:val="24"/>
          <w:szCs w:val="24"/>
          <w:highlight w:val="yellow"/>
        </w:rPr>
        <w:t>IAPD notes that the key relevant</w:t>
      </w:r>
      <w:r w:rsidRPr="0091153D">
        <w:rPr>
          <w:rFonts w:ascii="Aptos" w:hAnsi="Aptos" w:cs="Times New Roman"/>
          <w:sz w:val="24"/>
          <w:szCs w:val="24"/>
        </w:rPr>
        <w:t xml:space="preserve"> </w:t>
      </w:r>
      <w:r w:rsidRPr="00066AEF">
        <w:rPr>
          <w:rFonts w:ascii="Aptos" w:hAnsi="Aptos" w:cs="Times New Roman"/>
          <w:sz w:val="24"/>
          <w:szCs w:val="24"/>
          <w:highlight w:val="yellow"/>
        </w:rPr>
        <w:lastRenderedPageBreak/>
        <w:t>provision is Article (277)</w:t>
      </w:r>
      <w:r w:rsidRPr="00066AEF">
        <w:rPr>
          <w:rStyle w:val="FootnoteReference"/>
          <w:rFonts w:ascii="Aptos" w:hAnsi="Aptos" w:cs="Times New Roman"/>
          <w:sz w:val="24"/>
          <w:szCs w:val="24"/>
          <w:highlight w:val="yellow"/>
        </w:rPr>
        <w:footnoteReference w:id="5"/>
      </w:r>
      <w:r w:rsidRPr="00066AEF">
        <w:rPr>
          <w:rFonts w:ascii="Aptos" w:hAnsi="Aptos" w:cs="Times New Roman"/>
          <w:sz w:val="24"/>
          <w:szCs w:val="24"/>
          <w:highlight w:val="yellow"/>
        </w:rPr>
        <w:t xml:space="preserve"> of the Penal Code of 1977. However, the scope of this article is much narrower than the definition of "torture" contained in Article (1) of the Convention Against Torture, rendering it insufficient and contradictory to Israel's obligations under the convention. As a result, Article 277 does not criminalize acts that clearly constitute torture under the convention, such as a police officer deliberately inflicting severe pain as punishment or as a means of discrimination, even if associated with the use of "force or violence" or "threat." The article does not explicitly include the act of torture for the purposes of punishment or intimidation, which represents a significant shortcoming inconsistent with international standards.</w:t>
      </w:r>
      <w:r w:rsidRPr="0091153D">
        <w:rPr>
          <w:rFonts w:ascii="Aptos" w:hAnsi="Aptos" w:cs="Times New Roman"/>
          <w:sz w:val="24"/>
          <w:szCs w:val="24"/>
        </w:rPr>
        <w:t xml:space="preserve"> </w:t>
      </w:r>
    </w:p>
    <w:p w14:paraId="34BCB53C" w14:textId="77777777" w:rsidR="0091153D" w:rsidRPr="0091153D" w:rsidRDefault="0091153D" w:rsidP="0091153D">
      <w:pPr>
        <w:jc w:val="both"/>
        <w:rPr>
          <w:rFonts w:ascii="Aptos" w:hAnsi="Aptos" w:cs="Times New Roman"/>
          <w:sz w:val="24"/>
          <w:szCs w:val="24"/>
        </w:rPr>
      </w:pPr>
      <w:r w:rsidRPr="00066AEF">
        <w:rPr>
          <w:rFonts w:ascii="Aptos" w:hAnsi="Aptos" w:cs="Times New Roman"/>
          <w:sz w:val="24"/>
          <w:szCs w:val="24"/>
          <w:highlight w:val="yellow"/>
        </w:rPr>
        <w:t>Furthermore, Article 277 does not explicitly incorporate the element of "severe pain or suffering, whether physical or mental," contradicting the convention, which clearly emphasizes this aspect. Israeli legislation does not address, for example, the intentional infliction of severe psychological suffering that can occur without the use of direct physical force, such as in cases of prolonged solitary confinement, mock executions, or psychological manipulation, unless the phrase "threat of harm" is interpreted broadly. This is an ambiguous and inadequate definition that contradicts the convention's clearer definition regarding the inclusion of forms of psychological suffering within the scope of torture.</w:t>
      </w:r>
    </w:p>
    <w:p w14:paraId="468192A4" w14:textId="77777777" w:rsidR="0091153D" w:rsidRPr="0091153D" w:rsidRDefault="0091153D" w:rsidP="0091153D">
      <w:pPr>
        <w:jc w:val="both"/>
        <w:rPr>
          <w:rFonts w:ascii="Aptos" w:hAnsi="Aptos" w:cs="Times New Roman"/>
          <w:sz w:val="24"/>
          <w:szCs w:val="24"/>
        </w:rPr>
      </w:pPr>
      <w:r w:rsidRPr="00066AEF">
        <w:rPr>
          <w:rFonts w:ascii="Aptos" w:hAnsi="Aptos" w:cs="Times New Roman"/>
          <w:sz w:val="24"/>
          <w:szCs w:val="24"/>
          <w:highlight w:val="yellow"/>
        </w:rPr>
        <w:t>IAPD also notes that Israeli law narrows the scope of criminal responsibility, as Article 277 limits its scope to a public official who "used or ordered the use of" or "threatened a person or ordered a threat," whereas the convention adopts a much broader definition that includes a key element of "consent or acquiescence" by the public official, meaning knowledge of or tolerance for the actions of non-officials engaging in torture or any other person acting in an official capacity, or inciting or consenting to such actions. This legislative restriction in Israel is considered inconsistent with the text and spirit of the convention, reflecting a breach of Israel’s international obligations. Consequently, Article 277 of the Israeli Penal Code does not provide adequate protection against torture practices in Israel, necessitating its amendment to align with the convention.</w:t>
      </w:r>
    </w:p>
    <w:p w14:paraId="73E3813B" w14:textId="77777777" w:rsidR="0091153D" w:rsidRPr="0091153D" w:rsidRDefault="0091153D" w:rsidP="0091153D">
      <w:pPr>
        <w:pStyle w:val="ListParagraph"/>
        <w:numPr>
          <w:ilvl w:val="0"/>
          <w:numId w:val="29"/>
        </w:numPr>
        <w:spacing w:after="160"/>
        <w:jc w:val="both"/>
        <w:rPr>
          <w:rFonts w:ascii="Aptos" w:hAnsi="Aptos" w:cs="Times New Roman"/>
          <w:b/>
          <w:bCs/>
          <w:color w:val="70AD47" w:themeColor="accent6"/>
          <w:sz w:val="28"/>
          <w:szCs w:val="28"/>
        </w:rPr>
      </w:pPr>
      <w:r w:rsidRPr="0091153D">
        <w:rPr>
          <w:rFonts w:ascii="Aptos" w:hAnsi="Aptos" w:cs="Times New Roman"/>
          <w:b/>
          <w:bCs/>
          <w:color w:val="70AD47" w:themeColor="accent6"/>
          <w:sz w:val="28"/>
          <w:szCs w:val="28"/>
        </w:rPr>
        <w:t>Testimonies of Torture Victims</w:t>
      </w:r>
    </w:p>
    <w:p w14:paraId="79E1A499"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The various testimonies collected by IAPD confirm that the practice of torture in Israel is systematic and occurs with complete impunity. The case of Dr. "A. A.", a Palestinian surgeon who died in custody after suffering prolonged beatings, denial of medical treatment, and deliberate neglect, illustrates this point. Autopsy results confirmed he had rib fractures and internal bleeding.</w:t>
      </w:r>
      <w:r w:rsidRPr="0091153D">
        <w:rPr>
          <w:rStyle w:val="FootnoteReference"/>
          <w:rFonts w:ascii="Aptos" w:hAnsi="Aptos" w:cs="Times New Roman"/>
          <w:sz w:val="24"/>
          <w:szCs w:val="24"/>
        </w:rPr>
        <w:footnoteReference w:id="6"/>
      </w:r>
    </w:p>
    <w:p w14:paraId="60747EA3"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 xml:space="preserve">According to another testimony documented by IAPD from "M. S.", a 34-year-old man from Ramallah, when one detainee was ill, he did not receive treatment. Occasionally, a medic would come to ask detainees about their medical complaints, but according to the testimony, he did not actually examine them. M. S. adds, "He only spoke to us through a small opening in the cell door, </w:t>
      </w:r>
      <w:r w:rsidRPr="0091153D">
        <w:rPr>
          <w:rFonts w:ascii="Aptos" w:hAnsi="Aptos" w:cs="Times New Roman"/>
          <w:sz w:val="24"/>
          <w:szCs w:val="24"/>
        </w:rPr>
        <w:lastRenderedPageBreak/>
        <w:t>asking the prisoner: 'What are you suffering from?' Then he would suggest drinking water or give him a pill of 'Acamol,' which is a fever reducer."</w:t>
      </w:r>
    </w:p>
    <w:p w14:paraId="702B1332"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 xml:space="preserve">Some survivors, such as "M. H.", a 41-year-old who was held in the Sde </w:t>
      </w:r>
      <w:proofErr w:type="spellStart"/>
      <w:r w:rsidRPr="0091153D">
        <w:rPr>
          <w:rFonts w:ascii="Aptos" w:hAnsi="Aptos" w:cs="Times New Roman"/>
          <w:sz w:val="24"/>
          <w:szCs w:val="24"/>
        </w:rPr>
        <w:t>Teiman</w:t>
      </w:r>
      <w:proofErr w:type="spellEnd"/>
      <w:r w:rsidRPr="0091153D">
        <w:rPr>
          <w:rFonts w:ascii="Aptos" w:hAnsi="Aptos" w:cs="Times New Roman"/>
          <w:sz w:val="24"/>
          <w:szCs w:val="24"/>
        </w:rPr>
        <w:t xml:space="preserve"> detention center after being arrested at a checkpoint in October 2023 while fleeing south, reported: "With every meter you cover, they would beat you, insult you, and use dogs, tear gas, and electric shocks." He was finally released but knows nothing about the fate of one of his brothers, who is also detained: "Some people lost their hearing due to blood coming from their ears as a result of electric shocks."</w:t>
      </w:r>
      <w:r w:rsidRPr="0091153D">
        <w:rPr>
          <w:rStyle w:val="FootnoteReference"/>
          <w:rFonts w:ascii="Aptos" w:hAnsi="Aptos" w:cs="Times New Roman"/>
          <w:sz w:val="24"/>
          <w:szCs w:val="24"/>
        </w:rPr>
        <w:footnoteReference w:id="7"/>
      </w:r>
    </w:p>
    <w:p w14:paraId="3F8C5927" w14:textId="77777777" w:rsidR="0091153D" w:rsidRPr="0091153D" w:rsidRDefault="0091153D" w:rsidP="0091153D">
      <w:pPr>
        <w:jc w:val="both"/>
        <w:rPr>
          <w:rFonts w:ascii="Aptos" w:hAnsi="Aptos" w:cs="Times New Roman"/>
          <w:sz w:val="24"/>
          <w:szCs w:val="24"/>
        </w:rPr>
      </w:pPr>
      <w:r w:rsidRPr="0091153D">
        <w:rPr>
          <w:rFonts w:ascii="Aptos" w:hAnsi="Aptos" w:cs="Times New Roman"/>
          <w:sz w:val="24"/>
          <w:szCs w:val="24"/>
        </w:rPr>
        <w:t>According to a statement from an Israeli doctor who oversaw the autopsy of several detainees: "The observation of some signs of abuse may not indicate, according to the doctor, anything but part of broader arbitrary practices against detainees." He also recounted personally witnessing the autopsy of a man in his thirties who died while in custody in the West Bank in October 2023, revealing rib fractures and a ruptured spleen, "which are injuries indicative of trauma caused by a sharp force."</w:t>
      </w:r>
      <w:r w:rsidRPr="0091153D">
        <w:rPr>
          <w:rStyle w:val="FootnoteReference"/>
          <w:rFonts w:ascii="Aptos" w:hAnsi="Aptos" w:cs="Times New Roman"/>
          <w:sz w:val="24"/>
          <w:szCs w:val="24"/>
        </w:rPr>
        <w:footnoteReference w:id="8"/>
      </w:r>
    </w:p>
    <w:p w14:paraId="06450DE7" w14:textId="77777777" w:rsidR="0091153D" w:rsidRPr="0091153D" w:rsidRDefault="0091153D" w:rsidP="0091153D">
      <w:pPr>
        <w:pStyle w:val="ListParagraph"/>
        <w:numPr>
          <w:ilvl w:val="0"/>
          <w:numId w:val="29"/>
        </w:numPr>
        <w:spacing w:after="160"/>
        <w:jc w:val="both"/>
        <w:rPr>
          <w:rFonts w:ascii="Aptos" w:hAnsi="Aptos" w:cs="Times New Roman"/>
          <w:b/>
          <w:bCs/>
          <w:color w:val="70AD47" w:themeColor="accent6"/>
          <w:sz w:val="28"/>
          <w:szCs w:val="28"/>
        </w:rPr>
      </w:pPr>
      <w:r w:rsidRPr="0091153D">
        <w:rPr>
          <w:rFonts w:ascii="Aptos" w:hAnsi="Aptos" w:cs="Times New Roman"/>
          <w:b/>
          <w:bCs/>
          <w:color w:val="70AD47" w:themeColor="accent6"/>
          <w:sz w:val="28"/>
          <w:szCs w:val="28"/>
        </w:rPr>
        <w:t>Impunity for Torture Practices</w:t>
      </w:r>
    </w:p>
    <w:p w14:paraId="22331D81" w14:textId="77777777" w:rsidR="0091153D" w:rsidRPr="0091153D" w:rsidRDefault="0091153D" w:rsidP="0091153D">
      <w:pPr>
        <w:jc w:val="both"/>
        <w:rPr>
          <w:rFonts w:ascii="Aptos" w:hAnsi="Aptos" w:cs="Times New Roman"/>
          <w:sz w:val="24"/>
          <w:szCs w:val="24"/>
        </w:rPr>
      </w:pPr>
      <w:r w:rsidRPr="00066AEF">
        <w:rPr>
          <w:rFonts w:ascii="Aptos" w:hAnsi="Aptos" w:cs="Times New Roman"/>
          <w:sz w:val="24"/>
          <w:szCs w:val="24"/>
          <w:highlight w:val="yellow"/>
        </w:rPr>
        <w:t>Impunity, lack of accountability, and the disregard for opening any credible investigations into all torture practices or ill-treatment of detainees and prisoners remain prevalent in Israel, encouraging security forces and military personnel to repeat these serious violations that contradict the Convention Against Torture. Through the evidence gathered by IAPD, it is noted that on July 29, 2024, the Israeli military police detained nine soldiers suspected of involvement in torture practices against a Palestinian detainee</w:t>
      </w:r>
      <w:r w:rsidRPr="00066AEF">
        <w:rPr>
          <w:rStyle w:val="FootnoteReference"/>
          <w:rFonts w:ascii="Aptos" w:hAnsi="Aptos" w:cs="Times New Roman"/>
          <w:sz w:val="24"/>
          <w:szCs w:val="24"/>
          <w:highlight w:val="yellow"/>
        </w:rPr>
        <w:footnoteReference w:id="9"/>
      </w:r>
      <w:r w:rsidRPr="00066AEF">
        <w:rPr>
          <w:rFonts w:ascii="Aptos" w:hAnsi="Aptos" w:cs="Times New Roman"/>
          <w:sz w:val="24"/>
          <w:szCs w:val="24"/>
          <w:highlight w:val="yellow"/>
        </w:rPr>
        <w:t xml:space="preserve"> who suffered fractures and facial injuries and was subsequently transported to the hospital.</w:t>
      </w:r>
      <w:r w:rsidRPr="00066AEF">
        <w:rPr>
          <w:rStyle w:val="FootnoteReference"/>
          <w:rFonts w:ascii="Aptos" w:hAnsi="Aptos" w:cs="Times New Roman"/>
          <w:sz w:val="24"/>
          <w:szCs w:val="24"/>
          <w:highlight w:val="yellow"/>
        </w:rPr>
        <w:footnoteReference w:id="10"/>
      </w:r>
      <w:r w:rsidRPr="00066AEF">
        <w:rPr>
          <w:rFonts w:ascii="Aptos" w:hAnsi="Aptos" w:cs="Times New Roman"/>
          <w:sz w:val="24"/>
          <w:szCs w:val="24"/>
          <w:highlight w:val="yellow"/>
        </w:rPr>
        <w:t xml:space="preserve"> Despite claims of investigating the nine soldiers at the Beit Lid military base, the Israeli Minister of Justice criticized these investigations, asserting that the soldiers were on a sacred mission. Ultimately, none of these soldiers were convicted for their actions.</w:t>
      </w:r>
    </w:p>
    <w:p w14:paraId="1DFF9563" w14:textId="77777777" w:rsidR="0091153D" w:rsidRPr="0091153D" w:rsidRDefault="0091153D" w:rsidP="007417DA">
      <w:pPr>
        <w:jc w:val="both"/>
        <w:rPr>
          <w:rFonts w:ascii="Aptos" w:hAnsi="Aptos" w:cs="Times New Roman"/>
          <w:sz w:val="24"/>
          <w:szCs w:val="24"/>
        </w:rPr>
      </w:pPr>
      <w:r w:rsidRPr="00066AEF">
        <w:rPr>
          <w:rFonts w:ascii="Aptos" w:hAnsi="Aptos" w:cs="Times New Roman"/>
          <w:sz w:val="24"/>
          <w:szCs w:val="24"/>
          <w:highlight w:val="yellow"/>
        </w:rPr>
        <w:t>This incident is part of a broader pattern of impunity that has intensified since October 7, 2023. According to statistics, 88% of cases of war and serious violations of international human rights law involving Israeli military personnel have either been closed without charges against these military personnel or left unresolved.</w:t>
      </w:r>
      <w:r w:rsidRPr="00066AEF">
        <w:rPr>
          <w:rStyle w:val="FootnoteReference"/>
          <w:rFonts w:ascii="Aptos" w:hAnsi="Aptos" w:cs="Times New Roman"/>
          <w:sz w:val="24"/>
          <w:szCs w:val="24"/>
          <w:highlight w:val="yellow"/>
        </w:rPr>
        <w:footnoteReference w:id="11"/>
      </w:r>
      <w:r w:rsidRPr="00066AEF">
        <w:rPr>
          <w:rFonts w:ascii="Aptos" w:hAnsi="Aptos" w:cs="Times New Roman"/>
          <w:sz w:val="24"/>
          <w:szCs w:val="24"/>
          <w:highlight w:val="yellow"/>
        </w:rPr>
        <w:t xml:space="preserve"> Human rights organizations state that ongoing investigations, which remain unresolved, include the killing of no fewer than 112 Palestinians who were waiting for food, including flour, in Gaza City in February 2024, alongside an airstrike carried out by Israeli Air Force personnel that deliberately killed 45 people in a camp in Rafah in May 2024.</w:t>
      </w:r>
    </w:p>
    <w:p w14:paraId="7112C14B" w14:textId="77777777" w:rsidR="0091153D" w:rsidRPr="007417DA" w:rsidRDefault="0091153D" w:rsidP="0091153D">
      <w:pPr>
        <w:jc w:val="both"/>
        <w:rPr>
          <w:rFonts w:ascii="Aptos" w:hAnsi="Aptos" w:cs="Times New Roman"/>
          <w:b/>
          <w:bCs/>
          <w:color w:val="70AD47" w:themeColor="accent6"/>
          <w:sz w:val="28"/>
          <w:szCs w:val="28"/>
        </w:rPr>
      </w:pPr>
      <w:r w:rsidRPr="007417DA">
        <w:rPr>
          <w:rFonts w:ascii="Aptos" w:hAnsi="Aptos" w:cs="Times New Roman"/>
          <w:b/>
          <w:bCs/>
          <w:color w:val="70AD47" w:themeColor="accent6"/>
          <w:sz w:val="28"/>
          <w:szCs w:val="28"/>
        </w:rPr>
        <w:lastRenderedPageBreak/>
        <w:t>Recommendations</w:t>
      </w:r>
    </w:p>
    <w:p w14:paraId="778E3B46" w14:textId="77777777" w:rsidR="0091153D" w:rsidRPr="0091153D" w:rsidRDefault="0091153D" w:rsidP="0091153D">
      <w:pPr>
        <w:numPr>
          <w:ilvl w:val="0"/>
          <w:numId w:val="30"/>
        </w:numPr>
        <w:spacing w:after="160"/>
        <w:jc w:val="both"/>
        <w:rPr>
          <w:rFonts w:ascii="Aptos" w:hAnsi="Aptos" w:cs="Times New Roman"/>
          <w:sz w:val="24"/>
          <w:szCs w:val="24"/>
        </w:rPr>
      </w:pPr>
      <w:r w:rsidRPr="0091153D">
        <w:rPr>
          <w:rFonts w:ascii="Aptos" w:hAnsi="Aptos" w:cs="Times New Roman"/>
          <w:sz w:val="24"/>
          <w:szCs w:val="24"/>
        </w:rPr>
        <w:t>Call on Israel to fully comply with its obligations under the convention and refrain from any practices that would circumvent the peremptory nature of the prohibition of torture.</w:t>
      </w:r>
    </w:p>
    <w:p w14:paraId="2684F553" w14:textId="77777777" w:rsidR="0091153D" w:rsidRPr="0091153D" w:rsidRDefault="0091153D" w:rsidP="0091153D">
      <w:pPr>
        <w:numPr>
          <w:ilvl w:val="0"/>
          <w:numId w:val="30"/>
        </w:numPr>
        <w:spacing w:after="160"/>
        <w:jc w:val="both"/>
        <w:rPr>
          <w:rFonts w:ascii="Aptos" w:hAnsi="Aptos" w:cs="Times New Roman"/>
          <w:sz w:val="24"/>
          <w:szCs w:val="24"/>
        </w:rPr>
      </w:pPr>
      <w:r w:rsidRPr="0091153D">
        <w:rPr>
          <w:rFonts w:ascii="Aptos" w:hAnsi="Aptos" w:cs="Times New Roman"/>
          <w:sz w:val="24"/>
          <w:szCs w:val="24"/>
        </w:rPr>
        <w:t>Amend Article 277 of the Penal Code to align its national legislation with all forms, shapes, and elements of torture as outlined in the convention.</w:t>
      </w:r>
    </w:p>
    <w:p w14:paraId="55C44598" w14:textId="77777777" w:rsidR="0091153D" w:rsidRPr="0091153D" w:rsidRDefault="0091153D" w:rsidP="0091153D">
      <w:pPr>
        <w:numPr>
          <w:ilvl w:val="0"/>
          <w:numId w:val="30"/>
        </w:numPr>
        <w:spacing w:after="160"/>
        <w:jc w:val="both"/>
        <w:rPr>
          <w:rFonts w:ascii="Aptos" w:hAnsi="Aptos" w:cs="Times New Roman"/>
          <w:sz w:val="24"/>
          <w:szCs w:val="24"/>
        </w:rPr>
      </w:pPr>
      <w:r w:rsidRPr="0091153D">
        <w:rPr>
          <w:rFonts w:ascii="Aptos" w:hAnsi="Aptos" w:cs="Times New Roman"/>
          <w:sz w:val="24"/>
          <w:szCs w:val="24"/>
        </w:rPr>
        <w:t>Abolish the concept of "necessity" used by the Israeli Security Agency during interrogations as an affirmation of the absolute prohibition of torture.</w:t>
      </w:r>
    </w:p>
    <w:p w14:paraId="65AECD41" w14:textId="77777777" w:rsidR="0091153D" w:rsidRPr="0091153D" w:rsidRDefault="0091153D" w:rsidP="0091153D">
      <w:pPr>
        <w:numPr>
          <w:ilvl w:val="0"/>
          <w:numId w:val="30"/>
        </w:numPr>
        <w:spacing w:after="160"/>
        <w:jc w:val="both"/>
        <w:rPr>
          <w:rFonts w:ascii="Aptos" w:hAnsi="Aptos" w:cs="Times New Roman"/>
          <w:sz w:val="24"/>
          <w:szCs w:val="24"/>
        </w:rPr>
      </w:pPr>
      <w:r w:rsidRPr="0091153D">
        <w:rPr>
          <w:rFonts w:ascii="Aptos" w:hAnsi="Aptos" w:cs="Times New Roman"/>
          <w:sz w:val="24"/>
          <w:szCs w:val="24"/>
        </w:rPr>
        <w:t>Urge Israel to consider providing compensation to all victims of violations of international humanitarian law committed by Israeli military forces after October 7, 2023.</w:t>
      </w:r>
    </w:p>
    <w:p w14:paraId="7E052C2C" w14:textId="77777777" w:rsidR="0091153D" w:rsidRPr="0091153D" w:rsidRDefault="0091153D" w:rsidP="0091153D">
      <w:pPr>
        <w:numPr>
          <w:ilvl w:val="0"/>
          <w:numId w:val="30"/>
        </w:numPr>
        <w:spacing w:after="160"/>
        <w:jc w:val="both"/>
        <w:rPr>
          <w:rFonts w:ascii="Aptos" w:hAnsi="Aptos" w:cs="Times New Roman"/>
          <w:sz w:val="24"/>
          <w:szCs w:val="24"/>
        </w:rPr>
      </w:pPr>
      <w:r w:rsidRPr="0091153D">
        <w:rPr>
          <w:rFonts w:ascii="Aptos" w:hAnsi="Aptos" w:cs="Times New Roman"/>
          <w:sz w:val="24"/>
          <w:szCs w:val="24"/>
        </w:rPr>
        <w:t>Call on Israel to conduct serious and independent investigations into all allegations of torture and ill-treatment of detainees, ensuring accountability for all responsible parties before independent courts.</w:t>
      </w:r>
    </w:p>
    <w:p w14:paraId="19073781" w14:textId="77777777" w:rsidR="001719EB" w:rsidRPr="0091153D" w:rsidRDefault="001719EB" w:rsidP="00265110">
      <w:pPr>
        <w:jc w:val="both"/>
        <w:rPr>
          <w:rFonts w:ascii="Aptos" w:hAnsi="Aptos"/>
          <w:sz w:val="24"/>
          <w:szCs w:val="24"/>
        </w:rPr>
      </w:pPr>
    </w:p>
    <w:sectPr w:rsidR="001719EB" w:rsidRPr="0091153D">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E482E" w14:textId="77777777" w:rsidR="00EA7222" w:rsidRDefault="00EA7222" w:rsidP="003D1884">
      <w:pPr>
        <w:spacing w:after="0" w:line="240" w:lineRule="auto"/>
      </w:pPr>
      <w:r>
        <w:separator/>
      </w:r>
    </w:p>
  </w:endnote>
  <w:endnote w:type="continuationSeparator" w:id="0">
    <w:p w14:paraId="7BF03EC0" w14:textId="77777777" w:rsidR="00EA7222" w:rsidRDefault="00EA7222"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AAF92" w14:textId="77777777" w:rsidR="00EA7222" w:rsidRDefault="00EA7222" w:rsidP="003D1884">
      <w:pPr>
        <w:spacing w:after="0" w:line="240" w:lineRule="auto"/>
      </w:pPr>
      <w:r>
        <w:separator/>
      </w:r>
    </w:p>
  </w:footnote>
  <w:footnote w:type="continuationSeparator" w:id="0">
    <w:p w14:paraId="089302EE" w14:textId="77777777" w:rsidR="00EA7222" w:rsidRDefault="00EA7222" w:rsidP="003D1884">
      <w:pPr>
        <w:spacing w:after="0" w:line="240" w:lineRule="auto"/>
      </w:pPr>
      <w:r>
        <w:continuationSeparator/>
      </w:r>
    </w:p>
  </w:footnote>
  <w:footnote w:id="1">
    <w:p w14:paraId="277C93F7"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Sixth periodic report submitted by Israel, </w:t>
      </w:r>
      <w:hyperlink r:id="rId1" w:history="1">
        <w:r w:rsidRPr="0091153D">
          <w:rPr>
            <w:rStyle w:val="Hyperlink"/>
            <w:rFonts w:ascii="Aptos" w:hAnsi="Aptos" w:cstheme="majorBidi"/>
            <w:sz w:val="16"/>
            <w:szCs w:val="16"/>
          </w:rPr>
          <w:t>https://tinyurl.com/mwu4ja2p</w:t>
        </w:r>
      </w:hyperlink>
    </w:p>
  </w:footnote>
  <w:footnote w:id="2">
    <w:p w14:paraId="7145277F" w14:textId="6CAEDB01"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Convention against Torture and Other Cruel, Inhuman or Degrading Treatment or Punishment, </w:t>
      </w:r>
      <w:r>
        <w:rPr>
          <w:rFonts w:ascii="Aptos" w:hAnsi="Aptos" w:cstheme="majorBidi"/>
          <w:sz w:val="16"/>
          <w:szCs w:val="16"/>
        </w:rPr>
        <w:t>A</w:t>
      </w:r>
      <w:r w:rsidRPr="0091153D">
        <w:rPr>
          <w:rFonts w:ascii="Aptos" w:hAnsi="Aptos" w:cstheme="majorBidi"/>
          <w:sz w:val="16"/>
          <w:szCs w:val="16"/>
        </w:rPr>
        <w:t xml:space="preserve">rticle 2, </w:t>
      </w:r>
      <w:hyperlink r:id="rId2" w:history="1">
        <w:r w:rsidRPr="0091153D">
          <w:rPr>
            <w:rStyle w:val="Hyperlink"/>
            <w:rFonts w:ascii="Aptos" w:hAnsi="Aptos" w:cstheme="majorBidi"/>
            <w:sz w:val="16"/>
            <w:szCs w:val="16"/>
          </w:rPr>
          <w:t>https://tinyurl.com/mryzfk3n</w:t>
        </w:r>
      </w:hyperlink>
    </w:p>
  </w:footnote>
  <w:footnote w:id="3">
    <w:p w14:paraId="050918E5"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SYSTEMATIC VIOLATION OF HUMAN RIGHTS: </w:t>
      </w:r>
      <w:hyperlink r:id="rId3" w:history="1">
        <w:r w:rsidRPr="0091153D">
          <w:rPr>
            <w:rStyle w:val="Hyperlink"/>
            <w:rFonts w:ascii="Aptos" w:hAnsi="Aptos" w:cstheme="majorBidi"/>
            <w:sz w:val="16"/>
            <w:szCs w:val="16"/>
          </w:rPr>
          <w:t>https://www.phr.org.il/wp-content/uploads/2024/02/5845_Imprisoned_Paper_Eng.pdf</w:t>
        </w:r>
      </w:hyperlink>
    </w:p>
  </w:footnote>
  <w:footnote w:id="4">
    <w:p w14:paraId="490CB014"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Welcome to Hell: The Israeli Prison System as a Network of Torture Camps, </w:t>
      </w:r>
      <w:hyperlink r:id="rId4" w:history="1">
        <w:r w:rsidRPr="0091153D">
          <w:rPr>
            <w:rStyle w:val="Hyperlink"/>
            <w:rFonts w:ascii="Aptos" w:hAnsi="Aptos" w:cstheme="majorBidi"/>
            <w:sz w:val="16"/>
            <w:szCs w:val="16"/>
          </w:rPr>
          <w:t>https://shorturl.at/Wxj17</w:t>
        </w:r>
      </w:hyperlink>
    </w:p>
  </w:footnote>
  <w:footnote w:id="5">
    <w:p w14:paraId="06CBD386"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Penal Law (1977), Section 277</w:t>
      </w:r>
      <w:r w:rsidRPr="0091153D">
        <w:rPr>
          <w:rFonts w:ascii="Aptos" w:hAnsi="Aptos" w:cstheme="majorBidi"/>
          <w:sz w:val="16"/>
          <w:szCs w:val="16"/>
          <w:rtl/>
        </w:rPr>
        <w:t xml:space="preserve"> </w:t>
      </w:r>
      <w:hyperlink r:id="rId5" w:history="1">
        <w:r w:rsidRPr="0091153D">
          <w:rPr>
            <w:rStyle w:val="Hyperlink"/>
            <w:rFonts w:ascii="Aptos" w:hAnsi="Aptos" w:cstheme="majorBidi"/>
            <w:sz w:val="16"/>
            <w:szCs w:val="16"/>
          </w:rPr>
          <w:t>https://tinyurl.com/mppf5zrj</w:t>
        </w:r>
      </w:hyperlink>
    </w:p>
  </w:footnote>
  <w:footnote w:id="6">
    <w:p w14:paraId="547E7081"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Inside Israel’s ‘torture’ jails where Palestinians held without charge tell of brutal treatment, </w:t>
      </w:r>
      <w:hyperlink r:id="rId6" w:history="1">
        <w:r w:rsidRPr="0091153D">
          <w:rPr>
            <w:rStyle w:val="Hyperlink"/>
            <w:rFonts w:ascii="Aptos" w:hAnsi="Aptos" w:cstheme="majorBidi"/>
            <w:sz w:val="16"/>
            <w:szCs w:val="16"/>
          </w:rPr>
          <w:t>https://www.independent.co.uk/news/world/middle-east/israel-gaza-palestine-prison-west-bank-palestinians-b2705046.html</w:t>
        </w:r>
      </w:hyperlink>
    </w:p>
  </w:footnote>
  <w:footnote w:id="7">
    <w:p w14:paraId="11AEE0E1"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Inside Israel’s ‘torture’ jails where Palestinians held without charge tell of brutal treatment, </w:t>
      </w:r>
      <w:hyperlink r:id="rId7" w:history="1">
        <w:r w:rsidRPr="0091153D">
          <w:rPr>
            <w:rStyle w:val="Hyperlink"/>
            <w:rFonts w:ascii="Aptos" w:hAnsi="Aptos" w:cstheme="majorBidi"/>
            <w:sz w:val="16"/>
            <w:szCs w:val="16"/>
          </w:rPr>
          <w:t>https://www.independent.co.uk/news/world/middle-east/israel-gaza-palestine-prison-west-bank-palestinians-b2705046.html</w:t>
        </w:r>
      </w:hyperlink>
    </w:p>
  </w:footnote>
  <w:footnote w:id="8">
    <w:p w14:paraId="7CF5CD4F"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Inside Israel’s ‘torture’ jails where Palestinians held without charge tell of brutal treatment, </w:t>
      </w:r>
      <w:hyperlink r:id="rId8" w:history="1">
        <w:r w:rsidRPr="0091153D">
          <w:rPr>
            <w:rStyle w:val="Hyperlink"/>
            <w:rFonts w:ascii="Aptos" w:hAnsi="Aptos" w:cstheme="majorBidi"/>
            <w:sz w:val="16"/>
            <w:szCs w:val="16"/>
          </w:rPr>
          <w:t>https://www.independent.co.uk/news/world/middle-east/israel-gaza-palestine-prison-west-bank-palestinians-b2705046.html</w:t>
        </w:r>
      </w:hyperlink>
    </w:p>
  </w:footnote>
  <w:footnote w:id="9">
    <w:p w14:paraId="7CD24B07"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IDF charges reservist with aggravated abuse of Palestinian prisoners, </w:t>
      </w:r>
      <w:hyperlink r:id="rId9" w:history="1">
        <w:r w:rsidRPr="0091153D">
          <w:rPr>
            <w:rStyle w:val="Hyperlink"/>
            <w:rFonts w:ascii="Aptos" w:hAnsi="Aptos" w:cstheme="majorBidi"/>
            <w:sz w:val="16"/>
            <w:szCs w:val="16"/>
          </w:rPr>
          <w:t>https://tinyurl.com/37ubpfmw</w:t>
        </w:r>
      </w:hyperlink>
    </w:p>
  </w:footnote>
  <w:footnote w:id="10">
    <w:p w14:paraId="2A954B26"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w:t>
      </w:r>
      <w:r w:rsidRPr="0091153D">
        <w:rPr>
          <w:rFonts w:ascii="Aptos" w:hAnsi="Aptos" w:cstheme="majorBidi"/>
          <w:sz w:val="16"/>
          <w:szCs w:val="16"/>
          <w:lang w:bidi="ar-EG"/>
        </w:rPr>
        <w:t xml:space="preserve">Ibid </w:t>
      </w:r>
    </w:p>
  </w:footnote>
  <w:footnote w:id="11">
    <w:p w14:paraId="3C70B12B" w14:textId="77777777" w:rsidR="0091153D" w:rsidRPr="0091153D" w:rsidRDefault="0091153D" w:rsidP="0091153D">
      <w:pPr>
        <w:pStyle w:val="FootnoteText"/>
        <w:rPr>
          <w:rFonts w:ascii="Aptos" w:hAnsi="Aptos" w:cstheme="majorBidi"/>
          <w:sz w:val="16"/>
          <w:szCs w:val="16"/>
        </w:rPr>
      </w:pPr>
      <w:r w:rsidRPr="0091153D">
        <w:rPr>
          <w:rStyle w:val="FootnoteReference"/>
          <w:rFonts w:ascii="Aptos" w:hAnsi="Aptos" w:cstheme="majorBidi"/>
          <w:sz w:val="16"/>
          <w:szCs w:val="16"/>
        </w:rPr>
        <w:footnoteRef/>
      </w:r>
      <w:r w:rsidRPr="0091153D">
        <w:rPr>
          <w:rFonts w:ascii="Aptos" w:hAnsi="Aptos" w:cstheme="majorBidi"/>
          <w:sz w:val="16"/>
          <w:szCs w:val="16"/>
        </w:rPr>
        <w:t xml:space="preserve"> </w:t>
      </w:r>
      <w:r w:rsidRPr="0091153D">
        <w:rPr>
          <w:rFonts w:ascii="Aptos" w:hAnsi="Aptos" w:cstheme="majorBidi"/>
          <w:sz w:val="16"/>
          <w:szCs w:val="16"/>
          <w:lang w:bidi="ar-EG"/>
        </w:rPr>
        <w:t xml:space="preserve">Israel closes down or leaves unresolved 88% of cases of alleged war crimes or abuse – report, </w:t>
      </w:r>
      <w:hyperlink r:id="rId10" w:history="1">
        <w:r w:rsidRPr="0091153D">
          <w:rPr>
            <w:rStyle w:val="Hyperlink"/>
            <w:rFonts w:ascii="Aptos" w:hAnsi="Aptos" w:cstheme="majorBidi"/>
            <w:sz w:val="16"/>
            <w:szCs w:val="16"/>
            <w:lang w:bidi="ar-EG"/>
          </w:rPr>
          <w:t>https://www.theguardian.com/world/2025/aug/02/idf-no-fault-conclusion-alleged-war-abuse-cases-report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635A25"/>
    <w:multiLevelType w:val="hybridMultilevel"/>
    <w:tmpl w:val="552CC9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251A6C"/>
    <w:multiLevelType w:val="multilevel"/>
    <w:tmpl w:val="AB3A5FB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5"/>
  </w:num>
  <w:num w:numId="3" w16cid:durableId="1057122983">
    <w:abstractNumId w:val="26"/>
  </w:num>
  <w:num w:numId="4" w16cid:durableId="599484416">
    <w:abstractNumId w:val="13"/>
  </w:num>
  <w:num w:numId="5" w16cid:durableId="221990767">
    <w:abstractNumId w:val="29"/>
  </w:num>
  <w:num w:numId="6" w16cid:durableId="1184974759">
    <w:abstractNumId w:val="2"/>
  </w:num>
  <w:num w:numId="7" w16cid:durableId="719747233">
    <w:abstractNumId w:val="8"/>
  </w:num>
  <w:num w:numId="8" w16cid:durableId="2082218265">
    <w:abstractNumId w:val="16"/>
  </w:num>
  <w:num w:numId="9" w16cid:durableId="44522668">
    <w:abstractNumId w:val="18"/>
  </w:num>
  <w:num w:numId="10" w16cid:durableId="384570591">
    <w:abstractNumId w:val="20"/>
  </w:num>
  <w:num w:numId="11" w16cid:durableId="955409921">
    <w:abstractNumId w:val="1"/>
  </w:num>
  <w:num w:numId="12" w16cid:durableId="329604790">
    <w:abstractNumId w:val="0"/>
  </w:num>
  <w:num w:numId="13" w16cid:durableId="499975853">
    <w:abstractNumId w:val="21"/>
  </w:num>
  <w:num w:numId="14" w16cid:durableId="933244681">
    <w:abstractNumId w:val="24"/>
  </w:num>
  <w:num w:numId="15" w16cid:durableId="1029186210">
    <w:abstractNumId w:val="27"/>
  </w:num>
  <w:num w:numId="16" w16cid:durableId="510409883">
    <w:abstractNumId w:val="25"/>
  </w:num>
  <w:num w:numId="17" w16cid:durableId="1424718560">
    <w:abstractNumId w:val="5"/>
  </w:num>
  <w:num w:numId="18" w16cid:durableId="1266771858">
    <w:abstractNumId w:val="19"/>
  </w:num>
  <w:num w:numId="19" w16cid:durableId="1307006074">
    <w:abstractNumId w:val="7"/>
  </w:num>
  <w:num w:numId="20" w16cid:durableId="596136773">
    <w:abstractNumId w:val="12"/>
  </w:num>
  <w:num w:numId="21" w16cid:durableId="31420069">
    <w:abstractNumId w:val="9"/>
  </w:num>
  <w:num w:numId="22" w16cid:durableId="334383903">
    <w:abstractNumId w:val="28"/>
  </w:num>
  <w:num w:numId="23" w16cid:durableId="1430659545">
    <w:abstractNumId w:val="10"/>
  </w:num>
  <w:num w:numId="24" w16cid:durableId="155460974">
    <w:abstractNumId w:val="22"/>
  </w:num>
  <w:num w:numId="25" w16cid:durableId="722827196">
    <w:abstractNumId w:val="4"/>
  </w:num>
  <w:num w:numId="26" w16cid:durableId="2024890808">
    <w:abstractNumId w:val="17"/>
  </w:num>
  <w:num w:numId="27" w16cid:durableId="570501625">
    <w:abstractNumId w:val="11"/>
  </w:num>
  <w:num w:numId="28" w16cid:durableId="1337419106">
    <w:abstractNumId w:val="6"/>
  </w:num>
  <w:num w:numId="29" w16cid:durableId="762995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822955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66AE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17D0"/>
    <w:rsid w:val="00204088"/>
    <w:rsid w:val="0021413B"/>
    <w:rsid w:val="00220D6B"/>
    <w:rsid w:val="00265110"/>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417DA"/>
    <w:rsid w:val="00756631"/>
    <w:rsid w:val="007719B0"/>
    <w:rsid w:val="00774046"/>
    <w:rsid w:val="007809DA"/>
    <w:rsid w:val="0078773E"/>
    <w:rsid w:val="007A3308"/>
    <w:rsid w:val="007A5537"/>
    <w:rsid w:val="007D795E"/>
    <w:rsid w:val="007E687B"/>
    <w:rsid w:val="0080014F"/>
    <w:rsid w:val="00832E45"/>
    <w:rsid w:val="0085336D"/>
    <w:rsid w:val="008738FB"/>
    <w:rsid w:val="0087723C"/>
    <w:rsid w:val="00877E2D"/>
    <w:rsid w:val="008A1847"/>
    <w:rsid w:val="008C49F7"/>
    <w:rsid w:val="008D520A"/>
    <w:rsid w:val="008F2735"/>
    <w:rsid w:val="00904745"/>
    <w:rsid w:val="0091153D"/>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A7222"/>
    <w:rsid w:val="00EB2133"/>
    <w:rsid w:val="00EC41C9"/>
    <w:rsid w:val="00ED1E5C"/>
    <w:rsid w:val="00EE156B"/>
    <w:rsid w:val="00F154A1"/>
    <w:rsid w:val="00F44F63"/>
    <w:rsid w:val="00F4689D"/>
    <w:rsid w:val="00F51CA0"/>
    <w:rsid w:val="00F854B3"/>
    <w:rsid w:val="00F86E04"/>
    <w:rsid w:val="00F86F47"/>
    <w:rsid w:val="00FB1391"/>
    <w:rsid w:val="00FB2237"/>
    <w:rsid w:val="00FB3D68"/>
    <w:rsid w:val="00FC11B4"/>
    <w:rsid w:val="00FC312B"/>
    <w:rsid w:val="00FC5DBF"/>
    <w:rsid w:val="00FD7EF0"/>
    <w:rsid w:val="00FE6E15"/>
    <w:rsid w:val="00FE781D"/>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477598">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independent.co.uk/news/world/middle-east/israel-gaza-palestine-prison-west-bank-palestinians-b2705046.html" TargetMode="External"/><Relationship Id="rId3" Type="http://schemas.openxmlformats.org/officeDocument/2006/relationships/hyperlink" Target="https://www.phr.org.il/wp-content/uploads/2024/02/5845_Imprisoned_Paper_Eng.pdf" TargetMode="External"/><Relationship Id="rId7" Type="http://schemas.openxmlformats.org/officeDocument/2006/relationships/hyperlink" Target="https://www.independent.co.uk/news/world/middle-east/israel-gaza-palestine-prison-west-bank-palestinians-b2705046.html" TargetMode="External"/><Relationship Id="rId2" Type="http://schemas.openxmlformats.org/officeDocument/2006/relationships/hyperlink" Target="https://tinyurl.com/mryzfk3n" TargetMode="External"/><Relationship Id="rId1" Type="http://schemas.openxmlformats.org/officeDocument/2006/relationships/hyperlink" Target="https://tinyurl.com/mwu4ja2p" TargetMode="External"/><Relationship Id="rId6" Type="http://schemas.openxmlformats.org/officeDocument/2006/relationships/hyperlink" Target="https://www.independent.co.uk/news/world/middle-east/israel-gaza-palestine-prison-west-bank-palestinians-b2705046.html" TargetMode="External"/><Relationship Id="rId5" Type="http://schemas.openxmlformats.org/officeDocument/2006/relationships/hyperlink" Target="https://tinyurl.com/mppf5zrj" TargetMode="External"/><Relationship Id="rId10" Type="http://schemas.openxmlformats.org/officeDocument/2006/relationships/hyperlink" Target="https://www.theguardian.com/world/2025/aug/02/idf-no-fault-conclusion-alleged-war-abuse-cases-report" TargetMode="External"/><Relationship Id="rId4" Type="http://schemas.openxmlformats.org/officeDocument/2006/relationships/hyperlink" Target="https://shorturl.at/Wxj17" TargetMode="External"/><Relationship Id="rId9" Type="http://schemas.openxmlformats.org/officeDocument/2006/relationships/hyperlink" Target="https://tinyurl.com/37ubpfm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5</Pages>
  <Words>1926</Words>
  <Characters>11036</Characters>
  <Application>Microsoft Office Word</Application>
  <DocSecurity>0</DocSecurity>
  <Lines>91</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Jack Pope</cp:lastModifiedBy>
  <cp:revision>4</cp:revision>
  <dcterms:created xsi:type="dcterms:W3CDTF">2025-10-11T11:53:00Z</dcterms:created>
  <dcterms:modified xsi:type="dcterms:W3CDTF">2025-10-21T10:21:00Z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