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77B6" w:rsidRDefault="008277B6">
      <w:pPr>
        <w:ind w:left="2880"/>
        <w:jc w:val="both"/>
        <w:rPr>
          <w:rFonts w:ascii="Garamond" w:eastAsia="Garamond" w:hAnsi="Garamond" w:cs="Garamond"/>
        </w:rPr>
      </w:pPr>
      <w:bookmarkStart w:id="0" w:name="_GoBack"/>
      <w:bookmarkEnd w:id="0"/>
    </w:p>
    <w:p w:rsidR="008277B6" w:rsidRDefault="00406128">
      <w:pPr>
        <w:ind w:left="2880"/>
        <w:jc w:val="both"/>
        <w:rPr>
          <w:rFonts w:ascii="Garamond" w:eastAsia="Garamond" w:hAnsi="Garamond" w:cs="Garamond"/>
          <w:b/>
        </w:rPr>
      </w:pPr>
      <w:r>
        <w:rPr>
          <w:rFonts w:ascii="Garamond" w:eastAsia="Garamond" w:hAnsi="Garamond" w:cs="Garamond"/>
        </w:rPr>
        <w:t xml:space="preserve">Shadow report submitted by </w:t>
      </w:r>
      <w:r>
        <w:rPr>
          <w:rFonts w:ascii="Garamond" w:eastAsia="Garamond" w:hAnsi="Garamond" w:cs="Garamond"/>
          <w:b/>
        </w:rPr>
        <w:t>GELEDÉS – Instituto da Mulher Negra</w:t>
      </w:r>
      <w:r>
        <w:rPr>
          <w:rFonts w:ascii="Garamond" w:eastAsia="Garamond" w:hAnsi="Garamond" w:cs="Garamond"/>
          <w:vertAlign w:val="superscript"/>
        </w:rPr>
        <w:footnoteReference w:id="1"/>
      </w:r>
      <w:r>
        <w:rPr>
          <w:rFonts w:ascii="Garamond" w:eastAsia="Garamond" w:hAnsi="Garamond" w:cs="Garamond"/>
        </w:rPr>
        <w:t xml:space="preserve"> for the </w:t>
      </w:r>
      <w:r>
        <w:rPr>
          <w:rFonts w:ascii="Garamond" w:eastAsia="Garamond" w:hAnsi="Garamond" w:cs="Garamond"/>
          <w:b/>
        </w:rPr>
        <w:t>76</w:t>
      </w:r>
      <w:r>
        <w:rPr>
          <w:rFonts w:ascii="Garamond" w:eastAsia="Garamond" w:hAnsi="Garamond" w:cs="Garamond"/>
          <w:b/>
          <w:vertAlign w:val="superscript"/>
        </w:rPr>
        <w:t>th</w:t>
      </w:r>
      <w:r>
        <w:rPr>
          <w:rFonts w:ascii="Garamond" w:eastAsia="Garamond" w:hAnsi="Garamond" w:cs="Garamond"/>
          <w:b/>
        </w:rPr>
        <w:t xml:space="preserve"> session of the Committee against Torture (CAT)</w:t>
      </w:r>
      <w:r>
        <w:rPr>
          <w:rFonts w:ascii="Garamond" w:eastAsia="Garamond" w:hAnsi="Garamond" w:cs="Garamond"/>
        </w:rPr>
        <w:t xml:space="preserve"> regarding the examination of the 2</w:t>
      </w:r>
      <w:r>
        <w:rPr>
          <w:rFonts w:ascii="Garamond" w:eastAsia="Garamond" w:hAnsi="Garamond" w:cs="Garamond"/>
          <w:vertAlign w:val="superscript"/>
        </w:rPr>
        <w:t>nd</w:t>
      </w:r>
      <w:r>
        <w:rPr>
          <w:rFonts w:ascii="Garamond" w:eastAsia="Garamond" w:hAnsi="Garamond" w:cs="Garamond"/>
        </w:rPr>
        <w:t xml:space="preserve"> periodic report presented by Brazil under the terms of article 19 of the Convention, in Geneva, April 17</w:t>
      </w:r>
      <w:r>
        <w:rPr>
          <w:rFonts w:ascii="Garamond" w:eastAsia="Garamond" w:hAnsi="Garamond" w:cs="Garamond"/>
          <w:vertAlign w:val="superscript"/>
        </w:rPr>
        <w:t>th</w:t>
      </w:r>
      <w:r>
        <w:rPr>
          <w:rFonts w:ascii="Garamond" w:eastAsia="Garamond" w:hAnsi="Garamond" w:cs="Garamond"/>
        </w:rPr>
        <w:t xml:space="preserve"> to May 12</w:t>
      </w:r>
      <w:r>
        <w:rPr>
          <w:rFonts w:ascii="Garamond" w:eastAsia="Garamond" w:hAnsi="Garamond" w:cs="Garamond"/>
          <w:vertAlign w:val="superscript"/>
        </w:rPr>
        <w:t>nd</w:t>
      </w:r>
      <w:r>
        <w:rPr>
          <w:rFonts w:ascii="Garamond" w:eastAsia="Garamond" w:hAnsi="Garamond" w:cs="Garamond"/>
        </w:rPr>
        <w:t>, 2023.</w:t>
      </w:r>
    </w:p>
    <w:p w:rsidR="008277B6" w:rsidRDefault="008277B6">
      <w:pPr>
        <w:jc w:val="both"/>
        <w:rPr>
          <w:rFonts w:ascii="Garamond" w:eastAsia="Garamond" w:hAnsi="Garamond" w:cs="Garamond"/>
          <w:highlight w:val="white"/>
        </w:rPr>
      </w:pPr>
    </w:p>
    <w:p w:rsidR="008277B6" w:rsidRDefault="00406128">
      <w:pPr>
        <w:pStyle w:val="Heading1"/>
        <w:spacing w:before="0" w:after="0"/>
        <w:rPr>
          <w:rFonts w:ascii="Franklin Gothic" w:eastAsia="Franklin Gothic" w:hAnsi="Franklin Gothic" w:cs="Franklin Gothic"/>
          <w:b/>
          <w:sz w:val="20"/>
          <w:szCs w:val="20"/>
        </w:rPr>
      </w:pPr>
      <w:bookmarkStart w:id="1" w:name="_heading=h.xhp6tcqbqzct" w:colFirst="0" w:colLast="0"/>
      <w:bookmarkEnd w:id="1"/>
      <w:r>
        <w:rPr>
          <w:rFonts w:ascii="Libre Franklin Medium" w:eastAsia="Libre Franklin Medium" w:hAnsi="Libre Franklin Medium" w:cs="Libre Franklin Medium"/>
          <w:b/>
          <w:sz w:val="36"/>
          <w:szCs w:val="36"/>
        </w:rPr>
        <w:t xml:space="preserve">Introduction </w:t>
      </w:r>
    </w:p>
    <w:p w:rsidR="008277B6" w:rsidRDefault="008277B6">
      <w:pPr>
        <w:ind w:firstLine="720"/>
        <w:jc w:val="both"/>
        <w:rPr>
          <w:rFonts w:ascii="Garamond" w:eastAsia="Garamond" w:hAnsi="Garamond" w:cs="Garamond"/>
          <w:highlight w:val="white"/>
        </w:rPr>
      </w:pPr>
    </w:p>
    <w:p w:rsidR="008277B6" w:rsidRDefault="00406128">
      <w:pPr>
        <w:numPr>
          <w:ilvl w:val="0"/>
          <w:numId w:val="2"/>
        </w:numPr>
        <w:jc w:val="both"/>
        <w:rPr>
          <w:rFonts w:ascii="Garamond" w:eastAsia="Garamond" w:hAnsi="Garamond" w:cs="Garamond"/>
          <w:b/>
        </w:rPr>
      </w:pPr>
      <w:r>
        <w:rPr>
          <w:rFonts w:ascii="Garamond" w:eastAsia="Garamond" w:hAnsi="Garamond" w:cs="Garamond"/>
          <w:highlight w:val="white"/>
        </w:rPr>
        <w:t xml:space="preserve">The </w:t>
      </w:r>
      <w:r>
        <w:rPr>
          <w:rFonts w:ascii="Garamond" w:eastAsia="Garamond" w:hAnsi="Garamond" w:cs="Garamond"/>
          <w:b/>
          <w:highlight w:val="white"/>
        </w:rPr>
        <w:t>Convention against Torture and other Cruel, Inhuman or Degrading Treatment or Punishment</w:t>
      </w:r>
      <w:r>
        <w:rPr>
          <w:rFonts w:ascii="Garamond" w:eastAsia="Garamond" w:hAnsi="Garamond" w:cs="Garamond"/>
          <w:highlight w:val="white"/>
        </w:rPr>
        <w:t xml:space="preserve">, adopted by the United Nations (UN) in 1984 and ratified by Brazil in 1989, represents an important instrument for the protection of human rights. In </w:t>
      </w:r>
      <w:r>
        <w:rPr>
          <w:rFonts w:ascii="Garamond" w:eastAsia="Garamond" w:hAnsi="Garamond" w:cs="Garamond"/>
        </w:rPr>
        <w:t xml:space="preserve">this shadow report, </w:t>
      </w:r>
      <w:r>
        <w:rPr>
          <w:rFonts w:ascii="Garamond" w:eastAsia="Garamond" w:hAnsi="Garamond" w:cs="Garamond"/>
          <w:b/>
          <w:highlight w:val="white"/>
        </w:rPr>
        <w:t xml:space="preserve">Geledés </w:t>
      </w:r>
      <w:r>
        <w:rPr>
          <w:rFonts w:ascii="Garamond" w:eastAsia="Garamond" w:hAnsi="Garamond" w:cs="Garamond"/>
          <w:b/>
        </w:rPr>
        <w:t>–</w:t>
      </w:r>
      <w:r>
        <w:rPr>
          <w:rFonts w:ascii="Garamond" w:eastAsia="Garamond" w:hAnsi="Garamond" w:cs="Garamond"/>
          <w:b/>
          <w:highlight w:val="white"/>
        </w:rPr>
        <w:t xml:space="preserve"> Instituto da Mulher Negra</w:t>
      </w:r>
      <w:r>
        <w:rPr>
          <w:rFonts w:ascii="Garamond" w:eastAsia="Garamond" w:hAnsi="Garamond" w:cs="Garamond"/>
          <w:highlight w:val="white"/>
        </w:rPr>
        <w:t xml:space="preserve">, seeks to contribute to the Convention's monitoring process, provide data, and identify systematic violations and emblematic cases of torture </w:t>
      </w:r>
      <w:r>
        <w:rPr>
          <w:rFonts w:ascii="Garamond" w:eastAsia="Garamond" w:hAnsi="Garamond" w:cs="Garamond"/>
          <w:b/>
          <w:highlight w:val="white"/>
        </w:rPr>
        <w:t>against the black population in Brazil</w:t>
      </w:r>
      <w:r>
        <w:rPr>
          <w:rFonts w:ascii="Garamond" w:eastAsia="Garamond" w:hAnsi="Garamond" w:cs="Garamond"/>
          <w:highlight w:val="white"/>
        </w:rPr>
        <w:t>. In Brazilian society, black people, historically marked by slavery, live in a reality founded on structural and institutional racism that sustains</w:t>
      </w:r>
      <w:r>
        <w:rPr>
          <w:rFonts w:ascii="Garamond" w:eastAsia="Garamond" w:hAnsi="Garamond" w:cs="Garamond"/>
        </w:rPr>
        <w:t xml:space="preserve"> its own </w:t>
      </w:r>
      <w:r>
        <w:rPr>
          <w:rFonts w:ascii="Garamond" w:eastAsia="Garamond" w:hAnsi="Garamond" w:cs="Garamond"/>
          <w:highlight w:val="white"/>
        </w:rPr>
        <w:t>extermination.</w:t>
      </w:r>
    </w:p>
    <w:p w:rsidR="008277B6" w:rsidRDefault="00406128">
      <w:pPr>
        <w:numPr>
          <w:ilvl w:val="0"/>
          <w:numId w:val="2"/>
        </w:numPr>
        <w:jc w:val="both"/>
        <w:rPr>
          <w:rFonts w:ascii="Garamond" w:eastAsia="Garamond" w:hAnsi="Garamond" w:cs="Garamond"/>
          <w:b/>
        </w:rPr>
      </w:pPr>
      <w:r>
        <w:rPr>
          <w:rFonts w:ascii="Garamond" w:eastAsia="Garamond" w:hAnsi="Garamond" w:cs="Garamond"/>
          <w:highlight w:val="white"/>
        </w:rPr>
        <w:t>In the late 1980s, with the end of the military dictatorship (1964-1985), a political regime marked by human rights violations - especially torture and other cruel and degrading treatments - the country was experiencing a political transition. In the</w:t>
      </w:r>
      <w:r>
        <w:rPr>
          <w:rFonts w:ascii="Garamond" w:eastAsia="Garamond" w:hAnsi="Garamond" w:cs="Garamond"/>
        </w:rPr>
        <w:t xml:space="preserve"> re-democratization process, Brazil</w:t>
      </w:r>
      <w:r>
        <w:rPr>
          <w:rFonts w:ascii="Garamond" w:eastAsia="Garamond" w:hAnsi="Garamond" w:cs="Garamond"/>
          <w:highlight w:val="white"/>
        </w:rPr>
        <w:t xml:space="preserve"> faced a series of social, political, and economic challenges, including high rates of violence, discrimination, and social inequalities. Undoubtedly, the ratification of the Convention represented, in that context, an important advance in the promotion and protection of human rights.</w:t>
      </w:r>
    </w:p>
    <w:p w:rsidR="008277B6" w:rsidRDefault="00406128">
      <w:pPr>
        <w:numPr>
          <w:ilvl w:val="0"/>
          <w:numId w:val="2"/>
        </w:numPr>
        <w:jc w:val="both"/>
        <w:rPr>
          <w:rFonts w:ascii="Garamond" w:eastAsia="Garamond" w:hAnsi="Garamond" w:cs="Garamond"/>
          <w:b/>
        </w:rPr>
      </w:pPr>
      <w:r>
        <w:rPr>
          <w:rFonts w:ascii="Garamond" w:eastAsia="Garamond" w:hAnsi="Garamond" w:cs="Garamond"/>
          <w:highlight w:val="white"/>
        </w:rPr>
        <w:t xml:space="preserve">Nevertheless having committed to adopting effective measures to prevent and combat torture, such as the guarantee of the accountability of perpetrators of human rights violations, Brazil still lives in a reality marked by severe violations of human rights, including the practice of torture and other inhuman or degrading treatment. </w:t>
      </w:r>
      <w:r>
        <w:rPr>
          <w:rFonts w:ascii="Garamond" w:eastAsia="Garamond" w:hAnsi="Garamond" w:cs="Garamond"/>
          <w:b/>
          <w:highlight w:val="white"/>
        </w:rPr>
        <w:t>Targeting black people</w:t>
      </w:r>
      <w:r>
        <w:rPr>
          <w:rFonts w:ascii="Garamond" w:eastAsia="Garamond" w:hAnsi="Garamond" w:cs="Garamond"/>
          <w:highlight w:val="white"/>
        </w:rPr>
        <w:t>, the institutionalized practice of torture and human rights violations has contributed to the project of extermination of this population, which constitutes 54% of the Brazilian population. Police violence, in particular, has been a recurrent problem in the country, with cases of abuse of authority and extrajudicial executions against black people being regularly denounced by organized civil society.</w:t>
      </w:r>
    </w:p>
    <w:p w:rsidR="008277B6" w:rsidRDefault="00406128">
      <w:pPr>
        <w:numPr>
          <w:ilvl w:val="0"/>
          <w:numId w:val="2"/>
        </w:numPr>
        <w:pBdr>
          <w:top w:val="nil"/>
          <w:left w:val="nil"/>
          <w:bottom w:val="nil"/>
          <w:right w:val="nil"/>
          <w:between w:val="nil"/>
        </w:pBdr>
        <w:jc w:val="both"/>
        <w:rPr>
          <w:rFonts w:ascii="Garamond" w:eastAsia="Garamond" w:hAnsi="Garamond" w:cs="Garamond"/>
          <w:b/>
        </w:rPr>
      </w:pPr>
      <w:r>
        <w:rPr>
          <w:rFonts w:ascii="Garamond" w:eastAsia="Garamond" w:hAnsi="Garamond" w:cs="Garamond"/>
          <w:highlight w:val="white"/>
        </w:rPr>
        <w:t xml:space="preserve">In this context, it is important to emphasize that Law 6,683/1979, which broadly granted </w:t>
      </w:r>
      <w:r>
        <w:rPr>
          <w:rFonts w:ascii="Garamond" w:eastAsia="Garamond" w:hAnsi="Garamond" w:cs="Garamond"/>
          <w:b/>
          <w:highlight w:val="white"/>
        </w:rPr>
        <w:t>amnesty</w:t>
      </w:r>
      <w:r>
        <w:rPr>
          <w:rFonts w:ascii="Garamond" w:eastAsia="Garamond" w:hAnsi="Garamond" w:cs="Garamond"/>
          <w:highlight w:val="white"/>
        </w:rPr>
        <w:t xml:space="preserve"> between 1961 and 1979, remains in force, which is a concern already expressed by the Committee against Torture (CAT/C/BRA/Q/2, n.4). The creation of the </w:t>
      </w:r>
      <w:r>
        <w:rPr>
          <w:rFonts w:ascii="Garamond" w:eastAsia="Garamond" w:hAnsi="Garamond" w:cs="Garamond"/>
          <w:b/>
        </w:rPr>
        <w:t>National Truth Commission</w:t>
      </w:r>
      <w:r>
        <w:rPr>
          <w:rFonts w:ascii="Garamond" w:eastAsia="Garamond" w:hAnsi="Garamond" w:cs="Garamond"/>
          <w:highlight w:val="white"/>
        </w:rPr>
        <w:t>, through Law No. 12,528/2011, was an important milestone in the investigation of serious violations of Human Rights that occurred in the period.</w:t>
      </w:r>
      <w:r>
        <w:rPr>
          <w:rFonts w:ascii="Garamond" w:eastAsia="Garamond" w:hAnsi="Garamond" w:cs="Garamond"/>
          <w:highlight w:val="white"/>
          <w:vertAlign w:val="superscript"/>
        </w:rPr>
        <w:footnoteReference w:id="2"/>
      </w:r>
      <w:r>
        <w:rPr>
          <w:rFonts w:ascii="Garamond" w:eastAsia="Garamond" w:hAnsi="Garamond" w:cs="Garamond"/>
          <w:highlight w:val="white"/>
        </w:rPr>
        <w:t xml:space="preserve"> However, most of the recommendations made by the Commission in its final report, from 2014, were not complied with by the State, especially those concerning accountability and prevention.</w:t>
      </w:r>
      <w:r>
        <w:rPr>
          <w:rFonts w:ascii="Garamond" w:eastAsia="Garamond" w:hAnsi="Garamond" w:cs="Garamond"/>
          <w:highlight w:val="white"/>
          <w:vertAlign w:val="superscript"/>
        </w:rPr>
        <w:footnoteReference w:id="3"/>
      </w:r>
      <w:r>
        <w:rPr>
          <w:rFonts w:ascii="Garamond" w:eastAsia="Garamond" w:hAnsi="Garamond" w:cs="Garamond"/>
          <w:highlight w:val="white"/>
        </w:rPr>
        <w:t xml:space="preserve"> The Brazilian State was sued in the inter-American human rights system, through the case of </w:t>
      </w:r>
      <w:r>
        <w:rPr>
          <w:rFonts w:ascii="Garamond" w:eastAsia="Garamond" w:hAnsi="Garamond" w:cs="Garamond"/>
          <w:b/>
          <w:highlight w:val="white"/>
        </w:rPr>
        <w:t>Gomes Lund et al. (“Guerrilha do Araguaia”) v. Brazil,</w:t>
      </w:r>
      <w:r>
        <w:rPr>
          <w:rFonts w:ascii="Garamond" w:eastAsia="Garamond" w:hAnsi="Garamond" w:cs="Garamond"/>
          <w:b/>
          <w:highlight w:val="white"/>
          <w:vertAlign w:val="superscript"/>
        </w:rPr>
        <w:footnoteReference w:id="4"/>
      </w:r>
      <w:r>
        <w:rPr>
          <w:rFonts w:ascii="Garamond" w:eastAsia="Garamond" w:hAnsi="Garamond" w:cs="Garamond"/>
          <w:b/>
          <w:highlight w:val="white"/>
        </w:rPr>
        <w:t xml:space="preserve"> which was submitted by the </w:t>
      </w:r>
      <w:r>
        <w:rPr>
          <w:rFonts w:ascii="Garamond" w:eastAsia="Garamond" w:hAnsi="Garamond" w:cs="Garamond"/>
          <w:b/>
        </w:rPr>
        <w:t>Inter-American Commission on Human Rights to t</w:t>
      </w:r>
      <w:r>
        <w:rPr>
          <w:rFonts w:ascii="Garamond" w:eastAsia="Garamond" w:hAnsi="Garamond" w:cs="Garamond"/>
          <w:b/>
          <w:highlight w:val="white"/>
        </w:rPr>
        <w:t>he jurisdiction of the</w:t>
      </w:r>
      <w:r>
        <w:rPr>
          <w:rFonts w:ascii="Garamond" w:eastAsia="Garamond" w:hAnsi="Garamond" w:cs="Garamond"/>
          <w:b/>
        </w:rPr>
        <w:t xml:space="preserve"> Inter-American Court of Human Rights </w:t>
      </w:r>
      <w:r>
        <w:rPr>
          <w:rFonts w:ascii="Garamond" w:eastAsia="Garamond" w:hAnsi="Garamond" w:cs="Garamond"/>
          <w:b/>
          <w:highlight w:val="white"/>
        </w:rPr>
        <w:t>due to the State's inaction in complying with its recommendations</w:t>
      </w:r>
      <w:r>
        <w:rPr>
          <w:rFonts w:ascii="Garamond" w:eastAsia="Garamond" w:hAnsi="Garamond" w:cs="Garamond"/>
          <w:highlight w:val="white"/>
        </w:rPr>
        <w:t xml:space="preserve">. In opposite direction completely, Jair Bolsoxnaro, while still a </w:t>
      </w:r>
      <w:r>
        <w:rPr>
          <w:rFonts w:ascii="Garamond" w:eastAsia="Garamond" w:hAnsi="Garamond" w:cs="Garamond"/>
        </w:rPr>
        <w:t>Federal Deputy, ke</w:t>
      </w:r>
      <w:r>
        <w:rPr>
          <w:rFonts w:ascii="Garamond" w:eastAsia="Garamond" w:hAnsi="Garamond" w:cs="Garamond"/>
          <w:highlight w:val="white"/>
        </w:rPr>
        <w:t xml:space="preserve">pt a poster on the door of </w:t>
      </w:r>
      <w:r>
        <w:rPr>
          <w:rFonts w:ascii="Garamond" w:eastAsia="Garamond" w:hAnsi="Garamond" w:cs="Garamond"/>
          <w:highlight w:val="white"/>
        </w:rPr>
        <w:lastRenderedPageBreak/>
        <w:t>his office with the message “Those who look for bones are dogs” (Annex 2). As President of the Republic (2019-2022), in the first months of his term, Bolsonaro's measures impacted the search for memory, truth, and justice, such as the extinction of the Perus Working Group, which identified the bodies of victims of politically motivated enforced disappearances in São Paulo, through Decree 9,759 of 2019.</w:t>
      </w:r>
      <w:r>
        <w:rPr>
          <w:rFonts w:ascii="Garamond" w:eastAsia="Garamond" w:hAnsi="Garamond" w:cs="Garamond"/>
          <w:highlight w:val="white"/>
          <w:vertAlign w:val="superscript"/>
        </w:rPr>
        <w:footnoteReference w:id="5"/>
      </w:r>
      <w:r>
        <w:rPr>
          <w:rFonts w:ascii="Garamond" w:eastAsia="Garamond" w:hAnsi="Garamond" w:cs="Garamond"/>
          <w:highlight w:val="white"/>
        </w:rPr>
        <w:t xml:space="preserve"> </w:t>
      </w:r>
    </w:p>
    <w:p w:rsidR="008277B6" w:rsidRDefault="00406128">
      <w:pPr>
        <w:numPr>
          <w:ilvl w:val="0"/>
          <w:numId w:val="2"/>
        </w:numPr>
        <w:jc w:val="both"/>
        <w:rPr>
          <w:rFonts w:ascii="Garamond" w:eastAsia="Garamond" w:hAnsi="Garamond" w:cs="Garamond"/>
          <w:b/>
        </w:rPr>
      </w:pPr>
      <w:r>
        <w:rPr>
          <w:rFonts w:ascii="Garamond" w:eastAsia="Garamond" w:hAnsi="Garamond" w:cs="Garamond"/>
          <w:highlight w:val="white"/>
        </w:rPr>
        <w:t xml:space="preserve">The purpose of this report is primarily to assess whether the Brazilian State is fulfilling or not its obligations towards the </w:t>
      </w:r>
      <w:r>
        <w:rPr>
          <w:rFonts w:ascii="Garamond" w:eastAsia="Garamond" w:hAnsi="Garamond" w:cs="Garamond"/>
          <w:b/>
          <w:highlight w:val="white"/>
        </w:rPr>
        <w:t>black population of the country</w:t>
      </w:r>
      <w:r>
        <w:rPr>
          <w:rFonts w:ascii="Garamond" w:eastAsia="Garamond" w:hAnsi="Garamond" w:cs="Garamond"/>
          <w:highlight w:val="white"/>
        </w:rPr>
        <w:t>, as ratified in the Convention against Torture, comprehending the period between 2000 and 2023, conducting an analysis based on data, documents, illustrative cases and in the monitoring of public policies. This document dialogues with the information presented in the 2</w:t>
      </w:r>
      <w:r>
        <w:rPr>
          <w:rFonts w:ascii="Garamond" w:eastAsia="Garamond" w:hAnsi="Garamond" w:cs="Garamond"/>
          <w:highlight w:val="white"/>
          <w:vertAlign w:val="superscript"/>
        </w:rPr>
        <w:t>nd</w:t>
      </w:r>
      <w:r>
        <w:rPr>
          <w:rFonts w:ascii="Garamond" w:eastAsia="Garamond" w:hAnsi="Garamond" w:cs="Garamond"/>
          <w:highlight w:val="white"/>
        </w:rPr>
        <w:t xml:space="preserve"> report submitted by the Brazilian State in 2020 (CAT/C/BRA/2), comprehending the period from 2000 to 2017, and with the </w:t>
      </w:r>
      <w:r>
        <w:rPr>
          <w:rFonts w:ascii="Garamond" w:eastAsia="Garamond" w:hAnsi="Garamond" w:cs="Garamond"/>
        </w:rPr>
        <w:t>list of questions made to</w:t>
      </w:r>
      <w:r>
        <w:rPr>
          <w:rFonts w:ascii="Garamond" w:eastAsia="Garamond" w:hAnsi="Garamond" w:cs="Garamond"/>
          <w:highlight w:val="white"/>
        </w:rPr>
        <w:t xml:space="preserve"> Brazil in the 42</w:t>
      </w:r>
      <w:r>
        <w:rPr>
          <w:rFonts w:ascii="Garamond" w:eastAsia="Garamond" w:hAnsi="Garamond" w:cs="Garamond"/>
          <w:highlight w:val="white"/>
          <w:vertAlign w:val="superscript"/>
        </w:rPr>
        <w:t>nd</w:t>
      </w:r>
      <w:r>
        <w:rPr>
          <w:rFonts w:ascii="Garamond" w:eastAsia="Garamond" w:hAnsi="Garamond" w:cs="Garamond"/>
          <w:highlight w:val="white"/>
        </w:rPr>
        <w:t xml:space="preserve"> Session of the Committee against Torture (CAT/C/BRA/Q/2) held on May 13, 2009. The report also includes, transversally, intersectional analysis (considering gender, race, and class) of Brazilian reality</w:t>
      </w:r>
      <w:r>
        <w:rPr>
          <w:rFonts w:ascii="Garamond" w:eastAsia="Garamond" w:hAnsi="Garamond" w:cs="Garamond"/>
          <w:b/>
          <w:highlight w:val="white"/>
        </w:rPr>
        <w:t xml:space="preserve"> and contemplates, in a complementary way, the commitments assumed by the Brazilian State in the Durban Programme of Action, approved at the </w:t>
      </w:r>
      <w:r>
        <w:rPr>
          <w:rFonts w:ascii="Garamond" w:eastAsia="Garamond" w:hAnsi="Garamond" w:cs="Garamond"/>
          <w:b/>
        </w:rPr>
        <w:t>III World Conference Against Racism</w:t>
      </w:r>
      <w:r>
        <w:rPr>
          <w:rFonts w:ascii="Garamond" w:eastAsia="Garamond" w:hAnsi="Garamond" w:cs="Garamond"/>
          <w:b/>
          <w:highlight w:val="white"/>
        </w:rPr>
        <w:t>.</w:t>
      </w:r>
    </w:p>
    <w:p w:rsidR="008277B6" w:rsidRDefault="00406128">
      <w:pPr>
        <w:numPr>
          <w:ilvl w:val="0"/>
          <w:numId w:val="2"/>
        </w:numPr>
        <w:jc w:val="both"/>
        <w:rPr>
          <w:rFonts w:ascii="Garamond" w:eastAsia="Garamond" w:hAnsi="Garamond" w:cs="Garamond"/>
          <w:b/>
        </w:rPr>
      </w:pPr>
      <w:r>
        <w:rPr>
          <w:rFonts w:ascii="Garamond" w:eastAsia="Garamond" w:hAnsi="Garamond" w:cs="Garamond"/>
          <w:highlight w:val="white"/>
        </w:rPr>
        <w:t xml:space="preserve">The analysis of the articles of the Convention was structured in two sections: i) </w:t>
      </w:r>
      <w:r>
        <w:rPr>
          <w:rFonts w:ascii="Garamond" w:eastAsia="Garamond" w:hAnsi="Garamond" w:cs="Garamond"/>
          <w:i/>
          <w:highlight w:val="white"/>
        </w:rPr>
        <w:t>legislation and public policies</w:t>
      </w:r>
      <w:r>
        <w:rPr>
          <w:rFonts w:ascii="Garamond" w:eastAsia="Garamond" w:hAnsi="Garamond" w:cs="Garamond"/>
          <w:highlight w:val="white"/>
        </w:rPr>
        <w:t xml:space="preserve">, which includes articles 1, 2, 10, and 16; and ii) </w:t>
      </w:r>
      <w:r>
        <w:rPr>
          <w:rFonts w:ascii="Garamond" w:eastAsia="Garamond" w:hAnsi="Garamond" w:cs="Garamond"/>
          <w:i/>
          <w:highlight w:val="white"/>
        </w:rPr>
        <w:t>criminal justice system</w:t>
      </w:r>
      <w:r>
        <w:rPr>
          <w:rFonts w:ascii="Garamond" w:eastAsia="Garamond" w:hAnsi="Garamond" w:cs="Garamond"/>
          <w:highlight w:val="white"/>
        </w:rPr>
        <w:t>, examining articles 4, 11, 12, 13, 14, and 15. At the end of each section, conclusions and related recommendations to the Brazilian State are presented.</w:t>
      </w:r>
    </w:p>
    <w:p w:rsidR="008277B6" w:rsidRDefault="008277B6">
      <w:pPr>
        <w:pStyle w:val="Heading1"/>
        <w:pBdr>
          <w:top w:val="nil"/>
          <w:left w:val="nil"/>
          <w:bottom w:val="nil"/>
          <w:right w:val="nil"/>
          <w:between w:val="nil"/>
        </w:pBdr>
        <w:spacing w:before="0" w:after="0"/>
        <w:rPr>
          <w:rFonts w:ascii="Libre Franklin Medium" w:eastAsia="Libre Franklin Medium" w:hAnsi="Libre Franklin Medium" w:cs="Libre Franklin Medium"/>
          <w:b/>
          <w:color w:val="F1C232"/>
          <w:sz w:val="36"/>
          <w:szCs w:val="36"/>
        </w:rPr>
      </w:pPr>
      <w:bookmarkStart w:id="2" w:name="_heading=h.bf37zz3o49hy" w:colFirst="0" w:colLast="0"/>
      <w:bookmarkEnd w:id="2"/>
    </w:p>
    <w:p w:rsidR="008277B6" w:rsidRDefault="00406128">
      <w:pPr>
        <w:pStyle w:val="Heading1"/>
        <w:pBdr>
          <w:top w:val="nil"/>
          <w:left w:val="nil"/>
          <w:bottom w:val="nil"/>
          <w:right w:val="nil"/>
          <w:between w:val="nil"/>
        </w:pBdr>
        <w:spacing w:before="0" w:after="0"/>
        <w:rPr>
          <w:rFonts w:ascii="Libre Franklin Medium" w:eastAsia="Libre Franklin Medium" w:hAnsi="Libre Franklin Medium" w:cs="Libre Franklin Medium"/>
          <w:b/>
          <w:color w:val="000000"/>
          <w:sz w:val="36"/>
          <w:szCs w:val="36"/>
        </w:rPr>
      </w:pPr>
      <w:bookmarkStart w:id="3" w:name="_heading=h.fmqokalxx43" w:colFirst="0" w:colLast="0"/>
      <w:bookmarkEnd w:id="3"/>
      <w:r>
        <w:rPr>
          <w:rFonts w:ascii="Libre Franklin Medium" w:eastAsia="Libre Franklin Medium" w:hAnsi="Libre Franklin Medium" w:cs="Libre Franklin Medium"/>
          <w:b/>
          <w:sz w:val="36"/>
          <w:szCs w:val="36"/>
        </w:rPr>
        <w:t>Monitoring and Recommendations to the State</w:t>
      </w:r>
    </w:p>
    <w:p w:rsidR="008277B6" w:rsidRDefault="008277B6">
      <w:pPr>
        <w:pStyle w:val="Heading2"/>
        <w:spacing w:before="0" w:after="0"/>
        <w:jc w:val="both"/>
        <w:rPr>
          <w:rFonts w:ascii="Franklin Gothic" w:eastAsia="Franklin Gothic" w:hAnsi="Franklin Gothic" w:cs="Franklin Gothic"/>
          <w:b/>
          <w:color w:val="000000"/>
          <w:sz w:val="36"/>
          <w:szCs w:val="36"/>
          <w:u w:val="single"/>
        </w:rPr>
      </w:pPr>
      <w:bookmarkStart w:id="4" w:name="_heading=h.eq2ohedjjuva" w:colFirst="0" w:colLast="0"/>
      <w:bookmarkEnd w:id="4"/>
    </w:p>
    <w:p w:rsidR="008277B6" w:rsidRDefault="00406128">
      <w:pPr>
        <w:pStyle w:val="Heading2"/>
        <w:spacing w:before="0" w:after="0"/>
        <w:jc w:val="both"/>
        <w:rPr>
          <w:rFonts w:ascii="Franklin Gothic" w:eastAsia="Franklin Gothic" w:hAnsi="Franklin Gothic" w:cs="Franklin Gothic"/>
          <w:b/>
          <w:color w:val="000000"/>
          <w:sz w:val="28"/>
          <w:szCs w:val="28"/>
        </w:rPr>
      </w:pPr>
      <w:bookmarkStart w:id="5" w:name="_heading=h.2ywz69nqglt0" w:colFirst="0" w:colLast="0"/>
      <w:bookmarkEnd w:id="5"/>
      <w:r>
        <w:rPr>
          <w:rFonts w:ascii="Franklin Gothic" w:eastAsia="Franklin Gothic" w:hAnsi="Franklin Gothic" w:cs="Franklin Gothic"/>
          <w:b/>
          <w:sz w:val="36"/>
          <w:szCs w:val="36"/>
          <w:u w:val="single"/>
        </w:rPr>
        <w:t>Legislation and Public Policies:</w:t>
      </w:r>
    </w:p>
    <w:p w:rsidR="008277B6" w:rsidRDefault="00406128">
      <w:pPr>
        <w:pStyle w:val="Heading2"/>
        <w:spacing w:before="0" w:after="0"/>
        <w:jc w:val="both"/>
        <w:rPr>
          <w:rFonts w:ascii="Franklin Gothic" w:eastAsia="Franklin Gothic" w:hAnsi="Franklin Gothic" w:cs="Franklin Gothic"/>
          <w:b/>
          <w:color w:val="000000"/>
          <w:sz w:val="28"/>
          <w:szCs w:val="28"/>
        </w:rPr>
      </w:pPr>
      <w:bookmarkStart w:id="6" w:name="_heading=h.bys2wz1ohliw" w:colFirst="0" w:colLast="0"/>
      <w:bookmarkEnd w:id="6"/>
      <w:r>
        <w:rPr>
          <w:rFonts w:ascii="Franklin Gothic" w:eastAsia="Franklin Gothic" w:hAnsi="Franklin Gothic" w:cs="Franklin Gothic"/>
          <w:b/>
          <w:sz w:val="28"/>
          <w:szCs w:val="28"/>
        </w:rPr>
        <w:t>Definition of torture (Article 1)</w:t>
      </w:r>
    </w:p>
    <w:p w:rsidR="008277B6" w:rsidRDefault="00406128">
      <w:pPr>
        <w:pStyle w:val="Heading2"/>
        <w:spacing w:before="0" w:after="0"/>
        <w:jc w:val="both"/>
        <w:rPr>
          <w:rFonts w:ascii="Franklin Gothic" w:eastAsia="Franklin Gothic" w:hAnsi="Franklin Gothic" w:cs="Franklin Gothic"/>
          <w:b/>
          <w:color w:val="000000"/>
          <w:sz w:val="28"/>
          <w:szCs w:val="28"/>
        </w:rPr>
      </w:pPr>
      <w:bookmarkStart w:id="7" w:name="_heading=h.da8oipw6dptg" w:colFirst="0" w:colLast="0"/>
      <w:bookmarkEnd w:id="7"/>
      <w:r>
        <w:rPr>
          <w:rFonts w:ascii="Franklin Gothic" w:eastAsia="Franklin Gothic" w:hAnsi="Franklin Gothic" w:cs="Franklin Gothic"/>
          <w:b/>
          <w:sz w:val="28"/>
          <w:szCs w:val="28"/>
        </w:rPr>
        <w:t>Prevention measures (Article 2)</w:t>
      </w:r>
    </w:p>
    <w:p w:rsidR="008277B6" w:rsidRDefault="00406128">
      <w:pPr>
        <w:pStyle w:val="Heading2"/>
        <w:spacing w:before="0" w:after="0"/>
        <w:jc w:val="both"/>
        <w:rPr>
          <w:rFonts w:ascii="Franklin Gothic" w:eastAsia="Franklin Gothic" w:hAnsi="Franklin Gothic" w:cs="Franklin Gothic"/>
          <w:b/>
          <w:color w:val="000000"/>
          <w:sz w:val="28"/>
          <w:szCs w:val="28"/>
        </w:rPr>
      </w:pPr>
      <w:bookmarkStart w:id="8" w:name="_heading=h.mk7oiindl6yx" w:colFirst="0" w:colLast="0"/>
      <w:bookmarkEnd w:id="8"/>
      <w:r>
        <w:rPr>
          <w:rFonts w:ascii="Franklin Gothic" w:eastAsia="Franklin Gothic" w:hAnsi="Franklin Gothic" w:cs="Franklin Gothic"/>
          <w:b/>
          <w:sz w:val="28"/>
          <w:szCs w:val="28"/>
        </w:rPr>
        <w:t>Education of professionals (Article 10)</w:t>
      </w:r>
    </w:p>
    <w:p w:rsidR="008277B6" w:rsidRDefault="00406128">
      <w:pPr>
        <w:jc w:val="both"/>
        <w:rPr>
          <w:color w:val="000000"/>
        </w:rPr>
      </w:pPr>
      <w:r>
        <w:rPr>
          <w:rFonts w:ascii="Franklin Gothic" w:eastAsia="Franklin Gothic" w:hAnsi="Franklin Gothic" w:cs="Franklin Gothic"/>
          <w:b/>
          <w:sz w:val="28"/>
          <w:szCs w:val="28"/>
        </w:rPr>
        <w:t>Cruel, inhuman, or degrading treatment or punishment (Article 16)</w:t>
      </w:r>
    </w:p>
    <w:p w:rsidR="008277B6" w:rsidRDefault="008277B6">
      <w:pPr>
        <w:jc w:val="both"/>
        <w:rPr>
          <w:rFonts w:ascii="Garamond" w:eastAsia="Garamond" w:hAnsi="Garamond" w:cs="Garamond"/>
          <w:highlight w:val="white"/>
        </w:rPr>
      </w:pPr>
    </w:p>
    <w:p w:rsidR="008277B6" w:rsidRDefault="00406128">
      <w:pPr>
        <w:numPr>
          <w:ilvl w:val="0"/>
          <w:numId w:val="2"/>
        </w:numPr>
        <w:jc w:val="both"/>
        <w:rPr>
          <w:rFonts w:ascii="Garamond" w:eastAsia="Garamond" w:hAnsi="Garamond" w:cs="Garamond"/>
          <w:b/>
        </w:rPr>
      </w:pPr>
      <w:r>
        <w:rPr>
          <w:rFonts w:ascii="Garamond" w:eastAsia="Garamond" w:hAnsi="Garamond" w:cs="Garamond"/>
          <w:highlight w:val="white"/>
        </w:rPr>
        <w:t>Law No. 12,847 of 2013 instituted</w:t>
      </w:r>
      <w:r>
        <w:rPr>
          <w:rFonts w:ascii="Garamond" w:eastAsia="Garamond" w:hAnsi="Garamond" w:cs="Garamond"/>
        </w:rPr>
        <w:t xml:space="preserve"> the </w:t>
      </w:r>
      <w:r>
        <w:rPr>
          <w:rFonts w:ascii="Garamond" w:eastAsia="Garamond" w:hAnsi="Garamond" w:cs="Garamond"/>
          <w:b/>
        </w:rPr>
        <w:t>National System to Prevent and Combat Torture (SNPCT)</w:t>
      </w:r>
      <w:r>
        <w:rPr>
          <w:rFonts w:ascii="Garamond" w:eastAsia="Garamond" w:hAnsi="Garamond" w:cs="Garamond"/>
        </w:rPr>
        <w:t xml:space="preserve">, created the </w:t>
      </w:r>
      <w:r>
        <w:rPr>
          <w:rFonts w:ascii="Garamond" w:eastAsia="Garamond" w:hAnsi="Garamond" w:cs="Garamond"/>
          <w:b/>
        </w:rPr>
        <w:t>National Committee for Prevention and Fight against Torture (CNPCT)</w:t>
      </w:r>
      <w:r>
        <w:rPr>
          <w:rFonts w:ascii="Garamond" w:eastAsia="Garamond" w:hAnsi="Garamond" w:cs="Garamond"/>
        </w:rPr>
        <w:t xml:space="preserve">, and the </w:t>
      </w:r>
      <w:r>
        <w:rPr>
          <w:rFonts w:ascii="Garamond" w:eastAsia="Garamond" w:hAnsi="Garamond" w:cs="Garamond"/>
          <w:b/>
        </w:rPr>
        <w:t>National Mechanism to Prevent and Combat Torture (MNPCT)</w:t>
      </w:r>
      <w:r>
        <w:rPr>
          <w:rFonts w:ascii="Garamond" w:eastAsia="Garamond" w:hAnsi="Garamond" w:cs="Garamond"/>
        </w:rPr>
        <w:t xml:space="preserve">. </w:t>
      </w:r>
      <w:r>
        <w:rPr>
          <w:rFonts w:ascii="Garamond" w:eastAsia="Garamond" w:hAnsi="Garamond" w:cs="Garamond"/>
          <w:highlight w:val="white"/>
        </w:rPr>
        <w:t>Nevertheless, in March 2022, in the wake of setbacks and violations undertaken by the Bolsonaro administration, the Brazilian State was denounced by civil society at the UN Human Rights Council for dismantling the system to combat torture in Brazil.</w:t>
      </w:r>
      <w:r>
        <w:rPr>
          <w:rFonts w:ascii="Garamond" w:eastAsia="Garamond" w:hAnsi="Garamond" w:cs="Garamond"/>
          <w:highlight w:val="white"/>
          <w:vertAlign w:val="superscript"/>
        </w:rPr>
        <w:footnoteReference w:id="6"/>
      </w:r>
      <w:r>
        <w:rPr>
          <w:rFonts w:ascii="Garamond" w:eastAsia="Garamond" w:hAnsi="Garamond" w:cs="Garamond"/>
          <w:highlight w:val="white"/>
        </w:rPr>
        <w:t xml:space="preserve"> An emblematic issue pointed out by the complaint was Decree nº 9,831 of 2019, edited during the administration of Jair Bolsonaro, which exonerated all experts from the MNPCT, an institution responsible for monitoring prisons, child and elderly care facilities, psychiatric hospitals, therapeutic communities and units for enforcement of socio-educational measures. It was only two years after the measure taken by the Executive, with a decision taken wit</w:t>
      </w:r>
      <w:r>
        <w:rPr>
          <w:rFonts w:ascii="Garamond" w:eastAsia="Garamond" w:hAnsi="Garamond" w:cs="Garamond"/>
        </w:rPr>
        <w:t>hin ADPF</w:t>
      </w:r>
      <w:r>
        <w:rPr>
          <w:rFonts w:ascii="Garamond" w:eastAsia="Garamond" w:hAnsi="Garamond" w:cs="Garamond"/>
          <w:vertAlign w:val="superscript"/>
        </w:rPr>
        <w:footnoteReference w:id="7"/>
      </w:r>
      <w:r>
        <w:rPr>
          <w:rFonts w:ascii="Garamond" w:eastAsia="Garamond" w:hAnsi="Garamond" w:cs="Garamond"/>
        </w:rPr>
        <w:t xml:space="preserve"> No. 6</w:t>
      </w:r>
      <w:r>
        <w:rPr>
          <w:rFonts w:ascii="Garamond" w:eastAsia="Garamond" w:hAnsi="Garamond" w:cs="Garamond"/>
          <w:highlight w:val="white"/>
        </w:rPr>
        <w:t xml:space="preserve">07, that the Brazilian Federal Supreme Court suspended the effects of the decree. Additionally, structures to combat torture were supposed to be created at the states level, but it has only been implemented in 4 states of the federation (Rio de Janeiro, Pernambuco, Rondônia, and Paraíba), and in another 4 (Alagoas, Espírito Santo, Maranhão, and Goiás) are underway of being implemented. This means that only 30% of </w:t>
      </w:r>
      <w:r>
        <w:rPr>
          <w:rFonts w:ascii="Garamond" w:eastAsia="Garamond" w:hAnsi="Garamond" w:cs="Garamond"/>
          <w:highlight w:val="white"/>
        </w:rPr>
        <w:lastRenderedPageBreak/>
        <w:t>Brazilian states have implemented the system or are in the process of implementing it.</w:t>
      </w:r>
      <w:r>
        <w:rPr>
          <w:rFonts w:ascii="Garamond" w:eastAsia="Garamond" w:hAnsi="Garamond" w:cs="Garamond"/>
          <w:highlight w:val="white"/>
          <w:vertAlign w:val="superscript"/>
        </w:rPr>
        <w:footnoteReference w:id="8"/>
      </w:r>
      <w:r>
        <w:rPr>
          <w:rFonts w:ascii="Garamond" w:eastAsia="Garamond" w:hAnsi="Garamond" w:cs="Garamond"/>
          <w:b/>
        </w:rPr>
        <w:t xml:space="preserve"> </w:t>
      </w:r>
      <w:r>
        <w:rPr>
          <w:rFonts w:ascii="Garamond" w:eastAsia="Garamond" w:hAnsi="Garamond" w:cs="Garamond"/>
          <w:highlight w:val="white"/>
        </w:rPr>
        <w:t>The dismantling of the system to combat torture produced concrete consequences, like the increase in cases of torture and the worsening in investigation and liability, as will be evidenced throughout this report.</w:t>
      </w:r>
      <w:r>
        <w:rPr>
          <w:rFonts w:ascii="Garamond" w:eastAsia="Garamond" w:hAnsi="Garamond" w:cs="Garamond"/>
        </w:rPr>
        <w:t xml:space="preserve"> </w:t>
      </w:r>
      <w:r>
        <w:rPr>
          <w:rFonts w:ascii="Garamond" w:eastAsia="Garamond" w:hAnsi="Garamond" w:cs="Garamond"/>
          <w:b/>
        </w:rPr>
        <w:t>The weakening of the system mainly impacts the lives of people who are part of the population most vulnerable to torture practices - such as black people.</w:t>
      </w:r>
    </w:p>
    <w:p w:rsidR="008277B6" w:rsidRDefault="00406128">
      <w:pPr>
        <w:numPr>
          <w:ilvl w:val="0"/>
          <w:numId w:val="2"/>
        </w:numPr>
        <w:jc w:val="both"/>
        <w:rPr>
          <w:rFonts w:ascii="Garamond" w:eastAsia="Garamond" w:hAnsi="Garamond" w:cs="Garamond"/>
          <w:b/>
        </w:rPr>
      </w:pPr>
      <w:r>
        <w:rPr>
          <w:rFonts w:ascii="Garamond" w:eastAsia="Garamond" w:hAnsi="Garamond" w:cs="Garamond"/>
          <w:highlight w:val="white"/>
        </w:rPr>
        <w:t xml:space="preserve">Law No. 13,869/2019 provides for crimes of abuse of authority, defining crimes committed by public agents, who, in the exercise of their functions or on the pretext of exercising them, abuse the power that has been attributed to them. This law was </w:t>
      </w:r>
      <w:r>
        <w:rPr>
          <w:rFonts w:ascii="Garamond" w:eastAsia="Garamond" w:hAnsi="Garamond" w:cs="Garamond"/>
        </w:rPr>
        <w:t>sanctioned to</w:t>
      </w:r>
      <w:r>
        <w:rPr>
          <w:rFonts w:ascii="Garamond" w:eastAsia="Garamond" w:hAnsi="Garamond" w:cs="Garamond"/>
          <w:highlight w:val="white"/>
        </w:rPr>
        <w:t xml:space="preserve"> replace Law No. 4,898/1965, enacted during the military dictatorship (1964-1985). Like the revoked, the current law on abuse of authority </w:t>
      </w:r>
      <w:r>
        <w:rPr>
          <w:rFonts w:ascii="Garamond" w:eastAsia="Garamond" w:hAnsi="Garamond" w:cs="Garamond"/>
          <w:b/>
          <w:highlight w:val="white"/>
        </w:rPr>
        <w:t>makes no mention of the practice of torture, neither as a specific criminal offense nor as a qualifying circumstance or majorant to the punishment in the cases of abuse of authority crimes committed with violence</w:t>
      </w:r>
      <w:r>
        <w:rPr>
          <w:rFonts w:ascii="Garamond" w:eastAsia="Garamond" w:hAnsi="Garamond" w:cs="Garamond"/>
          <w:highlight w:val="white"/>
        </w:rPr>
        <w:t>. Although torture is criminalized und</w:t>
      </w:r>
      <w:r>
        <w:rPr>
          <w:rFonts w:ascii="Garamond" w:eastAsia="Garamond" w:hAnsi="Garamond" w:cs="Garamond"/>
        </w:rPr>
        <w:t xml:space="preserve">er specific legislation, </w:t>
      </w:r>
      <w:r>
        <w:rPr>
          <w:rFonts w:ascii="Garamond" w:eastAsia="Garamond" w:hAnsi="Garamond" w:cs="Garamond"/>
          <w:highlight w:val="white"/>
        </w:rPr>
        <w:t xml:space="preserve">its legal prevision as </w:t>
      </w:r>
      <w:r>
        <w:rPr>
          <w:rFonts w:ascii="Garamond" w:eastAsia="Garamond" w:hAnsi="Garamond" w:cs="Garamond"/>
        </w:rPr>
        <w:t>an incriminating norm in the context of the practice of abuse of authority, with</w:t>
      </w:r>
      <w:r>
        <w:rPr>
          <w:rFonts w:ascii="Garamond" w:eastAsia="Garamond" w:hAnsi="Garamond" w:cs="Garamond"/>
          <w:highlight w:val="white"/>
        </w:rPr>
        <w:t xml:space="preserve"> </w:t>
      </w:r>
      <w:r>
        <w:rPr>
          <w:rFonts w:ascii="Garamond" w:eastAsia="Garamond" w:hAnsi="Garamond" w:cs="Garamond"/>
        </w:rPr>
        <w:t xml:space="preserve">a special criminal offense provided for in Law No. 13.869/2019 would confer a symbolic commitment to greater repression of this practice, even if within the declared objectives of the official discourse of Criminal Law (general and special prevention). </w:t>
      </w:r>
      <w:r>
        <w:rPr>
          <w:rFonts w:ascii="Garamond" w:eastAsia="Garamond" w:hAnsi="Garamond" w:cs="Garamond"/>
          <w:highlight w:val="white"/>
        </w:rPr>
        <w:t>Under Article 161 of the Durban Declaration, States must provide access to all appropriate legal procedures to facilitate fair compensation for victims of racial discrimination, including victims of torture and ill-treatment. A previous step to procedural access is to guarantee the nominal prediction of torture in the context of the commission of crimes of abuse of authority.</w:t>
      </w:r>
    </w:p>
    <w:p w:rsidR="008277B6" w:rsidRDefault="00406128">
      <w:pPr>
        <w:numPr>
          <w:ilvl w:val="0"/>
          <w:numId w:val="2"/>
        </w:numPr>
        <w:jc w:val="both"/>
        <w:rPr>
          <w:rFonts w:ascii="Garamond" w:eastAsia="Garamond" w:hAnsi="Garamond" w:cs="Garamond"/>
          <w:b/>
        </w:rPr>
      </w:pPr>
      <w:r>
        <w:rPr>
          <w:rFonts w:ascii="Garamond" w:eastAsia="Garamond" w:hAnsi="Garamond" w:cs="Garamond"/>
          <w:highlight w:val="white"/>
        </w:rPr>
        <w:t xml:space="preserve">The practice of torture in Brazil is commonly associated with other crimes and violations of human rights that systematically victimize black people. This is the case with </w:t>
      </w:r>
      <w:r>
        <w:rPr>
          <w:rFonts w:ascii="Garamond" w:eastAsia="Garamond" w:hAnsi="Garamond" w:cs="Garamond"/>
          <w:b/>
          <w:highlight w:val="white"/>
        </w:rPr>
        <w:t>contemporary slave labour</w:t>
      </w:r>
      <w:r>
        <w:rPr>
          <w:rFonts w:ascii="Garamond" w:eastAsia="Garamond" w:hAnsi="Garamond" w:cs="Garamond"/>
          <w:highlight w:val="white"/>
        </w:rPr>
        <w:t xml:space="preserve">, defined by the criminal offense of reducing individuals to a condition analogous to slavery. Recently, in February 2023, an </w:t>
      </w:r>
      <w:r>
        <w:rPr>
          <w:rFonts w:ascii="Garamond" w:eastAsia="Garamond" w:hAnsi="Garamond" w:cs="Garamond"/>
          <w:b/>
          <w:highlight w:val="white"/>
        </w:rPr>
        <w:t>emblematic case</w:t>
      </w:r>
      <w:r>
        <w:rPr>
          <w:rFonts w:ascii="Garamond" w:eastAsia="Garamond" w:hAnsi="Garamond" w:cs="Garamond"/>
          <w:highlight w:val="white"/>
        </w:rPr>
        <w:t xml:space="preserve"> occurred in the state of Rio Grande do Sul. More than 200 winery workers were rescued by the police and inspectors of the Brazilian Ministry of Labour and Employment in degrading work conditions, subject to psychic and physical violence, such as electric shocks.</w:t>
      </w:r>
      <w:r>
        <w:rPr>
          <w:rFonts w:ascii="Garamond" w:eastAsia="Garamond" w:hAnsi="Garamond" w:cs="Garamond"/>
          <w:highlight w:val="white"/>
          <w:vertAlign w:val="superscript"/>
        </w:rPr>
        <w:footnoteReference w:id="9"/>
      </w:r>
      <w:r>
        <w:rPr>
          <w:rFonts w:ascii="Garamond" w:eastAsia="Garamond" w:hAnsi="Garamond" w:cs="Garamond"/>
          <w:highlight w:val="white"/>
        </w:rPr>
        <w:t xml:space="preserve"> According to data from the Ministry, </w:t>
      </w:r>
      <w:r>
        <w:rPr>
          <w:rFonts w:ascii="Garamond" w:eastAsia="Garamond" w:hAnsi="Garamond" w:cs="Garamond"/>
          <w:b/>
          <w:highlight w:val="white"/>
        </w:rPr>
        <w:t>56% of those workers are between 18 and 29 years old, 95% are black, 93% were born in the state of Bahia and 61% have not completed elementary school or are illiterate.</w:t>
      </w:r>
      <w:r>
        <w:rPr>
          <w:rFonts w:ascii="Garamond" w:eastAsia="Garamond" w:hAnsi="Garamond" w:cs="Garamond"/>
          <w:highlight w:val="white"/>
          <w:vertAlign w:val="superscript"/>
        </w:rPr>
        <w:footnoteReference w:id="10"/>
      </w:r>
    </w:p>
    <w:p w:rsidR="008277B6" w:rsidRDefault="00406128">
      <w:pPr>
        <w:numPr>
          <w:ilvl w:val="0"/>
          <w:numId w:val="2"/>
        </w:numPr>
        <w:jc w:val="both"/>
        <w:rPr>
          <w:rFonts w:ascii="Garamond" w:eastAsia="Garamond" w:hAnsi="Garamond" w:cs="Garamond"/>
          <w:b/>
        </w:rPr>
      </w:pPr>
      <w:r>
        <w:rPr>
          <w:rFonts w:ascii="Garamond" w:eastAsia="Garamond" w:hAnsi="Garamond" w:cs="Garamond"/>
          <w:highlight w:val="white"/>
        </w:rPr>
        <w:t xml:space="preserve">The </w:t>
      </w:r>
      <w:r>
        <w:rPr>
          <w:rFonts w:ascii="Garamond" w:eastAsia="Garamond" w:hAnsi="Garamond" w:cs="Garamond"/>
          <w:b/>
          <w:highlight w:val="white"/>
        </w:rPr>
        <w:t xml:space="preserve">use of slave-like labour </w:t>
      </w:r>
      <w:r>
        <w:rPr>
          <w:rFonts w:ascii="Garamond" w:eastAsia="Garamond" w:hAnsi="Garamond" w:cs="Garamond"/>
          <w:highlight w:val="white"/>
        </w:rPr>
        <w:t xml:space="preserve">in wineries in southern Brazil, which was denounced by the media in 2023, is a reality in the region. Previous cases had already been reported, which demonstrates the State's negligence in preventing </w:t>
      </w:r>
      <w:r>
        <w:rPr>
          <w:rFonts w:ascii="Garamond" w:eastAsia="Garamond" w:hAnsi="Garamond" w:cs="Garamond"/>
          <w:b/>
          <w:highlight w:val="white"/>
        </w:rPr>
        <w:t>these severe violations that corroborate with the extermination of the black population</w:t>
      </w:r>
      <w:r>
        <w:rPr>
          <w:rFonts w:ascii="Garamond" w:eastAsia="Garamond" w:hAnsi="Garamond" w:cs="Garamond"/>
          <w:highlight w:val="white"/>
        </w:rPr>
        <w:t>. In 2022</w:t>
      </w:r>
      <w:r>
        <w:rPr>
          <w:rFonts w:ascii="Garamond" w:eastAsia="Garamond" w:hAnsi="Garamond" w:cs="Garamond"/>
        </w:rPr>
        <w:t>, 2,57</w:t>
      </w:r>
      <w:r>
        <w:rPr>
          <w:rFonts w:ascii="Garamond" w:eastAsia="Garamond" w:hAnsi="Garamond" w:cs="Garamond"/>
          <w:highlight w:val="white"/>
        </w:rPr>
        <w:t>5 people were rescued in slavery-like conditions and also subjected to inhuman and degrading treatment. Out of this number,</w:t>
      </w:r>
      <w:r>
        <w:rPr>
          <w:rFonts w:ascii="Garamond" w:eastAsia="Garamond" w:hAnsi="Garamond" w:cs="Garamond"/>
          <w:b/>
          <w:highlight w:val="white"/>
        </w:rPr>
        <w:t xml:space="preserve"> 83% declared themselves to be black</w:t>
      </w:r>
      <w:r>
        <w:rPr>
          <w:rFonts w:ascii="Garamond" w:eastAsia="Garamond" w:hAnsi="Garamond" w:cs="Garamond"/>
          <w:highlight w:val="white"/>
        </w:rPr>
        <w:t xml:space="preserve">, 58% from the Northeast, and 43% did not complete elementary school. A year earlier, then-president Jair Bolsonaro </w:t>
      </w:r>
      <w:r>
        <w:rPr>
          <w:rFonts w:ascii="Garamond" w:eastAsia="Garamond" w:hAnsi="Garamond" w:cs="Garamond"/>
          <w:b/>
          <w:highlight w:val="white"/>
        </w:rPr>
        <w:t>criticized</w:t>
      </w:r>
      <w:r>
        <w:rPr>
          <w:rFonts w:ascii="Garamond" w:eastAsia="Garamond" w:hAnsi="Garamond" w:cs="Garamond"/>
          <w:highlight w:val="white"/>
        </w:rPr>
        <w:t xml:space="preserve"> actions to combat slave-like labour, claiming that it “disrupted the lives of businessmen”.</w:t>
      </w:r>
      <w:r>
        <w:rPr>
          <w:rFonts w:ascii="Garamond" w:eastAsia="Garamond" w:hAnsi="Garamond" w:cs="Garamond"/>
          <w:highlight w:val="white"/>
          <w:vertAlign w:val="superscript"/>
        </w:rPr>
        <w:footnoteReference w:id="11"/>
      </w:r>
    </w:p>
    <w:p w:rsidR="008277B6" w:rsidRDefault="00406128">
      <w:pPr>
        <w:numPr>
          <w:ilvl w:val="0"/>
          <w:numId w:val="2"/>
        </w:numPr>
        <w:jc w:val="both"/>
        <w:rPr>
          <w:rFonts w:ascii="Garamond" w:eastAsia="Garamond" w:hAnsi="Garamond" w:cs="Garamond"/>
          <w:b/>
        </w:rPr>
      </w:pPr>
      <w:r>
        <w:rPr>
          <w:rFonts w:ascii="Garamond" w:eastAsia="Garamond" w:hAnsi="Garamond" w:cs="Garamond"/>
        </w:rPr>
        <w:t xml:space="preserve">Another </w:t>
      </w:r>
      <w:r>
        <w:rPr>
          <w:rFonts w:ascii="Garamond" w:eastAsia="Garamond" w:hAnsi="Garamond" w:cs="Garamond"/>
          <w:b/>
        </w:rPr>
        <w:t>emblematic case is that of the 84-year-old black woman</w:t>
      </w:r>
      <w:r>
        <w:rPr>
          <w:rFonts w:ascii="Garamond" w:eastAsia="Garamond" w:hAnsi="Garamond" w:cs="Garamond"/>
        </w:rPr>
        <w:t>, also rescued from a slavery-like condition. She began to labour as a family maid at the age of 12 and remained in that situation for 72 years, without any payment. Over more than 7 decades, besides the housework, she also took care of the family's children and was deprived of establishing other social relationships. Recently, as an old woman, she was nursing her employer, a woman close to her age.</w:t>
      </w:r>
      <w:r>
        <w:rPr>
          <w:rFonts w:ascii="Garamond" w:eastAsia="Garamond" w:hAnsi="Garamond" w:cs="Garamond"/>
          <w:vertAlign w:val="superscript"/>
        </w:rPr>
        <w:footnoteReference w:id="12"/>
      </w:r>
      <w:r>
        <w:rPr>
          <w:rFonts w:ascii="Garamond" w:eastAsia="Garamond" w:hAnsi="Garamond" w:cs="Garamond"/>
        </w:rPr>
        <w:t xml:space="preserve"> The </w:t>
      </w:r>
      <w:r>
        <w:rPr>
          <w:rFonts w:ascii="Garamond" w:eastAsia="Garamond" w:hAnsi="Garamond" w:cs="Garamond"/>
          <w:b/>
        </w:rPr>
        <w:t>recurrence of cases involving the practice of slave-like labour, mostly affecting black people</w:t>
      </w:r>
      <w:r>
        <w:rPr>
          <w:rFonts w:ascii="Garamond" w:eastAsia="Garamond" w:hAnsi="Garamond" w:cs="Garamond"/>
        </w:rPr>
        <w:t xml:space="preserve">, combined with impunity and the lack of commitment by the Brazilian State in confronting it, demonstrates a clear violation of the commitment to the Durban Programme of Action, which in articles 2, 66 and 67 urges the States to take all necessary and appropriate </w:t>
      </w:r>
      <w:r>
        <w:rPr>
          <w:rFonts w:ascii="Garamond" w:eastAsia="Garamond" w:hAnsi="Garamond" w:cs="Garamond"/>
        </w:rPr>
        <w:lastRenderedPageBreak/>
        <w:t>measures to end contemporary slavery and slavery-like practices, with special attention to domestic workers and victims of trafficking, as well as the creation of mechanisms to eliminate such practices.</w:t>
      </w:r>
      <w:r>
        <w:rPr>
          <w:rFonts w:ascii="Garamond" w:eastAsia="Garamond" w:hAnsi="Garamond" w:cs="Garamond"/>
          <w:highlight w:val="white"/>
        </w:rPr>
        <w:t xml:space="preserve">  </w:t>
      </w:r>
    </w:p>
    <w:p w:rsidR="008277B6" w:rsidRDefault="00406128">
      <w:pPr>
        <w:numPr>
          <w:ilvl w:val="0"/>
          <w:numId w:val="2"/>
        </w:numPr>
        <w:jc w:val="both"/>
        <w:rPr>
          <w:rFonts w:ascii="Garamond" w:eastAsia="Garamond" w:hAnsi="Garamond" w:cs="Garamond"/>
          <w:b/>
        </w:rPr>
      </w:pPr>
      <w:r>
        <w:rPr>
          <w:rFonts w:ascii="Garamond" w:eastAsia="Garamond" w:hAnsi="Garamond" w:cs="Garamond"/>
          <w:highlight w:val="white"/>
        </w:rPr>
        <w:t xml:space="preserve">Although Brazil has laws and legal mechanisms dedicated to protecting and guaranteeing the rights of children and adolescents, </w:t>
      </w:r>
      <w:r>
        <w:rPr>
          <w:rFonts w:ascii="Garamond" w:eastAsia="Garamond" w:hAnsi="Garamond" w:cs="Garamond"/>
          <w:b/>
          <w:highlight w:val="white"/>
        </w:rPr>
        <w:t>racist policies permeate actions and omissions of the State regarding child labour</w:t>
      </w:r>
      <w:r>
        <w:rPr>
          <w:rFonts w:ascii="Garamond" w:eastAsia="Garamond" w:hAnsi="Garamond" w:cs="Garamond"/>
          <w:highlight w:val="white"/>
        </w:rPr>
        <w:t xml:space="preserve">, another serious violation that falls disproportionately </w:t>
      </w:r>
      <w:r>
        <w:rPr>
          <w:rFonts w:ascii="Garamond" w:eastAsia="Garamond" w:hAnsi="Garamond" w:cs="Garamond"/>
          <w:b/>
          <w:highlight w:val="white"/>
        </w:rPr>
        <w:t>on the black population.</w:t>
      </w:r>
      <w:r>
        <w:rPr>
          <w:rFonts w:ascii="Garamond" w:eastAsia="Garamond" w:hAnsi="Garamond" w:cs="Garamond"/>
          <w:highlight w:val="white"/>
        </w:rPr>
        <w:t xml:space="preserve"> Data from 2019 indicate that, out of 1.8 million children and adolescents in child labour, </w:t>
      </w:r>
      <w:r>
        <w:rPr>
          <w:rFonts w:ascii="Garamond" w:eastAsia="Garamond" w:hAnsi="Garamond" w:cs="Garamond"/>
          <w:b/>
          <w:highlight w:val="white"/>
        </w:rPr>
        <w:t>66.1% are black</w:t>
      </w:r>
      <w:r>
        <w:rPr>
          <w:rFonts w:ascii="Garamond" w:eastAsia="Garamond" w:hAnsi="Garamond" w:cs="Garamond"/>
          <w:highlight w:val="white"/>
        </w:rPr>
        <w:t>.</w:t>
      </w:r>
      <w:r>
        <w:rPr>
          <w:rFonts w:ascii="Garamond" w:eastAsia="Garamond" w:hAnsi="Garamond" w:cs="Garamond"/>
          <w:highlight w:val="white"/>
          <w:vertAlign w:val="superscript"/>
        </w:rPr>
        <w:footnoteReference w:id="13"/>
      </w:r>
      <w:r>
        <w:rPr>
          <w:rFonts w:ascii="Garamond" w:eastAsia="Garamond" w:hAnsi="Garamond" w:cs="Garamond"/>
          <w:highlight w:val="white"/>
        </w:rPr>
        <w:t xml:space="preserve"> In 2020, on a live broadcast on social media, then-President Jair Bolsonaro came to defend the practice </w:t>
      </w:r>
      <w:r>
        <w:rPr>
          <w:rFonts w:ascii="Garamond" w:eastAsia="Garamond" w:hAnsi="Garamond" w:cs="Garamond"/>
        </w:rPr>
        <w:t>when he declared,</w:t>
      </w:r>
      <w:r>
        <w:rPr>
          <w:rFonts w:ascii="Garamond" w:eastAsia="Garamond" w:hAnsi="Garamond" w:cs="Garamond"/>
          <w:highlight w:val="white"/>
        </w:rPr>
        <w:t xml:space="preserve"> “let the kids work”</w:t>
      </w:r>
      <w:r>
        <w:rPr>
          <w:rFonts w:ascii="Garamond" w:eastAsia="Garamond" w:hAnsi="Garamond" w:cs="Garamond"/>
          <w:highlight w:val="white"/>
          <w:vertAlign w:val="superscript"/>
        </w:rPr>
        <w:footnoteReference w:id="14"/>
      </w:r>
      <w:r>
        <w:rPr>
          <w:rFonts w:ascii="Garamond" w:eastAsia="Garamond" w:hAnsi="Garamond" w:cs="Garamond"/>
          <w:highlight w:val="white"/>
        </w:rPr>
        <w:t>. This illustrates that the Brazilian State disregards the Durban Declaration, in article 74, which defines child labour as work linked to poverty, lack of development, and correlated socio-economic conditions. Child labour has the potential to perpetuate poverty and racial discrimination by disproportionately denying children in affected groups the opportunity to acquire the human skills required for productive lives and the benefit of economic growth.</w:t>
      </w:r>
    </w:p>
    <w:p w:rsidR="008277B6" w:rsidRDefault="00406128">
      <w:pPr>
        <w:numPr>
          <w:ilvl w:val="0"/>
          <w:numId w:val="2"/>
        </w:numPr>
        <w:jc w:val="both"/>
        <w:rPr>
          <w:rFonts w:ascii="Garamond" w:eastAsia="Garamond" w:hAnsi="Garamond" w:cs="Garamond"/>
          <w:b/>
        </w:rPr>
      </w:pPr>
      <w:r>
        <w:rPr>
          <w:rFonts w:ascii="Garamond" w:eastAsia="Garamond" w:hAnsi="Garamond" w:cs="Garamond"/>
          <w:highlight w:val="white"/>
        </w:rPr>
        <w:t xml:space="preserve">Episodes of </w:t>
      </w:r>
      <w:r>
        <w:rPr>
          <w:rFonts w:ascii="Garamond" w:eastAsia="Garamond" w:hAnsi="Garamond" w:cs="Garamond"/>
          <w:b/>
          <w:highlight w:val="white"/>
        </w:rPr>
        <w:t>religious intolerance, which are also manifested as physical and psychological torture</w:t>
      </w:r>
      <w:r>
        <w:rPr>
          <w:rFonts w:ascii="Garamond" w:eastAsia="Garamond" w:hAnsi="Garamond" w:cs="Garamond"/>
          <w:highlight w:val="white"/>
        </w:rPr>
        <w:t xml:space="preserve">, appear repeatedly, commonly against religions of </w:t>
      </w:r>
      <w:r>
        <w:rPr>
          <w:rFonts w:ascii="Garamond" w:eastAsia="Garamond" w:hAnsi="Garamond" w:cs="Garamond"/>
        </w:rPr>
        <w:t xml:space="preserve">African origin </w:t>
      </w:r>
      <w:r>
        <w:rPr>
          <w:rFonts w:ascii="Garamond" w:eastAsia="Garamond" w:hAnsi="Garamond" w:cs="Garamond"/>
          <w:highlight w:val="white"/>
        </w:rPr>
        <w:t>practitioners. In Macaé, in the state of Rio de Janeiro, a black woman was stabbed by her neighbor for listening to songs celebrating her faith</w:t>
      </w:r>
      <w:r>
        <w:rPr>
          <w:rFonts w:ascii="Garamond" w:eastAsia="Garamond" w:hAnsi="Garamond" w:cs="Garamond"/>
        </w:rPr>
        <w:t>.</w:t>
      </w:r>
      <w:r>
        <w:rPr>
          <w:rFonts w:ascii="Garamond" w:eastAsia="Garamond" w:hAnsi="Garamond" w:cs="Garamond"/>
          <w:vertAlign w:val="superscript"/>
        </w:rPr>
        <w:footnoteReference w:id="15"/>
      </w:r>
      <w:r>
        <w:rPr>
          <w:rFonts w:ascii="Garamond" w:eastAsia="Garamond" w:hAnsi="Garamond" w:cs="Garamond"/>
        </w:rPr>
        <w:t xml:space="preserve"> </w:t>
      </w:r>
      <w:r>
        <w:rPr>
          <w:rFonts w:ascii="Garamond" w:eastAsia="Garamond" w:hAnsi="Garamond" w:cs="Garamond"/>
          <w:highlight w:val="white"/>
        </w:rPr>
        <w:t>In the city of Rio de Janeiro, in 2015, an 11-year-old girl was stoned on her head when returning from a Candomblé party with other people, dressed in white</w:t>
      </w:r>
      <w:r>
        <w:rPr>
          <w:rFonts w:ascii="Garamond" w:eastAsia="Garamond" w:hAnsi="Garamond" w:cs="Garamond"/>
        </w:rPr>
        <w:t>.</w:t>
      </w:r>
      <w:r>
        <w:rPr>
          <w:rFonts w:ascii="Garamond" w:eastAsia="Garamond" w:hAnsi="Garamond" w:cs="Garamond"/>
          <w:vertAlign w:val="superscript"/>
        </w:rPr>
        <w:footnoteReference w:id="16"/>
      </w:r>
      <w:r>
        <w:rPr>
          <w:rFonts w:ascii="Garamond" w:eastAsia="Garamond" w:hAnsi="Garamond" w:cs="Garamond"/>
        </w:rPr>
        <w:t xml:space="preserve"> </w:t>
      </w:r>
      <w:r>
        <w:rPr>
          <w:rFonts w:ascii="Garamond" w:eastAsia="Garamond" w:hAnsi="Garamond" w:cs="Garamond"/>
          <w:highlight w:val="white"/>
        </w:rPr>
        <w:t>A 2022 court decision, motivated by religious racism, withdrew custody of a 14-year-old teenager from her black mother; the girl spent 40 days in an institutional foster home</w:t>
      </w:r>
      <w:r>
        <w:rPr>
          <w:rFonts w:ascii="Garamond" w:eastAsia="Garamond" w:hAnsi="Garamond" w:cs="Garamond"/>
        </w:rPr>
        <w:t>.</w:t>
      </w:r>
      <w:r>
        <w:rPr>
          <w:rFonts w:ascii="Garamond" w:eastAsia="Garamond" w:hAnsi="Garamond" w:cs="Garamond"/>
          <w:vertAlign w:val="superscript"/>
        </w:rPr>
        <w:footnoteReference w:id="17"/>
      </w:r>
      <w:r>
        <w:t xml:space="preserve"> </w:t>
      </w:r>
      <w:r>
        <w:rPr>
          <w:rFonts w:ascii="Garamond" w:eastAsia="Garamond" w:hAnsi="Garamond" w:cs="Garamond"/>
          <w:highlight w:val="white"/>
        </w:rPr>
        <w:t>Religious racism cases experienced an increase from 477 cases in 2019 to 966 in 2021.</w:t>
      </w:r>
      <w:r>
        <w:t xml:space="preserve"> </w:t>
      </w:r>
      <w:r>
        <w:rPr>
          <w:rFonts w:ascii="Garamond" w:eastAsia="Garamond" w:hAnsi="Garamond" w:cs="Garamond"/>
        </w:rPr>
        <w:t>Even though they are practiced by a minority,</w:t>
      </w:r>
      <w:r>
        <w:rPr>
          <w:rFonts w:ascii="Garamond" w:eastAsia="Garamond" w:hAnsi="Garamond" w:cs="Garamond"/>
          <w:vertAlign w:val="superscript"/>
        </w:rPr>
        <w:footnoteReference w:id="18"/>
      </w:r>
      <w:r>
        <w:rPr>
          <w:rFonts w:ascii="Garamond" w:eastAsia="Garamond" w:hAnsi="Garamond" w:cs="Garamond"/>
        </w:rPr>
        <w:t xml:space="preserve"> </w:t>
      </w:r>
      <w:r>
        <w:rPr>
          <w:rFonts w:ascii="Garamond" w:eastAsia="Garamond" w:hAnsi="Garamond" w:cs="Garamond"/>
          <w:b/>
        </w:rPr>
        <w:t>religions of African origin were the ones that suffered the most from intolerance</w:t>
      </w:r>
      <w:r>
        <w:rPr>
          <w:rFonts w:ascii="Garamond" w:eastAsia="Garamond" w:hAnsi="Garamond" w:cs="Garamond"/>
        </w:rPr>
        <w:t>: 244 cases in 2021.</w:t>
      </w:r>
      <w:r>
        <w:rPr>
          <w:rFonts w:ascii="Garamond" w:eastAsia="Garamond" w:hAnsi="Garamond" w:cs="Garamond"/>
          <w:vertAlign w:val="superscript"/>
        </w:rPr>
        <w:footnoteReference w:id="19"/>
      </w:r>
      <w:r>
        <w:rPr>
          <w:rFonts w:ascii="Garamond" w:eastAsia="Garamond" w:hAnsi="Garamond" w:cs="Garamond"/>
        </w:rPr>
        <w:t xml:space="preserve"> Regarding crimes, religious injury directed at individuals represents 26% of the total number of cases and may involve threats and even physical violence. Injuries against religious communities represent 23.9% of cases, also potentially including threats. Depredation of temples represents 21.7% of the cases and may contain religious injuries to the community, fire, and theft. </w:t>
      </w:r>
    </w:p>
    <w:p w:rsidR="008277B6" w:rsidRDefault="00406128">
      <w:pPr>
        <w:numPr>
          <w:ilvl w:val="0"/>
          <w:numId w:val="2"/>
        </w:numPr>
        <w:jc w:val="both"/>
        <w:rPr>
          <w:rFonts w:ascii="Garamond" w:eastAsia="Garamond" w:hAnsi="Garamond" w:cs="Garamond"/>
          <w:b/>
        </w:rPr>
      </w:pPr>
      <w:r>
        <w:rPr>
          <w:rFonts w:ascii="Garamond" w:eastAsia="Garamond" w:hAnsi="Garamond" w:cs="Garamond"/>
        </w:rPr>
        <w:t>A fact that adds even greater gravity to the violence and practices of torture due to religious racism is related to the category of violators. Public figures occupy second place in the ranking of agents of religious intolerance and religious racism, among which are mayors, deputies, and city councilors.</w:t>
      </w:r>
      <w:r>
        <w:rPr>
          <w:rFonts w:ascii="Garamond" w:eastAsia="Garamond" w:hAnsi="Garamond" w:cs="Garamond"/>
          <w:vertAlign w:val="superscript"/>
        </w:rPr>
        <w:footnoteReference w:id="20"/>
      </w:r>
      <w:r>
        <w:rPr>
          <w:rFonts w:ascii="Garamond" w:eastAsia="Garamond" w:hAnsi="Garamond" w:cs="Garamond"/>
        </w:rPr>
        <w:t xml:space="preserve"> Brazil, as provided for in its own Federal Constitution, is a secular state. If religious freedom is not guaranteed, in addition to failing to comply with the provisions of the Federal Constitution, the Brazilian State also fails to comply with several articles of the Durban Programme of Action. Article 14 calls on states to recognize the severe problems of intolerance and religious prejudice experienced by people of African descent and to implement policies and measures designed to prevent and eliminate all forms of discrimination based on religion and religious beliefs, that, combined with other forms of discrimination, constitute a form of multiple discrimination. Articles 59, 60, 171, 172, and 210 contain specific recommendations regarding mechanisms, policies, and programs for the protection and promotion of religious freedom, and </w:t>
      </w:r>
      <w:r>
        <w:rPr>
          <w:rFonts w:ascii="Garamond" w:eastAsia="Garamond" w:hAnsi="Garamond" w:cs="Garamond"/>
        </w:rPr>
        <w:lastRenderedPageBreak/>
        <w:t>the multicultural development of Afro-descendant communities, and the Brazilian State is not complying with them.</w:t>
      </w:r>
    </w:p>
    <w:p w:rsidR="008277B6" w:rsidRDefault="00406128">
      <w:pPr>
        <w:numPr>
          <w:ilvl w:val="0"/>
          <w:numId w:val="2"/>
        </w:numPr>
        <w:jc w:val="both"/>
        <w:rPr>
          <w:rFonts w:ascii="Garamond" w:eastAsia="Garamond" w:hAnsi="Garamond" w:cs="Garamond"/>
          <w:b/>
        </w:rPr>
      </w:pPr>
      <w:r>
        <w:rPr>
          <w:rFonts w:ascii="Garamond" w:eastAsia="Garamond" w:hAnsi="Garamond" w:cs="Garamond"/>
        </w:rPr>
        <w:t>In 2017, Jair Bolsonaro</w:t>
      </w:r>
      <w:r>
        <w:rPr>
          <w:rFonts w:ascii="Garamond" w:eastAsia="Garamond" w:hAnsi="Garamond" w:cs="Garamond"/>
          <w:vertAlign w:val="superscript"/>
        </w:rPr>
        <w:footnoteReference w:id="21"/>
      </w:r>
      <w:r>
        <w:rPr>
          <w:rFonts w:ascii="Garamond" w:eastAsia="Garamond" w:hAnsi="Garamond" w:cs="Garamond"/>
        </w:rPr>
        <w:t>, during his presidential campaign, said: “I went to a quilombo. The lightest Afro-descendant there weighed seven arrobas</w:t>
      </w:r>
      <w:r>
        <w:rPr>
          <w:rFonts w:ascii="Garamond" w:eastAsia="Garamond" w:hAnsi="Garamond" w:cs="Garamond"/>
          <w:vertAlign w:val="superscript"/>
        </w:rPr>
        <w:footnoteReference w:id="22"/>
      </w:r>
      <w:r>
        <w:rPr>
          <w:rFonts w:ascii="Garamond" w:eastAsia="Garamond" w:hAnsi="Garamond" w:cs="Garamond"/>
        </w:rPr>
        <w:t>. They have no use. I don't think the guy was even good at procreating”. In 2022, when he was already President of the Republic, he repeated racist offenses against black and quilombola people.</w:t>
      </w:r>
      <w:r>
        <w:rPr>
          <w:rFonts w:ascii="Garamond" w:eastAsia="Garamond" w:hAnsi="Garamond" w:cs="Garamond"/>
          <w:vertAlign w:val="superscript"/>
        </w:rPr>
        <w:footnoteReference w:id="23"/>
      </w:r>
      <w:r>
        <w:rPr>
          <w:rFonts w:ascii="Garamond" w:eastAsia="Garamond" w:hAnsi="Garamond" w:cs="Garamond"/>
        </w:rPr>
        <w:t xml:space="preserve"> The non-official policy of extermination of the black population was a promise that was fulfilled by his administration. Estimates of Afro-descendant groups show there are more than 6,000 </w:t>
      </w:r>
      <w:r>
        <w:rPr>
          <w:rFonts w:ascii="Garamond" w:eastAsia="Garamond" w:hAnsi="Garamond" w:cs="Garamond"/>
          <w:b/>
        </w:rPr>
        <w:t>quilombola</w:t>
      </w:r>
      <w:r>
        <w:rPr>
          <w:rFonts w:ascii="Garamond" w:eastAsia="Garamond" w:hAnsi="Garamond" w:cs="Garamond"/>
        </w:rPr>
        <w:t xml:space="preserve"> territories in the country, where around 3 million families live. The </w:t>
      </w:r>
      <w:r>
        <w:rPr>
          <w:rFonts w:ascii="Garamond" w:eastAsia="Garamond" w:hAnsi="Garamond" w:cs="Garamond"/>
          <w:b/>
        </w:rPr>
        <w:t>quilombola people</w:t>
      </w:r>
      <w:r>
        <w:rPr>
          <w:rFonts w:ascii="Garamond" w:eastAsia="Garamond" w:hAnsi="Garamond" w:cs="Garamond"/>
        </w:rPr>
        <w:t xml:space="preserve"> are the second most affected by conflicts over land, only falling behind the indigenous population.</w:t>
      </w:r>
      <w:r>
        <w:rPr>
          <w:rFonts w:ascii="Garamond" w:eastAsia="Garamond" w:hAnsi="Garamond" w:cs="Garamond"/>
          <w:vertAlign w:val="superscript"/>
        </w:rPr>
        <w:footnoteReference w:id="24"/>
      </w:r>
      <w:r>
        <w:rPr>
          <w:rFonts w:ascii="Garamond" w:eastAsia="Garamond" w:hAnsi="Garamond" w:cs="Garamond"/>
        </w:rPr>
        <w:t>. Between 2016 and 2017, the murder of quilombo members increased by 350%, that is, from 4 cases to 18.</w:t>
      </w:r>
      <w:r>
        <w:rPr>
          <w:rFonts w:ascii="Garamond" w:eastAsia="Garamond" w:hAnsi="Garamond" w:cs="Garamond"/>
          <w:vertAlign w:val="superscript"/>
        </w:rPr>
        <w:footnoteReference w:id="25"/>
      </w:r>
      <w:r>
        <w:rPr>
          <w:rFonts w:ascii="Garamond" w:eastAsia="Garamond" w:hAnsi="Garamond" w:cs="Garamond"/>
        </w:rPr>
        <w:t xml:space="preserve"> Among the violence suffered, the rates of sexual violence stand out among women: from the cases registered between 2011 and 2021, rapes correspond to 21.13%. Once again, the Brazilian State fails to comply with the recommendations of the Durban Programme of Action regarding mechanisms, policies, and programs for the protection and promotion of the multicultural development of Afro-descendant communities, provided for in articles 59, 60, 171, 172, and 210.  </w:t>
      </w:r>
    </w:p>
    <w:p w:rsidR="008277B6" w:rsidRDefault="00406128">
      <w:pPr>
        <w:numPr>
          <w:ilvl w:val="0"/>
          <w:numId w:val="2"/>
        </w:numPr>
        <w:jc w:val="both"/>
        <w:rPr>
          <w:rFonts w:ascii="Garamond" w:eastAsia="Garamond" w:hAnsi="Garamond" w:cs="Garamond"/>
          <w:b/>
        </w:rPr>
      </w:pPr>
      <w:r>
        <w:rPr>
          <w:rFonts w:ascii="Garamond" w:eastAsia="Garamond" w:hAnsi="Garamond" w:cs="Garamond"/>
        </w:rPr>
        <w:t xml:space="preserve">Regarding measures to prevent torture from a gender bias, the State has been seriously failing in its guarantees, especially when regarding the </w:t>
      </w:r>
      <w:r>
        <w:rPr>
          <w:rFonts w:ascii="Garamond" w:eastAsia="Garamond" w:hAnsi="Garamond" w:cs="Garamond"/>
          <w:b/>
        </w:rPr>
        <w:t>sexual and reproductive health of black girls and women</w:t>
      </w:r>
      <w:r>
        <w:rPr>
          <w:rFonts w:ascii="Garamond" w:eastAsia="Garamond" w:hAnsi="Garamond" w:cs="Garamond"/>
        </w:rPr>
        <w:t xml:space="preserve">. Among serious violations of rights in this area is </w:t>
      </w:r>
      <w:r>
        <w:rPr>
          <w:rFonts w:ascii="Garamond" w:eastAsia="Garamond" w:hAnsi="Garamond" w:cs="Garamond"/>
          <w:b/>
        </w:rPr>
        <w:t>obstetric violence</w:t>
      </w:r>
      <w:r>
        <w:rPr>
          <w:rFonts w:ascii="Garamond" w:eastAsia="Garamond" w:hAnsi="Garamond" w:cs="Garamond"/>
        </w:rPr>
        <w:t>, which affects more black women than white women. Black women, for example, are 50% less likely to receive anesthesia during episiotomies.</w:t>
      </w:r>
      <w:r>
        <w:rPr>
          <w:rFonts w:ascii="Garamond" w:eastAsia="Garamond" w:hAnsi="Garamond" w:cs="Garamond"/>
          <w:vertAlign w:val="superscript"/>
        </w:rPr>
        <w:footnoteReference w:id="26"/>
      </w:r>
      <w:r>
        <w:rPr>
          <w:rFonts w:ascii="Garamond" w:eastAsia="Garamond" w:hAnsi="Garamond" w:cs="Garamond"/>
        </w:rPr>
        <w:t xml:space="preserve"> </w:t>
      </w:r>
    </w:p>
    <w:p w:rsidR="008277B6" w:rsidRDefault="00406128">
      <w:pPr>
        <w:numPr>
          <w:ilvl w:val="0"/>
          <w:numId w:val="2"/>
        </w:numPr>
        <w:jc w:val="both"/>
        <w:rPr>
          <w:rFonts w:ascii="Garamond" w:eastAsia="Garamond" w:hAnsi="Garamond" w:cs="Garamond"/>
          <w:b/>
        </w:rPr>
      </w:pPr>
      <w:r>
        <w:rPr>
          <w:rFonts w:ascii="Garamond" w:eastAsia="Garamond" w:hAnsi="Garamond" w:cs="Garamond"/>
        </w:rPr>
        <w:t xml:space="preserve">An </w:t>
      </w:r>
      <w:r>
        <w:rPr>
          <w:rFonts w:ascii="Garamond" w:eastAsia="Garamond" w:hAnsi="Garamond" w:cs="Garamond"/>
          <w:b/>
        </w:rPr>
        <w:t>emblematic case of the systematic violation of sexual and reproductive rights</w:t>
      </w:r>
      <w:r>
        <w:rPr>
          <w:rFonts w:ascii="Garamond" w:eastAsia="Garamond" w:hAnsi="Garamond" w:cs="Garamond"/>
        </w:rPr>
        <w:t xml:space="preserve">, marked by the intersectionality of gender, race, and class, is that of </w:t>
      </w:r>
      <w:r>
        <w:rPr>
          <w:rFonts w:ascii="Garamond" w:eastAsia="Garamond" w:hAnsi="Garamond" w:cs="Garamond"/>
          <w:b/>
        </w:rPr>
        <w:t>Janaína Aparecida Quirino, an impoverished black woman</w:t>
      </w:r>
      <w:r>
        <w:rPr>
          <w:rFonts w:ascii="Garamond" w:eastAsia="Garamond" w:hAnsi="Garamond" w:cs="Garamond"/>
        </w:rPr>
        <w:t xml:space="preserve">. In 2018, the Public Ministry of the State of São Paulo requested the Judiciary to perform a tubal ligation so that Janaína could no longer get pregnant. At the time, she was in prison, accused of drug trafficking, where she had her eighth child. In the decision, the judge responsible for the case ordered the procedure to be performed, so Janaína was subjected to </w:t>
      </w:r>
      <w:r>
        <w:rPr>
          <w:rFonts w:ascii="Garamond" w:eastAsia="Garamond" w:hAnsi="Garamond" w:cs="Garamond"/>
          <w:b/>
        </w:rPr>
        <w:t>forced sterilization</w:t>
      </w:r>
      <w:r>
        <w:rPr>
          <w:rFonts w:ascii="Garamond" w:eastAsia="Garamond" w:hAnsi="Garamond" w:cs="Garamond"/>
        </w:rPr>
        <w:t xml:space="preserve"> without her consent. In 2023, Janaína was a victim of domestic violence and died after seeking medical attention and being dismissed by the hospital.</w:t>
      </w:r>
      <w:r>
        <w:rPr>
          <w:rFonts w:ascii="Garamond" w:eastAsia="Garamond" w:hAnsi="Garamond" w:cs="Garamond"/>
          <w:vertAlign w:val="superscript"/>
        </w:rPr>
        <w:footnoteReference w:id="27"/>
      </w:r>
      <w:r>
        <w:rPr>
          <w:rFonts w:ascii="Garamond" w:eastAsia="Garamond" w:hAnsi="Garamond" w:cs="Garamond"/>
        </w:rPr>
        <w:t xml:space="preserve"> From 2008 to 2017, </w:t>
      </w:r>
      <w:r>
        <w:rPr>
          <w:rFonts w:ascii="Garamond" w:eastAsia="Garamond" w:hAnsi="Garamond" w:cs="Garamond"/>
          <w:b/>
        </w:rPr>
        <w:t>the number of emergency tubal ligations in black women increased by 2.5 times</w:t>
      </w:r>
      <w:r>
        <w:rPr>
          <w:rFonts w:ascii="Garamond" w:eastAsia="Garamond" w:hAnsi="Garamond" w:cs="Garamond"/>
          <w:vertAlign w:val="superscript"/>
        </w:rPr>
        <w:footnoteReference w:id="28"/>
      </w:r>
      <w:r>
        <w:rPr>
          <w:rFonts w:ascii="Garamond" w:eastAsia="Garamond" w:hAnsi="Garamond" w:cs="Garamond"/>
        </w:rPr>
        <w:t>. In the other direction, in the same period, the number of emergency tubal ligations performed in white women decreased. Paradoxically, it is black women (along with indigenous and riverside women) who have the greatest difficulty in accessing voluntary sterilization and contraceptive methods</w:t>
      </w:r>
      <w:r>
        <w:rPr>
          <w:rFonts w:ascii="Garamond" w:eastAsia="Garamond" w:hAnsi="Garamond" w:cs="Garamond"/>
          <w:vertAlign w:val="superscript"/>
        </w:rPr>
        <w:footnoteReference w:id="29"/>
      </w:r>
      <w:r>
        <w:rPr>
          <w:rFonts w:ascii="Garamond" w:eastAsia="Garamond" w:hAnsi="Garamond" w:cs="Garamond"/>
        </w:rPr>
        <w:t>.</w:t>
      </w:r>
    </w:p>
    <w:p w:rsidR="008277B6" w:rsidRDefault="00406128">
      <w:pPr>
        <w:numPr>
          <w:ilvl w:val="0"/>
          <w:numId w:val="2"/>
        </w:numPr>
        <w:jc w:val="both"/>
        <w:rPr>
          <w:rFonts w:ascii="Garamond" w:eastAsia="Garamond" w:hAnsi="Garamond" w:cs="Garamond"/>
          <w:b/>
        </w:rPr>
      </w:pPr>
      <w:r>
        <w:rPr>
          <w:rFonts w:ascii="Garamond" w:eastAsia="Garamond" w:hAnsi="Garamond" w:cs="Garamond"/>
        </w:rPr>
        <w:t xml:space="preserve">A National Abortion Survey conducted in 2016 revealed that 13% of Brazilian women aged 18 to 39 have had at least one </w:t>
      </w:r>
      <w:r>
        <w:rPr>
          <w:rFonts w:ascii="Garamond" w:eastAsia="Garamond" w:hAnsi="Garamond" w:cs="Garamond"/>
          <w:b/>
        </w:rPr>
        <w:t>abortion</w:t>
      </w:r>
      <w:r>
        <w:rPr>
          <w:rFonts w:ascii="Garamond" w:eastAsia="Garamond" w:hAnsi="Garamond" w:cs="Garamond"/>
        </w:rPr>
        <w:t>.</w:t>
      </w:r>
      <w:r>
        <w:rPr>
          <w:rFonts w:ascii="Garamond" w:eastAsia="Garamond" w:hAnsi="Garamond" w:cs="Garamond"/>
          <w:vertAlign w:val="superscript"/>
        </w:rPr>
        <w:footnoteReference w:id="30"/>
      </w:r>
      <w:r>
        <w:rPr>
          <w:rFonts w:ascii="Garamond" w:eastAsia="Garamond" w:hAnsi="Garamond" w:cs="Garamond"/>
        </w:rPr>
        <w:t xml:space="preserve"> Out of those, </w:t>
      </w:r>
      <w:r>
        <w:rPr>
          <w:rFonts w:ascii="Garamond" w:eastAsia="Garamond" w:hAnsi="Garamond" w:cs="Garamond"/>
          <w:b/>
        </w:rPr>
        <w:t>black women represent 29%,</w:t>
      </w:r>
      <w:r>
        <w:rPr>
          <w:rFonts w:ascii="Garamond" w:eastAsia="Garamond" w:hAnsi="Garamond" w:cs="Garamond"/>
        </w:rPr>
        <w:t xml:space="preserve"> while white women represent 9%. The percentage representing black women may be even higher, given that not all respondents provided information on race. In 2022, the Brazilian Ministry of Health issued a manual called “Technical Attention for Prevention, Evaluation and Conduct in Cases of Abortion”, making access to legal abortion even more difficult.</w:t>
      </w:r>
      <w:r>
        <w:rPr>
          <w:rFonts w:ascii="Garamond" w:eastAsia="Garamond" w:hAnsi="Garamond" w:cs="Garamond"/>
          <w:vertAlign w:val="superscript"/>
        </w:rPr>
        <w:footnoteReference w:id="31"/>
      </w:r>
      <w:r>
        <w:rPr>
          <w:rFonts w:ascii="Garamond" w:eastAsia="Garamond" w:hAnsi="Garamond" w:cs="Garamond"/>
        </w:rPr>
        <w:t xml:space="preserve"> As Brazil is no longer under </w:t>
      </w:r>
      <w:r>
        <w:rPr>
          <w:rFonts w:ascii="Garamond" w:eastAsia="Garamond" w:hAnsi="Garamond" w:cs="Garamond"/>
        </w:rPr>
        <w:lastRenderedPageBreak/>
        <w:t>Bolsonaro’s administration and although the manual has not yet been revoked, it is no longer found on government portals.</w:t>
      </w:r>
      <w:r>
        <w:rPr>
          <w:rFonts w:ascii="Garamond" w:eastAsia="Garamond" w:hAnsi="Garamond" w:cs="Garamond"/>
          <w:vertAlign w:val="superscript"/>
        </w:rPr>
        <w:footnoteReference w:id="32"/>
      </w:r>
      <w:r>
        <w:rPr>
          <w:rFonts w:ascii="Garamond" w:eastAsia="Garamond" w:hAnsi="Garamond" w:cs="Garamond"/>
        </w:rPr>
        <w:t xml:space="preserve"> </w:t>
      </w:r>
      <w:r>
        <w:rPr>
          <w:rFonts w:ascii="Garamond" w:eastAsia="Garamond" w:hAnsi="Garamond" w:cs="Garamond"/>
          <w:b/>
        </w:rPr>
        <w:t>In a scenario where more than 14,000 girls under the age of 14 were mothers (2021),</w:t>
      </w:r>
      <w:r>
        <w:rPr>
          <w:rFonts w:ascii="Garamond" w:eastAsia="Garamond" w:hAnsi="Garamond" w:cs="Garamond"/>
          <w:b/>
          <w:vertAlign w:val="superscript"/>
        </w:rPr>
        <w:footnoteReference w:id="33"/>
      </w:r>
      <w:r>
        <w:rPr>
          <w:rFonts w:ascii="Garamond" w:eastAsia="Garamond" w:hAnsi="Garamond" w:cs="Garamond"/>
          <w:b/>
        </w:rPr>
        <w:t xml:space="preserve"> and 75% of these girls are black,</w:t>
      </w:r>
      <w:r>
        <w:rPr>
          <w:rFonts w:ascii="Garamond" w:eastAsia="Garamond" w:hAnsi="Garamond" w:cs="Garamond"/>
          <w:b/>
          <w:vertAlign w:val="superscript"/>
        </w:rPr>
        <w:footnoteReference w:id="34"/>
      </w:r>
      <w:r>
        <w:rPr>
          <w:rFonts w:ascii="Garamond" w:eastAsia="Garamond" w:hAnsi="Garamond" w:cs="Garamond"/>
          <w:b/>
        </w:rPr>
        <w:t xml:space="preserve"> the manual at stake exposes the perversity that plagues the black population in Brazil.</w:t>
      </w:r>
      <w:r>
        <w:rPr>
          <w:rFonts w:ascii="Garamond" w:eastAsia="Garamond" w:hAnsi="Garamond" w:cs="Garamond"/>
        </w:rPr>
        <w:t xml:space="preserve"> </w:t>
      </w:r>
    </w:p>
    <w:p w:rsidR="008277B6" w:rsidRDefault="00406128">
      <w:pPr>
        <w:numPr>
          <w:ilvl w:val="0"/>
          <w:numId w:val="2"/>
        </w:numPr>
        <w:jc w:val="both"/>
        <w:rPr>
          <w:rFonts w:ascii="Garamond" w:eastAsia="Garamond" w:hAnsi="Garamond" w:cs="Garamond"/>
          <w:b/>
        </w:rPr>
      </w:pPr>
      <w:r>
        <w:rPr>
          <w:rFonts w:ascii="Garamond" w:eastAsia="Garamond" w:hAnsi="Garamond" w:cs="Garamond"/>
        </w:rPr>
        <w:t>In 2020 and 2022, two emblematic cases involving child-forced pregnancy highlighted the torture to which</w:t>
      </w:r>
      <w:r>
        <w:rPr>
          <w:rFonts w:ascii="Garamond" w:eastAsia="Garamond" w:hAnsi="Garamond" w:cs="Garamond"/>
          <w:b/>
        </w:rPr>
        <w:t xml:space="preserve"> black girls</w:t>
      </w:r>
      <w:r>
        <w:rPr>
          <w:rFonts w:ascii="Garamond" w:eastAsia="Garamond" w:hAnsi="Garamond" w:cs="Garamond"/>
        </w:rPr>
        <w:t xml:space="preserve"> have been subjected in Brazil. One of them, </w:t>
      </w:r>
      <w:r>
        <w:rPr>
          <w:rFonts w:ascii="Garamond" w:eastAsia="Garamond" w:hAnsi="Garamond" w:cs="Garamond"/>
          <w:b/>
        </w:rPr>
        <w:t>a 10-year-old girl</w:t>
      </w:r>
      <w:r>
        <w:rPr>
          <w:rFonts w:ascii="Garamond" w:eastAsia="Garamond" w:hAnsi="Garamond" w:cs="Garamond"/>
        </w:rPr>
        <w:t>, used to live in the state of Espírito Santo and was being sexually abused by her uncle since she was 6 years old. Although abortion is permitted by law in cases of sexual assaults, when recurring to the hospital, the girl’s family had the procedure denied and had to claim to the Judiciary to have that right guaranteed. The case was intervened by then Brazilian Minister of Women, Family, and Human Rights, Damares Alves, who sent emissaries to harass the family and the hospital, and expressed her opposition to the abortion in social media.</w:t>
      </w:r>
      <w:r>
        <w:rPr>
          <w:rFonts w:ascii="Garamond" w:eastAsia="Garamond" w:hAnsi="Garamond" w:cs="Garamond"/>
          <w:vertAlign w:val="superscript"/>
        </w:rPr>
        <w:footnoteReference w:id="35"/>
      </w:r>
      <w:r>
        <w:rPr>
          <w:rFonts w:ascii="Garamond" w:eastAsia="Garamond" w:hAnsi="Garamond" w:cs="Garamond"/>
        </w:rPr>
        <w:t xml:space="preserve"> Two years later, another </w:t>
      </w:r>
      <w:r>
        <w:rPr>
          <w:rFonts w:ascii="Garamond" w:eastAsia="Garamond" w:hAnsi="Garamond" w:cs="Garamond"/>
          <w:b/>
        </w:rPr>
        <w:t>10-year-old girl</w:t>
      </w:r>
      <w:r>
        <w:rPr>
          <w:rFonts w:ascii="Garamond" w:eastAsia="Garamond" w:hAnsi="Garamond" w:cs="Garamond"/>
        </w:rPr>
        <w:t>, in the state of Santa Catarina, was also denied the right to a legal abortion by the hospital. In addition to the sexual violence the girl suffered, the judge and the prosecutor who acted in the case subjected the child to more violence and torture, coming to the point of asking if the child could “bear a little longer” and maintain the pregnancy. Even though the procedure was performed, the Brazilian Ministry of Women, Family, and Human Rights at the time asked for an investigation into the medical doctors who performed it</w:t>
      </w:r>
      <w:r>
        <w:rPr>
          <w:rFonts w:ascii="Garamond" w:eastAsia="Garamond" w:hAnsi="Garamond" w:cs="Garamond"/>
          <w:vertAlign w:val="superscript"/>
        </w:rPr>
        <w:footnoteReference w:id="36"/>
      </w:r>
      <w:r>
        <w:rPr>
          <w:rFonts w:ascii="Garamond" w:eastAsia="Garamond" w:hAnsi="Garamond" w:cs="Garamond"/>
        </w:rPr>
        <w:t>. Despite there was no crime, the prosecutor who initially acted in the case sent the police to fetch the fetus from the hospital as potential evidence.</w:t>
      </w:r>
      <w:r>
        <w:rPr>
          <w:rFonts w:ascii="Garamond" w:eastAsia="Garamond" w:hAnsi="Garamond" w:cs="Garamond"/>
          <w:vertAlign w:val="superscript"/>
        </w:rPr>
        <w:footnoteReference w:id="37"/>
      </w:r>
      <w:r>
        <w:t xml:space="preserve"> </w:t>
      </w:r>
      <w:r>
        <w:rPr>
          <w:rFonts w:ascii="Garamond" w:eastAsia="Garamond" w:hAnsi="Garamond" w:cs="Garamond"/>
        </w:rPr>
        <w:t>In Brazil, 80% of victims of sexual violence are girls, usually between the ages of 10 and 14.</w:t>
      </w:r>
      <w:r>
        <w:rPr>
          <w:rFonts w:ascii="Garamond" w:eastAsia="Garamond" w:hAnsi="Garamond" w:cs="Garamond"/>
          <w:vertAlign w:val="superscript"/>
        </w:rPr>
        <w:footnoteReference w:id="38"/>
      </w:r>
      <w:r>
        <w:rPr>
          <w:rFonts w:ascii="Garamond" w:eastAsia="Garamond" w:hAnsi="Garamond" w:cs="Garamond"/>
        </w:rPr>
        <w:t xml:space="preserve"> When girls are not protected from sexual violence and the </w:t>
      </w:r>
      <w:r>
        <w:rPr>
          <w:rFonts w:ascii="Garamond" w:eastAsia="Garamond" w:hAnsi="Garamond" w:cs="Garamond"/>
          <w:b/>
        </w:rPr>
        <w:t>weight of racial discrimination still falls on them</w:t>
      </w:r>
      <w:r>
        <w:rPr>
          <w:rFonts w:ascii="Garamond" w:eastAsia="Garamond" w:hAnsi="Garamond" w:cs="Garamond"/>
        </w:rPr>
        <w:t xml:space="preserve"> due to a lack of access to programs and policies for sexual and reproductive rights, the Brazilian State fails to comply with several articles of the Durban Programme of Action. In different ways, articles 53, 54, 62, 69, and 72 of the Durban Programme of Action call on States to take all necessary measures to address violence against women and girls.</w:t>
      </w:r>
    </w:p>
    <w:p w:rsidR="008277B6" w:rsidRDefault="00406128">
      <w:pPr>
        <w:numPr>
          <w:ilvl w:val="0"/>
          <w:numId w:val="2"/>
        </w:numPr>
        <w:jc w:val="both"/>
        <w:rPr>
          <w:rFonts w:ascii="Garamond" w:eastAsia="Garamond" w:hAnsi="Garamond" w:cs="Garamond"/>
          <w:b/>
        </w:rPr>
      </w:pPr>
      <w:r>
        <w:rPr>
          <w:rFonts w:ascii="Garamond" w:eastAsia="Garamond" w:hAnsi="Garamond" w:cs="Garamond"/>
        </w:rPr>
        <w:t xml:space="preserve">Regarding access to </w:t>
      </w:r>
      <w:r>
        <w:rPr>
          <w:rFonts w:ascii="Garamond" w:eastAsia="Garamond" w:hAnsi="Garamond" w:cs="Garamond"/>
          <w:b/>
        </w:rPr>
        <w:t>gestational health</w:t>
      </w:r>
      <w:r>
        <w:rPr>
          <w:rFonts w:ascii="Garamond" w:eastAsia="Garamond" w:hAnsi="Garamond" w:cs="Garamond"/>
        </w:rPr>
        <w:t xml:space="preserve">, there are also asymmetries: </w:t>
      </w:r>
      <w:r>
        <w:rPr>
          <w:rFonts w:ascii="Garamond" w:eastAsia="Garamond" w:hAnsi="Garamond" w:cs="Garamond"/>
          <w:b/>
        </w:rPr>
        <w:t>in 2013, 69.8% of black women had the recommended minimum number of six prenatal consultations; among white women, the number reached 84.9%.</w:t>
      </w:r>
      <w:r>
        <w:rPr>
          <w:rFonts w:ascii="Garamond" w:eastAsia="Garamond" w:hAnsi="Garamond" w:cs="Garamond"/>
        </w:rPr>
        <w:t xml:space="preserve"> The difference between white and black women in access to health is also revealed by the number of maternal deaths: in 2012,</w:t>
      </w:r>
      <w:r>
        <w:rPr>
          <w:rFonts w:ascii="Garamond" w:eastAsia="Garamond" w:hAnsi="Garamond" w:cs="Garamond"/>
          <w:b/>
        </w:rPr>
        <w:t xml:space="preserve"> </w:t>
      </w:r>
      <w:r>
        <w:rPr>
          <w:rFonts w:ascii="Garamond" w:eastAsia="Garamond" w:hAnsi="Garamond" w:cs="Garamond"/>
        </w:rPr>
        <w:t xml:space="preserve">out of </w:t>
      </w:r>
      <w:r>
        <w:rPr>
          <w:rFonts w:ascii="Garamond" w:eastAsia="Garamond" w:hAnsi="Garamond" w:cs="Garamond"/>
          <w:b/>
        </w:rPr>
        <w:t>1,583 cases, 60% were of black women and 34% of white women.</w:t>
      </w:r>
      <w:r>
        <w:rPr>
          <w:rFonts w:ascii="Garamond" w:eastAsia="Garamond" w:hAnsi="Garamond" w:cs="Garamond"/>
          <w:vertAlign w:val="superscript"/>
        </w:rPr>
        <w:footnoteReference w:id="39"/>
      </w:r>
      <w:r>
        <w:rPr>
          <w:rFonts w:ascii="Garamond" w:eastAsia="Garamond" w:hAnsi="Garamond" w:cs="Garamond"/>
        </w:rPr>
        <w:t xml:space="preserve"> The Durban Programme of Action, article 54, letter </w:t>
      </w:r>
      <w:r>
        <w:rPr>
          <w:rFonts w:ascii="Garamond" w:eastAsia="Garamond" w:hAnsi="Garamond" w:cs="Garamond"/>
          <w:i/>
        </w:rPr>
        <w:t>b</w:t>
      </w:r>
      <w:r>
        <w:rPr>
          <w:rFonts w:ascii="Garamond" w:eastAsia="Garamond" w:hAnsi="Garamond" w:cs="Garamond"/>
        </w:rPr>
        <w:t>, calls on States to put an end to impunity and to seek responsibility for perpetrators of crimes related to sexual violence and</w:t>
      </w:r>
      <w:r>
        <w:rPr>
          <w:rFonts w:ascii="Garamond" w:eastAsia="Garamond" w:hAnsi="Garamond" w:cs="Garamond"/>
          <w:b/>
        </w:rPr>
        <w:t xml:space="preserve"> other types of gender-based violence against women and girls</w:t>
      </w:r>
      <w:r>
        <w:rPr>
          <w:rFonts w:ascii="Garamond" w:eastAsia="Garamond" w:hAnsi="Garamond" w:cs="Garamond"/>
        </w:rPr>
        <w:t xml:space="preserve">. In this regard, the Brazilian State fails to comply with the provisions of the Durban Declaration. </w:t>
      </w:r>
    </w:p>
    <w:p w:rsidR="008277B6" w:rsidRDefault="00406128">
      <w:pPr>
        <w:numPr>
          <w:ilvl w:val="0"/>
          <w:numId w:val="2"/>
        </w:numPr>
        <w:pBdr>
          <w:top w:val="nil"/>
          <w:left w:val="nil"/>
          <w:bottom w:val="nil"/>
          <w:right w:val="nil"/>
          <w:between w:val="nil"/>
        </w:pBdr>
        <w:jc w:val="both"/>
        <w:rPr>
          <w:rFonts w:ascii="Garamond" w:eastAsia="Garamond" w:hAnsi="Garamond" w:cs="Garamond"/>
          <w:b/>
        </w:rPr>
      </w:pPr>
      <w:r>
        <w:rPr>
          <w:rFonts w:ascii="Garamond" w:eastAsia="Garamond" w:hAnsi="Garamond" w:cs="Garamond"/>
        </w:rPr>
        <w:t>Still connecting gender and race, the Marielle Franco Institute identified that</w:t>
      </w:r>
      <w:r>
        <w:rPr>
          <w:rFonts w:ascii="Garamond" w:eastAsia="Garamond" w:hAnsi="Garamond" w:cs="Garamond"/>
          <w:b/>
        </w:rPr>
        <w:t xml:space="preserve"> political violence reached 98.5% of the black candidates interviewed in 2020</w:t>
      </w:r>
      <w:r>
        <w:rPr>
          <w:rFonts w:ascii="Garamond" w:eastAsia="Garamond" w:hAnsi="Garamond" w:cs="Garamond"/>
        </w:rPr>
        <w:t>.</w:t>
      </w:r>
      <w:r>
        <w:rPr>
          <w:rFonts w:ascii="Garamond" w:eastAsia="Garamond" w:hAnsi="Garamond" w:cs="Garamond"/>
          <w:vertAlign w:val="superscript"/>
        </w:rPr>
        <w:footnoteReference w:id="40"/>
      </w:r>
      <w:r>
        <w:rPr>
          <w:rFonts w:ascii="Garamond" w:eastAsia="Garamond" w:hAnsi="Garamond" w:cs="Garamond"/>
        </w:rPr>
        <w:t xml:space="preserve"> In this matter, it is important to emphasize that, </w:t>
      </w:r>
      <w:r>
        <w:rPr>
          <w:rFonts w:ascii="Garamond" w:eastAsia="Garamond" w:hAnsi="Garamond" w:cs="Garamond"/>
          <w:b/>
        </w:rPr>
        <w:t>along with other violations of women's sexual and reproductive rights, torture manifests itself in multiple and complex ways, both physically and mentally</w:t>
      </w:r>
      <w:r>
        <w:rPr>
          <w:rFonts w:ascii="Garamond" w:eastAsia="Garamond" w:hAnsi="Garamond" w:cs="Garamond"/>
        </w:rPr>
        <w:t xml:space="preserve">. On torture in the context of women's candidacies, the report published in 2020 showed that </w:t>
      </w:r>
      <w:r>
        <w:rPr>
          <w:rFonts w:ascii="Garamond" w:eastAsia="Garamond" w:hAnsi="Garamond" w:cs="Garamond"/>
          <w:b/>
        </w:rPr>
        <w:t>78.1% of the black candidates</w:t>
      </w:r>
      <w:r>
        <w:rPr>
          <w:rFonts w:ascii="Garamond" w:eastAsia="Garamond" w:hAnsi="Garamond" w:cs="Garamond"/>
        </w:rPr>
        <w:t xml:space="preserve"> interviewed reported having suffered virtual violence. Under this and </w:t>
      </w:r>
      <w:r>
        <w:rPr>
          <w:rFonts w:ascii="Garamond" w:eastAsia="Garamond" w:hAnsi="Garamond" w:cs="Garamond"/>
        </w:rPr>
        <w:lastRenderedPageBreak/>
        <w:t>other means of violence, 44.3% exposed racist attacks, including 6.3% that reported physical aggression based on race/color/ethnicity. Institutional violence affected 56.6% of respondents and 24.6% of candidates exposed to gender and LGBTQIA+phobic violence. In the</w:t>
      </w:r>
      <w:r>
        <w:rPr>
          <w:rFonts w:ascii="Garamond" w:eastAsia="Garamond" w:hAnsi="Garamond" w:cs="Garamond"/>
          <w:b/>
        </w:rPr>
        <w:t xml:space="preserve"> psychological aspect</w:t>
      </w:r>
      <w:r>
        <w:rPr>
          <w:rFonts w:ascii="Garamond" w:eastAsia="Garamond" w:hAnsi="Garamond" w:cs="Garamond"/>
        </w:rPr>
        <w:t>, 62% of participants said they suffered from this type of violence, including religious racism. Physical violence, in the form of intimidation, threats, and aggression itself, reached 42% of the candidates and 32% declared having suffered some type of sexual violence.</w:t>
      </w:r>
      <w:r>
        <w:rPr>
          <w:rFonts w:ascii="Garamond" w:eastAsia="Garamond" w:hAnsi="Garamond" w:cs="Garamond"/>
          <w:vertAlign w:val="superscript"/>
        </w:rPr>
        <w:footnoteReference w:id="41"/>
      </w:r>
    </w:p>
    <w:p w:rsidR="008277B6" w:rsidRDefault="00406128">
      <w:pPr>
        <w:numPr>
          <w:ilvl w:val="0"/>
          <w:numId w:val="2"/>
        </w:numPr>
        <w:jc w:val="both"/>
        <w:rPr>
          <w:rFonts w:ascii="Garamond" w:eastAsia="Garamond" w:hAnsi="Garamond" w:cs="Garamond"/>
          <w:b/>
        </w:rPr>
      </w:pPr>
      <w:r>
        <w:rPr>
          <w:rFonts w:ascii="Garamond" w:eastAsia="Garamond" w:hAnsi="Garamond" w:cs="Garamond"/>
        </w:rPr>
        <w:t xml:space="preserve">As for the practice of </w:t>
      </w:r>
      <w:r>
        <w:rPr>
          <w:rFonts w:ascii="Garamond" w:eastAsia="Garamond" w:hAnsi="Garamond" w:cs="Garamond"/>
          <w:b/>
        </w:rPr>
        <w:t>torture committed by private agents</w:t>
      </w:r>
      <w:r>
        <w:rPr>
          <w:rFonts w:ascii="Garamond" w:eastAsia="Garamond" w:hAnsi="Garamond" w:cs="Garamond"/>
        </w:rPr>
        <w:t xml:space="preserve">, mostly </w:t>
      </w:r>
      <w:r>
        <w:rPr>
          <w:rFonts w:ascii="Garamond" w:eastAsia="Garamond" w:hAnsi="Garamond" w:cs="Garamond"/>
          <w:b/>
        </w:rPr>
        <w:t>against black people,</w:t>
      </w:r>
      <w:r>
        <w:rPr>
          <w:rFonts w:ascii="Garamond" w:eastAsia="Garamond" w:hAnsi="Garamond" w:cs="Garamond"/>
        </w:rPr>
        <w:t xml:space="preserve"> the State has also failed to prevent it. An </w:t>
      </w:r>
      <w:r>
        <w:rPr>
          <w:rFonts w:ascii="Garamond" w:eastAsia="Garamond" w:hAnsi="Garamond" w:cs="Garamond"/>
          <w:b/>
        </w:rPr>
        <w:t>emblematic case</w:t>
      </w:r>
      <w:r>
        <w:rPr>
          <w:rFonts w:ascii="Garamond" w:eastAsia="Garamond" w:hAnsi="Garamond" w:cs="Garamond"/>
        </w:rPr>
        <w:t xml:space="preserve"> occurred in the state of Rio Grande do Sul, in the city of Canoas, when a black man was attacked in a supermarket warehouse, and the practice of torture involved punches, kicks, blows with pieces of wood, threats, and racial slurs.</w:t>
      </w:r>
      <w:r>
        <w:rPr>
          <w:rFonts w:ascii="Garamond" w:eastAsia="Garamond" w:hAnsi="Garamond" w:cs="Garamond"/>
          <w:vertAlign w:val="superscript"/>
        </w:rPr>
        <w:footnoteReference w:id="42"/>
      </w:r>
      <w:r>
        <w:rPr>
          <w:rFonts w:ascii="Garamond" w:eastAsia="Garamond" w:hAnsi="Garamond" w:cs="Garamond"/>
          <w:vertAlign w:val="superscript"/>
        </w:rPr>
        <w:t xml:space="preserve"> </w:t>
      </w:r>
      <w:r>
        <w:rPr>
          <w:rFonts w:ascii="Garamond" w:eastAsia="Garamond" w:hAnsi="Garamond" w:cs="Garamond"/>
        </w:rPr>
        <w:t>In the state of Rio Grande do Norte, a shopkeeper was accused of having tied and dragged on the ground a quilombola, a crime motivated by racism, in the city of Portalegre.</w:t>
      </w:r>
      <w:r>
        <w:rPr>
          <w:rFonts w:ascii="Garamond" w:eastAsia="Garamond" w:hAnsi="Garamond" w:cs="Garamond"/>
          <w:vertAlign w:val="superscript"/>
        </w:rPr>
        <w:footnoteReference w:id="43"/>
      </w:r>
      <w:r>
        <w:rPr>
          <w:rFonts w:ascii="Garamond" w:eastAsia="Garamond" w:hAnsi="Garamond" w:cs="Garamond"/>
        </w:rPr>
        <w:t xml:space="preserve"> Another notorious event was the case of </w:t>
      </w:r>
      <w:r>
        <w:rPr>
          <w:rFonts w:ascii="Garamond" w:eastAsia="Garamond" w:hAnsi="Garamond" w:cs="Garamond"/>
          <w:b/>
        </w:rPr>
        <w:t>Moïse Kabagambe</w:t>
      </w:r>
      <w:r>
        <w:rPr>
          <w:rFonts w:ascii="Garamond" w:eastAsia="Garamond" w:hAnsi="Garamond" w:cs="Garamond"/>
        </w:rPr>
        <w:t>, a Congolese refugee who was attacked and killed in the city of Rio de Janeiro in January 2022. Moïse worked at a beach kiosk in Barra da Tijuca, where he was paid per day. According to the 24-year-old man’s family, he was attacked and killed after asking for the amounts to which he was entitled.</w:t>
      </w:r>
      <w:r>
        <w:rPr>
          <w:rFonts w:ascii="Garamond" w:eastAsia="Garamond" w:hAnsi="Garamond" w:cs="Garamond"/>
          <w:vertAlign w:val="superscript"/>
        </w:rPr>
        <w:footnoteReference w:id="44"/>
      </w:r>
      <w:r>
        <w:rPr>
          <w:rFonts w:ascii="Garamond" w:eastAsia="Garamond" w:hAnsi="Garamond" w:cs="Garamond"/>
        </w:rPr>
        <w:t xml:space="preserve"> In August 2022, the case of </w:t>
      </w:r>
      <w:r>
        <w:rPr>
          <w:rFonts w:ascii="Garamond" w:eastAsia="Garamond" w:hAnsi="Garamond" w:cs="Garamond"/>
          <w:b/>
        </w:rPr>
        <w:t>William de Jesus Conceição</w:t>
      </w:r>
      <w:r>
        <w:rPr>
          <w:rFonts w:ascii="Garamond" w:eastAsia="Garamond" w:hAnsi="Garamond" w:cs="Garamond"/>
        </w:rPr>
        <w:t>, a 24-year-old black man, and his co-worker whose name was not identified, became well-known. The two were accused by the owner and the manager of the store where they worked, in Salvador, the capital of the state of Bahia, of having stolen R$30.00 (the equivalent of less than US$6). The employees were tortured by superiors at the back of the commercial establishment, with beatings and threats. William had his hands burned with an iron by the employer, who marked the number 171, in allusion to the article of the Penal Code that typifies the crime of embezzlement</w:t>
      </w:r>
      <w:r>
        <w:rPr>
          <w:rFonts w:ascii="Garamond" w:eastAsia="Garamond" w:hAnsi="Garamond" w:cs="Garamond"/>
          <w:vertAlign w:val="superscript"/>
        </w:rPr>
        <w:footnoteReference w:id="45"/>
      </w:r>
      <w:r>
        <w:rPr>
          <w:rFonts w:ascii="Garamond" w:eastAsia="Garamond" w:hAnsi="Garamond" w:cs="Garamond"/>
        </w:rPr>
        <w:t xml:space="preserve"> (Annex 3).</w:t>
      </w:r>
      <w:r>
        <w:rPr>
          <w:rFonts w:ascii="Garamond" w:eastAsia="Garamond" w:hAnsi="Garamond" w:cs="Garamond"/>
          <w:vertAlign w:val="superscript"/>
        </w:rPr>
        <w:footnoteReference w:id="46"/>
      </w:r>
      <w:r>
        <w:rPr>
          <w:rFonts w:ascii="Garamond" w:eastAsia="Garamond" w:hAnsi="Garamond" w:cs="Garamond"/>
        </w:rPr>
        <w:t xml:space="preserve"> </w:t>
      </w:r>
    </w:p>
    <w:p w:rsidR="008277B6" w:rsidRDefault="00406128">
      <w:pPr>
        <w:numPr>
          <w:ilvl w:val="0"/>
          <w:numId w:val="2"/>
        </w:numPr>
        <w:jc w:val="both"/>
        <w:rPr>
          <w:rFonts w:ascii="Garamond" w:eastAsia="Garamond" w:hAnsi="Garamond" w:cs="Garamond"/>
          <w:b/>
        </w:rPr>
      </w:pPr>
      <w:r>
        <w:rPr>
          <w:rFonts w:ascii="Garamond" w:eastAsia="Garamond" w:hAnsi="Garamond" w:cs="Garamond"/>
        </w:rPr>
        <w:t xml:space="preserve">Concerning the </w:t>
      </w:r>
      <w:r>
        <w:rPr>
          <w:rFonts w:ascii="Garamond" w:eastAsia="Garamond" w:hAnsi="Garamond" w:cs="Garamond"/>
          <w:b/>
        </w:rPr>
        <w:t>education of professionals</w:t>
      </w:r>
      <w:r>
        <w:rPr>
          <w:rFonts w:ascii="Garamond" w:eastAsia="Garamond" w:hAnsi="Garamond" w:cs="Garamond"/>
        </w:rPr>
        <w:t xml:space="preserve"> to face torture in Brazil, the State has been seriously failing. Despite the creation of a public policy aimed especially at human rights education - the National Human Rights Education Plan of Brazil (PNEDH), in 2006, and the National Human Rights Program (PNDH3), in 2010, provided for the implementation of the PNEDH and other guidelines in the field of education -, these policies have been decimated in recent years. In 2019, then President Jair Bolsonaro, through Decree No. 9,759/2019, extinguished all councils that had not been established by law, closing spaces for social participation and political dialogue, consequently making the mechanisms themselves wither. That happened with the extinction of the ‘Follow-up and Monitoring Committee of the PNDH’, which left the PNDH3 unassessed, and the extinction of the National Council for Human Rights Education, undermining the effectiveness of the human rights education policy in the country. These setbacks go against the commitments assumed by the State regarding the </w:t>
      </w:r>
      <w:r>
        <w:rPr>
          <w:rFonts w:ascii="Garamond" w:eastAsia="Garamond" w:hAnsi="Garamond" w:cs="Garamond"/>
          <w:b/>
        </w:rPr>
        <w:t>education and instruction of professionals about the prohibition of torture</w:t>
      </w:r>
      <w:r>
        <w:rPr>
          <w:rFonts w:ascii="Garamond" w:eastAsia="Garamond" w:hAnsi="Garamond" w:cs="Garamond"/>
        </w:rPr>
        <w:t>. The Durban Programme of Action, in Articles 125, 126, 127, 133, 134, and 138, calls upon States to develop cultural and educational programs for training in human rights aimed at combating racism, racial discrimination, xenophobia, and associated intolerance, to promote understanding and awareness of the causes, consequences and evils of racism.</w:t>
      </w:r>
      <w:r>
        <w:rPr>
          <w:rFonts w:ascii="Garamond" w:eastAsia="Garamond" w:hAnsi="Garamond" w:cs="Garamond"/>
          <w:highlight w:val="yellow"/>
        </w:rPr>
        <w:t xml:space="preserve"> </w:t>
      </w:r>
    </w:p>
    <w:p w:rsidR="008277B6" w:rsidRDefault="00406128">
      <w:pPr>
        <w:numPr>
          <w:ilvl w:val="0"/>
          <w:numId w:val="2"/>
        </w:numPr>
        <w:jc w:val="both"/>
        <w:rPr>
          <w:rFonts w:ascii="Garamond" w:eastAsia="Garamond" w:hAnsi="Garamond" w:cs="Garamond"/>
          <w:b/>
        </w:rPr>
      </w:pPr>
      <w:r>
        <w:rPr>
          <w:rFonts w:ascii="Garamond" w:eastAsia="Garamond" w:hAnsi="Garamond" w:cs="Garamond"/>
        </w:rPr>
        <w:t xml:space="preserve">The most recent report of the National Inspection of Psychiatric Hospitals in Brazil, published in 2019, finds violations of human rights and evidence of practices of torture, and cruel, inhuman, </w:t>
      </w:r>
      <w:r>
        <w:rPr>
          <w:rFonts w:ascii="Garamond" w:eastAsia="Garamond" w:hAnsi="Garamond" w:cs="Garamond"/>
        </w:rPr>
        <w:lastRenderedPageBreak/>
        <w:t>or degrading treatment within the country's psychiatric institutions.</w:t>
      </w:r>
      <w:r>
        <w:rPr>
          <w:rFonts w:ascii="Garamond" w:eastAsia="Garamond" w:hAnsi="Garamond" w:cs="Garamond"/>
          <w:vertAlign w:val="superscript"/>
        </w:rPr>
        <w:footnoteReference w:id="47"/>
      </w:r>
      <w:r>
        <w:rPr>
          <w:rFonts w:ascii="Garamond" w:eastAsia="Garamond" w:hAnsi="Garamond" w:cs="Garamond"/>
        </w:rPr>
        <w:t xml:space="preserve"> The report points out that, in addition to these practices, the</w:t>
      </w:r>
      <w:r>
        <w:rPr>
          <w:rFonts w:ascii="Garamond" w:eastAsia="Garamond" w:hAnsi="Garamond" w:cs="Garamond"/>
          <w:b/>
        </w:rPr>
        <w:t xml:space="preserve"> crime of racism</w:t>
      </w:r>
      <w:r>
        <w:rPr>
          <w:rFonts w:ascii="Garamond" w:eastAsia="Garamond" w:hAnsi="Garamond" w:cs="Garamond"/>
        </w:rPr>
        <w:t xml:space="preserve"> is strongly present: “some inmates said that the technicians called them ‘monkeys’ and ‘dirty black women’ because they were black”. </w:t>
      </w:r>
      <w:r>
        <w:rPr>
          <w:rFonts w:ascii="Garamond" w:eastAsia="Garamond" w:hAnsi="Garamond" w:cs="Garamond"/>
          <w:b/>
        </w:rPr>
        <w:t>Most users of psychiatric units maintained by the Unified Health System - SUS are black people</w:t>
      </w:r>
      <w:r>
        <w:rPr>
          <w:rFonts w:ascii="Garamond" w:eastAsia="Garamond" w:hAnsi="Garamond" w:cs="Garamond"/>
        </w:rPr>
        <w:t xml:space="preserve">. “During the inspection, the ethnic discrepancy between the occupants of SUS beds and private beds was highlighted, accentuating that in SUS beds the </w:t>
      </w:r>
      <w:r>
        <w:rPr>
          <w:rFonts w:ascii="Garamond" w:eastAsia="Garamond" w:hAnsi="Garamond" w:cs="Garamond"/>
          <w:b/>
        </w:rPr>
        <w:t>[black]</w:t>
      </w:r>
      <w:r>
        <w:rPr>
          <w:rFonts w:ascii="Garamond" w:eastAsia="Garamond" w:hAnsi="Garamond" w:cs="Garamond"/>
        </w:rPr>
        <w:t xml:space="preserve"> population is predominant” In Santa Maria, city of Rio Grande do Sul, two nuns are accused of torture, racism, and mistreatment against </w:t>
      </w:r>
      <w:r>
        <w:rPr>
          <w:rFonts w:ascii="Garamond" w:eastAsia="Garamond" w:hAnsi="Garamond" w:cs="Garamond"/>
          <w:b/>
        </w:rPr>
        <w:t>black women and elderly black women</w:t>
      </w:r>
      <w:r>
        <w:rPr>
          <w:rFonts w:ascii="Garamond" w:eastAsia="Garamond" w:hAnsi="Garamond" w:cs="Garamond"/>
        </w:rPr>
        <w:t>, practiced between 2018 and 2019.</w:t>
      </w:r>
      <w:r>
        <w:rPr>
          <w:rFonts w:ascii="Garamond" w:eastAsia="Garamond" w:hAnsi="Garamond" w:cs="Garamond"/>
          <w:vertAlign w:val="superscript"/>
        </w:rPr>
        <w:footnoteReference w:id="48"/>
      </w:r>
      <w:r>
        <w:rPr>
          <w:rFonts w:ascii="Garamond" w:eastAsia="Garamond" w:hAnsi="Garamond" w:cs="Garamond"/>
        </w:rPr>
        <w:t xml:space="preserve"> At Casa de Saúde Cananéia, a psychiatric facility in Vassouras/RJ, the inspection concluded with the urgency of public policies aimed specifically at the condition of</w:t>
      </w:r>
      <w:r>
        <w:rPr>
          <w:rFonts w:ascii="Garamond" w:eastAsia="Garamond" w:hAnsi="Garamond" w:cs="Garamond"/>
          <w:b/>
        </w:rPr>
        <w:t xml:space="preserve"> black women</w:t>
      </w:r>
      <w:r>
        <w:rPr>
          <w:rFonts w:ascii="Garamond" w:eastAsia="Garamond" w:hAnsi="Garamond" w:cs="Garamond"/>
        </w:rPr>
        <w:t>. Factors such as unemployment, lack of education, and housing policies</w:t>
      </w:r>
      <w:r>
        <w:rPr>
          <w:rFonts w:ascii="Garamond" w:eastAsia="Garamond" w:hAnsi="Garamond" w:cs="Garamond"/>
          <w:b/>
        </w:rPr>
        <w:t xml:space="preserve"> promote psychic, physical, and cultural extermination and increase the high mental suffering of black people</w:t>
      </w:r>
      <w:r>
        <w:rPr>
          <w:rFonts w:ascii="Garamond" w:eastAsia="Garamond" w:hAnsi="Garamond" w:cs="Garamond"/>
        </w:rPr>
        <w:t xml:space="preserve">. </w:t>
      </w:r>
    </w:p>
    <w:p w:rsidR="008277B6" w:rsidRDefault="00406128">
      <w:pPr>
        <w:numPr>
          <w:ilvl w:val="0"/>
          <w:numId w:val="2"/>
        </w:numPr>
        <w:jc w:val="both"/>
        <w:rPr>
          <w:rFonts w:ascii="Garamond" w:eastAsia="Garamond" w:hAnsi="Garamond" w:cs="Garamond"/>
          <w:b/>
        </w:rPr>
      </w:pPr>
      <w:r>
        <w:rPr>
          <w:rFonts w:ascii="Garamond" w:eastAsia="Garamond" w:hAnsi="Garamond" w:cs="Garamond"/>
        </w:rPr>
        <w:t>The research report “Between 'cures' and 'therapies': efforts to 'correct' the sexual orientation and gender identity of LGBTI+ people in Brazil”, published by All Out and Matizes Institute - Research and Education for Equity, identified that discrimination regarding sexual orientation and gender identity entails efforts to make LGBTQIA+ people cisgender or heterosexual, stimulating fear and self-hatred. These violent practices occur in different contexts, such as religious, family, health, and school contexts, involving exorcism sessions, inappropriate psychotherapeutic sessions, mistaken medical diagnoses, unnecessary medical or hormonal treatments, etc. Despite the specificities of each of these relational spaces, all are marked by psychological manipulation and torture with the aim of “converting” or “curing” dissident sexual orientations and gender identities from compulsory cis-heterosexuality.</w:t>
      </w:r>
      <w:r>
        <w:rPr>
          <w:rFonts w:ascii="Garamond" w:eastAsia="Garamond" w:hAnsi="Garamond" w:cs="Garamond"/>
          <w:vertAlign w:val="superscript"/>
        </w:rPr>
        <w:footnoteReference w:id="49"/>
      </w:r>
      <w:r>
        <w:rPr>
          <w:rFonts w:ascii="Garamond" w:eastAsia="Garamond" w:hAnsi="Garamond" w:cs="Garamond"/>
          <w:vertAlign w:val="superscript"/>
        </w:rPr>
        <w:t xml:space="preserve"> </w:t>
      </w:r>
      <w:r>
        <w:rPr>
          <w:rFonts w:ascii="Garamond" w:eastAsia="Garamond" w:hAnsi="Garamond" w:cs="Garamond"/>
        </w:rPr>
        <w:t xml:space="preserve">In this regard, it is important to emphasize that </w:t>
      </w:r>
      <w:r>
        <w:rPr>
          <w:rFonts w:ascii="Garamond" w:eastAsia="Garamond" w:hAnsi="Garamond" w:cs="Garamond"/>
          <w:b/>
        </w:rPr>
        <w:t>an aspect of institutional racism</w:t>
      </w:r>
      <w:r>
        <w:rPr>
          <w:rFonts w:ascii="Garamond" w:eastAsia="Garamond" w:hAnsi="Garamond" w:cs="Garamond"/>
        </w:rPr>
        <w:t xml:space="preserve"> is presented in the absence of specific data on the black LGBTQIA+ population in Brazil. In spite of the lack of stratified data that would make it possible to understand the specific realities, the indicators of the Brazilian Public Security Forum, dated 2022, revealed that violence against the LGBTQIA+ population, an increase in all variables (under the typifications of homicide, intentional bodily injury, and rape).</w:t>
      </w:r>
      <w:r>
        <w:rPr>
          <w:rFonts w:ascii="Garamond" w:eastAsia="Garamond" w:hAnsi="Garamond" w:cs="Garamond"/>
          <w:vertAlign w:val="superscript"/>
        </w:rPr>
        <w:footnoteReference w:id="50"/>
      </w:r>
    </w:p>
    <w:p w:rsidR="008277B6" w:rsidRDefault="00406128">
      <w:pPr>
        <w:numPr>
          <w:ilvl w:val="0"/>
          <w:numId w:val="2"/>
        </w:numPr>
        <w:jc w:val="both"/>
        <w:rPr>
          <w:rFonts w:ascii="Garamond" w:eastAsia="Garamond" w:hAnsi="Garamond" w:cs="Garamond"/>
          <w:b/>
        </w:rPr>
      </w:pPr>
      <w:r>
        <w:rPr>
          <w:rFonts w:ascii="Garamond" w:eastAsia="Garamond" w:hAnsi="Garamond" w:cs="Garamond"/>
        </w:rPr>
        <w:t>The ‘Dossier on lesbicide in Brazil: from 2014 to 2017’, carried out by the Nucleus for Social Inclusion - NIS, of the Federal University of Rio de Janeiro - UFRJ and by Nós: Dissidências Feministas, identified that most victims of lesbicide</w:t>
      </w:r>
      <w:r>
        <w:rPr>
          <w:rFonts w:ascii="Garamond" w:eastAsia="Garamond" w:hAnsi="Garamond" w:cs="Garamond"/>
          <w:vertAlign w:val="superscript"/>
        </w:rPr>
        <w:footnoteReference w:id="51"/>
      </w:r>
      <w:r>
        <w:rPr>
          <w:rFonts w:ascii="Garamond" w:eastAsia="Garamond" w:hAnsi="Garamond" w:cs="Garamond"/>
        </w:rPr>
        <w:t>- the equivalent of 57% - are young people up to 24 years old. However, when race/ethnicity is analyzed, the research reinforces that the data found, which point to white lesbians being more victimized (57%) than black lesbians (42%), is a reflection of the racist media that does not disclose cases of torture and violence against black women.</w:t>
      </w:r>
      <w:r>
        <w:rPr>
          <w:rFonts w:ascii="Garamond" w:eastAsia="Garamond" w:hAnsi="Garamond" w:cs="Garamond"/>
          <w:vertAlign w:val="superscript"/>
        </w:rPr>
        <w:footnoteReference w:id="52"/>
      </w:r>
      <w:r>
        <w:rPr>
          <w:rFonts w:ascii="Garamond" w:eastAsia="Garamond" w:hAnsi="Garamond" w:cs="Garamond"/>
          <w:vertAlign w:val="superscript"/>
        </w:rPr>
        <w:t xml:space="preserve"> </w:t>
      </w:r>
      <w:r>
        <w:rPr>
          <w:rFonts w:ascii="Garamond" w:eastAsia="Garamond" w:hAnsi="Garamond" w:cs="Garamond"/>
        </w:rPr>
        <w:t xml:space="preserve">An emblematic case of </w:t>
      </w:r>
      <w:r>
        <w:rPr>
          <w:rFonts w:ascii="Garamond" w:eastAsia="Garamond" w:hAnsi="Garamond" w:cs="Garamond"/>
          <w:b/>
        </w:rPr>
        <w:t>lesbicide</w:t>
      </w:r>
      <w:r>
        <w:rPr>
          <w:rFonts w:ascii="Garamond" w:eastAsia="Garamond" w:hAnsi="Garamond" w:cs="Garamond"/>
        </w:rPr>
        <w:t xml:space="preserve"> is that of a non-feminized, mother and peripheral </w:t>
      </w:r>
      <w:r>
        <w:rPr>
          <w:rFonts w:ascii="Garamond" w:eastAsia="Garamond" w:hAnsi="Garamond" w:cs="Garamond"/>
          <w:b/>
        </w:rPr>
        <w:t>black lesbian</w:t>
      </w:r>
      <w:r>
        <w:rPr>
          <w:rFonts w:ascii="Garamond" w:eastAsia="Garamond" w:hAnsi="Garamond" w:cs="Garamond"/>
        </w:rPr>
        <w:t xml:space="preserve"> who was brutally beaten and killed by three police officers on duty who said she “demanded to die saying that she was a lesbian, that she was a woman.”</w:t>
      </w:r>
      <w:r>
        <w:rPr>
          <w:rFonts w:ascii="Garamond" w:eastAsia="Garamond" w:hAnsi="Garamond" w:cs="Garamond"/>
          <w:vertAlign w:val="superscript"/>
        </w:rPr>
        <w:footnoteReference w:id="53"/>
      </w:r>
    </w:p>
    <w:p w:rsidR="008277B6" w:rsidRDefault="008277B6">
      <w:pPr>
        <w:jc w:val="both"/>
        <w:rPr>
          <w:rFonts w:ascii="Garamond" w:eastAsia="Garamond" w:hAnsi="Garamond" w:cs="Garamond"/>
          <w:b/>
        </w:rPr>
      </w:pPr>
    </w:p>
    <w:p w:rsidR="008277B6" w:rsidRDefault="00406128">
      <w:pPr>
        <w:jc w:val="both"/>
        <w:rPr>
          <w:rFonts w:ascii="Garamond" w:eastAsia="Garamond" w:hAnsi="Garamond" w:cs="Garamond"/>
          <w:b/>
        </w:rPr>
      </w:pPr>
      <w:r>
        <w:rPr>
          <w:rFonts w:ascii="Franklin Gothic" w:eastAsia="Franklin Gothic" w:hAnsi="Franklin Gothic" w:cs="Franklin Gothic"/>
          <w:b/>
          <w:sz w:val="36"/>
          <w:szCs w:val="36"/>
        </w:rPr>
        <w:t>CONCLUSIONS</w:t>
      </w:r>
    </w:p>
    <w:p w:rsidR="008277B6" w:rsidRDefault="008277B6">
      <w:pPr>
        <w:ind w:left="720"/>
        <w:jc w:val="both"/>
        <w:rPr>
          <w:rFonts w:ascii="Garamond" w:eastAsia="Garamond" w:hAnsi="Garamond" w:cs="Garamond"/>
        </w:rPr>
      </w:pPr>
    </w:p>
    <w:p w:rsidR="008277B6" w:rsidRDefault="00406128">
      <w:pPr>
        <w:numPr>
          <w:ilvl w:val="0"/>
          <w:numId w:val="2"/>
        </w:numPr>
        <w:jc w:val="both"/>
        <w:rPr>
          <w:rFonts w:ascii="Garamond" w:eastAsia="Garamond" w:hAnsi="Garamond" w:cs="Garamond"/>
          <w:b/>
        </w:rPr>
      </w:pPr>
      <w:r>
        <w:rPr>
          <w:rFonts w:ascii="Garamond" w:eastAsia="Garamond" w:hAnsi="Garamond" w:cs="Garamond"/>
        </w:rPr>
        <w:lastRenderedPageBreak/>
        <w:t xml:space="preserve">Even though Brazilian legislation has properly assimilated the concept of torture, as set out in </w:t>
      </w:r>
      <w:r>
        <w:rPr>
          <w:rFonts w:ascii="Garamond" w:eastAsia="Garamond" w:hAnsi="Garamond" w:cs="Garamond"/>
          <w:b/>
        </w:rPr>
        <w:t>article 1 of the CAT</w:t>
      </w:r>
      <w:r>
        <w:rPr>
          <w:rFonts w:ascii="Garamond" w:eastAsia="Garamond" w:hAnsi="Garamond" w:cs="Garamond"/>
        </w:rPr>
        <w:t xml:space="preserve">, it is apparent that the practice of torture is being manifested in a complex way, as a decisive factor in the </w:t>
      </w:r>
      <w:r>
        <w:rPr>
          <w:rFonts w:ascii="Garamond" w:eastAsia="Garamond" w:hAnsi="Garamond" w:cs="Garamond"/>
          <w:b/>
        </w:rPr>
        <w:t>extermination of the black population</w:t>
      </w:r>
      <w:r>
        <w:rPr>
          <w:rFonts w:ascii="Garamond" w:eastAsia="Garamond" w:hAnsi="Garamond" w:cs="Garamond"/>
        </w:rPr>
        <w:t xml:space="preserve">. Therefore, the State only partially complies with the Committee's recommendation to the Brazilian State in 2001, according to which it should ensure that the interpretation of the law for the crime of torture was carried out in accordance with Article 1 of the Convention (A/56/44, letter </w:t>
      </w:r>
      <w:r>
        <w:rPr>
          <w:rFonts w:ascii="Garamond" w:eastAsia="Garamond" w:hAnsi="Garamond" w:cs="Garamond"/>
          <w:i/>
        </w:rPr>
        <w:t>a</w:t>
      </w:r>
      <w:r>
        <w:rPr>
          <w:rFonts w:ascii="Garamond" w:eastAsia="Garamond" w:hAnsi="Garamond" w:cs="Garamond"/>
        </w:rPr>
        <w:t xml:space="preserve">). Additionally, in 2009, the Committee again addressed the issue, when it requested information on the interpretation of Law No. 9,455/1997, especially in judicial decisions (CAT/C/BRA/Q/2, n. 1). This is evidenced by the systematic non-compliance with </w:t>
      </w:r>
      <w:r>
        <w:rPr>
          <w:rFonts w:ascii="Garamond" w:eastAsia="Garamond" w:hAnsi="Garamond" w:cs="Garamond"/>
          <w:b/>
        </w:rPr>
        <w:t>Article 2 of the CAT</w:t>
      </w:r>
      <w:r>
        <w:rPr>
          <w:rFonts w:ascii="Garamond" w:eastAsia="Garamond" w:hAnsi="Garamond" w:cs="Garamond"/>
        </w:rPr>
        <w:t xml:space="preserve">, which provides for effective measures on legislative, administrative, judicial or other instances, that prevent torture. Several concerns were voiced by the Committee against Torture in 2009 in this regard, particularly aimed at the prison system (CAT/C/BRA/Q/2, n. 1-11), </w:t>
      </w:r>
      <w:r>
        <w:rPr>
          <w:rFonts w:ascii="Garamond" w:eastAsia="Garamond" w:hAnsi="Garamond" w:cs="Garamond"/>
          <w:b/>
        </w:rPr>
        <w:t>whose unconstitutional state of affairs the Brazilian Federal Supreme Court has already recognized, as will be developed in the second part of this report</w:t>
      </w:r>
      <w:r>
        <w:rPr>
          <w:rFonts w:ascii="Garamond" w:eastAsia="Garamond" w:hAnsi="Garamond" w:cs="Garamond"/>
        </w:rPr>
        <w:t>. The recommendations that the Brazilian State received in the 3rd cycle of the Universal Periodic Review - UPR of the UN, regarding torture</w:t>
      </w:r>
      <w:r>
        <w:rPr>
          <w:rFonts w:ascii="Garamond" w:eastAsia="Garamond" w:hAnsi="Garamond" w:cs="Garamond"/>
          <w:vertAlign w:val="superscript"/>
        </w:rPr>
        <w:footnoteReference w:id="54"/>
      </w:r>
      <w:r>
        <w:rPr>
          <w:rFonts w:ascii="Garamond" w:eastAsia="Garamond" w:hAnsi="Garamond" w:cs="Garamond"/>
        </w:rPr>
        <w:t xml:space="preserve"> are not only in non-compliance, but can even be considered as a setback.</w:t>
      </w:r>
      <w:r>
        <w:rPr>
          <w:rFonts w:ascii="Garamond" w:eastAsia="Garamond" w:hAnsi="Garamond" w:cs="Garamond"/>
          <w:vertAlign w:val="superscript"/>
        </w:rPr>
        <w:footnoteReference w:id="55"/>
      </w:r>
      <w:r>
        <w:rPr>
          <w:rFonts w:ascii="Garamond" w:eastAsia="Garamond" w:hAnsi="Garamond" w:cs="Garamond"/>
        </w:rPr>
        <w:t xml:space="preserve"> Likewise, </w:t>
      </w:r>
      <w:r>
        <w:rPr>
          <w:rFonts w:ascii="Garamond" w:eastAsia="Garamond" w:hAnsi="Garamond" w:cs="Garamond"/>
          <w:b/>
        </w:rPr>
        <w:t>article 10 of the CAT</w:t>
      </w:r>
      <w:r>
        <w:rPr>
          <w:rFonts w:ascii="Garamond" w:eastAsia="Garamond" w:hAnsi="Garamond" w:cs="Garamond"/>
        </w:rPr>
        <w:t xml:space="preserve"> lacks application, given the lack of education policies aimed at preventing discrimination and the practice of torture, failing to comply with the Committee's 2001 recommendation for the State to guarantee education and promotion of human rights, in particular against torture (A/56/44, letter </w:t>
      </w:r>
      <w:r>
        <w:rPr>
          <w:rFonts w:ascii="Garamond" w:eastAsia="Garamond" w:hAnsi="Garamond" w:cs="Garamond"/>
          <w:i/>
        </w:rPr>
        <w:t>e</w:t>
      </w:r>
      <w:r>
        <w:rPr>
          <w:rFonts w:ascii="Garamond" w:eastAsia="Garamond" w:hAnsi="Garamond" w:cs="Garamond"/>
        </w:rPr>
        <w:t xml:space="preserve">). In addition, the Committee, in 2009, addressed issues on this topic as well (CAT/C/BRA/Q/2, n. 17-18), for which the State cannot validate compliance. </w:t>
      </w:r>
      <w:r>
        <w:rPr>
          <w:rFonts w:ascii="Garamond" w:eastAsia="Garamond" w:hAnsi="Garamond" w:cs="Garamond"/>
          <w:b/>
        </w:rPr>
        <w:t>Article 16 of the CAT</w:t>
      </w:r>
      <w:r>
        <w:rPr>
          <w:rFonts w:ascii="Garamond" w:eastAsia="Garamond" w:hAnsi="Garamond" w:cs="Garamond"/>
        </w:rPr>
        <w:t>, in turn, has also been breached as patterns of violations of rights were diagnosed, through acts that constitute cruel, inhuman, or degrading treatment or punishment, as is the case of psychiatric institutions and “cure” or “therapy” practices based on sexual orientation discrimination. Finally, we highlight that the</w:t>
      </w:r>
      <w:r>
        <w:rPr>
          <w:rFonts w:ascii="Garamond" w:eastAsia="Garamond" w:hAnsi="Garamond" w:cs="Garamond"/>
          <w:b/>
        </w:rPr>
        <w:t xml:space="preserve"> lack of data is an important aspect of institutional racism and the extermination of the black population</w:t>
      </w:r>
      <w:r>
        <w:rPr>
          <w:rFonts w:ascii="Garamond" w:eastAsia="Garamond" w:hAnsi="Garamond" w:cs="Garamond"/>
        </w:rPr>
        <w:t>, which both makes it invisible and prevents the creation of public policies that adequately consider race and gender biases, as well as their intersectionalities of disability, sexual orientation, and gender identity. In this regard, the CERD Committee has already expressed its concern and recommended that the State thoroughly evaluate its demographic data systems (CERD/C/BRA/CO/18-20, paragraph 6).</w:t>
      </w:r>
    </w:p>
    <w:p w:rsidR="008277B6" w:rsidRDefault="008277B6">
      <w:pPr>
        <w:pStyle w:val="Heading2"/>
        <w:spacing w:before="0" w:after="0"/>
        <w:jc w:val="both"/>
        <w:rPr>
          <w:rFonts w:ascii="Franklin Gothic" w:eastAsia="Franklin Gothic" w:hAnsi="Franklin Gothic" w:cs="Franklin Gothic"/>
          <w:b/>
          <w:sz w:val="36"/>
          <w:szCs w:val="36"/>
        </w:rPr>
      </w:pPr>
      <w:bookmarkStart w:id="9" w:name="_heading=h.k932chdqyt2r" w:colFirst="0" w:colLast="0"/>
      <w:bookmarkEnd w:id="9"/>
    </w:p>
    <w:p w:rsidR="008277B6" w:rsidRDefault="00406128">
      <w:pPr>
        <w:pStyle w:val="Heading2"/>
        <w:spacing w:before="0" w:after="0"/>
        <w:jc w:val="both"/>
        <w:rPr>
          <w:rFonts w:ascii="Franklin Gothic" w:eastAsia="Franklin Gothic" w:hAnsi="Franklin Gothic" w:cs="Franklin Gothic"/>
          <w:b/>
          <w:sz w:val="36"/>
          <w:szCs w:val="36"/>
        </w:rPr>
      </w:pPr>
      <w:bookmarkStart w:id="10" w:name="_heading=h.uyxhzmaf9xcp" w:colFirst="0" w:colLast="0"/>
      <w:bookmarkEnd w:id="10"/>
      <w:r>
        <w:rPr>
          <w:rFonts w:ascii="Franklin Gothic" w:eastAsia="Franklin Gothic" w:hAnsi="Franklin Gothic" w:cs="Franklin Gothic"/>
          <w:b/>
          <w:sz w:val="36"/>
          <w:szCs w:val="36"/>
        </w:rPr>
        <w:t>That said, we encourage this Committee to adopt the following recommendations to the Brazilian State:</w:t>
      </w:r>
    </w:p>
    <w:p w:rsidR="008277B6" w:rsidRDefault="008277B6">
      <w:pPr>
        <w:jc w:val="both"/>
        <w:rPr>
          <w:rFonts w:ascii="Garamond" w:eastAsia="Garamond" w:hAnsi="Garamond" w:cs="Garamond"/>
          <w:b/>
        </w:rPr>
      </w:pPr>
    </w:p>
    <w:p w:rsidR="008277B6" w:rsidRDefault="00406128">
      <w:pPr>
        <w:numPr>
          <w:ilvl w:val="0"/>
          <w:numId w:val="1"/>
        </w:numPr>
        <w:pBdr>
          <w:top w:val="nil"/>
          <w:left w:val="nil"/>
          <w:bottom w:val="nil"/>
          <w:right w:val="nil"/>
          <w:between w:val="nil"/>
        </w:pBdr>
        <w:jc w:val="both"/>
        <w:rPr>
          <w:rFonts w:ascii="Garamond" w:eastAsia="Garamond" w:hAnsi="Garamond" w:cs="Garamond"/>
          <w:highlight w:val="white"/>
        </w:rPr>
      </w:pPr>
      <w:r>
        <w:rPr>
          <w:rFonts w:ascii="Garamond" w:eastAsia="Garamond" w:hAnsi="Garamond" w:cs="Garamond"/>
          <w:highlight w:val="white"/>
        </w:rPr>
        <w:t>Proceed with the investigation and elucidation of torture and other forms of violation of human rights practiced in the context of the political repression that took place between 1961 and 1979, in order to implement the right to memory and truth;</w:t>
      </w:r>
    </w:p>
    <w:p w:rsidR="008277B6" w:rsidRDefault="00406128">
      <w:pPr>
        <w:numPr>
          <w:ilvl w:val="0"/>
          <w:numId w:val="1"/>
        </w:numPr>
        <w:pBdr>
          <w:top w:val="nil"/>
          <w:left w:val="nil"/>
          <w:bottom w:val="nil"/>
          <w:right w:val="nil"/>
          <w:between w:val="nil"/>
        </w:pBdr>
        <w:jc w:val="both"/>
        <w:rPr>
          <w:rFonts w:ascii="Garamond" w:eastAsia="Garamond" w:hAnsi="Garamond" w:cs="Garamond"/>
        </w:rPr>
      </w:pPr>
      <w:r>
        <w:rPr>
          <w:rFonts w:ascii="Garamond" w:eastAsia="Garamond" w:hAnsi="Garamond" w:cs="Garamond"/>
        </w:rPr>
        <w:lastRenderedPageBreak/>
        <w:t xml:space="preserve">Proceed with legal accountability in the criminal, civil and administrative spheres of public agents involved in torture and other forms of human rights violations that occurred during the military dictatorship, removing the application of the Amnesty Law in relation to these agents; </w:t>
      </w:r>
    </w:p>
    <w:p w:rsidR="008277B6" w:rsidRDefault="00406128">
      <w:pPr>
        <w:numPr>
          <w:ilvl w:val="0"/>
          <w:numId w:val="1"/>
        </w:numPr>
        <w:pBdr>
          <w:top w:val="nil"/>
          <w:left w:val="nil"/>
          <w:bottom w:val="nil"/>
          <w:right w:val="nil"/>
          <w:between w:val="nil"/>
        </w:pBdr>
        <w:jc w:val="both"/>
        <w:rPr>
          <w:rFonts w:ascii="Garamond" w:eastAsia="Garamond" w:hAnsi="Garamond" w:cs="Garamond"/>
          <w:highlight w:val="white"/>
        </w:rPr>
      </w:pPr>
      <w:r>
        <w:rPr>
          <w:rFonts w:ascii="Garamond" w:eastAsia="Garamond" w:hAnsi="Garamond" w:cs="Garamond"/>
          <w:highlight w:val="white"/>
        </w:rPr>
        <w:t xml:space="preserve">Guarantee, in its entirety, the achievement of the strategic objectives of Guideline 14 of the </w:t>
      </w:r>
      <w:r>
        <w:rPr>
          <w:rFonts w:ascii="Garamond" w:eastAsia="Garamond" w:hAnsi="Garamond" w:cs="Garamond"/>
        </w:rPr>
        <w:t>PNDH3</w:t>
      </w:r>
      <w:r>
        <w:rPr>
          <w:rFonts w:ascii="Garamond" w:eastAsia="Garamond" w:hAnsi="Garamond" w:cs="Garamond"/>
          <w:highlight w:val="white"/>
        </w:rPr>
        <w:t>, aimed at combating institutional violence, with emphasis on eradicating torture and reducing police and prison lethality;</w:t>
      </w:r>
    </w:p>
    <w:p w:rsidR="008277B6" w:rsidRDefault="00406128">
      <w:pPr>
        <w:numPr>
          <w:ilvl w:val="0"/>
          <w:numId w:val="1"/>
        </w:numPr>
        <w:pBdr>
          <w:top w:val="nil"/>
          <w:left w:val="nil"/>
          <w:bottom w:val="nil"/>
          <w:right w:val="nil"/>
          <w:between w:val="nil"/>
        </w:pBdr>
        <w:jc w:val="both"/>
        <w:rPr>
          <w:rFonts w:ascii="Garamond" w:eastAsia="Garamond" w:hAnsi="Garamond" w:cs="Garamond"/>
          <w:highlight w:val="white"/>
        </w:rPr>
      </w:pPr>
      <w:r>
        <w:rPr>
          <w:rFonts w:ascii="Garamond" w:eastAsia="Garamond" w:hAnsi="Garamond" w:cs="Garamond"/>
          <w:highlight w:val="white"/>
        </w:rPr>
        <w:t>Approve Bill No. 734/23,</w:t>
      </w:r>
      <w:r>
        <w:rPr>
          <w:rFonts w:ascii="Garamond" w:eastAsia="Garamond" w:hAnsi="Garamond" w:cs="Garamond"/>
          <w:highlight w:val="white"/>
          <w:vertAlign w:val="superscript"/>
        </w:rPr>
        <w:footnoteReference w:id="56"/>
      </w:r>
      <w:r>
        <w:rPr>
          <w:rFonts w:ascii="Garamond" w:eastAsia="Garamond" w:hAnsi="Garamond" w:cs="Garamond"/>
          <w:highlight w:val="white"/>
        </w:rPr>
        <w:t xml:space="preserve"> that aims to classify the crime of slave-like labour exploitation as heinous;</w:t>
      </w:r>
    </w:p>
    <w:p w:rsidR="008277B6" w:rsidRDefault="00406128">
      <w:pPr>
        <w:numPr>
          <w:ilvl w:val="0"/>
          <w:numId w:val="1"/>
        </w:numPr>
        <w:pBdr>
          <w:top w:val="nil"/>
          <w:left w:val="nil"/>
          <w:bottom w:val="nil"/>
          <w:right w:val="nil"/>
          <w:between w:val="nil"/>
        </w:pBdr>
        <w:jc w:val="both"/>
        <w:rPr>
          <w:rFonts w:ascii="Garamond" w:eastAsia="Garamond" w:hAnsi="Garamond" w:cs="Garamond"/>
          <w:highlight w:val="white"/>
        </w:rPr>
      </w:pPr>
      <w:r>
        <w:rPr>
          <w:rFonts w:ascii="Garamond" w:eastAsia="Garamond" w:hAnsi="Garamond" w:cs="Garamond"/>
          <w:highlight w:val="white"/>
        </w:rPr>
        <w:t xml:space="preserve">Create mechanisms and strategies to combat torture practiced in the private sector, which include strengthening legislation, training private security agents, increasing inspection and ways of receiving complaints, guaranteeing adequate investigation, accountability and compensation, and policies aimed at human rights and business; </w:t>
      </w:r>
    </w:p>
    <w:p w:rsidR="008277B6" w:rsidRDefault="00406128">
      <w:pPr>
        <w:numPr>
          <w:ilvl w:val="0"/>
          <w:numId w:val="1"/>
        </w:numPr>
        <w:pBdr>
          <w:top w:val="nil"/>
          <w:left w:val="nil"/>
          <w:bottom w:val="nil"/>
          <w:right w:val="nil"/>
          <w:between w:val="nil"/>
        </w:pBdr>
        <w:jc w:val="both"/>
        <w:rPr>
          <w:rFonts w:ascii="Garamond" w:eastAsia="Garamond" w:hAnsi="Garamond" w:cs="Garamond"/>
          <w:highlight w:val="white"/>
        </w:rPr>
      </w:pPr>
      <w:r>
        <w:rPr>
          <w:rFonts w:ascii="Garamond" w:eastAsia="Garamond" w:hAnsi="Garamond" w:cs="Garamond"/>
          <w:highlight w:val="white"/>
        </w:rPr>
        <w:t>Include the criterion of race/ethnicity in all data surveys (in the areas of health, education, public safety, etc.) conducted by the State in order to promote public policies appropriate to the black population, guaranteeing the possibility of generating microdata stratified by race;</w:t>
      </w:r>
    </w:p>
    <w:p w:rsidR="008277B6" w:rsidRDefault="00406128">
      <w:pPr>
        <w:numPr>
          <w:ilvl w:val="0"/>
          <w:numId w:val="1"/>
        </w:numPr>
        <w:pBdr>
          <w:top w:val="nil"/>
          <w:left w:val="nil"/>
          <w:bottom w:val="nil"/>
          <w:right w:val="nil"/>
          <w:between w:val="nil"/>
        </w:pBdr>
        <w:jc w:val="both"/>
        <w:rPr>
          <w:rFonts w:ascii="Garamond" w:eastAsia="Garamond" w:hAnsi="Garamond" w:cs="Garamond"/>
          <w:highlight w:val="white"/>
        </w:rPr>
      </w:pPr>
      <w:r>
        <w:rPr>
          <w:rFonts w:ascii="Garamond" w:eastAsia="Garamond" w:hAnsi="Garamond" w:cs="Garamond"/>
          <w:highlight w:val="white"/>
        </w:rPr>
        <w:t>Restore and strengthen the policy of racial equality and respective mechanisms of social participation, with the elaboration and implementation of a</w:t>
      </w:r>
      <w:r>
        <w:rPr>
          <w:rFonts w:ascii="Garamond" w:eastAsia="Garamond" w:hAnsi="Garamond" w:cs="Garamond"/>
        </w:rPr>
        <w:t xml:space="preserve"> National Plan to Combat Institutional Racism and the Policy of Death to the Black Population</w:t>
      </w:r>
      <w:r>
        <w:rPr>
          <w:rFonts w:ascii="Garamond" w:eastAsia="Garamond" w:hAnsi="Garamond" w:cs="Garamond"/>
          <w:highlight w:val="white"/>
        </w:rPr>
        <w:t>, with the participation of civil society organizations and the black movement, and inclusion of verifiable targets, stipulated budget and well-established programs, including the engagement against misogyny and LGBTQIA+phobia, in order to promote the integral development of the black population in the next 30 years;</w:t>
      </w:r>
    </w:p>
    <w:p w:rsidR="008277B6" w:rsidRDefault="00406128">
      <w:pPr>
        <w:numPr>
          <w:ilvl w:val="0"/>
          <w:numId w:val="1"/>
        </w:numPr>
        <w:pBdr>
          <w:top w:val="nil"/>
          <w:left w:val="nil"/>
          <w:bottom w:val="nil"/>
          <w:right w:val="nil"/>
          <w:between w:val="nil"/>
        </w:pBdr>
        <w:jc w:val="both"/>
        <w:rPr>
          <w:rFonts w:ascii="Garamond" w:eastAsia="Garamond" w:hAnsi="Garamond" w:cs="Garamond"/>
          <w:highlight w:val="white"/>
        </w:rPr>
      </w:pPr>
      <w:r>
        <w:rPr>
          <w:rFonts w:ascii="Garamond" w:eastAsia="Garamond" w:hAnsi="Garamond" w:cs="Garamond"/>
          <w:highlight w:val="white"/>
        </w:rPr>
        <w:t>Allocate appropiated budget for all public policies to promote racial equality and combat torture;</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Promote human rights training with an anti-racist and anti-sexist approach for public servants, including justice administration personnel, particularly security services, penitentiary and police services, as provided for in article 133 of the Durban Programme of Action;</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Include, in the training courses for members of the justice and public security institutions provided for in article 144 of the Federal Constitution, on a mandatory basis, content on racial relations, confronting institutional racism and fundamental rights and guarantees provided for in article 5 of the Federal Constitution, especially those related to the fight against torture and inherent to the exercise of citizen security;</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Implement mandatory training for any public servants on racial relations and confronting institutional racism within the scope of public administration;</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Guarantee the protection of spaces where the faith of religions of African origin are exercised, as well as their liturgies, so that they have the same rights as reserved for religions with a majority representation, in order to safeguard the right to the full exercise of freedom religious, in accordance with article 5, item VI of the Federal Constitution;</w:t>
      </w:r>
    </w:p>
    <w:p w:rsidR="008277B6" w:rsidRDefault="00406128">
      <w:pPr>
        <w:numPr>
          <w:ilvl w:val="0"/>
          <w:numId w:val="1"/>
        </w:numPr>
        <w:pBdr>
          <w:top w:val="nil"/>
          <w:left w:val="nil"/>
          <w:bottom w:val="nil"/>
          <w:right w:val="nil"/>
          <w:between w:val="nil"/>
        </w:pBdr>
        <w:jc w:val="both"/>
        <w:rPr>
          <w:rFonts w:ascii="Garamond" w:eastAsia="Garamond" w:hAnsi="Garamond" w:cs="Garamond"/>
          <w:highlight w:val="white"/>
        </w:rPr>
      </w:pPr>
      <w:r>
        <w:rPr>
          <w:rFonts w:ascii="Garamond" w:eastAsia="Garamond" w:hAnsi="Garamond" w:cs="Garamond"/>
          <w:highlight w:val="white"/>
        </w:rPr>
        <w:t xml:space="preserve">Remove Article 68 of the </w:t>
      </w:r>
      <w:r>
        <w:rPr>
          <w:rFonts w:ascii="Garamond" w:eastAsia="Garamond" w:hAnsi="Garamond" w:cs="Garamond"/>
        </w:rPr>
        <w:t>Transitional Constitutional Provisions Act (ADCT) and</w:t>
      </w:r>
      <w:r>
        <w:rPr>
          <w:rFonts w:ascii="Garamond" w:eastAsia="Garamond" w:hAnsi="Garamond" w:cs="Garamond"/>
          <w:highlight w:val="white"/>
        </w:rPr>
        <w:t xml:space="preserve"> recognize, in the Federal Constitution, the Quilombolas, as well as other peoples from non-original traditional communities, as subjects of law who are not fated to disappear over time;</w:t>
      </w:r>
    </w:p>
    <w:p w:rsidR="008277B6" w:rsidRDefault="00406128">
      <w:pPr>
        <w:numPr>
          <w:ilvl w:val="0"/>
          <w:numId w:val="1"/>
        </w:numPr>
        <w:pBdr>
          <w:top w:val="nil"/>
          <w:left w:val="nil"/>
          <w:bottom w:val="nil"/>
          <w:right w:val="nil"/>
          <w:between w:val="nil"/>
        </w:pBdr>
        <w:jc w:val="both"/>
        <w:rPr>
          <w:rFonts w:ascii="Garamond" w:eastAsia="Garamond" w:hAnsi="Garamond" w:cs="Garamond"/>
          <w:highlight w:val="white"/>
        </w:rPr>
      </w:pPr>
      <w:r>
        <w:rPr>
          <w:rFonts w:ascii="Garamond" w:eastAsia="Garamond" w:hAnsi="Garamond" w:cs="Garamond"/>
          <w:highlight w:val="white"/>
        </w:rPr>
        <w:t>Accelerate the land-titling of Quilombola communities and provide basic infrastructure for these communities, in order to promote both the development of these populations and the maintenance of their traditions;</w:t>
      </w:r>
    </w:p>
    <w:p w:rsidR="008277B6" w:rsidRDefault="00406128">
      <w:pPr>
        <w:numPr>
          <w:ilvl w:val="0"/>
          <w:numId w:val="1"/>
        </w:numPr>
        <w:pBdr>
          <w:top w:val="nil"/>
          <w:left w:val="nil"/>
          <w:bottom w:val="nil"/>
          <w:right w:val="nil"/>
          <w:between w:val="nil"/>
        </w:pBdr>
        <w:jc w:val="both"/>
        <w:rPr>
          <w:rFonts w:ascii="Garamond" w:eastAsia="Garamond" w:hAnsi="Garamond" w:cs="Garamond"/>
          <w:highlight w:val="white"/>
        </w:rPr>
      </w:pPr>
      <w:r>
        <w:rPr>
          <w:rFonts w:ascii="Garamond" w:eastAsia="Garamond" w:hAnsi="Garamond" w:cs="Garamond"/>
          <w:highlight w:val="white"/>
        </w:rPr>
        <w:t>Approve and sanction laws aimed at ending violence and gender inequalities, such as Bills No. 877/2019, 8042/2014, 6895/2017, 6355/2016 and, furthermore, not going back in cases of legal abortion already foreseen, decriminalize and legalize abortion ensuring that it is accessible and safe in all situations, for all women and girls, without stigma and discrimination;</w:t>
      </w:r>
    </w:p>
    <w:p w:rsidR="008277B6" w:rsidRDefault="00406128">
      <w:pPr>
        <w:numPr>
          <w:ilvl w:val="0"/>
          <w:numId w:val="1"/>
        </w:numPr>
        <w:pBdr>
          <w:top w:val="nil"/>
          <w:left w:val="nil"/>
          <w:bottom w:val="nil"/>
          <w:right w:val="nil"/>
          <w:between w:val="nil"/>
        </w:pBdr>
        <w:jc w:val="both"/>
        <w:rPr>
          <w:rFonts w:ascii="Garamond" w:eastAsia="Garamond" w:hAnsi="Garamond" w:cs="Garamond"/>
          <w:highlight w:val="white"/>
        </w:rPr>
      </w:pPr>
      <w:r>
        <w:rPr>
          <w:rFonts w:ascii="Garamond" w:eastAsia="Garamond" w:hAnsi="Garamond" w:cs="Garamond"/>
          <w:highlight w:val="white"/>
        </w:rPr>
        <w:t xml:space="preserve">Advance in the processing of bills in the </w:t>
      </w:r>
      <w:r>
        <w:rPr>
          <w:rFonts w:ascii="Garamond" w:eastAsia="Garamond" w:hAnsi="Garamond" w:cs="Garamond"/>
        </w:rPr>
        <w:t>Congress</w:t>
      </w:r>
      <w:r>
        <w:rPr>
          <w:rFonts w:ascii="Garamond" w:eastAsia="Garamond" w:hAnsi="Garamond" w:cs="Garamond"/>
          <w:highlight w:val="white"/>
        </w:rPr>
        <w:t xml:space="preserve"> that aim to establish measures for the prevention and accountability of obstetric violence.</w:t>
      </w:r>
    </w:p>
    <w:p w:rsidR="008277B6" w:rsidRDefault="008277B6">
      <w:pPr>
        <w:pStyle w:val="Heading2"/>
        <w:spacing w:before="0" w:after="0"/>
        <w:jc w:val="both"/>
        <w:rPr>
          <w:rFonts w:ascii="Franklin Gothic" w:eastAsia="Franklin Gothic" w:hAnsi="Franklin Gothic" w:cs="Franklin Gothic"/>
          <w:b/>
          <w:color w:val="F1C232"/>
          <w:sz w:val="36"/>
          <w:szCs w:val="36"/>
          <w:u w:val="single"/>
        </w:rPr>
      </w:pPr>
      <w:bookmarkStart w:id="11" w:name="_heading=h.vvh9zhsbrgh0" w:colFirst="0" w:colLast="0"/>
      <w:bookmarkEnd w:id="11"/>
    </w:p>
    <w:p w:rsidR="008277B6" w:rsidRDefault="00406128">
      <w:pPr>
        <w:pStyle w:val="Heading2"/>
        <w:spacing w:before="0" w:after="0"/>
        <w:jc w:val="both"/>
        <w:rPr>
          <w:rFonts w:ascii="Franklin Gothic" w:eastAsia="Franklin Gothic" w:hAnsi="Franklin Gothic" w:cs="Franklin Gothic"/>
          <w:b/>
          <w:color w:val="000000"/>
          <w:sz w:val="28"/>
          <w:szCs w:val="28"/>
        </w:rPr>
      </w:pPr>
      <w:bookmarkStart w:id="12" w:name="_heading=h.3oaso2qipb7b" w:colFirst="0" w:colLast="0"/>
      <w:bookmarkEnd w:id="12"/>
      <w:r>
        <w:rPr>
          <w:rFonts w:ascii="Franklin Gothic" w:eastAsia="Franklin Gothic" w:hAnsi="Franklin Gothic" w:cs="Franklin Gothic"/>
          <w:b/>
          <w:sz w:val="36"/>
          <w:szCs w:val="36"/>
          <w:u w:val="single"/>
        </w:rPr>
        <w:t>Criminal Justice System:</w:t>
      </w:r>
    </w:p>
    <w:p w:rsidR="008277B6" w:rsidRDefault="00406128">
      <w:pPr>
        <w:pStyle w:val="Heading2"/>
        <w:spacing w:before="0" w:after="0"/>
        <w:jc w:val="both"/>
        <w:rPr>
          <w:rFonts w:ascii="Franklin Gothic" w:eastAsia="Franklin Gothic" w:hAnsi="Franklin Gothic" w:cs="Franklin Gothic"/>
          <w:b/>
          <w:color w:val="000000"/>
          <w:sz w:val="28"/>
          <w:szCs w:val="28"/>
        </w:rPr>
      </w:pPr>
      <w:bookmarkStart w:id="13" w:name="_heading=h.3psk2388yvc8" w:colFirst="0" w:colLast="0"/>
      <w:bookmarkEnd w:id="13"/>
      <w:r>
        <w:rPr>
          <w:rFonts w:ascii="Franklin Gothic" w:eastAsia="Franklin Gothic" w:hAnsi="Franklin Gothic" w:cs="Franklin Gothic"/>
          <w:b/>
          <w:sz w:val="28"/>
          <w:szCs w:val="28"/>
        </w:rPr>
        <w:t>Criminalization of torture (Article 4)</w:t>
      </w:r>
    </w:p>
    <w:p w:rsidR="008277B6" w:rsidRDefault="00406128">
      <w:pPr>
        <w:pStyle w:val="Heading2"/>
        <w:spacing w:before="0" w:after="0"/>
        <w:jc w:val="both"/>
        <w:rPr>
          <w:rFonts w:ascii="Franklin Gothic" w:eastAsia="Franklin Gothic" w:hAnsi="Franklin Gothic" w:cs="Franklin Gothic"/>
          <w:b/>
          <w:color w:val="000000"/>
          <w:sz w:val="28"/>
          <w:szCs w:val="28"/>
        </w:rPr>
      </w:pPr>
      <w:bookmarkStart w:id="14" w:name="_heading=h.tk3g82rclr2m" w:colFirst="0" w:colLast="0"/>
      <w:bookmarkEnd w:id="14"/>
      <w:r>
        <w:rPr>
          <w:rFonts w:ascii="Franklin Gothic" w:eastAsia="Franklin Gothic" w:hAnsi="Franklin Gothic" w:cs="Franklin Gothic"/>
          <w:b/>
          <w:sz w:val="28"/>
          <w:szCs w:val="28"/>
        </w:rPr>
        <w:t>Rules for Interrogation and Custody (Article 11)</w:t>
      </w:r>
    </w:p>
    <w:p w:rsidR="008277B6" w:rsidRDefault="00406128">
      <w:pPr>
        <w:pStyle w:val="Heading2"/>
        <w:spacing w:before="0" w:after="0"/>
        <w:jc w:val="both"/>
        <w:rPr>
          <w:rFonts w:ascii="Franklin Gothic" w:eastAsia="Franklin Gothic" w:hAnsi="Franklin Gothic" w:cs="Franklin Gothic"/>
          <w:b/>
          <w:color w:val="000000"/>
          <w:sz w:val="28"/>
          <w:szCs w:val="28"/>
        </w:rPr>
      </w:pPr>
      <w:bookmarkStart w:id="15" w:name="_heading=h.laqdxfv5kr26" w:colFirst="0" w:colLast="0"/>
      <w:bookmarkEnd w:id="15"/>
      <w:r>
        <w:rPr>
          <w:rFonts w:ascii="Franklin Gothic" w:eastAsia="Franklin Gothic" w:hAnsi="Franklin Gothic" w:cs="Franklin Gothic"/>
          <w:b/>
          <w:sz w:val="28"/>
          <w:szCs w:val="28"/>
        </w:rPr>
        <w:t>Ensuring effective investigation into allegations of torture (Articles 12, 13)</w:t>
      </w:r>
    </w:p>
    <w:p w:rsidR="008277B6" w:rsidRDefault="00406128">
      <w:pPr>
        <w:pStyle w:val="Heading2"/>
        <w:spacing w:before="0" w:after="0"/>
        <w:jc w:val="both"/>
        <w:rPr>
          <w:rFonts w:ascii="Franklin Gothic" w:eastAsia="Franklin Gothic" w:hAnsi="Franklin Gothic" w:cs="Franklin Gothic"/>
          <w:b/>
          <w:color w:val="000000"/>
          <w:sz w:val="28"/>
          <w:szCs w:val="28"/>
        </w:rPr>
      </w:pPr>
      <w:bookmarkStart w:id="16" w:name="_heading=h.t13vmnb5bjc2" w:colFirst="0" w:colLast="0"/>
      <w:bookmarkEnd w:id="16"/>
      <w:r>
        <w:rPr>
          <w:rFonts w:ascii="Franklin Gothic" w:eastAsia="Franklin Gothic" w:hAnsi="Franklin Gothic" w:cs="Franklin Gothic"/>
          <w:b/>
          <w:sz w:val="28"/>
          <w:szCs w:val="28"/>
        </w:rPr>
        <w:t>Right to reparation and compensation (Article 14)</w:t>
      </w:r>
    </w:p>
    <w:p w:rsidR="008277B6" w:rsidRDefault="00406128">
      <w:pPr>
        <w:jc w:val="both"/>
        <w:rPr>
          <w:rFonts w:ascii="Garamond" w:eastAsia="Garamond" w:hAnsi="Garamond" w:cs="Garamond"/>
          <w:color w:val="000000"/>
        </w:rPr>
      </w:pPr>
      <w:r>
        <w:rPr>
          <w:rFonts w:ascii="Franklin Gothic" w:eastAsia="Franklin Gothic" w:hAnsi="Franklin Gothic" w:cs="Franklin Gothic"/>
          <w:b/>
          <w:sz w:val="28"/>
          <w:szCs w:val="28"/>
        </w:rPr>
        <w:t>Torture as an illicit means of obtaining evidence (Article 15)</w:t>
      </w:r>
    </w:p>
    <w:p w:rsidR="008277B6" w:rsidRDefault="008277B6">
      <w:pPr>
        <w:jc w:val="both"/>
        <w:rPr>
          <w:rFonts w:ascii="Garamond" w:eastAsia="Garamond" w:hAnsi="Garamond" w:cs="Garamond"/>
        </w:rPr>
      </w:pPr>
    </w:p>
    <w:p w:rsidR="008277B6" w:rsidRDefault="00406128">
      <w:pPr>
        <w:numPr>
          <w:ilvl w:val="0"/>
          <w:numId w:val="2"/>
        </w:numPr>
        <w:jc w:val="both"/>
        <w:rPr>
          <w:rFonts w:ascii="Garamond" w:eastAsia="Garamond" w:hAnsi="Garamond" w:cs="Garamond"/>
          <w:b/>
        </w:rPr>
      </w:pPr>
      <w:r>
        <w:rPr>
          <w:rFonts w:ascii="Garamond" w:eastAsia="Garamond" w:hAnsi="Garamond" w:cs="Garamond"/>
        </w:rPr>
        <w:t xml:space="preserve">In Brazil, the 1988 Federal Constitution guarantees, in Article 5, III, that no one shall be subjected to torture or to inhuman or degrading treatment. This article was regulated by Law No. 9,455/1997, which made the practice of </w:t>
      </w:r>
      <w:r>
        <w:rPr>
          <w:rFonts w:ascii="Garamond" w:eastAsia="Garamond" w:hAnsi="Garamond" w:cs="Garamond"/>
          <w:b/>
        </w:rPr>
        <w:t>torture a crime</w:t>
      </w:r>
      <w:r>
        <w:rPr>
          <w:rFonts w:ascii="Garamond" w:eastAsia="Garamond" w:hAnsi="Garamond" w:cs="Garamond"/>
        </w:rPr>
        <w:t>. As provided for in Law No. 8072/1990, which provides for heinous crimes, pursuant to art. 5, item XLIII, of the Federal Constitution of 1988,</w:t>
      </w:r>
      <w:r>
        <w:rPr>
          <w:rFonts w:ascii="Garamond" w:eastAsia="Garamond" w:hAnsi="Garamond" w:cs="Garamond"/>
          <w:b/>
        </w:rPr>
        <w:t xml:space="preserve"> torture is equated to a heinous crime</w:t>
      </w:r>
      <w:r>
        <w:rPr>
          <w:rFonts w:ascii="Garamond" w:eastAsia="Garamond" w:hAnsi="Garamond" w:cs="Garamond"/>
        </w:rPr>
        <w:t xml:space="preserve"> and, therefore, not susceptible to amnesty, grace, and pardon, in addition to being non-bailable. Article 40 of Law No. 7,210/1984 (Criminal Execution Law - LEP) also prohibits torture as it requires authorities to respect the physical and moral integrity of people in prison. However, despite the legal regulations, impunity remains. </w:t>
      </w:r>
      <w:r>
        <w:rPr>
          <w:rFonts w:ascii="Garamond" w:eastAsia="Garamond" w:hAnsi="Garamond" w:cs="Garamond"/>
          <w:b/>
        </w:rPr>
        <w:t>Torture is a structural element of prison management, along with the mass incarceration of the young and black Brazilian population, victims of extermination by the Brazilian State</w:t>
      </w:r>
      <w:r>
        <w:rPr>
          <w:rFonts w:ascii="Garamond" w:eastAsia="Garamond" w:hAnsi="Garamond" w:cs="Garamond"/>
        </w:rPr>
        <w:t>. This is what the Pastoral Carcerária Nacional sustains and demonstrates, since the institution received about 369 reports of torture in prisons in Brazilian territory in the period between January 1, 2021, and July 31, 2022, from which 223 cases were launched.</w:t>
      </w:r>
      <w:r>
        <w:rPr>
          <w:rFonts w:ascii="Garamond" w:eastAsia="Garamond" w:hAnsi="Garamond" w:cs="Garamond"/>
          <w:vertAlign w:val="superscript"/>
        </w:rPr>
        <w:footnoteReference w:id="57"/>
      </w:r>
      <w:r>
        <w:rPr>
          <w:rFonts w:ascii="Garamond" w:eastAsia="Garamond" w:hAnsi="Garamond" w:cs="Garamond"/>
        </w:rPr>
        <w:t xml:space="preserve"> If compared to the period between January 1, 2019, and July 31, 2020, the number of cases increased by 37.65%.</w:t>
      </w:r>
      <w:r>
        <w:rPr>
          <w:rFonts w:ascii="Garamond" w:eastAsia="Garamond" w:hAnsi="Garamond" w:cs="Garamond"/>
          <w:vertAlign w:val="superscript"/>
        </w:rPr>
        <w:footnoteReference w:id="58"/>
      </w:r>
      <w:r>
        <w:rPr>
          <w:rFonts w:ascii="Garamond" w:eastAsia="Garamond" w:hAnsi="Garamond" w:cs="Garamond"/>
        </w:rPr>
        <w:t xml:space="preserve"> Out of 186 cases sent by the Prison Pastoral to public responsible institutions, 31 of them (16.66%), no responses were even sent by the institutions. Although the report does not specify the percentage of black people, the document highlights the relationship between the colonial and slavery heritage that is still perpetuated in the State, which maintained and sophisticated the dynamics of violence that generate suffering, weakening of incarcerated people, and, ultimately, </w:t>
      </w:r>
      <w:r>
        <w:rPr>
          <w:rFonts w:ascii="Garamond" w:eastAsia="Garamond" w:hAnsi="Garamond" w:cs="Garamond"/>
          <w:b/>
        </w:rPr>
        <w:t>the extermination of the black population in Brazil.</w:t>
      </w:r>
      <w:r>
        <w:rPr>
          <w:rFonts w:ascii="Garamond" w:eastAsia="Garamond" w:hAnsi="Garamond" w:cs="Garamond"/>
          <w:vertAlign w:val="superscript"/>
        </w:rPr>
        <w:footnoteReference w:id="59"/>
      </w:r>
    </w:p>
    <w:p w:rsidR="008277B6" w:rsidRDefault="00406128">
      <w:pPr>
        <w:numPr>
          <w:ilvl w:val="0"/>
          <w:numId w:val="2"/>
        </w:numPr>
        <w:jc w:val="both"/>
        <w:rPr>
          <w:rFonts w:ascii="Garamond" w:eastAsia="Garamond" w:hAnsi="Garamond" w:cs="Garamond"/>
          <w:b/>
        </w:rPr>
      </w:pPr>
      <w:r>
        <w:rPr>
          <w:rFonts w:ascii="Garamond" w:eastAsia="Garamond" w:hAnsi="Garamond" w:cs="Garamond"/>
        </w:rPr>
        <w:t xml:space="preserve">The </w:t>
      </w:r>
      <w:r>
        <w:rPr>
          <w:rFonts w:ascii="Garamond" w:eastAsia="Garamond" w:hAnsi="Garamond" w:cs="Garamond"/>
          <w:b/>
        </w:rPr>
        <w:t>Brazilian prison system</w:t>
      </w:r>
      <w:r>
        <w:rPr>
          <w:rFonts w:ascii="Garamond" w:eastAsia="Garamond" w:hAnsi="Garamond" w:cs="Garamond"/>
        </w:rPr>
        <w:t xml:space="preserve"> ranks third in the international ranking of countries with the highest number of prisoners.</w:t>
      </w:r>
      <w:r>
        <w:rPr>
          <w:rFonts w:ascii="Garamond" w:eastAsia="Garamond" w:hAnsi="Garamond" w:cs="Garamond"/>
          <w:vertAlign w:val="superscript"/>
        </w:rPr>
        <w:footnoteReference w:id="60"/>
      </w:r>
      <w:r>
        <w:rPr>
          <w:rFonts w:ascii="Garamond" w:eastAsia="Garamond" w:hAnsi="Garamond" w:cs="Garamond"/>
        </w:rPr>
        <w:t xml:space="preserve"> The 2022 Brazilian Yearbook on Public Security indicates that, in June 2021, there were 820,689 people incarcerated, of which 46.4% are young people between 18 and 29 years old and </w:t>
      </w:r>
      <w:r>
        <w:rPr>
          <w:rFonts w:ascii="Garamond" w:eastAsia="Garamond" w:hAnsi="Garamond" w:cs="Garamond"/>
          <w:b/>
        </w:rPr>
        <w:t>67.5% are black people</w:t>
      </w:r>
      <w:r>
        <w:rPr>
          <w:rFonts w:ascii="Garamond" w:eastAsia="Garamond" w:hAnsi="Garamond" w:cs="Garamond"/>
        </w:rPr>
        <w:t xml:space="preserve">. These data come from the National Prison Department (Depen), collected from prison units. The National Council of Justice (CNJ) maintains the National Prison Monitoring Data Bank, with data from arrest warrants and Brazilian Execution Courts that counted, in May 2022, 919,272 people deprived of freedom in Brazil. </w:t>
      </w:r>
      <w:r>
        <w:rPr>
          <w:rFonts w:ascii="Garamond" w:eastAsia="Garamond" w:hAnsi="Garamond" w:cs="Garamond"/>
          <w:b/>
        </w:rPr>
        <w:t>The mismatch of information and the State's lack of knowledge about the people under its guardianship is a historical problem in the country, which disproportionately affects the black population, whose percentage in the system is not only higher, but has been gradually growing compared to white people</w:t>
      </w:r>
      <w:r>
        <w:rPr>
          <w:rFonts w:ascii="Garamond" w:eastAsia="Garamond" w:hAnsi="Garamond" w:cs="Garamond"/>
        </w:rPr>
        <w:t xml:space="preserve">. Between 2011 and 2021, the percentage of the black incarcerated population increased from 60.3% to 67.5%, while the white population decreased from 36.6% to 29.0%. In Article 25, the Durban Declaration expresses its repudiation of racism, racial discrimination, xenophobia, and related intolerance that persist in the penal systems and in law enforcement, as well as in the actions and attitudes of institutions and individuals responsible for enforcing the law, especially where this has contributed to certain groups being over-represented among those in custody or incarceration. </w:t>
      </w:r>
    </w:p>
    <w:p w:rsidR="008277B6" w:rsidRDefault="00406128">
      <w:pPr>
        <w:numPr>
          <w:ilvl w:val="0"/>
          <w:numId w:val="2"/>
        </w:numPr>
        <w:pBdr>
          <w:top w:val="nil"/>
          <w:left w:val="nil"/>
          <w:bottom w:val="nil"/>
          <w:right w:val="nil"/>
          <w:between w:val="nil"/>
        </w:pBdr>
        <w:jc w:val="both"/>
        <w:rPr>
          <w:rFonts w:ascii="Garamond" w:eastAsia="Garamond" w:hAnsi="Garamond" w:cs="Garamond"/>
          <w:b/>
        </w:rPr>
      </w:pPr>
      <w:r>
        <w:rPr>
          <w:rFonts w:ascii="Garamond" w:eastAsia="Garamond" w:hAnsi="Garamond" w:cs="Garamond"/>
        </w:rPr>
        <w:lastRenderedPageBreak/>
        <w:t>There has also been a significant increase in the number of</w:t>
      </w:r>
      <w:r>
        <w:rPr>
          <w:rFonts w:ascii="Garamond" w:eastAsia="Garamond" w:hAnsi="Garamond" w:cs="Garamond"/>
          <w:b/>
        </w:rPr>
        <w:t xml:space="preserve"> women in deprivation of freedom</w:t>
      </w:r>
      <w:r>
        <w:rPr>
          <w:rFonts w:ascii="Garamond" w:eastAsia="Garamond" w:hAnsi="Garamond" w:cs="Garamond"/>
        </w:rPr>
        <w:t>, of 656% between 2000 and 2016.</w:t>
      </w:r>
      <w:r>
        <w:rPr>
          <w:rFonts w:ascii="Garamond" w:eastAsia="Garamond" w:hAnsi="Garamond" w:cs="Garamond"/>
          <w:vertAlign w:val="superscript"/>
        </w:rPr>
        <w:footnoteReference w:id="61"/>
      </w:r>
      <w:r>
        <w:rPr>
          <w:rFonts w:ascii="Garamond" w:eastAsia="Garamond" w:hAnsi="Garamond" w:cs="Garamond"/>
        </w:rPr>
        <w:t xml:space="preserve"> This increase was noticed especially from 2006 onwards, due to the drug policy instituted by Law No. 11,343/2006. In 2016, data from the National Survey of Women Penitentiary Information (INFOPEN Women) indicate that crimes related to drug trafficking were responsible for the imprisonment of 3 out of 5 women.</w:t>
      </w:r>
      <w:r>
        <w:rPr>
          <w:rFonts w:ascii="Garamond" w:eastAsia="Garamond" w:hAnsi="Garamond" w:cs="Garamond"/>
          <w:vertAlign w:val="superscript"/>
        </w:rPr>
        <w:footnoteReference w:id="62"/>
      </w:r>
      <w:r>
        <w:rPr>
          <w:rFonts w:ascii="Garamond" w:eastAsia="Garamond" w:hAnsi="Garamond" w:cs="Garamond"/>
          <w:vertAlign w:val="superscript"/>
        </w:rPr>
        <w:t xml:space="preserve"> </w:t>
      </w:r>
      <w:r>
        <w:rPr>
          <w:rFonts w:ascii="Garamond" w:eastAsia="Garamond" w:hAnsi="Garamond" w:cs="Garamond"/>
        </w:rPr>
        <w:t>According to the National Council of Justice (CNJ) data, in 2023 48,930 women are in prison.</w:t>
      </w:r>
      <w:r>
        <w:rPr>
          <w:rFonts w:ascii="Garamond" w:eastAsia="Garamond" w:hAnsi="Garamond" w:cs="Garamond"/>
          <w:vertAlign w:val="superscript"/>
        </w:rPr>
        <w:footnoteReference w:id="63"/>
      </w:r>
      <w:r>
        <w:rPr>
          <w:rFonts w:ascii="Garamond" w:eastAsia="Garamond" w:hAnsi="Garamond" w:cs="Garamond"/>
          <w:vertAlign w:val="superscript"/>
        </w:rPr>
        <w:t xml:space="preserve"> </w:t>
      </w:r>
      <w:r>
        <w:rPr>
          <w:rFonts w:ascii="Garamond" w:eastAsia="Garamond" w:hAnsi="Garamond" w:cs="Garamond"/>
        </w:rPr>
        <w:t xml:space="preserve">This monitoring does not inform racial profile, but according to the Ministry of Justice data, of the 42,000 women deprived of freedom in 2016, the government had information on the race of only 72% of the incarcerated population; </w:t>
      </w:r>
      <w:r>
        <w:rPr>
          <w:rFonts w:ascii="Garamond" w:eastAsia="Garamond" w:hAnsi="Garamond" w:cs="Garamond"/>
          <w:b/>
        </w:rPr>
        <w:t>of these, 62% were black</w:t>
      </w:r>
      <w:r>
        <w:rPr>
          <w:rFonts w:ascii="Garamond" w:eastAsia="Garamond" w:hAnsi="Garamond" w:cs="Garamond"/>
          <w:vertAlign w:val="superscript"/>
        </w:rPr>
        <w:footnoteReference w:id="64"/>
      </w:r>
      <w:r>
        <w:rPr>
          <w:rFonts w:ascii="Garamond" w:eastAsia="Garamond" w:hAnsi="Garamond" w:cs="Garamond"/>
        </w:rPr>
        <w:t>. Despite not reaching 6% of the incarcerated population, 21% of cases of torture reported to the Pastoral Carcerária Nacional have women as victims, in addition to another 8% of cases of torture against men and women.</w:t>
      </w:r>
      <w:r>
        <w:rPr>
          <w:rFonts w:ascii="Garamond" w:eastAsia="Garamond" w:hAnsi="Garamond" w:cs="Garamond"/>
          <w:vertAlign w:val="superscript"/>
        </w:rPr>
        <w:footnoteReference w:id="65"/>
      </w:r>
      <w:r>
        <w:rPr>
          <w:rFonts w:ascii="Garamond" w:eastAsia="Garamond" w:hAnsi="Garamond" w:cs="Garamond"/>
        </w:rPr>
        <w:t xml:space="preserve"> However, women are also victimized by the prison system when visiting family members who are in prison, especially through the practice of humiliating or degrading searches</w:t>
      </w:r>
      <w:r>
        <w:rPr>
          <w:rFonts w:ascii="Garamond" w:eastAsia="Garamond" w:hAnsi="Garamond" w:cs="Garamond"/>
          <w:vertAlign w:val="superscript"/>
        </w:rPr>
        <w:footnoteReference w:id="66"/>
      </w:r>
      <w:r>
        <w:rPr>
          <w:rFonts w:ascii="Garamond" w:eastAsia="Garamond" w:hAnsi="Garamond" w:cs="Garamond"/>
        </w:rPr>
        <w:t xml:space="preserve"> and other humiliating or degrading treatments, including arbitrary restrictions both on entry and on the delivery of food and hygiene items, which, incidentally, should be provided by the State. In a survey carried out by the Pastoral Carcerária Nacional with 471 relatives of people arrested in the country, 77.75% said they had been subjected to a vexatious search when visiting, of which about 97.7% were women and 69.9% were black.</w:t>
      </w:r>
      <w:r>
        <w:rPr>
          <w:rFonts w:ascii="Garamond" w:eastAsia="Garamond" w:hAnsi="Garamond" w:cs="Garamond"/>
          <w:vertAlign w:val="superscript"/>
        </w:rPr>
        <w:footnoteReference w:id="67"/>
      </w:r>
      <w:r>
        <w:rPr>
          <w:rFonts w:ascii="Garamond" w:eastAsia="Garamond" w:hAnsi="Garamond" w:cs="Garamond"/>
        </w:rPr>
        <w:t xml:space="preserve"> </w:t>
      </w:r>
    </w:p>
    <w:p w:rsidR="008277B6" w:rsidRDefault="00406128">
      <w:pPr>
        <w:numPr>
          <w:ilvl w:val="0"/>
          <w:numId w:val="2"/>
        </w:numPr>
        <w:jc w:val="both"/>
        <w:rPr>
          <w:rFonts w:ascii="Garamond" w:eastAsia="Garamond" w:hAnsi="Garamond" w:cs="Garamond"/>
          <w:b/>
        </w:rPr>
      </w:pPr>
      <w:r>
        <w:rPr>
          <w:rFonts w:ascii="Garamond" w:eastAsia="Garamond" w:hAnsi="Garamond" w:cs="Garamond"/>
        </w:rPr>
        <w:t>In 2015, in the judgment of the ADPF</w:t>
      </w:r>
      <w:r>
        <w:rPr>
          <w:rFonts w:ascii="Garamond" w:eastAsia="Garamond" w:hAnsi="Garamond" w:cs="Garamond"/>
          <w:vertAlign w:val="superscript"/>
        </w:rPr>
        <w:footnoteReference w:id="68"/>
      </w:r>
      <w:r>
        <w:rPr>
          <w:rFonts w:ascii="Garamond" w:eastAsia="Garamond" w:hAnsi="Garamond" w:cs="Garamond"/>
        </w:rPr>
        <w:t xml:space="preserve"> No. 347, the Brazilian Federal Supreme Court considered the </w:t>
      </w:r>
      <w:r>
        <w:rPr>
          <w:rFonts w:ascii="Garamond" w:eastAsia="Garamond" w:hAnsi="Garamond" w:cs="Garamond"/>
          <w:b/>
        </w:rPr>
        <w:t>prison system conditions</w:t>
      </w:r>
      <w:r>
        <w:rPr>
          <w:rFonts w:ascii="Garamond" w:eastAsia="Garamond" w:hAnsi="Garamond" w:cs="Garamond"/>
        </w:rPr>
        <w:t xml:space="preserve"> in the country an “unconstitutional state of affairs”, with “massive violation of fundamental rights” of the incarcerated population, due to the omission of the public power.</w:t>
      </w:r>
      <w:r>
        <w:rPr>
          <w:rFonts w:ascii="Garamond" w:eastAsia="Garamond" w:hAnsi="Garamond" w:cs="Garamond"/>
          <w:vertAlign w:val="superscript"/>
        </w:rPr>
        <w:footnoteReference w:id="69"/>
      </w:r>
      <w:r>
        <w:rPr>
          <w:rFonts w:ascii="Garamond" w:eastAsia="Garamond" w:hAnsi="Garamond" w:cs="Garamond"/>
        </w:rPr>
        <w:t xml:space="preserve"> In this context of </w:t>
      </w:r>
      <w:r>
        <w:rPr>
          <w:rFonts w:ascii="Garamond" w:eastAsia="Garamond" w:hAnsi="Garamond" w:cs="Garamond"/>
          <w:b/>
        </w:rPr>
        <w:t xml:space="preserve">over-incarceration </w:t>
      </w:r>
      <w:r>
        <w:rPr>
          <w:rFonts w:ascii="Garamond" w:eastAsia="Garamond" w:hAnsi="Garamond" w:cs="Garamond"/>
        </w:rPr>
        <w:t xml:space="preserve">that incurs unconstitutionalism and unconventionalities, the Brazilian State accumulates numerous complaints on the practice of torture in the prison context, which include </w:t>
      </w:r>
      <w:r>
        <w:rPr>
          <w:rFonts w:ascii="Garamond" w:eastAsia="Garamond" w:hAnsi="Garamond" w:cs="Garamond"/>
          <w:b/>
        </w:rPr>
        <w:t>frequent use of pepper spray, tear gas, noise bombs, and rubber bullets by officials carrying heavy weapons such as rifles, shotguns, and pistols</w:t>
      </w:r>
      <w:r>
        <w:rPr>
          <w:rFonts w:ascii="Garamond" w:eastAsia="Garamond" w:hAnsi="Garamond" w:cs="Garamond"/>
        </w:rPr>
        <w:t>.</w:t>
      </w:r>
      <w:r>
        <w:rPr>
          <w:rFonts w:ascii="Garamond" w:eastAsia="Garamond" w:hAnsi="Garamond" w:cs="Garamond"/>
          <w:vertAlign w:val="superscript"/>
        </w:rPr>
        <w:footnoteReference w:id="70"/>
      </w:r>
      <w:r>
        <w:rPr>
          <w:rFonts w:ascii="Garamond" w:eastAsia="Garamond" w:hAnsi="Garamond" w:cs="Garamond"/>
        </w:rPr>
        <w:t xml:space="preserve"> Approximately on 52% of torture allegations, physical aggression is reported, such as punches, slaps, kicks, shots, and sticks. Other forms of torture are also present, such as verbal aggression, humiliating or degrading treatment, and </w:t>
      </w:r>
      <w:r>
        <w:rPr>
          <w:rFonts w:ascii="Garamond" w:eastAsia="Garamond" w:hAnsi="Garamond" w:cs="Garamond"/>
          <w:b/>
        </w:rPr>
        <w:t>racial discrimination.</w:t>
      </w:r>
      <w:r>
        <w:rPr>
          <w:rFonts w:ascii="Garamond" w:eastAsia="Garamond" w:hAnsi="Garamond" w:cs="Garamond"/>
          <w:vertAlign w:val="superscript"/>
        </w:rPr>
        <w:footnoteReference w:id="71"/>
      </w:r>
      <w:r>
        <w:rPr>
          <w:rFonts w:ascii="Garamond" w:eastAsia="Garamond" w:hAnsi="Garamond" w:cs="Garamond"/>
        </w:rPr>
        <w:t xml:space="preserve"> In this regard, it is important to emphasize that the Durban Declaration, in Article 71, calls on States to implement policies and programs to prevent, detect and ensure accountability for the improper conduct of police officers and other officials responsible for complying with the law, </w:t>
      </w:r>
      <w:r>
        <w:rPr>
          <w:rFonts w:ascii="Garamond" w:eastAsia="Garamond" w:hAnsi="Garamond" w:cs="Garamond"/>
          <w:b/>
        </w:rPr>
        <w:t>that is motivated by racism, racial discrimination, xenophobia, and related intolerance</w:t>
      </w:r>
      <w:r>
        <w:rPr>
          <w:rFonts w:ascii="Garamond" w:eastAsia="Garamond" w:hAnsi="Garamond" w:cs="Garamond"/>
        </w:rPr>
        <w:t xml:space="preserve">. </w:t>
      </w:r>
    </w:p>
    <w:p w:rsidR="008277B6" w:rsidRDefault="00406128">
      <w:pPr>
        <w:numPr>
          <w:ilvl w:val="0"/>
          <w:numId w:val="2"/>
        </w:numPr>
        <w:jc w:val="both"/>
        <w:rPr>
          <w:rFonts w:ascii="Garamond" w:eastAsia="Garamond" w:hAnsi="Garamond" w:cs="Garamond"/>
          <w:b/>
        </w:rPr>
      </w:pPr>
      <w:r>
        <w:rPr>
          <w:rFonts w:ascii="Garamond" w:eastAsia="Garamond" w:hAnsi="Garamond" w:cs="Garamond"/>
        </w:rPr>
        <w:t xml:space="preserve">Torture situations also relate to degrading conditions and unhealthy conditions in prisons, such as negligence in providing material assistance like food, clothing, personal hygiene products, and health care. As a result of these actions and omissions by the State, 10% of the complaints result </w:t>
      </w:r>
      <w:r>
        <w:rPr>
          <w:rFonts w:ascii="Garamond" w:eastAsia="Garamond" w:hAnsi="Garamond" w:cs="Garamond"/>
        </w:rPr>
        <w:lastRenderedPageBreak/>
        <w:t>in the death of the incarcerated people</w:t>
      </w:r>
      <w:r>
        <w:rPr>
          <w:rFonts w:ascii="Garamond" w:eastAsia="Garamond" w:hAnsi="Garamond" w:cs="Garamond"/>
          <w:vertAlign w:val="superscript"/>
        </w:rPr>
        <w:footnoteReference w:id="72"/>
      </w:r>
      <w:r>
        <w:rPr>
          <w:rFonts w:ascii="Garamond" w:eastAsia="Garamond" w:hAnsi="Garamond" w:cs="Garamond"/>
        </w:rPr>
        <w:t xml:space="preserve">, once again corroborating the strategy of </w:t>
      </w:r>
      <w:r>
        <w:rPr>
          <w:rFonts w:ascii="Garamond" w:eastAsia="Garamond" w:hAnsi="Garamond" w:cs="Garamond"/>
          <w:b/>
        </w:rPr>
        <w:t>extermination of the black population</w:t>
      </w:r>
      <w:r>
        <w:rPr>
          <w:rFonts w:ascii="Garamond" w:eastAsia="Garamond" w:hAnsi="Garamond" w:cs="Garamond"/>
        </w:rPr>
        <w:t xml:space="preserve"> perpetrated by the State. Between January 1, 2021, and July 31, 2022, 223 cases of torture were registered in the Brazilian prison system - </w:t>
      </w:r>
      <w:r>
        <w:rPr>
          <w:rFonts w:ascii="Garamond" w:eastAsia="Garamond" w:hAnsi="Garamond" w:cs="Garamond"/>
          <w:b/>
        </w:rPr>
        <w:t>with the majority of victims being black, as already highlighted</w:t>
      </w:r>
      <w:r>
        <w:rPr>
          <w:rFonts w:ascii="Garamond" w:eastAsia="Garamond" w:hAnsi="Garamond" w:cs="Garamond"/>
        </w:rPr>
        <w:t xml:space="preserve"> -, which represents an increase of 37.65% since the last report, referred to the period from January 1, 2019, to July 31, 2020.</w:t>
      </w:r>
      <w:r>
        <w:rPr>
          <w:rFonts w:ascii="Garamond" w:eastAsia="Garamond" w:hAnsi="Garamond" w:cs="Garamond"/>
          <w:vertAlign w:val="superscript"/>
        </w:rPr>
        <w:footnoteReference w:id="73"/>
      </w:r>
    </w:p>
    <w:p w:rsidR="008277B6" w:rsidRDefault="00406128">
      <w:pPr>
        <w:numPr>
          <w:ilvl w:val="0"/>
          <w:numId w:val="2"/>
        </w:numPr>
        <w:jc w:val="both"/>
        <w:rPr>
          <w:rFonts w:ascii="Garamond" w:eastAsia="Garamond" w:hAnsi="Garamond" w:cs="Garamond"/>
          <w:b/>
        </w:rPr>
      </w:pPr>
      <w:r>
        <w:rPr>
          <w:rFonts w:ascii="Garamond" w:eastAsia="Garamond" w:hAnsi="Garamond" w:cs="Garamond"/>
          <w:highlight w:val="white"/>
        </w:rPr>
        <w:t xml:space="preserve">In 2017, more than 30 civil society organizations denounced the Brazilian State at the </w:t>
      </w:r>
      <w:r>
        <w:rPr>
          <w:rFonts w:ascii="Garamond" w:eastAsia="Garamond" w:hAnsi="Garamond" w:cs="Garamond"/>
          <w:b/>
        </w:rPr>
        <w:t>Inter-American Commission on Human Rights</w:t>
      </w:r>
      <w:r>
        <w:rPr>
          <w:rFonts w:ascii="Garamond" w:eastAsia="Garamond" w:hAnsi="Garamond" w:cs="Garamond"/>
        </w:rPr>
        <w:t xml:space="preserve"> (IACHR)</w:t>
      </w:r>
      <w:r>
        <w:rPr>
          <w:rFonts w:ascii="Garamond" w:eastAsia="Garamond" w:hAnsi="Garamond" w:cs="Garamond"/>
          <w:highlight w:val="white"/>
        </w:rPr>
        <w:t xml:space="preserve"> for violence such as torture, mistreatment, and over-incarceration in prisons and in the socio-educational system, where adolescents in conflict with the law are kept in custody.</w:t>
      </w:r>
      <w:r>
        <w:rPr>
          <w:rFonts w:ascii="Garamond" w:eastAsia="Garamond" w:hAnsi="Garamond" w:cs="Garamond"/>
          <w:vertAlign w:val="superscript"/>
        </w:rPr>
        <w:footnoteReference w:id="74"/>
      </w:r>
      <w:r>
        <w:rPr>
          <w:rFonts w:ascii="Garamond" w:eastAsia="Garamond" w:hAnsi="Garamond" w:cs="Garamond"/>
          <w:vertAlign w:val="superscript"/>
        </w:rPr>
        <w:t xml:space="preserve"> </w:t>
      </w:r>
      <w:r>
        <w:rPr>
          <w:rFonts w:ascii="Garamond" w:eastAsia="Garamond" w:hAnsi="Garamond" w:cs="Garamond"/>
          <w:highlight w:val="white"/>
        </w:rPr>
        <w:t xml:space="preserve">In 2020, the </w:t>
      </w:r>
      <w:r>
        <w:rPr>
          <w:rFonts w:ascii="Garamond" w:eastAsia="Garamond" w:hAnsi="Garamond" w:cs="Garamond"/>
        </w:rPr>
        <w:t>IACHR</w:t>
      </w:r>
      <w:r>
        <w:rPr>
          <w:rFonts w:ascii="Garamond" w:eastAsia="Garamond" w:hAnsi="Garamond" w:cs="Garamond"/>
          <w:highlight w:val="white"/>
        </w:rPr>
        <w:t xml:space="preserve"> expressed concern for the situation of people deprived of their freedom in Brazil in face of the Covid-19 pandemic and reiterated that the State must reduce prison over-incarceration.</w:t>
      </w:r>
      <w:r>
        <w:rPr>
          <w:rFonts w:ascii="Garamond" w:eastAsia="Garamond" w:hAnsi="Garamond" w:cs="Garamond"/>
          <w:vertAlign w:val="superscript"/>
        </w:rPr>
        <w:footnoteReference w:id="75"/>
      </w:r>
      <w:r>
        <w:rPr>
          <w:rFonts w:ascii="Garamond" w:eastAsia="Garamond" w:hAnsi="Garamond" w:cs="Garamond"/>
          <w:vertAlign w:val="superscript"/>
        </w:rPr>
        <w:t xml:space="preserve"> </w:t>
      </w:r>
      <w:r>
        <w:rPr>
          <w:rFonts w:ascii="Garamond" w:eastAsia="Garamond" w:hAnsi="Garamond" w:cs="Garamond"/>
          <w:highlight w:val="white"/>
        </w:rPr>
        <w:t xml:space="preserve">In 2021, the </w:t>
      </w:r>
      <w:r>
        <w:rPr>
          <w:rFonts w:ascii="Garamond" w:eastAsia="Garamond" w:hAnsi="Garamond" w:cs="Garamond"/>
        </w:rPr>
        <w:t>IACHR</w:t>
      </w:r>
      <w:r>
        <w:rPr>
          <w:rFonts w:ascii="Garamond" w:eastAsia="Garamond" w:hAnsi="Garamond" w:cs="Garamond"/>
          <w:highlight w:val="white"/>
        </w:rPr>
        <w:t xml:space="preserve"> again addressed the precarious conditions of infrastructure and hygiene, as well as degrading and inhumane treatment by State agents in prisons.</w:t>
      </w:r>
      <w:r>
        <w:rPr>
          <w:rFonts w:ascii="Garamond" w:eastAsia="Garamond" w:hAnsi="Garamond" w:cs="Garamond"/>
          <w:highlight w:val="white"/>
          <w:vertAlign w:val="superscript"/>
        </w:rPr>
        <w:footnoteReference w:id="76"/>
      </w:r>
    </w:p>
    <w:p w:rsidR="008277B6" w:rsidRDefault="00406128">
      <w:pPr>
        <w:numPr>
          <w:ilvl w:val="0"/>
          <w:numId w:val="2"/>
        </w:numPr>
        <w:jc w:val="both"/>
        <w:rPr>
          <w:rFonts w:ascii="Garamond" w:eastAsia="Garamond" w:hAnsi="Garamond" w:cs="Garamond"/>
          <w:b/>
          <w:highlight w:val="white"/>
        </w:rPr>
      </w:pPr>
      <w:r>
        <w:rPr>
          <w:rFonts w:ascii="Garamond" w:eastAsia="Garamond" w:hAnsi="Garamond" w:cs="Garamond"/>
          <w:b/>
          <w:highlight w:val="white"/>
        </w:rPr>
        <w:t>Over-incarceration</w:t>
      </w:r>
      <w:r>
        <w:rPr>
          <w:rFonts w:ascii="Garamond" w:eastAsia="Garamond" w:hAnsi="Garamond" w:cs="Garamond"/>
          <w:highlight w:val="white"/>
        </w:rPr>
        <w:t xml:space="preserve"> itself is reason enough to conclude that there has been a violation of the right not to be subjected to torture or to inhuman and degrading treatment or punishment. However, within the Brazilian prison system, even more restrictive and degrading disciplinary measures are imposed. The </w:t>
      </w:r>
      <w:r>
        <w:rPr>
          <w:rFonts w:ascii="Garamond" w:eastAsia="Garamond" w:hAnsi="Garamond" w:cs="Garamond"/>
          <w:b/>
        </w:rPr>
        <w:t>Differentiated Disciplinary Regime</w:t>
      </w:r>
      <w:r>
        <w:rPr>
          <w:rFonts w:ascii="Garamond" w:eastAsia="Garamond" w:hAnsi="Garamond" w:cs="Garamond"/>
          <w:highlight w:val="white"/>
        </w:rPr>
        <w:t>, instituted by Law No. 10,792/2003, has the nature of a disciplinary sanction and is notable for its isolation and deprivation of contact with other human beings, which has the potential to physically and psychologically disrupt people subjected to these practices. Under the application of this disciplinary sanction, torture has been disseminated and continued, whether by State actions or omissions.</w:t>
      </w:r>
      <w:r>
        <w:rPr>
          <w:rFonts w:ascii="Garamond" w:eastAsia="Garamond" w:hAnsi="Garamond" w:cs="Garamond"/>
          <w:vertAlign w:val="superscript"/>
        </w:rPr>
        <w:footnoteReference w:id="77"/>
      </w:r>
      <w:r>
        <w:rPr>
          <w:rFonts w:ascii="Garamond" w:eastAsia="Garamond" w:hAnsi="Garamond" w:cs="Garamond"/>
          <w:b/>
          <w:vertAlign w:val="superscript"/>
        </w:rPr>
        <w:t xml:space="preserve"> </w:t>
      </w:r>
      <w:r>
        <w:rPr>
          <w:rFonts w:ascii="Garamond" w:eastAsia="Garamond" w:hAnsi="Garamond" w:cs="Garamond"/>
          <w:b/>
          <w:highlight w:val="white"/>
        </w:rPr>
        <w:t>Considering the racial profile by which the Brazilian prison population is identified, such disciplinary measure imposes an additional layer of violence on the black population</w:t>
      </w:r>
      <w:r>
        <w:rPr>
          <w:rFonts w:ascii="Garamond" w:eastAsia="Garamond" w:hAnsi="Garamond" w:cs="Garamond"/>
          <w:highlight w:val="white"/>
        </w:rPr>
        <w:t xml:space="preserve">. </w:t>
      </w:r>
    </w:p>
    <w:p w:rsidR="008277B6" w:rsidRDefault="00406128">
      <w:pPr>
        <w:numPr>
          <w:ilvl w:val="0"/>
          <w:numId w:val="2"/>
        </w:numPr>
        <w:jc w:val="both"/>
        <w:rPr>
          <w:rFonts w:ascii="Garamond" w:eastAsia="Garamond" w:hAnsi="Garamond" w:cs="Garamond"/>
          <w:b/>
          <w:highlight w:val="white"/>
        </w:rPr>
      </w:pPr>
      <w:r>
        <w:rPr>
          <w:rFonts w:ascii="Garamond" w:eastAsia="Garamond" w:hAnsi="Garamond" w:cs="Garamond"/>
          <w:highlight w:val="white"/>
        </w:rPr>
        <w:t xml:space="preserve">The Brazilian State does not provide for legal penalties to minors between 12 and 18 years old who commit infractions but stipulates </w:t>
      </w:r>
      <w:r>
        <w:rPr>
          <w:rFonts w:ascii="Garamond" w:eastAsia="Garamond" w:hAnsi="Garamond" w:cs="Garamond"/>
          <w:b/>
          <w:highlight w:val="white"/>
        </w:rPr>
        <w:t>protective and socio-educational measures</w:t>
      </w:r>
      <w:r>
        <w:rPr>
          <w:rFonts w:ascii="Garamond" w:eastAsia="Garamond" w:hAnsi="Garamond" w:cs="Garamond"/>
          <w:highlight w:val="white"/>
        </w:rPr>
        <w:t>. Out of 143,316 adolescents assisted by t</w:t>
      </w:r>
      <w:r>
        <w:rPr>
          <w:rFonts w:ascii="Garamond" w:eastAsia="Garamond" w:hAnsi="Garamond" w:cs="Garamond"/>
        </w:rPr>
        <w:t>he Brazilian Socio-Educational Assistance System i</w:t>
      </w:r>
      <w:r>
        <w:rPr>
          <w:rFonts w:ascii="Garamond" w:eastAsia="Garamond" w:hAnsi="Garamond" w:cs="Garamond"/>
          <w:highlight w:val="white"/>
        </w:rPr>
        <w:t>n 2017</w:t>
      </w:r>
      <w:r>
        <w:rPr>
          <w:rFonts w:ascii="Garamond" w:eastAsia="Garamond" w:hAnsi="Garamond" w:cs="Garamond"/>
          <w:vertAlign w:val="superscript"/>
        </w:rPr>
        <w:footnoteReference w:id="78"/>
      </w:r>
      <w:r>
        <w:rPr>
          <w:rFonts w:ascii="Garamond" w:eastAsia="Garamond" w:hAnsi="Garamond" w:cs="Garamond"/>
          <w:highlight w:val="white"/>
        </w:rPr>
        <w:t xml:space="preserve">, 26,109 were under State custody (this number includes young people aged between 18 and 21 who are still complying with the measures). </w:t>
      </w:r>
      <w:r>
        <w:rPr>
          <w:rFonts w:ascii="Garamond" w:eastAsia="Garamond" w:hAnsi="Garamond" w:cs="Garamond"/>
          <w:b/>
          <w:highlight w:val="white"/>
        </w:rPr>
        <w:t>40% out of those were considered black; another 36% had no record of their color</w:t>
      </w:r>
      <w:r>
        <w:rPr>
          <w:rFonts w:ascii="Garamond" w:eastAsia="Garamond" w:hAnsi="Garamond" w:cs="Garamond"/>
          <w:highlight w:val="white"/>
        </w:rPr>
        <w:t xml:space="preserve">. Data from the same year indicate that there were 46 deaths in the socio-educational units, </w:t>
      </w:r>
      <w:r>
        <w:rPr>
          <w:rFonts w:ascii="Garamond" w:eastAsia="Garamond" w:hAnsi="Garamond" w:cs="Garamond"/>
          <w:b/>
          <w:highlight w:val="white"/>
        </w:rPr>
        <w:t>31 affecting black youths and 9 of unspecified race/color</w:t>
      </w:r>
      <w:r>
        <w:rPr>
          <w:rFonts w:ascii="Garamond" w:eastAsia="Garamond" w:hAnsi="Garamond" w:cs="Garamond"/>
          <w:highlight w:val="white"/>
        </w:rPr>
        <w:t>. Reasons for death are generalized or interperson</w:t>
      </w:r>
      <w:r>
        <w:rPr>
          <w:rFonts w:ascii="Garamond" w:eastAsia="Garamond" w:hAnsi="Garamond" w:cs="Garamond"/>
        </w:rPr>
        <w:t>al conflicts, illness, traffic accidents, suffocation, suicide, and homicide, among others.</w:t>
      </w:r>
      <w:r>
        <w:rPr>
          <w:rFonts w:ascii="Garamond" w:eastAsia="Garamond" w:hAnsi="Garamond" w:cs="Garamond"/>
          <w:vertAlign w:val="superscript"/>
        </w:rPr>
        <w:footnoteReference w:id="79"/>
      </w:r>
      <w:r>
        <w:rPr>
          <w:rFonts w:ascii="Garamond" w:eastAsia="Garamond" w:hAnsi="Garamond" w:cs="Garamond"/>
          <w:vertAlign w:val="superscript"/>
        </w:rPr>
        <w:t xml:space="preserve"> </w:t>
      </w:r>
      <w:r>
        <w:rPr>
          <w:rFonts w:ascii="Garamond" w:eastAsia="Garamond" w:hAnsi="Garamond" w:cs="Garamond"/>
        </w:rPr>
        <w:t>The</w:t>
      </w:r>
      <w:r>
        <w:rPr>
          <w:rFonts w:ascii="Garamond" w:eastAsia="Garamond" w:hAnsi="Garamond" w:cs="Garamond"/>
          <w:b/>
        </w:rPr>
        <w:t xml:space="preserve"> Subcommittee on the Prevention of Torture and Other Cruel, Inhuman or Degrading Treatment or Punishment of the Committee against Torture</w:t>
      </w:r>
      <w:r>
        <w:rPr>
          <w:rFonts w:ascii="Garamond" w:eastAsia="Garamond" w:hAnsi="Garamond" w:cs="Garamond"/>
        </w:rPr>
        <w:t xml:space="preserve"> has already spoken out o</w:t>
      </w:r>
      <w:r>
        <w:rPr>
          <w:rFonts w:ascii="Garamond" w:eastAsia="Garamond" w:hAnsi="Garamond" w:cs="Garamond"/>
          <w:highlight w:val="white"/>
        </w:rPr>
        <w:t xml:space="preserve">n the much greater risk of imprisonment, excessive use of force, summary and extrajudicial execution perpetrated by the policy </w:t>
      </w:r>
      <w:r>
        <w:rPr>
          <w:rFonts w:ascii="Garamond" w:eastAsia="Garamond" w:hAnsi="Garamond" w:cs="Garamond"/>
          <w:b/>
          <w:highlight w:val="white"/>
        </w:rPr>
        <w:t>against poor black youth</w:t>
      </w:r>
      <w:r>
        <w:rPr>
          <w:rFonts w:ascii="Garamond" w:eastAsia="Garamond" w:hAnsi="Garamond" w:cs="Garamond"/>
          <w:highlight w:val="white"/>
        </w:rPr>
        <w:t xml:space="preserve"> (CAT/OP/BRA/3, paragraphs 69 and 70). </w:t>
      </w:r>
    </w:p>
    <w:p w:rsidR="008277B6" w:rsidRDefault="00406128">
      <w:pPr>
        <w:numPr>
          <w:ilvl w:val="0"/>
          <w:numId w:val="2"/>
        </w:numPr>
        <w:jc w:val="both"/>
        <w:rPr>
          <w:rFonts w:ascii="Garamond" w:eastAsia="Garamond" w:hAnsi="Garamond" w:cs="Garamond"/>
          <w:b/>
          <w:highlight w:val="white"/>
        </w:rPr>
      </w:pPr>
      <w:r>
        <w:rPr>
          <w:rFonts w:ascii="Garamond" w:eastAsia="Garamond" w:hAnsi="Garamond" w:cs="Garamond"/>
          <w:highlight w:val="white"/>
        </w:rPr>
        <w:t xml:space="preserve">An </w:t>
      </w:r>
      <w:r>
        <w:rPr>
          <w:rFonts w:ascii="Garamond" w:eastAsia="Garamond" w:hAnsi="Garamond" w:cs="Garamond"/>
          <w:b/>
          <w:highlight w:val="white"/>
        </w:rPr>
        <w:t>emblematic case</w:t>
      </w:r>
      <w:r>
        <w:rPr>
          <w:rFonts w:ascii="Garamond" w:eastAsia="Garamond" w:hAnsi="Garamond" w:cs="Garamond"/>
          <w:highlight w:val="white"/>
        </w:rPr>
        <w:t xml:space="preserve"> in the socio-educational system occurred in 2021, at the </w:t>
      </w:r>
      <w:r>
        <w:rPr>
          <w:rFonts w:ascii="Garamond" w:eastAsia="Garamond" w:hAnsi="Garamond" w:cs="Garamond"/>
        </w:rPr>
        <w:t>General Department of Socio-Educational Actions (Degase)</w:t>
      </w:r>
      <w:r>
        <w:rPr>
          <w:rFonts w:ascii="Garamond" w:eastAsia="Garamond" w:hAnsi="Garamond" w:cs="Garamond"/>
          <w:highlight w:val="white"/>
        </w:rPr>
        <w:t>, in Rio de Janeiro. Adolescents aged between 13 and 19 reported being victims of</w:t>
      </w:r>
      <w:r>
        <w:rPr>
          <w:rFonts w:ascii="Garamond" w:eastAsia="Garamond" w:hAnsi="Garamond" w:cs="Garamond"/>
          <w:b/>
          <w:highlight w:val="white"/>
        </w:rPr>
        <w:t xml:space="preserve"> sexual violence</w:t>
      </w:r>
      <w:r>
        <w:rPr>
          <w:rFonts w:ascii="Garamond" w:eastAsia="Garamond" w:hAnsi="Garamond" w:cs="Garamond"/>
          <w:highlight w:val="white"/>
        </w:rPr>
        <w:t xml:space="preserve">, perpetrated by agents and servants of the educational center, most of whom are men (24 agents, out of a total of 31). Two of these teenagers </w:t>
      </w:r>
      <w:r>
        <w:rPr>
          <w:rFonts w:ascii="Garamond" w:eastAsia="Garamond" w:hAnsi="Garamond" w:cs="Garamond"/>
          <w:highlight w:val="white"/>
        </w:rPr>
        <w:lastRenderedPageBreak/>
        <w:t>became pregnant as a result of the violence. They were transferred to another socio-educational unit and</w:t>
      </w:r>
      <w:r>
        <w:rPr>
          <w:rFonts w:ascii="Garamond" w:eastAsia="Garamond" w:hAnsi="Garamond" w:cs="Garamond"/>
        </w:rPr>
        <w:t xml:space="preserve"> the Public Defender's Office of R</w:t>
      </w:r>
      <w:r>
        <w:rPr>
          <w:rFonts w:ascii="Garamond" w:eastAsia="Garamond" w:hAnsi="Garamond" w:cs="Garamond"/>
          <w:highlight w:val="white"/>
        </w:rPr>
        <w:t>io de Janeiro pleaded in court for the cease of socio-educational measures for at least seven victims.</w:t>
      </w:r>
      <w:r>
        <w:rPr>
          <w:rFonts w:ascii="Garamond" w:eastAsia="Garamond" w:hAnsi="Garamond" w:cs="Garamond"/>
          <w:vertAlign w:val="superscript"/>
        </w:rPr>
        <w:footnoteReference w:id="80"/>
      </w:r>
      <w:r>
        <w:rPr>
          <w:rFonts w:ascii="Garamond" w:eastAsia="Garamond" w:hAnsi="Garamond" w:cs="Garamond"/>
        </w:rPr>
        <w:t xml:space="preserve"> </w:t>
      </w:r>
      <w:r>
        <w:rPr>
          <w:rFonts w:ascii="Garamond" w:eastAsia="Garamond" w:hAnsi="Garamond" w:cs="Garamond"/>
          <w:highlight w:val="white"/>
        </w:rPr>
        <w:t>This case is a clear violation of Article 138 of the Durban Declaration, which calls on States to strengthen the human rights awareness and training of prison and detention center staff, as well as teachers, to prevent acts of racial discrimination.</w:t>
      </w:r>
    </w:p>
    <w:p w:rsidR="008277B6" w:rsidRDefault="00406128">
      <w:pPr>
        <w:numPr>
          <w:ilvl w:val="0"/>
          <w:numId w:val="2"/>
        </w:numPr>
        <w:jc w:val="both"/>
        <w:rPr>
          <w:rFonts w:ascii="Garamond" w:eastAsia="Garamond" w:hAnsi="Garamond" w:cs="Garamond"/>
          <w:b/>
          <w:highlight w:val="white"/>
        </w:rPr>
      </w:pPr>
      <w:r>
        <w:rPr>
          <w:rFonts w:ascii="Garamond" w:eastAsia="Garamond" w:hAnsi="Garamond" w:cs="Garamond"/>
        </w:rPr>
        <w:t xml:space="preserve">Article 292 of the Brazilian Criminal Procedure Code provides for the instrument known as an </w:t>
      </w:r>
      <w:r>
        <w:rPr>
          <w:rFonts w:ascii="Garamond" w:eastAsia="Garamond" w:hAnsi="Garamond" w:cs="Garamond"/>
          <w:b/>
        </w:rPr>
        <w:t>act of resistance to arrest</w:t>
      </w:r>
      <w:r>
        <w:rPr>
          <w:rFonts w:ascii="Garamond" w:eastAsia="Garamond" w:hAnsi="Garamond" w:cs="Garamond"/>
        </w:rPr>
        <w:t xml:space="preserve">. In that case, the executor and his team are able to use the necessary means to defend themselves or to overcome the resistance, documenting all actions taken in the resistance report. According to a survey by Amnesty International published in 2015, </w:t>
      </w:r>
      <w:r>
        <w:rPr>
          <w:rFonts w:ascii="Garamond" w:eastAsia="Garamond" w:hAnsi="Garamond" w:cs="Garamond"/>
          <w:b/>
        </w:rPr>
        <w:t>four out of five victims of homicides resulting from police intervention in the city of Rio de Janeiro are black men</w:t>
      </w:r>
      <w:r>
        <w:rPr>
          <w:rFonts w:ascii="Garamond" w:eastAsia="Garamond" w:hAnsi="Garamond" w:cs="Garamond"/>
        </w:rPr>
        <w:t xml:space="preserve">. Besides the profile of the victims, the survey carried out by Amnesty International also highlighted the low solution of these </w:t>
      </w:r>
      <w:r>
        <w:rPr>
          <w:rFonts w:ascii="Garamond" w:eastAsia="Garamond" w:hAnsi="Garamond" w:cs="Garamond"/>
          <w:b/>
        </w:rPr>
        <w:t>acts of resistance</w:t>
      </w:r>
      <w:r>
        <w:rPr>
          <w:rFonts w:ascii="Garamond" w:eastAsia="Garamond" w:hAnsi="Garamond" w:cs="Garamond"/>
        </w:rPr>
        <w:t xml:space="preserve">, pointing to the impunity of police violence, </w:t>
      </w:r>
      <w:r>
        <w:rPr>
          <w:rFonts w:ascii="Garamond" w:eastAsia="Garamond" w:hAnsi="Garamond" w:cs="Garamond"/>
          <w:b/>
        </w:rPr>
        <w:t>which directly impacts the situation of the extermination of the black population</w:t>
      </w:r>
      <w:r>
        <w:rPr>
          <w:rFonts w:ascii="Garamond" w:eastAsia="Garamond" w:hAnsi="Garamond" w:cs="Garamond"/>
        </w:rPr>
        <w:t>.</w:t>
      </w:r>
      <w:r>
        <w:rPr>
          <w:rFonts w:ascii="Garamond" w:eastAsia="Garamond" w:hAnsi="Garamond" w:cs="Garamond"/>
          <w:vertAlign w:val="superscript"/>
        </w:rPr>
        <w:footnoteReference w:id="81"/>
      </w:r>
      <w:r>
        <w:rPr>
          <w:rFonts w:ascii="Garamond" w:eastAsia="Garamond" w:hAnsi="Garamond" w:cs="Garamond"/>
          <w:vertAlign w:val="superscript"/>
        </w:rPr>
        <w:t xml:space="preserve"> </w:t>
      </w:r>
      <w:r>
        <w:rPr>
          <w:rFonts w:ascii="Garamond" w:eastAsia="Garamond" w:hAnsi="Garamond" w:cs="Garamond"/>
        </w:rPr>
        <w:t>The Durban Program, in Article 71, calls on States to implement policies and programs to prevent, detect and ensure accountability for misconduct by police officers and other law enforcement officials motivated by racism, racial discrimination, xenophobia, and related intolerance.</w:t>
      </w:r>
    </w:p>
    <w:p w:rsidR="008277B6" w:rsidRDefault="00406128">
      <w:pPr>
        <w:numPr>
          <w:ilvl w:val="0"/>
          <w:numId w:val="2"/>
        </w:numPr>
        <w:jc w:val="both"/>
        <w:rPr>
          <w:rFonts w:ascii="Garamond" w:eastAsia="Garamond" w:hAnsi="Garamond" w:cs="Garamond"/>
          <w:b/>
          <w:highlight w:val="white"/>
        </w:rPr>
      </w:pPr>
      <w:r>
        <w:rPr>
          <w:rFonts w:ascii="Garamond" w:eastAsia="Garamond" w:hAnsi="Garamond" w:cs="Garamond"/>
          <w:highlight w:val="white"/>
        </w:rPr>
        <w:t>Law No. 13,869/2019, which deals with crimes of</w:t>
      </w:r>
      <w:r>
        <w:rPr>
          <w:rFonts w:ascii="Garamond" w:eastAsia="Garamond" w:hAnsi="Garamond" w:cs="Garamond"/>
          <w:b/>
          <w:highlight w:val="white"/>
        </w:rPr>
        <w:t xml:space="preserve"> abuse of authority</w:t>
      </w:r>
      <w:r>
        <w:rPr>
          <w:rFonts w:ascii="Garamond" w:eastAsia="Garamond" w:hAnsi="Garamond" w:cs="Garamond"/>
          <w:highlight w:val="white"/>
        </w:rPr>
        <w:t xml:space="preserve">, provides in its art. 13 the crime of constraining the prisoner or detainee, by means of violence, serious threat or reduction of his resistance capacity, to produce evidence against himself or against a third party. As previously mentioned, the law in question does not designate this violence as torture and provides for a prison sentence of one year to four years, and a fine, without prejudice to the penalty for violence. The crime of torture, provided for in art. 1 of Law No. 9,455/1997, carries a prison sentence of two to eight years. The conduct typified in the law of abuse of authority does not prevent the application of the sentence imposed for the crime of torture. However, the absence of a name for torture as a type of violence and as an element of the criminal offense that aims to curb this type of abuse of authority, may facilitate the impunity of torture in this context of police violence pursuing the production of evidence. </w:t>
      </w:r>
    </w:p>
    <w:p w:rsidR="008277B6" w:rsidRDefault="00406128">
      <w:pPr>
        <w:numPr>
          <w:ilvl w:val="0"/>
          <w:numId w:val="2"/>
        </w:numPr>
        <w:jc w:val="both"/>
        <w:rPr>
          <w:rFonts w:ascii="Garamond" w:eastAsia="Garamond" w:hAnsi="Garamond" w:cs="Garamond"/>
          <w:b/>
          <w:highlight w:val="white"/>
        </w:rPr>
      </w:pPr>
      <w:bookmarkStart w:id="17" w:name="_heading=h.30j0zll" w:colFirst="0" w:colLast="0"/>
      <w:bookmarkEnd w:id="17"/>
      <w:r>
        <w:rPr>
          <w:rFonts w:ascii="Garamond" w:eastAsia="Garamond" w:hAnsi="Garamond" w:cs="Garamond"/>
          <w:highlight w:val="white"/>
        </w:rPr>
        <w:t>A study conduct</w:t>
      </w:r>
      <w:r>
        <w:rPr>
          <w:rFonts w:ascii="Garamond" w:eastAsia="Garamond" w:hAnsi="Garamond" w:cs="Garamond"/>
        </w:rPr>
        <w:t>ed by IDDD (Institute for the Defense of the Right of Defense), publi</w:t>
      </w:r>
      <w:r>
        <w:rPr>
          <w:rFonts w:ascii="Garamond" w:eastAsia="Garamond" w:hAnsi="Garamond" w:cs="Garamond"/>
          <w:highlight w:val="white"/>
        </w:rPr>
        <w:t>shed in 2022, pointed out that</w:t>
      </w:r>
      <w:r>
        <w:rPr>
          <w:rFonts w:ascii="Garamond" w:eastAsia="Garamond" w:hAnsi="Garamond" w:cs="Garamond"/>
          <w:b/>
          <w:highlight w:val="white"/>
        </w:rPr>
        <w:t xml:space="preserve"> a black individual</w:t>
      </w:r>
      <w:r>
        <w:rPr>
          <w:rFonts w:ascii="Garamond" w:eastAsia="Garamond" w:hAnsi="Garamond" w:cs="Garamond"/>
          <w:highlight w:val="white"/>
        </w:rPr>
        <w:t xml:space="preserve"> in São Paulo and Rio de Janeiro has a 4.5 times higher risk of being approached by the police, compared to a white individual.</w:t>
      </w:r>
      <w:r>
        <w:rPr>
          <w:rFonts w:ascii="Garamond" w:eastAsia="Garamond" w:hAnsi="Garamond" w:cs="Garamond"/>
          <w:vertAlign w:val="superscript"/>
        </w:rPr>
        <w:footnoteReference w:id="82"/>
      </w:r>
      <w:r>
        <w:rPr>
          <w:rFonts w:ascii="Garamond" w:eastAsia="Garamond" w:hAnsi="Garamond" w:cs="Garamond"/>
        </w:rPr>
        <w:t xml:space="preserve"> </w:t>
      </w:r>
      <w:r>
        <w:rPr>
          <w:rFonts w:ascii="Garamond" w:eastAsia="Garamond" w:hAnsi="Garamond" w:cs="Garamond"/>
          <w:b/>
          <w:highlight w:val="white"/>
        </w:rPr>
        <w:t>Racial profiling</w:t>
      </w:r>
      <w:r>
        <w:rPr>
          <w:rFonts w:ascii="Garamond" w:eastAsia="Garamond" w:hAnsi="Garamond" w:cs="Garamond"/>
          <w:highlight w:val="white"/>
        </w:rPr>
        <w:t xml:space="preserve"> is a practice adopted by agents of the Brazilian State and is closely connected to the </w:t>
      </w:r>
      <w:r>
        <w:rPr>
          <w:rFonts w:ascii="Garamond" w:eastAsia="Garamond" w:hAnsi="Garamond" w:cs="Garamond"/>
          <w:b/>
          <w:highlight w:val="white"/>
        </w:rPr>
        <w:t>history of the enslavement</w:t>
      </w:r>
      <w:r>
        <w:rPr>
          <w:rFonts w:ascii="Garamond" w:eastAsia="Garamond" w:hAnsi="Garamond" w:cs="Garamond"/>
          <w:highlight w:val="white"/>
        </w:rPr>
        <w:t xml:space="preserve"> of the black population, the target public of security policies, and incarceration. Police actions were also the object of a demonstration by </w:t>
      </w:r>
      <w:r>
        <w:rPr>
          <w:rFonts w:ascii="Garamond" w:eastAsia="Garamond" w:hAnsi="Garamond" w:cs="Garamond"/>
        </w:rPr>
        <w:t xml:space="preserve">the </w:t>
      </w:r>
      <w:r>
        <w:rPr>
          <w:rFonts w:ascii="Garamond" w:eastAsia="Garamond" w:hAnsi="Garamond" w:cs="Garamond"/>
          <w:b/>
        </w:rPr>
        <w:t>Inter-American Commission on Human Rights</w:t>
      </w:r>
      <w:r>
        <w:rPr>
          <w:rFonts w:ascii="Garamond" w:eastAsia="Garamond" w:hAnsi="Garamond" w:cs="Garamond"/>
        </w:rPr>
        <w:t xml:space="preserve">, in June 2022, that </w:t>
      </w:r>
      <w:r>
        <w:rPr>
          <w:rFonts w:ascii="Garamond" w:eastAsia="Garamond" w:hAnsi="Garamond" w:cs="Garamond"/>
          <w:b/>
        </w:rPr>
        <w:t>warned about the multiple and aggravated discrimination suffered by black people, in particular in v</w:t>
      </w:r>
      <w:r>
        <w:rPr>
          <w:rFonts w:ascii="Garamond" w:eastAsia="Garamond" w:hAnsi="Garamond" w:cs="Garamond"/>
          <w:b/>
          <w:highlight w:val="white"/>
        </w:rPr>
        <w:t>iolent actions carried out in favelas, where the majority of residents are black people in socioeconomic vulnerability</w:t>
      </w:r>
      <w:r>
        <w:rPr>
          <w:rFonts w:ascii="Garamond" w:eastAsia="Garamond" w:hAnsi="Garamond" w:cs="Garamond"/>
          <w:highlight w:val="white"/>
        </w:rPr>
        <w:t>.</w:t>
      </w:r>
      <w:r>
        <w:rPr>
          <w:rFonts w:ascii="Garamond" w:eastAsia="Garamond" w:hAnsi="Garamond" w:cs="Garamond"/>
          <w:b/>
          <w:highlight w:val="white"/>
        </w:rPr>
        <w:t xml:space="preserve"> </w:t>
      </w:r>
      <w:r>
        <w:rPr>
          <w:rFonts w:ascii="Garamond" w:eastAsia="Garamond" w:hAnsi="Garamond" w:cs="Garamond"/>
          <w:highlight w:val="white"/>
        </w:rPr>
        <w:t xml:space="preserve">By condemning these attitudes, the Commission appealed to the Brazilian State to combat </w:t>
      </w:r>
      <w:r>
        <w:rPr>
          <w:rFonts w:ascii="Garamond" w:eastAsia="Garamond" w:hAnsi="Garamond" w:cs="Garamond"/>
          <w:b/>
          <w:highlight w:val="white"/>
        </w:rPr>
        <w:t>racial profiling</w:t>
      </w:r>
      <w:r>
        <w:rPr>
          <w:rFonts w:ascii="Garamond" w:eastAsia="Garamond" w:hAnsi="Garamond" w:cs="Garamond"/>
          <w:highlight w:val="white"/>
        </w:rPr>
        <w:t xml:space="preserve"> practices.</w:t>
      </w:r>
      <w:r>
        <w:rPr>
          <w:rFonts w:ascii="Garamond" w:eastAsia="Garamond" w:hAnsi="Garamond" w:cs="Garamond"/>
          <w:vertAlign w:val="superscript"/>
        </w:rPr>
        <w:footnoteReference w:id="83"/>
      </w:r>
      <w:r>
        <w:rPr>
          <w:rFonts w:ascii="Garamond" w:eastAsia="Garamond" w:hAnsi="Garamond" w:cs="Garamond"/>
          <w:highlight w:val="white"/>
        </w:rPr>
        <w:t xml:space="preserve"> The statement also addressed the </w:t>
      </w:r>
      <w:r>
        <w:rPr>
          <w:rFonts w:ascii="Garamond" w:eastAsia="Garamond" w:hAnsi="Garamond" w:cs="Garamond"/>
          <w:b/>
          <w:highlight w:val="white"/>
        </w:rPr>
        <w:t>emblematic case of Genivaldo de Jesus dos Santos</w:t>
      </w:r>
      <w:r>
        <w:rPr>
          <w:rFonts w:ascii="Garamond" w:eastAsia="Garamond" w:hAnsi="Garamond" w:cs="Garamond"/>
          <w:highlight w:val="white"/>
        </w:rPr>
        <w:t xml:space="preserve">, a 38-year-old black man, married, father of a 7-year-old boy, retired for schizophrenia, tortured and killed by agents of </w:t>
      </w:r>
      <w:r>
        <w:rPr>
          <w:rFonts w:ascii="Garamond" w:eastAsia="Garamond" w:hAnsi="Garamond" w:cs="Garamond"/>
        </w:rPr>
        <w:t>the Federal Highway Police - PRF, in the stat</w:t>
      </w:r>
      <w:r>
        <w:rPr>
          <w:rFonts w:ascii="Garamond" w:eastAsia="Garamond" w:hAnsi="Garamond" w:cs="Garamond"/>
          <w:highlight w:val="white"/>
        </w:rPr>
        <w:t xml:space="preserve">e of Sergipe, in an approach on May 25, 2022, for driving a motorcycle without a helmet. Genivaldo was immobilized, had his hands and feet tied up, and was put in the trunk of a totally closed PRF vehicle where the police used pepper spray and threw in tear gas. Although he was taken to the </w:t>
      </w:r>
      <w:r>
        <w:rPr>
          <w:rFonts w:ascii="Garamond" w:eastAsia="Garamond" w:hAnsi="Garamond" w:cs="Garamond"/>
          <w:highlight w:val="white"/>
        </w:rPr>
        <w:lastRenderedPageBreak/>
        <w:t>hospital, Genivaldo died of asphyxiation and acute respiratory failure.</w:t>
      </w:r>
      <w:r>
        <w:rPr>
          <w:rFonts w:ascii="Garamond" w:eastAsia="Garamond" w:hAnsi="Garamond" w:cs="Garamond"/>
          <w:vertAlign w:val="superscript"/>
        </w:rPr>
        <w:footnoteReference w:id="84"/>
      </w:r>
      <w:r>
        <w:rPr>
          <w:rFonts w:ascii="Garamond" w:eastAsia="Garamond" w:hAnsi="Garamond" w:cs="Garamond"/>
          <w:vertAlign w:val="superscript"/>
        </w:rPr>
        <w:t xml:space="preserve"> </w:t>
      </w:r>
      <w:r>
        <w:rPr>
          <w:rFonts w:ascii="Garamond" w:eastAsia="Garamond" w:hAnsi="Garamond" w:cs="Garamond"/>
          <w:highlight w:val="white"/>
        </w:rPr>
        <w:t>In this regard, the</w:t>
      </w:r>
      <w:r>
        <w:rPr>
          <w:rFonts w:ascii="Garamond" w:eastAsia="Garamond" w:hAnsi="Garamond" w:cs="Garamond"/>
          <w:b/>
        </w:rPr>
        <w:t xml:space="preserve"> Subcommittee on the Prevention of Torture and Other Cruel, Inhuman or Degrading Treatment or Punishment of the Committee against Torture </w:t>
      </w:r>
      <w:r>
        <w:rPr>
          <w:rFonts w:ascii="Garamond" w:eastAsia="Garamond" w:hAnsi="Garamond" w:cs="Garamond"/>
        </w:rPr>
        <w:t>has already e</w:t>
      </w:r>
      <w:r>
        <w:rPr>
          <w:rFonts w:ascii="Garamond" w:eastAsia="Garamond" w:hAnsi="Garamond" w:cs="Garamond"/>
          <w:highlight w:val="white"/>
        </w:rPr>
        <w:t>xpressed its concern about the increase in deaths inflicted by police officers on duty, especially against</w:t>
      </w:r>
      <w:r>
        <w:rPr>
          <w:rFonts w:ascii="Garamond" w:eastAsia="Garamond" w:hAnsi="Garamond" w:cs="Garamond"/>
          <w:b/>
          <w:highlight w:val="white"/>
        </w:rPr>
        <w:t xml:space="preserve"> black people</w:t>
      </w:r>
      <w:r>
        <w:rPr>
          <w:rFonts w:ascii="Garamond" w:eastAsia="Garamond" w:hAnsi="Garamond" w:cs="Garamond"/>
          <w:highlight w:val="white"/>
        </w:rPr>
        <w:t>, and has made recommendations to the State (CAT/OP/BRA/3, paragraphs 18 and 19). The Durban Programme of Action, in its turn, also addresses the issue in Article 72, by urging States to design, implement and enforce effective measures against racial profiling.</w:t>
      </w:r>
    </w:p>
    <w:p w:rsidR="008277B6" w:rsidRDefault="00406128">
      <w:pPr>
        <w:numPr>
          <w:ilvl w:val="0"/>
          <w:numId w:val="2"/>
        </w:numPr>
        <w:jc w:val="both"/>
        <w:rPr>
          <w:rFonts w:ascii="Garamond" w:eastAsia="Garamond" w:hAnsi="Garamond" w:cs="Garamond"/>
          <w:b/>
          <w:highlight w:val="white"/>
        </w:rPr>
      </w:pPr>
      <w:r>
        <w:rPr>
          <w:rFonts w:ascii="Garamond" w:eastAsia="Garamond" w:hAnsi="Garamond" w:cs="Garamond"/>
          <w:highlight w:val="white"/>
        </w:rPr>
        <w:t xml:space="preserve">Another </w:t>
      </w:r>
      <w:r>
        <w:rPr>
          <w:rFonts w:ascii="Garamond" w:eastAsia="Garamond" w:hAnsi="Garamond" w:cs="Garamond"/>
          <w:b/>
          <w:highlight w:val="white"/>
        </w:rPr>
        <w:t>emblematic situation</w:t>
      </w:r>
      <w:r>
        <w:rPr>
          <w:rFonts w:ascii="Garamond" w:eastAsia="Garamond" w:hAnsi="Garamond" w:cs="Garamond"/>
          <w:highlight w:val="white"/>
        </w:rPr>
        <w:t xml:space="preserve"> of torture in an urban context associated with police violence was the</w:t>
      </w:r>
      <w:r>
        <w:rPr>
          <w:rFonts w:ascii="Garamond" w:eastAsia="Garamond" w:hAnsi="Garamond" w:cs="Garamond"/>
          <w:b/>
          <w:highlight w:val="white"/>
        </w:rPr>
        <w:t xml:space="preserve"> federal intervention in public security</w:t>
      </w:r>
      <w:r>
        <w:rPr>
          <w:rFonts w:ascii="Garamond" w:eastAsia="Garamond" w:hAnsi="Garamond" w:cs="Garamond"/>
          <w:highlight w:val="white"/>
        </w:rPr>
        <w:t xml:space="preserve"> in the state of Rio de Janeiro, between March and December 2018. In that period, the Army - together with the other armed forces - commanded all public security activities (civil and military police, fire brigade, and prison system) of the state, under the command of the federal interventor, General Braga Netto. During that period, there were ostensive policing operations and patrolling actions, especially in areas o</w:t>
      </w:r>
      <w:r>
        <w:rPr>
          <w:rFonts w:ascii="Garamond" w:eastAsia="Garamond" w:hAnsi="Garamond" w:cs="Garamond"/>
        </w:rPr>
        <w:t>f favelas and</w:t>
      </w:r>
      <w:r>
        <w:rPr>
          <w:rFonts w:ascii="Garamond" w:eastAsia="Garamond" w:hAnsi="Garamond" w:cs="Garamond"/>
          <w:highlight w:val="white"/>
        </w:rPr>
        <w:t xml:space="preserve"> popular neighborhoods, where the </w:t>
      </w:r>
      <w:r>
        <w:rPr>
          <w:rFonts w:ascii="Garamond" w:eastAsia="Garamond" w:hAnsi="Garamond" w:cs="Garamond"/>
          <w:b/>
          <w:highlight w:val="white"/>
        </w:rPr>
        <w:t>majority of the residents are black</w:t>
      </w:r>
      <w:r>
        <w:rPr>
          <w:rFonts w:ascii="Garamond" w:eastAsia="Garamond" w:hAnsi="Garamond" w:cs="Garamond"/>
          <w:highlight w:val="white"/>
        </w:rPr>
        <w:t xml:space="preserve">, marked by the disproportionate use of force by the police and by the structural racism that sustains the </w:t>
      </w:r>
      <w:r>
        <w:rPr>
          <w:rFonts w:ascii="Garamond" w:eastAsia="Garamond" w:hAnsi="Garamond" w:cs="Garamond"/>
          <w:b/>
          <w:highlight w:val="white"/>
        </w:rPr>
        <w:t>extermination of the black population.</w:t>
      </w:r>
      <w:r>
        <w:rPr>
          <w:rFonts w:ascii="Garamond" w:eastAsia="Garamond" w:hAnsi="Garamond" w:cs="Garamond"/>
          <w:highlight w:val="white"/>
        </w:rPr>
        <w:t xml:space="preserve"> During this period, an increase in the number of homicides caused by police action was noticed, reaching a record of 1,532 deaths, of which there is no information about investigation,</w:t>
      </w:r>
      <w:r>
        <w:rPr>
          <w:rFonts w:ascii="Garamond" w:eastAsia="Garamond" w:hAnsi="Garamond" w:cs="Garamond"/>
          <w:vertAlign w:val="superscript"/>
        </w:rPr>
        <w:footnoteReference w:id="85"/>
      </w:r>
      <w:r>
        <w:rPr>
          <w:rFonts w:ascii="Garamond" w:eastAsia="Garamond" w:hAnsi="Garamond" w:cs="Garamond"/>
          <w:highlight w:val="white"/>
        </w:rPr>
        <w:t xml:space="preserve"> which violates article 85 of the Durban Programme of Action. </w:t>
      </w:r>
    </w:p>
    <w:p w:rsidR="008277B6" w:rsidRDefault="00406128">
      <w:pPr>
        <w:numPr>
          <w:ilvl w:val="0"/>
          <w:numId w:val="2"/>
        </w:numPr>
        <w:jc w:val="both"/>
        <w:rPr>
          <w:rFonts w:ascii="Garamond" w:eastAsia="Garamond" w:hAnsi="Garamond" w:cs="Garamond"/>
          <w:b/>
          <w:highlight w:val="white"/>
        </w:rPr>
      </w:pPr>
      <w:r>
        <w:rPr>
          <w:rFonts w:ascii="Garamond" w:eastAsia="Garamond" w:hAnsi="Garamond" w:cs="Garamond"/>
          <w:highlight w:val="white"/>
        </w:rPr>
        <w:t>According to the</w:t>
      </w:r>
      <w:r>
        <w:rPr>
          <w:rFonts w:ascii="Garamond" w:eastAsia="Garamond" w:hAnsi="Garamond" w:cs="Garamond"/>
          <w:b/>
          <w:highlight w:val="white"/>
        </w:rPr>
        <w:t xml:space="preserve"> Security Observatories Network</w:t>
      </w:r>
      <w:r>
        <w:rPr>
          <w:rFonts w:ascii="Garamond" w:eastAsia="Garamond" w:hAnsi="Garamond" w:cs="Garamond"/>
          <w:highlight w:val="white"/>
        </w:rPr>
        <w:t xml:space="preserve"> - which monitors the states of Bahia, Ceará, Piauí, Pernambuco, Rio de Janeiro, and São Paulo</w:t>
      </w:r>
      <w:r>
        <w:rPr>
          <w:rFonts w:ascii="Garamond" w:eastAsia="Garamond" w:hAnsi="Garamond" w:cs="Garamond"/>
          <w:highlight w:val="white"/>
          <w:vertAlign w:val="superscript"/>
        </w:rPr>
        <w:footnoteReference w:id="86"/>
      </w:r>
      <w:r>
        <w:rPr>
          <w:rFonts w:ascii="Garamond" w:eastAsia="Garamond" w:hAnsi="Garamond" w:cs="Garamond"/>
          <w:highlight w:val="white"/>
        </w:rPr>
        <w:t xml:space="preserve"> -, in 2020,</w:t>
      </w:r>
      <w:r>
        <w:rPr>
          <w:rFonts w:ascii="Garamond" w:eastAsia="Garamond" w:hAnsi="Garamond" w:cs="Garamond"/>
          <w:b/>
          <w:highlight w:val="white"/>
        </w:rPr>
        <w:t xml:space="preserve"> every four hours a black individual was killed in police actions</w:t>
      </w:r>
      <w:r>
        <w:rPr>
          <w:rFonts w:ascii="Garamond" w:eastAsia="Garamond" w:hAnsi="Garamond" w:cs="Garamond"/>
          <w:highlight w:val="white"/>
        </w:rPr>
        <w:t xml:space="preserve">. Out of 2,653 deaths caused by the police, 82.7% were of </w:t>
      </w:r>
      <w:r>
        <w:rPr>
          <w:rFonts w:ascii="Garamond" w:eastAsia="Garamond" w:hAnsi="Garamond" w:cs="Garamond"/>
          <w:b/>
          <w:highlight w:val="white"/>
        </w:rPr>
        <w:t>black people</w:t>
      </w:r>
      <w:r>
        <w:rPr>
          <w:rFonts w:ascii="Garamond" w:eastAsia="Garamond" w:hAnsi="Garamond" w:cs="Garamond"/>
          <w:highlight w:val="white"/>
        </w:rPr>
        <w:t>.</w:t>
      </w:r>
      <w:r>
        <w:rPr>
          <w:rFonts w:ascii="Garamond" w:eastAsia="Garamond" w:hAnsi="Garamond" w:cs="Garamond"/>
          <w:highlight w:val="white"/>
          <w:vertAlign w:val="superscript"/>
        </w:rPr>
        <w:footnoteReference w:id="87"/>
      </w:r>
      <w:r>
        <w:rPr>
          <w:rFonts w:ascii="Garamond" w:eastAsia="Garamond" w:hAnsi="Garamond" w:cs="Garamond"/>
          <w:highlight w:val="white"/>
        </w:rPr>
        <w:t xml:space="preserve"> </w:t>
      </w:r>
      <w:r>
        <w:rPr>
          <w:rFonts w:ascii="Garamond" w:eastAsia="Garamond" w:hAnsi="Garamond" w:cs="Garamond"/>
          <w:b/>
          <w:highlight w:val="white"/>
        </w:rPr>
        <w:t>Police violence persists, above all, against the black population</w:t>
      </w:r>
      <w:r>
        <w:rPr>
          <w:rFonts w:ascii="Garamond" w:eastAsia="Garamond" w:hAnsi="Garamond" w:cs="Garamond"/>
          <w:highlight w:val="white"/>
        </w:rPr>
        <w:t xml:space="preserve">, despite the accountability of the State by </w:t>
      </w:r>
      <w:r>
        <w:rPr>
          <w:rFonts w:ascii="Garamond" w:eastAsia="Garamond" w:hAnsi="Garamond" w:cs="Garamond"/>
        </w:rPr>
        <w:t xml:space="preserve">the Inter-American Court of Human Rights in </w:t>
      </w:r>
      <w:r>
        <w:rPr>
          <w:rFonts w:ascii="Garamond" w:eastAsia="Garamond" w:hAnsi="Garamond" w:cs="Garamond"/>
          <w:highlight w:val="white"/>
        </w:rPr>
        <w:t>the</w:t>
      </w:r>
      <w:r>
        <w:rPr>
          <w:rFonts w:ascii="Garamond" w:eastAsia="Garamond" w:hAnsi="Garamond" w:cs="Garamond"/>
          <w:b/>
          <w:highlight w:val="white"/>
        </w:rPr>
        <w:t xml:space="preserve"> case of Favela Nova Brasília (Cosme Genoveva et al.) v. Brasil</w:t>
      </w:r>
      <w:r>
        <w:rPr>
          <w:rFonts w:ascii="Garamond" w:eastAsia="Garamond" w:hAnsi="Garamond" w:cs="Garamond"/>
          <w:highlight w:val="white"/>
        </w:rPr>
        <w:t>, whose decision was handed down in February 2017. The litigation deals with the violation of the right to life and personal integrity of 26 men victims of homicide and 3 women victims of sexual violence during two police operations carried out in Favela Nova Brasília, located in Complexo do Alemão, in Rio de Janeiro, held on October 18, 1994, and May 8, 1995.</w:t>
      </w:r>
      <w:r>
        <w:rPr>
          <w:rFonts w:ascii="Garamond" w:eastAsia="Garamond" w:hAnsi="Garamond" w:cs="Garamond"/>
          <w:vertAlign w:val="superscript"/>
        </w:rPr>
        <w:footnoteReference w:id="88"/>
      </w:r>
      <w:r>
        <w:rPr>
          <w:rFonts w:ascii="Garamond" w:eastAsia="Garamond" w:hAnsi="Garamond" w:cs="Garamond"/>
          <w:vertAlign w:val="superscript"/>
        </w:rPr>
        <w:t xml:space="preserve">  </w:t>
      </w:r>
      <w:r>
        <w:rPr>
          <w:rFonts w:ascii="Garamond" w:eastAsia="Garamond" w:hAnsi="Garamond" w:cs="Garamond"/>
          <w:highlight w:val="white"/>
        </w:rPr>
        <w:t>The inaction of the State and the lack of enforcement of guarantees of non-repetition, despite the decision of</w:t>
      </w:r>
      <w:r>
        <w:rPr>
          <w:rFonts w:ascii="Garamond" w:eastAsia="Garamond" w:hAnsi="Garamond" w:cs="Garamond"/>
        </w:rPr>
        <w:t xml:space="preserve"> the Inter-American Court, have enabled the continuity of these forms of violence and torture again</w:t>
      </w:r>
      <w:r>
        <w:rPr>
          <w:rFonts w:ascii="Garamond" w:eastAsia="Garamond" w:hAnsi="Garamond" w:cs="Garamond"/>
          <w:highlight w:val="white"/>
        </w:rPr>
        <w:t>st the peripheral and mostly black population. The</w:t>
      </w:r>
      <w:r>
        <w:rPr>
          <w:rFonts w:ascii="Garamond" w:eastAsia="Garamond" w:hAnsi="Garamond" w:cs="Garamond"/>
          <w:b/>
          <w:highlight w:val="white"/>
        </w:rPr>
        <w:t xml:space="preserve"> Chacina do Jacarezinho</w:t>
      </w:r>
      <w:r>
        <w:rPr>
          <w:rFonts w:ascii="Garamond" w:eastAsia="Garamond" w:hAnsi="Garamond" w:cs="Garamond"/>
          <w:highlight w:val="white"/>
        </w:rPr>
        <w:t>, in May 2021, and the</w:t>
      </w:r>
      <w:r>
        <w:rPr>
          <w:rFonts w:ascii="Garamond" w:eastAsia="Garamond" w:hAnsi="Garamond" w:cs="Garamond"/>
          <w:b/>
          <w:highlight w:val="white"/>
        </w:rPr>
        <w:t xml:space="preserve"> Chacina da Vila Cruzeiro</w:t>
      </w:r>
      <w:r>
        <w:rPr>
          <w:rFonts w:ascii="Garamond" w:eastAsia="Garamond" w:hAnsi="Garamond" w:cs="Garamond"/>
          <w:highlight w:val="white"/>
        </w:rPr>
        <w:t>, in May 2022, the two most lethal police operations in the history of the city of Rio de Janeiro,</w:t>
      </w:r>
      <w:r>
        <w:rPr>
          <w:rFonts w:ascii="Garamond" w:eastAsia="Garamond" w:hAnsi="Garamond" w:cs="Garamond"/>
          <w:vertAlign w:val="superscript"/>
        </w:rPr>
        <w:footnoteReference w:id="89"/>
      </w:r>
      <w:r>
        <w:rPr>
          <w:rFonts w:ascii="Garamond" w:eastAsia="Garamond" w:hAnsi="Garamond" w:cs="Garamond"/>
          <w:highlight w:val="white"/>
        </w:rPr>
        <w:t xml:space="preserve"> are emblematic of this practice of structural racism. </w:t>
      </w:r>
    </w:p>
    <w:p w:rsidR="008277B6" w:rsidRDefault="00406128">
      <w:pPr>
        <w:numPr>
          <w:ilvl w:val="0"/>
          <w:numId w:val="2"/>
        </w:numPr>
        <w:jc w:val="both"/>
        <w:rPr>
          <w:rFonts w:ascii="Garamond" w:eastAsia="Garamond" w:hAnsi="Garamond" w:cs="Garamond"/>
          <w:b/>
          <w:highlight w:val="white"/>
        </w:rPr>
      </w:pPr>
      <w:r>
        <w:rPr>
          <w:rFonts w:ascii="Garamond" w:eastAsia="Garamond" w:hAnsi="Garamond" w:cs="Garamond"/>
        </w:rPr>
        <w:t xml:space="preserve">In Brazil, </w:t>
      </w:r>
      <w:r>
        <w:rPr>
          <w:rFonts w:ascii="Garamond" w:eastAsia="Garamond" w:hAnsi="Garamond" w:cs="Garamond"/>
          <w:b/>
        </w:rPr>
        <w:t>militias</w:t>
      </w:r>
      <w:r>
        <w:rPr>
          <w:rFonts w:ascii="Garamond" w:eastAsia="Garamond" w:hAnsi="Garamond" w:cs="Garamond"/>
        </w:rPr>
        <w:t xml:space="preserve"> are part of an organized crime practice in association w</w:t>
      </w:r>
      <w:r>
        <w:rPr>
          <w:rFonts w:ascii="Garamond" w:eastAsia="Garamond" w:hAnsi="Garamond" w:cs="Garamond"/>
          <w:highlight w:val="white"/>
        </w:rPr>
        <w:t>it</w:t>
      </w:r>
      <w:r>
        <w:rPr>
          <w:rFonts w:ascii="Garamond" w:eastAsia="Garamond" w:hAnsi="Garamond" w:cs="Garamond"/>
        </w:rPr>
        <w:t>h members of t</w:t>
      </w:r>
      <w:r>
        <w:rPr>
          <w:rFonts w:ascii="Garamond" w:eastAsia="Garamond" w:hAnsi="Garamond" w:cs="Garamond"/>
          <w:highlight w:val="white"/>
        </w:rPr>
        <w:t xml:space="preserve">he public power. In 2008, councilor Marcelo Freixo presided over the Parliamentary Commission of Inquiry (CPI) on the Militias on the </w:t>
      </w:r>
      <w:r>
        <w:rPr>
          <w:rFonts w:ascii="Garamond" w:eastAsia="Garamond" w:hAnsi="Garamond" w:cs="Garamond"/>
        </w:rPr>
        <w:t>Legislative Assembly of Rio de Janeiro</w:t>
      </w:r>
      <w:r>
        <w:rPr>
          <w:rFonts w:ascii="Garamond" w:eastAsia="Garamond" w:hAnsi="Garamond" w:cs="Garamond"/>
          <w:highlight w:val="white"/>
        </w:rPr>
        <w:t>. The final report produced by the investigation called for the indictment of 225 politicians, police and correctional officers, firefighters, and civilians. The report pointed to the practice of torture against people who live in Rio de Janeiro communities (</w:t>
      </w:r>
      <w:r>
        <w:rPr>
          <w:rFonts w:ascii="Garamond" w:eastAsia="Garamond" w:hAnsi="Garamond" w:cs="Garamond"/>
          <w:b/>
          <w:highlight w:val="white"/>
        </w:rPr>
        <w:t>65.9% of which declare themselves black</w:t>
      </w:r>
      <w:r>
        <w:rPr>
          <w:rFonts w:ascii="Garamond" w:eastAsia="Garamond" w:hAnsi="Garamond" w:cs="Garamond"/>
          <w:highlight w:val="white"/>
        </w:rPr>
        <w:t>)</w:t>
      </w:r>
      <w:r>
        <w:rPr>
          <w:rFonts w:ascii="Garamond" w:eastAsia="Garamond" w:hAnsi="Garamond" w:cs="Garamond"/>
          <w:highlight w:val="white"/>
          <w:vertAlign w:val="superscript"/>
        </w:rPr>
        <w:footnoteReference w:id="90"/>
      </w:r>
      <w:r>
        <w:rPr>
          <w:rFonts w:ascii="Garamond" w:eastAsia="Garamond" w:hAnsi="Garamond" w:cs="Garamond"/>
          <w:highlight w:val="white"/>
        </w:rPr>
        <w:t xml:space="preserve"> and who disobey the orders of militia criminals. The report informs people who refuse to pay the “monthly charges” or “fees” charged by militia agents “suffer retaliation, such as: assaults, threats, aggressions, beatings, torture, expulsion from the community and even death. Those who are </w:t>
      </w:r>
      <w:r>
        <w:rPr>
          <w:rFonts w:ascii="Garamond" w:eastAsia="Garamond" w:hAnsi="Garamond" w:cs="Garamond"/>
          <w:highlight w:val="white"/>
        </w:rPr>
        <w:lastRenderedPageBreak/>
        <w:t>killed have their bodies deposited in clandestine cemeteries, in order to make police work more difficult”</w:t>
      </w:r>
      <w:r>
        <w:rPr>
          <w:rFonts w:ascii="Garamond" w:eastAsia="Garamond" w:hAnsi="Garamond" w:cs="Garamond"/>
          <w:vertAlign w:val="superscript"/>
        </w:rPr>
        <w:footnoteReference w:id="91"/>
      </w:r>
      <w:r>
        <w:rPr>
          <w:rFonts w:ascii="Garamond" w:eastAsia="Garamond" w:hAnsi="Garamond" w:cs="Garamond"/>
        </w:rPr>
        <w:t>. According</w:t>
      </w:r>
      <w:r>
        <w:rPr>
          <w:rFonts w:ascii="Garamond" w:eastAsia="Garamond" w:hAnsi="Garamond" w:cs="Garamond"/>
          <w:highlight w:val="white"/>
        </w:rPr>
        <w:t xml:space="preserve"> to a study conducted b</w:t>
      </w:r>
      <w:r>
        <w:rPr>
          <w:rFonts w:ascii="Garamond" w:eastAsia="Garamond" w:hAnsi="Garamond" w:cs="Garamond"/>
        </w:rPr>
        <w:t>y Fogo Cruzado Institute an</w:t>
      </w:r>
      <w:r>
        <w:rPr>
          <w:rFonts w:ascii="Garamond" w:eastAsia="Garamond" w:hAnsi="Garamond" w:cs="Garamond"/>
          <w:highlight w:val="white"/>
        </w:rPr>
        <w:t>d t</w:t>
      </w:r>
      <w:r>
        <w:rPr>
          <w:rFonts w:ascii="Garamond" w:eastAsia="Garamond" w:hAnsi="Garamond" w:cs="Garamond"/>
        </w:rPr>
        <w:t>he Study Group for New Illegalism (Geni) of the Fluminense Federal University - UFF, areas un</w:t>
      </w:r>
      <w:r>
        <w:rPr>
          <w:rFonts w:ascii="Garamond" w:eastAsia="Garamond" w:hAnsi="Garamond" w:cs="Garamond"/>
          <w:highlight w:val="white"/>
        </w:rPr>
        <w:t>der militias’ control in the Metropolitan Region of Rio had a population growth of 185.5% and a territorial growth of 387.3% between 2005 and 2021.</w:t>
      </w:r>
      <w:r>
        <w:rPr>
          <w:rFonts w:ascii="Garamond" w:eastAsia="Garamond" w:hAnsi="Garamond" w:cs="Garamond"/>
          <w:vertAlign w:val="superscript"/>
        </w:rPr>
        <w:footnoteReference w:id="92"/>
      </w:r>
      <w:r>
        <w:rPr>
          <w:rFonts w:ascii="Garamond" w:eastAsia="Garamond" w:hAnsi="Garamond" w:cs="Garamond"/>
        </w:rPr>
        <w:t xml:space="preserve"> </w:t>
      </w:r>
      <w:r>
        <w:rPr>
          <w:rFonts w:ascii="Garamond" w:eastAsia="Garamond" w:hAnsi="Garamond" w:cs="Garamond"/>
          <w:highlight w:val="white"/>
        </w:rPr>
        <w:t xml:space="preserve">A case of relevant importance involving militia agents that still remains unresolved, is the murder of </w:t>
      </w:r>
      <w:r>
        <w:rPr>
          <w:rFonts w:ascii="Garamond" w:eastAsia="Garamond" w:hAnsi="Garamond" w:cs="Garamond"/>
          <w:b/>
          <w:highlight w:val="white"/>
        </w:rPr>
        <w:t>Marielle Franco - a black parliamentarian who investigated the actions of the militias - and her driver, Anderson Pedro Mathias Gomes</w:t>
      </w:r>
      <w:r>
        <w:rPr>
          <w:rFonts w:ascii="Garamond" w:eastAsia="Garamond" w:hAnsi="Garamond" w:cs="Garamond"/>
          <w:highlight w:val="white"/>
        </w:rPr>
        <w:t xml:space="preserve">, who died on March 14, 2018. Since then, the investigation has identified former police officers connected to the Rio de Janeiro militias as executors of the crime: Ronnie Lessa and Élcio de Queiroz. However, the investigation still has not pinpointed who ordered Marielle to be killed and why. </w:t>
      </w:r>
    </w:p>
    <w:p w:rsidR="008277B6" w:rsidRDefault="00406128">
      <w:pPr>
        <w:numPr>
          <w:ilvl w:val="0"/>
          <w:numId w:val="2"/>
        </w:numPr>
        <w:jc w:val="both"/>
        <w:rPr>
          <w:rFonts w:ascii="Garamond" w:eastAsia="Garamond" w:hAnsi="Garamond" w:cs="Garamond"/>
          <w:b/>
          <w:highlight w:val="white"/>
        </w:rPr>
      </w:pPr>
      <w:r>
        <w:rPr>
          <w:rFonts w:ascii="Garamond" w:eastAsia="Garamond" w:hAnsi="Garamond" w:cs="Garamond"/>
          <w:highlight w:val="white"/>
        </w:rPr>
        <w:t>The Federal Constitution configures torture as an illicit means of obtaining evidence, insofar as Article 5, III, prohibits torture and inhuman or degrading treatment. Besides, the typification of torture as a crime by Law No. 9,455/1997 is also a legal impediment to the practice of torture as a lawful means of</w:t>
      </w:r>
      <w:r>
        <w:rPr>
          <w:rFonts w:ascii="Garamond" w:eastAsia="Garamond" w:hAnsi="Garamond" w:cs="Garamond"/>
          <w:b/>
          <w:highlight w:val="white"/>
        </w:rPr>
        <w:t xml:space="preserve"> obtaining evidence</w:t>
      </w:r>
      <w:r>
        <w:rPr>
          <w:rFonts w:ascii="Garamond" w:eastAsia="Garamond" w:hAnsi="Garamond" w:cs="Garamond"/>
          <w:highlight w:val="white"/>
        </w:rPr>
        <w:t>. Th</w:t>
      </w:r>
      <w:r>
        <w:rPr>
          <w:rFonts w:ascii="Garamond" w:eastAsia="Garamond" w:hAnsi="Garamond" w:cs="Garamond"/>
        </w:rPr>
        <w:t>e Code of Criminal Procedure (D</w:t>
      </w:r>
      <w:r>
        <w:rPr>
          <w:rFonts w:ascii="Garamond" w:eastAsia="Garamond" w:hAnsi="Garamond" w:cs="Garamond"/>
          <w:highlight w:val="white"/>
        </w:rPr>
        <w:t>ecree-Law No. 3,689/1941), in its turn, provides in Article 157 that illicit evidence is that which is obtained in violation of constitutional or legal norms, and is therefore inadmissible and must be withdrawn from the process. However, despite the normative prohibition, the practice of torture still occurs in investigation processes. T</w:t>
      </w:r>
      <w:r>
        <w:rPr>
          <w:rFonts w:ascii="Garamond" w:eastAsia="Garamond" w:hAnsi="Garamond" w:cs="Garamond"/>
        </w:rPr>
        <w:t>he report ‘Judging Torture: Analysis of Jurisprudence in the Courts of Justice in Brazil (2005</w:t>
      </w:r>
      <w:r>
        <w:rPr>
          <w:rFonts w:ascii="Garamond" w:eastAsia="Garamond" w:hAnsi="Garamond" w:cs="Garamond"/>
          <w:highlight w:val="white"/>
        </w:rPr>
        <w:t>-2010)’, published in 2015, identified that</w:t>
      </w:r>
      <w:r>
        <w:rPr>
          <w:rFonts w:ascii="Garamond" w:eastAsia="Garamond" w:hAnsi="Garamond" w:cs="Garamond"/>
          <w:b/>
          <w:highlight w:val="white"/>
        </w:rPr>
        <w:t xml:space="preserve"> torture practiced by private agents mostly seeks to punish victims, while public agents, when accused of practicing torture, aim to obtain a confession or some type of information from the victim, such as extracting confessions through threat and torture</w:t>
      </w:r>
      <w:r>
        <w:rPr>
          <w:rFonts w:ascii="Garamond" w:eastAsia="Garamond" w:hAnsi="Garamond" w:cs="Garamond"/>
          <w:highlight w:val="white"/>
        </w:rPr>
        <w:t>. Thus, torture has been perceived as a method of police investigation, incorporated into the culture of this corporation.</w:t>
      </w:r>
      <w:r>
        <w:rPr>
          <w:rFonts w:ascii="Garamond" w:eastAsia="Garamond" w:hAnsi="Garamond" w:cs="Garamond"/>
          <w:vertAlign w:val="superscript"/>
        </w:rPr>
        <w:footnoteReference w:id="93"/>
      </w:r>
      <w:r>
        <w:rPr>
          <w:rFonts w:ascii="Garamond" w:eastAsia="Garamond" w:hAnsi="Garamond" w:cs="Garamond"/>
        </w:rPr>
        <w:t xml:space="preserve"> </w:t>
      </w:r>
      <w:r>
        <w:rPr>
          <w:rFonts w:ascii="Garamond" w:eastAsia="Garamond" w:hAnsi="Garamond" w:cs="Garamond"/>
          <w:b/>
          <w:highlight w:val="white"/>
        </w:rPr>
        <w:t>Since the main victims of police approaches and racial profiling are black people, they are also the ones who are most subject to the practice of torture as an illicit way of obtaining evidence and who are even convicted in criminal proceedings</w:t>
      </w:r>
      <w:r>
        <w:rPr>
          <w:rFonts w:ascii="Garamond" w:eastAsia="Garamond" w:hAnsi="Garamond" w:cs="Garamond"/>
          <w:highlight w:val="white"/>
        </w:rPr>
        <w:t>.</w:t>
      </w:r>
      <w:r>
        <w:rPr>
          <w:rFonts w:ascii="Garamond" w:eastAsia="Garamond" w:hAnsi="Garamond" w:cs="Garamond"/>
          <w:highlight w:val="white"/>
          <w:vertAlign w:val="superscript"/>
        </w:rPr>
        <w:footnoteReference w:id="94"/>
      </w:r>
    </w:p>
    <w:p w:rsidR="008277B6" w:rsidRDefault="008277B6">
      <w:pPr>
        <w:pBdr>
          <w:top w:val="nil"/>
          <w:left w:val="nil"/>
          <w:bottom w:val="nil"/>
          <w:right w:val="nil"/>
          <w:between w:val="nil"/>
        </w:pBdr>
        <w:jc w:val="both"/>
        <w:rPr>
          <w:rFonts w:ascii="Garamond" w:eastAsia="Garamond" w:hAnsi="Garamond" w:cs="Garamond"/>
          <w:b/>
          <w:highlight w:val="white"/>
        </w:rPr>
      </w:pPr>
    </w:p>
    <w:p w:rsidR="008277B6" w:rsidRDefault="00406128">
      <w:pPr>
        <w:jc w:val="both"/>
        <w:rPr>
          <w:rFonts w:ascii="Garamond" w:eastAsia="Garamond" w:hAnsi="Garamond" w:cs="Garamond"/>
          <w:b/>
        </w:rPr>
      </w:pPr>
      <w:r>
        <w:rPr>
          <w:rFonts w:ascii="Franklin Gothic" w:eastAsia="Franklin Gothic" w:hAnsi="Franklin Gothic" w:cs="Franklin Gothic"/>
          <w:b/>
          <w:sz w:val="36"/>
          <w:szCs w:val="36"/>
        </w:rPr>
        <w:t>CONCLUSIONS</w:t>
      </w:r>
    </w:p>
    <w:p w:rsidR="008277B6" w:rsidRDefault="008277B6">
      <w:pPr>
        <w:jc w:val="both"/>
        <w:rPr>
          <w:rFonts w:ascii="Garamond" w:eastAsia="Garamond" w:hAnsi="Garamond" w:cs="Garamond"/>
          <w:b/>
        </w:rPr>
      </w:pPr>
    </w:p>
    <w:p w:rsidR="008277B6" w:rsidRDefault="00406128">
      <w:pPr>
        <w:numPr>
          <w:ilvl w:val="0"/>
          <w:numId w:val="2"/>
        </w:numPr>
        <w:pBdr>
          <w:top w:val="nil"/>
          <w:left w:val="nil"/>
          <w:bottom w:val="nil"/>
          <w:right w:val="nil"/>
          <w:between w:val="nil"/>
        </w:pBdr>
        <w:jc w:val="both"/>
        <w:rPr>
          <w:rFonts w:ascii="Garamond" w:eastAsia="Garamond" w:hAnsi="Garamond" w:cs="Garamond"/>
          <w:b/>
          <w:highlight w:val="white"/>
        </w:rPr>
      </w:pPr>
      <w:r>
        <w:rPr>
          <w:rFonts w:ascii="Garamond" w:eastAsia="Garamond" w:hAnsi="Garamond" w:cs="Garamond"/>
        </w:rPr>
        <w:t xml:space="preserve">Although the State has ensured that torture is considered a crime under criminal law, as provided for in </w:t>
      </w:r>
      <w:r>
        <w:rPr>
          <w:rFonts w:ascii="Garamond" w:eastAsia="Garamond" w:hAnsi="Garamond" w:cs="Garamond"/>
          <w:b/>
        </w:rPr>
        <w:t>Article 4 of the CAT</w:t>
      </w:r>
      <w:r>
        <w:rPr>
          <w:rFonts w:ascii="Garamond" w:eastAsia="Garamond" w:hAnsi="Garamond" w:cs="Garamond"/>
        </w:rPr>
        <w:t xml:space="preserve">, the practice of torture continues to be part of the Brazilian reality, </w:t>
      </w:r>
      <w:r>
        <w:rPr>
          <w:rFonts w:ascii="Garamond" w:eastAsia="Garamond" w:hAnsi="Garamond" w:cs="Garamond"/>
          <w:b/>
        </w:rPr>
        <w:t>especially for the black, young, and impoverished population, marked by the history of slavery and more susceptible to police violence and incarceration,</w:t>
      </w:r>
      <w:r>
        <w:rPr>
          <w:rFonts w:ascii="Garamond" w:eastAsia="Garamond" w:hAnsi="Garamond" w:cs="Garamond"/>
          <w:b/>
          <w:vertAlign w:val="superscript"/>
        </w:rPr>
        <w:footnoteReference w:id="95"/>
      </w:r>
      <w:r>
        <w:rPr>
          <w:rFonts w:ascii="Garamond" w:eastAsia="Garamond" w:hAnsi="Garamond" w:cs="Garamond"/>
          <w:b/>
        </w:rPr>
        <w:t xml:space="preserve"> which ultimately lead to the extermination of the black population</w:t>
      </w:r>
      <w:r>
        <w:rPr>
          <w:rFonts w:ascii="Garamond" w:eastAsia="Garamond" w:hAnsi="Garamond" w:cs="Garamond"/>
        </w:rPr>
        <w:t xml:space="preserve">. Thus, the Brazilian State has systematically failed to prevent the practice of torture, to hold perpetrators of violence committed by </w:t>
      </w:r>
      <w:r>
        <w:rPr>
          <w:rFonts w:ascii="Garamond" w:eastAsia="Garamond" w:hAnsi="Garamond" w:cs="Garamond"/>
          <w:b/>
        </w:rPr>
        <w:t xml:space="preserve">public or private agents </w:t>
      </w:r>
      <w:r>
        <w:rPr>
          <w:rFonts w:ascii="Garamond" w:eastAsia="Garamond" w:hAnsi="Garamond" w:cs="Garamond"/>
        </w:rPr>
        <w:t xml:space="preserve">accountable, and to guarantee the effective investigation of torture allegations, as provided for in </w:t>
      </w:r>
      <w:r>
        <w:rPr>
          <w:rFonts w:ascii="Garamond" w:eastAsia="Garamond" w:hAnsi="Garamond" w:cs="Garamond"/>
          <w:b/>
        </w:rPr>
        <w:t>Articles 12 and 13 of the CAT</w:t>
      </w:r>
      <w:r>
        <w:rPr>
          <w:rFonts w:ascii="Garamond" w:eastAsia="Garamond" w:hAnsi="Garamond" w:cs="Garamond"/>
        </w:rPr>
        <w:t xml:space="preserve"> and the Committee's recommendation, in 2001, that the State adopt measures to guarantee investigations (A/56/44, letter </w:t>
      </w:r>
      <w:r>
        <w:rPr>
          <w:rFonts w:ascii="Garamond" w:eastAsia="Garamond" w:hAnsi="Garamond" w:cs="Garamond"/>
          <w:i/>
        </w:rPr>
        <w:t>b</w:t>
      </w:r>
      <w:r>
        <w:rPr>
          <w:rFonts w:ascii="Garamond" w:eastAsia="Garamond" w:hAnsi="Garamond" w:cs="Garamond"/>
        </w:rPr>
        <w:t>). Consequently, it also prevents torture victims or their families,</w:t>
      </w:r>
      <w:r>
        <w:rPr>
          <w:rFonts w:ascii="Garamond" w:eastAsia="Garamond" w:hAnsi="Garamond" w:cs="Garamond"/>
          <w:b/>
        </w:rPr>
        <w:t xml:space="preserve"> most of whom are black</w:t>
      </w:r>
      <w:r>
        <w:rPr>
          <w:rFonts w:ascii="Garamond" w:eastAsia="Garamond" w:hAnsi="Garamond" w:cs="Garamond"/>
        </w:rPr>
        <w:t xml:space="preserve">, from having the right to fair and adequate reparation and compensation awarded by the Judiciary, in accordance with </w:t>
      </w:r>
      <w:r>
        <w:rPr>
          <w:rFonts w:ascii="Garamond" w:eastAsia="Garamond" w:hAnsi="Garamond" w:cs="Garamond"/>
          <w:b/>
        </w:rPr>
        <w:t>Article 14 of the CAT</w:t>
      </w:r>
      <w:r>
        <w:rPr>
          <w:rFonts w:ascii="Garamond" w:eastAsia="Garamond" w:hAnsi="Garamond" w:cs="Garamond"/>
        </w:rPr>
        <w:t xml:space="preserve"> and the Committee's concern expressed in the questions addressed to the State in 2009 (CAT/C/BRA/Q/2, n.31). This again violates the Committee's 2001 recommendation on the adoption of measures to regulate and institutionalize the right to fair and </w:t>
      </w:r>
      <w:r>
        <w:rPr>
          <w:rFonts w:ascii="Garamond" w:eastAsia="Garamond" w:hAnsi="Garamond" w:cs="Garamond"/>
        </w:rPr>
        <w:lastRenderedPageBreak/>
        <w:t xml:space="preserve">adequate compensation (A/56/44, letter </w:t>
      </w:r>
      <w:r>
        <w:rPr>
          <w:rFonts w:ascii="Garamond" w:eastAsia="Garamond" w:hAnsi="Garamond" w:cs="Garamond"/>
          <w:i/>
        </w:rPr>
        <w:t>f</w:t>
      </w:r>
      <w:r>
        <w:rPr>
          <w:rFonts w:ascii="Garamond" w:eastAsia="Garamond" w:hAnsi="Garamond" w:cs="Garamond"/>
        </w:rPr>
        <w:t xml:space="preserve">). Finally, </w:t>
      </w:r>
      <w:r>
        <w:rPr>
          <w:rFonts w:ascii="Garamond" w:eastAsia="Garamond" w:hAnsi="Garamond" w:cs="Garamond"/>
          <w:b/>
        </w:rPr>
        <w:t>Article 15 of the CAT</w:t>
      </w:r>
      <w:r>
        <w:rPr>
          <w:rFonts w:ascii="Garamond" w:eastAsia="Garamond" w:hAnsi="Garamond" w:cs="Garamond"/>
        </w:rPr>
        <w:t xml:space="preserve"> has also been repeatedly violated by the State, which should prohibit the use of evidence obtained through torture, as recommended by the Committee in 2001 (A/56/44, letter </w:t>
      </w:r>
      <w:r>
        <w:rPr>
          <w:rFonts w:ascii="Garamond" w:eastAsia="Garamond" w:hAnsi="Garamond" w:cs="Garamond"/>
          <w:i/>
        </w:rPr>
        <w:t>g</w:t>
      </w:r>
      <w:r>
        <w:rPr>
          <w:rFonts w:ascii="Garamond" w:eastAsia="Garamond" w:hAnsi="Garamond" w:cs="Garamond"/>
        </w:rPr>
        <w:t xml:space="preserve">) and expressed its concern in the questions asked in 2009 (CAT/C/BRA/Q/2, n. 32). </w:t>
      </w:r>
    </w:p>
    <w:p w:rsidR="008277B6" w:rsidRDefault="008277B6">
      <w:pPr>
        <w:ind w:left="720"/>
        <w:jc w:val="both"/>
        <w:rPr>
          <w:rFonts w:ascii="Garamond" w:eastAsia="Garamond" w:hAnsi="Garamond" w:cs="Garamond"/>
        </w:rPr>
      </w:pPr>
      <w:bookmarkStart w:id="18" w:name="_heading=h.euhd7t1g026m" w:colFirst="0" w:colLast="0"/>
      <w:bookmarkEnd w:id="18"/>
    </w:p>
    <w:p w:rsidR="008277B6" w:rsidRDefault="00406128">
      <w:pPr>
        <w:pStyle w:val="Heading2"/>
        <w:spacing w:before="0" w:after="0"/>
        <w:jc w:val="both"/>
        <w:rPr>
          <w:rFonts w:ascii="Franklin Gothic" w:eastAsia="Franklin Gothic" w:hAnsi="Franklin Gothic" w:cs="Franklin Gothic"/>
          <w:b/>
          <w:color w:val="000000"/>
          <w:sz w:val="36"/>
          <w:szCs w:val="36"/>
        </w:rPr>
      </w:pPr>
      <w:bookmarkStart w:id="19" w:name="_heading=h.ltp9h984g3bq" w:colFirst="0" w:colLast="0"/>
      <w:bookmarkEnd w:id="19"/>
      <w:r>
        <w:rPr>
          <w:rFonts w:ascii="Franklin Gothic" w:eastAsia="Franklin Gothic" w:hAnsi="Franklin Gothic" w:cs="Franklin Gothic"/>
          <w:b/>
          <w:sz w:val="36"/>
          <w:szCs w:val="36"/>
        </w:rPr>
        <w:t>That said, we encourage this Committee to adopt the following recommendations to the Brazilian State:</w:t>
      </w:r>
    </w:p>
    <w:p w:rsidR="008277B6" w:rsidRDefault="008277B6">
      <w:pPr>
        <w:jc w:val="both"/>
        <w:rPr>
          <w:rFonts w:ascii="Garamond" w:eastAsia="Garamond" w:hAnsi="Garamond" w:cs="Garamond"/>
          <w:b/>
          <w:color w:val="274E13"/>
        </w:rPr>
      </w:pP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 xml:space="preserve">Recognize that the current policy to combat drugs, motivated by the logic of the “war on drugs”, has brought immense impacts to the prison system, especially the black population and with the exponential increase in the incarceration of women, so that this policy needs to be changed with less punitive and more extricating principles; </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Investigate the systematic, massive and permanent nature of torture and murder of black youth and recommend the adoption of reparation, transition and restoration measures that put an end to the extermination of the black population, without prejudice to the criminal liability of its perpetrators;</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Establish public policies on drugs that aim to promote greater social and public health impact, in order to reduce the need for public security action in this area;</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 xml:space="preserve">Strengthen the state investigative structure in order to provide for the investigation and punishment of those responsible for the crimes of torture; </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Foster the installation, strengthening and autonomy of Community Councils</w:t>
      </w:r>
      <w:r>
        <w:rPr>
          <w:rFonts w:ascii="Garamond" w:eastAsia="Garamond" w:hAnsi="Garamond" w:cs="Garamond"/>
          <w:highlight w:val="white"/>
          <w:vertAlign w:val="superscript"/>
        </w:rPr>
        <w:footnoteReference w:id="96"/>
      </w:r>
      <w:r>
        <w:rPr>
          <w:rFonts w:ascii="Garamond" w:eastAsia="Garamond" w:hAnsi="Garamond" w:cs="Garamond"/>
          <w:highlight w:val="white"/>
        </w:rPr>
        <w:t xml:space="preserve"> in all counties;</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The determination that national, state and municipal Public Security and Social Defense plans are based on citizen security and must contain policies and actions aimed at reducing lethality and violence by the police and municipal guards, the confrontation of institutional racism in the agencies of public security and guidelines for the implementation of protocols related to the police approach and the use of force in line with the fundamental rights provided for in the Federal Constitution and in the international treaties on human rights, security and peace to which Brazil is a signatory;</w:t>
      </w:r>
    </w:p>
    <w:p w:rsidR="008277B6" w:rsidRDefault="00406128">
      <w:pPr>
        <w:numPr>
          <w:ilvl w:val="0"/>
          <w:numId w:val="1"/>
        </w:numPr>
        <w:pBdr>
          <w:top w:val="nil"/>
          <w:left w:val="nil"/>
          <w:bottom w:val="nil"/>
          <w:right w:val="nil"/>
          <w:between w:val="nil"/>
        </w:pBdr>
        <w:jc w:val="both"/>
        <w:rPr>
          <w:rFonts w:ascii="Garamond" w:eastAsia="Garamond" w:hAnsi="Garamond" w:cs="Garamond"/>
          <w:highlight w:val="white"/>
        </w:rPr>
      </w:pPr>
      <w:r>
        <w:rPr>
          <w:rFonts w:ascii="Garamond" w:eastAsia="Garamond" w:hAnsi="Garamond" w:cs="Garamond"/>
          <w:highlight w:val="white"/>
        </w:rPr>
        <w:t>Proceed with the demilitarization of the police forces in Brazil;</w:t>
      </w:r>
    </w:p>
    <w:p w:rsidR="008277B6" w:rsidRDefault="00406128">
      <w:pPr>
        <w:numPr>
          <w:ilvl w:val="0"/>
          <w:numId w:val="1"/>
        </w:numPr>
        <w:pBdr>
          <w:top w:val="nil"/>
          <w:left w:val="nil"/>
          <w:bottom w:val="nil"/>
          <w:right w:val="nil"/>
          <w:between w:val="nil"/>
        </w:pBdr>
        <w:jc w:val="both"/>
        <w:rPr>
          <w:rFonts w:ascii="Garamond" w:eastAsia="Garamond" w:hAnsi="Garamond" w:cs="Garamond"/>
          <w:highlight w:val="white"/>
        </w:rPr>
      </w:pPr>
      <w:r>
        <w:rPr>
          <w:rFonts w:ascii="Garamond" w:eastAsia="Garamond" w:hAnsi="Garamond" w:cs="Garamond"/>
          <w:highlight w:val="white"/>
        </w:rPr>
        <w:t>Initiate a police inquiry into all deaths classified as “acts of resistance acts”, unarchive and carry out investigations in archived inquiries, remove the investigated police officers and determine the punishment of those who are proven guilty;</w:t>
      </w:r>
    </w:p>
    <w:p w:rsidR="008277B6" w:rsidRDefault="00406128">
      <w:pPr>
        <w:numPr>
          <w:ilvl w:val="0"/>
          <w:numId w:val="1"/>
        </w:numPr>
        <w:pBdr>
          <w:top w:val="nil"/>
          <w:left w:val="nil"/>
          <w:bottom w:val="nil"/>
          <w:right w:val="nil"/>
          <w:between w:val="nil"/>
        </w:pBdr>
        <w:jc w:val="both"/>
        <w:rPr>
          <w:rFonts w:ascii="Garamond" w:eastAsia="Garamond" w:hAnsi="Garamond" w:cs="Garamond"/>
          <w:highlight w:val="white"/>
        </w:rPr>
      </w:pPr>
      <w:r>
        <w:rPr>
          <w:rFonts w:ascii="Garamond" w:eastAsia="Garamond" w:hAnsi="Garamond" w:cs="Garamond"/>
          <w:highlight w:val="white"/>
        </w:rPr>
        <w:t>Carry out investigations within the scope of the Legislative Power, through Parliamentary Commissions of Inquiry, as well as within the scope of the Judiciary, through the Public Ministry of the states, in the exercise of external control of police activity, in order to reach parliamentarians and police officers involved with groups paramilitaries and militias in the state of Rio de Janeiro;</w:t>
      </w:r>
    </w:p>
    <w:p w:rsidR="008277B6" w:rsidRDefault="00406128">
      <w:pPr>
        <w:numPr>
          <w:ilvl w:val="0"/>
          <w:numId w:val="1"/>
        </w:numPr>
        <w:pBdr>
          <w:top w:val="nil"/>
          <w:left w:val="nil"/>
          <w:bottom w:val="nil"/>
          <w:right w:val="nil"/>
          <w:between w:val="nil"/>
        </w:pBdr>
        <w:jc w:val="both"/>
        <w:rPr>
          <w:rFonts w:ascii="Garamond" w:eastAsia="Garamond" w:hAnsi="Garamond" w:cs="Garamond"/>
          <w:highlight w:val="white"/>
        </w:rPr>
      </w:pPr>
      <w:r>
        <w:rPr>
          <w:rFonts w:ascii="Garamond" w:eastAsia="Garamond" w:hAnsi="Garamond" w:cs="Garamond"/>
          <w:highlight w:val="white"/>
        </w:rPr>
        <w:t>Implement legislative and political changes that prohibit subjective and cultural factors in the personal search (provided in article 244 of the Code of Criminal Procedure), so that factors such as age, skin color, gender, social class, place of residence, and clothing, for example, do not come to characterize well-founded suspicions in police approaches.</w:t>
      </w:r>
    </w:p>
    <w:p w:rsidR="008277B6" w:rsidRDefault="008277B6">
      <w:pPr>
        <w:pStyle w:val="Heading1"/>
        <w:spacing w:before="0" w:after="0"/>
        <w:jc w:val="center"/>
        <w:rPr>
          <w:rFonts w:ascii="Libre Franklin Medium" w:eastAsia="Libre Franklin Medium" w:hAnsi="Libre Franklin Medium" w:cs="Libre Franklin Medium"/>
          <w:b/>
          <w:sz w:val="36"/>
          <w:szCs w:val="36"/>
        </w:rPr>
      </w:pPr>
      <w:bookmarkStart w:id="20" w:name="_heading=h.apvo7jvcznmb" w:colFirst="0" w:colLast="0"/>
      <w:bookmarkEnd w:id="20"/>
    </w:p>
    <w:p w:rsidR="008277B6" w:rsidRDefault="008277B6">
      <w:pPr>
        <w:pStyle w:val="Heading1"/>
        <w:spacing w:before="0" w:after="0"/>
        <w:jc w:val="center"/>
        <w:rPr>
          <w:rFonts w:ascii="Libre Franklin Medium" w:eastAsia="Libre Franklin Medium" w:hAnsi="Libre Franklin Medium" w:cs="Libre Franklin Medium"/>
          <w:b/>
          <w:sz w:val="36"/>
          <w:szCs w:val="36"/>
        </w:rPr>
      </w:pPr>
      <w:bookmarkStart w:id="21" w:name="_heading=h.tcchnthu2q8f" w:colFirst="0" w:colLast="0"/>
      <w:bookmarkEnd w:id="21"/>
    </w:p>
    <w:p w:rsidR="008277B6" w:rsidRDefault="008277B6">
      <w:pPr>
        <w:pStyle w:val="Heading1"/>
        <w:spacing w:before="0" w:after="0"/>
        <w:jc w:val="center"/>
        <w:rPr>
          <w:rFonts w:ascii="Libre Franklin Medium" w:eastAsia="Libre Franklin Medium" w:hAnsi="Libre Franklin Medium" w:cs="Libre Franklin Medium"/>
          <w:b/>
          <w:sz w:val="36"/>
          <w:szCs w:val="36"/>
        </w:rPr>
      </w:pPr>
      <w:bookmarkStart w:id="22" w:name="_heading=h.5c2jotph0x9c" w:colFirst="0" w:colLast="0"/>
      <w:bookmarkEnd w:id="22"/>
    </w:p>
    <w:p w:rsidR="008277B6" w:rsidRDefault="00406128">
      <w:pPr>
        <w:pStyle w:val="Heading1"/>
        <w:spacing w:before="0" w:after="0"/>
        <w:jc w:val="center"/>
        <w:rPr>
          <w:rFonts w:ascii="Libre Franklin Medium" w:eastAsia="Libre Franklin Medium" w:hAnsi="Libre Franklin Medium" w:cs="Libre Franklin Medium"/>
          <w:b/>
          <w:sz w:val="36"/>
          <w:szCs w:val="36"/>
        </w:rPr>
      </w:pPr>
      <w:bookmarkStart w:id="23" w:name="_heading=h.kl2gqgoyvfgk" w:colFirst="0" w:colLast="0"/>
      <w:bookmarkEnd w:id="23"/>
      <w:r>
        <w:rPr>
          <w:rFonts w:ascii="Libre Franklin Medium" w:eastAsia="Libre Franklin Medium" w:hAnsi="Libre Franklin Medium" w:cs="Libre Franklin Medium"/>
          <w:b/>
          <w:sz w:val="36"/>
          <w:szCs w:val="36"/>
        </w:rPr>
        <w:t>Annex 1</w:t>
      </w:r>
    </w:p>
    <w:p w:rsidR="008277B6" w:rsidRDefault="00406128">
      <w:pPr>
        <w:pStyle w:val="Heading1"/>
        <w:spacing w:before="0" w:after="0"/>
        <w:jc w:val="center"/>
      </w:pPr>
      <w:bookmarkStart w:id="24" w:name="_heading=h.93fq5ooq3rmr" w:colFirst="0" w:colLast="0"/>
      <w:bookmarkEnd w:id="24"/>
      <w:r>
        <w:rPr>
          <w:rFonts w:ascii="Garamond" w:eastAsia="Garamond" w:hAnsi="Garamond" w:cs="Garamond"/>
          <w:b/>
          <w:sz w:val="24"/>
          <w:szCs w:val="24"/>
        </w:rPr>
        <w:t>List of recommendations</w:t>
      </w:r>
    </w:p>
    <w:p w:rsidR="008277B6" w:rsidRDefault="008277B6"/>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Proceed with the investigation and elucidation of torture and other forms of violation of human rights practiced in the context of the political repression that took place between 1961 and 1979, in order to implement the right to memory and truth;</w:t>
      </w:r>
    </w:p>
    <w:p w:rsidR="008277B6" w:rsidRDefault="00406128">
      <w:pPr>
        <w:numPr>
          <w:ilvl w:val="0"/>
          <w:numId w:val="1"/>
        </w:numPr>
        <w:jc w:val="both"/>
        <w:rPr>
          <w:rFonts w:ascii="Garamond" w:eastAsia="Garamond" w:hAnsi="Garamond" w:cs="Garamond"/>
        </w:rPr>
      </w:pPr>
      <w:r>
        <w:rPr>
          <w:rFonts w:ascii="Garamond" w:eastAsia="Garamond" w:hAnsi="Garamond" w:cs="Garamond"/>
        </w:rPr>
        <w:t xml:space="preserve">Proceed with legal accountability in the criminal, civil and administrative spheres of public agents involved in torture and other forms of human rights violations that occurred during the military dictatorship, removing the application of the Amnesty Law in relation to these agents; </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 xml:space="preserve">Guarantee, in its entirety, the achievement of the strategic objectives of Guideline 14 of the </w:t>
      </w:r>
      <w:r>
        <w:rPr>
          <w:rFonts w:ascii="Garamond" w:eastAsia="Garamond" w:hAnsi="Garamond" w:cs="Garamond"/>
        </w:rPr>
        <w:t>PNDH3</w:t>
      </w:r>
      <w:r>
        <w:rPr>
          <w:rFonts w:ascii="Garamond" w:eastAsia="Garamond" w:hAnsi="Garamond" w:cs="Garamond"/>
          <w:highlight w:val="white"/>
        </w:rPr>
        <w:t>, aimed at combating institutional violence, with emphasis on eradicating torture and reducing police and prison lethality;</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Approve Bill No. 734/23,</w:t>
      </w:r>
      <w:r>
        <w:rPr>
          <w:rFonts w:ascii="Garamond" w:eastAsia="Garamond" w:hAnsi="Garamond" w:cs="Garamond"/>
          <w:highlight w:val="white"/>
          <w:vertAlign w:val="superscript"/>
        </w:rPr>
        <w:footnoteReference w:id="97"/>
      </w:r>
      <w:r>
        <w:rPr>
          <w:rFonts w:ascii="Garamond" w:eastAsia="Garamond" w:hAnsi="Garamond" w:cs="Garamond"/>
          <w:highlight w:val="white"/>
        </w:rPr>
        <w:t xml:space="preserve"> that aims to classify the crime of slave-like labour exploitation as heinous;</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 xml:space="preserve">Create mechanisms and strategies to combat torture practiced in the private sector, which include strengthening legislation, training private security agents, increasing inspection and ways of receiving complaints, guaranteeing adequate investigation, accountability and compensation, and policies aimed at human rights and business; </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Include the criterion of race/ethnicity in all data surveys (in the areas of health, education, public safety, etc.) conducted by the State in order to promote public policies appropriate to the black population, guaranteeing the possibility of generating microdata stratified by race;</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Restore and strengthen the policy of racial equality and respective mechanisms of social participation, with the elaboration and implementation of a</w:t>
      </w:r>
      <w:r>
        <w:rPr>
          <w:rFonts w:ascii="Garamond" w:eastAsia="Garamond" w:hAnsi="Garamond" w:cs="Garamond"/>
        </w:rPr>
        <w:t xml:space="preserve"> National Plan to Combat Institutional Racism and the Policy of Death to the Black Population</w:t>
      </w:r>
      <w:r>
        <w:rPr>
          <w:rFonts w:ascii="Garamond" w:eastAsia="Garamond" w:hAnsi="Garamond" w:cs="Garamond"/>
          <w:highlight w:val="white"/>
        </w:rPr>
        <w:t>, with the participation of civil society organizations and the black movement, and inclusion of verifiable targets, stipulated budget and well-established programs, including the engagement against misogyny and LGBTQIA+phobia, in order to promote the integral development of the black population in the next 30 years;</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Allocate appropiated budget for all public policies to promote racial equality and combat torture;</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Promote human rights training with an anti-racist and anti-sexist approach for public servants, including justice administration personnel, particularly security services, penitentiary and police services, as provided for in article 133 of the Durban Programme of Action;</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Include, in the training courses for members of the justice and public security institutions provided for in article 144 of the Federal Constitution, on a mandatory basis, content on racial relations, confronting institutional racism and fundamental rights and guarantees provided for in article 5 of the Federal Constitution, especially those related to the fight against torture and inherent to the exercise of citizen security;</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Implement mandatory training for any public servants on racial relations and confronting institutional racism within the scope of public administration;</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Guarantee the protection of spaces where the faith of religions of African origin are exercised, as well as their liturgies, so that they have the same rights as reserved for religions with a majority representation, in order to safeguard the right to the full exercise of freedom religious, in accordance with article 5, item VI of the Federal Constitution;</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 xml:space="preserve">Remove Article 68 of the </w:t>
      </w:r>
      <w:r>
        <w:rPr>
          <w:rFonts w:ascii="Garamond" w:eastAsia="Garamond" w:hAnsi="Garamond" w:cs="Garamond"/>
        </w:rPr>
        <w:t>Transitional Constitutional Provisions Act (ADCT) and</w:t>
      </w:r>
      <w:r>
        <w:rPr>
          <w:rFonts w:ascii="Garamond" w:eastAsia="Garamond" w:hAnsi="Garamond" w:cs="Garamond"/>
          <w:highlight w:val="white"/>
        </w:rPr>
        <w:t xml:space="preserve"> recognize, in the Federal Constitution, the Quilombolas, as well as other peoples from non-original traditional communities, as subjects of law who are not fated to disappear over time;</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lastRenderedPageBreak/>
        <w:t>Accelerate the land-titling of Quilombola communities and provide basic infrastructure for these communities, in order to promote both the development of these populations and the maintenance of their traditions;</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Approve and sanction laws aimed at ending violence and gender inequalities, such as Bills No. 877/2019, 8042/2014, 6895/2017, 6355/2016 and, furthermore, not going back in cases of legal abortion already foreseen, decriminalize and legalize abortion ensuring that it is accessible and safe in all situations, for all women and girls, without stigma and discrimination;</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 xml:space="preserve">Advance in the processing of bills in the </w:t>
      </w:r>
      <w:r>
        <w:rPr>
          <w:rFonts w:ascii="Garamond" w:eastAsia="Garamond" w:hAnsi="Garamond" w:cs="Garamond"/>
        </w:rPr>
        <w:t>Congress</w:t>
      </w:r>
      <w:r>
        <w:rPr>
          <w:rFonts w:ascii="Garamond" w:eastAsia="Garamond" w:hAnsi="Garamond" w:cs="Garamond"/>
          <w:highlight w:val="white"/>
        </w:rPr>
        <w:t xml:space="preserve"> that aim to establish measures for the prevention and accountability of obstetric violence.</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 xml:space="preserve">Recognize that the current policy to combat drugs, motivated by the logic of the “war on drugs”, has brought immense impacts to the prison system, especially the black population and with the exponential increase in the incarceration of women, so that this policy needs to be changed with less punitive and more extricating principles; </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Investigate the systematic, massive and permanent nature of torture and murder of black youth and recommend the adoption of reparation, transition and restoration measures that put an end to the extermination of the black population, without prejudice to the criminal liability of its perpetrators;</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Establish public policies on drugs that aim to promote greater social and public health impact, in order to reduce the need for public security action in this area;</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 xml:space="preserve">Strengthen the state investigative structure in order to provide for the investigation and punishment of those responsible for the crimes of torture; </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Foster the installation, strengthening and autonomy of Community Councils</w:t>
      </w:r>
      <w:r>
        <w:rPr>
          <w:rFonts w:ascii="Garamond" w:eastAsia="Garamond" w:hAnsi="Garamond" w:cs="Garamond"/>
          <w:highlight w:val="white"/>
          <w:vertAlign w:val="superscript"/>
        </w:rPr>
        <w:footnoteReference w:id="98"/>
      </w:r>
      <w:r>
        <w:rPr>
          <w:rFonts w:ascii="Garamond" w:eastAsia="Garamond" w:hAnsi="Garamond" w:cs="Garamond"/>
          <w:highlight w:val="white"/>
        </w:rPr>
        <w:t xml:space="preserve"> in all counties;</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The determination that national, state and municipal Public Security and Social Defense plans are based on citizen security and must contain policies and actions aimed at reducing lethality and violence by the police and municipal guards, the confrontation of institutional racism in the agencies of public security and guidelines for the implementation of protocols related to the police approach and the use of force in line with the fundamental rights provided for in the Federal Constitution and in the international treaties on human rights, security and peace to which Brazil is a signatory;</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Proceed with the demilitarization of the police forces in Brazil;</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Initiate a police inquiry into all deaths classified as “acts of resistance acts”, unarchive and carry out investigations in archived inquiries, remove the investigated police officers and determine the punishment of those who are proven guilty;</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Carry out investigations within the scope of the Legislative Power, through Parliamentary Commissions of Inquiry, as well as within the scope of the Judiciary, through the Public Ministry of the states, in the exercise of external control of police activity, in order to reach parliamentarians and police officers involved with groups paramilitaries and militias in the state of Rio de Janeiro;</w:t>
      </w:r>
    </w:p>
    <w:p w:rsidR="008277B6" w:rsidRDefault="00406128">
      <w:pPr>
        <w:numPr>
          <w:ilvl w:val="0"/>
          <w:numId w:val="1"/>
        </w:numPr>
        <w:jc w:val="both"/>
        <w:rPr>
          <w:rFonts w:ascii="Garamond" w:eastAsia="Garamond" w:hAnsi="Garamond" w:cs="Garamond"/>
          <w:highlight w:val="white"/>
        </w:rPr>
      </w:pPr>
      <w:r>
        <w:rPr>
          <w:rFonts w:ascii="Garamond" w:eastAsia="Garamond" w:hAnsi="Garamond" w:cs="Garamond"/>
          <w:highlight w:val="white"/>
        </w:rPr>
        <w:t>Implement legislative and political changes that prohibit subjective and cultural factors in the personal search (provided in article 244 of the Code of Criminal Procedure), so that factors such as age, skin color, gender, social class, place of residence, and clothing, for example, do not come to characterize well-founded suspicions in police approaches.</w:t>
      </w:r>
    </w:p>
    <w:p w:rsidR="008277B6" w:rsidRDefault="008277B6">
      <w:pPr>
        <w:jc w:val="both"/>
        <w:rPr>
          <w:rFonts w:ascii="Garamond" w:eastAsia="Garamond" w:hAnsi="Garamond" w:cs="Garamond"/>
          <w:highlight w:val="white"/>
        </w:rPr>
      </w:pPr>
    </w:p>
    <w:p w:rsidR="008277B6" w:rsidRDefault="00406128">
      <w:pPr>
        <w:pStyle w:val="Heading1"/>
        <w:spacing w:before="0" w:after="0"/>
        <w:jc w:val="center"/>
        <w:rPr>
          <w:rFonts w:ascii="Garamond" w:eastAsia="Garamond" w:hAnsi="Garamond" w:cs="Garamond"/>
          <w:b/>
          <w:sz w:val="24"/>
          <w:szCs w:val="24"/>
        </w:rPr>
      </w:pPr>
      <w:bookmarkStart w:id="25" w:name="_heading=h.famr2kw0101r" w:colFirst="0" w:colLast="0"/>
      <w:bookmarkEnd w:id="25"/>
      <w:r>
        <w:rPr>
          <w:rFonts w:ascii="Libre Franklin Medium" w:eastAsia="Libre Franklin Medium" w:hAnsi="Libre Franklin Medium" w:cs="Libre Franklin Medium"/>
          <w:b/>
          <w:sz w:val="36"/>
          <w:szCs w:val="36"/>
        </w:rPr>
        <w:t xml:space="preserve">Annex 2 </w:t>
      </w:r>
    </w:p>
    <w:p w:rsidR="008277B6" w:rsidRDefault="00406128">
      <w:pPr>
        <w:pStyle w:val="Heading1"/>
        <w:spacing w:before="0" w:after="0"/>
        <w:jc w:val="center"/>
        <w:rPr>
          <w:rFonts w:ascii="Garamond" w:eastAsia="Garamond" w:hAnsi="Garamond" w:cs="Garamond"/>
          <w:b/>
          <w:sz w:val="24"/>
          <w:szCs w:val="24"/>
        </w:rPr>
      </w:pPr>
      <w:bookmarkStart w:id="26" w:name="_heading=h.4fhmcmp5c8us" w:colFirst="0" w:colLast="0"/>
      <w:bookmarkEnd w:id="26"/>
      <w:r>
        <w:rPr>
          <w:rFonts w:ascii="Garamond" w:eastAsia="Garamond" w:hAnsi="Garamond" w:cs="Garamond"/>
          <w:b/>
          <w:sz w:val="24"/>
          <w:szCs w:val="24"/>
        </w:rPr>
        <w:t>Photo of Bolsonaro indicating a sign in his Cabinet in the Chamber of Deputies</w:t>
      </w:r>
    </w:p>
    <w:p w:rsidR="008277B6" w:rsidRDefault="008277B6"/>
    <w:p w:rsidR="008277B6" w:rsidRDefault="00406128">
      <w:pPr>
        <w:jc w:val="center"/>
      </w:pPr>
      <w:r>
        <w:rPr>
          <w:noProof/>
          <w:lang w:val="en-GB" w:eastAsia="en-GB"/>
        </w:rPr>
        <w:lastRenderedPageBreak/>
        <w:drawing>
          <wp:inline distT="114300" distB="114300" distL="114300" distR="114300">
            <wp:extent cx="4762500" cy="3571875"/>
            <wp:effectExtent l="0" t="0" r="0" b="0"/>
            <wp:docPr id="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4762500" cy="3571875"/>
                    </a:xfrm>
                    <a:prstGeom prst="rect">
                      <a:avLst/>
                    </a:prstGeom>
                    <a:ln/>
                  </pic:spPr>
                </pic:pic>
              </a:graphicData>
            </a:graphic>
          </wp:inline>
        </w:drawing>
      </w:r>
    </w:p>
    <w:p w:rsidR="008277B6" w:rsidRDefault="008277B6"/>
    <w:p w:rsidR="008277B6" w:rsidRDefault="00406128">
      <w:pPr>
        <w:pStyle w:val="Heading1"/>
        <w:spacing w:before="0" w:after="0"/>
        <w:jc w:val="center"/>
        <w:rPr>
          <w:rFonts w:ascii="Garamond" w:eastAsia="Garamond" w:hAnsi="Garamond" w:cs="Garamond"/>
          <w:b/>
          <w:sz w:val="24"/>
          <w:szCs w:val="24"/>
        </w:rPr>
      </w:pPr>
      <w:bookmarkStart w:id="27" w:name="_heading=h.khslih4ht06k" w:colFirst="0" w:colLast="0"/>
      <w:bookmarkEnd w:id="27"/>
      <w:r>
        <w:rPr>
          <w:rFonts w:ascii="Libre Franklin Medium" w:eastAsia="Libre Franklin Medium" w:hAnsi="Libre Franklin Medium" w:cs="Libre Franklin Medium"/>
          <w:b/>
          <w:sz w:val="36"/>
          <w:szCs w:val="36"/>
        </w:rPr>
        <w:t xml:space="preserve">Annex 3 </w:t>
      </w:r>
    </w:p>
    <w:p w:rsidR="008277B6" w:rsidRDefault="00406128">
      <w:pPr>
        <w:pStyle w:val="Heading1"/>
        <w:spacing w:before="0" w:after="0"/>
        <w:jc w:val="center"/>
        <w:rPr>
          <w:rFonts w:ascii="Garamond" w:eastAsia="Garamond" w:hAnsi="Garamond" w:cs="Garamond"/>
          <w:b/>
          <w:sz w:val="24"/>
          <w:szCs w:val="24"/>
        </w:rPr>
      </w:pPr>
      <w:bookmarkStart w:id="28" w:name="_heading=h.494fsas0lrhm" w:colFirst="0" w:colLast="0"/>
      <w:bookmarkEnd w:id="28"/>
      <w:r>
        <w:rPr>
          <w:rFonts w:ascii="Garamond" w:eastAsia="Garamond" w:hAnsi="Garamond" w:cs="Garamond"/>
          <w:b/>
          <w:sz w:val="24"/>
          <w:szCs w:val="24"/>
        </w:rPr>
        <w:t>Photo of the hands of William de Jesus Conceição, a 24-year-old black man who was tortured and had his hands burned with an iron</w:t>
      </w:r>
    </w:p>
    <w:p w:rsidR="008277B6" w:rsidRDefault="008277B6"/>
    <w:p w:rsidR="008277B6" w:rsidRDefault="00406128">
      <w:pPr>
        <w:jc w:val="center"/>
      </w:pPr>
      <w:r>
        <w:rPr>
          <w:noProof/>
          <w:lang w:val="en-GB" w:eastAsia="en-GB"/>
        </w:rPr>
        <w:drawing>
          <wp:inline distT="114300" distB="114300" distL="114300" distR="114300">
            <wp:extent cx="4776669" cy="3283362"/>
            <wp:effectExtent l="0" t="0" r="0" b="0"/>
            <wp:docPr id="3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4776669" cy="3283362"/>
                    </a:xfrm>
                    <a:prstGeom prst="rect">
                      <a:avLst/>
                    </a:prstGeom>
                    <a:ln/>
                  </pic:spPr>
                </pic:pic>
              </a:graphicData>
            </a:graphic>
          </wp:inline>
        </w:drawing>
      </w:r>
    </w:p>
    <w:p w:rsidR="008277B6" w:rsidRDefault="008277B6"/>
    <w:p w:rsidR="008277B6" w:rsidRDefault="008277B6">
      <w:pPr>
        <w:jc w:val="center"/>
      </w:pPr>
    </w:p>
    <w:sectPr w:rsidR="008277B6" w:rsidSect="008277B6">
      <w:headerReference w:type="default" r:id="rId10"/>
      <w:footerReference w:type="default" r:id="rId11"/>
      <w:headerReference w:type="first" r:id="rId12"/>
      <w:footerReference w:type="first" r:id="rId13"/>
      <w:pgSz w:w="11900" w:h="16840"/>
      <w:pgMar w:top="1133" w:right="1133" w:bottom="1133" w:left="1133"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128" w:rsidRDefault="00406128" w:rsidP="008277B6">
      <w:r>
        <w:separator/>
      </w:r>
    </w:p>
  </w:endnote>
  <w:endnote w:type="continuationSeparator" w:id="0">
    <w:p w:rsidR="00406128" w:rsidRDefault="00406128" w:rsidP="00827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Lucida Grande">
    <w:panose1 w:val="00000000000000000000"/>
    <w:charset w:val="00"/>
    <w:family w:val="roman"/>
    <w:notTrueType/>
    <w:pitch w:val="default"/>
  </w:font>
  <w:font w:name="MinionPro-Bold">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Franklin Gothic">
    <w:altName w:val="Times New Roman"/>
    <w:charset w:val="00"/>
    <w:family w:val="auto"/>
    <w:pitch w:val="default"/>
  </w:font>
  <w:font w:name="Libre Franklin Medium">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7B6" w:rsidRDefault="008277B6">
    <w:pPr>
      <w:pBdr>
        <w:top w:val="nil"/>
        <w:left w:val="nil"/>
        <w:bottom w:val="nil"/>
        <w:right w:val="nil"/>
        <w:between w:val="nil"/>
      </w:pBdr>
      <w:spacing w:line="276" w:lineRule="auto"/>
      <w:jc w:val="right"/>
      <w:rPr>
        <w:rFonts w:ascii="Garamond" w:eastAsia="Garamond" w:hAnsi="Garamond" w:cs="Garamond"/>
        <w:color w:val="000000"/>
        <w:sz w:val="22"/>
        <w:szCs w:val="22"/>
      </w:rPr>
    </w:pPr>
    <w:r>
      <w:rPr>
        <w:rFonts w:ascii="Garamond" w:eastAsia="Garamond" w:hAnsi="Garamond" w:cs="Garamond"/>
        <w:b/>
        <w:color w:val="000000"/>
      </w:rPr>
      <w:fldChar w:fldCharType="begin"/>
    </w:r>
    <w:r w:rsidR="00406128">
      <w:rPr>
        <w:rFonts w:ascii="Garamond" w:eastAsia="Garamond" w:hAnsi="Garamond" w:cs="Garamond"/>
        <w:b/>
        <w:color w:val="000000"/>
      </w:rPr>
      <w:instrText>PAGE</w:instrText>
    </w:r>
    <w:r>
      <w:rPr>
        <w:rFonts w:ascii="Garamond" w:eastAsia="Garamond" w:hAnsi="Garamond" w:cs="Garamond"/>
        <w:b/>
        <w:color w:val="000000"/>
      </w:rPr>
      <w:fldChar w:fldCharType="separate"/>
    </w:r>
    <w:r w:rsidR="00090925">
      <w:rPr>
        <w:rFonts w:ascii="Garamond" w:eastAsia="Garamond" w:hAnsi="Garamond" w:cs="Garamond"/>
        <w:b/>
        <w:noProof/>
        <w:color w:val="000000"/>
      </w:rPr>
      <w:t>3</w:t>
    </w:r>
    <w:r>
      <w:rPr>
        <w:rFonts w:ascii="Garamond" w:eastAsia="Garamond" w:hAnsi="Garamond" w:cs="Garamond"/>
        <w:b/>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7B6" w:rsidRDefault="008277B6">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128" w:rsidRDefault="00406128" w:rsidP="008277B6">
      <w:r>
        <w:separator/>
      </w:r>
    </w:p>
  </w:footnote>
  <w:footnote w:type="continuationSeparator" w:id="0">
    <w:p w:rsidR="00406128" w:rsidRDefault="00406128" w:rsidP="008277B6">
      <w:r>
        <w:continuationSeparator/>
      </w:r>
    </w:p>
  </w:footnote>
  <w:footnote w:id="1">
    <w:p w:rsidR="008277B6" w:rsidRDefault="00406128">
      <w:pPr>
        <w:jc w:val="both"/>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Civil society organization that stands in defense of black men and women as it understands that these two social segments suffer from disadvantages and discrimination in accessing social opportunities due to racism and sexism prevailing in Brazilian society. Website: </w:t>
      </w:r>
      <w:hyperlink r:id="rId1">
        <w:r>
          <w:rPr>
            <w:rFonts w:ascii="Garamond" w:eastAsia="Garamond" w:hAnsi="Garamond" w:cs="Garamond"/>
            <w:color w:val="1155CC"/>
            <w:sz w:val="20"/>
            <w:szCs w:val="20"/>
            <w:u w:val="single"/>
          </w:rPr>
          <w:t>www.geledes.org.br</w:t>
        </w:r>
      </w:hyperlink>
    </w:p>
  </w:footnote>
  <w:footnote w:id="2">
    <w:p w:rsidR="008277B6" w:rsidRDefault="00406128">
      <w:pPr>
        <w:jc w:val="both"/>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The document points out that the Brazilian definition of torture complies with international regulations, also covering the possibility that the crime can be committed in the private sphere. However, it points out that torture practiced by private individuals was only investigated when it had state support, acquiescence, or tolerance. </w:t>
      </w:r>
    </w:p>
  </w:footnote>
  <w:footnote w:id="3">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w:t>
      </w:r>
      <w:hyperlink r:id="rId2">
        <w:r>
          <w:rPr>
            <w:rFonts w:ascii="Garamond" w:eastAsia="Garamond" w:hAnsi="Garamond" w:cs="Garamond"/>
            <w:color w:val="1155CC"/>
            <w:sz w:val="20"/>
            <w:szCs w:val="20"/>
            <w:u w:val="single"/>
          </w:rPr>
          <w:t>Maioria das recomendações da Comissão Nacional da Verdade segue no papel</w:t>
        </w:r>
      </w:hyperlink>
      <w:r>
        <w:rPr>
          <w:rFonts w:ascii="Garamond" w:eastAsia="Garamond" w:hAnsi="Garamond" w:cs="Garamond"/>
          <w:color w:val="1155CC"/>
          <w:sz w:val="20"/>
          <w:szCs w:val="20"/>
          <w:u w:val="single"/>
        </w:rPr>
        <w:t xml:space="preserve">  </w:t>
      </w:r>
    </w:p>
  </w:footnote>
  <w:footnote w:id="4">
    <w:p w:rsidR="008277B6" w:rsidRDefault="00406128">
      <w:pPr>
        <w:jc w:val="both"/>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The case sought to hold the State responsible for the arbitrary detention, torture, and forced disappearance of 70 people, between 1972 and 1975, in Army operations to eradicate the “Guerrilla do Araguaia”, in the context of the military dictatorship in Brazil. </w:t>
      </w:r>
    </w:p>
  </w:footnote>
  <w:footnote w:id="5">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3">
        <w:r w:rsidRPr="00F323DF">
          <w:rPr>
            <w:rFonts w:ascii="Garamond" w:eastAsia="Garamond" w:hAnsi="Garamond" w:cs="Garamond"/>
            <w:color w:val="1155CC"/>
            <w:sz w:val="20"/>
            <w:szCs w:val="20"/>
            <w:u w:val="single"/>
            <w:lang w:val="fr-FR"/>
          </w:rPr>
          <w:t>Bolsonaro extingue grupo que identificava ossadas de desaparecidos políticos</w:t>
        </w:r>
      </w:hyperlink>
    </w:p>
  </w:footnote>
  <w:footnote w:id="6">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w:t>
      </w:r>
      <w:hyperlink r:id="rId4">
        <w:r>
          <w:rPr>
            <w:rFonts w:ascii="Garamond" w:eastAsia="Garamond" w:hAnsi="Garamond" w:cs="Garamond"/>
            <w:color w:val="1155CC"/>
            <w:sz w:val="20"/>
            <w:szCs w:val="20"/>
            <w:u w:val="single"/>
          </w:rPr>
          <w:t>Organizações denunciam na ONU o desmonte do sistema de combate à tortura no Brasil</w:t>
        </w:r>
      </w:hyperlink>
    </w:p>
  </w:footnote>
  <w:footnote w:id="7">
    <w:p w:rsidR="008277B6" w:rsidRDefault="00406128">
      <w:pPr>
        <w:rPr>
          <w:sz w:val="20"/>
          <w:szCs w:val="20"/>
        </w:rPr>
      </w:pPr>
      <w:r>
        <w:rPr>
          <w:rStyle w:val="FootnoteReference"/>
        </w:rPr>
        <w:footnoteRef/>
      </w:r>
      <w:r>
        <w:rPr>
          <w:sz w:val="20"/>
          <w:szCs w:val="20"/>
        </w:rPr>
        <w:t xml:space="preserve"> </w:t>
      </w:r>
      <w:r>
        <w:rPr>
          <w:rFonts w:ascii="Garamond" w:eastAsia="Garamond" w:hAnsi="Garamond" w:cs="Garamond"/>
          <w:sz w:val="20"/>
          <w:szCs w:val="20"/>
        </w:rPr>
        <w:t xml:space="preserve">ADPF is an acronym for “Arguição de Descumprimento de Preceito Fundamental” and refers to the action, proposed to the Federal Supreme Court, in order to avoid or repair damage to a fundamental precept resulting from an act of the public power. </w:t>
      </w:r>
    </w:p>
  </w:footnote>
  <w:footnote w:id="8">
    <w:p w:rsidR="008277B6" w:rsidRDefault="00406128">
      <w:pPr>
        <w:jc w:val="both"/>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Coletivo RPU Brasil. </w:t>
      </w:r>
      <w:hyperlink r:id="rId5">
        <w:r>
          <w:rPr>
            <w:rFonts w:ascii="Garamond" w:eastAsia="Garamond" w:hAnsi="Garamond" w:cs="Garamond"/>
            <w:color w:val="1155CC"/>
            <w:sz w:val="20"/>
            <w:szCs w:val="20"/>
            <w:u w:val="single"/>
          </w:rPr>
          <w:t>Relatório da sociedade civil: Revisão Periódica Universal dos Direitos Humanos no Contexto da Covid-19</w:t>
        </w:r>
      </w:hyperlink>
    </w:p>
  </w:footnote>
  <w:footnote w:id="9">
    <w:p w:rsidR="008277B6" w:rsidRDefault="00406128">
      <w:pPr>
        <w:rPr>
          <w:sz w:val="20"/>
          <w:szCs w:val="20"/>
        </w:rPr>
      </w:pPr>
      <w:r>
        <w:rPr>
          <w:rStyle w:val="FootnoteReference"/>
        </w:rPr>
        <w:footnoteRef/>
      </w:r>
      <w:hyperlink r:id="rId6">
        <w:r>
          <w:rPr>
            <w:rFonts w:ascii="Garamond" w:eastAsia="Garamond" w:hAnsi="Garamond" w:cs="Garamond"/>
            <w:color w:val="1155CC"/>
            <w:sz w:val="20"/>
            <w:szCs w:val="20"/>
            <w:u w:val="single"/>
          </w:rPr>
          <w:t>Trabalho escravo no RS</w:t>
        </w:r>
      </w:hyperlink>
    </w:p>
  </w:footnote>
  <w:footnote w:id="10">
    <w:p w:rsidR="008277B6" w:rsidRPr="00F323DF" w:rsidRDefault="00406128">
      <w:pPr>
        <w:rPr>
          <w:rFonts w:ascii="Garamond" w:eastAsia="Garamond" w:hAnsi="Garamond" w:cs="Garamond"/>
          <w:sz w:val="20"/>
          <w:szCs w:val="20"/>
          <w:lang w:val="fr-FR"/>
        </w:rPr>
      </w:pPr>
      <w:r>
        <w:rPr>
          <w:rStyle w:val="FootnoteReference"/>
        </w:rPr>
        <w:footnoteRef/>
      </w:r>
      <w:hyperlink r:id="rId7" w:anchor=":~:text=Dos%202.575%20flagrados%20com%20m%C3%A3o,%25%20brancos%20e%202%25%20ind%C3%ADgenas">
        <w:r w:rsidRPr="00F323DF">
          <w:rPr>
            <w:rFonts w:ascii="Garamond" w:eastAsia="Garamond" w:hAnsi="Garamond" w:cs="Garamond"/>
            <w:color w:val="1155CC"/>
            <w:sz w:val="20"/>
            <w:szCs w:val="20"/>
            <w:u w:val="single"/>
            <w:lang w:val="fr-FR"/>
          </w:rPr>
          <w:t>Ministério diz que 95% dos escravizados do vinho são negros e 93%, baianos</w:t>
        </w:r>
      </w:hyperlink>
    </w:p>
  </w:footnote>
  <w:footnote w:id="11">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w:t>
      </w:r>
      <w:hyperlink r:id="rId8">
        <w:r>
          <w:rPr>
            <w:rFonts w:ascii="Garamond" w:eastAsia="Garamond" w:hAnsi="Garamond" w:cs="Garamond"/>
            <w:color w:val="1155CC"/>
            <w:sz w:val="20"/>
            <w:szCs w:val="20"/>
            <w:u w:val="single"/>
          </w:rPr>
          <w:t>Trabalho escravo em vinícolas revela crueldade em fazendas no Sul</w:t>
        </w:r>
      </w:hyperlink>
    </w:p>
  </w:footnote>
  <w:footnote w:id="12">
    <w:p w:rsidR="008277B6" w:rsidRPr="00F323DF" w:rsidRDefault="00406128">
      <w:pPr>
        <w:rPr>
          <w:rFonts w:ascii="Garamond" w:eastAsia="Garamond" w:hAnsi="Garamond" w:cs="Garamond"/>
          <w:sz w:val="20"/>
          <w:szCs w:val="20"/>
          <w:lang w:val="fr-FR"/>
        </w:rPr>
      </w:pPr>
      <w:r>
        <w:rPr>
          <w:rStyle w:val="FootnoteReference"/>
        </w:rPr>
        <w:footnoteRef/>
      </w:r>
      <w:hyperlink r:id="rId9">
        <w:r w:rsidRPr="00F323DF">
          <w:rPr>
            <w:rFonts w:ascii="Garamond" w:eastAsia="Garamond" w:hAnsi="Garamond" w:cs="Garamond"/>
            <w:color w:val="1155CC"/>
            <w:sz w:val="20"/>
            <w:szCs w:val="20"/>
            <w:u w:val="single"/>
            <w:lang w:val="fr-FR"/>
          </w:rPr>
          <w:t xml:space="preserve"> Mulher é resgatada após 72 anos de trabalho escravo doméstico no Rio</w:t>
        </w:r>
      </w:hyperlink>
    </w:p>
  </w:footnote>
  <w:footnote w:id="13">
    <w:p w:rsidR="008277B6" w:rsidRPr="00F323DF" w:rsidRDefault="00406128">
      <w:pPr>
        <w:jc w:val="both"/>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Instituto Brasileiro de Geografia e Estatística. </w:t>
      </w:r>
      <w:hyperlink r:id="rId10">
        <w:r w:rsidRPr="00F323DF">
          <w:rPr>
            <w:rFonts w:ascii="Garamond" w:eastAsia="Garamond" w:hAnsi="Garamond" w:cs="Garamond"/>
            <w:color w:val="1155CC"/>
            <w:sz w:val="20"/>
            <w:szCs w:val="20"/>
            <w:u w:val="single"/>
            <w:lang w:val="fr-FR"/>
          </w:rPr>
          <w:t>Trabalho infantil de crianças e adolescentes de 5 a 17 anos de idade 2016-2019</w:t>
        </w:r>
      </w:hyperlink>
    </w:p>
  </w:footnote>
  <w:footnote w:id="14">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w:t>
      </w:r>
      <w:hyperlink r:id="rId11">
        <w:r>
          <w:rPr>
            <w:rFonts w:ascii="Garamond" w:eastAsia="Garamond" w:hAnsi="Garamond" w:cs="Garamond"/>
            <w:color w:val="1155CC"/>
            <w:sz w:val="20"/>
            <w:szCs w:val="20"/>
            <w:u w:val="single"/>
          </w:rPr>
          <w:t>"Deixa a molecada trabalhar", diz Bolsonaro ao defender trabalho infantil</w:t>
        </w:r>
      </w:hyperlink>
    </w:p>
  </w:footnote>
  <w:footnote w:id="15">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12">
        <w:r w:rsidRPr="00F323DF">
          <w:rPr>
            <w:rFonts w:ascii="Garamond" w:eastAsia="Garamond" w:hAnsi="Garamond" w:cs="Garamond"/>
            <w:color w:val="1155CC"/>
            <w:sz w:val="20"/>
            <w:szCs w:val="20"/>
            <w:u w:val="single"/>
            <w:lang w:val="fr-FR"/>
          </w:rPr>
          <w:t>Mulher leva facada após vizinho acusá-la de ouvir 'música de macumba'</w:t>
        </w:r>
      </w:hyperlink>
    </w:p>
  </w:footnote>
  <w:footnote w:id="16">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13">
        <w:r w:rsidRPr="00F323DF">
          <w:rPr>
            <w:rFonts w:ascii="Garamond" w:eastAsia="Garamond" w:hAnsi="Garamond" w:cs="Garamond"/>
            <w:color w:val="1155CC"/>
            <w:sz w:val="20"/>
            <w:szCs w:val="20"/>
            <w:u w:val="single"/>
            <w:lang w:val="fr-FR"/>
          </w:rPr>
          <w:t>Vítima de intolerância religiosa, menina de 11 anos é apedrejada na cabeça após festa de Candomblé</w:t>
        </w:r>
      </w:hyperlink>
    </w:p>
  </w:footnote>
  <w:footnote w:id="17">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14">
        <w:r w:rsidRPr="00F323DF">
          <w:rPr>
            <w:rFonts w:ascii="Garamond" w:eastAsia="Garamond" w:hAnsi="Garamond" w:cs="Garamond"/>
            <w:color w:val="1155CC"/>
            <w:sz w:val="20"/>
            <w:szCs w:val="20"/>
            <w:u w:val="single"/>
            <w:lang w:val="fr-FR"/>
          </w:rPr>
          <w:t>Mãe perde guarda da filha depois de levá-la em ritual umbandista</w:t>
        </w:r>
      </w:hyperlink>
    </w:p>
  </w:footnote>
  <w:footnote w:id="18">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15">
        <w:r w:rsidRPr="00F323DF">
          <w:rPr>
            <w:rFonts w:ascii="Garamond" w:eastAsia="Garamond" w:hAnsi="Garamond" w:cs="Garamond"/>
            <w:color w:val="1155CC"/>
            <w:sz w:val="20"/>
            <w:szCs w:val="20"/>
            <w:u w:val="single"/>
            <w:lang w:val="fr-FR"/>
          </w:rPr>
          <w:t>50% dos brasileiros são católicos, 31%, evangélicos e 10% não têm religião, diz Datafolha</w:t>
        </w:r>
      </w:hyperlink>
    </w:p>
  </w:footnote>
  <w:footnote w:id="19">
    <w:p w:rsidR="008277B6" w:rsidRPr="00F323DF" w:rsidRDefault="00406128">
      <w:pPr>
        <w:jc w:val="both"/>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r w:rsidRPr="00F323DF">
        <w:rPr>
          <w:rFonts w:ascii="Garamond" w:eastAsia="Garamond" w:hAnsi="Garamond" w:cs="Garamond"/>
          <w:sz w:val="20"/>
          <w:szCs w:val="20"/>
          <w:highlight w:val="white"/>
          <w:lang w:val="fr-FR"/>
        </w:rPr>
        <w:t xml:space="preserve">Centro de Articulação de Populações Marginalizadas e Observatório das Liberdades Religiosas. </w:t>
      </w:r>
      <w:hyperlink r:id="rId16">
        <w:r w:rsidRPr="00F323DF">
          <w:rPr>
            <w:rFonts w:ascii="Garamond" w:eastAsia="Garamond" w:hAnsi="Garamond" w:cs="Garamond"/>
            <w:color w:val="1155CC"/>
            <w:sz w:val="20"/>
            <w:szCs w:val="20"/>
            <w:highlight w:val="white"/>
            <w:u w:val="single"/>
            <w:lang w:val="fr-FR"/>
          </w:rPr>
          <w:t>II Relatório sobre intolerância religiosa: Brasil, América Latina e Caribe</w:t>
        </w:r>
      </w:hyperlink>
    </w:p>
  </w:footnote>
  <w:footnote w:id="20">
    <w:p w:rsidR="008277B6" w:rsidRDefault="00406128">
      <w:pPr>
        <w:rPr>
          <w:rFonts w:ascii="Garamond" w:eastAsia="Garamond" w:hAnsi="Garamond" w:cs="Garamond"/>
          <w:sz w:val="20"/>
          <w:szCs w:val="20"/>
        </w:rPr>
      </w:pPr>
      <w:r>
        <w:rPr>
          <w:rStyle w:val="FootnoteReference"/>
        </w:rPr>
        <w:footnoteRef/>
      </w:r>
      <w:r w:rsidRPr="00F323DF">
        <w:rPr>
          <w:rFonts w:ascii="Garamond" w:eastAsia="Garamond" w:hAnsi="Garamond" w:cs="Garamond"/>
          <w:sz w:val="20"/>
          <w:szCs w:val="20"/>
          <w:lang w:val="fr-FR"/>
        </w:rPr>
        <w:t xml:space="preserve"> </w:t>
      </w:r>
      <w:r w:rsidRPr="00F323DF">
        <w:rPr>
          <w:rFonts w:ascii="Garamond" w:eastAsia="Garamond" w:hAnsi="Garamond" w:cs="Garamond"/>
          <w:sz w:val="20"/>
          <w:szCs w:val="20"/>
          <w:highlight w:val="white"/>
          <w:lang w:val="fr-FR"/>
        </w:rPr>
        <w:t xml:space="preserve">Centro de Articulação de Populações Marginalizadas e Observatório das Liberdades Religiosas. </w:t>
      </w:r>
      <w:hyperlink r:id="rId17">
        <w:r>
          <w:rPr>
            <w:rFonts w:ascii="Garamond" w:eastAsia="Garamond" w:hAnsi="Garamond" w:cs="Garamond"/>
            <w:color w:val="1155CC"/>
            <w:sz w:val="20"/>
            <w:szCs w:val="20"/>
            <w:highlight w:val="white"/>
            <w:u w:val="single"/>
          </w:rPr>
          <w:t>II Relatório sobre intolerância religiosa: Brasil, América Latina e Caribe</w:t>
        </w:r>
      </w:hyperlink>
    </w:p>
  </w:footnote>
  <w:footnote w:id="21">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At the time, Jair Bolsonaro was a Federal Deputy.</w:t>
      </w:r>
    </w:p>
  </w:footnote>
  <w:footnote w:id="22">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w:t>
      </w:r>
      <w:r>
        <w:rPr>
          <w:rFonts w:ascii="Garamond" w:eastAsia="Garamond" w:hAnsi="Garamond" w:cs="Garamond"/>
          <w:color w:val="000000"/>
          <w:sz w:val="20"/>
          <w:szCs w:val="20"/>
        </w:rPr>
        <w:t xml:space="preserve">In Brazil, the </w:t>
      </w:r>
      <w:r>
        <w:rPr>
          <w:rFonts w:ascii="Garamond" w:eastAsia="Garamond" w:hAnsi="Garamond" w:cs="Garamond"/>
          <w:sz w:val="20"/>
          <w:szCs w:val="20"/>
        </w:rPr>
        <w:t>“</w:t>
      </w:r>
      <w:r>
        <w:rPr>
          <w:rFonts w:ascii="Garamond" w:eastAsia="Garamond" w:hAnsi="Garamond" w:cs="Garamond"/>
          <w:color w:val="000000"/>
          <w:sz w:val="20"/>
          <w:szCs w:val="20"/>
        </w:rPr>
        <w:t>arroba</w:t>
      </w:r>
      <w:r>
        <w:rPr>
          <w:rFonts w:ascii="Garamond" w:eastAsia="Garamond" w:hAnsi="Garamond" w:cs="Garamond"/>
          <w:sz w:val="20"/>
          <w:szCs w:val="20"/>
        </w:rPr>
        <w:t>”</w:t>
      </w:r>
      <w:r>
        <w:rPr>
          <w:rFonts w:ascii="Garamond" w:eastAsia="Garamond" w:hAnsi="Garamond" w:cs="Garamond"/>
          <w:color w:val="000000"/>
          <w:sz w:val="20"/>
          <w:szCs w:val="20"/>
        </w:rPr>
        <w:t xml:space="preserve"> is a weight measure commonly used for livestock, particularly cattle. One arroba is equivalent to 15 kilograms (approximately 33 pounds).</w:t>
      </w:r>
    </w:p>
  </w:footnote>
  <w:footnote w:id="23">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w:t>
      </w:r>
      <w:hyperlink r:id="rId18">
        <w:r>
          <w:rPr>
            <w:rFonts w:ascii="Garamond" w:eastAsia="Garamond" w:hAnsi="Garamond" w:cs="Garamond"/>
            <w:color w:val="1155CC"/>
            <w:sz w:val="20"/>
            <w:szCs w:val="20"/>
            <w:u w:val="single"/>
          </w:rPr>
          <w:t>Bolsonaro repete ofensa que fez contra negros e quilomobas</w:t>
        </w:r>
      </w:hyperlink>
    </w:p>
  </w:footnote>
  <w:footnote w:id="24">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19">
        <w:r w:rsidRPr="00F323DF">
          <w:rPr>
            <w:rFonts w:ascii="Garamond" w:eastAsia="Garamond" w:hAnsi="Garamond" w:cs="Garamond"/>
            <w:color w:val="1155CC"/>
            <w:sz w:val="20"/>
            <w:szCs w:val="20"/>
            <w:u w:val="single"/>
            <w:lang w:val="fr-FR"/>
          </w:rPr>
          <w:t>Quilombolas são as principais vítimas de humilhação no campo, aponta CPT</w:t>
        </w:r>
      </w:hyperlink>
    </w:p>
  </w:footnote>
  <w:footnote w:id="25">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20">
        <w:r w:rsidRPr="00F323DF">
          <w:rPr>
            <w:rFonts w:ascii="Garamond" w:eastAsia="Garamond" w:hAnsi="Garamond" w:cs="Garamond"/>
            <w:color w:val="1155CC"/>
            <w:sz w:val="20"/>
            <w:szCs w:val="20"/>
            <w:u w:val="single"/>
            <w:lang w:val="fr-FR"/>
          </w:rPr>
          <w:t>Assassinatos de quilombolas crescem 350% em um ano no Brasil</w:t>
        </w:r>
      </w:hyperlink>
    </w:p>
  </w:footnote>
  <w:footnote w:id="26">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Associação brasileira de saúde coletiva. </w:t>
      </w:r>
      <w:hyperlink r:id="rId21">
        <w:r w:rsidRPr="00F323DF">
          <w:rPr>
            <w:rFonts w:ascii="Garamond" w:eastAsia="Garamond" w:hAnsi="Garamond" w:cs="Garamond"/>
            <w:color w:val="1155CC"/>
            <w:sz w:val="20"/>
            <w:szCs w:val="20"/>
            <w:u w:val="single"/>
            <w:lang w:val="fr-FR"/>
          </w:rPr>
          <w:t>Mulheres negras sofrem mais violência obstétrica</w:t>
        </w:r>
      </w:hyperlink>
    </w:p>
  </w:footnote>
  <w:footnote w:id="27">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22">
        <w:r w:rsidRPr="00F323DF">
          <w:rPr>
            <w:rFonts w:ascii="Garamond" w:eastAsia="Garamond" w:hAnsi="Garamond" w:cs="Garamond"/>
            <w:color w:val="1155CC"/>
            <w:sz w:val="20"/>
            <w:szCs w:val="20"/>
            <w:u w:val="single"/>
            <w:lang w:val="fr-FR"/>
          </w:rPr>
          <w:t>Mulher que passou por laqueadura sem consentimento morre após ser agredida em Mococa</w:t>
        </w:r>
      </w:hyperlink>
    </w:p>
  </w:footnote>
  <w:footnote w:id="28">
    <w:p w:rsidR="008277B6" w:rsidRPr="00F323DF" w:rsidRDefault="00406128">
      <w:pPr>
        <w:rPr>
          <w:rFonts w:ascii="Garamond" w:eastAsia="Garamond" w:hAnsi="Garamond" w:cs="Garamond"/>
          <w:sz w:val="20"/>
          <w:szCs w:val="20"/>
          <w:lang w:val="fr-FR"/>
        </w:rPr>
      </w:pPr>
      <w:r>
        <w:rPr>
          <w:rStyle w:val="FootnoteReference"/>
        </w:rPr>
        <w:footnoteRef/>
      </w:r>
      <w:r w:rsidRPr="00F323DF">
        <w:rPr>
          <w:sz w:val="20"/>
          <w:szCs w:val="20"/>
          <w:lang w:val="fr-FR"/>
        </w:rPr>
        <w:t xml:space="preserve"> I</w:t>
      </w:r>
      <w:r w:rsidRPr="00F323DF">
        <w:rPr>
          <w:rFonts w:ascii="Garamond" w:eastAsia="Garamond" w:hAnsi="Garamond" w:cs="Garamond"/>
          <w:sz w:val="20"/>
          <w:szCs w:val="20"/>
          <w:lang w:val="fr-FR"/>
        </w:rPr>
        <w:t xml:space="preserve">nstituto Humanitas Unisinos. </w:t>
      </w:r>
      <w:hyperlink r:id="rId23">
        <w:r w:rsidRPr="00F323DF">
          <w:rPr>
            <w:rFonts w:ascii="Garamond" w:eastAsia="Garamond" w:hAnsi="Garamond" w:cs="Garamond"/>
            <w:color w:val="1155CC"/>
            <w:sz w:val="20"/>
            <w:szCs w:val="20"/>
            <w:u w:val="single"/>
            <w:lang w:val="fr-FR"/>
          </w:rPr>
          <w:t>As laqueaduras de emergência dispararam no Brasil – e ninguém sabe por quê</w:t>
        </w:r>
      </w:hyperlink>
    </w:p>
  </w:footnote>
  <w:footnote w:id="29">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w:t>
      </w:r>
      <w:hyperlink r:id="rId24">
        <w:r>
          <w:rPr>
            <w:rFonts w:ascii="Garamond" w:eastAsia="Garamond" w:hAnsi="Garamond" w:cs="Garamond"/>
            <w:color w:val="1155CC"/>
            <w:sz w:val="20"/>
            <w:szCs w:val="20"/>
            <w:u w:val="single"/>
          </w:rPr>
          <w:t>Leis do Brasil autorizam esterilização forçada, mas dificultam voluntária</w:t>
        </w:r>
      </w:hyperlink>
    </w:p>
  </w:footnote>
  <w:footnote w:id="30">
    <w:p w:rsidR="008277B6" w:rsidRPr="00F323DF" w:rsidRDefault="00406128">
      <w:pPr>
        <w:rPr>
          <w:rFonts w:ascii="Garamond" w:eastAsia="Garamond" w:hAnsi="Garamond" w:cs="Garamond"/>
          <w:sz w:val="20"/>
          <w:szCs w:val="20"/>
          <w:lang w:val="fr-FR"/>
        </w:rPr>
      </w:pPr>
      <w:r>
        <w:rPr>
          <w:rStyle w:val="FootnoteReference"/>
        </w:rPr>
        <w:footnoteRef/>
      </w:r>
      <w:r>
        <w:rPr>
          <w:rFonts w:ascii="Garamond" w:eastAsia="Garamond" w:hAnsi="Garamond" w:cs="Garamond"/>
          <w:sz w:val="20"/>
          <w:szCs w:val="20"/>
        </w:rPr>
        <w:t xml:space="preserve"> DINIZ, Débora; MEDEIROS, Marcelo; MADEIRO, Alberto. </w:t>
      </w:r>
      <w:hyperlink r:id="rId25">
        <w:r w:rsidRPr="00F323DF">
          <w:rPr>
            <w:rFonts w:ascii="Garamond" w:eastAsia="Garamond" w:hAnsi="Garamond" w:cs="Garamond"/>
            <w:color w:val="1155CC"/>
            <w:sz w:val="20"/>
            <w:szCs w:val="20"/>
            <w:u w:val="single"/>
            <w:lang w:val="fr-FR"/>
          </w:rPr>
          <w:t>Pesquisa Nacional de Aborto 2016</w:t>
        </w:r>
      </w:hyperlink>
    </w:p>
  </w:footnote>
  <w:footnote w:id="31">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26">
        <w:r w:rsidRPr="00F323DF">
          <w:rPr>
            <w:rFonts w:ascii="Garamond" w:eastAsia="Garamond" w:hAnsi="Garamond" w:cs="Garamond"/>
            <w:color w:val="1155CC"/>
            <w:sz w:val="20"/>
            <w:szCs w:val="20"/>
            <w:u w:val="single"/>
            <w:lang w:val="fr-FR"/>
          </w:rPr>
          <w:t>Ministério da Saúde refaz cartilha sobre aborto mas segue em desacordo com a OMS</w:t>
        </w:r>
      </w:hyperlink>
    </w:p>
  </w:footnote>
  <w:footnote w:id="32">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27" w:anchor="block-40844">
        <w:r w:rsidRPr="00F323DF">
          <w:rPr>
            <w:rFonts w:ascii="Garamond" w:eastAsia="Garamond" w:hAnsi="Garamond" w:cs="Garamond"/>
            <w:color w:val="1155CC"/>
            <w:sz w:val="20"/>
            <w:szCs w:val="20"/>
            <w:u w:val="single"/>
            <w:lang w:val="fr-FR"/>
          </w:rPr>
          <w:t>Cuidem de nossas meninas</w:t>
        </w:r>
      </w:hyperlink>
    </w:p>
  </w:footnote>
  <w:footnote w:id="33">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28">
        <w:r w:rsidRPr="00F323DF">
          <w:rPr>
            <w:rFonts w:ascii="Garamond" w:eastAsia="Garamond" w:hAnsi="Garamond" w:cs="Garamond"/>
            <w:color w:val="1155CC"/>
            <w:sz w:val="20"/>
            <w:szCs w:val="20"/>
            <w:u w:val="single"/>
            <w:lang w:val="fr-FR"/>
          </w:rPr>
          <w:t>Mais de 17 mil garotas de até 14 anos foram mães em 2021, mostram dados do SUS</w:t>
        </w:r>
      </w:hyperlink>
    </w:p>
  </w:footnote>
  <w:footnote w:id="34">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29">
        <w:r w:rsidRPr="00F323DF">
          <w:rPr>
            <w:rFonts w:ascii="Garamond" w:eastAsia="Garamond" w:hAnsi="Garamond" w:cs="Garamond"/>
            <w:color w:val="1155CC"/>
            <w:sz w:val="20"/>
            <w:szCs w:val="20"/>
            <w:u w:val="single"/>
            <w:lang w:val="fr-FR"/>
          </w:rPr>
          <w:t>Criança não é mãe: meninas negras são as gestantes em 75% dos casos de gravidez antes dos 14 anos</w:t>
        </w:r>
      </w:hyperlink>
    </w:p>
  </w:footnote>
  <w:footnote w:id="35">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30">
        <w:r w:rsidRPr="00F323DF">
          <w:rPr>
            <w:rFonts w:ascii="Garamond" w:eastAsia="Garamond" w:hAnsi="Garamond" w:cs="Garamond"/>
            <w:color w:val="1155CC"/>
            <w:sz w:val="20"/>
            <w:szCs w:val="20"/>
            <w:u w:val="single"/>
            <w:lang w:val="fr-FR"/>
          </w:rPr>
          <w:t>Família de menina estuprada aceita programa de mudança de endereço e identidade</w:t>
        </w:r>
      </w:hyperlink>
    </w:p>
  </w:footnote>
  <w:footnote w:id="36">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w:t>
      </w:r>
      <w:hyperlink r:id="rId31">
        <w:r>
          <w:rPr>
            <w:rFonts w:ascii="Garamond" w:eastAsia="Garamond" w:hAnsi="Garamond" w:cs="Garamond"/>
            <w:color w:val="1155CC"/>
            <w:sz w:val="20"/>
            <w:szCs w:val="20"/>
            <w:u w:val="single"/>
          </w:rPr>
          <w:t>Ministério da Mulher pede apuração sobre aborto legal em menina de 11 anos em SC</w:t>
        </w:r>
      </w:hyperlink>
    </w:p>
  </w:footnote>
  <w:footnote w:id="37">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w:t>
      </w:r>
      <w:hyperlink r:id="rId32">
        <w:r>
          <w:rPr>
            <w:rFonts w:ascii="Garamond" w:eastAsia="Garamond" w:hAnsi="Garamond" w:cs="Garamond"/>
            <w:color w:val="1155CC"/>
            <w:sz w:val="20"/>
            <w:szCs w:val="20"/>
            <w:u w:val="single"/>
          </w:rPr>
          <w:t>Menina de SC: Promotora mandou polícia buscar feto no hospital após aborto legal</w:t>
        </w:r>
      </w:hyperlink>
    </w:p>
  </w:footnote>
  <w:footnote w:id="38">
    <w:p w:rsidR="008277B6" w:rsidRPr="00F323DF" w:rsidRDefault="00406128">
      <w:pPr>
        <w:jc w:val="both"/>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UNICEF; Fórum Brasileiro de Segurança Pública. </w:t>
      </w:r>
      <w:hyperlink r:id="rId33">
        <w:r w:rsidRPr="00F323DF">
          <w:rPr>
            <w:rFonts w:ascii="Garamond" w:eastAsia="Garamond" w:hAnsi="Garamond" w:cs="Garamond"/>
            <w:color w:val="1155CC"/>
            <w:sz w:val="20"/>
            <w:szCs w:val="20"/>
            <w:u w:val="single"/>
            <w:lang w:val="fr-FR"/>
          </w:rPr>
          <w:t>Panorama da violência letal e sexual contra crianças e adolescentes no Brasil</w:t>
        </w:r>
      </w:hyperlink>
    </w:p>
  </w:footnote>
  <w:footnote w:id="39">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Ministério da Saúde. </w:t>
      </w:r>
      <w:hyperlink r:id="rId34">
        <w:r w:rsidRPr="00F323DF">
          <w:rPr>
            <w:rFonts w:ascii="Garamond" w:eastAsia="Garamond" w:hAnsi="Garamond" w:cs="Garamond"/>
            <w:color w:val="1155CC"/>
            <w:sz w:val="20"/>
            <w:szCs w:val="20"/>
            <w:u w:val="single"/>
            <w:lang w:val="fr-FR"/>
          </w:rPr>
          <w:t>Política Nacional de Saúde Integral da População Negra</w:t>
        </w:r>
      </w:hyperlink>
    </w:p>
  </w:footnote>
  <w:footnote w:id="40">
    <w:p w:rsidR="008277B6" w:rsidRDefault="00406128">
      <w:pPr>
        <w:rPr>
          <w:rFonts w:ascii="Garamond" w:eastAsia="Garamond" w:hAnsi="Garamond" w:cs="Garamond"/>
          <w:sz w:val="20"/>
          <w:szCs w:val="20"/>
        </w:rPr>
      </w:pPr>
      <w:r>
        <w:rPr>
          <w:rStyle w:val="FootnoteReference"/>
        </w:rPr>
        <w:footnoteRef/>
      </w:r>
      <w:r w:rsidRPr="00F323DF">
        <w:rPr>
          <w:rFonts w:ascii="Garamond" w:eastAsia="Garamond" w:hAnsi="Garamond" w:cs="Garamond"/>
          <w:sz w:val="20"/>
          <w:szCs w:val="20"/>
          <w:lang w:val="fr-FR"/>
        </w:rPr>
        <w:t xml:space="preserve"> Instituto Marielle Franco. </w:t>
      </w:r>
      <w:hyperlink r:id="rId35">
        <w:r>
          <w:rPr>
            <w:rFonts w:ascii="Garamond" w:eastAsia="Garamond" w:hAnsi="Garamond" w:cs="Garamond"/>
            <w:color w:val="1155CC"/>
            <w:sz w:val="20"/>
            <w:szCs w:val="20"/>
            <w:u w:val="single"/>
          </w:rPr>
          <w:t>Violência Política de Gênero e Raça no Brasil - 2021: Eleitas ou não, mulheres negras seguem desprotegidas</w:t>
        </w:r>
      </w:hyperlink>
    </w:p>
  </w:footnote>
  <w:footnote w:id="41">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Instituto Marielle Franco. </w:t>
      </w:r>
      <w:hyperlink r:id="rId36">
        <w:r>
          <w:rPr>
            <w:rFonts w:ascii="Garamond" w:eastAsia="Garamond" w:hAnsi="Garamond" w:cs="Garamond"/>
            <w:color w:val="1155CC"/>
            <w:sz w:val="20"/>
            <w:szCs w:val="20"/>
            <w:u w:val="single"/>
          </w:rPr>
          <w:t>A Violência Política Contra Mulheres Negras: Eleições 2020</w:t>
        </w:r>
      </w:hyperlink>
    </w:p>
  </w:footnote>
  <w:footnote w:id="42">
    <w:p w:rsidR="008277B6" w:rsidRPr="00F323DF" w:rsidRDefault="00406128">
      <w:pPr>
        <w:jc w:val="both"/>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37">
        <w:r w:rsidRPr="00F323DF">
          <w:rPr>
            <w:rFonts w:ascii="Garamond" w:eastAsia="Garamond" w:hAnsi="Garamond" w:cs="Garamond"/>
            <w:color w:val="1155CC"/>
            <w:sz w:val="20"/>
            <w:szCs w:val="20"/>
            <w:u w:val="single"/>
            <w:lang w:val="fr-FR"/>
          </w:rPr>
          <w:t>"Não era um caso isolado. Houve uma escalada da violência", diz delegado sobre suspeita de tortura dentro de supermercado em Canoas</w:t>
        </w:r>
      </w:hyperlink>
    </w:p>
  </w:footnote>
  <w:footnote w:id="43">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38">
        <w:r w:rsidRPr="00F323DF">
          <w:rPr>
            <w:rFonts w:ascii="Garamond" w:eastAsia="Garamond" w:hAnsi="Garamond" w:cs="Garamond"/>
            <w:color w:val="1155CC"/>
            <w:sz w:val="20"/>
            <w:szCs w:val="20"/>
            <w:u w:val="single"/>
            <w:lang w:val="fr-FR"/>
          </w:rPr>
          <w:t>Polícia apura crime de tortura contra quilombola amarrado e agredido no RN</w:t>
        </w:r>
      </w:hyperlink>
    </w:p>
  </w:footnote>
  <w:footnote w:id="44">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39">
        <w:r w:rsidRPr="00F323DF">
          <w:rPr>
            <w:rFonts w:ascii="Garamond" w:eastAsia="Garamond" w:hAnsi="Garamond" w:cs="Garamond"/>
            <w:color w:val="1155CC"/>
            <w:sz w:val="20"/>
            <w:szCs w:val="20"/>
            <w:u w:val="single"/>
            <w:lang w:val="fr-FR"/>
          </w:rPr>
          <w:t>Relatório da CDH sobre morte de Moïse Kabagambe no RJ cobra autoridades locais  Fonte: Agência Senado</w:t>
        </w:r>
      </w:hyperlink>
    </w:p>
  </w:footnote>
  <w:footnote w:id="45">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w:t>
      </w:r>
      <w:hyperlink r:id="rId40">
        <w:r>
          <w:rPr>
            <w:rFonts w:ascii="Garamond" w:eastAsia="Garamond" w:hAnsi="Garamond" w:cs="Garamond"/>
            <w:color w:val="1155CC"/>
            <w:sz w:val="20"/>
            <w:szCs w:val="20"/>
            <w:u w:val="single"/>
          </w:rPr>
          <w:t>Vídeo: “Vi a morte”, diz jovem espancado e marcado a ferro por patrão na BA</w:t>
        </w:r>
      </w:hyperlink>
    </w:p>
  </w:footnote>
  <w:footnote w:id="46">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In Brazil, “171” is also a slang term, which alludes to the Penal Code article, to refer to people considered to be liars or unreliable.</w:t>
      </w:r>
    </w:p>
  </w:footnote>
  <w:footnote w:id="47">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41">
        <w:r w:rsidRPr="00F323DF">
          <w:rPr>
            <w:rFonts w:ascii="Garamond" w:eastAsia="Garamond" w:hAnsi="Garamond" w:cs="Garamond"/>
            <w:color w:val="1155CC"/>
            <w:sz w:val="20"/>
            <w:szCs w:val="20"/>
            <w:u w:val="single"/>
            <w:lang w:val="fr-FR"/>
          </w:rPr>
          <w:t>Hospitais Psiquiátricos no Brasil: relatório de inspeção nacional, 2019</w:t>
        </w:r>
      </w:hyperlink>
    </w:p>
  </w:footnote>
  <w:footnote w:id="48">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42">
        <w:r w:rsidRPr="00F323DF">
          <w:rPr>
            <w:rFonts w:ascii="Garamond" w:eastAsia="Garamond" w:hAnsi="Garamond" w:cs="Garamond"/>
            <w:color w:val="1155CC"/>
            <w:sz w:val="20"/>
            <w:szCs w:val="20"/>
            <w:u w:val="single"/>
            <w:lang w:val="fr-FR"/>
          </w:rPr>
          <w:t>Polícia Civil indicia freiras por maus-tratos, racismo e tortura de idosas em lar de Santa Maria</w:t>
        </w:r>
      </w:hyperlink>
    </w:p>
  </w:footnote>
  <w:footnote w:id="49">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All Out; Instituto Matizes. </w:t>
      </w:r>
      <w:hyperlink r:id="rId43">
        <w:r w:rsidRPr="00F323DF">
          <w:rPr>
            <w:rFonts w:ascii="Garamond" w:eastAsia="Garamond" w:hAnsi="Garamond" w:cs="Garamond"/>
            <w:color w:val="1155CC"/>
            <w:sz w:val="20"/>
            <w:szCs w:val="20"/>
            <w:u w:val="single"/>
            <w:lang w:val="fr-FR"/>
          </w:rPr>
          <w:t>Entre ‘curas’ e ‘terapias’: esforços de ‘correção’ da orientação sexual e identidade de gênero de pessoas LGBTI+ no Brasil</w:t>
        </w:r>
      </w:hyperlink>
    </w:p>
  </w:footnote>
  <w:footnote w:id="50">
    <w:p w:rsidR="008277B6" w:rsidRPr="00F323DF" w:rsidRDefault="00406128">
      <w:pPr>
        <w:rPr>
          <w:rFonts w:ascii="Arial" w:eastAsia="Arial" w:hAnsi="Arial" w:cs="Arial"/>
          <w:sz w:val="22"/>
          <w:szCs w:val="22"/>
          <w:lang w:val="fr-FR"/>
        </w:rPr>
      </w:pPr>
      <w:r>
        <w:rPr>
          <w:rStyle w:val="FootnoteReference"/>
        </w:rPr>
        <w:footnoteRef/>
      </w:r>
      <w:r w:rsidRPr="00F323DF">
        <w:rPr>
          <w:rFonts w:ascii="Garamond" w:eastAsia="Garamond" w:hAnsi="Garamond" w:cs="Garamond"/>
          <w:sz w:val="20"/>
          <w:szCs w:val="20"/>
          <w:lang w:val="fr-FR"/>
        </w:rPr>
        <w:t xml:space="preserve"> Fórum Brasileiro de Segurança Pública</w:t>
      </w:r>
      <w:r w:rsidRPr="00F323DF">
        <w:rPr>
          <w:sz w:val="20"/>
          <w:szCs w:val="20"/>
          <w:highlight w:val="white"/>
          <w:lang w:val="fr-FR"/>
        </w:rPr>
        <w:t>.</w:t>
      </w:r>
      <w:r w:rsidRPr="00F323DF">
        <w:rPr>
          <w:rFonts w:ascii="Arial" w:eastAsia="Arial" w:hAnsi="Arial" w:cs="Arial"/>
          <w:sz w:val="22"/>
          <w:szCs w:val="22"/>
          <w:lang w:val="fr-FR"/>
        </w:rPr>
        <w:t xml:space="preserve"> </w:t>
      </w:r>
      <w:hyperlink r:id="rId44">
        <w:r w:rsidRPr="00F323DF">
          <w:rPr>
            <w:rFonts w:ascii="Garamond" w:eastAsia="Garamond" w:hAnsi="Garamond" w:cs="Garamond"/>
            <w:color w:val="1155CC"/>
            <w:sz w:val="20"/>
            <w:szCs w:val="20"/>
            <w:u w:val="single"/>
            <w:lang w:val="fr-FR"/>
          </w:rPr>
          <w:t>Lutas por reconhecimento e os indicadores de racismo e lgbtfobia no Brasil em 2021</w:t>
        </w:r>
      </w:hyperlink>
    </w:p>
  </w:footnote>
  <w:footnote w:id="51">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Term that refers to the lethal level that lesbophobia can reach.</w:t>
      </w:r>
    </w:p>
  </w:footnote>
  <w:footnote w:id="52">
    <w:p w:rsidR="008277B6" w:rsidRDefault="00406128">
      <w:pPr>
        <w:jc w:val="both"/>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The data analysed in the research were obtained through notifications only and exclusively found in digital media and social networks. </w:t>
      </w:r>
    </w:p>
  </w:footnote>
  <w:footnote w:id="53">
    <w:p w:rsidR="008277B6" w:rsidRPr="00F323DF" w:rsidRDefault="00406128">
      <w:pPr>
        <w:rPr>
          <w:rFonts w:ascii="Arial" w:eastAsia="Arial" w:hAnsi="Arial" w:cs="Arial"/>
          <w:sz w:val="22"/>
          <w:szCs w:val="22"/>
          <w:lang w:val="fr-FR"/>
        </w:rPr>
      </w:pPr>
      <w:r>
        <w:rPr>
          <w:rStyle w:val="FootnoteReference"/>
        </w:rPr>
        <w:footnoteRef/>
      </w:r>
      <w:r w:rsidRPr="00F323DF">
        <w:rPr>
          <w:rFonts w:ascii="Arial" w:eastAsia="Arial" w:hAnsi="Arial" w:cs="Arial"/>
          <w:sz w:val="20"/>
          <w:szCs w:val="20"/>
          <w:lang w:val="fr-FR"/>
        </w:rPr>
        <w:t xml:space="preserve"> </w:t>
      </w:r>
      <w:r w:rsidRPr="00F323DF">
        <w:rPr>
          <w:rFonts w:ascii="Garamond" w:eastAsia="Garamond" w:hAnsi="Garamond" w:cs="Garamond"/>
          <w:sz w:val="20"/>
          <w:szCs w:val="20"/>
          <w:lang w:val="fr-FR"/>
        </w:rPr>
        <w:t>DIAS, Maria Clara M. et. al</w:t>
      </w:r>
      <w:r w:rsidRPr="00F323DF">
        <w:rPr>
          <w:sz w:val="20"/>
          <w:szCs w:val="20"/>
          <w:highlight w:val="white"/>
          <w:lang w:val="fr-FR"/>
        </w:rPr>
        <w:t>.</w:t>
      </w:r>
      <w:r w:rsidRPr="00F323DF">
        <w:rPr>
          <w:rFonts w:ascii="Garamond" w:eastAsia="Garamond" w:hAnsi="Garamond" w:cs="Garamond"/>
          <w:color w:val="1155CC"/>
          <w:sz w:val="20"/>
          <w:szCs w:val="20"/>
          <w:u w:val="single"/>
          <w:lang w:val="fr-FR"/>
        </w:rPr>
        <w:t xml:space="preserve"> </w:t>
      </w:r>
      <w:hyperlink r:id="rId45">
        <w:r w:rsidRPr="00F323DF">
          <w:rPr>
            <w:rFonts w:ascii="Garamond" w:eastAsia="Garamond" w:hAnsi="Garamond" w:cs="Garamond"/>
            <w:color w:val="1155CC"/>
            <w:sz w:val="20"/>
            <w:szCs w:val="20"/>
            <w:u w:val="single"/>
            <w:lang w:val="fr-FR"/>
          </w:rPr>
          <w:t>Lesbocídio: o estudo dos crimes de ódio contra lésbicas no Brasil</w:t>
        </w:r>
      </w:hyperlink>
    </w:p>
  </w:footnote>
  <w:footnote w:id="54">
    <w:p w:rsidR="008277B6" w:rsidRDefault="00406128">
      <w:pPr>
        <w:jc w:val="both"/>
        <w:rPr>
          <w:sz w:val="20"/>
          <w:szCs w:val="20"/>
        </w:rPr>
      </w:pPr>
      <w:r>
        <w:rPr>
          <w:rStyle w:val="FootnoteReference"/>
        </w:rPr>
        <w:footnoteRef/>
      </w:r>
      <w:r>
        <w:rPr>
          <w:rFonts w:ascii="Garamond" w:eastAsia="Garamond" w:hAnsi="Garamond" w:cs="Garamond"/>
          <w:sz w:val="20"/>
          <w:szCs w:val="20"/>
        </w:rPr>
        <w:t xml:space="preserve"> Recommendations: </w:t>
      </w:r>
      <w:r>
        <w:rPr>
          <w:rFonts w:ascii="Garamond" w:eastAsia="Garamond" w:hAnsi="Garamond" w:cs="Garamond"/>
          <w:b/>
          <w:sz w:val="20"/>
          <w:szCs w:val="20"/>
        </w:rPr>
        <w:t>72</w:t>
      </w:r>
      <w:r>
        <w:rPr>
          <w:rFonts w:ascii="Garamond" w:eastAsia="Garamond" w:hAnsi="Garamond" w:cs="Garamond"/>
          <w:sz w:val="20"/>
          <w:szCs w:val="20"/>
        </w:rPr>
        <w:t xml:space="preserve">. Continue its efforts to combat torture and ill-treatment (Algeria); </w:t>
      </w:r>
      <w:r>
        <w:rPr>
          <w:rFonts w:ascii="Garamond" w:eastAsia="Garamond" w:hAnsi="Garamond" w:cs="Garamond"/>
          <w:b/>
          <w:sz w:val="20"/>
          <w:szCs w:val="20"/>
        </w:rPr>
        <w:t>73</w:t>
      </w:r>
      <w:r>
        <w:rPr>
          <w:rFonts w:ascii="Garamond" w:eastAsia="Garamond" w:hAnsi="Garamond" w:cs="Garamond"/>
          <w:sz w:val="20"/>
          <w:szCs w:val="20"/>
        </w:rPr>
        <w:t xml:space="preserve">. Intensify efforts to combat and prevent torture and other forms of ill-treatment (Georgia); </w:t>
      </w:r>
      <w:r>
        <w:rPr>
          <w:rFonts w:ascii="Garamond" w:eastAsia="Garamond" w:hAnsi="Garamond" w:cs="Garamond"/>
          <w:b/>
          <w:sz w:val="20"/>
          <w:szCs w:val="20"/>
        </w:rPr>
        <w:t>74</w:t>
      </w:r>
      <w:r>
        <w:rPr>
          <w:rFonts w:ascii="Garamond" w:eastAsia="Garamond" w:hAnsi="Garamond" w:cs="Garamond"/>
          <w:sz w:val="20"/>
          <w:szCs w:val="20"/>
        </w:rPr>
        <w:t xml:space="preserve">. Establish a formal compliance program that includes the allocation of funds by the federal government to support the national torture prevention policy (Ghana); </w:t>
      </w:r>
      <w:r>
        <w:rPr>
          <w:rFonts w:ascii="Garamond" w:eastAsia="Garamond" w:hAnsi="Garamond" w:cs="Garamond"/>
          <w:b/>
          <w:sz w:val="20"/>
          <w:szCs w:val="20"/>
        </w:rPr>
        <w:t>79</w:t>
      </w:r>
      <w:r>
        <w:rPr>
          <w:rFonts w:ascii="Garamond" w:eastAsia="Garamond" w:hAnsi="Garamond" w:cs="Garamond"/>
          <w:sz w:val="20"/>
          <w:szCs w:val="20"/>
        </w:rPr>
        <w:t>. Address the serious problem of over-incarcerated prisons to eliminate inhumane conditions, and take all necessary measures to prevent torture;</w:t>
      </w:r>
      <w:r>
        <w:rPr>
          <w:rFonts w:ascii="Garamond" w:eastAsia="Garamond" w:hAnsi="Garamond" w:cs="Garamond"/>
          <w:b/>
          <w:sz w:val="20"/>
          <w:szCs w:val="20"/>
        </w:rPr>
        <w:t xml:space="preserve"> 80</w:t>
      </w:r>
      <w:r>
        <w:rPr>
          <w:rFonts w:ascii="Garamond" w:eastAsia="Garamond" w:hAnsi="Garamond" w:cs="Garamond"/>
          <w:sz w:val="20"/>
          <w:szCs w:val="20"/>
        </w:rPr>
        <w:t>. Adopt, without delay, urgent measures to end torture, violence, murders, severe over-incarceration, and degrading conditions in prisons in Brazil;</w:t>
      </w:r>
      <w:r>
        <w:rPr>
          <w:rFonts w:ascii="Garamond" w:eastAsia="Garamond" w:hAnsi="Garamond" w:cs="Garamond"/>
          <w:b/>
          <w:sz w:val="20"/>
          <w:szCs w:val="20"/>
        </w:rPr>
        <w:t xml:space="preserve"> 85</w:t>
      </w:r>
      <w:r>
        <w:rPr>
          <w:rFonts w:ascii="Garamond" w:eastAsia="Garamond" w:hAnsi="Garamond" w:cs="Garamond"/>
          <w:sz w:val="20"/>
          <w:szCs w:val="20"/>
        </w:rPr>
        <w:t>. Pursue the enactment of legislation effectively implementing the Optional Protocol to the Convention against Torture and other Cruel, Inhuman or Degrading Treatment or Punishment at the state and federal level and adopt measures to adhere to the UN Mandela Rules (Czech Republic);</w:t>
      </w:r>
      <w:r>
        <w:rPr>
          <w:rFonts w:ascii="Garamond" w:eastAsia="Garamond" w:hAnsi="Garamond" w:cs="Garamond"/>
          <w:b/>
          <w:sz w:val="20"/>
          <w:szCs w:val="20"/>
        </w:rPr>
        <w:t xml:space="preserve"> 87</w:t>
      </w:r>
      <w:r>
        <w:rPr>
          <w:rFonts w:ascii="Garamond" w:eastAsia="Garamond" w:hAnsi="Garamond" w:cs="Garamond"/>
          <w:sz w:val="20"/>
          <w:szCs w:val="20"/>
        </w:rPr>
        <w:t>. Create local preventive mechanisms at the state level for the effective implementation of the National Mechanism to Prevent and Combat Torture (Turkey);</w:t>
      </w:r>
      <w:r>
        <w:rPr>
          <w:rFonts w:ascii="Garamond" w:eastAsia="Garamond" w:hAnsi="Garamond" w:cs="Garamond"/>
          <w:b/>
          <w:sz w:val="20"/>
          <w:szCs w:val="20"/>
        </w:rPr>
        <w:t xml:space="preserve"> 88</w:t>
      </w:r>
      <w:r>
        <w:rPr>
          <w:rFonts w:ascii="Garamond" w:eastAsia="Garamond" w:hAnsi="Garamond" w:cs="Garamond"/>
          <w:sz w:val="20"/>
          <w:szCs w:val="20"/>
        </w:rPr>
        <w:t>. Ensure that local preventive mechanisms are created encouraging states to do so, as provided for by national legislation on torture, and expand the application of custody hearings throughout the country, as established in Resolution 213 of the National Council of Justice (Denmark).</w:t>
      </w:r>
    </w:p>
  </w:footnote>
  <w:footnote w:id="55">
    <w:p w:rsidR="008277B6" w:rsidRDefault="00406128">
      <w:pPr>
        <w:jc w:val="both"/>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Coletivo RPU Brasil. </w:t>
      </w:r>
      <w:hyperlink r:id="rId46">
        <w:r>
          <w:rPr>
            <w:rFonts w:ascii="Garamond" w:eastAsia="Garamond" w:hAnsi="Garamond" w:cs="Garamond"/>
            <w:color w:val="1155CC"/>
            <w:sz w:val="20"/>
            <w:szCs w:val="20"/>
            <w:u w:val="single"/>
          </w:rPr>
          <w:t>Relatório da sociedade civil: Revisão Periódica Universal dos Direitos Humanos no Contexto da Covid-19</w:t>
        </w:r>
      </w:hyperlink>
    </w:p>
  </w:footnote>
  <w:footnote w:id="56">
    <w:p w:rsidR="008277B6" w:rsidRDefault="00406128">
      <w:pPr>
        <w:jc w:val="both"/>
        <w:rPr>
          <w:rFonts w:ascii="Garamond" w:eastAsia="Garamond" w:hAnsi="Garamond" w:cs="Garamond"/>
          <w:sz w:val="20"/>
          <w:szCs w:val="20"/>
        </w:rPr>
      </w:pPr>
      <w:r>
        <w:rPr>
          <w:rStyle w:val="FootnoteReference"/>
        </w:rPr>
        <w:footnoteRef/>
      </w:r>
      <w:r>
        <w:rPr>
          <w:rFonts w:ascii="Garamond" w:eastAsia="Garamond" w:hAnsi="Garamond" w:cs="Garamond"/>
          <w:sz w:val="20"/>
          <w:szCs w:val="20"/>
          <w:highlight w:val="white"/>
        </w:rPr>
        <w:t xml:space="preserve"> The project classifies it as heinous to reduce someone to a condition analogous to that of a slave, subjecting them to forced labour, exhausting hours, degrading working conditions, or restricting their mobility. </w:t>
      </w:r>
    </w:p>
  </w:footnote>
  <w:footnote w:id="57">
    <w:p w:rsidR="008277B6" w:rsidRDefault="00406128">
      <w:pPr>
        <w:jc w:val="both"/>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A single case may have been opened due to the receipt of more than one complaint, which justifies the disparity between the numbers. </w:t>
      </w:r>
    </w:p>
  </w:footnote>
  <w:footnote w:id="58">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Pastoral Carcerária. </w:t>
      </w:r>
      <w:hyperlink r:id="rId47">
        <w:r w:rsidRPr="00F323DF">
          <w:rPr>
            <w:rFonts w:ascii="Garamond" w:eastAsia="Garamond" w:hAnsi="Garamond" w:cs="Garamond"/>
            <w:color w:val="1155CC"/>
            <w:sz w:val="20"/>
            <w:szCs w:val="20"/>
            <w:u w:val="single"/>
            <w:lang w:val="fr-FR"/>
          </w:rPr>
          <w:t>Vozes e Dados da Tortura em Tempos de Encarceramento em Massa</w:t>
        </w:r>
      </w:hyperlink>
    </w:p>
  </w:footnote>
  <w:footnote w:id="59">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Pastoral Carcerária. </w:t>
      </w:r>
      <w:hyperlink r:id="rId48">
        <w:r w:rsidRPr="00F323DF">
          <w:rPr>
            <w:rFonts w:ascii="Garamond" w:eastAsia="Garamond" w:hAnsi="Garamond" w:cs="Garamond"/>
            <w:color w:val="1155CC"/>
            <w:sz w:val="20"/>
            <w:szCs w:val="20"/>
            <w:u w:val="single"/>
            <w:lang w:val="fr-FR"/>
          </w:rPr>
          <w:t>Vozes e Dados da Tortura em Tempos de Encarceramento em Massa</w:t>
        </w:r>
      </w:hyperlink>
    </w:p>
  </w:footnote>
  <w:footnote w:id="60">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49">
        <w:r w:rsidRPr="00F323DF">
          <w:rPr>
            <w:rFonts w:ascii="Garamond" w:eastAsia="Garamond" w:hAnsi="Garamond" w:cs="Garamond"/>
            <w:color w:val="1155CC"/>
            <w:sz w:val="20"/>
            <w:szCs w:val="20"/>
            <w:u w:val="single"/>
            <w:lang w:val="fr-FR"/>
          </w:rPr>
          <w:t>Brasil se mantém como 3º país com maior população carcerária do mundo</w:t>
        </w:r>
      </w:hyperlink>
    </w:p>
  </w:footnote>
  <w:footnote w:id="61">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DEPEN. </w:t>
      </w:r>
      <w:hyperlink r:id="rId50">
        <w:r w:rsidRPr="00F323DF">
          <w:rPr>
            <w:rFonts w:ascii="Garamond" w:eastAsia="Garamond" w:hAnsi="Garamond" w:cs="Garamond"/>
            <w:color w:val="1155CC"/>
            <w:sz w:val="20"/>
            <w:szCs w:val="20"/>
            <w:u w:val="single"/>
            <w:lang w:val="fr-FR"/>
          </w:rPr>
          <w:t>Levantamento Nacional de Informações Penitenciárias: INFOPEN Mulheres</w:t>
        </w:r>
      </w:hyperlink>
    </w:p>
  </w:footnote>
  <w:footnote w:id="62">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DEPEN. </w:t>
      </w:r>
      <w:hyperlink r:id="rId51">
        <w:r w:rsidRPr="00F323DF">
          <w:rPr>
            <w:rFonts w:ascii="Garamond" w:eastAsia="Garamond" w:hAnsi="Garamond" w:cs="Garamond"/>
            <w:color w:val="1155CC"/>
            <w:sz w:val="20"/>
            <w:szCs w:val="20"/>
            <w:u w:val="single"/>
            <w:lang w:val="fr-FR"/>
          </w:rPr>
          <w:t>Levantamento Nacional de Informações Penitenciárias: INFOPEN Mulheres</w:t>
        </w:r>
      </w:hyperlink>
    </w:p>
  </w:footnote>
  <w:footnote w:id="63">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CNJ. </w:t>
      </w:r>
      <w:hyperlink r:id="rId52" w:anchor="/estatisticas">
        <w:r w:rsidRPr="00F323DF">
          <w:rPr>
            <w:rFonts w:ascii="Garamond" w:eastAsia="Garamond" w:hAnsi="Garamond" w:cs="Garamond"/>
            <w:color w:val="1155CC"/>
            <w:sz w:val="20"/>
            <w:szCs w:val="20"/>
            <w:u w:val="single"/>
            <w:lang w:val="fr-FR"/>
          </w:rPr>
          <w:t>Banco Nacional de Monitoramento de Prisões</w:t>
        </w:r>
      </w:hyperlink>
    </w:p>
  </w:footnote>
  <w:footnote w:id="64">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DEPEN. </w:t>
      </w:r>
      <w:hyperlink r:id="rId53">
        <w:r w:rsidRPr="00F323DF">
          <w:rPr>
            <w:rFonts w:ascii="Garamond" w:eastAsia="Garamond" w:hAnsi="Garamond" w:cs="Garamond"/>
            <w:color w:val="1155CC"/>
            <w:sz w:val="20"/>
            <w:szCs w:val="20"/>
            <w:u w:val="single"/>
            <w:lang w:val="fr-FR"/>
          </w:rPr>
          <w:t>Levantamento Nacional de Informações Penitenciárias: INFOPEN Mulheres</w:t>
        </w:r>
      </w:hyperlink>
    </w:p>
  </w:footnote>
  <w:footnote w:id="65">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Pastoral Carcerária. </w:t>
      </w:r>
      <w:hyperlink r:id="rId54">
        <w:r w:rsidRPr="00F323DF">
          <w:rPr>
            <w:rFonts w:ascii="Garamond" w:eastAsia="Garamond" w:hAnsi="Garamond" w:cs="Garamond"/>
            <w:color w:val="1155CC"/>
            <w:sz w:val="20"/>
            <w:szCs w:val="20"/>
            <w:u w:val="single"/>
            <w:lang w:val="fr-FR"/>
          </w:rPr>
          <w:t>Tortura em tempos de encarceramento em massa: 2018</w:t>
        </w:r>
      </w:hyperlink>
    </w:p>
  </w:footnote>
  <w:footnote w:id="66">
    <w:p w:rsidR="008277B6" w:rsidRDefault="00406128">
      <w:pPr>
        <w:jc w:val="both"/>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Vexatious searches are illegitimate personal searches, carried out within the area of the prison establishment, in violation of the dignity of the human person and the fundamental rights to integrity, intimacy, and honor. They are generally adopted to facilitate security and prevent the entry of prohibited equipment and substances into prison units, but with people stripping naked, squatting, and searching intimate cavities. </w:t>
      </w:r>
    </w:p>
  </w:footnote>
  <w:footnote w:id="67">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Pastoral Carcerária. </w:t>
      </w:r>
      <w:hyperlink r:id="rId55">
        <w:r w:rsidRPr="00F323DF">
          <w:rPr>
            <w:rFonts w:ascii="Garamond" w:eastAsia="Garamond" w:hAnsi="Garamond" w:cs="Garamond"/>
            <w:color w:val="1155CC"/>
            <w:sz w:val="20"/>
            <w:szCs w:val="20"/>
            <w:u w:val="single"/>
            <w:lang w:val="fr-FR"/>
          </w:rPr>
          <w:t>Vozes e Dados da Tortura em Tempos de Encarceramento em Massa</w:t>
        </w:r>
      </w:hyperlink>
    </w:p>
  </w:footnote>
  <w:footnote w:id="68">
    <w:p w:rsidR="008277B6" w:rsidRDefault="00406128">
      <w:pPr>
        <w:rPr>
          <w:rFonts w:ascii="Garamond" w:eastAsia="Garamond" w:hAnsi="Garamond" w:cs="Garamond"/>
          <w:b/>
          <w:sz w:val="20"/>
          <w:szCs w:val="20"/>
        </w:rPr>
      </w:pPr>
      <w:r>
        <w:rPr>
          <w:rStyle w:val="FootnoteReference"/>
        </w:rPr>
        <w:footnoteRef/>
      </w:r>
      <w:r>
        <w:rPr>
          <w:rFonts w:ascii="Garamond" w:eastAsia="Garamond" w:hAnsi="Garamond" w:cs="Garamond"/>
          <w:sz w:val="20"/>
          <w:szCs w:val="20"/>
        </w:rPr>
        <w:t xml:space="preserve"> ADPF is an acronym for “Arguição de Descumprimento de Preceito Fundamental” and refers to the action, proposed to the Federal Supreme Court, in order to avoid or repair damage to a fundamental precept resulting from an act of the public power. </w:t>
      </w:r>
    </w:p>
  </w:footnote>
  <w:footnote w:id="69">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56">
        <w:r w:rsidRPr="00F323DF">
          <w:rPr>
            <w:rFonts w:ascii="Garamond" w:eastAsia="Garamond" w:hAnsi="Garamond" w:cs="Garamond"/>
            <w:color w:val="1155CC"/>
            <w:sz w:val="20"/>
            <w:szCs w:val="20"/>
            <w:u w:val="single"/>
            <w:lang w:val="fr-FR"/>
          </w:rPr>
          <w:t>Estado de coisas inconstitucional repercute dentro e fora do país</w:t>
        </w:r>
      </w:hyperlink>
    </w:p>
  </w:footnote>
  <w:footnote w:id="70">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Pastoral Carcerária. </w:t>
      </w:r>
      <w:hyperlink r:id="rId57">
        <w:r w:rsidRPr="00F323DF">
          <w:rPr>
            <w:rFonts w:ascii="Garamond" w:eastAsia="Garamond" w:hAnsi="Garamond" w:cs="Garamond"/>
            <w:color w:val="1155CC"/>
            <w:sz w:val="20"/>
            <w:szCs w:val="20"/>
            <w:u w:val="single"/>
            <w:lang w:val="fr-FR"/>
          </w:rPr>
          <w:t>Tortura em tempos de encarceramento em massa: 2018</w:t>
        </w:r>
      </w:hyperlink>
    </w:p>
  </w:footnote>
  <w:footnote w:id="71">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Pastoral Carcerária. </w:t>
      </w:r>
      <w:hyperlink r:id="rId58">
        <w:r w:rsidRPr="00F323DF">
          <w:rPr>
            <w:rFonts w:ascii="Garamond" w:eastAsia="Garamond" w:hAnsi="Garamond" w:cs="Garamond"/>
            <w:color w:val="1155CC"/>
            <w:sz w:val="20"/>
            <w:szCs w:val="20"/>
            <w:u w:val="single"/>
            <w:lang w:val="fr-FR"/>
          </w:rPr>
          <w:t>Vozes e Dados da Tortura em Tempos de Encarceramento em Massa</w:t>
        </w:r>
      </w:hyperlink>
    </w:p>
  </w:footnote>
  <w:footnote w:id="72">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Pastoral Carcerária. </w:t>
      </w:r>
      <w:hyperlink r:id="rId59">
        <w:r w:rsidRPr="00F323DF">
          <w:rPr>
            <w:rFonts w:ascii="Garamond" w:eastAsia="Garamond" w:hAnsi="Garamond" w:cs="Garamond"/>
            <w:color w:val="1155CC"/>
            <w:sz w:val="20"/>
            <w:szCs w:val="20"/>
            <w:u w:val="single"/>
            <w:lang w:val="fr-FR"/>
          </w:rPr>
          <w:t>Tortura em tempos de encarceramento em massa: 2018</w:t>
        </w:r>
      </w:hyperlink>
      <w:r w:rsidRPr="00F323DF">
        <w:rPr>
          <w:rFonts w:ascii="Garamond" w:eastAsia="Garamond" w:hAnsi="Garamond" w:cs="Garamond"/>
          <w:sz w:val="20"/>
          <w:szCs w:val="20"/>
          <w:lang w:val="fr-FR"/>
        </w:rPr>
        <w:t xml:space="preserve"> </w:t>
      </w:r>
    </w:p>
  </w:footnote>
  <w:footnote w:id="73">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Pastoral Carcerária. </w:t>
      </w:r>
      <w:hyperlink r:id="rId60">
        <w:r w:rsidRPr="00F323DF">
          <w:rPr>
            <w:rFonts w:ascii="Garamond" w:eastAsia="Garamond" w:hAnsi="Garamond" w:cs="Garamond"/>
            <w:color w:val="1155CC"/>
            <w:sz w:val="20"/>
            <w:szCs w:val="20"/>
            <w:u w:val="single"/>
            <w:lang w:val="fr-FR"/>
          </w:rPr>
          <w:t>Vozes e Dados da Tortura em Tempos de Encarceramento em Massa</w:t>
        </w:r>
      </w:hyperlink>
    </w:p>
  </w:footnote>
  <w:footnote w:id="74">
    <w:p w:rsidR="008277B6" w:rsidRPr="00F323DF" w:rsidRDefault="00406128">
      <w:pPr>
        <w:rPr>
          <w:rFonts w:ascii="Garamond" w:eastAsia="Garamond" w:hAnsi="Garamond" w:cs="Garamond"/>
          <w:sz w:val="22"/>
          <w:szCs w:val="22"/>
          <w:lang w:val="fr-FR"/>
        </w:rPr>
      </w:pPr>
      <w:r>
        <w:rPr>
          <w:rStyle w:val="FootnoteReference"/>
        </w:rPr>
        <w:footnoteRef/>
      </w:r>
      <w:r w:rsidRPr="00F323DF">
        <w:rPr>
          <w:rFonts w:ascii="Garamond" w:eastAsia="Garamond" w:hAnsi="Garamond" w:cs="Garamond"/>
          <w:sz w:val="20"/>
          <w:szCs w:val="20"/>
          <w:lang w:val="fr-FR"/>
        </w:rPr>
        <w:t xml:space="preserve"> </w:t>
      </w:r>
      <w:hyperlink r:id="rId61">
        <w:r w:rsidRPr="00F323DF">
          <w:rPr>
            <w:rFonts w:ascii="Garamond" w:eastAsia="Garamond" w:hAnsi="Garamond" w:cs="Garamond"/>
            <w:color w:val="1155CC"/>
            <w:sz w:val="20"/>
            <w:szCs w:val="20"/>
            <w:u w:val="single"/>
            <w:lang w:val="fr-FR"/>
          </w:rPr>
          <w:t>Brasil é denunciado na CIDH por violência e superlotação em presídios e no socioeducativo</w:t>
        </w:r>
      </w:hyperlink>
    </w:p>
  </w:footnote>
  <w:footnote w:id="75">
    <w:p w:rsidR="008277B6" w:rsidRPr="00F323DF" w:rsidRDefault="00406128">
      <w:pPr>
        <w:jc w:val="both"/>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62">
        <w:r w:rsidRPr="00F323DF">
          <w:rPr>
            <w:rFonts w:ascii="Garamond" w:eastAsia="Garamond" w:hAnsi="Garamond" w:cs="Garamond"/>
            <w:color w:val="1155CC"/>
            <w:sz w:val="20"/>
            <w:szCs w:val="20"/>
            <w:u w:val="single"/>
            <w:lang w:val="fr-FR"/>
          </w:rPr>
          <w:t>A CIDH manifesta preocupação pela situação das pessoas privadas de liberdade no Brasil diante da pandemia do COVID-19</w:t>
        </w:r>
      </w:hyperlink>
    </w:p>
  </w:footnote>
  <w:footnote w:id="76">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63">
        <w:r w:rsidRPr="00F323DF">
          <w:rPr>
            <w:rFonts w:ascii="Garamond" w:eastAsia="Garamond" w:hAnsi="Garamond" w:cs="Garamond"/>
            <w:color w:val="1155CC"/>
            <w:sz w:val="20"/>
            <w:szCs w:val="20"/>
            <w:u w:val="single"/>
            <w:lang w:val="fr-FR"/>
          </w:rPr>
          <w:t>Para CIDH, Brasil viola direitos humanos no sistema prisional</w:t>
        </w:r>
      </w:hyperlink>
    </w:p>
  </w:footnote>
  <w:footnote w:id="77">
    <w:p w:rsidR="008277B6" w:rsidRPr="00F323DF" w:rsidRDefault="00406128">
      <w:pPr>
        <w:jc w:val="both"/>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MALVEZZI FILHO, Paulo Cesar. </w:t>
      </w:r>
      <w:hyperlink r:id="rId64">
        <w:r w:rsidRPr="00F323DF">
          <w:rPr>
            <w:rFonts w:ascii="Garamond" w:eastAsia="Garamond" w:hAnsi="Garamond" w:cs="Garamond"/>
            <w:color w:val="1155CC"/>
            <w:sz w:val="20"/>
            <w:szCs w:val="20"/>
            <w:u w:val="single"/>
            <w:lang w:val="fr-FR"/>
          </w:rPr>
          <w:t>Entre engrenagens e mecanismos: para uma crítica das políticas de prevenção da tortura no sistema prisional</w:t>
        </w:r>
      </w:hyperlink>
    </w:p>
  </w:footnote>
  <w:footnote w:id="78">
    <w:p w:rsidR="008277B6" w:rsidRDefault="00406128">
      <w:pPr>
        <w:jc w:val="both"/>
        <w:rPr>
          <w:rFonts w:ascii="Garamond" w:eastAsia="Garamond" w:hAnsi="Garamond" w:cs="Garamond"/>
          <w:sz w:val="20"/>
          <w:szCs w:val="20"/>
        </w:rPr>
      </w:pPr>
      <w:r>
        <w:rPr>
          <w:rStyle w:val="FootnoteReference"/>
        </w:rPr>
        <w:footnoteRef/>
      </w:r>
      <w:r w:rsidRPr="00F323DF">
        <w:rPr>
          <w:rFonts w:ascii="Garamond" w:eastAsia="Garamond" w:hAnsi="Garamond" w:cs="Garamond"/>
          <w:sz w:val="20"/>
          <w:szCs w:val="20"/>
          <w:lang w:val="fr-FR"/>
        </w:rPr>
        <w:t xml:space="preserve"> Brasil. Ministério da Mulher, da Família e dos Direitos Humanos (MMFDH). </w:t>
      </w:r>
      <w:hyperlink r:id="rId65">
        <w:r>
          <w:rPr>
            <w:rFonts w:ascii="Garamond" w:eastAsia="Garamond" w:hAnsi="Garamond" w:cs="Garamond"/>
            <w:color w:val="1155CC"/>
            <w:sz w:val="20"/>
            <w:szCs w:val="20"/>
            <w:u w:val="single"/>
          </w:rPr>
          <w:t>Levantamento anual SINASE 2017</w:t>
        </w:r>
      </w:hyperlink>
    </w:p>
  </w:footnote>
  <w:footnote w:id="79">
    <w:p w:rsidR="008277B6" w:rsidRDefault="00406128">
      <w:pPr>
        <w:jc w:val="both"/>
        <w:rPr>
          <w:rFonts w:ascii="Garamond" w:eastAsia="Garamond" w:hAnsi="Garamond" w:cs="Garamond"/>
          <w:sz w:val="20"/>
          <w:szCs w:val="20"/>
        </w:rPr>
      </w:pPr>
      <w:r>
        <w:rPr>
          <w:rStyle w:val="FootnoteReference"/>
        </w:rPr>
        <w:footnoteRef/>
      </w:r>
      <w:r>
        <w:rPr>
          <w:rFonts w:ascii="Garamond" w:eastAsia="Garamond" w:hAnsi="Garamond" w:cs="Garamond"/>
          <w:sz w:val="20"/>
          <w:szCs w:val="20"/>
          <w:highlight w:val="white"/>
        </w:rPr>
        <w:t xml:space="preserve"> It should be noted that the section on SINASE of the </w:t>
      </w:r>
      <w:hyperlink r:id="rId66">
        <w:r>
          <w:rPr>
            <w:rFonts w:ascii="Garamond" w:eastAsia="Garamond" w:hAnsi="Garamond" w:cs="Garamond"/>
            <w:color w:val="1155CC"/>
            <w:sz w:val="20"/>
            <w:szCs w:val="20"/>
            <w:highlight w:val="white"/>
            <w:u w:val="single"/>
          </w:rPr>
          <w:t>Anuário Brasileiro de Segurança Pública de 2022</w:t>
        </w:r>
      </w:hyperlink>
      <w:r>
        <w:rPr>
          <w:rFonts w:ascii="Garamond" w:eastAsia="Garamond" w:hAnsi="Garamond" w:cs="Garamond"/>
          <w:sz w:val="20"/>
          <w:szCs w:val="20"/>
          <w:highlight w:val="white"/>
        </w:rPr>
        <w:t xml:space="preserve"> points to a significant drop in the number of hospitalizations, of the order of 47%, reaching 13,684 in 2021.</w:t>
      </w:r>
    </w:p>
  </w:footnote>
  <w:footnote w:id="80">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w:t>
      </w:r>
      <w:hyperlink r:id="rId67">
        <w:r>
          <w:rPr>
            <w:rFonts w:ascii="Garamond" w:eastAsia="Garamond" w:hAnsi="Garamond" w:cs="Garamond"/>
            <w:color w:val="1155CC"/>
            <w:sz w:val="20"/>
            <w:szCs w:val="20"/>
            <w:u w:val="single"/>
          </w:rPr>
          <w:t>Adolescentes denunciam abuso sexual em unidade socioeducativa do Rio, 2021</w:t>
        </w:r>
      </w:hyperlink>
    </w:p>
  </w:footnote>
  <w:footnote w:id="81">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w:t>
      </w:r>
      <w:hyperlink r:id="rId68">
        <w:r>
          <w:rPr>
            <w:rFonts w:ascii="Garamond" w:eastAsia="Garamond" w:hAnsi="Garamond" w:cs="Garamond"/>
            <w:color w:val="1155CC"/>
            <w:sz w:val="20"/>
            <w:szCs w:val="20"/>
            <w:u w:val="single"/>
          </w:rPr>
          <w:t>Pesquisa da Anistia Internacional mostra que maioria dos autos de resistência é contra homens negros e fica sem solução - Casos de Polícia - Extra Online</w:t>
        </w:r>
      </w:hyperlink>
    </w:p>
  </w:footnote>
  <w:footnote w:id="82">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69">
        <w:r w:rsidRPr="00F323DF">
          <w:rPr>
            <w:rFonts w:ascii="Garamond" w:eastAsia="Garamond" w:hAnsi="Garamond" w:cs="Garamond"/>
            <w:color w:val="1155CC"/>
            <w:sz w:val="20"/>
            <w:szCs w:val="20"/>
            <w:u w:val="single"/>
            <w:lang w:val="fr-FR"/>
          </w:rPr>
          <w:t>Por que eu? Como o racismo faz com que as pessoas negras sejam o perfil alvo das abordagens policiais</w:t>
        </w:r>
      </w:hyperlink>
    </w:p>
  </w:footnote>
  <w:footnote w:id="83">
    <w:p w:rsidR="008277B6" w:rsidRPr="00F323DF" w:rsidRDefault="00406128">
      <w:pPr>
        <w:jc w:val="both"/>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70">
        <w:r w:rsidRPr="00F323DF">
          <w:rPr>
            <w:rFonts w:ascii="Garamond" w:eastAsia="Garamond" w:hAnsi="Garamond" w:cs="Garamond"/>
            <w:color w:val="1155CC"/>
            <w:sz w:val="20"/>
            <w:szCs w:val="20"/>
            <w:u w:val="single"/>
            <w:lang w:val="fr-FR"/>
          </w:rPr>
          <w:t>CIDH condena violência policial contra pessoa afrodescendente no Brasil e apela ao Estado para combater o uso de práticas de perfilamento racial</w:t>
        </w:r>
      </w:hyperlink>
    </w:p>
  </w:footnote>
  <w:footnote w:id="84">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71">
        <w:r w:rsidRPr="00F323DF">
          <w:rPr>
            <w:rFonts w:ascii="Garamond" w:eastAsia="Garamond" w:hAnsi="Garamond" w:cs="Garamond"/>
            <w:color w:val="1155CC"/>
            <w:sz w:val="20"/>
            <w:szCs w:val="20"/>
            <w:u w:val="single"/>
            <w:lang w:val="fr-FR"/>
          </w:rPr>
          <w:t>Morte de Genivaldo Santos em abordagem da PRF em Sergipe: o que se sabe e o que falta esclarecer</w:t>
        </w:r>
      </w:hyperlink>
    </w:p>
  </w:footnote>
  <w:footnote w:id="85">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IPEA. </w:t>
      </w:r>
      <w:hyperlink r:id="rId72">
        <w:r>
          <w:rPr>
            <w:rFonts w:ascii="Garamond" w:eastAsia="Garamond" w:hAnsi="Garamond" w:cs="Garamond"/>
            <w:color w:val="1155CC"/>
            <w:sz w:val="20"/>
            <w:szCs w:val="20"/>
            <w:u w:val="single"/>
          </w:rPr>
          <w:t>A intervenção federal no Rio de Janeiro e as organizações da sociedade civil</w:t>
        </w:r>
      </w:hyperlink>
    </w:p>
  </w:footnote>
  <w:footnote w:id="86">
    <w:p w:rsidR="008277B6" w:rsidRDefault="00406128">
      <w:pPr>
        <w:rPr>
          <w:sz w:val="20"/>
          <w:szCs w:val="20"/>
        </w:rPr>
      </w:pPr>
      <w:r>
        <w:rPr>
          <w:rStyle w:val="FootnoteReference"/>
        </w:rPr>
        <w:footnoteRef/>
      </w:r>
      <w:r>
        <w:rPr>
          <w:sz w:val="20"/>
          <w:szCs w:val="20"/>
        </w:rPr>
        <w:t xml:space="preserve"> </w:t>
      </w:r>
      <w:r>
        <w:rPr>
          <w:rFonts w:ascii="Garamond" w:eastAsia="Garamond" w:hAnsi="Garamond" w:cs="Garamond"/>
          <w:sz w:val="20"/>
          <w:szCs w:val="20"/>
        </w:rPr>
        <w:t>The state of Maranhão, which is also part of the monitoring, does not register the color/race of the victims, which is also revealed as a form of institutional racism.</w:t>
      </w:r>
    </w:p>
  </w:footnote>
  <w:footnote w:id="87">
    <w:p w:rsidR="008277B6" w:rsidRPr="00F323DF" w:rsidRDefault="00406128">
      <w:pPr>
        <w:rPr>
          <w:sz w:val="20"/>
          <w:szCs w:val="20"/>
          <w:lang w:val="fr-FR"/>
        </w:rPr>
      </w:pPr>
      <w:r>
        <w:rPr>
          <w:rStyle w:val="FootnoteReference"/>
        </w:rPr>
        <w:footnoteRef/>
      </w:r>
      <w:r w:rsidRPr="00F323DF">
        <w:rPr>
          <w:sz w:val="20"/>
          <w:szCs w:val="20"/>
          <w:lang w:val="fr-FR"/>
        </w:rPr>
        <w:t xml:space="preserve"> </w:t>
      </w:r>
      <w:hyperlink r:id="rId73">
        <w:r w:rsidRPr="00F323DF">
          <w:rPr>
            <w:rFonts w:ascii="Garamond" w:eastAsia="Garamond" w:hAnsi="Garamond" w:cs="Garamond"/>
            <w:color w:val="1155CC"/>
            <w:sz w:val="20"/>
            <w:szCs w:val="20"/>
            <w:u w:val="single"/>
            <w:lang w:val="fr-FR"/>
          </w:rPr>
          <w:t>Negros são maioria dos mortos em ações policiais em seis estados: é o que revela pesquisa da Rede de Observatórios de Segurança</w:t>
        </w:r>
      </w:hyperlink>
    </w:p>
  </w:footnote>
  <w:footnote w:id="88">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CNJ. </w:t>
      </w:r>
      <w:hyperlink r:id="rId74">
        <w:r w:rsidRPr="00F323DF">
          <w:rPr>
            <w:rFonts w:ascii="Garamond" w:eastAsia="Garamond" w:hAnsi="Garamond" w:cs="Garamond"/>
            <w:color w:val="1155CC"/>
            <w:sz w:val="20"/>
            <w:szCs w:val="20"/>
            <w:u w:val="single"/>
            <w:lang w:val="fr-FR"/>
          </w:rPr>
          <w:t>Sumário Executivo: Caso Favela Nova Brasília (Cosme Genoveva e outros) vs. Brasil</w:t>
        </w:r>
      </w:hyperlink>
    </w:p>
  </w:footnote>
  <w:footnote w:id="89">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75">
        <w:r w:rsidRPr="00F323DF">
          <w:rPr>
            <w:rFonts w:ascii="Garamond" w:eastAsia="Garamond" w:hAnsi="Garamond" w:cs="Garamond"/>
            <w:color w:val="1155CC"/>
            <w:sz w:val="20"/>
            <w:szCs w:val="20"/>
            <w:u w:val="single"/>
            <w:lang w:val="fr-FR"/>
          </w:rPr>
          <w:t>Em 14 meses, Rio registra 3 das 4 operações mais letais da história, com mais de 70 mortos</w:t>
        </w:r>
      </w:hyperlink>
    </w:p>
  </w:footnote>
  <w:footnote w:id="90">
    <w:p w:rsidR="008277B6" w:rsidRPr="00F323DF" w:rsidRDefault="00406128">
      <w:pPr>
        <w:rPr>
          <w:sz w:val="20"/>
          <w:szCs w:val="20"/>
          <w:lang w:val="fr-FR"/>
        </w:rPr>
      </w:pPr>
      <w:r>
        <w:rPr>
          <w:rStyle w:val="FootnoteReference"/>
        </w:rPr>
        <w:footnoteRef/>
      </w:r>
      <w:r w:rsidRPr="00F323DF">
        <w:rPr>
          <w:sz w:val="20"/>
          <w:szCs w:val="20"/>
          <w:lang w:val="fr-FR"/>
        </w:rPr>
        <w:t xml:space="preserve"> </w:t>
      </w:r>
      <w:hyperlink r:id="rId76">
        <w:r w:rsidRPr="00F323DF">
          <w:rPr>
            <w:rFonts w:ascii="Garamond" w:eastAsia="Garamond" w:hAnsi="Garamond" w:cs="Garamond"/>
            <w:color w:val="1155CC"/>
            <w:sz w:val="20"/>
            <w:szCs w:val="20"/>
            <w:u w:val="single"/>
            <w:lang w:val="fr-FR"/>
          </w:rPr>
          <w:t>Número de pessoas que vivem em favelas cariocas equivale a 20 Maracanãs lotados, diz Instituto Rio21</w:t>
        </w:r>
      </w:hyperlink>
    </w:p>
  </w:footnote>
  <w:footnote w:id="91">
    <w:p w:rsidR="008277B6" w:rsidRDefault="00406128">
      <w:pPr>
        <w:rPr>
          <w:rFonts w:ascii="Garamond" w:eastAsia="Garamond" w:hAnsi="Garamond" w:cs="Garamond"/>
          <w:sz w:val="16"/>
          <w:szCs w:val="16"/>
        </w:rPr>
      </w:pPr>
      <w:r>
        <w:rPr>
          <w:rStyle w:val="FootnoteReference"/>
        </w:rPr>
        <w:footnoteRef/>
      </w:r>
      <w:r w:rsidRPr="00F323DF">
        <w:rPr>
          <w:rFonts w:ascii="Garamond" w:eastAsia="Garamond" w:hAnsi="Garamond" w:cs="Garamond"/>
          <w:sz w:val="20"/>
          <w:szCs w:val="20"/>
          <w:lang w:val="fr-FR"/>
        </w:rPr>
        <w:t xml:space="preserve">ALERJ. Comissão Parlamentar de Inquérito. </w:t>
      </w:r>
      <w:hyperlink r:id="rId77">
        <w:r>
          <w:rPr>
            <w:rFonts w:ascii="Garamond" w:eastAsia="Garamond" w:hAnsi="Garamond" w:cs="Garamond"/>
            <w:color w:val="1155CC"/>
            <w:sz w:val="20"/>
            <w:szCs w:val="20"/>
            <w:u w:val="single"/>
          </w:rPr>
          <w:t>Relatório final da Comissão Parlamentar de Inquérito destinada a investigar a ação de milícias no âmbito do estado do Rio de Janeiro</w:t>
        </w:r>
      </w:hyperlink>
      <w:r>
        <w:rPr>
          <w:rFonts w:ascii="Garamond" w:eastAsia="Garamond" w:hAnsi="Garamond" w:cs="Garamond"/>
          <w:sz w:val="20"/>
          <w:szCs w:val="20"/>
        </w:rPr>
        <w:t xml:space="preserve">. </w:t>
      </w:r>
    </w:p>
  </w:footnote>
  <w:footnote w:id="92">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highlight w:val="white"/>
        </w:rPr>
        <w:t xml:space="preserve"> GENI/UFF; Fogo Cruzado. </w:t>
      </w:r>
      <w:hyperlink r:id="rId78">
        <w:r>
          <w:rPr>
            <w:rFonts w:ascii="Garamond" w:eastAsia="Garamond" w:hAnsi="Garamond" w:cs="Garamond"/>
            <w:color w:val="1155CC"/>
            <w:sz w:val="20"/>
            <w:szCs w:val="20"/>
            <w:highlight w:val="white"/>
            <w:u w:val="single"/>
          </w:rPr>
          <w:t>Mapa Histórico dos Grupos Armados no Rio de Janeiro</w:t>
        </w:r>
      </w:hyperlink>
    </w:p>
  </w:footnote>
  <w:footnote w:id="93">
    <w:p w:rsidR="008277B6" w:rsidRPr="00F323DF" w:rsidRDefault="00406128">
      <w:pPr>
        <w:jc w:val="both"/>
        <w:rPr>
          <w:rFonts w:ascii="Garamond" w:eastAsia="Garamond" w:hAnsi="Garamond" w:cs="Garamond"/>
          <w:sz w:val="20"/>
          <w:szCs w:val="20"/>
          <w:lang w:val="fr-FR"/>
        </w:rPr>
      </w:pPr>
      <w:r>
        <w:rPr>
          <w:rStyle w:val="FootnoteReference"/>
        </w:rPr>
        <w:footnoteRef/>
      </w:r>
      <w:r>
        <w:rPr>
          <w:rFonts w:ascii="Garamond" w:eastAsia="Garamond" w:hAnsi="Garamond" w:cs="Garamond"/>
          <w:sz w:val="20"/>
          <w:szCs w:val="20"/>
        </w:rPr>
        <w:t xml:space="preserve"> Ação dos Cristãos para a Abolição da Tortura (ACAT); Conectas Direitos Humanos; Núcleo de Pesquisas do Instituto Brasileiro de Ciências Criminais (IBCCrim); Núcleo de Estudos da Violência da Universidade de São Paulo (NEV-USP); Pastoral Carcerária. </w:t>
      </w:r>
      <w:hyperlink r:id="rId79">
        <w:r w:rsidRPr="00F323DF">
          <w:rPr>
            <w:rFonts w:ascii="Garamond" w:eastAsia="Garamond" w:hAnsi="Garamond" w:cs="Garamond"/>
            <w:color w:val="1155CC"/>
            <w:sz w:val="20"/>
            <w:szCs w:val="20"/>
            <w:highlight w:val="white"/>
            <w:u w:val="single"/>
            <w:lang w:val="fr-FR"/>
          </w:rPr>
          <w:t>Julgando a tortura: Análise de jurisprudência nos tribunais de justiça do Brasil (2005-2010)</w:t>
        </w:r>
      </w:hyperlink>
      <w:r w:rsidRPr="00F323DF">
        <w:rPr>
          <w:rFonts w:ascii="Garamond" w:eastAsia="Garamond" w:hAnsi="Garamond" w:cs="Garamond"/>
          <w:sz w:val="20"/>
          <w:szCs w:val="20"/>
          <w:lang w:val="fr-FR"/>
        </w:rPr>
        <w:t xml:space="preserve"> </w:t>
      </w:r>
    </w:p>
  </w:footnote>
  <w:footnote w:id="94">
    <w:p w:rsidR="008277B6" w:rsidRPr="00F323DF" w:rsidRDefault="00406128">
      <w:pPr>
        <w:rPr>
          <w:rFonts w:ascii="Garamond" w:eastAsia="Garamond" w:hAnsi="Garamond" w:cs="Garamond"/>
          <w:sz w:val="20"/>
          <w:szCs w:val="20"/>
          <w:lang w:val="fr-FR"/>
        </w:rPr>
      </w:pPr>
      <w:r>
        <w:rPr>
          <w:rStyle w:val="FootnoteReference"/>
        </w:rPr>
        <w:footnoteRef/>
      </w:r>
      <w:r w:rsidRPr="00F323DF">
        <w:rPr>
          <w:rFonts w:ascii="Garamond" w:eastAsia="Garamond" w:hAnsi="Garamond" w:cs="Garamond"/>
          <w:sz w:val="20"/>
          <w:szCs w:val="20"/>
          <w:lang w:val="fr-FR"/>
        </w:rPr>
        <w:t xml:space="preserve"> </w:t>
      </w:r>
      <w:hyperlink r:id="rId80">
        <w:r w:rsidRPr="00F323DF">
          <w:rPr>
            <w:rFonts w:ascii="Garamond" w:eastAsia="Garamond" w:hAnsi="Garamond" w:cs="Garamond"/>
            <w:color w:val="1155CC"/>
            <w:sz w:val="20"/>
            <w:szCs w:val="20"/>
            <w:u w:val="single"/>
            <w:lang w:val="fr-FR"/>
          </w:rPr>
          <w:t>Defensoria consegue absolvição de três réus após evidências de obtenção de provas criminais por meio de torturas</w:t>
        </w:r>
      </w:hyperlink>
    </w:p>
  </w:footnote>
  <w:footnote w:id="95">
    <w:p w:rsidR="008277B6" w:rsidRDefault="00406128">
      <w:pPr>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w:t>
      </w:r>
      <w:hyperlink r:id="rId81">
        <w:r>
          <w:rPr>
            <w:rFonts w:ascii="Garamond" w:eastAsia="Garamond" w:hAnsi="Garamond" w:cs="Garamond"/>
            <w:color w:val="1155CC"/>
            <w:sz w:val="20"/>
            <w:szCs w:val="20"/>
            <w:u w:val="single"/>
          </w:rPr>
          <w:t>Lei da Tortura completa 20 anos, mas ainda há relatos do crime no país</w:t>
        </w:r>
      </w:hyperlink>
    </w:p>
  </w:footnote>
  <w:footnote w:id="96">
    <w:p w:rsidR="008277B6" w:rsidRDefault="00406128">
      <w:pPr>
        <w:jc w:val="both"/>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The Community Council is one of the criminal enforcement institutions, established by Law No. 7,210/1984. The law provides for the composition of the council, which must have representatives from different sectors of society. It is incumbent upon the Council to make periodic visits to prison establishments, interview people deprived of freedom, send reports to the Criminal Execution Judge, and provide material and human resources to better assist prisoners. </w:t>
      </w:r>
    </w:p>
  </w:footnote>
  <w:footnote w:id="97">
    <w:p w:rsidR="008277B6" w:rsidRDefault="00406128">
      <w:pPr>
        <w:jc w:val="both"/>
        <w:rPr>
          <w:rFonts w:ascii="Garamond" w:eastAsia="Garamond" w:hAnsi="Garamond" w:cs="Garamond"/>
          <w:sz w:val="20"/>
          <w:szCs w:val="20"/>
        </w:rPr>
      </w:pPr>
      <w:r>
        <w:rPr>
          <w:rStyle w:val="FootnoteReference"/>
        </w:rPr>
        <w:footnoteRef/>
      </w:r>
      <w:r>
        <w:rPr>
          <w:rFonts w:ascii="Garamond" w:eastAsia="Garamond" w:hAnsi="Garamond" w:cs="Garamond"/>
          <w:sz w:val="20"/>
          <w:szCs w:val="20"/>
          <w:highlight w:val="white"/>
        </w:rPr>
        <w:t xml:space="preserve"> The project classifies it as heinous to reduce someone to a condition analogous to that of a slave, subjecting them to forced labour, exhausting hours, degrading working conditions, or restricting their mobility. </w:t>
      </w:r>
    </w:p>
  </w:footnote>
  <w:footnote w:id="98">
    <w:p w:rsidR="008277B6" w:rsidRDefault="00406128">
      <w:pPr>
        <w:jc w:val="both"/>
        <w:rPr>
          <w:rFonts w:ascii="Garamond" w:eastAsia="Garamond" w:hAnsi="Garamond" w:cs="Garamond"/>
          <w:sz w:val="20"/>
          <w:szCs w:val="20"/>
        </w:rPr>
      </w:pPr>
      <w:r>
        <w:rPr>
          <w:rStyle w:val="FootnoteReference"/>
        </w:rPr>
        <w:footnoteRef/>
      </w:r>
      <w:r>
        <w:rPr>
          <w:rFonts w:ascii="Garamond" w:eastAsia="Garamond" w:hAnsi="Garamond" w:cs="Garamond"/>
          <w:sz w:val="20"/>
          <w:szCs w:val="20"/>
        </w:rPr>
        <w:t xml:space="preserve"> The Community Council is one of the criminal enforcement institutions, established by Law No. 7,210/1984. The law provides for the composition of the council, which must have representatives from different sectors of society. It is incumbent upon the Council to make periodic visits to prison establishments, interview people deprived of freedom, send reports to the Criminal Execution Judge, and provide material and human resources to better assist prisoners.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7B6" w:rsidRDefault="008277B6">
    <w:pPr>
      <w:pBdr>
        <w:top w:val="nil"/>
        <w:left w:val="nil"/>
        <w:bottom w:val="nil"/>
        <w:right w:val="nil"/>
        <w:between w:val="nil"/>
      </w:pBdr>
      <w:tabs>
        <w:tab w:val="right" w:pos="9020"/>
      </w:tabs>
      <w:rPr>
        <w:rFonts w:ascii="Helvetica Neue" w:eastAsia="Helvetica Neue" w:hAnsi="Helvetica Neue" w:cs="Helvetica Neue"/>
      </w:rPr>
    </w:pPr>
  </w:p>
  <w:p w:rsidR="008277B6" w:rsidRDefault="00F323DF">
    <w:pPr>
      <w:pBdr>
        <w:top w:val="nil"/>
        <w:left w:val="nil"/>
        <w:bottom w:val="nil"/>
        <w:right w:val="nil"/>
        <w:between w:val="nil"/>
      </w:pBdr>
      <w:tabs>
        <w:tab w:val="right" w:pos="9020"/>
      </w:tabs>
      <w:rPr>
        <w:rFonts w:ascii="Helvetica Neue" w:eastAsia="Helvetica Neue" w:hAnsi="Helvetica Neue" w:cs="Helvetica Neue"/>
        <w:color w:val="000000"/>
      </w:rPr>
    </w:pPr>
    <w:r>
      <w:rPr>
        <w:noProof/>
        <w:lang w:val="en-GB" w:eastAsia="en-GB"/>
      </w:rPr>
      <mc:AlternateContent>
        <mc:Choice Requires="wps">
          <w:drawing>
            <wp:anchor distT="0" distB="0" distL="0" distR="0" simplePos="0" relativeHeight="251658240" behindDoc="1" locked="0" layoutInCell="1" hidden="0" allowOverlap="1">
              <wp:simplePos x="0" y="0"/>
              <wp:positionH relativeFrom="page">
                <wp:posOffset>-38088</wp:posOffset>
              </wp:positionH>
              <wp:positionV relativeFrom="page">
                <wp:posOffset>2790829</wp:posOffset>
              </wp:positionV>
              <wp:extent cx="7632700" cy="10769600"/>
              <wp:effectExtent l="0" t="0" r="0" b="0"/>
              <wp:wrapNone/>
              <wp:docPr id="31" name="" descr="Retângulo"/>
              <wp:cNvGraphicFramePr/>
              <a:graphic xmlns:a="http://schemas.openxmlformats.org/drawingml/2006/main">
                <a:graphicData uri="http://schemas.microsoft.com/office/word/2010/wordprocessingShape">
                  <wps:wsp>
                    <wps:cNvSpPr/>
                    <wps:spPr>
                      <a:xfrm>
                        <a:off x="1567750" y="0"/>
                        <a:ext cx="7556500" cy="7560000"/>
                      </a:xfrm>
                      <a:prstGeom prst="roundRect">
                        <a:avLst>
                          <a:gd name="adj" fmla="val 0"/>
                        </a:avLst>
                      </a:prstGeom>
                      <a:solidFill>
                        <a:srgbClr val="FFFFFF"/>
                      </a:solidFill>
                      <a:ln>
                        <a:noFill/>
                      </a:ln>
                    </wps:spPr>
                    <wps:txbx>
                      <w:txbxContent>
                        <w:p w:rsidR="008B55BF" w:rsidRDefault="008B55BF">
                          <w:pPr>
                            <w:textDirection w:val="btLr"/>
                          </w:pPr>
                        </w:p>
                      </w:txbxContent>
                    </wps:txbx>
                    <wps:bodyPr spcFirstLastPara="1" wrap="square" lIns="91425" tIns="91425" rIns="91425" bIns="91425" anchor="ctr" anchorCtr="0">
                      <a:noAutofit/>
                    </wps:bodyPr>
                  </wps:wsp>
                </a:graphicData>
              </a:graphic>
            </wp:anchor>
          </w:drawing>
        </mc:Choice>
        <mc:Fallback>
          <w:pict>
            <v:roundrect id="_x0000_s1026" alt="Retângulo" style="position:absolute;margin-left:-3pt;margin-top:219.75pt;width:601pt;height:848pt;z-index:-251658240;visibility:visible;mso-wrap-style:square;mso-wrap-distance-left:0;mso-wrap-distance-top:0;mso-wrap-distance-right:0;mso-wrap-distance-bottom:0;mso-position-horizontal:absolute;mso-position-horizontal-relative:page;mso-position-vertical:absolute;mso-position-vertical-relative:page;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" stroked="f">
              <v:textbox inset="2.53958mm,2.53958mm,2.53958mm,2.53958mm">
                <w:txbxContent>
                  <w:p w:rsidR="008B55BF" w:rsidRDefault="008B55BF">
                    <w:pPr>
                      <w:textDirection w:val="btLr"/>
                    </w:pPr>
                  </w:p>
                </w:txbxContent>
              </v:textbox>
              <w10:wrap anchorx="page" anchory="page"/>
            </v:round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7B6" w:rsidRDefault="00406128">
    <w:pPr>
      <w:pBdr>
        <w:top w:val="nil"/>
        <w:left w:val="nil"/>
        <w:bottom w:val="nil"/>
        <w:right w:val="nil"/>
        <w:between w:val="nil"/>
      </w:pBdr>
      <w:tabs>
        <w:tab w:val="right" w:pos="9020"/>
      </w:tabs>
      <w:rPr>
        <w:rFonts w:ascii="Helvetica Neue" w:eastAsia="Helvetica Neue" w:hAnsi="Helvetica Neue" w:cs="Helvetica Neue"/>
        <w:color w:val="000000"/>
      </w:rPr>
    </w:pPr>
    <w:r>
      <w:rPr>
        <w:rFonts w:ascii="Helvetica Neue" w:eastAsia="Helvetica Neue" w:hAnsi="Helvetica Neue" w:cs="Helvetica Neue"/>
        <w:noProof/>
        <w:lang w:val="en-GB" w:eastAsia="en-GB"/>
      </w:rPr>
      <w:drawing>
        <wp:anchor distT="0" distB="0" distL="0" distR="0" simplePos="0" relativeHeight="251659264" behindDoc="1" locked="0" layoutInCell="1" allowOverlap="1">
          <wp:simplePos x="0" y="0"/>
          <wp:positionH relativeFrom="page">
            <wp:posOffset>6258975</wp:posOffset>
          </wp:positionH>
          <wp:positionV relativeFrom="page">
            <wp:posOffset>195262</wp:posOffset>
          </wp:positionV>
          <wp:extent cx="580167" cy="580167"/>
          <wp:effectExtent l="0" t="0" r="0" b="0"/>
          <wp:wrapNone/>
          <wp:docPr id="3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80167" cy="58016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516ED"/>
    <w:multiLevelType w:val="multilevel"/>
    <w:tmpl w:val="7E282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7E1689"/>
    <w:multiLevelType w:val="multilevel"/>
    <w:tmpl w:val="7A7EAE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7B6"/>
    <w:rsid w:val="00090925"/>
    <w:rsid w:val="00406128"/>
    <w:rsid w:val="008277B6"/>
    <w:rsid w:val="0086271C"/>
    <w:rsid w:val="008B55BF"/>
    <w:rsid w:val="00F323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1AFC35-19A7-4A6D-B898-4FBF33EBC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C7CD2"/>
  </w:style>
  <w:style w:type="paragraph" w:styleId="Heading1">
    <w:name w:val="heading 1"/>
    <w:basedOn w:val="Normal"/>
    <w:next w:val="Normal"/>
    <w:link w:val="Heading1Char"/>
    <w:uiPriority w:val="9"/>
    <w:qFormat/>
    <w:rsid w:val="008C7CD2"/>
    <w:pPr>
      <w:keepNext/>
      <w:keepLines/>
      <w:spacing w:before="480" w:after="20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rsid w:val="008C7CD2"/>
    <w:pPr>
      <w:keepNext/>
      <w:keepLines/>
      <w:spacing w:before="360" w:after="200"/>
      <w:outlineLvl w:val="1"/>
    </w:pPr>
    <w:rPr>
      <w:rFonts w:ascii="Arial" w:eastAsia="Arial" w:hAnsi="Arial" w:cs="Arial"/>
      <w:sz w:val="34"/>
    </w:rPr>
  </w:style>
  <w:style w:type="paragraph" w:styleId="Heading3">
    <w:name w:val="heading 3"/>
    <w:basedOn w:val="Normal"/>
    <w:next w:val="Normal"/>
    <w:link w:val="Heading3Char"/>
    <w:uiPriority w:val="9"/>
    <w:unhideWhenUsed/>
    <w:qFormat/>
    <w:rsid w:val="008C7CD2"/>
    <w:pPr>
      <w:keepNext/>
      <w:keepLines/>
      <w:spacing w:before="320" w:after="20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rsid w:val="008C7CD2"/>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rsid w:val="008C7CD2"/>
    <w:pPr>
      <w:keepNext/>
      <w:keepLines/>
      <w:spacing w:before="320" w:after="200"/>
      <w:outlineLvl w:val="4"/>
    </w:pPr>
    <w:rPr>
      <w:rFonts w:ascii="Arial" w:eastAsia="Arial" w:hAnsi="Arial" w:cs="Arial"/>
      <w:b/>
      <w:bCs/>
    </w:rPr>
  </w:style>
  <w:style w:type="paragraph" w:styleId="Heading6">
    <w:name w:val="heading 6"/>
    <w:basedOn w:val="Normal"/>
    <w:next w:val="Normal"/>
    <w:link w:val="Heading6Char"/>
    <w:uiPriority w:val="9"/>
    <w:unhideWhenUsed/>
    <w:qFormat/>
    <w:rsid w:val="008C7CD2"/>
    <w:pPr>
      <w:keepNext/>
      <w:keepLines/>
      <w:spacing w:before="320" w:after="200"/>
      <w:outlineLvl w:val="5"/>
    </w:pPr>
    <w:rPr>
      <w:rFonts w:ascii="Arial" w:eastAsia="Arial" w:hAnsi="Arial" w:cs="Arial"/>
      <w:b/>
      <w:bCs/>
      <w:sz w:val="22"/>
      <w:szCs w:val="22"/>
    </w:rPr>
  </w:style>
  <w:style w:type="paragraph" w:styleId="Heading7">
    <w:name w:val="heading 7"/>
    <w:basedOn w:val="Normal"/>
    <w:next w:val="Normal"/>
    <w:link w:val="Heading7Char"/>
    <w:uiPriority w:val="9"/>
    <w:unhideWhenUsed/>
    <w:qFormat/>
    <w:rsid w:val="008C7CD2"/>
    <w:pPr>
      <w:keepNext/>
      <w:keepLines/>
      <w:spacing w:before="320" w:after="200"/>
      <w:outlineLvl w:val="6"/>
    </w:pPr>
    <w:rPr>
      <w:rFonts w:ascii="Arial" w:eastAsia="Arial" w:hAnsi="Arial" w:cs="Arial"/>
      <w:b/>
      <w:bCs/>
      <w:i/>
      <w:iCs/>
      <w:sz w:val="22"/>
      <w:szCs w:val="22"/>
    </w:rPr>
  </w:style>
  <w:style w:type="paragraph" w:styleId="Heading8">
    <w:name w:val="heading 8"/>
    <w:basedOn w:val="Normal"/>
    <w:next w:val="Normal"/>
    <w:link w:val="Heading8Char"/>
    <w:uiPriority w:val="9"/>
    <w:unhideWhenUsed/>
    <w:qFormat/>
    <w:rsid w:val="008C7CD2"/>
    <w:pPr>
      <w:keepNext/>
      <w:keepLines/>
      <w:spacing w:before="320" w:after="200"/>
      <w:outlineLvl w:val="7"/>
    </w:pPr>
    <w:rPr>
      <w:rFonts w:ascii="Arial" w:eastAsia="Arial" w:hAnsi="Arial" w:cs="Arial"/>
      <w:i/>
      <w:iCs/>
      <w:sz w:val="22"/>
      <w:szCs w:val="22"/>
    </w:rPr>
  </w:style>
  <w:style w:type="paragraph" w:styleId="Heading9">
    <w:name w:val="heading 9"/>
    <w:basedOn w:val="Normal"/>
    <w:next w:val="Normal"/>
    <w:link w:val="Heading9Char"/>
    <w:uiPriority w:val="9"/>
    <w:unhideWhenUsed/>
    <w:qFormat/>
    <w:rsid w:val="008C7CD2"/>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277B6"/>
  </w:style>
  <w:style w:type="table" w:customStyle="1" w:styleId="TableNormal1">
    <w:name w:val="Table Normal1"/>
    <w:rsid w:val="008277B6"/>
    <w:tblPr>
      <w:tblCellMar>
        <w:top w:w="0" w:type="dxa"/>
        <w:left w:w="0" w:type="dxa"/>
        <w:bottom w:w="0" w:type="dxa"/>
        <w:right w:w="0" w:type="dxa"/>
      </w:tblCellMar>
    </w:tblPr>
  </w:style>
  <w:style w:type="paragraph" w:styleId="Title">
    <w:name w:val="Title"/>
    <w:basedOn w:val="Normal"/>
    <w:next w:val="Normal"/>
    <w:link w:val="TitleChar"/>
    <w:uiPriority w:val="10"/>
    <w:qFormat/>
    <w:rsid w:val="008C7CD2"/>
    <w:pPr>
      <w:spacing w:before="300" w:after="200"/>
      <w:contextualSpacing/>
    </w:pPr>
    <w:rPr>
      <w:sz w:val="48"/>
      <w:szCs w:val="48"/>
    </w:rPr>
  </w:style>
  <w:style w:type="paragraph" w:customStyle="1" w:styleId="Normal2">
    <w:name w:val="Normal2"/>
    <w:rsid w:val="008277B6"/>
  </w:style>
  <w:style w:type="paragraph" w:customStyle="1" w:styleId="Normal3">
    <w:name w:val="Normal3"/>
    <w:rsid w:val="008277B6"/>
  </w:style>
  <w:style w:type="paragraph" w:customStyle="1" w:styleId="Normal4">
    <w:name w:val="Normal4"/>
    <w:rsid w:val="008277B6"/>
  </w:style>
  <w:style w:type="paragraph" w:customStyle="1" w:styleId="Normal5">
    <w:name w:val="Normal5"/>
    <w:rsid w:val="008277B6"/>
  </w:style>
  <w:style w:type="paragraph" w:customStyle="1" w:styleId="Normal6">
    <w:name w:val="Normal6"/>
    <w:rsid w:val="008C7CD2"/>
  </w:style>
  <w:style w:type="paragraph" w:customStyle="1" w:styleId="Normal7">
    <w:name w:val="Normal7"/>
    <w:rsid w:val="008C7CD2"/>
  </w:style>
  <w:style w:type="paragraph" w:customStyle="1" w:styleId="Normal8">
    <w:name w:val="Normal8"/>
    <w:rsid w:val="008C7CD2"/>
  </w:style>
  <w:style w:type="character" w:customStyle="1" w:styleId="Heading1Char">
    <w:name w:val="Heading 1 Char"/>
    <w:basedOn w:val="DefaultParagraphFont"/>
    <w:link w:val="Heading1"/>
    <w:uiPriority w:val="9"/>
    <w:rsid w:val="008C7CD2"/>
    <w:rPr>
      <w:rFonts w:ascii="Arial" w:eastAsia="Arial" w:hAnsi="Arial" w:cs="Arial"/>
      <w:sz w:val="40"/>
      <w:szCs w:val="40"/>
    </w:rPr>
  </w:style>
  <w:style w:type="character" w:customStyle="1" w:styleId="Heading2Char">
    <w:name w:val="Heading 2 Char"/>
    <w:basedOn w:val="DefaultParagraphFont"/>
    <w:link w:val="Heading2"/>
    <w:uiPriority w:val="9"/>
    <w:rsid w:val="008C7CD2"/>
    <w:rPr>
      <w:rFonts w:ascii="Arial" w:eastAsia="Arial" w:hAnsi="Arial" w:cs="Arial"/>
      <w:sz w:val="34"/>
    </w:rPr>
  </w:style>
  <w:style w:type="character" w:customStyle="1" w:styleId="Heading3Char">
    <w:name w:val="Heading 3 Char"/>
    <w:basedOn w:val="DefaultParagraphFont"/>
    <w:link w:val="Heading3"/>
    <w:uiPriority w:val="9"/>
    <w:rsid w:val="008C7CD2"/>
    <w:rPr>
      <w:rFonts w:ascii="Arial" w:eastAsia="Arial" w:hAnsi="Arial" w:cs="Arial"/>
      <w:sz w:val="30"/>
      <w:szCs w:val="30"/>
    </w:rPr>
  </w:style>
  <w:style w:type="character" w:customStyle="1" w:styleId="Heading4Char">
    <w:name w:val="Heading 4 Char"/>
    <w:basedOn w:val="DefaultParagraphFont"/>
    <w:link w:val="Heading4"/>
    <w:uiPriority w:val="9"/>
    <w:rsid w:val="008C7CD2"/>
    <w:rPr>
      <w:rFonts w:ascii="Arial" w:eastAsia="Arial" w:hAnsi="Arial" w:cs="Arial"/>
      <w:b/>
      <w:bCs/>
      <w:sz w:val="26"/>
      <w:szCs w:val="26"/>
    </w:rPr>
  </w:style>
  <w:style w:type="character" w:customStyle="1" w:styleId="Heading5Char">
    <w:name w:val="Heading 5 Char"/>
    <w:basedOn w:val="DefaultParagraphFont"/>
    <w:link w:val="Heading5"/>
    <w:uiPriority w:val="9"/>
    <w:rsid w:val="008C7CD2"/>
    <w:rPr>
      <w:rFonts w:ascii="Arial" w:eastAsia="Arial" w:hAnsi="Arial" w:cs="Arial"/>
      <w:b/>
      <w:bCs/>
      <w:sz w:val="24"/>
      <w:szCs w:val="24"/>
    </w:rPr>
  </w:style>
  <w:style w:type="character" w:customStyle="1" w:styleId="Heading6Char">
    <w:name w:val="Heading 6 Char"/>
    <w:basedOn w:val="DefaultParagraphFont"/>
    <w:link w:val="Heading6"/>
    <w:uiPriority w:val="9"/>
    <w:rsid w:val="008C7CD2"/>
    <w:rPr>
      <w:rFonts w:ascii="Arial" w:eastAsia="Arial" w:hAnsi="Arial" w:cs="Arial"/>
      <w:b/>
      <w:bCs/>
      <w:sz w:val="22"/>
      <w:szCs w:val="22"/>
    </w:rPr>
  </w:style>
  <w:style w:type="character" w:customStyle="1" w:styleId="Heading7Char">
    <w:name w:val="Heading 7 Char"/>
    <w:basedOn w:val="DefaultParagraphFont"/>
    <w:link w:val="Heading7"/>
    <w:uiPriority w:val="9"/>
    <w:rsid w:val="008C7CD2"/>
    <w:rPr>
      <w:rFonts w:ascii="Arial" w:eastAsia="Arial" w:hAnsi="Arial" w:cs="Arial"/>
      <w:b/>
      <w:bCs/>
      <w:i/>
      <w:iCs/>
      <w:sz w:val="22"/>
      <w:szCs w:val="22"/>
    </w:rPr>
  </w:style>
  <w:style w:type="character" w:customStyle="1" w:styleId="Heading8Char">
    <w:name w:val="Heading 8 Char"/>
    <w:basedOn w:val="DefaultParagraphFont"/>
    <w:link w:val="Heading8"/>
    <w:uiPriority w:val="9"/>
    <w:rsid w:val="008C7CD2"/>
    <w:rPr>
      <w:rFonts w:ascii="Arial" w:eastAsia="Arial" w:hAnsi="Arial" w:cs="Arial"/>
      <w:i/>
      <w:iCs/>
      <w:sz w:val="22"/>
      <w:szCs w:val="22"/>
    </w:rPr>
  </w:style>
  <w:style w:type="character" w:customStyle="1" w:styleId="Heading9Char">
    <w:name w:val="Heading 9 Char"/>
    <w:basedOn w:val="DefaultParagraphFont"/>
    <w:link w:val="Heading9"/>
    <w:uiPriority w:val="9"/>
    <w:rsid w:val="008C7CD2"/>
    <w:rPr>
      <w:rFonts w:ascii="Arial" w:eastAsia="Arial" w:hAnsi="Arial" w:cs="Arial"/>
      <w:i/>
      <w:iCs/>
      <w:sz w:val="21"/>
      <w:szCs w:val="21"/>
    </w:rPr>
  </w:style>
  <w:style w:type="paragraph" w:styleId="ListParagraph">
    <w:name w:val="List Paragraph"/>
    <w:basedOn w:val="Normal"/>
    <w:uiPriority w:val="34"/>
    <w:qFormat/>
    <w:rsid w:val="008C7CD2"/>
    <w:pPr>
      <w:ind w:left="720"/>
      <w:contextualSpacing/>
    </w:pPr>
  </w:style>
  <w:style w:type="paragraph" w:styleId="NoSpacing">
    <w:name w:val="No Spacing"/>
    <w:uiPriority w:val="1"/>
    <w:qFormat/>
    <w:rsid w:val="008C7CD2"/>
  </w:style>
  <w:style w:type="character" w:customStyle="1" w:styleId="TitleChar">
    <w:name w:val="Title Char"/>
    <w:basedOn w:val="DefaultParagraphFont"/>
    <w:link w:val="Title"/>
    <w:uiPriority w:val="10"/>
    <w:rsid w:val="008C7CD2"/>
    <w:rPr>
      <w:sz w:val="48"/>
      <w:szCs w:val="48"/>
    </w:rPr>
  </w:style>
  <w:style w:type="paragraph" w:styleId="Subtitle">
    <w:name w:val="Subtitle"/>
    <w:basedOn w:val="Normal"/>
    <w:next w:val="Normal"/>
    <w:link w:val="SubtitleChar"/>
    <w:rsid w:val="008277B6"/>
    <w:pPr>
      <w:spacing w:before="200" w:after="200"/>
    </w:pPr>
  </w:style>
  <w:style w:type="character" w:customStyle="1" w:styleId="SubtitleChar">
    <w:name w:val="Subtitle Char"/>
    <w:basedOn w:val="DefaultParagraphFont"/>
    <w:link w:val="Subtitle"/>
    <w:uiPriority w:val="11"/>
    <w:rsid w:val="008C7CD2"/>
    <w:rPr>
      <w:sz w:val="24"/>
      <w:szCs w:val="24"/>
    </w:rPr>
  </w:style>
  <w:style w:type="paragraph" w:styleId="Quote">
    <w:name w:val="Quote"/>
    <w:basedOn w:val="Normal"/>
    <w:next w:val="Normal"/>
    <w:link w:val="QuoteChar"/>
    <w:uiPriority w:val="29"/>
    <w:qFormat/>
    <w:rsid w:val="008C7CD2"/>
    <w:pPr>
      <w:ind w:left="720" w:right="720"/>
    </w:pPr>
    <w:rPr>
      <w:i/>
    </w:rPr>
  </w:style>
  <w:style w:type="character" w:customStyle="1" w:styleId="QuoteChar">
    <w:name w:val="Quote Char"/>
    <w:link w:val="Quote"/>
    <w:uiPriority w:val="29"/>
    <w:rsid w:val="008C7CD2"/>
    <w:rPr>
      <w:i/>
    </w:rPr>
  </w:style>
  <w:style w:type="paragraph" w:styleId="IntenseQuote">
    <w:name w:val="Intense Quote"/>
    <w:basedOn w:val="Normal"/>
    <w:next w:val="Normal"/>
    <w:link w:val="IntenseQuoteChar"/>
    <w:uiPriority w:val="30"/>
    <w:qFormat/>
    <w:rsid w:val="008C7CD2"/>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sid w:val="008C7CD2"/>
    <w:rPr>
      <w:i/>
    </w:rPr>
  </w:style>
  <w:style w:type="paragraph" w:styleId="Header">
    <w:name w:val="header"/>
    <w:basedOn w:val="Normal"/>
    <w:link w:val="HeaderChar"/>
    <w:uiPriority w:val="99"/>
    <w:unhideWhenUsed/>
    <w:rsid w:val="008C7CD2"/>
    <w:pPr>
      <w:tabs>
        <w:tab w:val="center" w:pos="7143"/>
        <w:tab w:val="right" w:pos="14287"/>
      </w:tabs>
    </w:pPr>
  </w:style>
  <w:style w:type="character" w:customStyle="1" w:styleId="HeaderChar">
    <w:name w:val="Header Char"/>
    <w:basedOn w:val="DefaultParagraphFont"/>
    <w:link w:val="Header"/>
    <w:uiPriority w:val="99"/>
    <w:rsid w:val="008C7CD2"/>
  </w:style>
  <w:style w:type="paragraph" w:styleId="Footer">
    <w:name w:val="footer"/>
    <w:basedOn w:val="Normal"/>
    <w:link w:val="FooterChar1"/>
    <w:uiPriority w:val="99"/>
    <w:unhideWhenUsed/>
    <w:rsid w:val="008C7CD2"/>
    <w:pPr>
      <w:tabs>
        <w:tab w:val="center" w:pos="7143"/>
        <w:tab w:val="right" w:pos="14287"/>
      </w:tabs>
    </w:pPr>
  </w:style>
  <w:style w:type="character" w:customStyle="1" w:styleId="FooterChar">
    <w:name w:val="Footer Char"/>
    <w:basedOn w:val="DefaultParagraphFont"/>
    <w:uiPriority w:val="99"/>
    <w:rsid w:val="008C7CD2"/>
  </w:style>
  <w:style w:type="paragraph" w:styleId="Caption">
    <w:name w:val="caption"/>
    <w:basedOn w:val="Normal"/>
    <w:next w:val="Normal"/>
    <w:uiPriority w:val="35"/>
    <w:semiHidden/>
    <w:unhideWhenUsed/>
    <w:qFormat/>
    <w:rsid w:val="008C7CD2"/>
    <w:pPr>
      <w:spacing w:line="276" w:lineRule="auto"/>
    </w:pPr>
    <w:rPr>
      <w:b/>
      <w:bCs/>
      <w:color w:val="4F81BD" w:themeColor="accent1"/>
      <w:sz w:val="18"/>
      <w:szCs w:val="18"/>
    </w:rPr>
  </w:style>
  <w:style w:type="character" w:customStyle="1" w:styleId="FooterChar1">
    <w:name w:val="Footer Char1"/>
    <w:link w:val="Footer"/>
    <w:uiPriority w:val="99"/>
    <w:rsid w:val="008C7CD2"/>
  </w:style>
  <w:style w:type="table" w:styleId="TableGrid">
    <w:name w:val="Table Grid"/>
    <w:basedOn w:val="TableNormal"/>
    <w:uiPriority w:val="59"/>
    <w:rsid w:val="008C7C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leNormal"/>
    <w:uiPriority w:val="59"/>
    <w:rsid w:val="008C7CD2"/>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TableNormal"/>
    <w:uiPriority w:val="59"/>
    <w:rsid w:val="008C7CD2"/>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1">
    <w:name w:val="Plain Table 21"/>
    <w:basedOn w:val="TableNormal"/>
    <w:uiPriority w:val="59"/>
    <w:rsid w:val="008C7CD2"/>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TableNormal"/>
    <w:uiPriority w:val="99"/>
    <w:rsid w:val="008C7CD2"/>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1">
    <w:name w:val="Plain Table 41"/>
    <w:basedOn w:val="TableNormal"/>
    <w:uiPriority w:val="99"/>
    <w:rsid w:val="008C7CD2"/>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1">
    <w:name w:val="Plain Table 51"/>
    <w:basedOn w:val="TableNormal"/>
    <w:uiPriority w:val="99"/>
    <w:rsid w:val="008C7CD2"/>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1">
    <w:name w:val="Grid Table 1 Light1"/>
    <w:basedOn w:val="TableNormal"/>
    <w:uiPriority w:val="99"/>
    <w:rsid w:val="008C7CD2"/>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rsid w:val="008C7CD2"/>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TableNormal"/>
    <w:uiPriority w:val="99"/>
    <w:rsid w:val="008C7CD2"/>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TableNormal"/>
    <w:uiPriority w:val="99"/>
    <w:rsid w:val="008C7CD2"/>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TableNormal"/>
    <w:uiPriority w:val="99"/>
    <w:rsid w:val="008C7CD2"/>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TableNormal"/>
    <w:uiPriority w:val="99"/>
    <w:rsid w:val="008C7CD2"/>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TableNormal"/>
    <w:uiPriority w:val="99"/>
    <w:rsid w:val="008C7CD2"/>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1">
    <w:name w:val="Grid Table 21"/>
    <w:basedOn w:val="TableNormal"/>
    <w:uiPriority w:val="99"/>
    <w:rsid w:val="008C7CD2"/>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rsid w:val="008C7CD2"/>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1">
    <w:name w:val="Grid Table 2 - Accent 21"/>
    <w:basedOn w:val="TableNormal"/>
    <w:uiPriority w:val="99"/>
    <w:rsid w:val="008C7CD2"/>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1">
    <w:name w:val="Grid Table 2 - Accent 31"/>
    <w:basedOn w:val="TableNormal"/>
    <w:uiPriority w:val="99"/>
    <w:rsid w:val="008C7CD2"/>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1">
    <w:name w:val="Grid Table 2 - Accent 41"/>
    <w:basedOn w:val="TableNormal"/>
    <w:uiPriority w:val="99"/>
    <w:rsid w:val="008C7CD2"/>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1">
    <w:name w:val="Grid Table 2 - Accent 51"/>
    <w:basedOn w:val="TableNormal"/>
    <w:uiPriority w:val="99"/>
    <w:rsid w:val="008C7CD2"/>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1">
    <w:name w:val="Grid Table 2 - Accent 61"/>
    <w:basedOn w:val="TableNormal"/>
    <w:uiPriority w:val="99"/>
    <w:rsid w:val="008C7CD2"/>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1">
    <w:name w:val="Grid Table 31"/>
    <w:basedOn w:val="TableNormal"/>
    <w:uiPriority w:val="99"/>
    <w:rsid w:val="008C7CD2"/>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rsid w:val="008C7CD2"/>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1">
    <w:name w:val="Grid Table 3 - Accent 21"/>
    <w:basedOn w:val="TableNormal"/>
    <w:uiPriority w:val="99"/>
    <w:rsid w:val="008C7CD2"/>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1">
    <w:name w:val="Grid Table 3 - Accent 31"/>
    <w:basedOn w:val="TableNormal"/>
    <w:uiPriority w:val="99"/>
    <w:rsid w:val="008C7CD2"/>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1">
    <w:name w:val="Grid Table 3 - Accent 41"/>
    <w:basedOn w:val="TableNormal"/>
    <w:uiPriority w:val="99"/>
    <w:rsid w:val="008C7CD2"/>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1">
    <w:name w:val="Grid Table 3 - Accent 51"/>
    <w:basedOn w:val="TableNormal"/>
    <w:uiPriority w:val="99"/>
    <w:rsid w:val="008C7CD2"/>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1">
    <w:name w:val="Grid Table 3 - Accent 61"/>
    <w:basedOn w:val="TableNormal"/>
    <w:uiPriority w:val="99"/>
    <w:rsid w:val="008C7CD2"/>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1">
    <w:name w:val="Grid Table 41"/>
    <w:basedOn w:val="TableNormal"/>
    <w:uiPriority w:val="59"/>
    <w:rsid w:val="008C7CD2"/>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rsid w:val="008C7CD2"/>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1">
    <w:name w:val="Grid Table 4 - Accent 21"/>
    <w:basedOn w:val="TableNormal"/>
    <w:uiPriority w:val="59"/>
    <w:rsid w:val="008C7CD2"/>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1">
    <w:name w:val="Grid Table 4 - Accent 31"/>
    <w:basedOn w:val="TableNormal"/>
    <w:uiPriority w:val="59"/>
    <w:rsid w:val="008C7CD2"/>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1">
    <w:name w:val="Grid Table 4 - Accent 41"/>
    <w:basedOn w:val="TableNormal"/>
    <w:uiPriority w:val="59"/>
    <w:rsid w:val="008C7CD2"/>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1">
    <w:name w:val="Grid Table 4 - Accent 51"/>
    <w:basedOn w:val="TableNormal"/>
    <w:uiPriority w:val="59"/>
    <w:rsid w:val="008C7CD2"/>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1">
    <w:name w:val="Grid Table 4 - Accent 61"/>
    <w:basedOn w:val="TableNormal"/>
    <w:uiPriority w:val="59"/>
    <w:rsid w:val="008C7CD2"/>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1">
    <w:name w:val="Grid Table 5 Dark1"/>
    <w:basedOn w:val="TableNormal"/>
    <w:uiPriority w:val="99"/>
    <w:rsid w:val="008C7CD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rsid w:val="008C7CD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1">
    <w:name w:val="Grid Table 5 Dark - Accent 21"/>
    <w:basedOn w:val="TableNormal"/>
    <w:uiPriority w:val="99"/>
    <w:rsid w:val="008C7CD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1">
    <w:name w:val="Grid Table 5 Dark - Accent 31"/>
    <w:basedOn w:val="TableNormal"/>
    <w:uiPriority w:val="99"/>
    <w:rsid w:val="008C7CD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rsid w:val="008C7CD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1">
    <w:name w:val="Grid Table 5 Dark - Accent 51"/>
    <w:basedOn w:val="TableNormal"/>
    <w:uiPriority w:val="99"/>
    <w:rsid w:val="008C7CD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1">
    <w:name w:val="Grid Table 5 Dark - Accent 61"/>
    <w:basedOn w:val="TableNormal"/>
    <w:uiPriority w:val="99"/>
    <w:rsid w:val="008C7CD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1">
    <w:name w:val="Grid Table 6 Colorful1"/>
    <w:basedOn w:val="TableNormal"/>
    <w:uiPriority w:val="99"/>
    <w:rsid w:val="008C7CD2"/>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rsid w:val="008C7CD2"/>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TableNormal"/>
    <w:uiPriority w:val="99"/>
    <w:rsid w:val="008C7CD2"/>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TableNormal"/>
    <w:uiPriority w:val="99"/>
    <w:rsid w:val="008C7CD2"/>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TableNormal"/>
    <w:uiPriority w:val="99"/>
    <w:rsid w:val="008C7CD2"/>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TableNormal"/>
    <w:uiPriority w:val="99"/>
    <w:rsid w:val="008C7CD2"/>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TableNormal"/>
    <w:uiPriority w:val="99"/>
    <w:rsid w:val="008C7CD2"/>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1">
    <w:name w:val="Grid Table 7 Colorful1"/>
    <w:basedOn w:val="TableNormal"/>
    <w:uiPriority w:val="99"/>
    <w:rsid w:val="008C7CD2"/>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rsid w:val="008C7CD2"/>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TableNormal"/>
    <w:uiPriority w:val="99"/>
    <w:rsid w:val="008C7CD2"/>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TableNormal"/>
    <w:uiPriority w:val="99"/>
    <w:rsid w:val="008C7CD2"/>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TableNormal"/>
    <w:uiPriority w:val="99"/>
    <w:rsid w:val="008C7CD2"/>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TableNormal"/>
    <w:uiPriority w:val="99"/>
    <w:rsid w:val="008C7CD2"/>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TableNormal"/>
    <w:uiPriority w:val="99"/>
    <w:rsid w:val="008C7CD2"/>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1">
    <w:name w:val="List Table 1 Light1"/>
    <w:basedOn w:val="TableNormal"/>
    <w:uiPriority w:val="99"/>
    <w:rsid w:val="008C7CD2"/>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rsid w:val="008C7CD2"/>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1">
    <w:name w:val="List Table 1 Light - Accent 21"/>
    <w:basedOn w:val="TableNormal"/>
    <w:uiPriority w:val="99"/>
    <w:rsid w:val="008C7CD2"/>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1">
    <w:name w:val="List Table 1 Light - Accent 31"/>
    <w:basedOn w:val="TableNormal"/>
    <w:uiPriority w:val="99"/>
    <w:rsid w:val="008C7CD2"/>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1">
    <w:name w:val="List Table 1 Light - Accent 41"/>
    <w:basedOn w:val="TableNormal"/>
    <w:uiPriority w:val="99"/>
    <w:rsid w:val="008C7CD2"/>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1">
    <w:name w:val="List Table 1 Light - Accent 51"/>
    <w:basedOn w:val="TableNormal"/>
    <w:uiPriority w:val="99"/>
    <w:rsid w:val="008C7CD2"/>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1">
    <w:name w:val="List Table 1 Light - Accent 61"/>
    <w:basedOn w:val="TableNormal"/>
    <w:uiPriority w:val="99"/>
    <w:rsid w:val="008C7CD2"/>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1">
    <w:name w:val="List Table 21"/>
    <w:basedOn w:val="TableNormal"/>
    <w:uiPriority w:val="99"/>
    <w:rsid w:val="008C7CD2"/>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rsid w:val="008C7CD2"/>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1">
    <w:name w:val="List Table 2 - Accent 21"/>
    <w:basedOn w:val="TableNormal"/>
    <w:uiPriority w:val="99"/>
    <w:rsid w:val="008C7CD2"/>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1">
    <w:name w:val="List Table 2 - Accent 31"/>
    <w:basedOn w:val="TableNormal"/>
    <w:uiPriority w:val="99"/>
    <w:rsid w:val="008C7CD2"/>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1">
    <w:name w:val="List Table 2 - Accent 41"/>
    <w:basedOn w:val="TableNormal"/>
    <w:uiPriority w:val="99"/>
    <w:rsid w:val="008C7CD2"/>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1">
    <w:name w:val="List Table 2 - Accent 51"/>
    <w:basedOn w:val="TableNormal"/>
    <w:uiPriority w:val="99"/>
    <w:rsid w:val="008C7CD2"/>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1">
    <w:name w:val="List Table 2 - Accent 61"/>
    <w:basedOn w:val="TableNormal"/>
    <w:uiPriority w:val="99"/>
    <w:rsid w:val="008C7CD2"/>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1">
    <w:name w:val="List Table 31"/>
    <w:basedOn w:val="TableNormal"/>
    <w:uiPriority w:val="99"/>
    <w:rsid w:val="008C7CD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rsid w:val="008C7CD2"/>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TableNormal"/>
    <w:uiPriority w:val="99"/>
    <w:rsid w:val="008C7CD2"/>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TableNormal"/>
    <w:uiPriority w:val="99"/>
    <w:rsid w:val="008C7CD2"/>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TableNormal"/>
    <w:uiPriority w:val="99"/>
    <w:rsid w:val="008C7CD2"/>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TableNormal"/>
    <w:uiPriority w:val="99"/>
    <w:rsid w:val="008C7CD2"/>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TableNormal"/>
    <w:uiPriority w:val="99"/>
    <w:rsid w:val="008C7CD2"/>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1">
    <w:name w:val="List Table 41"/>
    <w:basedOn w:val="TableNormal"/>
    <w:uiPriority w:val="99"/>
    <w:rsid w:val="008C7CD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rsid w:val="008C7CD2"/>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1">
    <w:name w:val="List Table 4 - Accent 21"/>
    <w:basedOn w:val="TableNormal"/>
    <w:uiPriority w:val="99"/>
    <w:rsid w:val="008C7CD2"/>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1">
    <w:name w:val="List Table 4 - Accent 31"/>
    <w:basedOn w:val="TableNormal"/>
    <w:uiPriority w:val="99"/>
    <w:rsid w:val="008C7CD2"/>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1">
    <w:name w:val="List Table 4 - Accent 41"/>
    <w:basedOn w:val="TableNormal"/>
    <w:uiPriority w:val="99"/>
    <w:rsid w:val="008C7CD2"/>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1">
    <w:name w:val="List Table 4 - Accent 51"/>
    <w:basedOn w:val="TableNormal"/>
    <w:uiPriority w:val="99"/>
    <w:rsid w:val="008C7CD2"/>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1">
    <w:name w:val="List Table 4 - Accent 61"/>
    <w:basedOn w:val="TableNormal"/>
    <w:uiPriority w:val="99"/>
    <w:rsid w:val="008C7CD2"/>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1">
    <w:name w:val="List Table 5 Dark1"/>
    <w:basedOn w:val="TableNormal"/>
    <w:uiPriority w:val="99"/>
    <w:rsid w:val="008C7CD2"/>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rsid w:val="008C7CD2"/>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1">
    <w:name w:val="List Table 5 Dark - Accent 21"/>
    <w:basedOn w:val="TableNormal"/>
    <w:uiPriority w:val="99"/>
    <w:rsid w:val="008C7CD2"/>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1">
    <w:name w:val="List Table 5 Dark - Accent 31"/>
    <w:basedOn w:val="TableNormal"/>
    <w:uiPriority w:val="99"/>
    <w:rsid w:val="008C7CD2"/>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1">
    <w:name w:val="List Table 5 Dark - Accent 41"/>
    <w:basedOn w:val="TableNormal"/>
    <w:uiPriority w:val="99"/>
    <w:rsid w:val="008C7CD2"/>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1">
    <w:name w:val="List Table 5 Dark - Accent 51"/>
    <w:basedOn w:val="TableNormal"/>
    <w:uiPriority w:val="99"/>
    <w:rsid w:val="008C7CD2"/>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1">
    <w:name w:val="List Table 5 Dark - Accent 61"/>
    <w:basedOn w:val="TableNormal"/>
    <w:uiPriority w:val="99"/>
    <w:rsid w:val="008C7CD2"/>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1">
    <w:name w:val="List Table 6 Colorful1"/>
    <w:basedOn w:val="TableNormal"/>
    <w:uiPriority w:val="99"/>
    <w:rsid w:val="008C7CD2"/>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rsid w:val="008C7CD2"/>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TableNormal"/>
    <w:uiPriority w:val="99"/>
    <w:rsid w:val="008C7CD2"/>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TableNormal"/>
    <w:uiPriority w:val="99"/>
    <w:rsid w:val="008C7CD2"/>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TableNormal"/>
    <w:uiPriority w:val="99"/>
    <w:rsid w:val="008C7CD2"/>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TableNormal"/>
    <w:uiPriority w:val="99"/>
    <w:rsid w:val="008C7CD2"/>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TableNormal"/>
    <w:uiPriority w:val="99"/>
    <w:rsid w:val="008C7CD2"/>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1">
    <w:name w:val="List Table 7 Colorful1"/>
    <w:basedOn w:val="TableNormal"/>
    <w:uiPriority w:val="99"/>
    <w:rsid w:val="008C7CD2"/>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rsid w:val="008C7CD2"/>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TableNormal"/>
    <w:uiPriority w:val="99"/>
    <w:rsid w:val="008C7CD2"/>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TableNormal"/>
    <w:uiPriority w:val="99"/>
    <w:rsid w:val="008C7CD2"/>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TableNormal"/>
    <w:uiPriority w:val="99"/>
    <w:rsid w:val="008C7CD2"/>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TableNormal"/>
    <w:uiPriority w:val="99"/>
    <w:rsid w:val="008C7CD2"/>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TableNormal"/>
    <w:uiPriority w:val="99"/>
    <w:rsid w:val="008C7CD2"/>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rsid w:val="008C7CD2"/>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sid w:val="008C7CD2"/>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rsid w:val="008C7CD2"/>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rsid w:val="008C7CD2"/>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rsid w:val="008C7CD2"/>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rsid w:val="008C7CD2"/>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rsid w:val="008C7CD2"/>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rsid w:val="008C7CD2"/>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sid w:val="008C7CD2"/>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rsid w:val="008C7CD2"/>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rsid w:val="008C7CD2"/>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rsid w:val="008C7CD2"/>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rsid w:val="008C7CD2"/>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rsid w:val="008C7CD2"/>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rsid w:val="008C7CD2"/>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rsid w:val="008C7CD2"/>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rsid w:val="008C7CD2"/>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rsid w:val="008C7CD2"/>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rsid w:val="008C7CD2"/>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rsid w:val="008C7CD2"/>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rsid w:val="008C7CD2"/>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FootnoteText">
    <w:name w:val="footnote text"/>
    <w:basedOn w:val="Normal"/>
    <w:link w:val="FootnoteTextChar"/>
    <w:uiPriority w:val="99"/>
    <w:unhideWhenUsed/>
    <w:rsid w:val="008C7CD2"/>
    <w:pPr>
      <w:spacing w:after="40"/>
    </w:pPr>
    <w:rPr>
      <w:sz w:val="18"/>
    </w:rPr>
  </w:style>
  <w:style w:type="character" w:customStyle="1" w:styleId="FootnoteTextChar">
    <w:name w:val="Footnote Text Char"/>
    <w:link w:val="FootnoteText"/>
    <w:uiPriority w:val="99"/>
    <w:rsid w:val="008C7CD2"/>
    <w:rPr>
      <w:sz w:val="18"/>
    </w:rPr>
  </w:style>
  <w:style w:type="character" w:styleId="FootnoteReference">
    <w:name w:val="footnote reference"/>
    <w:basedOn w:val="DefaultParagraphFont"/>
    <w:uiPriority w:val="99"/>
    <w:unhideWhenUsed/>
    <w:rsid w:val="008C7CD2"/>
    <w:rPr>
      <w:vertAlign w:val="superscript"/>
    </w:rPr>
  </w:style>
  <w:style w:type="paragraph" w:styleId="EndnoteText">
    <w:name w:val="endnote text"/>
    <w:basedOn w:val="Normal"/>
    <w:link w:val="EndnoteTextChar"/>
    <w:uiPriority w:val="99"/>
    <w:semiHidden/>
    <w:unhideWhenUsed/>
    <w:rsid w:val="008C7CD2"/>
    <w:rPr>
      <w:sz w:val="20"/>
    </w:rPr>
  </w:style>
  <w:style w:type="character" w:customStyle="1" w:styleId="EndnoteTextChar">
    <w:name w:val="Endnote Text Char"/>
    <w:link w:val="EndnoteText"/>
    <w:uiPriority w:val="99"/>
    <w:rsid w:val="008C7CD2"/>
    <w:rPr>
      <w:sz w:val="20"/>
    </w:rPr>
  </w:style>
  <w:style w:type="character" w:styleId="EndnoteReference">
    <w:name w:val="endnote reference"/>
    <w:basedOn w:val="DefaultParagraphFont"/>
    <w:uiPriority w:val="99"/>
    <w:semiHidden/>
    <w:unhideWhenUsed/>
    <w:rsid w:val="008C7CD2"/>
    <w:rPr>
      <w:vertAlign w:val="superscript"/>
    </w:rPr>
  </w:style>
  <w:style w:type="paragraph" w:styleId="TOC1">
    <w:name w:val="toc 1"/>
    <w:basedOn w:val="Normal"/>
    <w:next w:val="Normal"/>
    <w:uiPriority w:val="39"/>
    <w:unhideWhenUsed/>
    <w:rsid w:val="008C7CD2"/>
    <w:pPr>
      <w:spacing w:after="57"/>
    </w:pPr>
  </w:style>
  <w:style w:type="paragraph" w:styleId="TOC2">
    <w:name w:val="toc 2"/>
    <w:basedOn w:val="Normal"/>
    <w:next w:val="Normal"/>
    <w:uiPriority w:val="39"/>
    <w:unhideWhenUsed/>
    <w:rsid w:val="008C7CD2"/>
    <w:pPr>
      <w:spacing w:after="57"/>
      <w:ind w:left="283"/>
    </w:pPr>
  </w:style>
  <w:style w:type="paragraph" w:styleId="TOC3">
    <w:name w:val="toc 3"/>
    <w:basedOn w:val="Normal"/>
    <w:next w:val="Normal"/>
    <w:uiPriority w:val="39"/>
    <w:unhideWhenUsed/>
    <w:rsid w:val="008C7CD2"/>
    <w:pPr>
      <w:spacing w:after="57"/>
      <w:ind w:left="567"/>
    </w:pPr>
  </w:style>
  <w:style w:type="paragraph" w:styleId="TOC4">
    <w:name w:val="toc 4"/>
    <w:basedOn w:val="Normal"/>
    <w:next w:val="Normal"/>
    <w:uiPriority w:val="39"/>
    <w:unhideWhenUsed/>
    <w:rsid w:val="008C7CD2"/>
    <w:pPr>
      <w:spacing w:after="57"/>
      <w:ind w:left="850"/>
    </w:pPr>
  </w:style>
  <w:style w:type="paragraph" w:styleId="TOC5">
    <w:name w:val="toc 5"/>
    <w:basedOn w:val="Normal"/>
    <w:next w:val="Normal"/>
    <w:uiPriority w:val="39"/>
    <w:unhideWhenUsed/>
    <w:rsid w:val="008C7CD2"/>
    <w:pPr>
      <w:spacing w:after="57"/>
      <w:ind w:left="1134"/>
    </w:pPr>
  </w:style>
  <w:style w:type="paragraph" w:styleId="TOC6">
    <w:name w:val="toc 6"/>
    <w:basedOn w:val="Normal"/>
    <w:next w:val="Normal"/>
    <w:uiPriority w:val="39"/>
    <w:unhideWhenUsed/>
    <w:rsid w:val="008C7CD2"/>
    <w:pPr>
      <w:spacing w:after="57"/>
      <w:ind w:left="1417"/>
    </w:pPr>
  </w:style>
  <w:style w:type="paragraph" w:styleId="TOC7">
    <w:name w:val="toc 7"/>
    <w:basedOn w:val="Normal"/>
    <w:next w:val="Normal"/>
    <w:uiPriority w:val="39"/>
    <w:unhideWhenUsed/>
    <w:rsid w:val="008C7CD2"/>
    <w:pPr>
      <w:spacing w:after="57"/>
      <w:ind w:left="1701"/>
    </w:pPr>
  </w:style>
  <w:style w:type="paragraph" w:styleId="TOC8">
    <w:name w:val="toc 8"/>
    <w:basedOn w:val="Normal"/>
    <w:next w:val="Normal"/>
    <w:uiPriority w:val="39"/>
    <w:unhideWhenUsed/>
    <w:rsid w:val="008C7CD2"/>
    <w:pPr>
      <w:spacing w:after="57"/>
      <w:ind w:left="1984"/>
    </w:pPr>
  </w:style>
  <w:style w:type="paragraph" w:styleId="TOC9">
    <w:name w:val="toc 9"/>
    <w:basedOn w:val="Normal"/>
    <w:next w:val="Normal"/>
    <w:uiPriority w:val="39"/>
    <w:unhideWhenUsed/>
    <w:rsid w:val="008C7CD2"/>
    <w:pPr>
      <w:spacing w:after="57"/>
      <w:ind w:left="2268"/>
    </w:pPr>
  </w:style>
  <w:style w:type="paragraph" w:styleId="TOCHeading">
    <w:name w:val="TOC Heading"/>
    <w:uiPriority w:val="39"/>
    <w:unhideWhenUsed/>
    <w:rsid w:val="008C7CD2"/>
  </w:style>
  <w:style w:type="paragraph" w:styleId="TableofFigures">
    <w:name w:val="table of figures"/>
    <w:basedOn w:val="Normal"/>
    <w:next w:val="Normal"/>
    <w:uiPriority w:val="99"/>
    <w:unhideWhenUsed/>
    <w:rsid w:val="008C7CD2"/>
  </w:style>
  <w:style w:type="character" w:styleId="Hyperlink">
    <w:name w:val="Hyperlink"/>
    <w:rsid w:val="008C7CD2"/>
    <w:rPr>
      <w:u w:val="single"/>
    </w:rPr>
  </w:style>
  <w:style w:type="paragraph" w:customStyle="1" w:styleId="CabealhoeRodap">
    <w:name w:val="Cabeçalho e Rodapé"/>
    <w:rsid w:val="008C7CD2"/>
    <w:pPr>
      <w:tabs>
        <w:tab w:val="right" w:pos="9020"/>
      </w:tabs>
    </w:pPr>
    <w:rPr>
      <w:rFonts w:ascii="Helvetica Neue" w:hAnsi="Helvetica Neue" w:cs="Arial Unicode MS"/>
      <w:color w:val="000000"/>
    </w:rPr>
  </w:style>
  <w:style w:type="paragraph" w:customStyle="1" w:styleId="Corpo">
    <w:name w:val="Corpo"/>
    <w:rsid w:val="008C7CD2"/>
    <w:pPr>
      <w:spacing w:line="276" w:lineRule="auto"/>
    </w:pPr>
    <w:rPr>
      <w:rFonts w:ascii="Arial" w:hAnsi="Arial" w:cs="Arial Unicode MS"/>
      <w:color w:val="000000"/>
      <w:sz w:val="22"/>
      <w:szCs w:val="22"/>
    </w:rPr>
  </w:style>
  <w:style w:type="paragraph" w:customStyle="1" w:styleId="Cabealho1">
    <w:name w:val="Cabeçalho1"/>
    <w:rsid w:val="008C7CD2"/>
    <w:pPr>
      <w:keepNext/>
      <w:keepLines/>
      <w:spacing w:line="360" w:lineRule="auto"/>
      <w:outlineLvl w:val="0"/>
    </w:pPr>
    <w:rPr>
      <w:rFonts w:cs="Arial Unicode MS"/>
      <w:b/>
      <w:bCs/>
      <w:color w:val="000000"/>
    </w:rPr>
  </w:style>
  <w:style w:type="paragraph" w:customStyle="1" w:styleId="Padro">
    <w:name w:val="Padrão"/>
    <w:rsid w:val="008C7CD2"/>
    <w:pPr>
      <w:spacing w:before="160" w:line="288" w:lineRule="auto"/>
    </w:pPr>
    <w:rPr>
      <w:rFonts w:ascii="Helvetica Neue" w:eastAsia="Helvetica Neue" w:hAnsi="Helvetica Neue" w:cs="Helvetica Neue"/>
      <w:color w:val="000000"/>
    </w:rPr>
  </w:style>
  <w:style w:type="numbering" w:customStyle="1" w:styleId="EstiloImportado1">
    <w:name w:val="Estilo Importado 1"/>
    <w:rsid w:val="008C7CD2"/>
  </w:style>
  <w:style w:type="character" w:customStyle="1" w:styleId="Nenhum">
    <w:name w:val="Nenhum"/>
    <w:rsid w:val="008C7CD2"/>
  </w:style>
  <w:style w:type="character" w:customStyle="1" w:styleId="Hyperlink0">
    <w:name w:val="Hyperlink.0"/>
    <w:basedOn w:val="Nenhum"/>
    <w:rsid w:val="008C7CD2"/>
    <w:rPr>
      <w:rFonts w:ascii="Times New Roman" w:eastAsia="Times New Roman" w:hAnsi="Times New Roman" w:cs="Times New Roman"/>
      <w:color w:val="1155CC"/>
      <w:sz w:val="20"/>
      <w:szCs w:val="20"/>
      <w:u w:val="single"/>
    </w:rPr>
  </w:style>
  <w:style w:type="character" w:customStyle="1" w:styleId="Hyperlink1">
    <w:name w:val="Hyperlink.1"/>
    <w:basedOn w:val="Nenhum"/>
    <w:rsid w:val="008C7CD2"/>
    <w:rPr>
      <w:rFonts w:ascii="Times New Roman" w:eastAsia="Times New Roman" w:hAnsi="Times New Roman" w:cs="Times New Roman"/>
      <w:color w:val="1155CC"/>
      <w:sz w:val="20"/>
      <w:szCs w:val="20"/>
      <w:u w:val="single"/>
      <w:shd w:val="clear" w:color="auto" w:fill="FFFFFF"/>
    </w:rPr>
  </w:style>
  <w:style w:type="character" w:customStyle="1" w:styleId="Hyperlink2">
    <w:name w:val="Hyperlink.2"/>
    <w:basedOn w:val="Nenhum"/>
    <w:rsid w:val="008C7CD2"/>
    <w:rPr>
      <w:color w:val="000000"/>
      <w:shd w:val="clear" w:color="auto" w:fill="FFFFFF"/>
    </w:rPr>
  </w:style>
  <w:style w:type="character" w:customStyle="1" w:styleId="Hyperlink3">
    <w:name w:val="Hyperlink.3"/>
    <w:basedOn w:val="Nenhum"/>
    <w:rsid w:val="008C7CD2"/>
  </w:style>
  <w:style w:type="character" w:customStyle="1" w:styleId="Hyperlink4">
    <w:name w:val="Hyperlink.4"/>
    <w:basedOn w:val="Nenhum"/>
    <w:rsid w:val="008C7CD2"/>
    <w:rPr>
      <w:rFonts w:ascii="Times New Roman" w:eastAsia="Times New Roman" w:hAnsi="Times New Roman" w:cs="Times New Roman"/>
      <w:b/>
      <w:bCs/>
      <w:color w:val="222222"/>
      <w:shd w:val="clear" w:color="auto" w:fill="FFFFFF"/>
    </w:rPr>
  </w:style>
  <w:style w:type="paragraph" w:customStyle="1" w:styleId="Cabealho2">
    <w:name w:val="Cabeçalho 2"/>
    <w:rsid w:val="008C7CD2"/>
    <w:pPr>
      <w:keepNext/>
      <w:keepLines/>
      <w:spacing w:line="360" w:lineRule="auto"/>
      <w:ind w:left="720" w:hanging="360"/>
      <w:outlineLvl w:val="1"/>
    </w:pPr>
    <w:rPr>
      <w:rFonts w:cs="Arial Unicode MS"/>
      <w:color w:val="000000"/>
      <w:lang w:val="pt-PT"/>
    </w:rPr>
  </w:style>
  <w:style w:type="character" w:customStyle="1" w:styleId="Hyperlink5">
    <w:name w:val="Hyperlink.5"/>
    <w:basedOn w:val="Nenhum"/>
    <w:rsid w:val="008C7CD2"/>
    <w:rPr>
      <w:rFonts w:ascii="Times New Roman" w:eastAsia="Times New Roman" w:hAnsi="Times New Roman" w:cs="Times New Roman"/>
      <w:color w:val="1155CC"/>
      <w:sz w:val="20"/>
      <w:szCs w:val="20"/>
      <w:u w:val="single"/>
      <w:lang w:val="pt-PT"/>
    </w:rPr>
  </w:style>
  <w:style w:type="paragraph" w:styleId="CommentText">
    <w:name w:val="annotation text"/>
    <w:basedOn w:val="Normal"/>
    <w:link w:val="CommentTextChar"/>
    <w:uiPriority w:val="99"/>
    <w:unhideWhenUsed/>
    <w:rsid w:val="008C7CD2"/>
  </w:style>
  <w:style w:type="character" w:customStyle="1" w:styleId="CommentTextChar">
    <w:name w:val="Comment Text Char"/>
    <w:basedOn w:val="DefaultParagraphFont"/>
    <w:link w:val="CommentText"/>
    <w:uiPriority w:val="99"/>
    <w:rsid w:val="008C7CD2"/>
    <w:rPr>
      <w:sz w:val="24"/>
      <w:szCs w:val="24"/>
    </w:rPr>
  </w:style>
  <w:style w:type="character" w:styleId="CommentReference">
    <w:name w:val="annotation reference"/>
    <w:basedOn w:val="DefaultParagraphFont"/>
    <w:uiPriority w:val="99"/>
    <w:semiHidden/>
    <w:unhideWhenUsed/>
    <w:rsid w:val="008C7CD2"/>
    <w:rPr>
      <w:sz w:val="18"/>
      <w:szCs w:val="18"/>
    </w:rPr>
  </w:style>
  <w:style w:type="paragraph" w:styleId="BalloonText">
    <w:name w:val="Balloon Text"/>
    <w:basedOn w:val="Normal"/>
    <w:link w:val="BalloonTextChar"/>
    <w:uiPriority w:val="99"/>
    <w:semiHidden/>
    <w:unhideWhenUsed/>
    <w:rsid w:val="008C7C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C7CD2"/>
    <w:rPr>
      <w:rFonts w:ascii="Lucida Grande"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8C7CD2"/>
    <w:rPr>
      <w:b/>
      <w:bCs/>
      <w:sz w:val="20"/>
      <w:szCs w:val="20"/>
    </w:rPr>
  </w:style>
  <w:style w:type="character" w:customStyle="1" w:styleId="CommentSubjectChar">
    <w:name w:val="Comment Subject Char"/>
    <w:basedOn w:val="CommentTextChar"/>
    <w:link w:val="CommentSubject"/>
    <w:uiPriority w:val="99"/>
    <w:semiHidden/>
    <w:rsid w:val="008C7CD2"/>
    <w:rPr>
      <w:b/>
      <w:bCs/>
      <w:sz w:val="24"/>
      <w:szCs w:val="24"/>
    </w:rPr>
  </w:style>
  <w:style w:type="paragraph" w:styleId="Revision">
    <w:name w:val="Revision"/>
    <w:hidden/>
    <w:uiPriority w:val="99"/>
    <w:semiHidden/>
    <w:rsid w:val="008C7CD2"/>
  </w:style>
  <w:style w:type="character" w:styleId="Strong">
    <w:name w:val="Strong"/>
    <w:basedOn w:val="DefaultParagraphFont"/>
    <w:uiPriority w:val="22"/>
    <w:qFormat/>
    <w:rsid w:val="008C7CD2"/>
    <w:rPr>
      <w:b/>
      <w:bCs/>
    </w:rPr>
  </w:style>
  <w:style w:type="character" w:customStyle="1" w:styleId="fontstyle01">
    <w:name w:val="fontstyle01"/>
    <w:basedOn w:val="DefaultParagraphFont"/>
    <w:rsid w:val="000F52A3"/>
    <w:rPr>
      <w:rFonts w:ascii="MinionPro-Bold" w:hAnsi="MinionPro-Bold" w:hint="default"/>
      <w:b/>
      <w:bCs/>
      <w:i w:val="0"/>
      <w:iCs w:val="0"/>
      <w:color w:val="242021"/>
      <w:sz w:val="20"/>
      <w:szCs w:val="20"/>
    </w:rPr>
  </w:style>
  <w:style w:type="table" w:customStyle="1" w:styleId="a">
    <w:basedOn w:val="TableNormal"/>
    <w:rsid w:val="008C7CD2"/>
    <w:tblPr>
      <w:tblStyleRowBandSize w:val="1"/>
      <w:tblStyleColBandSize w:val="1"/>
      <w:tblCellMar>
        <w:top w:w="100" w:type="dxa"/>
        <w:left w:w="100" w:type="dxa"/>
        <w:bottom w:w="100" w:type="dxa"/>
        <w:right w:w="100" w:type="dxa"/>
      </w:tblCellMar>
    </w:tblPr>
  </w:style>
  <w:style w:type="table" w:customStyle="1" w:styleId="a0">
    <w:basedOn w:val="TableNormal"/>
    <w:rsid w:val="008C7CD2"/>
    <w:tblPr>
      <w:tblStyleRowBandSize w:val="1"/>
      <w:tblStyleColBandSize w:val="1"/>
      <w:tblCellMar>
        <w:top w:w="100" w:type="dxa"/>
        <w:left w:w="100" w:type="dxa"/>
        <w:bottom w:w="100" w:type="dxa"/>
        <w:right w:w="100" w:type="dxa"/>
      </w:tblCellMar>
    </w:tblPr>
  </w:style>
  <w:style w:type="table" w:customStyle="1" w:styleId="a1">
    <w:basedOn w:val="TableNormal"/>
    <w:rsid w:val="008C7CD2"/>
    <w:tblPr>
      <w:tblStyleRowBandSize w:val="1"/>
      <w:tblStyleColBandSize w:val="1"/>
      <w:tblCellMar>
        <w:top w:w="100" w:type="dxa"/>
        <w:left w:w="100" w:type="dxa"/>
        <w:bottom w:w="100" w:type="dxa"/>
        <w:right w:w="100" w:type="dxa"/>
      </w:tblCellMar>
    </w:tblPr>
  </w:style>
  <w:style w:type="table" w:customStyle="1" w:styleId="a2">
    <w:basedOn w:val="TableNormal"/>
    <w:rsid w:val="008C7CD2"/>
    <w:tblPr>
      <w:tblStyleRowBandSize w:val="1"/>
      <w:tblStyleColBandSize w:val="1"/>
      <w:tblCellMar>
        <w:top w:w="100" w:type="dxa"/>
        <w:left w:w="100" w:type="dxa"/>
        <w:bottom w:w="100" w:type="dxa"/>
        <w:right w:w="100" w:type="dxa"/>
      </w:tblCellMar>
    </w:tblPr>
  </w:style>
  <w:style w:type="table" w:customStyle="1" w:styleId="a3">
    <w:basedOn w:val="TableNormal"/>
    <w:rsid w:val="008C7CD2"/>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extra.globo.com/casos-de-policia/vitima-de-intolerancia-religiosa-menina-de-11-anos-apedrejada-na-cabeca-apos-festa-de-candomble-16456208.html" TargetMode="External"/><Relationship Id="rId18" Type="http://schemas.openxmlformats.org/officeDocument/2006/relationships/hyperlink" Target="https://www.cartacapital.com.br/politica/bolsonaro-repete-ofensa-que-fez-contra-negros-e-quilombolas-tu-pesa-mais-de-7-arrobas-ne/" TargetMode="External"/><Relationship Id="rId26" Type="http://schemas.openxmlformats.org/officeDocument/2006/relationships/hyperlink" Target="https://sul21.com.br/noticias/saude/2022/09/ministerio-da-saude-refaz-cartilha-sobre-aborto-mas-segue-em-desacordo-com-a-oms/" TargetMode="External"/><Relationship Id="rId39" Type="http://schemas.openxmlformats.org/officeDocument/2006/relationships/hyperlink" Target="https://www12.senado.leg.br/noticias/materias/2022/02/24/relatorio-da-cdh-sobre-morte-de-moise-kabagambe-no-rj-cobra-autoridades-locais" TargetMode="External"/><Relationship Id="rId21" Type="http://schemas.openxmlformats.org/officeDocument/2006/relationships/hyperlink" Target="https://www.abrasco.org.br/site/noticias/8m-mulheres-negras-sofrem-mais-violencia-obstetrica/45463/" TargetMode="External"/><Relationship Id="rId34" Type="http://schemas.openxmlformats.org/officeDocument/2006/relationships/hyperlink" Target="https://bvsms.saude.gov.br/bvs/publicacoes/politica_nacional_saude_populacao_negra_3d.pdf" TargetMode="External"/><Relationship Id="rId42" Type="http://schemas.openxmlformats.org/officeDocument/2006/relationships/hyperlink" Target="https://gauchazh.clicrbs.com.br/seguranca/noticia/2021/09/policia-civil-indicia-freiras-por-maus-tratos-racismo-e-tortura-de-idosas-em-lar-de-santa-maria-cku44k7kd0028019ms5s5tui6.html" TargetMode="External"/><Relationship Id="rId47" Type="http://schemas.openxmlformats.org/officeDocument/2006/relationships/hyperlink" Target="https://drive.google.com/file/d/1AkyuPO6Sfit8XpTWWqOUrc_Bp7aFY7av/view" TargetMode="External"/><Relationship Id="rId50" Type="http://schemas.openxmlformats.org/officeDocument/2006/relationships/hyperlink" Target="https://conectas.org/wp-content/uploads/2018/05/infopenmulheres_arte_07-03-18-1.pdf" TargetMode="External"/><Relationship Id="rId55" Type="http://schemas.openxmlformats.org/officeDocument/2006/relationships/hyperlink" Target="https://drive.google.com/file/d/1AkyuPO6Sfit8XpTWWqOUrc_Bp7aFY7av/view" TargetMode="External"/><Relationship Id="rId63" Type="http://schemas.openxmlformats.org/officeDocument/2006/relationships/hyperlink" Target="https://canalcienciascriminais.com.br/para-cidh-brasil-viola-direitos-humanos-no-sistema-prisional/" TargetMode="External"/><Relationship Id="rId68" Type="http://schemas.openxmlformats.org/officeDocument/2006/relationships/hyperlink" Target="https://extra.globo.com/casos-de-policia/pesquisa-da-anistia-internacional-mostra-que-maioria-dos-autos-de-resistencia-contra-homens-negros-fica-sem-solucao-17060150.html" TargetMode="External"/><Relationship Id="rId76" Type="http://schemas.openxmlformats.org/officeDocument/2006/relationships/hyperlink" Target="https://diariodorio.com/numero-de-pessoas-que-vivem-em-favelas-no-rio-equivale-a-20-maracanas-lotados-diz-instituto-rio21/" TargetMode="External"/><Relationship Id="rId7" Type="http://schemas.openxmlformats.org/officeDocument/2006/relationships/hyperlink" Target="https://noticias.uol.com.br/colunas/leonardo-sakamoto/2023/03/07/ministerio-diz-que-95-dos-escravizados-do-vinho-sao-negros-e-93-baianos.htm" TargetMode="External"/><Relationship Id="rId71" Type="http://schemas.openxmlformats.org/officeDocument/2006/relationships/hyperlink" Target="https://g1.globo.com/se/sergipe/noticia/2022/05/26/homem-morto-em-abordagem-da-prf-em-sergipe-o-que-se-sabe-e-o-que-falta-esclarecer.ghtml" TargetMode="External"/><Relationship Id="rId2" Type="http://schemas.openxmlformats.org/officeDocument/2006/relationships/hyperlink" Target="https://veja.abril.com.br/politica/maioria-das-recomendacoes-da-comissao-nacional-da-verdade-segue-no-papel/" TargetMode="External"/><Relationship Id="rId16" Type="http://schemas.openxmlformats.org/officeDocument/2006/relationships/hyperlink" Target="https://unesdoc.unesco.org/ark:/48223/pf0000384250" TargetMode="External"/><Relationship Id="rId29" Type="http://schemas.openxmlformats.org/officeDocument/2006/relationships/hyperlink" Target="https://mundonegro.inf.br/crianca-nao-e-mae-meninas-negras-sao-as-gestantes-em-75-dos-casos-de-gravidez-antes-dos-14-anos/" TargetMode="External"/><Relationship Id="rId11" Type="http://schemas.openxmlformats.org/officeDocument/2006/relationships/hyperlink" Target="https://exame.com/brasil/deixa-a-molecada-trabalhar-diz-bolsonaro-ao-defender-trabalho-infantil/" TargetMode="External"/><Relationship Id="rId24" Type="http://schemas.openxmlformats.org/officeDocument/2006/relationships/hyperlink" Target="https://noticias.uol.com.br/saude/ultimas-noticias/redacao/2018/06/29/o-poder-do-estado-sobre-os-direitos-reprodutivos-no-brasil.htm" TargetMode="External"/><Relationship Id="rId32" Type="http://schemas.openxmlformats.org/officeDocument/2006/relationships/hyperlink" Target="https://theintercept.com/2022/07/06/aborto-menina-de-sc-promotora-manda-buscar-feto/" TargetMode="External"/><Relationship Id="rId37" Type="http://schemas.openxmlformats.org/officeDocument/2006/relationships/hyperlink" Target="https://gauchazh.clicrbs.com.br/seguranca/noticia/2022/12/nao-era-um-caso-isolado-houve-uma-escalada-da-violencia-diz-delegado-sobre-suspeita-de-tortura-dentro-de-supermercado-em-canoas-clbpc97f20041013ceprs6g6j.html" TargetMode="External"/><Relationship Id="rId40" Type="http://schemas.openxmlformats.org/officeDocument/2006/relationships/hyperlink" Target="https://www.metropoles.com/brasil/vi-a-morte-diz-jovem-espancado-e-marcado-a-ferro-por-patrao-na-ba" TargetMode="External"/><Relationship Id="rId45" Type="http://schemas.openxmlformats.org/officeDocument/2006/relationships/hyperlink" Target="https://periodicos.ufba.br/index.php/revistaperiodicus/article/view/28020/17143" TargetMode="External"/><Relationship Id="rId53" Type="http://schemas.openxmlformats.org/officeDocument/2006/relationships/hyperlink" Target="https://conectas.org/wp-content/uploads/2018/05/infopenmulheres_arte_07-03-18-1.pdf" TargetMode="External"/><Relationship Id="rId58" Type="http://schemas.openxmlformats.org/officeDocument/2006/relationships/hyperlink" Target="https://drive.google.com/file/d/1AkyuPO6Sfit8XpTWWqOUrc_Bp7aFY7av/view" TargetMode="External"/><Relationship Id="rId66" Type="http://schemas.openxmlformats.org/officeDocument/2006/relationships/hyperlink" Target="https://forumseguranca.org.br/wp-content/uploads/2022/07/23-anuario-2022-a-queda-das-internacoes-de-adolescentes-a-quem-se-atribui-ato-infracional.pdf" TargetMode="External"/><Relationship Id="rId74" Type="http://schemas.openxmlformats.org/officeDocument/2006/relationships/hyperlink" Target="https://www.cnj.jus.br/wp-content/uploads/2022/02/sumario-executivo-favela-nova-brasilia-v8-2022-02-21.pdf" TargetMode="External"/><Relationship Id="rId79" Type="http://schemas.openxmlformats.org/officeDocument/2006/relationships/hyperlink" Target="https://www.conectas.org/publicacao/julgando-tortura/" TargetMode="External"/><Relationship Id="rId5" Type="http://schemas.openxmlformats.org/officeDocument/2006/relationships/hyperlink" Target="https://plataformarpu.org.br/storage/publications_documents/EfrkBCBQ8IF1CKSyP9gwX2vIJo0RO6kpz9YSC7Am.pdf" TargetMode="External"/><Relationship Id="rId61" Type="http://schemas.openxmlformats.org/officeDocument/2006/relationships/hyperlink" Target="http://www.global.org.br/blog/brasil-e-denunciado-na-cidh-por-violencia-e-superlotacao-em-presidios-e-no-sistema-socioeducativo/" TargetMode="External"/><Relationship Id="rId10" Type="http://schemas.openxmlformats.org/officeDocument/2006/relationships/hyperlink" Target="https://biblioteca.ibge.gov.br/index.php/biblioteca-catalogo?view=detalhes&amp;id=2101777" TargetMode="External"/><Relationship Id="rId19" Type="http://schemas.openxmlformats.org/officeDocument/2006/relationships/hyperlink" Target="https://deolhonosruralistas.com.br/2022/04/25/quilombolas-sao-as-principais-vitimas-de-humilhacao-no-campo-aponta-cpt/" TargetMode="External"/><Relationship Id="rId31" Type="http://schemas.openxmlformats.org/officeDocument/2006/relationships/hyperlink" Target="https://www.correiodopovo.com.br/not%C3%ADcias/pol%C3%ADtica/minist%C3%A9rio-da-mulher-pede-apura%C3%A7%C3%A3o-sobre-aborto-legal-em-menina-de-11-anos-em-sc-1.856793" TargetMode="External"/><Relationship Id="rId44" Type="http://schemas.openxmlformats.org/officeDocument/2006/relationships/hyperlink" Target="https://forumseguranca.org.br/wp-content/uploads/2022/07/08-anuario-2022-lutas-por-reconhecimento-e-os-indicadores-de-racismo-e-lgbtfobia-no-brasil-de-2021.pdf" TargetMode="External"/><Relationship Id="rId52" Type="http://schemas.openxmlformats.org/officeDocument/2006/relationships/hyperlink" Target="https://portalbnmp.cnj.jus.br/" TargetMode="External"/><Relationship Id="rId60" Type="http://schemas.openxmlformats.org/officeDocument/2006/relationships/hyperlink" Target="https://drive.google.com/file/d/1AkyuPO6Sfit8XpTWWqOUrc_Bp7aFY7av/view" TargetMode="External"/><Relationship Id="rId65" Type="http://schemas.openxmlformats.org/officeDocument/2006/relationships/hyperlink" Target="https://www.gov.br/mdh/pt-br/navegue-por-temas/crianca-e-adolescente/LevantamentoAnualdoSINASE2017.pdf" TargetMode="External"/><Relationship Id="rId73" Type="http://schemas.openxmlformats.org/officeDocument/2006/relationships/hyperlink" Target="https://agenciabrasil.ebc.com.br/geral/noticia/2021-12/negros-sao-maioria-dos-mortos-em-acoes-policiais-em-6-estados" TargetMode="External"/><Relationship Id="rId78" Type="http://schemas.openxmlformats.org/officeDocument/2006/relationships/hyperlink" Target="https://geni.uff.br/2022/09/13/mapa-historico-dos-grupos-armados-no-rio-de-janeiro/" TargetMode="External"/><Relationship Id="rId81" Type="http://schemas.openxmlformats.org/officeDocument/2006/relationships/hyperlink" Target="https://www12.senado.leg.br/noticias/especiais/especial-cidadania/lei-da-tortura-completa-20-anos-mas-ainda-ha-relatos-do-crime" TargetMode="External"/><Relationship Id="rId4" Type="http://schemas.openxmlformats.org/officeDocument/2006/relationships/hyperlink" Target="https://www.conectas.org/noticias/organizacoes-denunciam-na-onu-o-desmonte-do-sistema-de-combate-a-tortura-no-brasil/" TargetMode="External"/><Relationship Id="rId9" Type="http://schemas.openxmlformats.org/officeDocument/2006/relationships/hyperlink" Target="https://reporterbrasil.org.br/2022/05/mulher-e-resgatada-apos-72-anos-de-trabalho-escravo-domestico-no-rio/" TargetMode="External"/><Relationship Id="rId14" Type="http://schemas.openxmlformats.org/officeDocument/2006/relationships/hyperlink" Target="https://www.jota.info/coberturas-especiais/diversidade/mae-perde-guarda-da-filha-depois-de-leva-la-em-ritual-umbandista-16062022" TargetMode="External"/><Relationship Id="rId22" Type="http://schemas.openxmlformats.org/officeDocument/2006/relationships/hyperlink" Target="https://g1.globo.com/sp/sao-carlos-regiao/noticia/2023/02/04/mulher-que-passou-por-laqueadura-sem-consentimento-morre-apos-ser-agredida-em-mococa.ghtml?utm_source=twitter&amp;utm_medium=social&amp;utm_campaign=g1" TargetMode="External"/><Relationship Id="rId27" Type="http://schemas.openxmlformats.org/officeDocument/2006/relationships/hyperlink" Target="https://cuidemdenossasmeninas.mapadoacolhimento.org.br/" TargetMode="External"/><Relationship Id="rId30" Type="http://schemas.openxmlformats.org/officeDocument/2006/relationships/hyperlink" Target="https://g1.globo.com/es/espirito-santo/noticia/2020/08/20/familia-de-menina-estuprada-no-es-aceita-programa-para-ter-novo-endereco-e-identidade.ghtml" TargetMode="External"/><Relationship Id="rId35" Type="http://schemas.openxmlformats.org/officeDocument/2006/relationships/hyperlink" Target="https://www.violenciapolitica.org/2021" TargetMode="External"/><Relationship Id="rId43" Type="http://schemas.openxmlformats.org/officeDocument/2006/relationships/hyperlink" Target="https://campaigns.allout.org/pt/relatorio-ecosieg" TargetMode="External"/><Relationship Id="rId48" Type="http://schemas.openxmlformats.org/officeDocument/2006/relationships/hyperlink" Target="https://drive.google.com/file/d/1AkyuPO6Sfit8XpTWWqOUrc_Bp7aFY7av/view" TargetMode="External"/><Relationship Id="rId56" Type="http://schemas.openxmlformats.org/officeDocument/2006/relationships/hyperlink" Target="https://www.cnj.jus.br/estado-de-coisas-inconstitucional-nas-prisoes-repercute-dentro-e-fora-do-pais/" TargetMode="External"/><Relationship Id="rId64" Type="http://schemas.openxmlformats.org/officeDocument/2006/relationships/hyperlink" Target="https://drive.google.com/file/d/1ROJ8xtFHCXE59X7rv9PUMixRYZCPNzo7/view" TargetMode="External"/><Relationship Id="rId69" Type="http://schemas.openxmlformats.org/officeDocument/2006/relationships/hyperlink" Target="https://iddd.org.br/por-que-eu-como-o-racismo-faz-com-que-as-pessoas-negras-sejam-o-perfil-alvo-das-abordagens-policiais/" TargetMode="External"/><Relationship Id="rId77" Type="http://schemas.openxmlformats.org/officeDocument/2006/relationships/hyperlink" Target="https://uploads.strikinglycdn.com/files/fecb46ea-cc99-48f1-a562-81f70c762381/Relatorio%20CPI%20das%20Milicias.pdf" TargetMode="External"/><Relationship Id="rId8" Type="http://schemas.openxmlformats.org/officeDocument/2006/relationships/hyperlink" Target="https://www.sindmetalsjc.org.br/n/6322/trabalho-escravo-em-vinicolas-revela-crueldade-em-fazendas-no-sul" TargetMode="External"/><Relationship Id="rId51" Type="http://schemas.openxmlformats.org/officeDocument/2006/relationships/hyperlink" Target="https://conectas.org/wp-content/uploads/2018/05/infopenmulheres_arte_07-03-18-1.pdf" TargetMode="External"/><Relationship Id="rId72" Type="http://schemas.openxmlformats.org/officeDocument/2006/relationships/hyperlink" Target="https://www.ipea.gov.br/atlasviolencia/arquivos/artigos/8695-182358intervencaofederalrio.pdf" TargetMode="External"/><Relationship Id="rId80" Type="http://schemas.openxmlformats.org/officeDocument/2006/relationships/hyperlink" Target="https://www.defensoria.ce.def.br/noticia/defensoria-consegue-absolvicao-de-tres-reus-apos-evidencias-de-obtencao-de-provas-criminais-por-meio-de-torturas/" TargetMode="External"/><Relationship Id="rId3" Type="http://schemas.openxmlformats.org/officeDocument/2006/relationships/hyperlink" Target="https://revistaforum.com.br/politica/2019/4/22/bolsonaro-extingue-grupo-que-identificava-ossadas-de-desaparecidos-politicos-55239.html" TargetMode="External"/><Relationship Id="rId12" Type="http://schemas.openxmlformats.org/officeDocument/2006/relationships/hyperlink" Target="https://www.uol.com.br/universa/noticias/redacao/2022/06/15/perdi-um-olho-por-intolerancia-religiosa-crime-atinge-mais-as-mulheres.htm" TargetMode="External"/><Relationship Id="rId17" Type="http://schemas.openxmlformats.org/officeDocument/2006/relationships/hyperlink" Target="https://unesdoc.unesco.org/ark:/48223/pf0000384250" TargetMode="External"/><Relationship Id="rId25" Type="http://schemas.openxmlformats.org/officeDocument/2006/relationships/hyperlink" Target="https://cienciaesaudecoletiva.com.br/artigos/pesquisa-nacional-de-aborto-2016/15912?id=15912&amp;id=15912" TargetMode="External"/><Relationship Id="rId33" Type="http://schemas.openxmlformats.org/officeDocument/2006/relationships/hyperlink" Target="https://www.unicef.org/brazil/media/16421/file/panorama-violencia-letal-sexual-contra-criancas-adolescentes-no-brasil.pdf" TargetMode="External"/><Relationship Id="rId38" Type="http://schemas.openxmlformats.org/officeDocument/2006/relationships/hyperlink" Target="https://noticias.uol.com.br/cotidiano/ultimas-noticias/2021/09/14/policia-apura-crime-de-tortura-contra-quilombola-amarrado-e-agredido-no-rn.htm" TargetMode="External"/><Relationship Id="rId46" Type="http://schemas.openxmlformats.org/officeDocument/2006/relationships/hyperlink" Target="https://plataformarpu.org.br/storage/publications_documents/EfrkBCBQ8IF1CKSyP9gwX2vIJo0RO6kpz9YSC7Am.pdf" TargetMode="External"/><Relationship Id="rId59" Type="http://schemas.openxmlformats.org/officeDocument/2006/relationships/hyperlink" Target="https://drive.google.com/file/d/1ROJ8xtFHCXE59X7rv9PUMixRYZCPNzo7/view" TargetMode="External"/><Relationship Id="rId67" Type="http://schemas.openxmlformats.org/officeDocument/2006/relationships/hyperlink" Target="https://www.redebrasilatual.com.br/cidadania/2021/07/adolescentes-abuso-sexual-unidade-socioeducativa-feminina-do-rio/" TargetMode="External"/><Relationship Id="rId20" Type="http://schemas.openxmlformats.org/officeDocument/2006/relationships/hyperlink" Target="https://www.brasildefato.com.br/2018/09/25/assassinatos-de-quilombolas-crescem-350-em-um-ano-no-brasil" TargetMode="External"/><Relationship Id="rId41" Type="http://schemas.openxmlformats.org/officeDocument/2006/relationships/hyperlink" Target="https://site.cfp.org.br/wp-content/uploads/2019/12/549.3_ly_RelatorioInspecaoHospPsiq-ContraCapa-Final_v2Web.pdf" TargetMode="External"/><Relationship Id="rId54" Type="http://schemas.openxmlformats.org/officeDocument/2006/relationships/hyperlink" Target="https://drive.google.com/file/d/1ROJ8xtFHCXE59X7rv9PUMixRYZCPNzo7/view" TargetMode="External"/><Relationship Id="rId62" Type="http://schemas.openxmlformats.org/officeDocument/2006/relationships/hyperlink" Target="https://www.oas.org/pt/cidh/prensa/notas/2020/195.asp" TargetMode="External"/><Relationship Id="rId70" Type="http://schemas.openxmlformats.org/officeDocument/2006/relationships/hyperlink" Target="http://www.oas.org/pt/cidh/jsForm/?File=/pt/cidh/prensa/notas/2022/120.asp" TargetMode="External"/><Relationship Id="rId75" Type="http://schemas.openxmlformats.org/officeDocument/2006/relationships/hyperlink" Target="https://g1.globo.com/rj/rio-de-janeiro/noticia/2022/07/22/em-14-meses-rio-registra-3-das-4-operacoes-mais-letais-da-historia.ghtml" TargetMode="External"/><Relationship Id="rId1" Type="http://schemas.openxmlformats.org/officeDocument/2006/relationships/hyperlink" Target="http://www.geledes.org.br" TargetMode="External"/><Relationship Id="rId6" Type="http://schemas.openxmlformats.org/officeDocument/2006/relationships/hyperlink" Target="https://g1.globo.com/rs/rio-grande-do-sul/noticia/2023/03/02/depoimentos-trabalhadores-trabalho-escravo-rs.ghtml?utm_source=share-universal&amp;utm_medium=share-bar-app&amp;utm_campaign=materias" TargetMode="External"/><Relationship Id="rId15" Type="http://schemas.openxmlformats.org/officeDocument/2006/relationships/hyperlink" Target="https://g1.globo.com/politica/noticia/2020/01/13/50percent-dos-brasileiros-sao-catolicos-31percent-evangelicos-e-10percent-nao-tem-religiao-diz-datafolha.ghtml" TargetMode="External"/><Relationship Id="rId23" Type="http://schemas.openxmlformats.org/officeDocument/2006/relationships/hyperlink" Target="https://www.ihu.unisinos.br/categorias/580971-as-laqueaduras-de-emergencia-dispararam-no-brasil-e-ninguem-sabe-por-que-2" TargetMode="External"/><Relationship Id="rId28" Type="http://schemas.openxmlformats.org/officeDocument/2006/relationships/hyperlink" Target="https://g1.globo.com/saude/noticia/2022/06/22/brasil-tem-mais-de-17-mil-maes-de-ate-14-anos-mostram-dados-do-sus.ghtml" TargetMode="External"/><Relationship Id="rId36" Type="http://schemas.openxmlformats.org/officeDocument/2006/relationships/hyperlink" Target="https://www.violenciapolitica.org/2020" TargetMode="External"/><Relationship Id="rId49" Type="http://schemas.openxmlformats.org/officeDocument/2006/relationships/hyperlink" Target="https://www.conectas.org/noticias/brasil-se-mantem-como-3o-pais-com-a-maior-populacao-carceraria-do-mundo/" TargetMode="External"/><Relationship Id="rId57" Type="http://schemas.openxmlformats.org/officeDocument/2006/relationships/hyperlink" Target="https://drive.google.com/file/d/1ROJ8xtFHCXE59X7rv9PUMixRYZCPNzo7/view"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prstGeom prst="rect">
          <a:avLst/>
        </a:prstGeom>
        <a:solidFill>
          <a:srgbClr val="FFFFFF"/>
        </a:solidFill>
        <a:ln w="25400" cap="flat">
          <a:solidFill>
            <a:schemeClr val="accent1"/>
          </a:solidFill>
          <a:prstDash val="solid"/>
          <a:round/>
        </a:ln>
      </a:spPr>
      <a:bodyPr/>
      <a:lstStyle/>
      <a:style>
        <a:lnRef idx="0">
          <a:srgbClr val="000000"/>
        </a:lnRef>
        <a:fillRef idx="0">
          <a:srgbClr val="000000"/>
        </a:fillRef>
        <a:effectRef idx="0">
          <a:srgbClr val="000000"/>
        </a:effectRef>
        <a:fontRef idx="none"/>
      </a:style>
    </a:spDef>
    <a:lnDef>
      <a:spPr bwMode="auto">
        <a:prstGeom prst="rect">
          <a:avLst/>
        </a:prstGeom>
        <a:noFill/>
        <a:ln w="25400" cap="flat">
          <a:solidFill>
            <a:schemeClr val="accent1"/>
          </a:solidFill>
          <a:prstDash val="solid"/>
          <a:round/>
        </a:ln>
      </a:spPr>
      <a:bodyPr/>
      <a:lstStyle/>
      <a:style>
        <a:lnRef idx="0">
          <a:srgbClr val="000000"/>
        </a:lnRef>
        <a:fillRef idx="0">
          <a:srgbClr val="000000"/>
        </a:fillRef>
        <a:effectRef idx="0">
          <a:srgbClr val="000000"/>
        </a:effectRef>
        <a:fontRef idx="none"/>
      </a:style>
    </a:lnDef>
    <a:txDef>
      <a:spPr bwMode="auto">
        <a:prstGeom prst="rect">
          <a:avLst/>
        </a:prstGeom>
        <a:noFill/>
        <a:ln w="12700" cap="flat">
          <a:noFill/>
          <a:miter lim="400000"/>
        </a:ln>
      </a:spPr>
      <a:bodyPr/>
      <a:lstStyle/>
      <a:style>
        <a:lnRef idx="0">
          <a:srgbClr val="000000"/>
        </a:lnRef>
        <a:fillRef idx="0">
          <a:srgbClr val="000000"/>
        </a:fillRef>
        <a:effectRef idx="0">
          <a:srgbClr val="00000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k/bm0N9DLt6mpDHEke7V7O/jnfQ==">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10260</Words>
  <Characters>58484</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Rodnei</dc:creator>
  <cp:lastModifiedBy>Youssef Hamdan</cp:lastModifiedBy>
  <cp:revision>2</cp:revision>
  <dcterms:created xsi:type="dcterms:W3CDTF">2023-03-29T17:52:00Z</dcterms:created>
  <dcterms:modified xsi:type="dcterms:W3CDTF">2023-03-29T17:52:00Z</dcterms:modified>
</cp:coreProperties>
</file>