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A5928" w14:textId="377C17B1" w:rsidR="00DD20D2" w:rsidRPr="009A0C8A" w:rsidRDefault="00DD20D2" w:rsidP="008216D8">
      <w:pPr>
        <w:spacing w:line="276" w:lineRule="auto"/>
        <w:jc w:val="both"/>
        <w:rPr>
          <w:b/>
          <w:u w:val="single"/>
        </w:rPr>
      </w:pPr>
    </w:p>
    <w:p w14:paraId="0AEB08BC" w14:textId="36133870" w:rsidR="00DD20D2" w:rsidRPr="009A0C8A" w:rsidRDefault="00DD20D2" w:rsidP="008216D8">
      <w:pPr>
        <w:spacing w:line="276" w:lineRule="auto"/>
        <w:jc w:val="both"/>
        <w:rPr>
          <w:b/>
          <w:u w:val="single"/>
        </w:rPr>
      </w:pPr>
    </w:p>
    <w:p w14:paraId="75BAC66C" w14:textId="2B265E7C" w:rsidR="00DD20D2" w:rsidRPr="009A0C8A" w:rsidRDefault="008100BD" w:rsidP="008216D8">
      <w:pPr>
        <w:spacing w:line="276" w:lineRule="auto"/>
        <w:jc w:val="both"/>
        <w:rPr>
          <w:b/>
          <w:u w:val="single"/>
        </w:rPr>
      </w:pPr>
      <w:r w:rsidRPr="009A0C8A">
        <w:rPr>
          <w:noProof/>
        </w:rPr>
        <mc:AlternateContent>
          <mc:Choice Requires="wps">
            <w:drawing>
              <wp:anchor distT="0" distB="0" distL="114300" distR="114300" simplePos="0" relativeHeight="251662848" behindDoc="0" locked="0" layoutInCell="1" allowOverlap="1" wp14:anchorId="6B64AEF9" wp14:editId="090F684F">
                <wp:simplePos x="0" y="0"/>
                <wp:positionH relativeFrom="column">
                  <wp:posOffset>-949325</wp:posOffset>
                </wp:positionH>
                <wp:positionV relativeFrom="paragraph">
                  <wp:posOffset>434340</wp:posOffset>
                </wp:positionV>
                <wp:extent cx="7616190" cy="2270760"/>
                <wp:effectExtent l="38100" t="38100" r="118110" b="110490"/>
                <wp:wrapNone/>
                <wp:docPr id="2" name="Rectangle 2"/>
                <wp:cNvGraphicFramePr/>
                <a:graphic xmlns:a="http://schemas.openxmlformats.org/drawingml/2006/main">
                  <a:graphicData uri="http://schemas.microsoft.com/office/word/2010/wordprocessingShape">
                    <wps:wsp>
                      <wps:cNvSpPr/>
                      <wps:spPr>
                        <a:xfrm>
                          <a:off x="0" y="0"/>
                          <a:ext cx="7616190" cy="2270760"/>
                        </a:xfrm>
                        <a:prstGeom prst="rect">
                          <a:avLst/>
                        </a:prstGeom>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A3785D4" w14:textId="5A6407AB" w:rsidR="00C800FB" w:rsidRPr="008100BD" w:rsidRDefault="00C800FB" w:rsidP="008100BD">
                            <w:pPr>
                              <w:jc w:val="center"/>
                              <w:rPr>
                                <w:rFonts w:ascii="Arial" w:hAnsi="Arial" w:cs="Arial"/>
                                <w:b/>
                                <w:sz w:val="52"/>
                                <w:szCs w:val="66"/>
                              </w:rPr>
                            </w:pPr>
                            <w:r w:rsidRPr="008100BD">
                              <w:rPr>
                                <w:rFonts w:ascii="Arial" w:hAnsi="Arial" w:cs="Arial"/>
                                <w:b/>
                                <w:sz w:val="52"/>
                                <w:szCs w:val="66"/>
                              </w:rPr>
                              <w:t>RAPPORT ALTERNATIF DE L’ONG CHANGEMENT SOCIAL BENIN RELATIF A L’EXAMEN DU RAPPORT DU BENIN DEVANT LE COMITE POUR L’ELIMINATION DE LA DISCRIMINATION RACIALE</w:t>
                            </w:r>
                          </w:p>
                          <w:p w14:paraId="2F15D914" w14:textId="77777777" w:rsidR="00C800FB" w:rsidRPr="004D4104" w:rsidRDefault="00C800FB" w:rsidP="00DD20D2">
                            <w:pPr>
                              <w:jc w:val="center"/>
                              <w:rPr>
                                <w:sz w:val="66"/>
                                <w:szCs w:val="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4AEF9" id="Rectangle 2" o:spid="_x0000_s1026" style="position:absolute;left:0;text-align:left;margin-left:-74.75pt;margin-top:34.2pt;width:599.7pt;height:17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" fillcolor="#4f81bd [3204]" strokecolor="#243f60 [1604]" strokeweight="2pt">
                <v:shadow on="t" color="black" opacity="26214f" origin="-.5,-.5" offset=".74836mm,.74836mm"/>
                <v:textbox>
                  <w:txbxContent>
                    <w:p w14:paraId="2A3785D4" w14:textId="5A6407AB" w:rsidR="00C800FB" w:rsidRPr="008100BD" w:rsidRDefault="00C800FB" w:rsidP="008100BD">
                      <w:pPr>
                        <w:jc w:val="center"/>
                        <w:rPr>
                          <w:rFonts w:ascii="Arial" w:hAnsi="Arial" w:cs="Arial"/>
                          <w:b/>
                          <w:sz w:val="52"/>
                          <w:szCs w:val="66"/>
                        </w:rPr>
                      </w:pPr>
                      <w:r w:rsidRPr="008100BD">
                        <w:rPr>
                          <w:rFonts w:ascii="Arial" w:hAnsi="Arial" w:cs="Arial"/>
                          <w:b/>
                          <w:sz w:val="52"/>
                          <w:szCs w:val="66"/>
                        </w:rPr>
                        <w:t>RAPPORT ALTERNATIF DE L’ONG CHANGEMENT SOCIAL BENIN RELATIF A L’EXAMEN DU RAPPORT DU BENIN DEVANT LE COMITE POUR L’ELIMINATION DE LA DISCRIMINATION RACIALE</w:t>
                      </w:r>
                    </w:p>
                    <w:p w14:paraId="2F15D914" w14:textId="77777777" w:rsidR="00C800FB" w:rsidRPr="004D4104" w:rsidRDefault="00C800FB" w:rsidP="00DD20D2">
                      <w:pPr>
                        <w:jc w:val="center"/>
                        <w:rPr>
                          <w:sz w:val="66"/>
                          <w:szCs w:val="66"/>
                        </w:rPr>
                      </w:pPr>
                    </w:p>
                  </w:txbxContent>
                </v:textbox>
              </v:rect>
            </w:pict>
          </mc:Fallback>
        </mc:AlternateContent>
      </w:r>
    </w:p>
    <w:p w14:paraId="195B166F" w14:textId="71DFA0BD" w:rsidR="00DD20D2" w:rsidRPr="009A0C8A" w:rsidRDefault="00DD20D2" w:rsidP="008216D8">
      <w:pPr>
        <w:spacing w:line="276" w:lineRule="auto"/>
        <w:jc w:val="both"/>
        <w:rPr>
          <w:b/>
          <w:u w:val="single"/>
        </w:rPr>
      </w:pPr>
    </w:p>
    <w:p w14:paraId="56785F7D" w14:textId="310731CF" w:rsidR="00DD20D2" w:rsidRPr="009A0C8A" w:rsidRDefault="00DD20D2" w:rsidP="008216D8">
      <w:pPr>
        <w:spacing w:line="276" w:lineRule="auto"/>
        <w:jc w:val="both"/>
        <w:rPr>
          <w:b/>
          <w:u w:val="single"/>
        </w:rPr>
      </w:pPr>
    </w:p>
    <w:p w14:paraId="62F41CF8" w14:textId="3561F9C0" w:rsidR="00DD20D2" w:rsidRPr="009A0C8A" w:rsidRDefault="00DD20D2" w:rsidP="008216D8">
      <w:pPr>
        <w:spacing w:line="276" w:lineRule="auto"/>
        <w:jc w:val="both"/>
        <w:rPr>
          <w:b/>
          <w:u w:val="single"/>
        </w:rPr>
      </w:pPr>
    </w:p>
    <w:p w14:paraId="4A0838C6" w14:textId="2BC96413" w:rsidR="00DD20D2" w:rsidRPr="009A0C8A" w:rsidRDefault="00DD20D2" w:rsidP="008216D8">
      <w:pPr>
        <w:spacing w:line="276" w:lineRule="auto"/>
        <w:jc w:val="both"/>
        <w:rPr>
          <w:b/>
          <w:u w:val="single"/>
        </w:rPr>
      </w:pPr>
    </w:p>
    <w:p w14:paraId="3876E63D" w14:textId="108ECCC8" w:rsidR="00DD20D2" w:rsidRPr="009A0C8A" w:rsidRDefault="00DD20D2" w:rsidP="008216D8">
      <w:pPr>
        <w:spacing w:line="276" w:lineRule="auto"/>
        <w:jc w:val="both"/>
        <w:rPr>
          <w:b/>
          <w:u w:val="single"/>
        </w:rPr>
      </w:pPr>
    </w:p>
    <w:p w14:paraId="446B71A0" w14:textId="3DCBDF31" w:rsidR="00DD20D2" w:rsidRPr="009A0C8A" w:rsidRDefault="00DD20D2" w:rsidP="008216D8">
      <w:pPr>
        <w:spacing w:line="276" w:lineRule="auto"/>
        <w:jc w:val="both"/>
        <w:rPr>
          <w:b/>
          <w:u w:val="single"/>
        </w:rPr>
      </w:pPr>
    </w:p>
    <w:p w14:paraId="68F2DB31" w14:textId="3187E0F5" w:rsidR="00DD20D2" w:rsidRPr="009A0C8A" w:rsidRDefault="00DD20D2" w:rsidP="008216D8">
      <w:pPr>
        <w:spacing w:line="276" w:lineRule="auto"/>
        <w:jc w:val="both"/>
        <w:rPr>
          <w:b/>
          <w:u w:val="single"/>
        </w:rPr>
      </w:pPr>
    </w:p>
    <w:p w14:paraId="6A7499E3" w14:textId="6B8F7EAC" w:rsidR="00FF2680" w:rsidRPr="009A0C8A" w:rsidRDefault="00FF2680" w:rsidP="008216D8">
      <w:pPr>
        <w:spacing w:line="276" w:lineRule="auto"/>
        <w:jc w:val="both"/>
        <w:rPr>
          <w:rFonts w:ascii="Maiandra GD" w:hAnsi="Maiandra GD"/>
        </w:rPr>
      </w:pPr>
    </w:p>
    <w:p w14:paraId="59B8F996" w14:textId="5984FBE7" w:rsidR="001329FA" w:rsidRPr="009A0C8A" w:rsidRDefault="001329FA" w:rsidP="008216D8">
      <w:pPr>
        <w:spacing w:line="276" w:lineRule="auto"/>
        <w:jc w:val="both"/>
        <w:rPr>
          <w:rFonts w:ascii="Maiandra GD" w:hAnsi="Maiandra GD"/>
        </w:rPr>
      </w:pPr>
    </w:p>
    <w:p w14:paraId="6E17C021" w14:textId="6200B288" w:rsidR="002A3B2E" w:rsidRPr="009A0C8A" w:rsidRDefault="002A3B2E" w:rsidP="008216D8">
      <w:pPr>
        <w:spacing w:line="276" w:lineRule="auto"/>
        <w:jc w:val="both"/>
        <w:rPr>
          <w:rFonts w:ascii="Maiandra GD" w:hAnsi="Maiandra GD"/>
        </w:rPr>
      </w:pPr>
    </w:p>
    <w:p w14:paraId="2032ADD9" w14:textId="06DDC551" w:rsidR="002A3B2E" w:rsidRPr="009A0C8A" w:rsidRDefault="002A3B2E" w:rsidP="008216D8">
      <w:pPr>
        <w:spacing w:line="276" w:lineRule="auto"/>
        <w:jc w:val="both"/>
        <w:rPr>
          <w:rFonts w:ascii="Maiandra GD" w:hAnsi="Maiandra GD"/>
        </w:rPr>
      </w:pPr>
    </w:p>
    <w:p w14:paraId="53441B0C" w14:textId="33224318" w:rsidR="002A3B2E" w:rsidRPr="009A0C8A" w:rsidRDefault="002A3B2E" w:rsidP="008216D8">
      <w:pPr>
        <w:spacing w:line="276" w:lineRule="auto"/>
        <w:jc w:val="both"/>
        <w:rPr>
          <w:rFonts w:ascii="Maiandra GD" w:hAnsi="Maiandra GD"/>
        </w:rPr>
      </w:pPr>
    </w:p>
    <w:p w14:paraId="76CE848E" w14:textId="528F6709" w:rsidR="002A3B2E" w:rsidRPr="009A0C8A" w:rsidRDefault="002A3B2E" w:rsidP="008216D8">
      <w:pPr>
        <w:spacing w:line="276" w:lineRule="auto"/>
        <w:jc w:val="both"/>
        <w:rPr>
          <w:rFonts w:ascii="Maiandra GD" w:hAnsi="Maiandra GD"/>
        </w:rPr>
      </w:pPr>
    </w:p>
    <w:p w14:paraId="6BC03CAF" w14:textId="64B40B84" w:rsidR="002A3B2E" w:rsidRPr="009A0C8A" w:rsidRDefault="002A3B2E" w:rsidP="008216D8">
      <w:pPr>
        <w:spacing w:line="276" w:lineRule="auto"/>
        <w:jc w:val="both"/>
        <w:rPr>
          <w:rFonts w:ascii="Maiandra GD" w:hAnsi="Maiandra GD"/>
        </w:rPr>
      </w:pPr>
    </w:p>
    <w:p w14:paraId="48E50494" w14:textId="5EC8C13A" w:rsidR="002A3B2E" w:rsidRPr="009A0C8A" w:rsidRDefault="002A3B2E" w:rsidP="008216D8">
      <w:pPr>
        <w:spacing w:line="276" w:lineRule="auto"/>
        <w:jc w:val="both"/>
        <w:rPr>
          <w:rFonts w:ascii="Maiandra GD" w:hAnsi="Maiandra GD"/>
        </w:rPr>
      </w:pPr>
    </w:p>
    <w:p w14:paraId="14ED771D" w14:textId="3227CDF2" w:rsidR="002A3B2E" w:rsidRPr="009A0C8A" w:rsidRDefault="002A3B2E" w:rsidP="008216D8">
      <w:pPr>
        <w:spacing w:line="276" w:lineRule="auto"/>
        <w:jc w:val="both"/>
        <w:rPr>
          <w:rFonts w:ascii="Maiandra GD" w:hAnsi="Maiandra GD"/>
        </w:rPr>
      </w:pPr>
    </w:p>
    <w:p w14:paraId="74FF42BD" w14:textId="45B3D305" w:rsidR="002A3B2E" w:rsidRPr="009A0C8A" w:rsidRDefault="002A3B2E" w:rsidP="008216D8">
      <w:pPr>
        <w:spacing w:line="276" w:lineRule="auto"/>
        <w:jc w:val="both"/>
        <w:rPr>
          <w:rFonts w:ascii="Maiandra GD" w:hAnsi="Maiandra GD"/>
        </w:rPr>
      </w:pPr>
    </w:p>
    <w:p w14:paraId="7FB03721" w14:textId="05F96237" w:rsidR="002A3B2E" w:rsidRPr="009A0C8A" w:rsidRDefault="002A3B2E" w:rsidP="008216D8">
      <w:pPr>
        <w:spacing w:line="276" w:lineRule="auto"/>
        <w:jc w:val="both"/>
        <w:rPr>
          <w:rFonts w:ascii="Maiandra GD" w:hAnsi="Maiandra GD"/>
        </w:rPr>
      </w:pPr>
    </w:p>
    <w:p w14:paraId="263FF18A" w14:textId="3194BC7D" w:rsidR="002A3B2E" w:rsidRPr="009A0C8A" w:rsidRDefault="002A3B2E" w:rsidP="008216D8">
      <w:pPr>
        <w:spacing w:line="276" w:lineRule="auto"/>
        <w:jc w:val="both"/>
        <w:rPr>
          <w:rFonts w:ascii="Maiandra GD" w:hAnsi="Maiandra GD"/>
        </w:rPr>
      </w:pPr>
    </w:p>
    <w:p w14:paraId="7E21FB0B" w14:textId="54943F6A" w:rsidR="002A3B2E" w:rsidRPr="009A0C8A" w:rsidRDefault="002A3B2E" w:rsidP="008216D8">
      <w:pPr>
        <w:spacing w:line="276" w:lineRule="auto"/>
        <w:jc w:val="both"/>
        <w:rPr>
          <w:rFonts w:ascii="Maiandra GD" w:hAnsi="Maiandra GD"/>
        </w:rPr>
      </w:pPr>
    </w:p>
    <w:p w14:paraId="78A8D2DF" w14:textId="16113B19" w:rsidR="002A3B2E" w:rsidRPr="009A0C8A" w:rsidRDefault="002A3B2E" w:rsidP="008216D8">
      <w:pPr>
        <w:spacing w:line="276" w:lineRule="auto"/>
        <w:jc w:val="both"/>
        <w:rPr>
          <w:rFonts w:ascii="Maiandra GD" w:hAnsi="Maiandra GD"/>
        </w:rPr>
      </w:pPr>
    </w:p>
    <w:p w14:paraId="7FAEBB34" w14:textId="77777777" w:rsidR="002A3B2E" w:rsidRPr="009A0C8A" w:rsidRDefault="002A3B2E" w:rsidP="008216D8">
      <w:pPr>
        <w:spacing w:line="276" w:lineRule="auto"/>
        <w:jc w:val="both"/>
        <w:rPr>
          <w:rFonts w:ascii="Maiandra GD" w:hAnsi="Maiandra GD"/>
        </w:rPr>
      </w:pPr>
    </w:p>
    <w:p w14:paraId="6D50C661" w14:textId="77777777" w:rsidR="002A3B2E" w:rsidRPr="009A0C8A" w:rsidRDefault="002A3B2E" w:rsidP="008216D8">
      <w:pPr>
        <w:spacing w:line="276" w:lineRule="auto"/>
        <w:jc w:val="both"/>
        <w:rPr>
          <w:rFonts w:ascii="Maiandra GD" w:hAnsi="Maiandra GD"/>
        </w:rPr>
      </w:pPr>
    </w:p>
    <w:p w14:paraId="4ED76741" w14:textId="77777777" w:rsidR="002A3B2E" w:rsidRPr="009A0C8A" w:rsidRDefault="002A3B2E" w:rsidP="008216D8">
      <w:pPr>
        <w:spacing w:line="276" w:lineRule="auto"/>
        <w:jc w:val="both"/>
        <w:rPr>
          <w:rFonts w:ascii="Maiandra GD" w:hAnsi="Maiandra GD"/>
        </w:rPr>
      </w:pPr>
    </w:p>
    <w:p w14:paraId="45E10C09" w14:textId="77777777" w:rsidR="00E3057F" w:rsidRDefault="008100BD" w:rsidP="008216D8">
      <w:pPr>
        <w:spacing w:line="276" w:lineRule="auto"/>
        <w:jc w:val="center"/>
        <w:rPr>
          <w:rFonts w:ascii="Maiandra GD" w:hAnsi="Maiandra GD"/>
          <w:b/>
        </w:rPr>
      </w:pPr>
      <w:r w:rsidRPr="009A0C8A">
        <w:rPr>
          <w:rFonts w:ascii="Maiandra GD" w:hAnsi="Maiandra GD"/>
          <w:b/>
        </w:rPr>
        <w:t>JUIN 2022</w:t>
      </w:r>
    </w:p>
    <w:p w14:paraId="607D86D3" w14:textId="77777777" w:rsidR="00D25B6B" w:rsidRPr="009A0C8A" w:rsidRDefault="00D25B6B" w:rsidP="008216D8">
      <w:pPr>
        <w:spacing w:line="276" w:lineRule="auto"/>
        <w:jc w:val="center"/>
        <w:rPr>
          <w:rFonts w:ascii="Maiandra GD" w:hAnsi="Maiandra GD"/>
          <w:b/>
        </w:rPr>
      </w:pPr>
    </w:p>
    <w:p w14:paraId="25AE3FDC" w14:textId="77777777" w:rsidR="00C800FB" w:rsidRDefault="00C800FB">
      <w:pPr>
        <w:spacing w:after="200" w:line="276" w:lineRule="auto"/>
        <w:rPr>
          <w:rFonts w:ascii="Arial" w:hAnsi="Arial" w:cs="Arial"/>
          <w:b/>
        </w:rPr>
      </w:pPr>
      <w:r>
        <w:rPr>
          <w:rFonts w:ascii="Arial" w:hAnsi="Arial" w:cs="Arial"/>
          <w:b/>
        </w:rPr>
        <w:br w:type="page"/>
      </w:r>
    </w:p>
    <w:sdt>
      <w:sdtPr>
        <w:rPr>
          <w:rFonts w:ascii="Maiandra GD" w:eastAsiaTheme="minorEastAsia" w:hAnsi="Maiandra GD" w:cstheme="minorBidi"/>
          <w:b/>
          <w:color w:val="auto"/>
          <w:sz w:val="20"/>
          <w:szCs w:val="20"/>
        </w:rPr>
        <w:id w:val="-1812701349"/>
        <w:docPartObj>
          <w:docPartGallery w:val="Table of Contents"/>
          <w:docPartUnique/>
        </w:docPartObj>
      </w:sdtPr>
      <w:sdtEndPr>
        <w:rPr>
          <w:rFonts w:asciiTheme="minorHAnsi" w:hAnsiTheme="minorHAnsi"/>
          <w:bCs/>
          <w:sz w:val="22"/>
          <w:szCs w:val="22"/>
        </w:rPr>
      </w:sdtEndPr>
      <w:sdtContent>
        <w:p w14:paraId="35036B0D" w14:textId="0B7CE343" w:rsidR="00C800FB" w:rsidRPr="00E84CA2" w:rsidRDefault="00E84CA2">
          <w:pPr>
            <w:pStyle w:val="En-ttedetabledesmatires"/>
            <w:rPr>
              <w:rFonts w:ascii="Maiandra GD" w:hAnsi="Maiandra GD"/>
              <w:b/>
              <w:sz w:val="20"/>
              <w:szCs w:val="20"/>
            </w:rPr>
          </w:pPr>
          <w:r>
            <w:rPr>
              <w:rFonts w:ascii="Maiandra GD" w:hAnsi="Maiandra GD"/>
              <w:b/>
              <w:sz w:val="20"/>
              <w:szCs w:val="20"/>
            </w:rPr>
            <w:t>TABLE DES MATIERES</w:t>
          </w:r>
        </w:p>
        <w:p w14:paraId="086F9E4F" w14:textId="77777777" w:rsidR="00E84CA2" w:rsidRDefault="00C800FB">
          <w:pPr>
            <w:pStyle w:val="TM1"/>
            <w:tabs>
              <w:tab w:val="right" w:leader="dot" w:pos="9062"/>
            </w:tabs>
            <w:rPr>
              <w:noProof/>
            </w:rPr>
          </w:pPr>
          <w:r w:rsidRPr="00E84CA2">
            <w:rPr>
              <w:rFonts w:ascii="Maiandra GD" w:hAnsi="Maiandra GD"/>
              <w:b/>
              <w:bCs/>
              <w:sz w:val="20"/>
              <w:szCs w:val="20"/>
            </w:rPr>
            <w:fldChar w:fldCharType="begin"/>
          </w:r>
          <w:r w:rsidRPr="00E84CA2">
            <w:rPr>
              <w:rFonts w:ascii="Maiandra GD" w:hAnsi="Maiandra GD"/>
              <w:b/>
              <w:bCs/>
              <w:sz w:val="20"/>
              <w:szCs w:val="20"/>
            </w:rPr>
            <w:instrText xml:space="preserve"> TOC \o "1-3" \h \z \u </w:instrText>
          </w:r>
          <w:r w:rsidRPr="00E84CA2">
            <w:rPr>
              <w:rFonts w:ascii="Maiandra GD" w:hAnsi="Maiandra GD"/>
              <w:b/>
              <w:bCs/>
              <w:sz w:val="20"/>
              <w:szCs w:val="20"/>
            </w:rPr>
            <w:fldChar w:fldCharType="separate"/>
          </w:r>
          <w:hyperlink w:anchor="_Toc107841208" w:history="1">
            <w:r w:rsidR="00E84CA2" w:rsidRPr="00AD7146">
              <w:rPr>
                <w:rStyle w:val="Lienhypertexte"/>
                <w:rFonts w:ascii="Arial" w:hAnsi="Arial" w:cs="Arial"/>
                <w:noProof/>
              </w:rPr>
              <w:t>SIGLES ET ACRONYMES</w:t>
            </w:r>
            <w:r w:rsidR="00E84CA2">
              <w:rPr>
                <w:noProof/>
                <w:webHidden/>
              </w:rPr>
              <w:tab/>
            </w:r>
            <w:r w:rsidR="00E84CA2">
              <w:rPr>
                <w:noProof/>
                <w:webHidden/>
              </w:rPr>
              <w:fldChar w:fldCharType="begin"/>
            </w:r>
            <w:r w:rsidR="00E84CA2">
              <w:rPr>
                <w:noProof/>
                <w:webHidden/>
              </w:rPr>
              <w:instrText xml:space="preserve"> PAGEREF _Toc107841208 \h </w:instrText>
            </w:r>
            <w:r w:rsidR="00E84CA2">
              <w:rPr>
                <w:noProof/>
                <w:webHidden/>
              </w:rPr>
            </w:r>
            <w:r w:rsidR="00E84CA2">
              <w:rPr>
                <w:noProof/>
                <w:webHidden/>
              </w:rPr>
              <w:fldChar w:fldCharType="separate"/>
            </w:r>
            <w:r w:rsidR="00D346F7">
              <w:rPr>
                <w:noProof/>
                <w:webHidden/>
              </w:rPr>
              <w:t>3</w:t>
            </w:r>
            <w:r w:rsidR="00E84CA2">
              <w:rPr>
                <w:noProof/>
                <w:webHidden/>
              </w:rPr>
              <w:fldChar w:fldCharType="end"/>
            </w:r>
          </w:hyperlink>
        </w:p>
        <w:p w14:paraId="3D190468" w14:textId="77777777" w:rsidR="00E84CA2" w:rsidRDefault="005E6308">
          <w:pPr>
            <w:pStyle w:val="TM1"/>
            <w:tabs>
              <w:tab w:val="left" w:pos="440"/>
              <w:tab w:val="right" w:leader="dot" w:pos="9062"/>
            </w:tabs>
            <w:rPr>
              <w:noProof/>
            </w:rPr>
          </w:pPr>
          <w:hyperlink w:anchor="_Toc107841209" w:history="1">
            <w:r w:rsidR="00E84CA2" w:rsidRPr="00AD7146">
              <w:rPr>
                <w:rStyle w:val="Lienhypertexte"/>
                <w:rFonts w:ascii="Arial" w:hAnsi="Arial" w:cs="Arial"/>
                <w:b/>
                <w:noProof/>
              </w:rPr>
              <w:t>1-</w:t>
            </w:r>
            <w:r w:rsidR="00E84CA2">
              <w:rPr>
                <w:noProof/>
              </w:rPr>
              <w:tab/>
            </w:r>
            <w:r w:rsidR="00E84CA2" w:rsidRPr="00AD7146">
              <w:rPr>
                <w:rStyle w:val="Lienhypertexte"/>
                <w:rFonts w:ascii="Arial" w:hAnsi="Arial" w:cs="Arial"/>
                <w:b/>
                <w:noProof/>
              </w:rPr>
              <w:t>Protection contre la discrimination raciale (article 5)</w:t>
            </w:r>
            <w:r w:rsidR="00E84CA2">
              <w:rPr>
                <w:noProof/>
                <w:webHidden/>
              </w:rPr>
              <w:tab/>
            </w:r>
            <w:r w:rsidR="00E84CA2">
              <w:rPr>
                <w:noProof/>
                <w:webHidden/>
              </w:rPr>
              <w:fldChar w:fldCharType="begin"/>
            </w:r>
            <w:r w:rsidR="00E84CA2">
              <w:rPr>
                <w:noProof/>
                <w:webHidden/>
              </w:rPr>
              <w:instrText xml:space="preserve"> PAGEREF _Toc107841209 \h </w:instrText>
            </w:r>
            <w:r w:rsidR="00E84CA2">
              <w:rPr>
                <w:noProof/>
                <w:webHidden/>
              </w:rPr>
            </w:r>
            <w:r w:rsidR="00E84CA2">
              <w:rPr>
                <w:noProof/>
                <w:webHidden/>
              </w:rPr>
              <w:fldChar w:fldCharType="separate"/>
            </w:r>
            <w:r w:rsidR="00D346F7">
              <w:rPr>
                <w:noProof/>
                <w:webHidden/>
              </w:rPr>
              <w:t>4</w:t>
            </w:r>
            <w:r w:rsidR="00E84CA2">
              <w:rPr>
                <w:noProof/>
                <w:webHidden/>
              </w:rPr>
              <w:fldChar w:fldCharType="end"/>
            </w:r>
          </w:hyperlink>
        </w:p>
        <w:p w14:paraId="03CADD1B" w14:textId="77777777" w:rsidR="00E84CA2" w:rsidRDefault="005E6308">
          <w:pPr>
            <w:pStyle w:val="TM2"/>
            <w:tabs>
              <w:tab w:val="left" w:pos="880"/>
              <w:tab w:val="right" w:leader="dot" w:pos="9062"/>
            </w:tabs>
            <w:rPr>
              <w:noProof/>
            </w:rPr>
          </w:pPr>
          <w:hyperlink w:anchor="_Toc107841210" w:history="1">
            <w:r w:rsidR="00E84CA2" w:rsidRPr="00AD7146">
              <w:rPr>
                <w:rStyle w:val="Lienhypertexte"/>
                <w:rFonts w:ascii="Arial" w:hAnsi="Arial" w:cs="Arial"/>
                <w:noProof/>
              </w:rPr>
              <w:t>1.1-</w:t>
            </w:r>
            <w:r w:rsidR="00E84CA2">
              <w:rPr>
                <w:noProof/>
              </w:rPr>
              <w:tab/>
            </w:r>
            <w:r w:rsidR="00E84CA2" w:rsidRPr="00AD7146">
              <w:rPr>
                <w:rStyle w:val="Lienhypertexte"/>
                <w:rFonts w:ascii="Arial" w:hAnsi="Arial" w:cs="Arial"/>
                <w:b/>
                <w:noProof/>
              </w:rPr>
              <w:t>Sur le point 1 relatif au droit à la sûreté de la personne et à la protection de l’État contre les voies de fait ou les sévices :</w:t>
            </w:r>
            <w:r w:rsidR="00E84CA2">
              <w:rPr>
                <w:noProof/>
                <w:webHidden/>
              </w:rPr>
              <w:tab/>
            </w:r>
            <w:r w:rsidR="00E84CA2">
              <w:rPr>
                <w:noProof/>
                <w:webHidden/>
              </w:rPr>
              <w:fldChar w:fldCharType="begin"/>
            </w:r>
            <w:r w:rsidR="00E84CA2">
              <w:rPr>
                <w:noProof/>
                <w:webHidden/>
              </w:rPr>
              <w:instrText xml:space="preserve"> PAGEREF _Toc107841210 \h </w:instrText>
            </w:r>
            <w:r w:rsidR="00E84CA2">
              <w:rPr>
                <w:noProof/>
                <w:webHidden/>
              </w:rPr>
            </w:r>
            <w:r w:rsidR="00E84CA2">
              <w:rPr>
                <w:noProof/>
                <w:webHidden/>
              </w:rPr>
              <w:fldChar w:fldCharType="separate"/>
            </w:r>
            <w:r w:rsidR="00D346F7">
              <w:rPr>
                <w:noProof/>
                <w:webHidden/>
              </w:rPr>
              <w:t>4</w:t>
            </w:r>
            <w:r w:rsidR="00E84CA2">
              <w:rPr>
                <w:noProof/>
                <w:webHidden/>
              </w:rPr>
              <w:fldChar w:fldCharType="end"/>
            </w:r>
          </w:hyperlink>
        </w:p>
        <w:p w14:paraId="189107B0" w14:textId="77777777" w:rsidR="00E84CA2" w:rsidRDefault="005E6308">
          <w:pPr>
            <w:pStyle w:val="TM2"/>
            <w:tabs>
              <w:tab w:val="left" w:pos="880"/>
              <w:tab w:val="right" w:leader="dot" w:pos="9062"/>
            </w:tabs>
            <w:rPr>
              <w:noProof/>
            </w:rPr>
          </w:pPr>
          <w:hyperlink w:anchor="_Toc107841211" w:history="1">
            <w:r w:rsidR="00E84CA2" w:rsidRPr="00AD7146">
              <w:rPr>
                <w:rStyle w:val="Lienhypertexte"/>
                <w:rFonts w:ascii="Arial" w:hAnsi="Arial" w:cs="Arial"/>
                <w:b/>
                <w:noProof/>
              </w:rPr>
              <w:t>1.2-</w:t>
            </w:r>
            <w:r w:rsidR="00E84CA2">
              <w:rPr>
                <w:noProof/>
              </w:rPr>
              <w:tab/>
            </w:r>
            <w:r w:rsidR="00E84CA2" w:rsidRPr="00AD7146">
              <w:rPr>
                <w:rStyle w:val="Lienhypertexte"/>
                <w:rFonts w:ascii="Arial" w:hAnsi="Arial" w:cs="Arial"/>
                <w:b/>
                <w:noProof/>
              </w:rPr>
              <w:t>Sur le point 2 relatif aux droits politiques</w:t>
            </w:r>
            <w:r w:rsidR="00E84CA2">
              <w:rPr>
                <w:noProof/>
                <w:webHidden/>
              </w:rPr>
              <w:tab/>
            </w:r>
            <w:r w:rsidR="00E84CA2">
              <w:rPr>
                <w:noProof/>
                <w:webHidden/>
              </w:rPr>
              <w:fldChar w:fldCharType="begin"/>
            </w:r>
            <w:r w:rsidR="00E84CA2">
              <w:rPr>
                <w:noProof/>
                <w:webHidden/>
              </w:rPr>
              <w:instrText xml:space="preserve"> PAGEREF _Toc107841211 \h </w:instrText>
            </w:r>
            <w:r w:rsidR="00E84CA2">
              <w:rPr>
                <w:noProof/>
                <w:webHidden/>
              </w:rPr>
            </w:r>
            <w:r w:rsidR="00E84CA2">
              <w:rPr>
                <w:noProof/>
                <w:webHidden/>
              </w:rPr>
              <w:fldChar w:fldCharType="separate"/>
            </w:r>
            <w:r w:rsidR="00D346F7">
              <w:rPr>
                <w:noProof/>
                <w:webHidden/>
              </w:rPr>
              <w:t>4</w:t>
            </w:r>
            <w:r w:rsidR="00E84CA2">
              <w:rPr>
                <w:noProof/>
                <w:webHidden/>
              </w:rPr>
              <w:fldChar w:fldCharType="end"/>
            </w:r>
          </w:hyperlink>
        </w:p>
        <w:p w14:paraId="0EE0AB3B" w14:textId="77777777" w:rsidR="00E84CA2" w:rsidRDefault="005E6308">
          <w:pPr>
            <w:pStyle w:val="TM2"/>
            <w:tabs>
              <w:tab w:val="left" w:pos="880"/>
              <w:tab w:val="right" w:leader="dot" w:pos="9062"/>
            </w:tabs>
            <w:rPr>
              <w:noProof/>
            </w:rPr>
          </w:pPr>
          <w:hyperlink w:anchor="_Toc107841212" w:history="1">
            <w:r w:rsidR="00E84CA2" w:rsidRPr="00AD7146">
              <w:rPr>
                <w:rStyle w:val="Lienhypertexte"/>
                <w:rFonts w:ascii="Arial" w:hAnsi="Arial" w:cs="Arial"/>
                <w:b/>
                <w:noProof/>
              </w:rPr>
              <w:t>1.3-</w:t>
            </w:r>
            <w:r w:rsidR="00E84CA2">
              <w:rPr>
                <w:noProof/>
              </w:rPr>
              <w:tab/>
            </w:r>
            <w:r w:rsidR="00E84CA2" w:rsidRPr="00AD7146">
              <w:rPr>
                <w:rStyle w:val="Lienhypertexte"/>
                <w:rFonts w:ascii="Arial" w:hAnsi="Arial" w:cs="Arial"/>
                <w:b/>
                <w:noProof/>
              </w:rPr>
              <w:t>Les droits civils</w:t>
            </w:r>
            <w:r w:rsidR="00E84CA2">
              <w:rPr>
                <w:noProof/>
                <w:webHidden/>
              </w:rPr>
              <w:tab/>
            </w:r>
            <w:r w:rsidR="00E84CA2">
              <w:rPr>
                <w:noProof/>
                <w:webHidden/>
              </w:rPr>
              <w:fldChar w:fldCharType="begin"/>
            </w:r>
            <w:r w:rsidR="00E84CA2">
              <w:rPr>
                <w:noProof/>
                <w:webHidden/>
              </w:rPr>
              <w:instrText xml:space="preserve"> PAGEREF _Toc107841212 \h </w:instrText>
            </w:r>
            <w:r w:rsidR="00E84CA2">
              <w:rPr>
                <w:noProof/>
                <w:webHidden/>
              </w:rPr>
            </w:r>
            <w:r w:rsidR="00E84CA2">
              <w:rPr>
                <w:noProof/>
                <w:webHidden/>
              </w:rPr>
              <w:fldChar w:fldCharType="separate"/>
            </w:r>
            <w:r w:rsidR="00D346F7">
              <w:rPr>
                <w:noProof/>
                <w:webHidden/>
              </w:rPr>
              <w:t>4</w:t>
            </w:r>
            <w:r w:rsidR="00E84CA2">
              <w:rPr>
                <w:noProof/>
                <w:webHidden/>
              </w:rPr>
              <w:fldChar w:fldCharType="end"/>
            </w:r>
          </w:hyperlink>
        </w:p>
        <w:p w14:paraId="5C15A410" w14:textId="77777777" w:rsidR="00E84CA2" w:rsidRPr="007911B9" w:rsidRDefault="005E6308" w:rsidP="007911B9">
          <w:pPr>
            <w:pStyle w:val="TM3"/>
          </w:pPr>
          <w:hyperlink w:anchor="_Toc107841213" w:history="1">
            <w:r w:rsidR="00E84CA2" w:rsidRPr="00D346F7">
              <w:rPr>
                <w:rStyle w:val="Lienhypertexte"/>
              </w:rPr>
              <w:t>1.3.1</w:t>
            </w:r>
            <w:r w:rsidR="00E84CA2" w:rsidRPr="00D346F7">
              <w:tab/>
            </w:r>
            <w:r w:rsidR="00E84CA2" w:rsidRPr="00D346F7">
              <w:rPr>
                <w:rStyle w:val="Lienhypertexte"/>
              </w:rPr>
              <w:t>Droit à la nationalité</w:t>
            </w:r>
            <w:r w:rsidR="00E84CA2" w:rsidRPr="007911B9">
              <w:rPr>
                <w:webHidden/>
              </w:rPr>
              <w:tab/>
            </w:r>
            <w:r w:rsidR="00E84CA2" w:rsidRPr="007911B9">
              <w:rPr>
                <w:webHidden/>
              </w:rPr>
              <w:fldChar w:fldCharType="begin"/>
            </w:r>
            <w:r w:rsidR="00E84CA2" w:rsidRPr="007911B9">
              <w:rPr>
                <w:webHidden/>
              </w:rPr>
              <w:instrText xml:space="preserve"> PAGEREF _Toc107841213 \h </w:instrText>
            </w:r>
            <w:r w:rsidR="00E84CA2" w:rsidRPr="007911B9">
              <w:rPr>
                <w:webHidden/>
              </w:rPr>
            </w:r>
            <w:r w:rsidR="00E84CA2" w:rsidRPr="007911B9">
              <w:rPr>
                <w:webHidden/>
              </w:rPr>
              <w:fldChar w:fldCharType="separate"/>
            </w:r>
            <w:r w:rsidR="00D346F7">
              <w:rPr>
                <w:webHidden/>
              </w:rPr>
              <w:t>4</w:t>
            </w:r>
            <w:r w:rsidR="00E84CA2" w:rsidRPr="007911B9">
              <w:rPr>
                <w:webHidden/>
              </w:rPr>
              <w:fldChar w:fldCharType="end"/>
            </w:r>
          </w:hyperlink>
        </w:p>
        <w:p w14:paraId="4543EB67" w14:textId="77777777" w:rsidR="00E84CA2" w:rsidRDefault="005E6308" w:rsidP="007911B9">
          <w:pPr>
            <w:pStyle w:val="TM3"/>
          </w:pPr>
          <w:hyperlink w:anchor="_Toc107841214" w:history="1">
            <w:r w:rsidR="00E84CA2" w:rsidRPr="00D346F7">
              <w:rPr>
                <w:rStyle w:val="Lienhypertexte"/>
              </w:rPr>
              <w:t>1.3.2</w:t>
            </w:r>
            <w:r w:rsidR="00E84CA2" w:rsidRPr="00D346F7">
              <w:tab/>
            </w:r>
            <w:r w:rsidR="00E84CA2" w:rsidRPr="00D346F7">
              <w:rPr>
                <w:rStyle w:val="Lienhypertexte"/>
              </w:rPr>
              <w:t>Droit à la liberté d’opinion et d’expression</w:t>
            </w:r>
            <w:r w:rsidR="00E84CA2">
              <w:rPr>
                <w:webHidden/>
              </w:rPr>
              <w:tab/>
            </w:r>
            <w:r w:rsidR="00E84CA2">
              <w:rPr>
                <w:webHidden/>
              </w:rPr>
              <w:fldChar w:fldCharType="begin"/>
            </w:r>
            <w:r w:rsidR="00E84CA2">
              <w:rPr>
                <w:webHidden/>
              </w:rPr>
              <w:instrText xml:space="preserve"> PAGEREF _Toc107841214 \h </w:instrText>
            </w:r>
            <w:r w:rsidR="00E84CA2">
              <w:rPr>
                <w:webHidden/>
              </w:rPr>
            </w:r>
            <w:r w:rsidR="00E84CA2">
              <w:rPr>
                <w:webHidden/>
              </w:rPr>
              <w:fldChar w:fldCharType="separate"/>
            </w:r>
            <w:r w:rsidR="00D346F7">
              <w:rPr>
                <w:webHidden/>
              </w:rPr>
              <w:t>4</w:t>
            </w:r>
            <w:r w:rsidR="00E84CA2">
              <w:rPr>
                <w:webHidden/>
              </w:rPr>
              <w:fldChar w:fldCharType="end"/>
            </w:r>
          </w:hyperlink>
        </w:p>
        <w:p w14:paraId="59AAB658" w14:textId="77777777" w:rsidR="00E84CA2" w:rsidRDefault="005E6308" w:rsidP="007911B9">
          <w:pPr>
            <w:pStyle w:val="TM3"/>
          </w:pPr>
          <w:hyperlink w:anchor="_Toc107841215" w:history="1">
            <w:r w:rsidR="00E84CA2" w:rsidRPr="00D346F7">
              <w:rPr>
                <w:rStyle w:val="Lienhypertexte"/>
              </w:rPr>
              <w:t>1.3.3</w:t>
            </w:r>
            <w:r w:rsidR="00E84CA2" w:rsidRPr="00D346F7">
              <w:tab/>
            </w:r>
            <w:r w:rsidR="00E84CA2" w:rsidRPr="00D346F7">
              <w:rPr>
                <w:rStyle w:val="Lienhypertexte"/>
              </w:rPr>
              <w:t>Droit à la liberté de réunion et d’association pacifiques</w:t>
            </w:r>
            <w:r w:rsidR="00E84CA2">
              <w:rPr>
                <w:webHidden/>
              </w:rPr>
              <w:tab/>
            </w:r>
            <w:r w:rsidR="00E84CA2">
              <w:rPr>
                <w:webHidden/>
              </w:rPr>
              <w:fldChar w:fldCharType="begin"/>
            </w:r>
            <w:r w:rsidR="00E84CA2">
              <w:rPr>
                <w:webHidden/>
              </w:rPr>
              <w:instrText xml:space="preserve"> PAGEREF _Toc107841215 \h </w:instrText>
            </w:r>
            <w:r w:rsidR="00E84CA2">
              <w:rPr>
                <w:webHidden/>
              </w:rPr>
            </w:r>
            <w:r w:rsidR="00E84CA2">
              <w:rPr>
                <w:webHidden/>
              </w:rPr>
              <w:fldChar w:fldCharType="separate"/>
            </w:r>
            <w:r w:rsidR="00D346F7">
              <w:rPr>
                <w:webHidden/>
              </w:rPr>
              <w:t>4</w:t>
            </w:r>
            <w:r w:rsidR="00E84CA2">
              <w:rPr>
                <w:webHidden/>
              </w:rPr>
              <w:fldChar w:fldCharType="end"/>
            </w:r>
          </w:hyperlink>
        </w:p>
        <w:p w14:paraId="05222557" w14:textId="77777777" w:rsidR="00E84CA2" w:rsidRDefault="005E6308">
          <w:pPr>
            <w:pStyle w:val="TM2"/>
            <w:tabs>
              <w:tab w:val="left" w:pos="880"/>
              <w:tab w:val="right" w:leader="dot" w:pos="9062"/>
            </w:tabs>
            <w:rPr>
              <w:noProof/>
            </w:rPr>
          </w:pPr>
          <w:hyperlink w:anchor="_Toc107841216" w:history="1">
            <w:r w:rsidR="00E84CA2" w:rsidRPr="00AD7146">
              <w:rPr>
                <w:rStyle w:val="Lienhypertexte"/>
                <w:rFonts w:ascii="Arial" w:hAnsi="Arial" w:cs="Arial"/>
                <w:b/>
                <w:noProof/>
              </w:rPr>
              <w:t>1.4-</w:t>
            </w:r>
            <w:r w:rsidR="00E84CA2">
              <w:rPr>
                <w:noProof/>
              </w:rPr>
              <w:tab/>
            </w:r>
            <w:r w:rsidR="00E84CA2" w:rsidRPr="00AD7146">
              <w:rPr>
                <w:rStyle w:val="Lienhypertexte"/>
                <w:rFonts w:ascii="Arial" w:hAnsi="Arial" w:cs="Arial"/>
                <w:b/>
                <w:noProof/>
              </w:rPr>
              <w:t>Les droits économiques, sociaux et culturels</w:t>
            </w:r>
            <w:r w:rsidR="00E84CA2">
              <w:rPr>
                <w:noProof/>
                <w:webHidden/>
              </w:rPr>
              <w:tab/>
            </w:r>
            <w:r w:rsidR="00E84CA2">
              <w:rPr>
                <w:noProof/>
                <w:webHidden/>
              </w:rPr>
              <w:fldChar w:fldCharType="begin"/>
            </w:r>
            <w:r w:rsidR="00E84CA2">
              <w:rPr>
                <w:noProof/>
                <w:webHidden/>
              </w:rPr>
              <w:instrText xml:space="preserve"> PAGEREF _Toc107841216 \h </w:instrText>
            </w:r>
            <w:r w:rsidR="00E84CA2">
              <w:rPr>
                <w:noProof/>
                <w:webHidden/>
              </w:rPr>
            </w:r>
            <w:r w:rsidR="00E84CA2">
              <w:rPr>
                <w:noProof/>
                <w:webHidden/>
              </w:rPr>
              <w:fldChar w:fldCharType="separate"/>
            </w:r>
            <w:r w:rsidR="00D346F7">
              <w:rPr>
                <w:noProof/>
                <w:webHidden/>
              </w:rPr>
              <w:t>5</w:t>
            </w:r>
            <w:r w:rsidR="00E84CA2">
              <w:rPr>
                <w:noProof/>
                <w:webHidden/>
              </w:rPr>
              <w:fldChar w:fldCharType="end"/>
            </w:r>
          </w:hyperlink>
        </w:p>
        <w:p w14:paraId="09FF2624" w14:textId="77777777" w:rsidR="00E84CA2" w:rsidRPr="007911B9" w:rsidRDefault="005E6308" w:rsidP="007911B9">
          <w:pPr>
            <w:pStyle w:val="TM3"/>
          </w:pPr>
          <w:hyperlink w:anchor="_Toc107841217" w:history="1">
            <w:r w:rsidR="00E84CA2" w:rsidRPr="00D346F7">
              <w:rPr>
                <w:rStyle w:val="Lienhypertexte"/>
              </w:rPr>
              <w:t>1.4.1</w:t>
            </w:r>
            <w:r w:rsidR="00E84CA2" w:rsidRPr="007911B9">
              <w:tab/>
            </w:r>
            <w:r w:rsidR="00E84CA2" w:rsidRPr="00D346F7">
              <w:rPr>
                <w:rStyle w:val="Lienhypertexte"/>
              </w:rPr>
              <w:t>Droit au travail</w:t>
            </w:r>
            <w:r w:rsidR="00E84CA2" w:rsidRPr="007911B9">
              <w:rPr>
                <w:webHidden/>
              </w:rPr>
              <w:tab/>
            </w:r>
            <w:r w:rsidR="00E84CA2" w:rsidRPr="007911B9">
              <w:rPr>
                <w:webHidden/>
              </w:rPr>
              <w:fldChar w:fldCharType="begin"/>
            </w:r>
            <w:r w:rsidR="00E84CA2" w:rsidRPr="007911B9">
              <w:rPr>
                <w:webHidden/>
              </w:rPr>
              <w:instrText xml:space="preserve"> PAGEREF _Toc107841217 \h </w:instrText>
            </w:r>
            <w:r w:rsidR="00E84CA2" w:rsidRPr="007911B9">
              <w:rPr>
                <w:webHidden/>
              </w:rPr>
            </w:r>
            <w:r w:rsidR="00E84CA2" w:rsidRPr="007911B9">
              <w:rPr>
                <w:webHidden/>
              </w:rPr>
              <w:fldChar w:fldCharType="separate"/>
            </w:r>
            <w:r w:rsidR="00D346F7">
              <w:rPr>
                <w:webHidden/>
              </w:rPr>
              <w:t>5</w:t>
            </w:r>
            <w:r w:rsidR="00E84CA2" w:rsidRPr="007911B9">
              <w:rPr>
                <w:webHidden/>
              </w:rPr>
              <w:fldChar w:fldCharType="end"/>
            </w:r>
          </w:hyperlink>
        </w:p>
        <w:p w14:paraId="1C66FB03" w14:textId="77777777" w:rsidR="00E84CA2" w:rsidRDefault="005E6308" w:rsidP="007911B9">
          <w:pPr>
            <w:pStyle w:val="TM3"/>
          </w:pPr>
          <w:hyperlink w:anchor="_Toc107841218" w:history="1">
            <w:r w:rsidR="00E84CA2" w:rsidRPr="00D346F7">
              <w:rPr>
                <w:rStyle w:val="Lienhypertexte"/>
              </w:rPr>
              <w:t>1.4.2  Droits syndicaux</w:t>
            </w:r>
            <w:r w:rsidR="00E84CA2">
              <w:rPr>
                <w:webHidden/>
              </w:rPr>
              <w:tab/>
            </w:r>
            <w:r w:rsidR="00E84CA2">
              <w:rPr>
                <w:webHidden/>
              </w:rPr>
              <w:fldChar w:fldCharType="begin"/>
            </w:r>
            <w:r w:rsidR="00E84CA2">
              <w:rPr>
                <w:webHidden/>
              </w:rPr>
              <w:instrText xml:space="preserve"> PAGEREF _Toc107841218 \h </w:instrText>
            </w:r>
            <w:r w:rsidR="00E84CA2">
              <w:rPr>
                <w:webHidden/>
              </w:rPr>
            </w:r>
            <w:r w:rsidR="00E84CA2">
              <w:rPr>
                <w:webHidden/>
              </w:rPr>
              <w:fldChar w:fldCharType="separate"/>
            </w:r>
            <w:r w:rsidR="00D346F7">
              <w:rPr>
                <w:webHidden/>
              </w:rPr>
              <w:t>5</w:t>
            </w:r>
            <w:r w:rsidR="00E84CA2">
              <w:rPr>
                <w:webHidden/>
              </w:rPr>
              <w:fldChar w:fldCharType="end"/>
            </w:r>
          </w:hyperlink>
        </w:p>
        <w:p w14:paraId="35B863F4" w14:textId="77777777" w:rsidR="00E84CA2" w:rsidRDefault="005E6308">
          <w:pPr>
            <w:pStyle w:val="TM2"/>
            <w:tabs>
              <w:tab w:val="left" w:pos="880"/>
              <w:tab w:val="right" w:leader="dot" w:pos="9062"/>
            </w:tabs>
            <w:rPr>
              <w:noProof/>
            </w:rPr>
          </w:pPr>
          <w:hyperlink w:anchor="_Toc107841219" w:history="1">
            <w:r w:rsidR="00E84CA2" w:rsidRPr="00AD7146">
              <w:rPr>
                <w:rStyle w:val="Lienhypertexte"/>
                <w:rFonts w:ascii="Arial" w:hAnsi="Arial" w:cs="Arial"/>
                <w:b/>
                <w:noProof/>
              </w:rPr>
              <w:t>1.5</w:t>
            </w:r>
            <w:r w:rsidR="00E84CA2">
              <w:rPr>
                <w:noProof/>
              </w:rPr>
              <w:tab/>
            </w:r>
            <w:r w:rsidR="00E84CA2" w:rsidRPr="00AD7146">
              <w:rPr>
                <w:rStyle w:val="Lienhypertexte"/>
                <w:rFonts w:ascii="Arial" w:hAnsi="Arial" w:cs="Arial"/>
                <w:b/>
                <w:noProof/>
              </w:rPr>
              <w:t>Point sur l’accès à la santé</w:t>
            </w:r>
            <w:r w:rsidR="00E84CA2">
              <w:rPr>
                <w:noProof/>
                <w:webHidden/>
              </w:rPr>
              <w:tab/>
            </w:r>
            <w:r w:rsidR="00E84CA2">
              <w:rPr>
                <w:noProof/>
                <w:webHidden/>
              </w:rPr>
              <w:fldChar w:fldCharType="begin"/>
            </w:r>
            <w:r w:rsidR="00E84CA2">
              <w:rPr>
                <w:noProof/>
                <w:webHidden/>
              </w:rPr>
              <w:instrText xml:space="preserve"> PAGEREF _Toc107841219 \h </w:instrText>
            </w:r>
            <w:r w:rsidR="00E84CA2">
              <w:rPr>
                <w:noProof/>
                <w:webHidden/>
              </w:rPr>
            </w:r>
            <w:r w:rsidR="00E84CA2">
              <w:rPr>
                <w:noProof/>
                <w:webHidden/>
              </w:rPr>
              <w:fldChar w:fldCharType="separate"/>
            </w:r>
            <w:r w:rsidR="00D346F7">
              <w:rPr>
                <w:noProof/>
                <w:webHidden/>
              </w:rPr>
              <w:t>5</w:t>
            </w:r>
            <w:r w:rsidR="00E84CA2">
              <w:rPr>
                <w:noProof/>
                <w:webHidden/>
              </w:rPr>
              <w:fldChar w:fldCharType="end"/>
            </w:r>
          </w:hyperlink>
        </w:p>
        <w:p w14:paraId="7DDF5483" w14:textId="77777777" w:rsidR="00E84CA2" w:rsidRDefault="005E6308">
          <w:pPr>
            <w:pStyle w:val="TM2"/>
            <w:tabs>
              <w:tab w:val="left" w:pos="880"/>
              <w:tab w:val="right" w:leader="dot" w:pos="9062"/>
            </w:tabs>
            <w:rPr>
              <w:noProof/>
            </w:rPr>
          </w:pPr>
          <w:hyperlink w:anchor="_Toc107841220" w:history="1">
            <w:r w:rsidR="00E84CA2" w:rsidRPr="00AD7146">
              <w:rPr>
                <w:rStyle w:val="Lienhypertexte"/>
                <w:rFonts w:ascii="Arial" w:hAnsi="Arial" w:cs="Arial"/>
                <w:b/>
                <w:noProof/>
              </w:rPr>
              <w:t>1.6</w:t>
            </w:r>
            <w:r w:rsidR="00E84CA2">
              <w:rPr>
                <w:noProof/>
              </w:rPr>
              <w:tab/>
            </w:r>
            <w:r w:rsidR="00E84CA2" w:rsidRPr="00AD7146">
              <w:rPr>
                <w:rStyle w:val="Lienhypertexte"/>
                <w:rFonts w:ascii="Arial" w:hAnsi="Arial" w:cs="Arial"/>
                <w:b/>
                <w:noProof/>
              </w:rPr>
              <w:t>Point sur l’accès à l’éducation</w:t>
            </w:r>
            <w:r w:rsidR="00E84CA2">
              <w:rPr>
                <w:noProof/>
                <w:webHidden/>
              </w:rPr>
              <w:tab/>
            </w:r>
            <w:r w:rsidR="00E84CA2">
              <w:rPr>
                <w:noProof/>
                <w:webHidden/>
              </w:rPr>
              <w:fldChar w:fldCharType="begin"/>
            </w:r>
            <w:r w:rsidR="00E84CA2">
              <w:rPr>
                <w:noProof/>
                <w:webHidden/>
              </w:rPr>
              <w:instrText xml:space="preserve"> PAGEREF _Toc107841220 \h </w:instrText>
            </w:r>
            <w:r w:rsidR="00E84CA2">
              <w:rPr>
                <w:noProof/>
                <w:webHidden/>
              </w:rPr>
            </w:r>
            <w:r w:rsidR="00E84CA2">
              <w:rPr>
                <w:noProof/>
                <w:webHidden/>
              </w:rPr>
              <w:fldChar w:fldCharType="separate"/>
            </w:r>
            <w:r w:rsidR="00D346F7">
              <w:rPr>
                <w:noProof/>
                <w:webHidden/>
              </w:rPr>
              <w:t>6</w:t>
            </w:r>
            <w:r w:rsidR="00E84CA2">
              <w:rPr>
                <w:noProof/>
                <w:webHidden/>
              </w:rPr>
              <w:fldChar w:fldCharType="end"/>
            </w:r>
          </w:hyperlink>
        </w:p>
        <w:p w14:paraId="7BBA33BA" w14:textId="77777777" w:rsidR="00E84CA2" w:rsidRDefault="005E6308">
          <w:pPr>
            <w:pStyle w:val="TM1"/>
            <w:tabs>
              <w:tab w:val="left" w:pos="440"/>
              <w:tab w:val="right" w:leader="dot" w:pos="9062"/>
            </w:tabs>
            <w:rPr>
              <w:noProof/>
            </w:rPr>
          </w:pPr>
          <w:hyperlink w:anchor="_Toc107841221" w:history="1">
            <w:r w:rsidR="00E84CA2" w:rsidRPr="00AD7146">
              <w:rPr>
                <w:rStyle w:val="Lienhypertexte"/>
                <w:rFonts w:ascii="Arial" w:hAnsi="Arial" w:cs="Arial"/>
                <w:b/>
                <w:noProof/>
              </w:rPr>
              <w:t>2.</w:t>
            </w:r>
            <w:r w:rsidR="00E84CA2">
              <w:rPr>
                <w:noProof/>
              </w:rPr>
              <w:tab/>
            </w:r>
            <w:r w:rsidR="00E84CA2" w:rsidRPr="00AD7146">
              <w:rPr>
                <w:rStyle w:val="Lienhypertexte"/>
                <w:rFonts w:ascii="Arial" w:hAnsi="Arial" w:cs="Arial"/>
                <w:b/>
                <w:noProof/>
              </w:rPr>
              <w:t>Point sur le droit de recours des victimes (article 6)</w:t>
            </w:r>
            <w:r w:rsidR="00E84CA2">
              <w:rPr>
                <w:noProof/>
                <w:webHidden/>
              </w:rPr>
              <w:tab/>
            </w:r>
            <w:r w:rsidR="00E84CA2">
              <w:rPr>
                <w:noProof/>
                <w:webHidden/>
              </w:rPr>
              <w:fldChar w:fldCharType="begin"/>
            </w:r>
            <w:r w:rsidR="00E84CA2">
              <w:rPr>
                <w:noProof/>
                <w:webHidden/>
              </w:rPr>
              <w:instrText xml:space="preserve"> PAGEREF _Toc107841221 \h </w:instrText>
            </w:r>
            <w:r w:rsidR="00E84CA2">
              <w:rPr>
                <w:noProof/>
                <w:webHidden/>
              </w:rPr>
            </w:r>
            <w:r w:rsidR="00E84CA2">
              <w:rPr>
                <w:noProof/>
                <w:webHidden/>
              </w:rPr>
              <w:fldChar w:fldCharType="separate"/>
            </w:r>
            <w:r w:rsidR="00D346F7">
              <w:rPr>
                <w:noProof/>
                <w:webHidden/>
              </w:rPr>
              <w:t>6</w:t>
            </w:r>
            <w:r w:rsidR="00E84CA2">
              <w:rPr>
                <w:noProof/>
                <w:webHidden/>
              </w:rPr>
              <w:fldChar w:fldCharType="end"/>
            </w:r>
          </w:hyperlink>
        </w:p>
        <w:p w14:paraId="315F5671" w14:textId="66868270" w:rsidR="00E84CA2" w:rsidRDefault="005E6308">
          <w:pPr>
            <w:pStyle w:val="TM1"/>
            <w:tabs>
              <w:tab w:val="right" w:leader="dot" w:pos="9062"/>
            </w:tabs>
            <w:rPr>
              <w:noProof/>
            </w:rPr>
          </w:pPr>
          <w:hyperlink w:anchor="_Toc107841222" w:history="1">
            <w:r w:rsidR="00E84CA2" w:rsidRPr="00E84CA2">
              <w:rPr>
                <w:rStyle w:val="Lienhypertexte"/>
                <w:rFonts w:ascii="Arial" w:hAnsi="Arial" w:cs="Arial"/>
                <w:noProof/>
                <w:color w:val="244061" w:themeColor="accent1" w:themeShade="80"/>
              </w:rPr>
              <w:t xml:space="preserve">OBSERVATIONS SUR LA MISE EN ŒUVRE DE LA CONVENTION INTERNATIONALE </w:t>
            </w:r>
            <w:r w:rsidR="00E67602">
              <w:rPr>
                <w:rStyle w:val="Lienhypertexte"/>
                <w:rFonts w:ascii="Arial" w:hAnsi="Arial" w:cs="Arial"/>
                <w:noProof/>
                <w:color w:val="244061" w:themeColor="accent1" w:themeShade="80"/>
              </w:rPr>
              <w:t xml:space="preserve"> </w:t>
            </w:r>
            <w:r w:rsidR="00E84CA2" w:rsidRPr="00E84CA2">
              <w:rPr>
                <w:rStyle w:val="Lienhypertexte"/>
                <w:rFonts w:ascii="Arial" w:hAnsi="Arial" w:cs="Arial"/>
                <w:noProof/>
                <w:color w:val="244061" w:themeColor="accent1" w:themeShade="80"/>
              </w:rPr>
              <w:t>SUR L’ELIMINATION DE TOUTES LES FORMES DE DISCRIMINATION RACIALE</w:t>
            </w:r>
            <w:r w:rsidR="00E84CA2">
              <w:rPr>
                <w:noProof/>
                <w:webHidden/>
              </w:rPr>
              <w:tab/>
            </w:r>
            <w:r w:rsidR="00E84CA2">
              <w:rPr>
                <w:noProof/>
                <w:webHidden/>
              </w:rPr>
              <w:fldChar w:fldCharType="begin"/>
            </w:r>
            <w:r w:rsidR="00E84CA2">
              <w:rPr>
                <w:noProof/>
                <w:webHidden/>
              </w:rPr>
              <w:instrText xml:space="preserve"> PAGEREF _Toc107841222 \h </w:instrText>
            </w:r>
            <w:r w:rsidR="00E84CA2">
              <w:rPr>
                <w:noProof/>
                <w:webHidden/>
              </w:rPr>
            </w:r>
            <w:r w:rsidR="00E84CA2">
              <w:rPr>
                <w:noProof/>
                <w:webHidden/>
              </w:rPr>
              <w:fldChar w:fldCharType="separate"/>
            </w:r>
            <w:r w:rsidR="00D346F7">
              <w:rPr>
                <w:noProof/>
                <w:webHidden/>
              </w:rPr>
              <w:t>7</w:t>
            </w:r>
            <w:r w:rsidR="00E84CA2">
              <w:rPr>
                <w:noProof/>
                <w:webHidden/>
              </w:rPr>
              <w:fldChar w:fldCharType="end"/>
            </w:r>
          </w:hyperlink>
        </w:p>
        <w:p w14:paraId="3183E7DF" w14:textId="77777777" w:rsidR="00E84CA2" w:rsidRDefault="005E6308">
          <w:pPr>
            <w:pStyle w:val="TM1"/>
            <w:tabs>
              <w:tab w:val="left" w:pos="440"/>
              <w:tab w:val="right" w:leader="dot" w:pos="9062"/>
            </w:tabs>
            <w:rPr>
              <w:noProof/>
            </w:rPr>
          </w:pPr>
          <w:hyperlink w:anchor="_Toc107841223" w:history="1">
            <w:r w:rsidR="00E84CA2" w:rsidRPr="00AD7146">
              <w:rPr>
                <w:rStyle w:val="Lienhypertexte"/>
                <w:rFonts w:ascii="Arial" w:hAnsi="Arial" w:cs="Arial"/>
                <w:b/>
                <w:noProof/>
              </w:rPr>
              <w:t>1-</w:t>
            </w:r>
            <w:r w:rsidR="00E84CA2">
              <w:rPr>
                <w:noProof/>
              </w:rPr>
              <w:tab/>
            </w:r>
            <w:r w:rsidR="00E84CA2" w:rsidRPr="00AD7146">
              <w:rPr>
                <w:rStyle w:val="Lienhypertexte"/>
                <w:rFonts w:ascii="Arial" w:hAnsi="Arial" w:cs="Arial"/>
                <w:b/>
                <w:noProof/>
              </w:rPr>
              <w:t>Point sur la définition et la condamnation de la discrimination raciale (Article 1</w:t>
            </w:r>
            <w:r w:rsidR="00E84CA2" w:rsidRPr="00AD7146">
              <w:rPr>
                <w:rStyle w:val="Lienhypertexte"/>
                <w:rFonts w:ascii="Arial" w:hAnsi="Arial" w:cs="Arial"/>
                <w:b/>
                <w:noProof/>
                <w:vertAlign w:val="superscript"/>
              </w:rPr>
              <w:t>er</w:t>
            </w:r>
            <w:r w:rsidR="00E84CA2" w:rsidRPr="00AD7146">
              <w:rPr>
                <w:rStyle w:val="Lienhypertexte"/>
                <w:rFonts w:ascii="Arial" w:hAnsi="Arial" w:cs="Arial"/>
                <w:b/>
                <w:noProof/>
              </w:rPr>
              <w:t xml:space="preserve"> – Article 4)</w:t>
            </w:r>
            <w:r w:rsidR="00E84CA2">
              <w:rPr>
                <w:noProof/>
                <w:webHidden/>
              </w:rPr>
              <w:tab/>
            </w:r>
            <w:r w:rsidR="00E84CA2">
              <w:rPr>
                <w:noProof/>
                <w:webHidden/>
              </w:rPr>
              <w:fldChar w:fldCharType="begin"/>
            </w:r>
            <w:r w:rsidR="00E84CA2">
              <w:rPr>
                <w:noProof/>
                <w:webHidden/>
              </w:rPr>
              <w:instrText xml:space="preserve"> PAGEREF _Toc107841223 \h </w:instrText>
            </w:r>
            <w:r w:rsidR="00E84CA2">
              <w:rPr>
                <w:noProof/>
                <w:webHidden/>
              </w:rPr>
            </w:r>
            <w:r w:rsidR="00E84CA2">
              <w:rPr>
                <w:noProof/>
                <w:webHidden/>
              </w:rPr>
              <w:fldChar w:fldCharType="separate"/>
            </w:r>
            <w:r w:rsidR="00D346F7">
              <w:rPr>
                <w:noProof/>
                <w:webHidden/>
              </w:rPr>
              <w:t>7</w:t>
            </w:r>
            <w:r w:rsidR="00E84CA2">
              <w:rPr>
                <w:noProof/>
                <w:webHidden/>
              </w:rPr>
              <w:fldChar w:fldCharType="end"/>
            </w:r>
          </w:hyperlink>
        </w:p>
        <w:p w14:paraId="2C63200B" w14:textId="77777777" w:rsidR="00E84CA2" w:rsidRDefault="005E6308">
          <w:pPr>
            <w:pStyle w:val="TM1"/>
            <w:tabs>
              <w:tab w:val="left" w:pos="440"/>
              <w:tab w:val="right" w:leader="dot" w:pos="9062"/>
            </w:tabs>
            <w:rPr>
              <w:noProof/>
            </w:rPr>
          </w:pPr>
          <w:hyperlink w:anchor="_Toc107841224" w:history="1">
            <w:r w:rsidR="00E84CA2" w:rsidRPr="00AD7146">
              <w:rPr>
                <w:rStyle w:val="Lienhypertexte"/>
                <w:rFonts w:ascii="Arial" w:hAnsi="Arial" w:cs="Arial"/>
                <w:b/>
                <w:noProof/>
              </w:rPr>
              <w:t>2-</w:t>
            </w:r>
            <w:r w:rsidR="00E84CA2">
              <w:rPr>
                <w:noProof/>
              </w:rPr>
              <w:tab/>
            </w:r>
            <w:r w:rsidR="00E84CA2" w:rsidRPr="00AD7146">
              <w:rPr>
                <w:rStyle w:val="Lienhypertexte"/>
                <w:rFonts w:ascii="Arial" w:hAnsi="Arial" w:cs="Arial"/>
                <w:b/>
                <w:noProof/>
              </w:rPr>
              <w:t>Point sur la protection contre la discrimination raciale (Article 5)</w:t>
            </w:r>
            <w:r w:rsidR="00E84CA2">
              <w:rPr>
                <w:noProof/>
                <w:webHidden/>
              </w:rPr>
              <w:tab/>
            </w:r>
            <w:r w:rsidR="00E84CA2">
              <w:rPr>
                <w:noProof/>
                <w:webHidden/>
              </w:rPr>
              <w:fldChar w:fldCharType="begin"/>
            </w:r>
            <w:r w:rsidR="00E84CA2">
              <w:rPr>
                <w:noProof/>
                <w:webHidden/>
              </w:rPr>
              <w:instrText xml:space="preserve"> PAGEREF _Toc107841224 \h </w:instrText>
            </w:r>
            <w:r w:rsidR="00E84CA2">
              <w:rPr>
                <w:noProof/>
                <w:webHidden/>
              </w:rPr>
            </w:r>
            <w:r w:rsidR="00E84CA2">
              <w:rPr>
                <w:noProof/>
                <w:webHidden/>
              </w:rPr>
              <w:fldChar w:fldCharType="separate"/>
            </w:r>
            <w:r w:rsidR="00D346F7">
              <w:rPr>
                <w:noProof/>
                <w:webHidden/>
              </w:rPr>
              <w:t>7</w:t>
            </w:r>
            <w:r w:rsidR="00E84CA2">
              <w:rPr>
                <w:noProof/>
                <w:webHidden/>
              </w:rPr>
              <w:fldChar w:fldCharType="end"/>
            </w:r>
          </w:hyperlink>
        </w:p>
        <w:p w14:paraId="71D10B27" w14:textId="77777777" w:rsidR="00E84CA2" w:rsidRDefault="005E6308">
          <w:pPr>
            <w:pStyle w:val="TM2"/>
            <w:tabs>
              <w:tab w:val="right" w:leader="dot" w:pos="9062"/>
            </w:tabs>
            <w:rPr>
              <w:noProof/>
            </w:rPr>
          </w:pPr>
          <w:hyperlink w:anchor="_Toc107841225" w:history="1">
            <w:r w:rsidR="00E84CA2" w:rsidRPr="00AD7146">
              <w:rPr>
                <w:rStyle w:val="Lienhypertexte"/>
                <w:rFonts w:ascii="Arial" w:hAnsi="Arial" w:cs="Arial"/>
                <w:noProof/>
              </w:rPr>
              <w:t>a) Le droit à la sûreté de la personne et à la protection de l’État contre les voies de fait ou les sévices</w:t>
            </w:r>
            <w:r w:rsidR="00E84CA2">
              <w:rPr>
                <w:noProof/>
                <w:webHidden/>
              </w:rPr>
              <w:tab/>
            </w:r>
            <w:r w:rsidR="00E84CA2">
              <w:rPr>
                <w:noProof/>
                <w:webHidden/>
              </w:rPr>
              <w:fldChar w:fldCharType="begin"/>
            </w:r>
            <w:r w:rsidR="00E84CA2">
              <w:rPr>
                <w:noProof/>
                <w:webHidden/>
              </w:rPr>
              <w:instrText xml:space="preserve"> PAGEREF _Toc107841225 \h </w:instrText>
            </w:r>
            <w:r w:rsidR="00E84CA2">
              <w:rPr>
                <w:noProof/>
                <w:webHidden/>
              </w:rPr>
            </w:r>
            <w:r w:rsidR="00E84CA2">
              <w:rPr>
                <w:noProof/>
                <w:webHidden/>
              </w:rPr>
              <w:fldChar w:fldCharType="separate"/>
            </w:r>
            <w:r w:rsidR="00D346F7">
              <w:rPr>
                <w:noProof/>
                <w:webHidden/>
              </w:rPr>
              <w:t>7</w:t>
            </w:r>
            <w:r w:rsidR="00E84CA2">
              <w:rPr>
                <w:noProof/>
                <w:webHidden/>
              </w:rPr>
              <w:fldChar w:fldCharType="end"/>
            </w:r>
          </w:hyperlink>
        </w:p>
        <w:p w14:paraId="7BA5CA1B" w14:textId="77777777" w:rsidR="00E84CA2" w:rsidRDefault="005E6308">
          <w:pPr>
            <w:pStyle w:val="TM2"/>
            <w:tabs>
              <w:tab w:val="right" w:leader="dot" w:pos="9062"/>
            </w:tabs>
            <w:rPr>
              <w:noProof/>
            </w:rPr>
          </w:pPr>
          <w:hyperlink w:anchor="_Toc107841226" w:history="1">
            <w:r w:rsidR="00E84CA2" w:rsidRPr="00AD7146">
              <w:rPr>
                <w:rStyle w:val="Lienhypertexte"/>
                <w:rFonts w:ascii="Arial" w:hAnsi="Arial" w:cs="Arial"/>
                <w:noProof/>
              </w:rPr>
              <w:t>b) Les droits politiques</w:t>
            </w:r>
            <w:r w:rsidR="00E84CA2">
              <w:rPr>
                <w:noProof/>
                <w:webHidden/>
              </w:rPr>
              <w:tab/>
            </w:r>
            <w:r w:rsidR="00E84CA2">
              <w:rPr>
                <w:noProof/>
                <w:webHidden/>
              </w:rPr>
              <w:fldChar w:fldCharType="begin"/>
            </w:r>
            <w:r w:rsidR="00E84CA2">
              <w:rPr>
                <w:noProof/>
                <w:webHidden/>
              </w:rPr>
              <w:instrText xml:space="preserve"> PAGEREF _Toc107841226 \h </w:instrText>
            </w:r>
            <w:r w:rsidR="00E84CA2">
              <w:rPr>
                <w:noProof/>
                <w:webHidden/>
              </w:rPr>
            </w:r>
            <w:r w:rsidR="00E84CA2">
              <w:rPr>
                <w:noProof/>
                <w:webHidden/>
              </w:rPr>
              <w:fldChar w:fldCharType="separate"/>
            </w:r>
            <w:r w:rsidR="00D346F7">
              <w:rPr>
                <w:noProof/>
                <w:webHidden/>
              </w:rPr>
              <w:t>9</w:t>
            </w:r>
            <w:r w:rsidR="00E84CA2">
              <w:rPr>
                <w:noProof/>
                <w:webHidden/>
              </w:rPr>
              <w:fldChar w:fldCharType="end"/>
            </w:r>
          </w:hyperlink>
        </w:p>
        <w:p w14:paraId="2247603A" w14:textId="77777777" w:rsidR="00E84CA2" w:rsidRDefault="005E6308">
          <w:pPr>
            <w:pStyle w:val="TM2"/>
            <w:tabs>
              <w:tab w:val="right" w:leader="dot" w:pos="9062"/>
            </w:tabs>
            <w:rPr>
              <w:noProof/>
            </w:rPr>
          </w:pPr>
          <w:hyperlink w:anchor="_Toc107841227" w:history="1">
            <w:r w:rsidR="00E84CA2" w:rsidRPr="00AD7146">
              <w:rPr>
                <w:rStyle w:val="Lienhypertexte"/>
                <w:rFonts w:ascii="Arial" w:hAnsi="Arial" w:cs="Arial"/>
                <w:noProof/>
              </w:rPr>
              <w:t>c) Les autres droits civils</w:t>
            </w:r>
            <w:r w:rsidR="00E84CA2">
              <w:rPr>
                <w:noProof/>
                <w:webHidden/>
              </w:rPr>
              <w:tab/>
            </w:r>
            <w:r w:rsidR="00E84CA2">
              <w:rPr>
                <w:noProof/>
                <w:webHidden/>
              </w:rPr>
              <w:fldChar w:fldCharType="begin"/>
            </w:r>
            <w:r w:rsidR="00E84CA2">
              <w:rPr>
                <w:noProof/>
                <w:webHidden/>
              </w:rPr>
              <w:instrText xml:space="preserve"> PAGEREF _Toc107841227 \h </w:instrText>
            </w:r>
            <w:r w:rsidR="00E84CA2">
              <w:rPr>
                <w:noProof/>
                <w:webHidden/>
              </w:rPr>
            </w:r>
            <w:r w:rsidR="00E84CA2">
              <w:rPr>
                <w:noProof/>
                <w:webHidden/>
              </w:rPr>
              <w:fldChar w:fldCharType="separate"/>
            </w:r>
            <w:r w:rsidR="00D346F7">
              <w:rPr>
                <w:noProof/>
                <w:webHidden/>
              </w:rPr>
              <w:t>9</w:t>
            </w:r>
            <w:r w:rsidR="00E84CA2">
              <w:rPr>
                <w:noProof/>
                <w:webHidden/>
              </w:rPr>
              <w:fldChar w:fldCharType="end"/>
            </w:r>
          </w:hyperlink>
        </w:p>
        <w:p w14:paraId="274352A2" w14:textId="77777777" w:rsidR="00E84CA2" w:rsidRDefault="005E6308" w:rsidP="007911B9">
          <w:pPr>
            <w:pStyle w:val="TM3"/>
          </w:pPr>
          <w:hyperlink w:anchor="_Toc107841228" w:history="1">
            <w:r w:rsidR="00E84CA2" w:rsidRPr="00AD7146">
              <w:rPr>
                <w:rStyle w:val="Lienhypertexte"/>
              </w:rPr>
              <w:t>i)  Droit à une nationalité</w:t>
            </w:r>
            <w:r w:rsidR="00E84CA2">
              <w:rPr>
                <w:webHidden/>
              </w:rPr>
              <w:tab/>
            </w:r>
            <w:r w:rsidR="00E84CA2">
              <w:rPr>
                <w:webHidden/>
              </w:rPr>
              <w:fldChar w:fldCharType="begin"/>
            </w:r>
            <w:r w:rsidR="00E84CA2">
              <w:rPr>
                <w:webHidden/>
              </w:rPr>
              <w:instrText xml:space="preserve"> PAGEREF _Toc107841228 \h </w:instrText>
            </w:r>
            <w:r w:rsidR="00E84CA2">
              <w:rPr>
                <w:webHidden/>
              </w:rPr>
            </w:r>
            <w:r w:rsidR="00E84CA2">
              <w:rPr>
                <w:webHidden/>
              </w:rPr>
              <w:fldChar w:fldCharType="separate"/>
            </w:r>
            <w:r w:rsidR="00D346F7">
              <w:rPr>
                <w:webHidden/>
              </w:rPr>
              <w:t>9</w:t>
            </w:r>
            <w:r w:rsidR="00E84CA2">
              <w:rPr>
                <w:webHidden/>
              </w:rPr>
              <w:fldChar w:fldCharType="end"/>
            </w:r>
          </w:hyperlink>
        </w:p>
        <w:p w14:paraId="5CC5E837" w14:textId="77777777" w:rsidR="00E84CA2" w:rsidRDefault="005E6308" w:rsidP="007911B9">
          <w:pPr>
            <w:pStyle w:val="TM3"/>
          </w:pPr>
          <w:hyperlink w:anchor="_Toc107841229" w:history="1">
            <w:r w:rsidR="00E84CA2" w:rsidRPr="00AD7146">
              <w:rPr>
                <w:rStyle w:val="Lienhypertexte"/>
              </w:rPr>
              <w:t>ii) Droit à la liberté d’opinion et d’expression</w:t>
            </w:r>
            <w:r w:rsidR="00E84CA2">
              <w:rPr>
                <w:webHidden/>
              </w:rPr>
              <w:tab/>
            </w:r>
            <w:r w:rsidR="00E84CA2">
              <w:rPr>
                <w:webHidden/>
              </w:rPr>
              <w:fldChar w:fldCharType="begin"/>
            </w:r>
            <w:r w:rsidR="00E84CA2">
              <w:rPr>
                <w:webHidden/>
              </w:rPr>
              <w:instrText xml:space="preserve"> PAGEREF _Toc107841229 \h </w:instrText>
            </w:r>
            <w:r w:rsidR="00E84CA2">
              <w:rPr>
                <w:webHidden/>
              </w:rPr>
            </w:r>
            <w:r w:rsidR="00E84CA2">
              <w:rPr>
                <w:webHidden/>
              </w:rPr>
              <w:fldChar w:fldCharType="separate"/>
            </w:r>
            <w:r w:rsidR="00D346F7">
              <w:rPr>
                <w:webHidden/>
              </w:rPr>
              <w:t>10</w:t>
            </w:r>
            <w:r w:rsidR="00E84CA2">
              <w:rPr>
                <w:webHidden/>
              </w:rPr>
              <w:fldChar w:fldCharType="end"/>
            </w:r>
          </w:hyperlink>
        </w:p>
        <w:p w14:paraId="2F6A7E3E" w14:textId="77777777" w:rsidR="00E84CA2" w:rsidRDefault="005E6308" w:rsidP="007911B9">
          <w:pPr>
            <w:pStyle w:val="TM3"/>
          </w:pPr>
          <w:hyperlink w:anchor="_Toc107841230" w:history="1">
            <w:r w:rsidR="00E84CA2" w:rsidRPr="00AD7146">
              <w:rPr>
                <w:rStyle w:val="Lienhypertexte"/>
              </w:rPr>
              <w:t>iii) Droit à la liberté de réunion, d’association et de manifestation pacifiques</w:t>
            </w:r>
            <w:r w:rsidR="00E84CA2">
              <w:rPr>
                <w:webHidden/>
              </w:rPr>
              <w:tab/>
            </w:r>
            <w:r w:rsidR="00E84CA2">
              <w:rPr>
                <w:webHidden/>
              </w:rPr>
              <w:fldChar w:fldCharType="begin"/>
            </w:r>
            <w:r w:rsidR="00E84CA2">
              <w:rPr>
                <w:webHidden/>
              </w:rPr>
              <w:instrText xml:space="preserve"> PAGEREF _Toc107841230 \h </w:instrText>
            </w:r>
            <w:r w:rsidR="00E84CA2">
              <w:rPr>
                <w:webHidden/>
              </w:rPr>
            </w:r>
            <w:r w:rsidR="00E84CA2">
              <w:rPr>
                <w:webHidden/>
              </w:rPr>
              <w:fldChar w:fldCharType="separate"/>
            </w:r>
            <w:r w:rsidR="00D346F7">
              <w:rPr>
                <w:webHidden/>
              </w:rPr>
              <w:t>11</w:t>
            </w:r>
            <w:r w:rsidR="00E84CA2">
              <w:rPr>
                <w:webHidden/>
              </w:rPr>
              <w:fldChar w:fldCharType="end"/>
            </w:r>
          </w:hyperlink>
        </w:p>
        <w:p w14:paraId="2379D875" w14:textId="5ECC596D" w:rsidR="00E84CA2" w:rsidRDefault="005E6308">
          <w:pPr>
            <w:pStyle w:val="TM2"/>
            <w:tabs>
              <w:tab w:val="right" w:leader="dot" w:pos="9062"/>
            </w:tabs>
            <w:rPr>
              <w:noProof/>
            </w:rPr>
          </w:pPr>
          <w:hyperlink w:anchor="_Toc107841231" w:history="1">
            <w:r w:rsidR="00E84CA2" w:rsidRPr="00AD7146">
              <w:rPr>
                <w:rStyle w:val="Lienhypertexte"/>
                <w:rFonts w:ascii="Arial" w:hAnsi="Arial" w:cs="Arial"/>
                <w:noProof/>
              </w:rPr>
              <w:t xml:space="preserve">d) </w:t>
            </w:r>
            <w:r w:rsidR="00E52950">
              <w:rPr>
                <w:rStyle w:val="Lienhypertexte"/>
                <w:rFonts w:ascii="Arial" w:hAnsi="Arial" w:cs="Arial"/>
                <w:noProof/>
              </w:rPr>
              <w:t>L</w:t>
            </w:r>
            <w:r w:rsidR="00E52950" w:rsidRPr="00AD7146">
              <w:rPr>
                <w:rStyle w:val="Lienhypertexte"/>
                <w:rFonts w:ascii="Arial" w:hAnsi="Arial" w:cs="Arial"/>
                <w:noProof/>
              </w:rPr>
              <w:t>es droits economiques, sociaux et culturels</w:t>
            </w:r>
            <w:r w:rsidR="00E84CA2">
              <w:rPr>
                <w:noProof/>
                <w:webHidden/>
              </w:rPr>
              <w:tab/>
            </w:r>
            <w:r w:rsidR="00E84CA2">
              <w:rPr>
                <w:noProof/>
                <w:webHidden/>
              </w:rPr>
              <w:fldChar w:fldCharType="begin"/>
            </w:r>
            <w:r w:rsidR="00E84CA2">
              <w:rPr>
                <w:noProof/>
                <w:webHidden/>
              </w:rPr>
              <w:instrText xml:space="preserve"> PAGEREF _Toc107841231 \h </w:instrText>
            </w:r>
            <w:r w:rsidR="00E84CA2">
              <w:rPr>
                <w:noProof/>
                <w:webHidden/>
              </w:rPr>
            </w:r>
            <w:r w:rsidR="00E84CA2">
              <w:rPr>
                <w:noProof/>
                <w:webHidden/>
              </w:rPr>
              <w:fldChar w:fldCharType="separate"/>
            </w:r>
            <w:r w:rsidR="00D346F7">
              <w:rPr>
                <w:noProof/>
                <w:webHidden/>
              </w:rPr>
              <w:t>12</w:t>
            </w:r>
            <w:r w:rsidR="00E84CA2">
              <w:rPr>
                <w:noProof/>
                <w:webHidden/>
              </w:rPr>
              <w:fldChar w:fldCharType="end"/>
            </w:r>
          </w:hyperlink>
        </w:p>
        <w:p w14:paraId="1471C25E" w14:textId="77777777" w:rsidR="00E84CA2" w:rsidRDefault="005E6308" w:rsidP="007911B9">
          <w:pPr>
            <w:pStyle w:val="TM3"/>
          </w:pPr>
          <w:hyperlink w:anchor="_Toc107841232" w:history="1">
            <w:r w:rsidR="00E84CA2" w:rsidRPr="00AD7146">
              <w:rPr>
                <w:rStyle w:val="Lienhypertexte"/>
              </w:rPr>
              <w:t>i) Droit au travail</w:t>
            </w:r>
            <w:r w:rsidR="00E84CA2">
              <w:rPr>
                <w:webHidden/>
              </w:rPr>
              <w:tab/>
            </w:r>
            <w:r w:rsidR="00E84CA2">
              <w:rPr>
                <w:webHidden/>
              </w:rPr>
              <w:fldChar w:fldCharType="begin"/>
            </w:r>
            <w:r w:rsidR="00E84CA2">
              <w:rPr>
                <w:webHidden/>
              </w:rPr>
              <w:instrText xml:space="preserve"> PAGEREF _Toc107841232 \h </w:instrText>
            </w:r>
            <w:r w:rsidR="00E84CA2">
              <w:rPr>
                <w:webHidden/>
              </w:rPr>
            </w:r>
            <w:r w:rsidR="00E84CA2">
              <w:rPr>
                <w:webHidden/>
              </w:rPr>
              <w:fldChar w:fldCharType="separate"/>
            </w:r>
            <w:r w:rsidR="00D346F7">
              <w:rPr>
                <w:webHidden/>
              </w:rPr>
              <w:t>12</w:t>
            </w:r>
            <w:r w:rsidR="00E84CA2">
              <w:rPr>
                <w:webHidden/>
              </w:rPr>
              <w:fldChar w:fldCharType="end"/>
            </w:r>
          </w:hyperlink>
        </w:p>
        <w:p w14:paraId="6B3A5D06" w14:textId="77777777" w:rsidR="00E84CA2" w:rsidRDefault="005E6308" w:rsidP="007911B9">
          <w:pPr>
            <w:pStyle w:val="TM3"/>
          </w:pPr>
          <w:hyperlink w:anchor="_Toc107841233" w:history="1">
            <w:r w:rsidR="00E84CA2" w:rsidRPr="00AD7146">
              <w:rPr>
                <w:rStyle w:val="Lienhypertexte"/>
              </w:rPr>
              <w:t>ii)  Droits syndicaux</w:t>
            </w:r>
            <w:r w:rsidR="00E84CA2">
              <w:rPr>
                <w:webHidden/>
              </w:rPr>
              <w:tab/>
            </w:r>
            <w:r w:rsidR="00E84CA2">
              <w:rPr>
                <w:webHidden/>
              </w:rPr>
              <w:fldChar w:fldCharType="begin"/>
            </w:r>
            <w:r w:rsidR="00E84CA2">
              <w:rPr>
                <w:webHidden/>
              </w:rPr>
              <w:instrText xml:space="preserve"> PAGEREF _Toc107841233 \h </w:instrText>
            </w:r>
            <w:r w:rsidR="00E84CA2">
              <w:rPr>
                <w:webHidden/>
              </w:rPr>
            </w:r>
            <w:r w:rsidR="00E84CA2">
              <w:rPr>
                <w:webHidden/>
              </w:rPr>
              <w:fldChar w:fldCharType="separate"/>
            </w:r>
            <w:r w:rsidR="00D346F7">
              <w:rPr>
                <w:webHidden/>
              </w:rPr>
              <w:t>14</w:t>
            </w:r>
            <w:r w:rsidR="00E84CA2">
              <w:rPr>
                <w:webHidden/>
              </w:rPr>
              <w:fldChar w:fldCharType="end"/>
            </w:r>
          </w:hyperlink>
        </w:p>
        <w:p w14:paraId="390F96F5" w14:textId="77777777" w:rsidR="00E84CA2" w:rsidRDefault="005E6308" w:rsidP="007911B9">
          <w:pPr>
            <w:pStyle w:val="TM3"/>
          </w:pPr>
          <w:hyperlink w:anchor="_Toc107841234" w:history="1">
            <w:r w:rsidR="00E84CA2" w:rsidRPr="00AD7146">
              <w:rPr>
                <w:rStyle w:val="Lienhypertexte"/>
              </w:rPr>
              <w:t>iii) Droit à la santé, aux soins médicaux, à la sécurité sociale et aux services sociaux</w:t>
            </w:r>
            <w:r w:rsidR="00E84CA2">
              <w:rPr>
                <w:webHidden/>
              </w:rPr>
              <w:tab/>
            </w:r>
            <w:r w:rsidR="00E84CA2">
              <w:rPr>
                <w:webHidden/>
              </w:rPr>
              <w:fldChar w:fldCharType="begin"/>
            </w:r>
            <w:r w:rsidR="00E84CA2">
              <w:rPr>
                <w:webHidden/>
              </w:rPr>
              <w:instrText xml:space="preserve"> PAGEREF _Toc107841234 \h </w:instrText>
            </w:r>
            <w:r w:rsidR="00E84CA2">
              <w:rPr>
                <w:webHidden/>
              </w:rPr>
            </w:r>
            <w:r w:rsidR="00E84CA2">
              <w:rPr>
                <w:webHidden/>
              </w:rPr>
              <w:fldChar w:fldCharType="separate"/>
            </w:r>
            <w:r w:rsidR="00D346F7">
              <w:rPr>
                <w:webHidden/>
              </w:rPr>
              <w:t>15</w:t>
            </w:r>
            <w:r w:rsidR="00E84CA2">
              <w:rPr>
                <w:webHidden/>
              </w:rPr>
              <w:fldChar w:fldCharType="end"/>
            </w:r>
          </w:hyperlink>
        </w:p>
        <w:p w14:paraId="261EFE83" w14:textId="77777777" w:rsidR="00E84CA2" w:rsidRDefault="005E6308" w:rsidP="007911B9">
          <w:pPr>
            <w:pStyle w:val="TM3"/>
          </w:pPr>
          <w:hyperlink w:anchor="_Toc107841235" w:history="1">
            <w:r w:rsidR="00E84CA2" w:rsidRPr="00AD7146">
              <w:rPr>
                <w:rStyle w:val="Lienhypertexte"/>
              </w:rPr>
              <w:t>iv) Droit à l’éducation et à la formation professionnelle</w:t>
            </w:r>
            <w:r w:rsidR="00E84CA2">
              <w:rPr>
                <w:webHidden/>
              </w:rPr>
              <w:tab/>
            </w:r>
            <w:r w:rsidR="00E84CA2">
              <w:rPr>
                <w:webHidden/>
              </w:rPr>
              <w:fldChar w:fldCharType="begin"/>
            </w:r>
            <w:r w:rsidR="00E84CA2">
              <w:rPr>
                <w:webHidden/>
              </w:rPr>
              <w:instrText xml:space="preserve"> PAGEREF _Toc107841235 \h </w:instrText>
            </w:r>
            <w:r w:rsidR="00E84CA2">
              <w:rPr>
                <w:webHidden/>
              </w:rPr>
            </w:r>
            <w:r w:rsidR="00E84CA2">
              <w:rPr>
                <w:webHidden/>
              </w:rPr>
              <w:fldChar w:fldCharType="separate"/>
            </w:r>
            <w:r w:rsidR="00D346F7">
              <w:rPr>
                <w:webHidden/>
              </w:rPr>
              <w:t>17</w:t>
            </w:r>
            <w:r w:rsidR="00E84CA2">
              <w:rPr>
                <w:webHidden/>
              </w:rPr>
              <w:fldChar w:fldCharType="end"/>
            </w:r>
          </w:hyperlink>
        </w:p>
        <w:p w14:paraId="0E16A256" w14:textId="77777777" w:rsidR="00E84CA2" w:rsidRDefault="005E6308">
          <w:pPr>
            <w:pStyle w:val="TM1"/>
            <w:tabs>
              <w:tab w:val="right" w:leader="dot" w:pos="9062"/>
            </w:tabs>
            <w:rPr>
              <w:noProof/>
            </w:rPr>
          </w:pPr>
          <w:hyperlink w:anchor="_Toc107841236" w:history="1">
            <w:r w:rsidR="00E84CA2" w:rsidRPr="00E84CA2">
              <w:rPr>
                <w:rStyle w:val="Lienhypertexte"/>
                <w:rFonts w:ascii="Arial" w:hAnsi="Arial" w:cs="Arial"/>
                <w:b/>
                <w:noProof/>
              </w:rPr>
              <w:t>Droits des victimes à des recours</w:t>
            </w:r>
            <w:r w:rsidR="00E84CA2">
              <w:rPr>
                <w:noProof/>
                <w:webHidden/>
              </w:rPr>
              <w:tab/>
            </w:r>
            <w:r w:rsidR="00E84CA2">
              <w:rPr>
                <w:noProof/>
                <w:webHidden/>
              </w:rPr>
              <w:fldChar w:fldCharType="begin"/>
            </w:r>
            <w:r w:rsidR="00E84CA2">
              <w:rPr>
                <w:noProof/>
                <w:webHidden/>
              </w:rPr>
              <w:instrText xml:space="preserve"> PAGEREF _Toc107841236 \h </w:instrText>
            </w:r>
            <w:r w:rsidR="00E84CA2">
              <w:rPr>
                <w:noProof/>
                <w:webHidden/>
              </w:rPr>
            </w:r>
            <w:r w:rsidR="00E84CA2">
              <w:rPr>
                <w:noProof/>
                <w:webHidden/>
              </w:rPr>
              <w:fldChar w:fldCharType="separate"/>
            </w:r>
            <w:r w:rsidR="00D346F7">
              <w:rPr>
                <w:noProof/>
                <w:webHidden/>
              </w:rPr>
              <w:t>19</w:t>
            </w:r>
            <w:r w:rsidR="00E84CA2">
              <w:rPr>
                <w:noProof/>
                <w:webHidden/>
              </w:rPr>
              <w:fldChar w:fldCharType="end"/>
            </w:r>
          </w:hyperlink>
        </w:p>
        <w:p w14:paraId="5F2EA8B6" w14:textId="2E465A9D" w:rsidR="00C800FB" w:rsidRDefault="00C800FB">
          <w:r w:rsidRPr="00E84CA2">
            <w:rPr>
              <w:rFonts w:ascii="Maiandra GD" w:hAnsi="Maiandra GD"/>
              <w:b/>
              <w:bCs/>
              <w:sz w:val="20"/>
              <w:szCs w:val="20"/>
            </w:rPr>
            <w:fldChar w:fldCharType="end"/>
          </w:r>
        </w:p>
      </w:sdtContent>
    </w:sdt>
    <w:p w14:paraId="7A3411AD" w14:textId="77777777" w:rsidR="00C800FB" w:rsidRDefault="00C800FB">
      <w:pPr>
        <w:spacing w:after="200" w:line="276" w:lineRule="auto"/>
        <w:rPr>
          <w:rFonts w:ascii="Arial" w:hAnsi="Arial" w:cs="Arial"/>
          <w:b/>
        </w:rPr>
      </w:pPr>
      <w:r>
        <w:rPr>
          <w:rFonts w:ascii="Arial" w:hAnsi="Arial" w:cs="Arial"/>
          <w:b/>
        </w:rPr>
        <w:br w:type="page"/>
      </w:r>
    </w:p>
    <w:p w14:paraId="38414B0C" w14:textId="08AE4FBD" w:rsidR="009A1A36" w:rsidRPr="00DF1E74" w:rsidRDefault="00C800FB" w:rsidP="009A1A36">
      <w:pPr>
        <w:pStyle w:val="Titre1"/>
        <w:rPr>
          <w:rFonts w:ascii="Arial" w:hAnsi="Arial" w:cs="Arial"/>
        </w:rPr>
      </w:pPr>
      <w:bookmarkStart w:id="0" w:name="_Toc107841208"/>
      <w:r w:rsidRPr="00DF1E74">
        <w:rPr>
          <w:rFonts w:ascii="Arial" w:hAnsi="Arial" w:cs="Arial"/>
        </w:rPr>
        <w:lastRenderedPageBreak/>
        <w:t>SIGLES ET ACRONYMES</w:t>
      </w:r>
      <w:bookmarkEnd w:id="0"/>
    </w:p>
    <w:p w14:paraId="03C9E586" w14:textId="77777777" w:rsidR="009A1A36" w:rsidRPr="00DF1E74" w:rsidRDefault="009A1A36" w:rsidP="009A1A36">
      <w:pPr>
        <w:rPr>
          <w:b/>
        </w:rPr>
      </w:pPr>
    </w:p>
    <w:p w14:paraId="5842D039" w14:textId="3AEBDFF5" w:rsidR="00CF03F0" w:rsidRDefault="00CF03F0" w:rsidP="009006E3">
      <w:pPr>
        <w:spacing w:after="200" w:line="276" w:lineRule="auto"/>
        <w:jc w:val="both"/>
        <w:rPr>
          <w:rFonts w:ascii="Arial" w:hAnsi="Arial" w:cs="Arial"/>
          <w:b/>
        </w:rPr>
      </w:pPr>
      <w:r>
        <w:rPr>
          <w:rFonts w:ascii="Arial" w:hAnsi="Arial" w:cs="Arial"/>
          <w:b/>
        </w:rPr>
        <w:t xml:space="preserve">ARCEP : </w:t>
      </w:r>
      <w:r w:rsidRPr="009006E3">
        <w:rPr>
          <w:rFonts w:ascii="Arial" w:hAnsi="Arial" w:cs="Arial"/>
        </w:rPr>
        <w:t>Autorité de Régulation des Communications Electroniques et de la Poste</w:t>
      </w:r>
      <w:r>
        <w:rPr>
          <w:rFonts w:ascii="Arial" w:hAnsi="Arial" w:cs="Arial"/>
          <w:b/>
        </w:rPr>
        <w:t xml:space="preserve"> </w:t>
      </w:r>
    </w:p>
    <w:p w14:paraId="41BD35FC" w14:textId="77777777" w:rsidR="00CF03F0" w:rsidRPr="009006E3" w:rsidRDefault="00CF03F0" w:rsidP="009006E3">
      <w:pPr>
        <w:spacing w:after="200" w:line="276" w:lineRule="auto"/>
        <w:jc w:val="both"/>
        <w:rPr>
          <w:rFonts w:ascii="Arial" w:hAnsi="Arial" w:cs="Arial"/>
        </w:rPr>
      </w:pPr>
      <w:r>
        <w:rPr>
          <w:rFonts w:ascii="Arial" w:hAnsi="Arial" w:cs="Arial"/>
          <w:b/>
        </w:rPr>
        <w:t xml:space="preserve">ARCH : </w:t>
      </w:r>
      <w:r w:rsidRPr="009006E3">
        <w:rPr>
          <w:rFonts w:ascii="Arial" w:hAnsi="Arial" w:cs="Arial"/>
        </w:rPr>
        <w:t>Assurance pour le Renforcement du Capital Humain</w:t>
      </w:r>
    </w:p>
    <w:p w14:paraId="6D60B1E3" w14:textId="1C4A4103" w:rsidR="00CF03F0" w:rsidRDefault="00CF03F0" w:rsidP="009006E3">
      <w:pPr>
        <w:spacing w:after="200" w:line="276" w:lineRule="auto"/>
        <w:jc w:val="both"/>
        <w:rPr>
          <w:rFonts w:ascii="Arial" w:hAnsi="Arial" w:cs="Arial"/>
          <w:b/>
        </w:rPr>
      </w:pPr>
      <w:r>
        <w:rPr>
          <w:rFonts w:ascii="Arial" w:hAnsi="Arial" w:cs="Arial"/>
          <w:b/>
        </w:rPr>
        <w:t xml:space="preserve">CDD : </w:t>
      </w:r>
      <w:r w:rsidRPr="009006E3">
        <w:rPr>
          <w:rFonts w:ascii="Arial" w:hAnsi="Arial" w:cs="Arial"/>
        </w:rPr>
        <w:t>Contrat à Durée Déterminée</w:t>
      </w:r>
    </w:p>
    <w:p w14:paraId="0BD24268" w14:textId="0CA0B5CF" w:rsidR="00CF03F0" w:rsidRDefault="00CF03F0" w:rsidP="009006E3">
      <w:pPr>
        <w:spacing w:after="200" w:line="276" w:lineRule="auto"/>
        <w:jc w:val="both"/>
        <w:rPr>
          <w:rFonts w:ascii="Arial" w:hAnsi="Arial" w:cs="Arial"/>
          <w:b/>
        </w:rPr>
      </w:pPr>
      <w:r>
        <w:rPr>
          <w:rFonts w:ascii="Arial" w:hAnsi="Arial" w:cs="Arial"/>
          <w:b/>
        </w:rPr>
        <w:t xml:space="preserve">CDI : </w:t>
      </w:r>
      <w:r w:rsidRPr="009006E3">
        <w:rPr>
          <w:rFonts w:ascii="Arial" w:hAnsi="Arial" w:cs="Arial"/>
        </w:rPr>
        <w:t>Contrat à Durée Indéterminée</w:t>
      </w:r>
    </w:p>
    <w:p w14:paraId="35287198" w14:textId="74BBA526" w:rsidR="00CF03F0" w:rsidRDefault="00CF03F0" w:rsidP="009006E3">
      <w:pPr>
        <w:spacing w:after="200" w:line="276" w:lineRule="auto"/>
        <w:jc w:val="both"/>
        <w:rPr>
          <w:rFonts w:ascii="Arial" w:hAnsi="Arial" w:cs="Arial"/>
          <w:b/>
        </w:rPr>
      </w:pPr>
      <w:r>
        <w:rPr>
          <w:rFonts w:ascii="Arial" w:hAnsi="Arial" w:cs="Arial"/>
          <w:b/>
        </w:rPr>
        <w:t xml:space="preserve">CEDEAO : </w:t>
      </w:r>
      <w:r w:rsidRPr="009006E3">
        <w:rPr>
          <w:rFonts w:ascii="Arial" w:hAnsi="Arial" w:cs="Arial"/>
        </w:rPr>
        <w:t>Communauté Economique des Etats de l’Afrique de l’Ouest</w:t>
      </w:r>
    </w:p>
    <w:p w14:paraId="05FB84F0" w14:textId="3B2C7F9D" w:rsidR="00CF03F0" w:rsidRDefault="00CF03F0" w:rsidP="009006E3">
      <w:pPr>
        <w:spacing w:after="200" w:line="276" w:lineRule="auto"/>
        <w:jc w:val="both"/>
        <w:rPr>
          <w:rFonts w:ascii="Arial" w:hAnsi="Arial" w:cs="Arial"/>
          <w:b/>
        </w:rPr>
      </w:pPr>
      <w:r>
        <w:rPr>
          <w:rFonts w:ascii="Arial" w:hAnsi="Arial" w:cs="Arial"/>
          <w:b/>
        </w:rPr>
        <w:t xml:space="preserve">CJC : </w:t>
      </w:r>
      <w:r w:rsidRPr="009006E3">
        <w:rPr>
          <w:rFonts w:ascii="Arial" w:hAnsi="Arial" w:cs="Arial"/>
        </w:rPr>
        <w:t>Cour de Justice de la Communauté</w:t>
      </w:r>
    </w:p>
    <w:p w14:paraId="0C6B88AA" w14:textId="7AB0EB73" w:rsidR="00CF03F0" w:rsidRDefault="00CF03F0" w:rsidP="009006E3">
      <w:pPr>
        <w:spacing w:after="200" w:line="276" w:lineRule="auto"/>
        <w:jc w:val="both"/>
        <w:rPr>
          <w:rFonts w:ascii="Arial" w:hAnsi="Arial" w:cs="Arial"/>
          <w:b/>
        </w:rPr>
      </w:pPr>
      <w:r>
        <w:rPr>
          <w:rFonts w:ascii="Arial" w:hAnsi="Arial" w:cs="Arial"/>
          <w:b/>
        </w:rPr>
        <w:t xml:space="preserve">CO.NA.RAB : </w:t>
      </w:r>
      <w:r w:rsidRPr="009006E3">
        <w:rPr>
          <w:rFonts w:ascii="Arial" w:hAnsi="Arial" w:cs="Arial"/>
        </w:rPr>
        <w:t>Comité National des Revendeurs, vendeurs et Artisans du Bénin pour la paix et le pain</w:t>
      </w:r>
    </w:p>
    <w:p w14:paraId="538ED606" w14:textId="2E221A88" w:rsidR="00CF03F0" w:rsidRDefault="00CF03F0" w:rsidP="009006E3">
      <w:pPr>
        <w:spacing w:after="200" w:line="276" w:lineRule="auto"/>
        <w:jc w:val="both"/>
        <w:rPr>
          <w:rFonts w:ascii="Arial" w:hAnsi="Arial" w:cs="Arial"/>
          <w:b/>
        </w:rPr>
      </w:pPr>
      <w:r>
        <w:rPr>
          <w:rFonts w:ascii="Arial" w:hAnsi="Arial" w:cs="Arial"/>
          <w:b/>
        </w:rPr>
        <w:t xml:space="preserve">EQF : </w:t>
      </w:r>
      <w:r w:rsidRPr="009006E3">
        <w:rPr>
          <w:rFonts w:ascii="Arial" w:hAnsi="Arial" w:cs="Arial"/>
        </w:rPr>
        <w:t>Ecole de Qualité Fondamentale</w:t>
      </w:r>
    </w:p>
    <w:p w14:paraId="5DBB9B49" w14:textId="4C5427FC" w:rsidR="00CF03F0" w:rsidRDefault="00CF03F0" w:rsidP="009006E3">
      <w:pPr>
        <w:spacing w:after="200" w:line="276" w:lineRule="auto"/>
        <w:jc w:val="both"/>
        <w:rPr>
          <w:rFonts w:ascii="Arial" w:hAnsi="Arial" w:cs="Arial"/>
          <w:b/>
        </w:rPr>
      </w:pPr>
      <w:r>
        <w:rPr>
          <w:rFonts w:ascii="Arial" w:hAnsi="Arial" w:cs="Arial"/>
          <w:b/>
        </w:rPr>
        <w:t xml:space="preserve">GHM : </w:t>
      </w:r>
      <w:r w:rsidRPr="009006E3">
        <w:rPr>
          <w:rFonts w:ascii="Arial" w:hAnsi="Arial" w:cs="Arial"/>
        </w:rPr>
        <w:t>Gestion de l’Hygiène Menstruelle</w:t>
      </w:r>
    </w:p>
    <w:p w14:paraId="7045992E" w14:textId="01E15BDC" w:rsidR="00CF03F0" w:rsidRPr="009006E3" w:rsidRDefault="00CF03F0" w:rsidP="009006E3">
      <w:pPr>
        <w:spacing w:after="200" w:line="276" w:lineRule="auto"/>
        <w:jc w:val="both"/>
        <w:rPr>
          <w:rFonts w:ascii="Arial" w:hAnsi="Arial" w:cs="Arial"/>
        </w:rPr>
      </w:pPr>
      <w:r>
        <w:rPr>
          <w:rFonts w:ascii="Arial" w:hAnsi="Arial" w:cs="Arial"/>
          <w:b/>
        </w:rPr>
        <w:t xml:space="preserve">IBP : </w:t>
      </w:r>
      <w:r w:rsidRPr="009006E3">
        <w:rPr>
          <w:rFonts w:ascii="Arial" w:hAnsi="Arial" w:cs="Arial"/>
        </w:rPr>
        <w:t>International Budget Partnership</w:t>
      </w:r>
    </w:p>
    <w:p w14:paraId="08A01F67" w14:textId="74FC3CE7" w:rsidR="00CF03F0" w:rsidRDefault="00CF03F0" w:rsidP="009006E3">
      <w:pPr>
        <w:spacing w:after="200" w:line="276" w:lineRule="auto"/>
        <w:jc w:val="both"/>
        <w:rPr>
          <w:rFonts w:ascii="Arial" w:hAnsi="Arial" w:cs="Arial"/>
          <w:b/>
        </w:rPr>
      </w:pPr>
      <w:r>
        <w:rPr>
          <w:rFonts w:ascii="Arial" w:hAnsi="Arial" w:cs="Arial"/>
          <w:b/>
        </w:rPr>
        <w:t xml:space="preserve">IDH : </w:t>
      </w:r>
      <w:r w:rsidRPr="009006E3">
        <w:rPr>
          <w:rFonts w:ascii="Arial" w:hAnsi="Arial" w:cs="Arial"/>
        </w:rPr>
        <w:t>Indice de Développement Huma</w:t>
      </w:r>
      <w:bookmarkStart w:id="1" w:name="_GoBack"/>
      <w:bookmarkEnd w:id="1"/>
      <w:r w:rsidRPr="009006E3">
        <w:rPr>
          <w:rFonts w:ascii="Arial" w:hAnsi="Arial" w:cs="Arial"/>
        </w:rPr>
        <w:t>in</w:t>
      </w:r>
    </w:p>
    <w:p w14:paraId="6790ECD1" w14:textId="29208492" w:rsidR="009006E3" w:rsidRPr="009006E3" w:rsidRDefault="009006E3" w:rsidP="009006E3">
      <w:pPr>
        <w:spacing w:after="200" w:line="276" w:lineRule="auto"/>
        <w:jc w:val="both"/>
        <w:rPr>
          <w:rFonts w:ascii="Arial" w:hAnsi="Arial" w:cs="Arial"/>
        </w:rPr>
      </w:pPr>
      <w:r>
        <w:rPr>
          <w:rFonts w:ascii="Arial" w:hAnsi="Arial" w:cs="Arial"/>
          <w:b/>
        </w:rPr>
        <w:t xml:space="preserve">OIT : </w:t>
      </w:r>
      <w:r w:rsidRPr="009006E3">
        <w:rPr>
          <w:rFonts w:ascii="Arial" w:hAnsi="Arial" w:cs="Arial"/>
        </w:rPr>
        <w:t>Organisation International du Travail</w:t>
      </w:r>
    </w:p>
    <w:p w14:paraId="6378B765" w14:textId="3A3FFEEF" w:rsidR="009006E3" w:rsidRDefault="009006E3" w:rsidP="009006E3">
      <w:pPr>
        <w:spacing w:after="200" w:line="276" w:lineRule="auto"/>
        <w:jc w:val="both"/>
        <w:rPr>
          <w:rFonts w:ascii="Arial" w:hAnsi="Arial" w:cs="Arial"/>
          <w:b/>
        </w:rPr>
      </w:pPr>
      <w:r>
        <w:rPr>
          <w:rFonts w:ascii="Arial" w:hAnsi="Arial" w:cs="Arial"/>
          <w:b/>
        </w:rPr>
        <w:t xml:space="preserve">ONG : </w:t>
      </w:r>
      <w:r w:rsidRPr="009006E3">
        <w:rPr>
          <w:rFonts w:ascii="Arial" w:hAnsi="Arial" w:cs="Arial"/>
        </w:rPr>
        <w:t>Organisation Non Gouvernementale</w:t>
      </w:r>
    </w:p>
    <w:p w14:paraId="7A2E6CCD" w14:textId="5BDC1312" w:rsidR="009006E3" w:rsidRPr="009006E3" w:rsidRDefault="009006E3" w:rsidP="009006E3">
      <w:pPr>
        <w:spacing w:after="200" w:line="276" w:lineRule="auto"/>
        <w:jc w:val="both"/>
        <w:rPr>
          <w:rFonts w:ascii="Arial" w:hAnsi="Arial" w:cs="Arial"/>
        </w:rPr>
      </w:pPr>
      <w:r>
        <w:rPr>
          <w:rFonts w:ascii="Arial" w:hAnsi="Arial" w:cs="Arial"/>
          <w:b/>
        </w:rPr>
        <w:t xml:space="preserve">ONU : </w:t>
      </w:r>
      <w:r w:rsidRPr="009006E3">
        <w:rPr>
          <w:rFonts w:ascii="Arial" w:hAnsi="Arial" w:cs="Arial"/>
        </w:rPr>
        <w:t>Organisation des Nations Unies</w:t>
      </w:r>
    </w:p>
    <w:p w14:paraId="2428548A" w14:textId="45BCE1C7" w:rsidR="009006E3" w:rsidRDefault="009006E3" w:rsidP="009006E3">
      <w:pPr>
        <w:spacing w:after="200" w:line="276" w:lineRule="auto"/>
        <w:jc w:val="both"/>
        <w:rPr>
          <w:rFonts w:ascii="Arial" w:hAnsi="Arial" w:cs="Arial"/>
          <w:b/>
        </w:rPr>
      </w:pPr>
      <w:r>
        <w:rPr>
          <w:rFonts w:ascii="Arial" w:hAnsi="Arial" w:cs="Arial"/>
          <w:b/>
        </w:rPr>
        <w:t xml:space="preserve">OSC : </w:t>
      </w:r>
      <w:r w:rsidRPr="009006E3">
        <w:rPr>
          <w:rFonts w:ascii="Arial" w:hAnsi="Arial" w:cs="Arial"/>
        </w:rPr>
        <w:t>Organisation de la Société Civile</w:t>
      </w:r>
    </w:p>
    <w:p w14:paraId="0583601A" w14:textId="7D4BAA7E" w:rsidR="009006E3" w:rsidRPr="009006E3" w:rsidRDefault="009006E3" w:rsidP="009006E3">
      <w:pPr>
        <w:spacing w:after="200" w:line="276" w:lineRule="auto"/>
        <w:jc w:val="both"/>
        <w:rPr>
          <w:rFonts w:ascii="Arial" w:hAnsi="Arial" w:cs="Arial"/>
        </w:rPr>
      </w:pPr>
      <w:r>
        <w:rPr>
          <w:rFonts w:ascii="Arial" w:hAnsi="Arial" w:cs="Arial"/>
          <w:b/>
        </w:rPr>
        <w:t xml:space="preserve">PNDS : </w:t>
      </w:r>
      <w:r w:rsidRPr="009006E3">
        <w:rPr>
          <w:rFonts w:ascii="Arial" w:hAnsi="Arial" w:cs="Arial"/>
        </w:rPr>
        <w:t>Plan National de Développement Sanitaire</w:t>
      </w:r>
    </w:p>
    <w:p w14:paraId="3D9E4F0E" w14:textId="09D19D79" w:rsidR="009006E3" w:rsidRDefault="009006E3" w:rsidP="009006E3">
      <w:pPr>
        <w:spacing w:after="200" w:line="276" w:lineRule="auto"/>
        <w:jc w:val="both"/>
        <w:rPr>
          <w:rFonts w:ascii="Arial" w:hAnsi="Arial" w:cs="Arial"/>
          <w:b/>
        </w:rPr>
      </w:pPr>
      <w:r>
        <w:rPr>
          <w:rFonts w:ascii="Arial" w:hAnsi="Arial" w:cs="Arial"/>
          <w:b/>
        </w:rPr>
        <w:t xml:space="preserve">RSF : </w:t>
      </w:r>
      <w:r w:rsidRPr="009006E3">
        <w:rPr>
          <w:rFonts w:ascii="Arial" w:hAnsi="Arial" w:cs="Arial"/>
        </w:rPr>
        <w:t>Reporters Sans Frontières</w:t>
      </w:r>
    </w:p>
    <w:p w14:paraId="24D4746E" w14:textId="77777777" w:rsidR="009006E3" w:rsidRDefault="009006E3">
      <w:pPr>
        <w:spacing w:after="200" w:line="276" w:lineRule="auto"/>
        <w:rPr>
          <w:rFonts w:ascii="Arial" w:hAnsi="Arial" w:cs="Arial"/>
          <w:b/>
        </w:rPr>
      </w:pPr>
    </w:p>
    <w:p w14:paraId="4F247C2E" w14:textId="77777777" w:rsidR="009006E3" w:rsidRDefault="009006E3">
      <w:pPr>
        <w:spacing w:after="200" w:line="276" w:lineRule="auto"/>
        <w:rPr>
          <w:rFonts w:ascii="Arial" w:hAnsi="Arial" w:cs="Arial"/>
          <w:b/>
        </w:rPr>
      </w:pPr>
    </w:p>
    <w:p w14:paraId="5DE59A0F" w14:textId="77777777" w:rsidR="00CF03F0" w:rsidRDefault="00CF03F0">
      <w:pPr>
        <w:spacing w:after="200" w:line="276" w:lineRule="auto"/>
        <w:rPr>
          <w:rFonts w:ascii="Arial" w:hAnsi="Arial" w:cs="Arial"/>
          <w:b/>
        </w:rPr>
      </w:pPr>
    </w:p>
    <w:p w14:paraId="6A4D8677" w14:textId="77777777" w:rsidR="00CF03F0" w:rsidRDefault="00CF03F0">
      <w:pPr>
        <w:spacing w:after="200" w:line="276" w:lineRule="auto"/>
        <w:rPr>
          <w:rFonts w:ascii="Arial" w:hAnsi="Arial" w:cs="Arial"/>
          <w:b/>
        </w:rPr>
      </w:pPr>
    </w:p>
    <w:p w14:paraId="7EB9310E" w14:textId="12CCDCE4" w:rsidR="00C800FB" w:rsidRDefault="00C800FB">
      <w:pPr>
        <w:spacing w:after="200" w:line="276" w:lineRule="auto"/>
        <w:rPr>
          <w:rFonts w:ascii="Arial" w:hAnsi="Arial" w:cs="Arial"/>
          <w:b/>
        </w:rPr>
      </w:pPr>
      <w:r>
        <w:rPr>
          <w:rFonts w:ascii="Arial" w:hAnsi="Arial" w:cs="Arial"/>
          <w:b/>
        </w:rPr>
        <w:br w:type="page"/>
      </w:r>
    </w:p>
    <w:p w14:paraId="3A9719C0" w14:textId="77777777" w:rsidR="00C800FB" w:rsidRPr="00474A63" w:rsidRDefault="00C800FB" w:rsidP="00C800FB">
      <w:pPr>
        <w:pStyle w:val="Paragraphedeliste"/>
        <w:numPr>
          <w:ilvl w:val="0"/>
          <w:numId w:val="5"/>
        </w:numPr>
        <w:spacing w:line="276" w:lineRule="auto"/>
        <w:jc w:val="both"/>
        <w:rPr>
          <w:rFonts w:ascii="Arial" w:hAnsi="Arial" w:cs="Arial"/>
          <w:b/>
          <w:u w:val="single"/>
        </w:rPr>
      </w:pPr>
      <w:r w:rsidRPr="00474A63">
        <w:rPr>
          <w:rFonts w:ascii="Arial" w:hAnsi="Arial" w:cs="Arial"/>
          <w:b/>
          <w:u w:val="single"/>
        </w:rPr>
        <w:lastRenderedPageBreak/>
        <w:t>Changement Social Bénin invite le Comité pour l’élimination de la discrimination raciale à faire les recommandations suivantes à l’Etat partie :</w:t>
      </w:r>
    </w:p>
    <w:p w14:paraId="40F0A99E" w14:textId="77777777" w:rsidR="00E3057F" w:rsidRPr="00474A63" w:rsidRDefault="00E3057F" w:rsidP="008216D8">
      <w:pPr>
        <w:spacing w:line="276" w:lineRule="auto"/>
        <w:jc w:val="both"/>
        <w:rPr>
          <w:rFonts w:ascii="Arial" w:hAnsi="Arial" w:cs="Arial"/>
          <w:b/>
        </w:rPr>
      </w:pPr>
    </w:p>
    <w:p w14:paraId="7829EDA1" w14:textId="019B5788" w:rsidR="00E3057F" w:rsidRPr="00474A63" w:rsidRDefault="001D183E" w:rsidP="00E52950">
      <w:pPr>
        <w:pStyle w:val="Paragraphedeliste"/>
        <w:numPr>
          <w:ilvl w:val="0"/>
          <w:numId w:val="6"/>
        </w:numPr>
        <w:spacing w:line="276" w:lineRule="auto"/>
        <w:jc w:val="both"/>
        <w:outlineLvl w:val="0"/>
        <w:rPr>
          <w:rFonts w:ascii="Arial" w:hAnsi="Arial" w:cs="Arial"/>
          <w:b/>
        </w:rPr>
      </w:pPr>
      <w:bookmarkStart w:id="2" w:name="_Toc107841209"/>
      <w:r w:rsidRPr="00474A63">
        <w:rPr>
          <w:rFonts w:ascii="Arial" w:hAnsi="Arial" w:cs="Arial"/>
          <w:b/>
        </w:rPr>
        <w:t>Protection contre la discrimination raciale</w:t>
      </w:r>
      <w:r w:rsidR="00E3057F" w:rsidRPr="00474A63">
        <w:rPr>
          <w:rFonts w:ascii="Arial" w:hAnsi="Arial" w:cs="Arial"/>
          <w:b/>
        </w:rPr>
        <w:t xml:space="preserve"> (article 5)</w:t>
      </w:r>
      <w:bookmarkEnd w:id="2"/>
    </w:p>
    <w:p w14:paraId="3BF6199E" w14:textId="77777777" w:rsidR="00E3057F" w:rsidRPr="00474A63" w:rsidRDefault="00E3057F" w:rsidP="008216D8">
      <w:pPr>
        <w:pStyle w:val="Paragraphedeliste"/>
        <w:spacing w:line="276" w:lineRule="auto"/>
        <w:jc w:val="both"/>
        <w:rPr>
          <w:rFonts w:ascii="Arial" w:hAnsi="Arial" w:cs="Arial"/>
          <w:b/>
        </w:rPr>
      </w:pPr>
    </w:p>
    <w:p w14:paraId="7E0EC5AB" w14:textId="0C74733A" w:rsidR="00B25CD1" w:rsidRPr="00474A63" w:rsidRDefault="001D183E" w:rsidP="00C800FB">
      <w:pPr>
        <w:pStyle w:val="Paragraphedeliste"/>
        <w:numPr>
          <w:ilvl w:val="1"/>
          <w:numId w:val="6"/>
        </w:numPr>
        <w:spacing w:line="276" w:lineRule="auto"/>
        <w:jc w:val="both"/>
        <w:outlineLvl w:val="1"/>
        <w:rPr>
          <w:rFonts w:ascii="Arial" w:hAnsi="Arial" w:cs="Arial"/>
        </w:rPr>
      </w:pPr>
      <w:bookmarkStart w:id="3" w:name="_Toc107841210"/>
      <w:r w:rsidRPr="00474A63">
        <w:rPr>
          <w:rFonts w:ascii="Arial" w:hAnsi="Arial" w:cs="Arial"/>
          <w:b/>
        </w:rPr>
        <w:t xml:space="preserve">Sur le point </w:t>
      </w:r>
      <w:r w:rsidR="00E3057F" w:rsidRPr="00474A63">
        <w:rPr>
          <w:rFonts w:ascii="Arial" w:hAnsi="Arial" w:cs="Arial"/>
          <w:b/>
        </w:rPr>
        <w:t>1</w:t>
      </w:r>
      <w:r w:rsidRPr="00474A63">
        <w:rPr>
          <w:rFonts w:ascii="Arial" w:hAnsi="Arial" w:cs="Arial"/>
          <w:b/>
        </w:rPr>
        <w:t xml:space="preserve"> relatif </w:t>
      </w:r>
      <w:r w:rsidR="00E3057F" w:rsidRPr="00474A63">
        <w:rPr>
          <w:rFonts w:ascii="Arial" w:hAnsi="Arial" w:cs="Arial"/>
          <w:b/>
        </w:rPr>
        <w:t>au droit à la sûreté de la personne et à la protection de l’État contre les voies de fait ou les sévices :</w:t>
      </w:r>
      <w:bookmarkEnd w:id="3"/>
    </w:p>
    <w:p w14:paraId="1AD7A348" w14:textId="14962532" w:rsidR="00F70F12" w:rsidRDefault="00F70F12" w:rsidP="00FB27DF">
      <w:pPr>
        <w:pStyle w:val="Paragraphedeliste"/>
        <w:numPr>
          <w:ilvl w:val="0"/>
          <w:numId w:val="12"/>
        </w:numPr>
        <w:spacing w:line="276" w:lineRule="auto"/>
        <w:jc w:val="both"/>
        <w:rPr>
          <w:rFonts w:ascii="Arial" w:hAnsi="Arial" w:cs="Arial"/>
        </w:rPr>
      </w:pPr>
      <w:r>
        <w:rPr>
          <w:rFonts w:ascii="Arial" w:hAnsi="Arial" w:cs="Arial"/>
        </w:rPr>
        <w:t>Définir clairement dans la législation nationale le contenu de la discrimination raciale et en conformité avec la convention ;</w:t>
      </w:r>
    </w:p>
    <w:p w14:paraId="1AFA6BF1" w14:textId="1BD6CF33" w:rsidR="004D10E4" w:rsidRPr="00474A63" w:rsidRDefault="00121541" w:rsidP="00FB27DF">
      <w:pPr>
        <w:pStyle w:val="Paragraphedeliste"/>
        <w:numPr>
          <w:ilvl w:val="0"/>
          <w:numId w:val="12"/>
        </w:numPr>
        <w:spacing w:line="276" w:lineRule="auto"/>
        <w:jc w:val="both"/>
        <w:rPr>
          <w:rFonts w:ascii="Arial" w:hAnsi="Arial" w:cs="Arial"/>
        </w:rPr>
      </w:pPr>
      <w:r w:rsidRPr="00474A63">
        <w:rPr>
          <w:rFonts w:ascii="Arial" w:hAnsi="Arial" w:cs="Arial"/>
        </w:rPr>
        <w:t>Veiller à une Approche Basée sur les Droits Humains des agriculteurs et éleveurs dans les projets et programmes les concernant ;</w:t>
      </w:r>
    </w:p>
    <w:p w14:paraId="1204F64D" w14:textId="0F1890B4" w:rsidR="00801251" w:rsidRPr="00474A63" w:rsidRDefault="00801251" w:rsidP="00FB27DF">
      <w:pPr>
        <w:pStyle w:val="Paragraphedeliste"/>
        <w:numPr>
          <w:ilvl w:val="0"/>
          <w:numId w:val="12"/>
        </w:numPr>
        <w:spacing w:line="276" w:lineRule="auto"/>
        <w:jc w:val="both"/>
        <w:rPr>
          <w:rFonts w:ascii="Arial" w:hAnsi="Arial" w:cs="Arial"/>
        </w:rPr>
      </w:pPr>
      <w:r w:rsidRPr="00474A63">
        <w:rPr>
          <w:rFonts w:ascii="Arial" w:hAnsi="Arial" w:cs="Arial"/>
        </w:rPr>
        <w:t>Mettre en œuvre effectivement l’éducation aux droits humains portée par l’article 40 de la Constitution de façon holistique ;</w:t>
      </w:r>
    </w:p>
    <w:p w14:paraId="37587965" w14:textId="18587CFA" w:rsidR="00C74E11" w:rsidRPr="00474A63" w:rsidRDefault="00EE55FC" w:rsidP="00FB27DF">
      <w:pPr>
        <w:pStyle w:val="Paragraphedeliste"/>
        <w:numPr>
          <w:ilvl w:val="0"/>
          <w:numId w:val="12"/>
        </w:numPr>
        <w:spacing w:line="276" w:lineRule="auto"/>
        <w:jc w:val="both"/>
        <w:rPr>
          <w:rFonts w:ascii="Arial" w:hAnsi="Arial" w:cs="Arial"/>
        </w:rPr>
      </w:pPr>
      <w:r w:rsidRPr="00474A63">
        <w:rPr>
          <w:rFonts w:ascii="Arial" w:hAnsi="Arial" w:cs="Arial"/>
        </w:rPr>
        <w:t>S</w:t>
      </w:r>
      <w:r w:rsidR="004D10E4" w:rsidRPr="00474A63">
        <w:rPr>
          <w:rFonts w:ascii="Arial" w:hAnsi="Arial" w:cs="Arial"/>
        </w:rPr>
        <w:t>ensibiliser davantage les agriculteurs et éleveurs sur les couloirs de passages et les droits et obligations qui incombent à chacun</w:t>
      </w:r>
      <w:r w:rsidR="007215FF" w:rsidRPr="00474A63">
        <w:rPr>
          <w:rFonts w:ascii="Arial" w:hAnsi="Arial" w:cs="Arial"/>
        </w:rPr>
        <w:t xml:space="preserve"> d’eux</w:t>
      </w:r>
      <w:r w:rsidR="002A4CCE" w:rsidRPr="00474A63">
        <w:rPr>
          <w:rFonts w:ascii="Arial" w:hAnsi="Arial" w:cs="Arial"/>
        </w:rPr>
        <w:t> ;</w:t>
      </w:r>
    </w:p>
    <w:p w14:paraId="006BDBA5" w14:textId="614CBA84" w:rsidR="002A4CCE" w:rsidRPr="00474A63" w:rsidRDefault="002A4CCE" w:rsidP="00FB27DF">
      <w:pPr>
        <w:pStyle w:val="Paragraphedeliste"/>
        <w:numPr>
          <w:ilvl w:val="0"/>
          <w:numId w:val="12"/>
        </w:numPr>
        <w:spacing w:line="276" w:lineRule="auto"/>
        <w:jc w:val="both"/>
        <w:rPr>
          <w:rFonts w:ascii="Arial" w:hAnsi="Arial" w:cs="Arial"/>
        </w:rPr>
      </w:pPr>
      <w:r w:rsidRPr="00474A63">
        <w:rPr>
          <w:rFonts w:ascii="Arial" w:hAnsi="Arial" w:cs="Arial"/>
        </w:rPr>
        <w:t>Prendre des mesures pour sanctionner les stigmatisations de la communauté peulh ;</w:t>
      </w:r>
    </w:p>
    <w:p w14:paraId="579C3F2E" w14:textId="495F3883" w:rsidR="002A4CCE" w:rsidRPr="00474A63" w:rsidRDefault="002A4CCE" w:rsidP="00FB27DF">
      <w:pPr>
        <w:pStyle w:val="Paragraphedeliste"/>
        <w:numPr>
          <w:ilvl w:val="0"/>
          <w:numId w:val="12"/>
        </w:numPr>
        <w:spacing w:line="276" w:lineRule="auto"/>
        <w:jc w:val="both"/>
        <w:rPr>
          <w:rFonts w:ascii="Arial" w:hAnsi="Arial" w:cs="Arial"/>
        </w:rPr>
      </w:pPr>
      <w:r w:rsidRPr="00474A63">
        <w:rPr>
          <w:rFonts w:ascii="Arial" w:hAnsi="Arial" w:cs="Arial"/>
        </w:rPr>
        <w:t xml:space="preserve">Prendre des mesures pour lutter efficacement contre la vindicte populaire et sanctionner les personnes qui s’y </w:t>
      </w:r>
      <w:r w:rsidR="00510F95" w:rsidRPr="00474A63">
        <w:rPr>
          <w:rFonts w:ascii="Arial" w:hAnsi="Arial" w:cs="Arial"/>
        </w:rPr>
        <w:t>adonnent</w:t>
      </w:r>
      <w:r w:rsidRPr="00474A63">
        <w:rPr>
          <w:rFonts w:ascii="Arial" w:hAnsi="Arial" w:cs="Arial"/>
        </w:rPr>
        <w:t>.</w:t>
      </w:r>
    </w:p>
    <w:p w14:paraId="0F762881" w14:textId="77777777" w:rsidR="004D10E4" w:rsidRPr="00474A63" w:rsidRDefault="004D10E4" w:rsidP="008216D8">
      <w:pPr>
        <w:pStyle w:val="Paragraphedeliste"/>
        <w:spacing w:line="276" w:lineRule="auto"/>
        <w:jc w:val="both"/>
        <w:rPr>
          <w:rFonts w:ascii="Arial" w:hAnsi="Arial" w:cs="Arial"/>
        </w:rPr>
      </w:pPr>
    </w:p>
    <w:p w14:paraId="586F0C26" w14:textId="027031CF" w:rsidR="00E3057F" w:rsidRPr="00474A63" w:rsidRDefault="00E3057F" w:rsidP="00C800FB">
      <w:pPr>
        <w:pStyle w:val="Paragraphedeliste"/>
        <w:numPr>
          <w:ilvl w:val="1"/>
          <w:numId w:val="6"/>
        </w:numPr>
        <w:spacing w:line="276" w:lineRule="auto"/>
        <w:jc w:val="both"/>
        <w:outlineLvl w:val="1"/>
        <w:rPr>
          <w:rFonts w:ascii="Arial" w:hAnsi="Arial" w:cs="Arial"/>
          <w:b/>
        </w:rPr>
      </w:pPr>
      <w:bookmarkStart w:id="4" w:name="_Toc107841211"/>
      <w:r w:rsidRPr="00474A63">
        <w:rPr>
          <w:rFonts w:ascii="Arial" w:hAnsi="Arial" w:cs="Arial"/>
          <w:b/>
        </w:rPr>
        <w:t>Sur le point 2 relatif aux droits politiques</w:t>
      </w:r>
      <w:bookmarkEnd w:id="4"/>
    </w:p>
    <w:p w14:paraId="0677A3B6" w14:textId="57153643" w:rsidR="00C74E11" w:rsidRPr="00474A63" w:rsidRDefault="008216D8" w:rsidP="00FB27DF">
      <w:pPr>
        <w:pStyle w:val="Paragraphedeliste"/>
        <w:numPr>
          <w:ilvl w:val="0"/>
          <w:numId w:val="13"/>
        </w:numPr>
        <w:spacing w:line="276" w:lineRule="auto"/>
        <w:jc w:val="both"/>
        <w:rPr>
          <w:rFonts w:ascii="Arial" w:hAnsi="Arial" w:cs="Arial"/>
        </w:rPr>
      </w:pPr>
      <w:r w:rsidRPr="00474A63">
        <w:rPr>
          <w:rFonts w:ascii="Arial" w:hAnsi="Arial" w:cs="Arial"/>
        </w:rPr>
        <w:t>Engager un dialogue inclusif avec toutes les parties prenantes y compris la société civile pour un audit du processus électoral et une revue inclusive de la réforme du système partisan.</w:t>
      </w:r>
    </w:p>
    <w:p w14:paraId="63CF7D3B" w14:textId="77777777" w:rsidR="008216D8" w:rsidRPr="00474A63" w:rsidRDefault="008216D8" w:rsidP="008216D8">
      <w:pPr>
        <w:pStyle w:val="Paragraphedeliste"/>
        <w:spacing w:line="276" w:lineRule="auto"/>
        <w:jc w:val="both"/>
        <w:rPr>
          <w:rFonts w:ascii="Arial" w:hAnsi="Arial" w:cs="Arial"/>
        </w:rPr>
      </w:pPr>
    </w:p>
    <w:p w14:paraId="2533950A" w14:textId="46E95503" w:rsidR="00E3057F" w:rsidRPr="00474A63" w:rsidRDefault="00E3057F" w:rsidP="00C800FB">
      <w:pPr>
        <w:pStyle w:val="Paragraphedeliste"/>
        <w:numPr>
          <w:ilvl w:val="1"/>
          <w:numId w:val="6"/>
        </w:numPr>
        <w:spacing w:line="276" w:lineRule="auto"/>
        <w:jc w:val="both"/>
        <w:outlineLvl w:val="1"/>
        <w:rPr>
          <w:rFonts w:ascii="Arial" w:hAnsi="Arial" w:cs="Arial"/>
          <w:b/>
        </w:rPr>
      </w:pPr>
      <w:bookmarkStart w:id="5" w:name="_Toc107841212"/>
      <w:r w:rsidRPr="00474A63">
        <w:rPr>
          <w:rFonts w:ascii="Arial" w:hAnsi="Arial" w:cs="Arial"/>
          <w:b/>
        </w:rPr>
        <w:t>Les droits civils</w:t>
      </w:r>
      <w:bookmarkEnd w:id="5"/>
    </w:p>
    <w:p w14:paraId="397865AA" w14:textId="77777777" w:rsidR="00FD1BD6" w:rsidRPr="00474A63" w:rsidRDefault="00C74E11" w:rsidP="00C800FB">
      <w:pPr>
        <w:pStyle w:val="Paragraphedeliste"/>
        <w:numPr>
          <w:ilvl w:val="2"/>
          <w:numId w:val="7"/>
        </w:numPr>
        <w:spacing w:line="276" w:lineRule="auto"/>
        <w:jc w:val="both"/>
        <w:outlineLvl w:val="2"/>
        <w:rPr>
          <w:rFonts w:ascii="Arial" w:hAnsi="Arial" w:cs="Arial"/>
          <w:b/>
        </w:rPr>
      </w:pPr>
      <w:bookmarkStart w:id="6" w:name="_Toc107841213"/>
      <w:r w:rsidRPr="00474A63">
        <w:rPr>
          <w:rFonts w:ascii="Arial" w:hAnsi="Arial" w:cs="Arial"/>
          <w:b/>
        </w:rPr>
        <w:t>Droit à la nationalité</w:t>
      </w:r>
      <w:bookmarkEnd w:id="6"/>
    </w:p>
    <w:p w14:paraId="775AAA0B" w14:textId="684159AC" w:rsidR="004D5D58" w:rsidRPr="00474A63" w:rsidRDefault="004D5D58" w:rsidP="00FB27DF">
      <w:pPr>
        <w:pStyle w:val="Paragraphedeliste"/>
        <w:numPr>
          <w:ilvl w:val="0"/>
          <w:numId w:val="11"/>
        </w:numPr>
        <w:spacing w:line="276" w:lineRule="auto"/>
        <w:jc w:val="both"/>
        <w:rPr>
          <w:rFonts w:ascii="Arial" w:hAnsi="Arial" w:cs="Arial"/>
        </w:rPr>
      </w:pPr>
      <w:r w:rsidRPr="00474A63">
        <w:rPr>
          <w:rFonts w:ascii="Arial" w:hAnsi="Arial" w:cs="Arial"/>
        </w:rPr>
        <w:t>Adopter une nouvelle loi sur la nationalité</w:t>
      </w:r>
      <w:r w:rsidR="004D10E4" w:rsidRPr="00474A63">
        <w:rPr>
          <w:rFonts w:ascii="Arial" w:hAnsi="Arial" w:cs="Arial"/>
        </w:rPr>
        <w:t xml:space="preserve"> en veillan</w:t>
      </w:r>
      <w:r w:rsidR="00E52950">
        <w:rPr>
          <w:rFonts w:ascii="Arial" w:hAnsi="Arial" w:cs="Arial"/>
        </w:rPr>
        <w:t>t à la suppression des articles</w:t>
      </w:r>
      <w:r w:rsidR="004D10E4" w:rsidRPr="00474A63">
        <w:rPr>
          <w:rFonts w:ascii="Arial" w:hAnsi="Arial" w:cs="Arial"/>
        </w:rPr>
        <w:t>,8</w:t>
      </w:r>
      <w:r w:rsidR="009C71D6">
        <w:rPr>
          <w:rFonts w:ascii="Arial" w:hAnsi="Arial" w:cs="Arial"/>
        </w:rPr>
        <w:t>, 12, 13</w:t>
      </w:r>
      <w:r w:rsidR="004D10E4" w:rsidRPr="00474A63">
        <w:rPr>
          <w:rFonts w:ascii="Arial" w:hAnsi="Arial" w:cs="Arial"/>
        </w:rPr>
        <w:t xml:space="preserve"> et 18.</w:t>
      </w:r>
    </w:p>
    <w:p w14:paraId="652E4B75" w14:textId="77777777" w:rsidR="004D10E4" w:rsidRPr="00474A63" w:rsidRDefault="004D10E4" w:rsidP="008216D8">
      <w:pPr>
        <w:pStyle w:val="Paragraphedeliste"/>
        <w:spacing w:line="276" w:lineRule="auto"/>
        <w:ind w:left="501"/>
        <w:jc w:val="both"/>
        <w:rPr>
          <w:rFonts w:ascii="Arial" w:hAnsi="Arial" w:cs="Arial"/>
        </w:rPr>
      </w:pPr>
    </w:p>
    <w:p w14:paraId="5CA285E0" w14:textId="77777777" w:rsidR="00C1193E" w:rsidRPr="00474A63" w:rsidRDefault="00C1193E" w:rsidP="00C1193E">
      <w:pPr>
        <w:pStyle w:val="Paragraphedeliste"/>
        <w:spacing w:line="276" w:lineRule="auto"/>
        <w:ind w:left="1080"/>
        <w:jc w:val="both"/>
        <w:rPr>
          <w:rFonts w:ascii="Arial" w:hAnsi="Arial" w:cs="Arial"/>
          <w:b/>
        </w:rPr>
      </w:pPr>
    </w:p>
    <w:p w14:paraId="26223C4A" w14:textId="25FFA27F" w:rsidR="00C74E11" w:rsidRPr="00474A63" w:rsidRDefault="00C74E11" w:rsidP="00C800FB">
      <w:pPr>
        <w:pStyle w:val="Paragraphedeliste"/>
        <w:numPr>
          <w:ilvl w:val="2"/>
          <w:numId w:val="7"/>
        </w:numPr>
        <w:spacing w:line="276" w:lineRule="auto"/>
        <w:jc w:val="both"/>
        <w:outlineLvl w:val="2"/>
        <w:rPr>
          <w:rFonts w:ascii="Arial" w:hAnsi="Arial" w:cs="Arial"/>
          <w:b/>
        </w:rPr>
      </w:pPr>
      <w:bookmarkStart w:id="7" w:name="_Toc107841214"/>
      <w:r w:rsidRPr="00474A63">
        <w:rPr>
          <w:rFonts w:ascii="Arial" w:hAnsi="Arial" w:cs="Arial"/>
          <w:b/>
        </w:rPr>
        <w:t>Droit à la liberté d’opinion et d’expression</w:t>
      </w:r>
      <w:bookmarkEnd w:id="7"/>
    </w:p>
    <w:p w14:paraId="542EA3F2" w14:textId="77777777" w:rsidR="00FD1BD6" w:rsidRPr="00474A63" w:rsidRDefault="00FD1BD6" w:rsidP="008216D8">
      <w:pPr>
        <w:spacing w:line="276" w:lineRule="auto"/>
        <w:jc w:val="both"/>
        <w:rPr>
          <w:rFonts w:ascii="Arial" w:hAnsi="Arial" w:cs="Arial"/>
        </w:rPr>
      </w:pPr>
      <w:r w:rsidRPr="00474A63">
        <w:rPr>
          <w:rFonts w:ascii="Arial" w:hAnsi="Arial" w:cs="Arial"/>
        </w:rPr>
        <w:t>•</w:t>
      </w:r>
      <w:r w:rsidRPr="00474A63">
        <w:rPr>
          <w:rFonts w:ascii="Arial" w:hAnsi="Arial" w:cs="Arial"/>
        </w:rPr>
        <w:tab/>
        <w:t>Procéder à une relecture du Code du numérique au travers de l’internalisation du paragraphe 44  de l’Observation Générale n°34 du Comité des Droits de l’Homme de l’ONU ;</w:t>
      </w:r>
    </w:p>
    <w:p w14:paraId="29F7BCEC" w14:textId="0F2BB529" w:rsidR="00FD1BD6" w:rsidRDefault="00FD1BD6" w:rsidP="008216D8">
      <w:pPr>
        <w:spacing w:line="276" w:lineRule="auto"/>
        <w:jc w:val="both"/>
        <w:rPr>
          <w:rFonts w:ascii="Arial" w:hAnsi="Arial" w:cs="Arial"/>
        </w:rPr>
      </w:pPr>
      <w:r w:rsidRPr="00474A63">
        <w:rPr>
          <w:rFonts w:ascii="Arial" w:hAnsi="Arial" w:cs="Arial"/>
        </w:rPr>
        <w:t>•</w:t>
      </w:r>
      <w:r w:rsidRPr="00474A63">
        <w:rPr>
          <w:rFonts w:ascii="Arial" w:hAnsi="Arial" w:cs="Arial"/>
        </w:rPr>
        <w:tab/>
        <w:t>Opérer une relecture des dispositions du code pénal (article 240) qui violent la liberté d’expression;</w:t>
      </w:r>
    </w:p>
    <w:p w14:paraId="2172367C" w14:textId="77777777" w:rsidR="00474A63" w:rsidRPr="00474A63" w:rsidRDefault="00474A63" w:rsidP="008216D8">
      <w:pPr>
        <w:spacing w:line="276" w:lineRule="auto"/>
        <w:jc w:val="both"/>
        <w:rPr>
          <w:rFonts w:ascii="Arial" w:hAnsi="Arial" w:cs="Arial"/>
        </w:rPr>
      </w:pPr>
    </w:p>
    <w:p w14:paraId="68B80388" w14:textId="4A4F3813" w:rsidR="00C74E11" w:rsidRDefault="00C74E11" w:rsidP="00C800FB">
      <w:pPr>
        <w:pStyle w:val="Paragraphedeliste"/>
        <w:numPr>
          <w:ilvl w:val="2"/>
          <w:numId w:val="7"/>
        </w:numPr>
        <w:spacing w:line="276" w:lineRule="auto"/>
        <w:jc w:val="both"/>
        <w:outlineLvl w:val="2"/>
        <w:rPr>
          <w:rFonts w:ascii="Arial" w:hAnsi="Arial" w:cs="Arial"/>
          <w:b/>
        </w:rPr>
      </w:pPr>
      <w:bookmarkStart w:id="8" w:name="_Toc107841215"/>
      <w:r w:rsidRPr="00474A63">
        <w:rPr>
          <w:rFonts w:ascii="Arial" w:hAnsi="Arial" w:cs="Arial"/>
          <w:b/>
        </w:rPr>
        <w:t>Droit à la liberté de réunion et d’association pacifiques</w:t>
      </w:r>
      <w:bookmarkEnd w:id="8"/>
    </w:p>
    <w:p w14:paraId="3CD69E8E" w14:textId="77777777" w:rsidR="00935C82" w:rsidRPr="00474A63" w:rsidRDefault="00935C82" w:rsidP="00935C82">
      <w:pPr>
        <w:pStyle w:val="Paragraphedeliste"/>
        <w:spacing w:line="276" w:lineRule="auto"/>
        <w:ind w:left="1080"/>
        <w:jc w:val="both"/>
        <w:rPr>
          <w:rFonts w:ascii="Arial" w:hAnsi="Arial" w:cs="Arial"/>
          <w:b/>
        </w:rPr>
      </w:pPr>
    </w:p>
    <w:p w14:paraId="4355EA38" w14:textId="1225A26A" w:rsidR="00935C82" w:rsidRPr="00935C82" w:rsidRDefault="00FD1BD6" w:rsidP="00935C82">
      <w:pPr>
        <w:pStyle w:val="Paragraphedeliste"/>
        <w:numPr>
          <w:ilvl w:val="0"/>
          <w:numId w:val="11"/>
        </w:numPr>
        <w:spacing w:line="276" w:lineRule="auto"/>
        <w:jc w:val="both"/>
        <w:rPr>
          <w:rFonts w:ascii="Arial" w:hAnsi="Arial" w:cs="Arial"/>
        </w:rPr>
      </w:pPr>
      <w:r w:rsidRPr="00935C82">
        <w:rPr>
          <w:rFonts w:ascii="Arial" w:hAnsi="Arial" w:cs="Arial"/>
        </w:rPr>
        <w:t>Réviser le code pénal notamment l’article 240 pour y supprimer toutes les dispositions attentatoires aux principes universels de liberté d’association, de réunion et de manifestation ;</w:t>
      </w:r>
    </w:p>
    <w:p w14:paraId="00BAACEF" w14:textId="1AC2A046" w:rsidR="00935C82" w:rsidRPr="00935C82" w:rsidRDefault="00FD1BD6" w:rsidP="00935C82">
      <w:pPr>
        <w:pStyle w:val="Paragraphedeliste"/>
        <w:numPr>
          <w:ilvl w:val="0"/>
          <w:numId w:val="11"/>
        </w:numPr>
        <w:spacing w:line="276" w:lineRule="auto"/>
        <w:jc w:val="both"/>
        <w:rPr>
          <w:rFonts w:ascii="Arial" w:hAnsi="Arial" w:cs="Arial"/>
        </w:rPr>
      </w:pPr>
      <w:r w:rsidRPr="00935C82">
        <w:rPr>
          <w:rFonts w:ascii="Arial" w:hAnsi="Arial" w:cs="Arial"/>
        </w:rPr>
        <w:t>Prioriser l’encadrement des manifestation</w:t>
      </w:r>
      <w:r w:rsidR="00935C82" w:rsidRPr="00935C82">
        <w:rPr>
          <w:rFonts w:ascii="Arial" w:hAnsi="Arial" w:cs="Arial"/>
        </w:rPr>
        <w:t>s au détriment de la répression</w:t>
      </w:r>
      <w:r w:rsidR="00935C82">
        <w:rPr>
          <w:rFonts w:ascii="Arial" w:hAnsi="Arial" w:cs="Arial"/>
        </w:rPr>
        <w:t> ;</w:t>
      </w:r>
    </w:p>
    <w:p w14:paraId="259D485D" w14:textId="1488FAD5" w:rsidR="00935C82" w:rsidRPr="00935C82" w:rsidRDefault="00935C82" w:rsidP="00935C82">
      <w:pPr>
        <w:pStyle w:val="Paragraphedeliste"/>
        <w:numPr>
          <w:ilvl w:val="0"/>
          <w:numId w:val="11"/>
        </w:numPr>
        <w:spacing w:line="276" w:lineRule="auto"/>
        <w:jc w:val="both"/>
        <w:rPr>
          <w:rFonts w:ascii="Arial" w:hAnsi="Arial" w:cs="Arial"/>
        </w:rPr>
      </w:pPr>
      <w:r w:rsidRPr="00935C82">
        <w:rPr>
          <w:rFonts w:ascii="Arial" w:hAnsi="Arial" w:cs="Arial"/>
        </w:rPr>
        <w:t xml:space="preserve">Mettre en harmonie le projet de loi sur la liberté d’association avec les standards internationaux en la matière ; </w:t>
      </w:r>
    </w:p>
    <w:p w14:paraId="1DEDF11A" w14:textId="437E5AA2" w:rsidR="00935C82" w:rsidRPr="00935C82" w:rsidRDefault="00935C82" w:rsidP="00935C82">
      <w:pPr>
        <w:pStyle w:val="Paragraphedeliste"/>
        <w:numPr>
          <w:ilvl w:val="0"/>
          <w:numId w:val="21"/>
        </w:numPr>
        <w:spacing w:line="276" w:lineRule="auto"/>
        <w:jc w:val="both"/>
        <w:rPr>
          <w:rFonts w:ascii="Arial" w:hAnsi="Arial" w:cs="Arial"/>
        </w:rPr>
      </w:pPr>
      <w:r w:rsidRPr="00935C82">
        <w:rPr>
          <w:rFonts w:ascii="Arial" w:hAnsi="Arial" w:cs="Arial"/>
        </w:rPr>
        <w:lastRenderedPageBreak/>
        <w:t>Veiller à ce que la liberté de manifestation s’exerce avec tous les effets du régime déclaratoire ;</w:t>
      </w:r>
    </w:p>
    <w:p w14:paraId="07C2DC5B" w14:textId="6167DD67" w:rsidR="00935C82" w:rsidRDefault="00935C82" w:rsidP="00935C82">
      <w:pPr>
        <w:pStyle w:val="Paragraphedeliste"/>
        <w:numPr>
          <w:ilvl w:val="0"/>
          <w:numId w:val="21"/>
        </w:numPr>
        <w:spacing w:line="276" w:lineRule="auto"/>
        <w:jc w:val="both"/>
        <w:rPr>
          <w:rFonts w:ascii="Arial" w:hAnsi="Arial" w:cs="Arial"/>
        </w:rPr>
      </w:pPr>
      <w:r w:rsidRPr="00935C82">
        <w:rPr>
          <w:rFonts w:ascii="Arial" w:hAnsi="Arial" w:cs="Arial"/>
        </w:rPr>
        <w:t xml:space="preserve">Instruire les </w:t>
      </w:r>
      <w:r w:rsidRPr="00B84954">
        <w:rPr>
          <w:rFonts w:ascii="Arial" w:hAnsi="Arial" w:cs="Arial"/>
        </w:rPr>
        <w:t>Forces de Défense et de Sécurité</w:t>
      </w:r>
      <w:r w:rsidRPr="00935C82">
        <w:rPr>
          <w:rFonts w:ascii="Arial" w:hAnsi="Arial" w:cs="Arial"/>
        </w:rPr>
        <w:t xml:space="preserve"> sur le maintien de l’ordre pendant les manifestations conformément aux lignes directrices de l’Union Africaine sur la liberté d’association et de réunion en Afrique et les principes des Nations Unies sur le recours à la force par les responsables de l’application des lois.</w:t>
      </w:r>
    </w:p>
    <w:p w14:paraId="06B17C02" w14:textId="77777777" w:rsidR="00935C82" w:rsidRPr="00935C82" w:rsidRDefault="00935C82" w:rsidP="00935C82">
      <w:pPr>
        <w:pStyle w:val="Paragraphedeliste"/>
        <w:spacing w:line="276" w:lineRule="auto"/>
        <w:jc w:val="both"/>
        <w:rPr>
          <w:rFonts w:ascii="Arial" w:hAnsi="Arial" w:cs="Arial"/>
        </w:rPr>
      </w:pPr>
    </w:p>
    <w:p w14:paraId="29C6610A" w14:textId="77777777" w:rsidR="00C74E11" w:rsidRPr="00474A63" w:rsidRDefault="00C74E11" w:rsidP="00C800FB">
      <w:pPr>
        <w:pStyle w:val="Paragraphedeliste"/>
        <w:numPr>
          <w:ilvl w:val="1"/>
          <w:numId w:val="6"/>
        </w:numPr>
        <w:spacing w:line="276" w:lineRule="auto"/>
        <w:jc w:val="both"/>
        <w:outlineLvl w:val="1"/>
        <w:rPr>
          <w:rFonts w:ascii="Arial" w:hAnsi="Arial" w:cs="Arial"/>
          <w:b/>
        </w:rPr>
      </w:pPr>
      <w:bookmarkStart w:id="9" w:name="_Toc107841216"/>
      <w:r w:rsidRPr="00474A63">
        <w:rPr>
          <w:rFonts w:ascii="Arial" w:hAnsi="Arial" w:cs="Arial"/>
          <w:b/>
        </w:rPr>
        <w:t>Les droits économiques, sociaux et culturels</w:t>
      </w:r>
      <w:bookmarkEnd w:id="9"/>
    </w:p>
    <w:p w14:paraId="17C23CF1" w14:textId="2599EE82" w:rsidR="00B25CD1" w:rsidRPr="00474A63" w:rsidRDefault="00C74E11" w:rsidP="00C800FB">
      <w:pPr>
        <w:pStyle w:val="Paragraphedeliste"/>
        <w:numPr>
          <w:ilvl w:val="2"/>
          <w:numId w:val="8"/>
        </w:numPr>
        <w:spacing w:line="276" w:lineRule="auto"/>
        <w:jc w:val="both"/>
        <w:outlineLvl w:val="2"/>
        <w:rPr>
          <w:rFonts w:ascii="Arial" w:hAnsi="Arial" w:cs="Arial"/>
          <w:b/>
        </w:rPr>
      </w:pPr>
      <w:bookmarkStart w:id="10" w:name="_Toc107841217"/>
      <w:r w:rsidRPr="00474A63">
        <w:rPr>
          <w:rFonts w:ascii="Arial" w:hAnsi="Arial" w:cs="Arial"/>
          <w:b/>
        </w:rPr>
        <w:t>Droit au travail</w:t>
      </w:r>
      <w:bookmarkEnd w:id="10"/>
    </w:p>
    <w:p w14:paraId="38691933" w14:textId="77777777" w:rsidR="00FD1BD6" w:rsidRPr="00474A63" w:rsidRDefault="00FD1BD6" w:rsidP="008216D8">
      <w:pPr>
        <w:spacing w:line="276" w:lineRule="auto"/>
        <w:jc w:val="both"/>
        <w:rPr>
          <w:rFonts w:ascii="Arial" w:hAnsi="Arial" w:cs="Arial"/>
        </w:rPr>
      </w:pPr>
      <w:r w:rsidRPr="00474A63">
        <w:rPr>
          <w:rFonts w:ascii="Arial" w:hAnsi="Arial" w:cs="Arial"/>
        </w:rPr>
        <w:t>•</w:t>
      </w:r>
      <w:r w:rsidRPr="00474A63">
        <w:rPr>
          <w:rFonts w:ascii="Arial" w:hAnsi="Arial" w:cs="Arial"/>
        </w:rPr>
        <w:tab/>
        <w:t>Procéder à la relecture de la loi 2017-05 du 29 aout 2017 fixant les conditions et la procédure d'embauche, de placement de la main-d'œuvre et de résiliation du contrat de travail en République du Bénin aux fins de :</w:t>
      </w:r>
    </w:p>
    <w:p w14:paraId="32F88761" w14:textId="77777777" w:rsidR="00FD1BD6" w:rsidRPr="00474A63" w:rsidRDefault="00FD1BD6" w:rsidP="008216D8">
      <w:pPr>
        <w:spacing w:line="276" w:lineRule="auto"/>
        <w:jc w:val="both"/>
        <w:rPr>
          <w:rFonts w:ascii="Arial" w:hAnsi="Arial" w:cs="Arial"/>
        </w:rPr>
      </w:pPr>
      <w:r w:rsidRPr="00474A63">
        <w:rPr>
          <w:rFonts w:ascii="Arial" w:hAnsi="Arial" w:cs="Arial"/>
        </w:rPr>
        <w:t>a-</w:t>
      </w:r>
      <w:r w:rsidRPr="00474A63">
        <w:rPr>
          <w:rFonts w:ascii="Arial" w:hAnsi="Arial" w:cs="Arial"/>
        </w:rPr>
        <w:tab/>
        <w:t>Revoir à la hausse le montant du plafonnement consécutif au licenciement abusif ;</w:t>
      </w:r>
    </w:p>
    <w:p w14:paraId="7E3755DE" w14:textId="77777777" w:rsidR="00FD1BD6" w:rsidRPr="00474A63" w:rsidRDefault="00FD1BD6" w:rsidP="008216D8">
      <w:pPr>
        <w:spacing w:line="276" w:lineRule="auto"/>
        <w:jc w:val="both"/>
        <w:rPr>
          <w:rFonts w:ascii="Arial" w:hAnsi="Arial" w:cs="Arial"/>
        </w:rPr>
      </w:pPr>
      <w:r w:rsidRPr="00474A63">
        <w:rPr>
          <w:rFonts w:ascii="Arial" w:hAnsi="Arial" w:cs="Arial"/>
        </w:rPr>
        <w:t>b-</w:t>
      </w:r>
      <w:r w:rsidRPr="00474A63">
        <w:rPr>
          <w:rFonts w:ascii="Arial" w:hAnsi="Arial" w:cs="Arial"/>
        </w:rPr>
        <w:tab/>
        <w:t>Mettre un plafond au renouvellement du Contrat à Durée Déterminée (CDD) aux fins que le travailleur dans le secteur privé puisse bénéficier d’un Contrat à Durée Indéterminée (CDI) ;</w:t>
      </w:r>
    </w:p>
    <w:p w14:paraId="7404661A" w14:textId="2CB80600" w:rsidR="004E4CCE" w:rsidRPr="00474A63" w:rsidRDefault="004E4CCE" w:rsidP="008216D8">
      <w:pPr>
        <w:spacing w:line="276" w:lineRule="auto"/>
        <w:jc w:val="both"/>
        <w:rPr>
          <w:rFonts w:ascii="Arial" w:hAnsi="Arial" w:cs="Arial"/>
        </w:rPr>
      </w:pPr>
      <w:r w:rsidRPr="00474A63">
        <w:rPr>
          <w:rFonts w:ascii="Arial" w:hAnsi="Arial" w:cs="Arial"/>
        </w:rPr>
        <w:t xml:space="preserve">• Prendre des mesures spécifiques pour </w:t>
      </w:r>
      <w:r w:rsidR="00C815A8">
        <w:rPr>
          <w:rFonts w:ascii="Arial" w:hAnsi="Arial" w:cs="Arial"/>
        </w:rPr>
        <w:t xml:space="preserve">faciliter </w:t>
      </w:r>
      <w:r w:rsidRPr="00474A63">
        <w:rPr>
          <w:rFonts w:ascii="Arial" w:hAnsi="Arial" w:cs="Arial"/>
        </w:rPr>
        <w:t>l’accès à l’emploi des personnes handicapées.</w:t>
      </w:r>
    </w:p>
    <w:p w14:paraId="02B736B6" w14:textId="37526D6D" w:rsidR="00C74E11" w:rsidRPr="00474A63" w:rsidRDefault="00FD1BD6" w:rsidP="00C800FB">
      <w:pPr>
        <w:pStyle w:val="Titre3"/>
        <w:rPr>
          <w:rFonts w:ascii="Arial" w:hAnsi="Arial" w:cs="Arial"/>
        </w:rPr>
      </w:pPr>
      <w:bookmarkStart w:id="11" w:name="_Toc107841218"/>
      <w:r w:rsidRPr="00474A63">
        <w:rPr>
          <w:rFonts w:ascii="Arial" w:hAnsi="Arial" w:cs="Arial"/>
        </w:rPr>
        <w:t xml:space="preserve">1.4.2  </w:t>
      </w:r>
      <w:r w:rsidR="00C74E11" w:rsidRPr="00474A63">
        <w:rPr>
          <w:rFonts w:ascii="Arial" w:hAnsi="Arial" w:cs="Arial"/>
        </w:rPr>
        <w:t>Droits syndicaux</w:t>
      </w:r>
      <w:bookmarkEnd w:id="11"/>
    </w:p>
    <w:p w14:paraId="6C24CC44" w14:textId="5ABD2EB5" w:rsidR="002F22B7" w:rsidRPr="00474A63" w:rsidRDefault="00FD1BD6" w:rsidP="008216D8">
      <w:pPr>
        <w:spacing w:line="276" w:lineRule="auto"/>
        <w:jc w:val="both"/>
        <w:rPr>
          <w:rFonts w:ascii="Arial" w:hAnsi="Arial" w:cs="Arial"/>
        </w:rPr>
      </w:pPr>
      <w:r w:rsidRPr="00474A63">
        <w:rPr>
          <w:rFonts w:ascii="Arial" w:hAnsi="Arial" w:cs="Arial"/>
        </w:rPr>
        <w:t>•</w:t>
      </w:r>
      <w:r w:rsidRPr="00474A63">
        <w:rPr>
          <w:rFonts w:ascii="Arial" w:hAnsi="Arial" w:cs="Arial"/>
        </w:rPr>
        <w:tab/>
        <w:t>Veiller à la mise en place de mesures compensatoires à la suppression ou à la restriction du droit de grève qui obligent les deux parties au dialogue avec une garantie réciproque d’application des décisions finales.</w:t>
      </w:r>
    </w:p>
    <w:p w14:paraId="26B5C613" w14:textId="42106C41" w:rsidR="002F22B7" w:rsidRPr="00474A63" w:rsidRDefault="002F22B7" w:rsidP="00E52950">
      <w:pPr>
        <w:pStyle w:val="Paragraphedeliste"/>
        <w:numPr>
          <w:ilvl w:val="1"/>
          <w:numId w:val="6"/>
        </w:numPr>
        <w:spacing w:line="276" w:lineRule="auto"/>
        <w:jc w:val="both"/>
        <w:outlineLvl w:val="1"/>
        <w:rPr>
          <w:rFonts w:ascii="Arial" w:hAnsi="Arial" w:cs="Arial"/>
          <w:b/>
        </w:rPr>
      </w:pPr>
      <w:bookmarkStart w:id="12" w:name="_Toc107841219"/>
      <w:r w:rsidRPr="00474A63">
        <w:rPr>
          <w:rFonts w:ascii="Arial" w:hAnsi="Arial" w:cs="Arial"/>
          <w:b/>
        </w:rPr>
        <w:t>Point sur l’accès à la santé</w:t>
      </w:r>
      <w:bookmarkEnd w:id="12"/>
    </w:p>
    <w:p w14:paraId="567EF9D5"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color w:val="000000" w:themeColor="text1"/>
        </w:rPr>
        <w:t>Intégrer systématiquement une approche fondée sur les droits humains dans l’élaboration, la mise en œuvre et l’évaluation des politiques publiques en matière de santé ;</w:t>
      </w:r>
    </w:p>
    <w:p w14:paraId="6043441B"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color w:val="000000" w:themeColor="text1"/>
        </w:rPr>
        <w:t>Mettre en place des mécanismes formels de dialogue en détenteurs de droits et débiteurs d’obligations et mettre à disposition les ressources nécessaires afin d’en assurer le fonctionnement effectif ;</w:t>
      </w:r>
    </w:p>
    <w:p w14:paraId="0F98B6F3" w14:textId="76883C96" w:rsidR="0021789D" w:rsidRPr="00474A63" w:rsidRDefault="00C01C64" w:rsidP="0021789D">
      <w:pPr>
        <w:pStyle w:val="Paragraphedeliste"/>
        <w:numPr>
          <w:ilvl w:val="0"/>
          <w:numId w:val="19"/>
        </w:numPr>
        <w:spacing w:line="276" w:lineRule="auto"/>
        <w:jc w:val="both"/>
        <w:rPr>
          <w:rFonts w:ascii="Arial" w:hAnsi="Arial" w:cs="Arial"/>
        </w:rPr>
      </w:pPr>
      <w:r>
        <w:rPr>
          <w:rFonts w:ascii="Arial" w:hAnsi="Arial" w:cs="Arial"/>
        </w:rPr>
        <w:t>Adopter</w:t>
      </w:r>
      <w:r w:rsidR="0021789D" w:rsidRPr="00474A63">
        <w:rPr>
          <w:rFonts w:ascii="Arial" w:hAnsi="Arial" w:cs="Arial"/>
        </w:rPr>
        <w:t xml:space="preserve"> une </w:t>
      </w:r>
      <w:r>
        <w:rPr>
          <w:rFonts w:ascii="Arial" w:hAnsi="Arial" w:cs="Arial"/>
        </w:rPr>
        <w:t xml:space="preserve">réforme </w:t>
      </w:r>
      <w:r w:rsidR="0021789D" w:rsidRPr="00474A63">
        <w:rPr>
          <w:rFonts w:ascii="Arial" w:hAnsi="Arial" w:cs="Arial"/>
        </w:rPr>
        <w:t xml:space="preserve">législative pour créer un organe étatique qui veille au respect des valeurs limites d’exposition en lien avec les télécommunications et qui n’a aucun rapport économique de nature à remettre en cause son indépendance et l’efficacité de sa mission. </w:t>
      </w:r>
    </w:p>
    <w:p w14:paraId="70AF3468" w14:textId="77777777" w:rsidR="0021789D" w:rsidRPr="00474A63" w:rsidRDefault="0021789D" w:rsidP="0021789D">
      <w:pPr>
        <w:pStyle w:val="Paragraphedeliste"/>
        <w:numPr>
          <w:ilvl w:val="0"/>
          <w:numId w:val="19"/>
        </w:numPr>
        <w:spacing w:line="276" w:lineRule="auto"/>
        <w:jc w:val="both"/>
        <w:rPr>
          <w:rFonts w:ascii="Arial" w:hAnsi="Arial" w:cs="Arial"/>
        </w:rPr>
      </w:pPr>
      <w:r w:rsidRPr="00474A63">
        <w:rPr>
          <w:rFonts w:ascii="Arial" w:hAnsi="Arial" w:cs="Arial"/>
        </w:rPr>
        <w:t>Adopter l’arrêté devant créer la Commission interdisciplinaire ‘’ rayonnements non ionisants et santé ‘’ et procéder à l’installation effective de ladite commission ;</w:t>
      </w:r>
    </w:p>
    <w:p w14:paraId="0C7A7976" w14:textId="77777777" w:rsidR="0021789D" w:rsidRPr="00474A63" w:rsidRDefault="0021789D" w:rsidP="0021789D">
      <w:pPr>
        <w:pStyle w:val="Paragraphedeliste"/>
        <w:numPr>
          <w:ilvl w:val="0"/>
          <w:numId w:val="19"/>
        </w:numPr>
        <w:spacing w:line="276" w:lineRule="auto"/>
        <w:jc w:val="both"/>
        <w:rPr>
          <w:rFonts w:ascii="Arial" w:hAnsi="Arial" w:cs="Arial"/>
        </w:rPr>
      </w:pPr>
      <w:r w:rsidRPr="00474A63">
        <w:rPr>
          <w:rFonts w:ascii="Arial" w:hAnsi="Arial" w:cs="Arial"/>
        </w:rPr>
        <w:t>Sensibiliser les personnes en vue de leur protection contre les effets des rayonnements des technologies ;</w:t>
      </w:r>
    </w:p>
    <w:p w14:paraId="51926B20"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Élaborer et mettre en œuvre un plan de réhabilitation des infrastructures selon les normes</w:t>
      </w:r>
    </w:p>
    <w:p w14:paraId="79247A7F"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Poursuivre le recrutement du personnel en particulier des spécialistes au profit des localités enclavées</w:t>
      </w:r>
    </w:p>
    <w:p w14:paraId="077C4C1B"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Accélérer le processus d'opérationnalisation de la nouvelle politique de santé communautaire</w:t>
      </w:r>
    </w:p>
    <w:p w14:paraId="468065ED"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 xml:space="preserve">Doter toutes les communes d'une ambulance pour les références surtout obstétricales ; </w:t>
      </w:r>
    </w:p>
    <w:p w14:paraId="46D2FED4"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eastAsia="Times New Roman" w:hAnsi="Arial" w:cs="Arial"/>
          <w:color w:val="000000"/>
        </w:rPr>
        <w:lastRenderedPageBreak/>
        <w:t>Assurer la disponibilité permanente des médicaments vitaux pour la prise en charge des complications obstétricales</w:t>
      </w:r>
    </w:p>
    <w:p w14:paraId="2786DAAB"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Former tous les agents de santé à la mise en œuvre de l'approche WHOPEN en vue du dépistage systématique en routine</w:t>
      </w:r>
    </w:p>
    <w:p w14:paraId="7B7F88D1" w14:textId="7E896EE6"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 xml:space="preserve"> Doter toutes les structures de soins de matériels pour le dépistage (App</w:t>
      </w:r>
      <w:r w:rsidR="00146ABA" w:rsidRPr="00474A63">
        <w:rPr>
          <w:rFonts w:ascii="Arial" w:hAnsi="Arial" w:cs="Arial"/>
        </w:rPr>
        <w:t>a</w:t>
      </w:r>
      <w:r w:rsidRPr="00474A63">
        <w:rPr>
          <w:rFonts w:ascii="Arial" w:hAnsi="Arial" w:cs="Arial"/>
        </w:rPr>
        <w:t>reil à tension, pèse-personnes, toise...)</w:t>
      </w:r>
    </w:p>
    <w:p w14:paraId="66B0AAB1"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 xml:space="preserve">Faire adhérer les populations au dépistage systématique des maladies non transmissibles </w:t>
      </w:r>
    </w:p>
    <w:p w14:paraId="36F9B82E" w14:textId="01041679" w:rsidR="0021789D" w:rsidRPr="00A55AED" w:rsidRDefault="0021789D" w:rsidP="00A55AED">
      <w:pPr>
        <w:pStyle w:val="Paragraphedeliste"/>
        <w:numPr>
          <w:ilvl w:val="0"/>
          <w:numId w:val="19"/>
        </w:numPr>
        <w:spacing w:line="276" w:lineRule="auto"/>
        <w:jc w:val="both"/>
        <w:rPr>
          <w:rFonts w:ascii="Arial" w:hAnsi="Arial" w:cs="Arial"/>
          <w:color w:val="000000" w:themeColor="text1"/>
        </w:rPr>
      </w:pPr>
      <w:r w:rsidRPr="00474A63">
        <w:rPr>
          <w:rFonts w:ascii="Arial" w:eastAsia="Times New Roman" w:hAnsi="Arial" w:cs="Arial"/>
          <w:color w:val="000000"/>
        </w:rPr>
        <w:t>Accompagne</w:t>
      </w:r>
      <w:r w:rsidR="00A117B3">
        <w:rPr>
          <w:rFonts w:ascii="Arial" w:eastAsia="Times New Roman" w:hAnsi="Arial" w:cs="Arial"/>
          <w:color w:val="000000"/>
        </w:rPr>
        <w:t>r</w:t>
      </w:r>
      <w:r w:rsidRPr="00474A63">
        <w:rPr>
          <w:rFonts w:ascii="Arial" w:eastAsia="Times New Roman" w:hAnsi="Arial" w:cs="Arial"/>
          <w:color w:val="000000"/>
        </w:rPr>
        <w:t xml:space="preserve"> </w:t>
      </w:r>
      <w:r w:rsidR="00A117B3">
        <w:rPr>
          <w:rFonts w:ascii="Arial" w:eastAsia="Times New Roman" w:hAnsi="Arial" w:cs="Arial"/>
          <w:color w:val="000000"/>
        </w:rPr>
        <w:t>l</w:t>
      </w:r>
      <w:r w:rsidRPr="00474A63">
        <w:rPr>
          <w:rFonts w:ascii="Arial" w:eastAsia="Times New Roman" w:hAnsi="Arial" w:cs="Arial"/>
          <w:color w:val="000000"/>
        </w:rPr>
        <w:t>es enfants ayant des parents décédés de COVID 19</w:t>
      </w:r>
    </w:p>
    <w:p w14:paraId="251B865E" w14:textId="77777777" w:rsidR="0021789D" w:rsidRPr="00474A63" w:rsidRDefault="0021789D" w:rsidP="0021789D">
      <w:pPr>
        <w:pStyle w:val="Paragraphedeliste"/>
        <w:numPr>
          <w:ilvl w:val="0"/>
          <w:numId w:val="19"/>
        </w:numPr>
        <w:spacing w:line="276" w:lineRule="auto"/>
        <w:jc w:val="both"/>
        <w:rPr>
          <w:rFonts w:ascii="Arial" w:hAnsi="Arial" w:cs="Arial"/>
          <w:color w:val="000000" w:themeColor="text1"/>
        </w:rPr>
      </w:pPr>
      <w:r w:rsidRPr="00474A63">
        <w:rPr>
          <w:rFonts w:ascii="Arial" w:hAnsi="Arial" w:cs="Arial"/>
        </w:rPr>
        <w:t>Améliorer les mécanismes d'incitations au maintien au poste et à la performance du personnel médical (Octroi de primes d'éloignement, de primes de motivation, primes de performance, de rendement)</w:t>
      </w:r>
    </w:p>
    <w:p w14:paraId="6C2C2EDE" w14:textId="77777777" w:rsidR="004D5D58" w:rsidRPr="00474A63" w:rsidRDefault="004D5D58" w:rsidP="008216D8">
      <w:pPr>
        <w:pStyle w:val="Paragraphedeliste"/>
        <w:spacing w:line="276" w:lineRule="auto"/>
        <w:ind w:left="360"/>
        <w:jc w:val="both"/>
        <w:rPr>
          <w:rFonts w:ascii="Arial" w:hAnsi="Arial" w:cs="Arial"/>
        </w:rPr>
      </w:pPr>
    </w:p>
    <w:p w14:paraId="0976819C" w14:textId="77777777" w:rsidR="00146ABA" w:rsidRPr="00474A63" w:rsidRDefault="002F22B7" w:rsidP="00E52950">
      <w:pPr>
        <w:pStyle w:val="Paragraphedeliste"/>
        <w:numPr>
          <w:ilvl w:val="1"/>
          <w:numId w:val="6"/>
        </w:numPr>
        <w:spacing w:line="276" w:lineRule="auto"/>
        <w:jc w:val="both"/>
        <w:outlineLvl w:val="1"/>
        <w:rPr>
          <w:rFonts w:ascii="Arial" w:hAnsi="Arial" w:cs="Arial"/>
          <w:b/>
        </w:rPr>
      </w:pPr>
      <w:bookmarkStart w:id="13" w:name="_Toc107841220"/>
      <w:r w:rsidRPr="00474A63">
        <w:rPr>
          <w:rFonts w:ascii="Arial" w:hAnsi="Arial" w:cs="Arial"/>
          <w:b/>
        </w:rPr>
        <w:t>Point sur l’accès à l’éducation</w:t>
      </w:r>
      <w:bookmarkEnd w:id="13"/>
    </w:p>
    <w:p w14:paraId="5C91027F"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Intégrer systématiquement une approche fondée sur le droit à l’éducation dans l’élaboration, la mise en œuvre et l’évaluation des politiques publiques relatives au secteur ;</w:t>
      </w:r>
    </w:p>
    <w:p w14:paraId="3E6E1B28"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Mettre en place dans tous les ordres de l’enseignement des mécanismes formels de dialogue (axé sur les normes de qualité) en détenteurs de droits et débiteurs d’obligations et dynamiser les mécanismes existants notamment ;</w:t>
      </w:r>
    </w:p>
    <w:p w14:paraId="1772091E"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Renforcer les capacités des communautés et des acteurs de l’éducation sur les normes de qualité de l’éducation ;</w:t>
      </w:r>
    </w:p>
    <w:p w14:paraId="5A9BFC22"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Doter toutes les écoles de clôture ;</w:t>
      </w:r>
    </w:p>
    <w:p w14:paraId="60164C95"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Poursuivre la construction d’infrastructures dans les écoles suivant les normes Ecole de Qualité Fondamentale (EQF) ;</w:t>
      </w:r>
    </w:p>
    <w:p w14:paraId="400DF4B4"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Étendre les cantines scolaires aux autres écoles qui remplissent les conditions et revoir la gestion du fonctionnement des cantines scolaires en recrutent les cuisinières sur la base d’un contrat en les formant à la nutrition, en dotant les écoles des moyens financiers pour l’achat des condiments et en améliorant la dotation des aliments de protéine animale ;</w:t>
      </w:r>
    </w:p>
    <w:p w14:paraId="032320AE" w14:textId="0800286B"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Ré-ouvrir les écoles normales et recruter les enseignants compétents et disponibles ;</w:t>
      </w:r>
    </w:p>
    <w:p w14:paraId="167AA404"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Revoir les circula de formation des enseignants pour une école inclusive (écriture braille et   des signes) ;</w:t>
      </w:r>
    </w:p>
    <w:p w14:paraId="698B2EC3"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Construire dans toutes les écoles des latrines sexo-spécifiques adaptées à la Gestion de l’Hygiène Menstruelle (GHM) et physiquement accessible aux personnes handicapées.</w:t>
      </w:r>
    </w:p>
    <w:p w14:paraId="66FD6904" w14:textId="77777777"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Doter les écoles de latrines inclusives (physiquement accessible) ;</w:t>
      </w:r>
    </w:p>
    <w:p w14:paraId="48AF0CC3" w14:textId="22B2AB53" w:rsidR="00146ABA" w:rsidRPr="00474A63" w:rsidRDefault="00146ABA" w:rsidP="00146ABA">
      <w:pPr>
        <w:pStyle w:val="Paragraphedeliste"/>
        <w:numPr>
          <w:ilvl w:val="0"/>
          <w:numId w:val="20"/>
        </w:numPr>
        <w:spacing w:line="276" w:lineRule="auto"/>
        <w:jc w:val="both"/>
        <w:rPr>
          <w:rFonts w:ascii="Arial" w:hAnsi="Arial" w:cs="Arial"/>
          <w:b/>
        </w:rPr>
      </w:pPr>
      <w:r w:rsidRPr="00474A63">
        <w:rPr>
          <w:rFonts w:ascii="Arial" w:hAnsi="Arial" w:cs="Arial"/>
        </w:rPr>
        <w:t>Sécuriser le foncier scolaire ;</w:t>
      </w:r>
    </w:p>
    <w:p w14:paraId="4EC9A26C" w14:textId="26456B6B" w:rsidR="003232E6" w:rsidRPr="00474A63" w:rsidRDefault="002F22B7" w:rsidP="00C800FB">
      <w:pPr>
        <w:pStyle w:val="Paragraphedeliste"/>
        <w:numPr>
          <w:ilvl w:val="0"/>
          <w:numId w:val="6"/>
        </w:numPr>
        <w:spacing w:line="276" w:lineRule="auto"/>
        <w:jc w:val="both"/>
        <w:outlineLvl w:val="0"/>
        <w:rPr>
          <w:rFonts w:ascii="Arial" w:hAnsi="Arial" w:cs="Arial"/>
          <w:b/>
        </w:rPr>
      </w:pPr>
      <w:bookmarkStart w:id="14" w:name="_Toc107841221"/>
      <w:r w:rsidRPr="00474A63">
        <w:rPr>
          <w:rFonts w:ascii="Arial" w:hAnsi="Arial" w:cs="Arial"/>
          <w:b/>
        </w:rPr>
        <w:t>Point sur le droit de recours des victimes</w:t>
      </w:r>
      <w:r w:rsidR="008216D8" w:rsidRPr="00474A63">
        <w:rPr>
          <w:rFonts w:ascii="Arial" w:hAnsi="Arial" w:cs="Arial"/>
          <w:b/>
        </w:rPr>
        <w:t xml:space="preserve"> (article 6)</w:t>
      </w:r>
      <w:bookmarkEnd w:id="14"/>
    </w:p>
    <w:p w14:paraId="5E53FE62" w14:textId="51E9FDA3" w:rsidR="003232E6" w:rsidRDefault="003232E6" w:rsidP="00FB27DF">
      <w:pPr>
        <w:pStyle w:val="Paragraphedeliste"/>
        <w:numPr>
          <w:ilvl w:val="0"/>
          <w:numId w:val="9"/>
        </w:numPr>
        <w:spacing w:line="276" w:lineRule="auto"/>
        <w:jc w:val="both"/>
        <w:rPr>
          <w:rFonts w:ascii="Arial" w:hAnsi="Arial" w:cs="Arial"/>
        </w:rPr>
      </w:pPr>
      <w:r w:rsidRPr="00474A63">
        <w:rPr>
          <w:rFonts w:ascii="Arial" w:hAnsi="Arial" w:cs="Arial"/>
        </w:rPr>
        <w:t>Garantir le plein droit de recours des citoyens sur le plan régional et international</w:t>
      </w:r>
    </w:p>
    <w:p w14:paraId="18B4397F" w14:textId="14D48EDD" w:rsidR="004532D5" w:rsidRPr="00474A63" w:rsidRDefault="004532D5" w:rsidP="00FB27DF">
      <w:pPr>
        <w:pStyle w:val="Paragraphedeliste"/>
        <w:numPr>
          <w:ilvl w:val="0"/>
          <w:numId w:val="9"/>
        </w:numPr>
        <w:spacing w:line="276" w:lineRule="auto"/>
        <w:jc w:val="both"/>
        <w:rPr>
          <w:rFonts w:ascii="Arial" w:hAnsi="Arial" w:cs="Arial"/>
        </w:rPr>
      </w:pPr>
      <w:r>
        <w:rPr>
          <w:rFonts w:ascii="Arial" w:hAnsi="Arial" w:cs="Arial"/>
        </w:rPr>
        <w:t xml:space="preserve">Annuler la </w:t>
      </w:r>
      <w:r w:rsidRPr="009A0C8A">
        <w:rPr>
          <w:rFonts w:ascii="Maiandra GD" w:hAnsi="Maiandra GD"/>
        </w:rPr>
        <w:t>Décision DCC 20-434 du 30 avril 2020</w:t>
      </w:r>
      <w:r>
        <w:rPr>
          <w:rFonts w:ascii="Maiandra GD" w:hAnsi="Maiandra GD"/>
        </w:rPr>
        <w:t xml:space="preserve"> de la Cour constitutionnelle</w:t>
      </w:r>
    </w:p>
    <w:p w14:paraId="5036B5F2" w14:textId="6D2DC655" w:rsidR="003232E6" w:rsidRPr="00474A63" w:rsidRDefault="003232E6" w:rsidP="00FB27DF">
      <w:pPr>
        <w:pStyle w:val="Paragraphedeliste"/>
        <w:numPr>
          <w:ilvl w:val="0"/>
          <w:numId w:val="9"/>
        </w:numPr>
        <w:spacing w:line="276" w:lineRule="auto"/>
        <w:jc w:val="both"/>
        <w:rPr>
          <w:rFonts w:ascii="Arial" w:hAnsi="Arial" w:cs="Arial"/>
        </w:rPr>
      </w:pPr>
      <w:r w:rsidRPr="00474A63">
        <w:rPr>
          <w:rFonts w:ascii="Arial" w:hAnsi="Arial" w:cs="Arial"/>
        </w:rPr>
        <w:t>Reconnaitre la compétence de la Cour Africaine des Droit</w:t>
      </w:r>
      <w:r w:rsidR="003B1949">
        <w:rPr>
          <w:rFonts w:ascii="Arial" w:hAnsi="Arial" w:cs="Arial"/>
        </w:rPr>
        <w:t>s</w:t>
      </w:r>
      <w:r w:rsidRPr="00474A63">
        <w:rPr>
          <w:rFonts w:ascii="Arial" w:hAnsi="Arial" w:cs="Arial"/>
        </w:rPr>
        <w:t xml:space="preserve"> de l’Homme et des Peuples en matière de saisine</w:t>
      </w:r>
      <w:r w:rsidR="003B1949">
        <w:rPr>
          <w:rFonts w:ascii="Arial" w:hAnsi="Arial" w:cs="Arial"/>
        </w:rPr>
        <w:t xml:space="preserve"> ouverte aux individus et ONG</w:t>
      </w:r>
      <w:r w:rsidRPr="00474A63">
        <w:rPr>
          <w:rFonts w:ascii="Arial" w:hAnsi="Arial" w:cs="Arial"/>
        </w:rPr>
        <w:t>.</w:t>
      </w:r>
    </w:p>
    <w:p w14:paraId="4AAA2B83" w14:textId="77777777" w:rsidR="00D25B6B" w:rsidRPr="00474A63" w:rsidRDefault="00D25B6B" w:rsidP="00D25B6B">
      <w:pPr>
        <w:spacing w:line="276" w:lineRule="auto"/>
        <w:jc w:val="both"/>
        <w:rPr>
          <w:rFonts w:ascii="Arial" w:hAnsi="Arial" w:cs="Arial"/>
        </w:rPr>
      </w:pPr>
    </w:p>
    <w:p w14:paraId="40A9DC29" w14:textId="77777777" w:rsidR="00D25B6B" w:rsidRPr="00474A63" w:rsidRDefault="00D25B6B" w:rsidP="00D25B6B">
      <w:pPr>
        <w:spacing w:line="276" w:lineRule="auto"/>
        <w:jc w:val="both"/>
        <w:rPr>
          <w:rFonts w:ascii="Arial" w:hAnsi="Arial" w:cs="Arial"/>
        </w:rPr>
      </w:pPr>
    </w:p>
    <w:p w14:paraId="164C25AF" w14:textId="0AFDC532" w:rsidR="00DD20D2" w:rsidRPr="00474A63" w:rsidRDefault="00DD20D2" w:rsidP="008216D8">
      <w:pPr>
        <w:spacing w:line="276" w:lineRule="auto"/>
        <w:jc w:val="both"/>
        <w:rPr>
          <w:rFonts w:ascii="Arial" w:hAnsi="Arial" w:cs="Arial"/>
        </w:rPr>
      </w:pPr>
    </w:p>
    <w:p w14:paraId="024E61BA" w14:textId="26F5EF77" w:rsidR="008669FF" w:rsidRPr="00E84CA2" w:rsidRDefault="00E84CA2" w:rsidP="00E84CA2">
      <w:pPr>
        <w:pStyle w:val="Titre1"/>
        <w:rPr>
          <w:rFonts w:asciiTheme="minorHAnsi" w:hAnsiTheme="minorHAnsi" w:cstheme="minorBidi"/>
          <w:b w:val="0"/>
          <w:color w:val="00B050"/>
          <w:sz w:val="32"/>
        </w:rPr>
      </w:pPr>
      <w:bookmarkStart w:id="15" w:name="_Toc107841222"/>
      <w:r w:rsidRPr="00474A63">
        <w:rPr>
          <w:rFonts w:ascii="Arial" w:hAnsi="Arial" w:cs="Arial"/>
          <w:noProof/>
        </w:rPr>
        <w:lastRenderedPageBreak/>
        <mc:AlternateContent>
          <mc:Choice Requires="wps">
            <w:drawing>
              <wp:anchor distT="0" distB="0" distL="114300" distR="114300" simplePos="0" relativeHeight="251660800" behindDoc="0" locked="0" layoutInCell="1" allowOverlap="1" wp14:anchorId="6A20D1F9" wp14:editId="44179450">
                <wp:simplePos x="0" y="0"/>
                <wp:positionH relativeFrom="margin">
                  <wp:posOffset>-4445</wp:posOffset>
                </wp:positionH>
                <wp:positionV relativeFrom="paragraph">
                  <wp:posOffset>-106045</wp:posOffset>
                </wp:positionV>
                <wp:extent cx="5715000" cy="1076325"/>
                <wp:effectExtent l="0" t="0" r="38100" b="66675"/>
                <wp:wrapNone/>
                <wp:docPr id="1" name="Rectangle à coins arrond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076325"/>
                        </a:xfrm>
                        <a:prstGeom prst="roundRect">
                          <a:avLst>
                            <a:gd name="adj" fmla="val 16667"/>
                          </a:avLst>
                        </a:prstGeom>
                        <a:gradFill rotWithShape="0">
                          <a:gsLst>
                            <a:gs pos="0">
                              <a:schemeClr val="lt1">
                                <a:lumMod val="100000"/>
                                <a:lumOff val="0"/>
                              </a:schemeClr>
                            </a:gs>
                            <a:gs pos="100000">
                              <a:schemeClr val="accent3">
                                <a:lumMod val="40000"/>
                                <a:lumOff val="60000"/>
                              </a:schemeClr>
                            </a:gs>
                          </a:gsLst>
                          <a:lin ang="5400000" scaled="1"/>
                        </a:gradFill>
                        <a:ln w="12700" cmpd="sng">
                          <a:solidFill>
                            <a:schemeClr val="accent3">
                              <a:lumMod val="60000"/>
                              <a:lumOff val="40000"/>
                            </a:schemeClr>
                          </a:solidFill>
                          <a:prstDash val="solid"/>
                          <a:round/>
                          <a:headEnd/>
                          <a:tailEnd/>
                        </a:ln>
                        <a:effectLst>
                          <a:outerShdw dist="28398" dir="3806097" algn="ctr" rotWithShape="0">
                            <a:schemeClr val="accent3">
                              <a:lumMod val="50000"/>
                              <a:lumOff val="0"/>
                              <a:alpha val="50000"/>
                            </a:schemeClr>
                          </a:outerShdw>
                        </a:effectLst>
                      </wps:spPr>
                      <wps:txbx>
                        <w:txbxContent>
                          <w:p w14:paraId="6FDFC54F" w14:textId="1941665F" w:rsidR="00C800FB" w:rsidRPr="00E33CDB" w:rsidRDefault="00C800FB" w:rsidP="007652C8">
                            <w:pPr>
                              <w:spacing w:line="360" w:lineRule="auto"/>
                              <w:jc w:val="center"/>
                              <w:rPr>
                                <w:b/>
                                <w:color w:val="00B050"/>
                                <w:sz w:val="32"/>
                              </w:rPr>
                            </w:pPr>
                            <w:bookmarkStart w:id="16" w:name="_Toc11143341"/>
                            <w:r w:rsidRPr="007B4C35">
                              <w:rPr>
                                <w:rFonts w:ascii="Arial" w:hAnsi="Arial" w:cs="Arial"/>
                              </w:rPr>
                              <w:t xml:space="preserve">OBSERVATIONS </w:t>
                            </w:r>
                            <w:r>
                              <w:rPr>
                                <w:rFonts w:ascii="Arial" w:hAnsi="Arial" w:cs="Arial"/>
                              </w:rPr>
                              <w:t xml:space="preserve">SUR LA MISE EN ŒUVRE </w:t>
                            </w:r>
                            <w:bookmarkEnd w:id="16"/>
                            <w:r>
                              <w:rPr>
                                <w:rFonts w:ascii="Arial" w:hAnsi="Arial" w:cs="Arial"/>
                              </w:rPr>
                              <w:t>DE LA CONVENTION INTERNATIONALE SUR L’ELIMINATION DE TOUTES LES FORMES DE DISCRIMINATION RACIALE</w:t>
                            </w:r>
                          </w:p>
                          <w:p w14:paraId="76A15D2F" w14:textId="77777777" w:rsidR="00C800FB" w:rsidRDefault="00C800FB" w:rsidP="00DD20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20D1F9" id="Rectangle à coins arrondis 1" o:spid="_x0000_s1027" style="position:absolute;margin-left:-.35pt;margin-top:-8.35pt;width:450pt;height:84.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" fillcolor="white [3201]" strokecolor="#c2d69b [1942]" strokeweight="1pt">
                <v:fill color2="#d6e3bc [1302]" focus="100%" type="gradient"/>
                <v:shadow on="t" color="#4e6128 [1606]" opacity=".5" offset="1pt"/>
                <v:textbox>
                  <w:txbxContent>
                    <w:p w14:paraId="6FDFC54F" w14:textId="1941665F" w:rsidR="00C800FB" w:rsidRPr="00E33CDB" w:rsidRDefault="00C800FB" w:rsidP="007652C8">
                      <w:pPr>
                        <w:spacing w:line="360" w:lineRule="auto"/>
                        <w:jc w:val="center"/>
                        <w:rPr>
                          <w:b/>
                          <w:color w:val="00B050"/>
                          <w:sz w:val="32"/>
                        </w:rPr>
                      </w:pPr>
                      <w:bookmarkStart w:id="17" w:name="_Toc11143341"/>
                      <w:r w:rsidRPr="007B4C35">
                        <w:rPr>
                          <w:rFonts w:ascii="Arial" w:hAnsi="Arial" w:cs="Arial"/>
                        </w:rPr>
                        <w:t xml:space="preserve">OBSERVATIONS </w:t>
                      </w:r>
                      <w:r>
                        <w:rPr>
                          <w:rFonts w:ascii="Arial" w:hAnsi="Arial" w:cs="Arial"/>
                        </w:rPr>
                        <w:t xml:space="preserve">SUR LA MISE EN ŒUVRE </w:t>
                      </w:r>
                      <w:bookmarkEnd w:id="17"/>
                      <w:r>
                        <w:rPr>
                          <w:rFonts w:ascii="Arial" w:hAnsi="Arial" w:cs="Arial"/>
                        </w:rPr>
                        <w:t>DE LA CONVENTION INTERNATIONALE SUR L’ELIMINATION DE TOUTES LES FORMES DE DISCRIMINATION RACIALE</w:t>
                      </w:r>
                    </w:p>
                    <w:p w14:paraId="76A15D2F" w14:textId="77777777" w:rsidR="00C800FB" w:rsidRDefault="00C800FB" w:rsidP="00DD20D2"/>
                  </w:txbxContent>
                </v:textbox>
                <w10:wrap anchorx="margin"/>
              </v:roundrect>
            </w:pict>
          </mc:Fallback>
        </mc:AlternateContent>
      </w:r>
      <w:r w:rsidRPr="007B4C35">
        <w:rPr>
          <w:rFonts w:ascii="Arial" w:hAnsi="Arial" w:cs="Arial"/>
        </w:rPr>
        <w:t xml:space="preserve">OBSERVATIONS </w:t>
      </w:r>
      <w:r>
        <w:rPr>
          <w:rFonts w:ascii="Arial" w:hAnsi="Arial" w:cs="Arial"/>
        </w:rPr>
        <w:t>SUR LA MISE EN ŒUVRE DE LA CONVENTION INTERNATIONALE SUR L’ELIMINATION DE TOUTES LES FORMES DE DISCRIMINATION RACIALE</w:t>
      </w:r>
      <w:bookmarkEnd w:id="15"/>
    </w:p>
    <w:p w14:paraId="528203B0" w14:textId="2F2E86CB" w:rsidR="008669FF" w:rsidRPr="00474A63" w:rsidRDefault="008669FF" w:rsidP="008216D8">
      <w:pPr>
        <w:tabs>
          <w:tab w:val="left" w:pos="1815"/>
        </w:tabs>
        <w:spacing w:line="276" w:lineRule="auto"/>
        <w:jc w:val="both"/>
        <w:rPr>
          <w:rFonts w:ascii="Arial" w:hAnsi="Arial" w:cs="Arial"/>
          <w:b/>
        </w:rPr>
      </w:pPr>
    </w:p>
    <w:p w14:paraId="4F6FE7F6" w14:textId="360BC8FE" w:rsidR="00D25B6B" w:rsidRPr="00474A63" w:rsidRDefault="00D25B6B" w:rsidP="00D25B6B">
      <w:pPr>
        <w:pStyle w:val="Paragraphedeliste"/>
        <w:tabs>
          <w:tab w:val="left" w:pos="1815"/>
        </w:tabs>
        <w:spacing w:line="276" w:lineRule="auto"/>
        <w:jc w:val="both"/>
        <w:rPr>
          <w:rFonts w:ascii="Arial" w:hAnsi="Arial" w:cs="Arial"/>
          <w:b/>
        </w:rPr>
      </w:pPr>
    </w:p>
    <w:p w14:paraId="4D699032" w14:textId="488F4737" w:rsidR="003A358C" w:rsidRPr="00474A63" w:rsidRDefault="000D19E1" w:rsidP="00C800FB">
      <w:pPr>
        <w:pStyle w:val="Paragraphedeliste"/>
        <w:numPr>
          <w:ilvl w:val="0"/>
          <w:numId w:val="14"/>
        </w:numPr>
        <w:tabs>
          <w:tab w:val="left" w:pos="1815"/>
        </w:tabs>
        <w:spacing w:line="276" w:lineRule="auto"/>
        <w:jc w:val="both"/>
        <w:outlineLvl w:val="0"/>
        <w:rPr>
          <w:rFonts w:ascii="Arial" w:hAnsi="Arial" w:cs="Arial"/>
          <w:b/>
        </w:rPr>
      </w:pPr>
      <w:bookmarkStart w:id="18" w:name="_Toc107841223"/>
      <w:r w:rsidRPr="00474A63">
        <w:rPr>
          <w:rFonts w:ascii="Arial" w:hAnsi="Arial" w:cs="Arial"/>
          <w:b/>
        </w:rPr>
        <w:t xml:space="preserve">Point sur la définition </w:t>
      </w:r>
      <w:r w:rsidR="008D4D73" w:rsidRPr="00474A63">
        <w:rPr>
          <w:rFonts w:ascii="Arial" w:hAnsi="Arial" w:cs="Arial"/>
          <w:b/>
        </w:rPr>
        <w:t xml:space="preserve">et la </w:t>
      </w:r>
      <w:r w:rsidR="00947E66" w:rsidRPr="00474A63">
        <w:rPr>
          <w:rFonts w:ascii="Arial" w:hAnsi="Arial" w:cs="Arial"/>
          <w:b/>
        </w:rPr>
        <w:t xml:space="preserve">condamnation </w:t>
      </w:r>
      <w:r w:rsidRPr="00474A63">
        <w:rPr>
          <w:rFonts w:ascii="Arial" w:hAnsi="Arial" w:cs="Arial"/>
          <w:b/>
        </w:rPr>
        <w:t>de la discrimination raciale (Article 1</w:t>
      </w:r>
      <w:r w:rsidRPr="00474A63">
        <w:rPr>
          <w:rFonts w:ascii="Arial" w:hAnsi="Arial" w:cs="Arial"/>
          <w:b/>
          <w:vertAlign w:val="superscript"/>
        </w:rPr>
        <w:t>er</w:t>
      </w:r>
      <w:r w:rsidRPr="00474A63">
        <w:rPr>
          <w:rFonts w:ascii="Arial" w:hAnsi="Arial" w:cs="Arial"/>
          <w:b/>
        </w:rPr>
        <w:t xml:space="preserve"> </w:t>
      </w:r>
      <w:r w:rsidR="00980B15" w:rsidRPr="00474A63">
        <w:rPr>
          <w:rFonts w:ascii="Arial" w:hAnsi="Arial" w:cs="Arial"/>
          <w:b/>
        </w:rPr>
        <w:t>– Article 4</w:t>
      </w:r>
      <w:r w:rsidRPr="00474A63">
        <w:rPr>
          <w:rFonts w:ascii="Arial" w:hAnsi="Arial" w:cs="Arial"/>
          <w:b/>
        </w:rPr>
        <w:t>)</w:t>
      </w:r>
      <w:bookmarkEnd w:id="18"/>
    </w:p>
    <w:p w14:paraId="1FA72989" w14:textId="4637C207" w:rsidR="00CA7B3B" w:rsidRPr="00474A63" w:rsidRDefault="00C45CE9" w:rsidP="008216D8">
      <w:pPr>
        <w:tabs>
          <w:tab w:val="left" w:pos="1815"/>
        </w:tabs>
        <w:spacing w:line="276" w:lineRule="auto"/>
        <w:jc w:val="both"/>
        <w:rPr>
          <w:rFonts w:ascii="Arial" w:hAnsi="Arial" w:cs="Arial"/>
          <w:bCs/>
        </w:rPr>
      </w:pPr>
      <w:r w:rsidRPr="00474A63">
        <w:rPr>
          <w:rFonts w:ascii="Arial" w:hAnsi="Arial" w:cs="Arial"/>
          <w:bCs/>
        </w:rPr>
        <w:t>Au Bénin, plusieurs instruments juridiques font référence à l’interdiction de la discrimination raciale qu’il s’agisse de la norme constitutionnelle</w:t>
      </w:r>
      <w:r w:rsidR="00EB15B0" w:rsidRPr="00474A63">
        <w:rPr>
          <w:rStyle w:val="Appelnotedebasdep"/>
          <w:rFonts w:ascii="Arial" w:hAnsi="Arial" w:cs="Arial"/>
          <w:bCs/>
        </w:rPr>
        <w:footnoteReference w:id="1"/>
      </w:r>
      <w:r w:rsidRPr="00474A63">
        <w:rPr>
          <w:rFonts w:ascii="Arial" w:hAnsi="Arial" w:cs="Arial"/>
          <w:bCs/>
        </w:rPr>
        <w:t xml:space="preserve"> que des normes infra-constitutionnelles</w:t>
      </w:r>
      <w:r w:rsidR="00C07138" w:rsidRPr="00474A63">
        <w:rPr>
          <w:rStyle w:val="Appelnotedebasdep"/>
          <w:rFonts w:ascii="Arial" w:hAnsi="Arial" w:cs="Arial"/>
          <w:bCs/>
        </w:rPr>
        <w:footnoteReference w:id="2"/>
      </w:r>
      <w:r w:rsidRPr="00474A63">
        <w:rPr>
          <w:rFonts w:ascii="Arial" w:hAnsi="Arial" w:cs="Arial"/>
          <w:bCs/>
        </w:rPr>
        <w:t>. Toutefois, il est à déplorer l’inexistence d’instruments juridiques définissant explicitement la notion de « discrimination raciale » et au surplus, en harmonie avec la stipulation conventionnelle.</w:t>
      </w:r>
      <w:r w:rsidR="005D02AF" w:rsidRPr="00474A63">
        <w:rPr>
          <w:rFonts w:ascii="Arial" w:hAnsi="Arial" w:cs="Arial"/>
          <w:bCs/>
        </w:rPr>
        <w:t xml:space="preserve"> Ainsi, malgré la prohibition de la discrimination raciale dans l’arsenal juridique béninois, aucune garantie n’est assurée pour une mise à l’abri de compréhension, d’explication et d’interprétation à géométrie variable de la notion de « discrimination raciale » au regard de l’inexistence d’une prévisibilité normative quant à la définition de ladite notion.</w:t>
      </w:r>
      <w:r w:rsidR="00FC3296" w:rsidRPr="00474A63">
        <w:rPr>
          <w:rFonts w:ascii="Arial" w:hAnsi="Arial" w:cs="Arial"/>
          <w:bCs/>
        </w:rPr>
        <w:t xml:space="preserve"> Toute chose pouvant se révéler en déphasage avec </w:t>
      </w:r>
      <w:r w:rsidR="00CC2B1A" w:rsidRPr="00474A63">
        <w:rPr>
          <w:rFonts w:ascii="Arial" w:hAnsi="Arial" w:cs="Arial"/>
          <w:bCs/>
        </w:rPr>
        <w:t xml:space="preserve">l’esprit et la lettre de </w:t>
      </w:r>
      <w:r w:rsidR="00FC3296" w:rsidRPr="00474A63">
        <w:rPr>
          <w:rFonts w:ascii="Arial" w:hAnsi="Arial" w:cs="Arial"/>
          <w:bCs/>
        </w:rPr>
        <w:t>la Convention.</w:t>
      </w:r>
      <w:r w:rsidR="005F0AC4" w:rsidRPr="00474A63">
        <w:rPr>
          <w:rFonts w:ascii="Arial" w:hAnsi="Arial" w:cs="Arial"/>
          <w:bCs/>
        </w:rPr>
        <w:t xml:space="preserve"> Il s’ensuit qu’il y a une faiblesse dans l’ancrage normatif en la matière.</w:t>
      </w:r>
    </w:p>
    <w:p w14:paraId="6AF12BA2" w14:textId="522819AE" w:rsidR="00CA7B3B" w:rsidRPr="00474A63" w:rsidRDefault="00CA7B3B" w:rsidP="008216D8">
      <w:pPr>
        <w:tabs>
          <w:tab w:val="left" w:pos="1815"/>
        </w:tabs>
        <w:spacing w:line="276" w:lineRule="auto"/>
        <w:jc w:val="both"/>
        <w:rPr>
          <w:rFonts w:ascii="Arial" w:hAnsi="Arial" w:cs="Arial"/>
          <w:b/>
        </w:rPr>
      </w:pPr>
    </w:p>
    <w:p w14:paraId="676E04E5" w14:textId="32CC2787" w:rsidR="001D769C" w:rsidRPr="00474A63" w:rsidRDefault="001D769C" w:rsidP="00C800FB">
      <w:pPr>
        <w:pStyle w:val="Paragraphedeliste"/>
        <w:numPr>
          <w:ilvl w:val="0"/>
          <w:numId w:val="14"/>
        </w:numPr>
        <w:tabs>
          <w:tab w:val="left" w:pos="1815"/>
        </w:tabs>
        <w:spacing w:line="276" w:lineRule="auto"/>
        <w:jc w:val="both"/>
        <w:outlineLvl w:val="0"/>
        <w:rPr>
          <w:rFonts w:ascii="Arial" w:hAnsi="Arial" w:cs="Arial"/>
          <w:b/>
        </w:rPr>
      </w:pPr>
      <w:bookmarkStart w:id="19" w:name="_Toc107841224"/>
      <w:r w:rsidRPr="00474A63">
        <w:rPr>
          <w:rFonts w:ascii="Arial" w:hAnsi="Arial" w:cs="Arial"/>
          <w:b/>
        </w:rPr>
        <w:t>Point sur la protection contre la discrimination raciale (Article 5)</w:t>
      </w:r>
      <w:bookmarkEnd w:id="19"/>
    </w:p>
    <w:p w14:paraId="44B701B9" w14:textId="1F4A3924" w:rsidR="00422428" w:rsidRPr="00474A63" w:rsidRDefault="00422428" w:rsidP="008216D8">
      <w:pPr>
        <w:spacing w:after="0" w:line="276" w:lineRule="auto"/>
        <w:jc w:val="both"/>
        <w:rPr>
          <w:rFonts w:ascii="Arial" w:hAnsi="Arial" w:cs="Arial"/>
          <w:b/>
          <w:color w:val="000000"/>
        </w:rPr>
      </w:pPr>
    </w:p>
    <w:p w14:paraId="4E2831A8" w14:textId="759B7AB0" w:rsidR="00422428" w:rsidRPr="00474A63" w:rsidRDefault="001D769C" w:rsidP="00E84CA2">
      <w:pPr>
        <w:pStyle w:val="Titre2"/>
        <w:rPr>
          <w:rFonts w:ascii="Arial" w:hAnsi="Arial" w:cs="Arial"/>
          <w:b w:val="0"/>
          <w:color w:val="548DD4" w:themeColor="text2" w:themeTint="99"/>
        </w:rPr>
      </w:pPr>
      <w:bookmarkStart w:id="20" w:name="_Toc107841225"/>
      <w:r w:rsidRPr="00474A63">
        <w:rPr>
          <w:rFonts w:ascii="Arial" w:hAnsi="Arial" w:cs="Arial"/>
          <w:b w:val="0"/>
          <w:color w:val="548DD4" w:themeColor="text2" w:themeTint="99"/>
        </w:rPr>
        <w:t xml:space="preserve">a) </w:t>
      </w:r>
      <w:r w:rsidR="00422428" w:rsidRPr="00474A63">
        <w:rPr>
          <w:rFonts w:ascii="Arial" w:hAnsi="Arial" w:cs="Arial"/>
          <w:b w:val="0"/>
          <w:color w:val="548DD4" w:themeColor="text2" w:themeTint="99"/>
        </w:rPr>
        <w:t>Le droit à la sûreté de la personne et à la protection de l’État contre les voies de fait ou les sévices</w:t>
      </w:r>
      <w:bookmarkEnd w:id="20"/>
    </w:p>
    <w:p w14:paraId="111B1E92" w14:textId="2862CF71" w:rsidR="00774022" w:rsidRPr="00474A63" w:rsidRDefault="00774022" w:rsidP="008216D8">
      <w:pPr>
        <w:spacing w:after="0" w:line="276" w:lineRule="auto"/>
        <w:jc w:val="both"/>
        <w:rPr>
          <w:rFonts w:ascii="Arial" w:hAnsi="Arial" w:cs="Arial"/>
          <w:color w:val="000000"/>
        </w:rPr>
      </w:pPr>
      <w:r w:rsidRPr="00474A63">
        <w:rPr>
          <w:rFonts w:ascii="Arial" w:hAnsi="Arial" w:cs="Arial"/>
          <w:color w:val="000000"/>
        </w:rPr>
        <w:t xml:space="preserve">La Constitution béninoise, dans ses articles 15 à 20, garantit le droit à la sûreté de la personne et consacre l’inviolabilité de la personne humaine. </w:t>
      </w:r>
      <w:r w:rsidR="00B3106B" w:rsidRPr="00474A63">
        <w:rPr>
          <w:rFonts w:ascii="Arial" w:hAnsi="Arial" w:cs="Arial"/>
          <w:color w:val="000000"/>
        </w:rPr>
        <w:t xml:space="preserve">Au Bénin, au regard de situations passées déplorables, </w:t>
      </w:r>
      <w:r w:rsidRPr="00474A63">
        <w:rPr>
          <w:rFonts w:ascii="Arial" w:hAnsi="Arial" w:cs="Arial"/>
          <w:color w:val="000000"/>
        </w:rPr>
        <w:t xml:space="preserve">la question de </w:t>
      </w:r>
      <w:r w:rsidR="00304D0C" w:rsidRPr="00474A63">
        <w:rPr>
          <w:rFonts w:ascii="Arial" w:hAnsi="Arial" w:cs="Arial"/>
          <w:color w:val="000000"/>
        </w:rPr>
        <w:t xml:space="preserve">la </w:t>
      </w:r>
      <w:r w:rsidRPr="00474A63">
        <w:rPr>
          <w:rFonts w:ascii="Arial" w:hAnsi="Arial" w:cs="Arial"/>
          <w:b/>
          <w:color w:val="000000"/>
        </w:rPr>
        <w:t>transhumance</w:t>
      </w:r>
      <w:r w:rsidRPr="00474A63">
        <w:rPr>
          <w:rFonts w:ascii="Arial" w:hAnsi="Arial" w:cs="Arial"/>
          <w:color w:val="000000"/>
        </w:rPr>
        <w:t xml:space="preserve"> (</w:t>
      </w:r>
      <w:r w:rsidR="009A0C8A" w:rsidRPr="00474A63">
        <w:rPr>
          <w:rFonts w:ascii="Arial" w:hAnsi="Arial" w:cs="Arial"/>
          <w:i/>
          <w:color w:val="000000"/>
        </w:rPr>
        <w:t>migration périodique du bétail (bovidés, cervidés, équidés et ovins) entre les pâturages d'hiver et les pâturages d'été</w:t>
      </w:r>
      <w:r w:rsidR="009A0C8A" w:rsidRPr="00474A63">
        <w:rPr>
          <w:rStyle w:val="Appelnotedebasdep"/>
          <w:rFonts w:ascii="Arial" w:hAnsi="Arial" w:cs="Arial"/>
          <w:color w:val="000000"/>
        </w:rPr>
        <w:footnoteReference w:id="3"/>
      </w:r>
      <w:r w:rsidRPr="00474A63">
        <w:rPr>
          <w:rFonts w:ascii="Arial" w:hAnsi="Arial" w:cs="Arial"/>
          <w:color w:val="000000"/>
        </w:rPr>
        <w:t xml:space="preserve">)  est désormais </w:t>
      </w:r>
      <w:r w:rsidR="00B3106B" w:rsidRPr="00474A63">
        <w:rPr>
          <w:rFonts w:ascii="Arial" w:hAnsi="Arial" w:cs="Arial"/>
          <w:color w:val="000000"/>
        </w:rPr>
        <w:t xml:space="preserve">organisée </w:t>
      </w:r>
      <w:r w:rsidRPr="00474A63">
        <w:rPr>
          <w:rFonts w:ascii="Arial" w:hAnsi="Arial" w:cs="Arial"/>
          <w:color w:val="000000"/>
        </w:rPr>
        <w:t>par des mesures prises par l’État.</w:t>
      </w:r>
    </w:p>
    <w:p w14:paraId="520DFE94" w14:textId="7E657A79" w:rsidR="00774022" w:rsidRPr="00474A63" w:rsidRDefault="00774022" w:rsidP="008216D8">
      <w:pPr>
        <w:spacing w:after="0" w:line="276" w:lineRule="auto"/>
        <w:jc w:val="both"/>
        <w:rPr>
          <w:rFonts w:ascii="Arial" w:hAnsi="Arial" w:cs="Arial"/>
          <w:color w:val="000000"/>
        </w:rPr>
      </w:pPr>
      <w:r w:rsidRPr="00474A63">
        <w:rPr>
          <w:rFonts w:ascii="Arial" w:hAnsi="Arial" w:cs="Arial"/>
          <w:color w:val="000000"/>
        </w:rPr>
        <w:t xml:space="preserve">Ainsi, </w:t>
      </w:r>
      <w:r w:rsidR="00AA3639">
        <w:rPr>
          <w:rFonts w:ascii="Arial" w:hAnsi="Arial" w:cs="Arial"/>
          <w:color w:val="000000"/>
        </w:rPr>
        <w:t>est entrée en vigueur depuis</w:t>
      </w:r>
      <w:r w:rsidRPr="00474A63">
        <w:rPr>
          <w:rFonts w:ascii="Arial" w:hAnsi="Arial" w:cs="Arial"/>
          <w:color w:val="000000"/>
        </w:rPr>
        <w:t xml:space="preserve"> le 23 avril 2019, la loi </w:t>
      </w:r>
      <w:r w:rsidRPr="00A55AED">
        <w:rPr>
          <w:rFonts w:ascii="Arial" w:hAnsi="Arial" w:cs="Arial"/>
          <w:bCs/>
          <w:color w:val="000000"/>
        </w:rPr>
        <w:t>n°2018-20 portant code pastoral en République du Bénin</w:t>
      </w:r>
      <w:r w:rsidRPr="00474A63">
        <w:rPr>
          <w:rFonts w:ascii="Arial" w:hAnsi="Arial" w:cs="Arial"/>
          <w:color w:val="000000"/>
        </w:rPr>
        <w:t xml:space="preserve">. Cet instrument juridique définit les règles applicables au pastoralisme en République du Bénin. Outre cette loi, le </w:t>
      </w:r>
      <w:r w:rsidR="00EC53D3" w:rsidRPr="00474A63">
        <w:rPr>
          <w:rFonts w:ascii="Arial" w:hAnsi="Arial" w:cs="Arial"/>
          <w:color w:val="000000"/>
        </w:rPr>
        <w:t>G</w:t>
      </w:r>
      <w:r w:rsidRPr="00474A63">
        <w:rPr>
          <w:rFonts w:ascii="Arial" w:hAnsi="Arial" w:cs="Arial"/>
          <w:color w:val="000000"/>
        </w:rPr>
        <w:t xml:space="preserve">ouvernement a pris le décret </w:t>
      </w:r>
      <w:r w:rsidRPr="00A55AED">
        <w:rPr>
          <w:rFonts w:ascii="Arial" w:hAnsi="Arial" w:cs="Arial"/>
          <w:bCs/>
          <w:color w:val="000000"/>
        </w:rPr>
        <w:t>n°2021-332 du 30 juin 2021 portant création du Haut-commissariat à la sédentarisation des éleveurs</w:t>
      </w:r>
      <w:r w:rsidRPr="00474A63">
        <w:rPr>
          <w:rFonts w:ascii="Arial" w:hAnsi="Arial" w:cs="Arial"/>
          <w:color w:val="000000"/>
        </w:rPr>
        <w:t xml:space="preserve">. Le Haut-Commissaire à la sédentarisation des éleveurs placé sous l’autorité directe du Président de la République est dorénavant chargé de contribuer à la modernisation du système d’élevage </w:t>
      </w:r>
      <w:r w:rsidRPr="00474A63">
        <w:rPr>
          <w:rFonts w:ascii="Arial" w:hAnsi="Arial" w:cs="Arial"/>
          <w:color w:val="000000"/>
        </w:rPr>
        <w:lastRenderedPageBreak/>
        <w:t>au Bénin, à la définition et la mise en œuvre de la politique de sédentarisation et à l’épanouissement soci</w:t>
      </w:r>
      <w:r w:rsidR="00220665" w:rsidRPr="00474A63">
        <w:rPr>
          <w:rFonts w:ascii="Arial" w:hAnsi="Arial" w:cs="Arial"/>
          <w:color w:val="000000"/>
        </w:rPr>
        <w:t>o-</w:t>
      </w:r>
      <w:r w:rsidRPr="00474A63">
        <w:rPr>
          <w:rFonts w:ascii="Arial" w:hAnsi="Arial" w:cs="Arial"/>
          <w:color w:val="000000"/>
        </w:rPr>
        <w:t>économique des agriculteurs et éleveurs dans un environnement sécurisé et apaisé. L’idée étant de mettre fin aux conflits perpétuels entre agriculteurs et éleveurs dans le pays.</w:t>
      </w:r>
    </w:p>
    <w:p w14:paraId="7DEC52B3" w14:textId="13E34DD6" w:rsidR="00774022" w:rsidRPr="00474A63" w:rsidRDefault="0091515E" w:rsidP="008216D8">
      <w:pPr>
        <w:spacing w:after="0" w:line="276" w:lineRule="auto"/>
        <w:jc w:val="both"/>
        <w:rPr>
          <w:rFonts w:ascii="Arial" w:hAnsi="Arial" w:cs="Arial"/>
          <w:color w:val="000000"/>
        </w:rPr>
      </w:pPr>
      <w:r w:rsidRPr="00474A63">
        <w:rPr>
          <w:rFonts w:ascii="Arial" w:hAnsi="Arial" w:cs="Arial"/>
          <w:color w:val="000000"/>
        </w:rPr>
        <w:t xml:space="preserve">Cependant, </w:t>
      </w:r>
      <w:r w:rsidR="00774022" w:rsidRPr="00474A63">
        <w:rPr>
          <w:rFonts w:ascii="Arial" w:hAnsi="Arial" w:cs="Arial"/>
          <w:color w:val="000000"/>
        </w:rPr>
        <w:t xml:space="preserve">force est </w:t>
      </w:r>
      <w:r w:rsidR="00E53FAD" w:rsidRPr="00474A63">
        <w:rPr>
          <w:rFonts w:ascii="Arial" w:hAnsi="Arial" w:cs="Arial"/>
          <w:color w:val="000000"/>
        </w:rPr>
        <w:t>d’observer</w:t>
      </w:r>
      <w:r w:rsidR="00774022" w:rsidRPr="00474A63">
        <w:rPr>
          <w:rFonts w:ascii="Arial" w:hAnsi="Arial" w:cs="Arial"/>
          <w:color w:val="000000"/>
        </w:rPr>
        <w:t xml:space="preserve"> que les conflits perdurent entre ces deux communautés.</w:t>
      </w:r>
    </w:p>
    <w:p w14:paraId="6E2D9330" w14:textId="26F1AC83" w:rsidR="00774022" w:rsidRPr="00474A63" w:rsidRDefault="00774022" w:rsidP="008216D8">
      <w:pPr>
        <w:spacing w:after="0" w:line="276" w:lineRule="auto"/>
        <w:jc w:val="both"/>
        <w:rPr>
          <w:rFonts w:ascii="Arial" w:hAnsi="Arial" w:cs="Arial"/>
          <w:color w:val="000000"/>
        </w:rPr>
      </w:pPr>
      <w:r w:rsidRPr="00474A63">
        <w:rPr>
          <w:rFonts w:ascii="Arial" w:hAnsi="Arial" w:cs="Arial"/>
          <w:color w:val="000000"/>
        </w:rPr>
        <w:t>Les 24 et 25 juillet 2021, dans l’arrondissement de Guéné commune de Malanville</w:t>
      </w:r>
      <w:r w:rsidR="00AA3639">
        <w:rPr>
          <w:rFonts w:ascii="Arial" w:hAnsi="Arial" w:cs="Arial"/>
          <w:color w:val="000000"/>
        </w:rPr>
        <w:t xml:space="preserve"> dans le département de l’Alibori</w:t>
      </w:r>
      <w:r w:rsidRPr="00474A63">
        <w:rPr>
          <w:rFonts w:ascii="Arial" w:hAnsi="Arial" w:cs="Arial"/>
          <w:color w:val="000000"/>
        </w:rPr>
        <w:t xml:space="preserve"> situé au </w:t>
      </w:r>
      <w:r w:rsidR="00AA3639">
        <w:rPr>
          <w:rFonts w:ascii="Arial" w:hAnsi="Arial" w:cs="Arial"/>
          <w:color w:val="000000"/>
        </w:rPr>
        <w:t>N</w:t>
      </w:r>
      <w:r w:rsidRPr="00474A63">
        <w:rPr>
          <w:rFonts w:ascii="Arial" w:hAnsi="Arial" w:cs="Arial"/>
          <w:color w:val="000000"/>
        </w:rPr>
        <w:t>ord du pays et frontalier avec le Niger, cinq personnes ont été tuées et plusieurs blessées dans des affrontements entre des cultivateurs de coton et des éleveurs</w:t>
      </w:r>
      <w:r w:rsidR="00504537" w:rsidRPr="00474A63">
        <w:rPr>
          <w:rStyle w:val="Appelnotedebasdep"/>
          <w:rFonts w:ascii="Arial" w:hAnsi="Arial" w:cs="Arial"/>
          <w:color w:val="000000"/>
        </w:rPr>
        <w:footnoteReference w:id="4"/>
      </w:r>
      <w:r w:rsidR="00504537" w:rsidRPr="00474A63">
        <w:rPr>
          <w:rFonts w:ascii="Arial" w:hAnsi="Arial" w:cs="Arial"/>
          <w:color w:val="000000"/>
        </w:rPr>
        <w:t>.</w:t>
      </w:r>
      <w:r w:rsidRPr="00474A63">
        <w:rPr>
          <w:rFonts w:ascii="Arial" w:hAnsi="Arial" w:cs="Arial"/>
          <w:color w:val="000000"/>
        </w:rPr>
        <w:t xml:space="preserve"> </w:t>
      </w:r>
    </w:p>
    <w:p w14:paraId="5EE9E5E7" w14:textId="0A44A87E" w:rsidR="00AC645E" w:rsidRPr="00474A63" w:rsidRDefault="00AC645E" w:rsidP="008216D8">
      <w:pPr>
        <w:spacing w:after="0" w:line="276" w:lineRule="auto"/>
        <w:jc w:val="both"/>
        <w:rPr>
          <w:rFonts w:ascii="Arial" w:hAnsi="Arial" w:cs="Arial"/>
          <w:color w:val="000000"/>
        </w:rPr>
      </w:pPr>
      <w:r w:rsidRPr="00474A63">
        <w:rPr>
          <w:rFonts w:ascii="Arial" w:hAnsi="Arial" w:cs="Arial"/>
          <w:color w:val="000000"/>
        </w:rPr>
        <w:t>Le 05 mai 2022 à Kpaari dans l’arrondissement de Kika commune de Tchaourou</w:t>
      </w:r>
      <w:r w:rsidR="00BA7B25">
        <w:rPr>
          <w:rFonts w:ascii="Arial" w:hAnsi="Arial" w:cs="Arial"/>
          <w:color w:val="000000"/>
        </w:rPr>
        <w:t xml:space="preserve"> dans le département du Borgou</w:t>
      </w:r>
      <w:r w:rsidRPr="00474A63">
        <w:rPr>
          <w:rFonts w:ascii="Arial" w:hAnsi="Arial" w:cs="Arial"/>
          <w:color w:val="000000"/>
        </w:rPr>
        <w:t>, un affrontement entre agriculteur et éleveur a entrainé quatre (04) morts et des blessés</w:t>
      </w:r>
      <w:r w:rsidR="0091515E" w:rsidRPr="00474A63">
        <w:rPr>
          <w:rStyle w:val="Appelnotedebasdep"/>
          <w:rFonts w:ascii="Arial" w:hAnsi="Arial" w:cs="Arial"/>
          <w:color w:val="000000"/>
        </w:rPr>
        <w:footnoteReference w:id="5"/>
      </w:r>
      <w:r w:rsidRPr="00474A63">
        <w:rPr>
          <w:rFonts w:ascii="Arial" w:hAnsi="Arial" w:cs="Arial"/>
          <w:color w:val="000000"/>
        </w:rPr>
        <w:t>.</w:t>
      </w:r>
    </w:p>
    <w:p w14:paraId="190589F3" w14:textId="6C530B19" w:rsidR="00E124E9" w:rsidRPr="00474A63" w:rsidRDefault="00E124E9" w:rsidP="008216D8">
      <w:pPr>
        <w:spacing w:after="0" w:line="276" w:lineRule="auto"/>
        <w:jc w:val="both"/>
        <w:rPr>
          <w:rFonts w:ascii="Arial" w:hAnsi="Arial" w:cs="Arial"/>
          <w:color w:val="000000"/>
        </w:rPr>
      </w:pPr>
      <w:r w:rsidRPr="00474A63">
        <w:rPr>
          <w:rFonts w:ascii="Arial" w:hAnsi="Arial" w:cs="Arial"/>
          <w:color w:val="000000"/>
        </w:rPr>
        <w:t>Loin d’être les seuls affrontements, cette situation interpelle l</w:t>
      </w:r>
      <w:r w:rsidR="00F34AB9" w:rsidRPr="00474A63">
        <w:rPr>
          <w:rFonts w:ascii="Arial" w:hAnsi="Arial" w:cs="Arial"/>
          <w:color w:val="000000"/>
        </w:rPr>
        <w:t>e Gouvernement</w:t>
      </w:r>
      <w:r w:rsidRPr="00474A63">
        <w:rPr>
          <w:rFonts w:ascii="Arial" w:hAnsi="Arial" w:cs="Arial"/>
          <w:color w:val="000000"/>
        </w:rPr>
        <w:t xml:space="preserve"> sur </w:t>
      </w:r>
      <w:r w:rsidR="00F34AB9" w:rsidRPr="00474A63">
        <w:rPr>
          <w:rFonts w:ascii="Arial" w:hAnsi="Arial" w:cs="Arial"/>
          <w:color w:val="000000"/>
        </w:rPr>
        <w:t>son</w:t>
      </w:r>
      <w:r w:rsidRPr="00474A63">
        <w:rPr>
          <w:rFonts w:ascii="Arial" w:hAnsi="Arial" w:cs="Arial"/>
          <w:color w:val="000000"/>
        </w:rPr>
        <w:t xml:space="preserve"> obligation</w:t>
      </w:r>
      <w:r w:rsidR="00F34AB9" w:rsidRPr="00474A63">
        <w:rPr>
          <w:rFonts w:ascii="Arial" w:hAnsi="Arial" w:cs="Arial"/>
          <w:color w:val="000000"/>
        </w:rPr>
        <w:t xml:space="preserve"> de protection</w:t>
      </w:r>
      <w:r w:rsidRPr="00474A63">
        <w:rPr>
          <w:rFonts w:ascii="Arial" w:hAnsi="Arial" w:cs="Arial"/>
          <w:color w:val="000000"/>
        </w:rPr>
        <w:t xml:space="preserve"> </w:t>
      </w:r>
      <w:r w:rsidR="00F34AB9" w:rsidRPr="00474A63">
        <w:rPr>
          <w:rFonts w:ascii="Arial" w:hAnsi="Arial" w:cs="Arial"/>
          <w:color w:val="000000"/>
        </w:rPr>
        <w:t>en vue</w:t>
      </w:r>
      <w:r w:rsidRPr="00474A63">
        <w:rPr>
          <w:rFonts w:ascii="Arial" w:hAnsi="Arial" w:cs="Arial"/>
          <w:color w:val="000000"/>
        </w:rPr>
        <w:t xml:space="preserve"> </w:t>
      </w:r>
      <w:r w:rsidR="00F34AB9" w:rsidRPr="00474A63">
        <w:rPr>
          <w:rFonts w:ascii="Arial" w:hAnsi="Arial" w:cs="Arial"/>
          <w:color w:val="000000"/>
        </w:rPr>
        <w:t>d’</w:t>
      </w:r>
      <w:r w:rsidRPr="00474A63">
        <w:rPr>
          <w:rFonts w:ascii="Arial" w:hAnsi="Arial" w:cs="Arial"/>
          <w:color w:val="000000"/>
        </w:rPr>
        <w:t>assurer la sécurité des biens et des personnes sur son territoire.</w:t>
      </w:r>
    </w:p>
    <w:p w14:paraId="583B5A32" w14:textId="08FC07CC" w:rsidR="002D663D" w:rsidRPr="00474A63" w:rsidRDefault="00902B48" w:rsidP="008216D8">
      <w:pPr>
        <w:spacing w:after="0" w:line="276" w:lineRule="auto"/>
        <w:jc w:val="both"/>
        <w:rPr>
          <w:rFonts w:ascii="Arial" w:hAnsi="Arial" w:cs="Arial"/>
          <w:color w:val="000000"/>
        </w:rPr>
      </w:pPr>
      <w:r w:rsidRPr="00474A63">
        <w:rPr>
          <w:rFonts w:ascii="Arial" w:hAnsi="Arial" w:cs="Arial"/>
          <w:color w:val="000000"/>
        </w:rPr>
        <w:t>Aux termes des articles 15 et 18 alinéa 1 de la Constitution, « Tout individu a droit à la vie, à la liberté, à la sécurité et à l'intégrité de sa personne</w:t>
      </w:r>
      <w:r w:rsidR="00793367">
        <w:rPr>
          <w:rFonts w:ascii="Arial" w:hAnsi="Arial" w:cs="Arial"/>
          <w:color w:val="000000"/>
        </w:rPr>
        <w:t>.</w:t>
      </w:r>
      <w:r w:rsidRPr="00474A63">
        <w:rPr>
          <w:rFonts w:ascii="Arial" w:hAnsi="Arial" w:cs="Arial"/>
          <w:color w:val="000000"/>
        </w:rPr>
        <w:t xml:space="preserve">  </w:t>
      </w:r>
      <w:r w:rsidRPr="00474A63">
        <w:rPr>
          <w:rFonts w:ascii="Arial" w:hAnsi="Arial" w:cs="Arial"/>
          <w:b/>
          <w:color w:val="000000"/>
        </w:rPr>
        <w:t>Nul ne peut être condamné à la peine de mort</w:t>
      </w:r>
      <w:r w:rsidR="00793367">
        <w:rPr>
          <w:rFonts w:ascii="Arial" w:hAnsi="Arial" w:cs="Arial"/>
          <w:b/>
          <w:color w:val="000000"/>
        </w:rPr>
        <w:t xml:space="preserve"> </w:t>
      </w:r>
      <w:r w:rsidRPr="00474A63">
        <w:rPr>
          <w:rFonts w:ascii="Arial" w:hAnsi="Arial" w:cs="Arial"/>
          <w:b/>
          <w:color w:val="000000"/>
        </w:rPr>
        <w:t xml:space="preserve">» ; « Nul ne sera soumis à la torture, ni à des sévices ou traitements cruels, inhumains ou dégradants </w:t>
      </w:r>
      <w:r w:rsidRPr="00474A63">
        <w:rPr>
          <w:rFonts w:ascii="Arial" w:hAnsi="Arial" w:cs="Arial"/>
          <w:color w:val="000000"/>
        </w:rPr>
        <w:t>»</w:t>
      </w:r>
      <w:r w:rsidR="00793367">
        <w:rPr>
          <w:rFonts w:ascii="Arial" w:hAnsi="Arial" w:cs="Arial"/>
          <w:color w:val="000000"/>
        </w:rPr>
        <w:t>.E</w:t>
      </w:r>
      <w:r w:rsidRPr="00474A63">
        <w:rPr>
          <w:rFonts w:ascii="Arial" w:hAnsi="Arial" w:cs="Arial"/>
          <w:color w:val="000000"/>
        </w:rPr>
        <w:t>n outre, les articles 17 alinéa 1</w:t>
      </w:r>
      <w:r w:rsidRPr="00474A63">
        <w:rPr>
          <w:rFonts w:ascii="Arial" w:hAnsi="Arial" w:cs="Arial"/>
          <w:color w:val="000000"/>
          <w:vertAlign w:val="superscript"/>
        </w:rPr>
        <w:t>er</w:t>
      </w:r>
      <w:r w:rsidRPr="00474A63">
        <w:rPr>
          <w:rFonts w:ascii="Arial" w:hAnsi="Arial" w:cs="Arial"/>
          <w:color w:val="000000"/>
        </w:rPr>
        <w:t xml:space="preserve">  de la Constitution et article 11 de la loi </w:t>
      </w:r>
      <w:r w:rsidRPr="00474A63">
        <w:rPr>
          <w:rFonts w:ascii="Arial" w:hAnsi="Arial" w:cs="Arial"/>
          <w:b/>
          <w:color w:val="000000"/>
        </w:rPr>
        <w:t>n°2001-37 du 27 août 2002</w:t>
      </w:r>
      <w:r w:rsidRPr="00474A63">
        <w:rPr>
          <w:rFonts w:ascii="Arial" w:hAnsi="Arial" w:cs="Arial"/>
          <w:color w:val="000000"/>
        </w:rPr>
        <w:t xml:space="preserve"> portant organisation judiciaire disposent </w:t>
      </w:r>
      <w:r w:rsidR="00E53FAD" w:rsidRPr="00474A63">
        <w:rPr>
          <w:rFonts w:ascii="Arial" w:hAnsi="Arial" w:cs="Arial"/>
          <w:color w:val="000000"/>
        </w:rPr>
        <w:t>respectivement</w:t>
      </w:r>
      <w:r w:rsidRPr="00474A63">
        <w:rPr>
          <w:rFonts w:ascii="Arial" w:hAnsi="Arial" w:cs="Arial"/>
          <w:color w:val="000000"/>
        </w:rPr>
        <w:t xml:space="preserve"> « </w:t>
      </w:r>
      <w:r w:rsidRPr="00474A63">
        <w:rPr>
          <w:rFonts w:ascii="Arial" w:hAnsi="Arial" w:cs="Arial"/>
          <w:b/>
          <w:color w:val="000000"/>
        </w:rPr>
        <w:t xml:space="preserve">Toute personne accusée d'un acte délictueux est présumée innocente jusqu'à ce que sa culpabilité ait été légalement établie ... </w:t>
      </w:r>
      <w:r w:rsidRPr="00474A63">
        <w:rPr>
          <w:rFonts w:ascii="Arial" w:hAnsi="Arial" w:cs="Arial"/>
          <w:color w:val="000000"/>
        </w:rPr>
        <w:t xml:space="preserve">» « </w:t>
      </w:r>
      <w:r w:rsidRPr="00474A63">
        <w:rPr>
          <w:rFonts w:ascii="Arial" w:hAnsi="Arial" w:cs="Arial"/>
          <w:b/>
          <w:color w:val="000000"/>
        </w:rPr>
        <w:t>La justice est rendue par les tribunaux de première instance, les cours d'appel, la Cour suprême et toutes les juridictions légalement constituées</w:t>
      </w:r>
      <w:r w:rsidRPr="00474A63">
        <w:rPr>
          <w:rFonts w:ascii="Arial" w:hAnsi="Arial" w:cs="Arial"/>
          <w:color w:val="000000"/>
        </w:rPr>
        <w:t xml:space="preserve"> »</w:t>
      </w:r>
      <w:r w:rsidR="00563CD8">
        <w:rPr>
          <w:rFonts w:ascii="Arial" w:hAnsi="Arial" w:cs="Arial"/>
          <w:color w:val="000000"/>
        </w:rPr>
        <w:t>.</w:t>
      </w:r>
      <w:r w:rsidR="00662C5E">
        <w:rPr>
          <w:rFonts w:ascii="Arial" w:hAnsi="Arial" w:cs="Arial"/>
          <w:color w:val="000000"/>
        </w:rPr>
        <w:t xml:space="preserve"> L’article 10 de la Déclaration Universelle des Droits de l’Homme énonce « </w:t>
      </w:r>
      <w:r w:rsidR="00662C5E" w:rsidRPr="00242445">
        <w:rPr>
          <w:rFonts w:ascii="Arial" w:hAnsi="Arial" w:cs="Arial"/>
          <w:color w:val="454545"/>
          <w:shd w:val="clear" w:color="auto" w:fill="FFFFFF"/>
        </w:rPr>
        <w:t>Toute personne a droit, en pleine égalité, à ce que sa cause soit entendue équitablement et publiquement par un tribunal indépendant et impartial, qui décidera, soit de ses droits et obligations, soit du bien-fondé de toute accusation en matière pénale dirigée contre elle ».</w:t>
      </w:r>
      <w:r w:rsidRPr="00474A63">
        <w:rPr>
          <w:rFonts w:ascii="Arial" w:hAnsi="Arial" w:cs="Arial"/>
          <w:color w:val="000000"/>
        </w:rPr>
        <w:cr/>
      </w:r>
      <w:r w:rsidR="00E53FAD" w:rsidRPr="00474A63">
        <w:rPr>
          <w:rFonts w:ascii="Arial" w:hAnsi="Arial" w:cs="Arial"/>
          <w:color w:val="000000"/>
        </w:rPr>
        <w:t>Cependant</w:t>
      </w:r>
      <w:r w:rsidR="00D14F9A" w:rsidRPr="00474A63">
        <w:rPr>
          <w:rFonts w:ascii="Arial" w:hAnsi="Arial" w:cs="Arial"/>
          <w:color w:val="000000"/>
        </w:rPr>
        <w:t>, d</w:t>
      </w:r>
      <w:r w:rsidR="00B41584" w:rsidRPr="00474A63">
        <w:rPr>
          <w:rFonts w:ascii="Arial" w:hAnsi="Arial" w:cs="Arial"/>
          <w:color w:val="000000"/>
        </w:rPr>
        <w:t>es faits nous amène</w:t>
      </w:r>
      <w:r w:rsidR="00E53FAD" w:rsidRPr="00474A63">
        <w:rPr>
          <w:rFonts w:ascii="Arial" w:hAnsi="Arial" w:cs="Arial"/>
          <w:color w:val="000000"/>
        </w:rPr>
        <w:t>nt</w:t>
      </w:r>
      <w:r w:rsidR="00B41584" w:rsidRPr="00474A63">
        <w:rPr>
          <w:rFonts w:ascii="Arial" w:hAnsi="Arial" w:cs="Arial"/>
          <w:color w:val="000000"/>
        </w:rPr>
        <w:t xml:space="preserve"> à </w:t>
      </w:r>
      <w:r w:rsidR="00E53FAD" w:rsidRPr="00474A63">
        <w:rPr>
          <w:rFonts w:ascii="Arial" w:hAnsi="Arial" w:cs="Arial"/>
          <w:color w:val="000000"/>
        </w:rPr>
        <w:t xml:space="preserve">observer une faiblesse de </w:t>
      </w:r>
      <w:r w:rsidR="00B41584" w:rsidRPr="00474A63">
        <w:rPr>
          <w:rFonts w:ascii="Arial" w:hAnsi="Arial" w:cs="Arial"/>
          <w:color w:val="000000"/>
        </w:rPr>
        <w:t>l’</w:t>
      </w:r>
      <w:r w:rsidR="005D775B" w:rsidRPr="00474A63">
        <w:rPr>
          <w:rFonts w:ascii="Arial" w:hAnsi="Arial" w:cs="Arial"/>
          <w:color w:val="000000"/>
        </w:rPr>
        <w:t xml:space="preserve">Etat  </w:t>
      </w:r>
      <w:r w:rsidR="00E53FAD" w:rsidRPr="00474A63">
        <w:rPr>
          <w:rFonts w:ascii="Arial" w:hAnsi="Arial" w:cs="Arial"/>
          <w:color w:val="000000"/>
        </w:rPr>
        <w:t xml:space="preserve">dans </w:t>
      </w:r>
      <w:r w:rsidR="005D775B" w:rsidRPr="00474A63">
        <w:rPr>
          <w:rFonts w:ascii="Arial" w:hAnsi="Arial" w:cs="Arial"/>
          <w:color w:val="000000"/>
        </w:rPr>
        <w:t>sa mission</w:t>
      </w:r>
      <w:r w:rsidR="00B41584" w:rsidRPr="00474A63">
        <w:rPr>
          <w:rFonts w:ascii="Arial" w:hAnsi="Arial" w:cs="Arial"/>
          <w:color w:val="000000"/>
        </w:rPr>
        <w:t xml:space="preserve"> de protection</w:t>
      </w:r>
      <w:r w:rsidR="005D775B" w:rsidRPr="00474A63">
        <w:rPr>
          <w:rFonts w:ascii="Arial" w:hAnsi="Arial" w:cs="Arial"/>
          <w:color w:val="000000"/>
        </w:rPr>
        <w:t xml:space="preserve"> des citoyens</w:t>
      </w:r>
      <w:r w:rsidR="00B41584" w:rsidRPr="00474A63">
        <w:rPr>
          <w:rFonts w:ascii="Arial" w:hAnsi="Arial" w:cs="Arial"/>
          <w:color w:val="000000"/>
        </w:rPr>
        <w:t xml:space="preserve">. En effet, </w:t>
      </w:r>
      <w:r w:rsidR="000E07B7" w:rsidRPr="00474A63">
        <w:rPr>
          <w:rFonts w:ascii="Arial" w:hAnsi="Arial" w:cs="Arial"/>
          <w:color w:val="000000"/>
        </w:rPr>
        <w:t>certains citoyens s’octroient la prérogative</w:t>
      </w:r>
      <w:r w:rsidRPr="00474A63">
        <w:rPr>
          <w:rFonts w:ascii="Arial" w:hAnsi="Arial" w:cs="Arial"/>
          <w:color w:val="000000"/>
        </w:rPr>
        <w:t xml:space="preserve"> de se faire justice  </w:t>
      </w:r>
      <w:r w:rsidR="000E07B7" w:rsidRPr="00474A63">
        <w:rPr>
          <w:rFonts w:ascii="Arial" w:hAnsi="Arial" w:cs="Arial"/>
          <w:color w:val="000000"/>
        </w:rPr>
        <w:t>eux-</w:t>
      </w:r>
      <w:r w:rsidRPr="00474A63">
        <w:rPr>
          <w:rFonts w:ascii="Arial" w:hAnsi="Arial" w:cs="Arial"/>
          <w:color w:val="000000"/>
        </w:rPr>
        <w:t>même</w:t>
      </w:r>
      <w:r w:rsidR="000E07B7" w:rsidRPr="00474A63">
        <w:rPr>
          <w:rFonts w:ascii="Arial" w:hAnsi="Arial" w:cs="Arial"/>
          <w:color w:val="000000"/>
        </w:rPr>
        <w:t>s</w:t>
      </w:r>
      <w:r w:rsidRPr="00474A63">
        <w:rPr>
          <w:rFonts w:ascii="Arial" w:hAnsi="Arial" w:cs="Arial"/>
          <w:color w:val="000000"/>
        </w:rPr>
        <w:t>, de soumettre d</w:t>
      </w:r>
      <w:r w:rsidR="000E07B7" w:rsidRPr="00474A63">
        <w:rPr>
          <w:rFonts w:ascii="Arial" w:hAnsi="Arial" w:cs="Arial"/>
          <w:color w:val="000000"/>
        </w:rPr>
        <w:t>’autres</w:t>
      </w:r>
      <w:r w:rsidRPr="00474A63">
        <w:rPr>
          <w:rFonts w:ascii="Arial" w:hAnsi="Arial" w:cs="Arial"/>
          <w:color w:val="000000"/>
        </w:rPr>
        <w:t xml:space="preserve"> citoyens à la vindicte populaire, parfois avec la </w:t>
      </w:r>
      <w:r w:rsidR="00A3354D">
        <w:rPr>
          <w:rFonts w:ascii="Arial" w:hAnsi="Arial" w:cs="Arial"/>
          <w:color w:val="000000"/>
        </w:rPr>
        <w:t>passivité</w:t>
      </w:r>
      <w:r w:rsidR="00A3354D" w:rsidRPr="00474A63">
        <w:rPr>
          <w:rFonts w:ascii="Arial" w:hAnsi="Arial" w:cs="Arial"/>
          <w:color w:val="000000"/>
        </w:rPr>
        <w:t xml:space="preserve"> </w:t>
      </w:r>
      <w:r w:rsidRPr="00474A63">
        <w:rPr>
          <w:rFonts w:ascii="Arial" w:hAnsi="Arial" w:cs="Arial"/>
          <w:color w:val="000000"/>
        </w:rPr>
        <w:t>du chef de quartier</w:t>
      </w:r>
      <w:r w:rsidRPr="00474A63">
        <w:rPr>
          <w:rStyle w:val="Appelnotedebasdep"/>
          <w:rFonts w:ascii="Arial" w:hAnsi="Arial" w:cs="Arial"/>
          <w:color w:val="000000"/>
        </w:rPr>
        <w:footnoteReference w:id="6"/>
      </w:r>
      <w:r w:rsidR="002D663D" w:rsidRPr="00474A63">
        <w:rPr>
          <w:rFonts w:ascii="Arial" w:hAnsi="Arial" w:cs="Arial"/>
          <w:color w:val="000000"/>
        </w:rPr>
        <w:t xml:space="preserve">, </w:t>
      </w:r>
      <w:r w:rsidR="005D595A" w:rsidRPr="00474A63">
        <w:rPr>
          <w:rFonts w:ascii="Arial" w:hAnsi="Arial" w:cs="Arial"/>
          <w:color w:val="000000"/>
        </w:rPr>
        <w:t>ou commettent des actes d’atteinte à la dignité de la personne humaine sur des présumés</w:t>
      </w:r>
      <w:r w:rsidR="008063D1" w:rsidRPr="00474A63">
        <w:rPr>
          <w:rFonts w:ascii="Arial" w:hAnsi="Arial" w:cs="Arial"/>
          <w:color w:val="000000"/>
        </w:rPr>
        <w:t xml:space="preserve"> voleurs</w:t>
      </w:r>
      <w:r w:rsidR="005D595A" w:rsidRPr="00474A63">
        <w:rPr>
          <w:rStyle w:val="Appelnotedebasdep"/>
          <w:rFonts w:ascii="Arial" w:hAnsi="Arial" w:cs="Arial"/>
          <w:color w:val="000000"/>
        </w:rPr>
        <w:footnoteReference w:id="7"/>
      </w:r>
      <w:r w:rsidR="005D595A" w:rsidRPr="00474A63">
        <w:rPr>
          <w:rFonts w:ascii="Arial" w:hAnsi="Arial" w:cs="Arial"/>
          <w:color w:val="000000"/>
        </w:rPr>
        <w:t xml:space="preserve">. La discrimination notée dans le dernier cas </w:t>
      </w:r>
      <w:r w:rsidR="002D663D" w:rsidRPr="00474A63">
        <w:rPr>
          <w:rFonts w:ascii="Arial" w:hAnsi="Arial" w:cs="Arial"/>
          <w:color w:val="000000"/>
        </w:rPr>
        <w:t>est liée au fait de préciser l’ethnie</w:t>
      </w:r>
      <w:r w:rsidR="00514186" w:rsidRPr="00474A63">
        <w:rPr>
          <w:rFonts w:ascii="Arial" w:hAnsi="Arial" w:cs="Arial"/>
          <w:color w:val="000000"/>
        </w:rPr>
        <w:t xml:space="preserve"> (peulh)</w:t>
      </w:r>
      <w:r w:rsidR="002D663D" w:rsidRPr="00474A63">
        <w:rPr>
          <w:rFonts w:ascii="Arial" w:hAnsi="Arial" w:cs="Arial"/>
          <w:color w:val="000000"/>
        </w:rPr>
        <w:t xml:space="preserve"> de présumés voleurs (c’est bien la première fois qu’une vidéo du genre fait cette allusion).</w:t>
      </w:r>
    </w:p>
    <w:p w14:paraId="7F5F1BA8" w14:textId="3EC580C7" w:rsidR="00D14F9A" w:rsidRPr="00474A63" w:rsidRDefault="002D663D" w:rsidP="008216D8">
      <w:pPr>
        <w:spacing w:after="0" w:line="276" w:lineRule="auto"/>
        <w:jc w:val="both"/>
        <w:rPr>
          <w:rFonts w:ascii="Arial" w:hAnsi="Arial" w:cs="Arial"/>
          <w:color w:val="000000"/>
        </w:rPr>
      </w:pPr>
      <w:r w:rsidRPr="00474A63">
        <w:rPr>
          <w:rFonts w:ascii="Arial" w:hAnsi="Arial" w:cs="Arial"/>
          <w:color w:val="000000"/>
        </w:rPr>
        <w:t xml:space="preserve">Cet état de chose est également noté </w:t>
      </w:r>
      <w:r w:rsidR="00514186" w:rsidRPr="00474A63">
        <w:rPr>
          <w:rFonts w:ascii="Arial" w:hAnsi="Arial" w:cs="Arial"/>
          <w:color w:val="000000"/>
        </w:rPr>
        <w:t>dans certains articles de presse</w:t>
      </w:r>
      <w:r w:rsidR="00514186" w:rsidRPr="00474A63">
        <w:rPr>
          <w:rStyle w:val="Appelnotedebasdep"/>
          <w:rFonts w:ascii="Arial" w:hAnsi="Arial" w:cs="Arial"/>
          <w:color w:val="000000"/>
        </w:rPr>
        <w:footnoteReference w:id="8"/>
      </w:r>
      <w:r w:rsidRPr="00474A63">
        <w:rPr>
          <w:rFonts w:ascii="Arial" w:hAnsi="Arial" w:cs="Arial"/>
          <w:color w:val="000000"/>
        </w:rPr>
        <w:t xml:space="preserve"> </w:t>
      </w:r>
      <w:r w:rsidR="00514186" w:rsidRPr="00474A63">
        <w:rPr>
          <w:rFonts w:ascii="Arial" w:hAnsi="Arial" w:cs="Arial"/>
          <w:color w:val="000000"/>
        </w:rPr>
        <w:t>qui mentionnent déjà dans le titre l’ethnie du présumé fautif (cette précision est faite uniquement quand il s’agit d’un peulh).</w:t>
      </w:r>
    </w:p>
    <w:p w14:paraId="7D381E67" w14:textId="3DDA8239" w:rsidR="00D14F9A" w:rsidRPr="00474A63" w:rsidRDefault="00514186" w:rsidP="008216D8">
      <w:pPr>
        <w:spacing w:after="0" w:line="276" w:lineRule="auto"/>
        <w:jc w:val="both"/>
        <w:rPr>
          <w:rFonts w:ascii="Arial" w:hAnsi="Arial" w:cs="Arial"/>
          <w:color w:val="000000"/>
        </w:rPr>
      </w:pPr>
      <w:r w:rsidRPr="00474A63">
        <w:rPr>
          <w:rFonts w:ascii="Arial" w:hAnsi="Arial" w:cs="Arial"/>
          <w:color w:val="000000"/>
        </w:rPr>
        <w:t xml:space="preserve">Ces faits démontrent combien la communauté </w:t>
      </w:r>
      <w:r w:rsidR="0084474C" w:rsidRPr="00474A63">
        <w:rPr>
          <w:rFonts w:ascii="Arial" w:hAnsi="Arial" w:cs="Arial"/>
          <w:color w:val="000000"/>
        </w:rPr>
        <w:t xml:space="preserve">peulh subit des stigmatisations </w:t>
      </w:r>
      <w:r w:rsidR="000A30D2">
        <w:rPr>
          <w:rFonts w:ascii="Arial" w:hAnsi="Arial" w:cs="Arial"/>
          <w:color w:val="000000"/>
        </w:rPr>
        <w:t>persistantes.</w:t>
      </w:r>
    </w:p>
    <w:p w14:paraId="26306660" w14:textId="7EB4E813" w:rsidR="0096477C" w:rsidRPr="00474A63" w:rsidRDefault="0096477C" w:rsidP="008216D8">
      <w:pPr>
        <w:spacing w:after="0" w:line="276" w:lineRule="auto"/>
        <w:jc w:val="both"/>
        <w:rPr>
          <w:rFonts w:ascii="Arial" w:hAnsi="Arial" w:cs="Arial"/>
          <w:color w:val="000000"/>
        </w:rPr>
      </w:pPr>
      <w:r w:rsidRPr="00474A63">
        <w:rPr>
          <w:rFonts w:ascii="Arial" w:hAnsi="Arial" w:cs="Arial"/>
          <w:color w:val="000000"/>
        </w:rPr>
        <w:lastRenderedPageBreak/>
        <w:t xml:space="preserve"> </w:t>
      </w:r>
    </w:p>
    <w:p w14:paraId="7FEE9A98" w14:textId="0E44661C" w:rsidR="00C05116" w:rsidRPr="00474A63" w:rsidRDefault="00F34AB9" w:rsidP="00E84CA2">
      <w:pPr>
        <w:pStyle w:val="Titre2"/>
        <w:rPr>
          <w:rFonts w:ascii="Arial" w:hAnsi="Arial" w:cs="Arial"/>
          <w:b w:val="0"/>
          <w:color w:val="548DD4" w:themeColor="text2" w:themeTint="99"/>
        </w:rPr>
      </w:pPr>
      <w:bookmarkStart w:id="21" w:name="_Toc107841226"/>
      <w:r w:rsidRPr="00474A63">
        <w:rPr>
          <w:rFonts w:ascii="Arial" w:hAnsi="Arial" w:cs="Arial"/>
          <w:b w:val="0"/>
          <w:color w:val="548DD4" w:themeColor="text2" w:themeTint="99"/>
        </w:rPr>
        <w:t xml:space="preserve">b) </w:t>
      </w:r>
      <w:r w:rsidR="00C05116" w:rsidRPr="00474A63">
        <w:rPr>
          <w:rFonts w:ascii="Arial" w:hAnsi="Arial" w:cs="Arial"/>
          <w:b w:val="0"/>
          <w:color w:val="548DD4" w:themeColor="text2" w:themeTint="99"/>
        </w:rPr>
        <w:t>Les droits politiques</w:t>
      </w:r>
      <w:bookmarkEnd w:id="21"/>
    </w:p>
    <w:p w14:paraId="79FE73DB" w14:textId="47C3D682" w:rsidR="00B97EBD" w:rsidRPr="00474A63" w:rsidRDefault="00B97EBD" w:rsidP="00E20EBC">
      <w:pPr>
        <w:spacing w:line="276" w:lineRule="auto"/>
        <w:jc w:val="both"/>
        <w:rPr>
          <w:rFonts w:ascii="Arial" w:hAnsi="Arial" w:cs="Arial"/>
          <w:color w:val="000000"/>
        </w:rPr>
      </w:pPr>
      <w:r w:rsidRPr="00474A63">
        <w:rPr>
          <w:rFonts w:ascii="Arial" w:hAnsi="Arial" w:cs="Arial"/>
          <w:color w:val="000000"/>
        </w:rPr>
        <w:t>Conformément aux obligations fondamentales énonc</w:t>
      </w:r>
      <w:r w:rsidR="00E20EBC" w:rsidRPr="00474A63">
        <w:rPr>
          <w:rFonts w:ascii="Arial" w:hAnsi="Arial" w:cs="Arial"/>
          <w:color w:val="000000"/>
        </w:rPr>
        <w:t>ées à l'article 2 de la</w:t>
      </w:r>
      <w:r w:rsidRPr="00474A63">
        <w:rPr>
          <w:rFonts w:ascii="Arial" w:hAnsi="Arial" w:cs="Arial"/>
          <w:color w:val="000000"/>
        </w:rPr>
        <w:t xml:space="preserve"> Convention</w:t>
      </w:r>
      <w:r w:rsidR="00E20EBC" w:rsidRPr="00474A63">
        <w:rPr>
          <w:rFonts w:ascii="Arial" w:hAnsi="Arial" w:cs="Arial"/>
          <w:color w:val="000000"/>
        </w:rPr>
        <w:t xml:space="preserve"> internationale sur l'élimination de toutes les formes de discrimination raciale</w:t>
      </w:r>
      <w:r w:rsidRPr="00474A63">
        <w:rPr>
          <w:rFonts w:ascii="Arial" w:hAnsi="Arial" w:cs="Arial"/>
          <w:color w:val="000000"/>
        </w:rPr>
        <w:t xml:space="preserve">, </w:t>
      </w:r>
      <w:r w:rsidR="00935C82">
        <w:rPr>
          <w:rFonts w:ascii="Arial" w:hAnsi="Arial" w:cs="Arial"/>
          <w:color w:val="000000"/>
        </w:rPr>
        <w:t>« </w:t>
      </w:r>
      <w:r w:rsidRPr="00935C82">
        <w:rPr>
          <w:rFonts w:ascii="Arial" w:hAnsi="Arial" w:cs="Arial"/>
          <w:i/>
          <w:color w:val="000000"/>
        </w:rPr>
        <w:t>les Etats parties s'engagent à interdire et à éliminer la discrimination raciale sous toute ses formes et à garantir le droit de chacun à l'égalité devant la loi sans dist</w:t>
      </w:r>
      <w:r w:rsidR="00E20EBC" w:rsidRPr="00935C82">
        <w:rPr>
          <w:rFonts w:ascii="Arial" w:hAnsi="Arial" w:cs="Arial"/>
          <w:i/>
          <w:color w:val="000000"/>
        </w:rPr>
        <w:t>inction de race, de couleur ou</w:t>
      </w:r>
      <w:r w:rsidR="00E20EBC" w:rsidRPr="00474A63">
        <w:rPr>
          <w:rFonts w:ascii="Arial" w:hAnsi="Arial" w:cs="Arial"/>
          <w:color w:val="000000"/>
        </w:rPr>
        <w:t xml:space="preserve"> </w:t>
      </w:r>
      <w:r w:rsidRPr="00935C82">
        <w:rPr>
          <w:rFonts w:ascii="Arial" w:hAnsi="Arial" w:cs="Arial"/>
          <w:i/>
          <w:color w:val="000000"/>
        </w:rPr>
        <w:t xml:space="preserve">d'origine nationale ou ethnique, notamment dans la jouissance des </w:t>
      </w:r>
      <w:r w:rsidR="00AD742D">
        <w:rPr>
          <w:rFonts w:ascii="Arial" w:hAnsi="Arial" w:cs="Arial"/>
          <w:i/>
          <w:color w:val="000000"/>
        </w:rPr>
        <w:t>(</w:t>
      </w:r>
      <w:r w:rsidR="00E20EBC" w:rsidRPr="00935C82">
        <w:rPr>
          <w:rFonts w:ascii="Arial" w:hAnsi="Arial" w:cs="Arial"/>
          <w:i/>
          <w:color w:val="000000"/>
        </w:rPr>
        <w:t>…</w:t>
      </w:r>
      <w:r w:rsidR="00AD742D">
        <w:rPr>
          <w:rFonts w:ascii="Arial" w:hAnsi="Arial" w:cs="Arial"/>
          <w:i/>
          <w:color w:val="000000"/>
        </w:rPr>
        <w:t>)</w:t>
      </w:r>
      <w:r w:rsidRPr="00935C82">
        <w:rPr>
          <w:rFonts w:ascii="Arial" w:hAnsi="Arial" w:cs="Arial"/>
          <w:i/>
          <w:color w:val="000000"/>
        </w:rPr>
        <w:t>Droits politiques, notamment droit de participer aux élections --</w:t>
      </w:r>
      <w:r w:rsidR="00E20EBC" w:rsidRPr="00935C82">
        <w:rPr>
          <w:rFonts w:ascii="Arial" w:hAnsi="Arial" w:cs="Arial"/>
          <w:i/>
          <w:color w:val="000000"/>
        </w:rPr>
        <w:t xml:space="preserve"> de voter et d'être candidat --</w:t>
      </w:r>
      <w:r w:rsidRPr="00935C82">
        <w:rPr>
          <w:rFonts w:ascii="Arial" w:hAnsi="Arial" w:cs="Arial"/>
          <w:i/>
          <w:color w:val="000000"/>
        </w:rPr>
        <w:t>selon le système du suffrage universel et égal, droit de prendre part</w:t>
      </w:r>
      <w:r w:rsidR="00E20EBC" w:rsidRPr="00935C82">
        <w:rPr>
          <w:rFonts w:ascii="Arial" w:hAnsi="Arial" w:cs="Arial"/>
          <w:i/>
          <w:color w:val="000000"/>
        </w:rPr>
        <w:t xml:space="preserve"> au gouvernement ainsi qu'à la </w:t>
      </w:r>
      <w:r w:rsidRPr="00935C82">
        <w:rPr>
          <w:rFonts w:ascii="Arial" w:hAnsi="Arial" w:cs="Arial"/>
          <w:i/>
          <w:color w:val="000000"/>
        </w:rPr>
        <w:t xml:space="preserve">direction des affaires publiques, à tous les échelons, et droit </w:t>
      </w:r>
      <w:r w:rsidR="00E20EBC" w:rsidRPr="00935C82">
        <w:rPr>
          <w:rFonts w:ascii="Arial" w:hAnsi="Arial" w:cs="Arial"/>
          <w:i/>
          <w:color w:val="000000"/>
        </w:rPr>
        <w:t xml:space="preserve">d'accéder, dans des conditions </w:t>
      </w:r>
      <w:r w:rsidRPr="00935C82">
        <w:rPr>
          <w:rFonts w:ascii="Arial" w:hAnsi="Arial" w:cs="Arial"/>
          <w:i/>
          <w:color w:val="000000"/>
        </w:rPr>
        <w:t>d'é</w:t>
      </w:r>
      <w:r w:rsidR="00E20EBC" w:rsidRPr="00935C82">
        <w:rPr>
          <w:rFonts w:ascii="Arial" w:hAnsi="Arial" w:cs="Arial"/>
          <w:i/>
          <w:color w:val="000000"/>
        </w:rPr>
        <w:t>g</w:t>
      </w:r>
      <w:r w:rsidR="00935C82" w:rsidRPr="00935C82">
        <w:rPr>
          <w:rFonts w:ascii="Arial" w:hAnsi="Arial" w:cs="Arial"/>
          <w:i/>
          <w:color w:val="000000"/>
        </w:rPr>
        <w:t>alité, aux fonctions publiques</w:t>
      </w:r>
      <w:r w:rsidR="00935C82">
        <w:rPr>
          <w:rFonts w:ascii="Arial" w:hAnsi="Arial" w:cs="Arial"/>
          <w:color w:val="000000"/>
        </w:rPr>
        <w:t> »</w:t>
      </w:r>
      <w:r w:rsidR="00E20EBC" w:rsidRPr="00474A63">
        <w:rPr>
          <w:rFonts w:ascii="Arial" w:hAnsi="Arial" w:cs="Arial"/>
          <w:color w:val="000000"/>
        </w:rPr>
        <w:t>.</w:t>
      </w:r>
    </w:p>
    <w:p w14:paraId="5758E4CF" w14:textId="77777777" w:rsidR="003315CF" w:rsidRPr="00474A63" w:rsidRDefault="003315CF" w:rsidP="00FF0C7D">
      <w:pPr>
        <w:spacing w:line="276" w:lineRule="auto"/>
        <w:jc w:val="both"/>
        <w:rPr>
          <w:rFonts w:ascii="Arial" w:hAnsi="Arial" w:cs="Arial"/>
        </w:rPr>
      </w:pPr>
      <w:r w:rsidRPr="00474A63">
        <w:rPr>
          <w:rFonts w:ascii="Arial" w:hAnsi="Arial" w:cs="Arial"/>
          <w:color w:val="000000" w:themeColor="text1"/>
          <w:lang w:val="fr-CA"/>
        </w:rPr>
        <w:t>Le processus électoral des élections législatives du 28 avril 2019 a été émaillé de violations flagrantes des droits humains. Une telle situation avait induit une réaction de la Commission Africaine des Droits de l’Homme et des Peuples à travers l’adoption d’une résolution</w:t>
      </w:r>
      <w:r w:rsidRPr="00474A63">
        <w:rPr>
          <w:rStyle w:val="Appelnotedebasdep"/>
          <w:rFonts w:ascii="Arial" w:hAnsi="Arial" w:cs="Arial"/>
          <w:color w:val="000000" w:themeColor="text1"/>
          <w:lang w:val="fr-CA"/>
        </w:rPr>
        <w:footnoteReference w:id="9"/>
      </w:r>
      <w:r w:rsidRPr="00474A63">
        <w:rPr>
          <w:rFonts w:ascii="Arial" w:hAnsi="Arial" w:cs="Arial"/>
          <w:color w:val="000000" w:themeColor="text1"/>
          <w:lang w:val="fr-CA"/>
        </w:rPr>
        <w:t xml:space="preserve"> en date du 14 mai 2019. Cette Résolution avait entre autres recommandations </w:t>
      </w:r>
      <w:r w:rsidRPr="00474A63">
        <w:rPr>
          <w:rFonts w:ascii="Arial" w:hAnsi="Arial" w:cs="Arial"/>
          <w:color w:val="000000" w:themeColor="text1"/>
        </w:rPr>
        <w:t>« </w:t>
      </w:r>
      <w:r w:rsidRPr="00474A63">
        <w:rPr>
          <w:rFonts w:ascii="Arial" w:hAnsi="Arial" w:cs="Arial"/>
          <w:i/>
          <w:iCs/>
          <w:color w:val="000000" w:themeColor="text1"/>
        </w:rPr>
        <w:t>Exhorté le Gouvernement à ouvrir promptement une enquête sur les violations des droits de l’homme perpétrées pendant les affrontements pré et post-électoraux et à traduire en justice les présumés auteurs de ces actes</w:t>
      </w:r>
      <w:r w:rsidRPr="00474A63">
        <w:rPr>
          <w:rFonts w:ascii="Arial" w:hAnsi="Arial" w:cs="Arial"/>
          <w:color w:val="000000" w:themeColor="text1"/>
        </w:rPr>
        <w:t> ».</w:t>
      </w:r>
    </w:p>
    <w:p w14:paraId="084EC6D3" w14:textId="58A8DA4B" w:rsidR="003315CF" w:rsidRPr="00474A63" w:rsidRDefault="003315CF" w:rsidP="00FF0C7D">
      <w:pPr>
        <w:spacing w:line="276" w:lineRule="auto"/>
        <w:jc w:val="both"/>
        <w:rPr>
          <w:rFonts w:ascii="Arial" w:eastAsia="Times New Roman" w:hAnsi="Arial" w:cs="Arial"/>
          <w:lang w:val="fr-CA"/>
        </w:rPr>
      </w:pPr>
      <w:r w:rsidRPr="00474A63">
        <w:rPr>
          <w:rFonts w:ascii="Arial" w:hAnsi="Arial" w:cs="Arial"/>
        </w:rPr>
        <w:t xml:space="preserve">Du monitoring des processus électoraux de 2019, 2020 et 2021 effectué par Changement Social Bénin, il ressort une défaillance dans la mise en œuvre des recommandations susmentionnées. Ainsi, </w:t>
      </w:r>
      <w:r w:rsidRPr="00474A63">
        <w:rPr>
          <w:rFonts w:ascii="Arial" w:eastAsia="Times New Roman" w:hAnsi="Arial" w:cs="Arial"/>
          <w:lang w:val="fr-CA"/>
        </w:rPr>
        <w:t>l’instauration du système de parrainage et les suites de la réforme du système partisan ont entamé le caractère de la libre participation porté par l’article 13 (1) de la Charte Africaine des Droits de l’Homme et des Peuples et les principes démocratiques instaurés par les articles 3, 4 et 17 de la Charte Africaine de la Démocratie, des Élections et de la Gouvernance ainsi que l’article 5</w:t>
      </w:r>
      <w:r w:rsidR="000B43AC">
        <w:rPr>
          <w:rFonts w:ascii="Arial" w:eastAsia="Times New Roman" w:hAnsi="Arial" w:cs="Arial"/>
          <w:lang w:val="fr-CA"/>
        </w:rPr>
        <w:t>.c de la Convention.</w:t>
      </w:r>
      <w:r w:rsidRPr="00474A63">
        <w:rPr>
          <w:rFonts w:ascii="Arial" w:eastAsia="Times New Roman" w:hAnsi="Arial" w:cs="Arial"/>
          <w:lang w:val="fr-CA"/>
        </w:rPr>
        <w:t>. Malheureusement, le cadre légal n’a pas évolué positivement à l’occasion du processus de l’élection présidentielle du 11 avril 2021 marquée par l’absence des grandes figures de l’opposition et soldée par des actes de violences électorales mortifères</w:t>
      </w:r>
      <w:r w:rsidR="005675D7" w:rsidRPr="00474A63">
        <w:rPr>
          <w:rFonts w:ascii="Arial" w:eastAsia="Times New Roman" w:hAnsi="Arial" w:cs="Arial"/>
          <w:lang w:val="fr-CA"/>
        </w:rPr>
        <w:t>, un taux de participation à polémique</w:t>
      </w:r>
      <w:r w:rsidRPr="00474A63">
        <w:rPr>
          <w:rFonts w:ascii="Arial" w:eastAsia="Times New Roman" w:hAnsi="Arial" w:cs="Arial"/>
          <w:lang w:val="fr-CA"/>
        </w:rPr>
        <w:t xml:space="preserve"> ainsi que des arrestations et condamnations de leaders se réclamant de l’opposition.</w:t>
      </w:r>
    </w:p>
    <w:p w14:paraId="166ACABE" w14:textId="77C39A89" w:rsidR="00B07043" w:rsidRPr="00474A63" w:rsidRDefault="00B07043" w:rsidP="008216D8">
      <w:pPr>
        <w:spacing w:after="0" w:line="276" w:lineRule="auto"/>
        <w:jc w:val="both"/>
        <w:rPr>
          <w:rFonts w:ascii="Arial" w:eastAsia="Times New Roman" w:hAnsi="Arial" w:cs="Arial"/>
          <w:lang w:val="fr-CA"/>
        </w:rPr>
      </w:pPr>
    </w:p>
    <w:p w14:paraId="5EFB4B9E" w14:textId="19F0880F" w:rsidR="0091515E" w:rsidRPr="00474A63" w:rsidRDefault="00A55519" w:rsidP="008216D8">
      <w:pPr>
        <w:spacing w:after="0" w:line="276" w:lineRule="auto"/>
        <w:jc w:val="both"/>
        <w:rPr>
          <w:rFonts w:ascii="Arial" w:hAnsi="Arial" w:cs="Arial"/>
          <w:color w:val="000000"/>
        </w:rPr>
      </w:pPr>
      <w:r w:rsidRPr="00474A63">
        <w:rPr>
          <w:rFonts w:ascii="Arial" w:eastAsia="Times New Roman" w:hAnsi="Arial" w:cs="Arial"/>
          <w:lang w:val="fr-CA"/>
        </w:rPr>
        <w:t xml:space="preserve"> </w:t>
      </w:r>
    </w:p>
    <w:p w14:paraId="2FB786EF" w14:textId="0799D6BD" w:rsidR="00482F26" w:rsidRPr="00474A63" w:rsidRDefault="003D5B24" w:rsidP="00E84CA2">
      <w:pPr>
        <w:pStyle w:val="Titre2"/>
        <w:rPr>
          <w:rFonts w:ascii="Arial" w:hAnsi="Arial" w:cs="Arial"/>
          <w:b w:val="0"/>
          <w:color w:val="548DD4" w:themeColor="text2" w:themeTint="99"/>
        </w:rPr>
      </w:pPr>
      <w:bookmarkStart w:id="22" w:name="_Toc107841227"/>
      <w:r w:rsidRPr="00474A63">
        <w:rPr>
          <w:rFonts w:ascii="Arial" w:hAnsi="Arial" w:cs="Arial"/>
          <w:b w:val="0"/>
          <w:color w:val="548DD4" w:themeColor="text2" w:themeTint="99"/>
        </w:rPr>
        <w:t xml:space="preserve">c) </w:t>
      </w:r>
      <w:r w:rsidR="00B424DB" w:rsidRPr="00474A63">
        <w:rPr>
          <w:rFonts w:ascii="Arial" w:hAnsi="Arial" w:cs="Arial"/>
          <w:b w:val="0"/>
          <w:color w:val="548DD4" w:themeColor="text2" w:themeTint="99"/>
        </w:rPr>
        <w:t>Les autres droits civils</w:t>
      </w:r>
      <w:bookmarkEnd w:id="22"/>
    </w:p>
    <w:p w14:paraId="0463615A" w14:textId="2BE56AFC" w:rsidR="00B424DB" w:rsidRPr="00474A63" w:rsidRDefault="002F1120" w:rsidP="00E84CA2">
      <w:pPr>
        <w:pStyle w:val="Titre3"/>
        <w:rPr>
          <w:rFonts w:ascii="Arial" w:hAnsi="Arial" w:cs="Arial"/>
          <w:b w:val="0"/>
          <w:color w:val="000000"/>
        </w:rPr>
      </w:pPr>
      <w:bookmarkStart w:id="23" w:name="_Toc107841228"/>
      <w:r>
        <w:rPr>
          <w:rFonts w:ascii="Arial" w:hAnsi="Arial" w:cs="Arial"/>
          <w:b w:val="0"/>
          <w:color w:val="000000"/>
        </w:rPr>
        <w:t xml:space="preserve">i) </w:t>
      </w:r>
      <w:r w:rsidR="002F27C3" w:rsidRPr="00474A63">
        <w:rPr>
          <w:rFonts w:ascii="Arial" w:hAnsi="Arial" w:cs="Arial"/>
          <w:b w:val="0"/>
          <w:color w:val="000000"/>
        </w:rPr>
        <w:t xml:space="preserve"> </w:t>
      </w:r>
      <w:r w:rsidR="00B424DB" w:rsidRPr="00474A63">
        <w:rPr>
          <w:rFonts w:ascii="Arial" w:hAnsi="Arial" w:cs="Arial"/>
          <w:b w:val="0"/>
          <w:color w:val="000000"/>
        </w:rPr>
        <w:t>Droit à une nationalité</w:t>
      </w:r>
      <w:bookmarkEnd w:id="23"/>
    </w:p>
    <w:p w14:paraId="6523EDA9" w14:textId="57A06576" w:rsidR="00B07043" w:rsidRPr="00474A63" w:rsidRDefault="00B07043" w:rsidP="00B07043">
      <w:pPr>
        <w:spacing w:after="0" w:line="276" w:lineRule="auto"/>
        <w:jc w:val="both"/>
        <w:rPr>
          <w:rFonts w:ascii="Arial" w:hAnsi="Arial" w:cs="Arial"/>
          <w:color w:val="000000"/>
        </w:rPr>
      </w:pPr>
      <w:r w:rsidRPr="00474A63">
        <w:rPr>
          <w:rFonts w:ascii="Arial" w:hAnsi="Arial" w:cs="Arial"/>
          <w:color w:val="000000"/>
        </w:rPr>
        <w:t>La nationalité béninoise est régie par la</w:t>
      </w:r>
      <w:r w:rsidRPr="00474A63">
        <w:rPr>
          <w:rFonts w:ascii="Arial" w:hAnsi="Arial" w:cs="Arial"/>
          <w:b/>
          <w:color w:val="000000"/>
        </w:rPr>
        <w:t xml:space="preserve"> loi n°65-17 du 23 juin 1965 portant code de la nationalité dahoméenne</w:t>
      </w:r>
      <w:r w:rsidRPr="00474A63">
        <w:rPr>
          <w:rFonts w:ascii="Arial" w:hAnsi="Arial" w:cs="Arial"/>
          <w:color w:val="000000"/>
        </w:rPr>
        <w:t>. Cette loi est rentrée en vigueur au lendemain de l’accession de la République du Bénin à la souveraineté internationale, et n’a connu aucune réforme depuis lors.</w:t>
      </w:r>
    </w:p>
    <w:p w14:paraId="4FF4083F" w14:textId="0C2F432A" w:rsidR="00B07043" w:rsidRPr="00474A63" w:rsidRDefault="00B07043" w:rsidP="00B07043">
      <w:pPr>
        <w:spacing w:after="0" w:line="276" w:lineRule="auto"/>
        <w:jc w:val="both"/>
        <w:rPr>
          <w:rFonts w:ascii="Arial" w:hAnsi="Arial" w:cs="Arial"/>
          <w:color w:val="000000"/>
        </w:rPr>
      </w:pPr>
      <w:r w:rsidRPr="00474A63">
        <w:rPr>
          <w:rFonts w:ascii="Arial" w:hAnsi="Arial" w:cs="Arial"/>
          <w:color w:val="000000"/>
        </w:rPr>
        <w:t>Saisie par des requêtes, la Cour constitutionnelle, par décision</w:t>
      </w:r>
      <w:r w:rsidRPr="00474A63">
        <w:rPr>
          <w:rFonts w:ascii="Arial" w:hAnsi="Arial" w:cs="Arial"/>
          <w:b/>
          <w:color w:val="000000"/>
        </w:rPr>
        <w:t xml:space="preserve"> DCC 14-172 du 16 septembre 2014</w:t>
      </w:r>
      <w:r w:rsidRPr="00474A63">
        <w:rPr>
          <w:rFonts w:ascii="Arial" w:hAnsi="Arial" w:cs="Arial"/>
          <w:color w:val="000000"/>
        </w:rPr>
        <w:t>, a déclaré contraires à la constitution les articles 8, 12.2, 13 et 18</w:t>
      </w:r>
      <w:r w:rsidR="005675D7" w:rsidRPr="00474A63">
        <w:rPr>
          <w:rFonts w:ascii="Arial" w:hAnsi="Arial" w:cs="Arial"/>
          <w:color w:val="000000"/>
        </w:rPr>
        <w:t xml:space="preserve"> d</w:t>
      </w:r>
      <w:r w:rsidR="00164EA8" w:rsidRPr="00474A63">
        <w:rPr>
          <w:rFonts w:ascii="Arial" w:hAnsi="Arial" w:cs="Arial"/>
          <w:color w:val="000000"/>
        </w:rPr>
        <w:t>e ladite loi</w:t>
      </w:r>
      <w:r w:rsidRPr="00474A63">
        <w:rPr>
          <w:rFonts w:ascii="Arial" w:hAnsi="Arial" w:cs="Arial"/>
          <w:color w:val="000000"/>
        </w:rPr>
        <w:t>.</w:t>
      </w:r>
    </w:p>
    <w:p w14:paraId="6BA19077" w14:textId="039B4C90" w:rsidR="00B07043" w:rsidRPr="00474A63" w:rsidRDefault="00B07043" w:rsidP="00B07043">
      <w:pPr>
        <w:spacing w:after="0" w:line="276" w:lineRule="auto"/>
        <w:jc w:val="both"/>
        <w:rPr>
          <w:rFonts w:ascii="Arial" w:hAnsi="Arial" w:cs="Arial"/>
          <w:color w:val="000000"/>
        </w:rPr>
      </w:pPr>
      <w:r w:rsidRPr="00474A63">
        <w:rPr>
          <w:rFonts w:ascii="Arial" w:hAnsi="Arial" w:cs="Arial"/>
        </w:rPr>
        <w:t xml:space="preserve">En effet, la loi susmentionnée </w:t>
      </w:r>
      <w:r w:rsidRPr="00474A63">
        <w:rPr>
          <w:rFonts w:ascii="Arial" w:hAnsi="Arial" w:cs="Arial"/>
          <w:color w:val="000000"/>
        </w:rPr>
        <w:t xml:space="preserve">accorde la nationalité béninoise à titre de nationalité d'origine, en raison de la filiation, à l'enfant né au Bénin ou ailleurs d'un père béninois (Art. 12) et le </w:t>
      </w:r>
      <w:r w:rsidRPr="00474A63">
        <w:rPr>
          <w:rFonts w:ascii="Arial" w:hAnsi="Arial" w:cs="Arial"/>
          <w:color w:val="000000"/>
        </w:rPr>
        <w:lastRenderedPageBreak/>
        <w:t xml:space="preserve">même droit assorti toutefois d'une faculté de répudiation, lorsqu'il est né à l'étranger, à l'enfant né d'une mère béninoise et d'un père de nationalité étrangère (Art. 13). Ainsi, l'enfant né à l'étranger d'un père béninois et d'une mère de nationalité étrangère a, par conséquent, moins de droits que l'enfant né à l'étranger d'une mère béninoise et d'un père de nationalité étrangère, puisque le premier n'a pas la faculté de répudier la nationalité béninoise alors que le second bénéficie de cette faculté. </w:t>
      </w:r>
    </w:p>
    <w:p w14:paraId="3C388E8A" w14:textId="60CB59CB" w:rsidR="00B07043" w:rsidRPr="00474A63" w:rsidRDefault="00B07043" w:rsidP="00670D98">
      <w:pPr>
        <w:spacing w:after="0" w:line="276" w:lineRule="auto"/>
        <w:jc w:val="both"/>
        <w:rPr>
          <w:rFonts w:ascii="Arial" w:hAnsi="Arial" w:cs="Arial"/>
          <w:color w:val="000000"/>
        </w:rPr>
      </w:pPr>
      <w:r w:rsidRPr="00474A63">
        <w:rPr>
          <w:rFonts w:ascii="Arial" w:hAnsi="Arial" w:cs="Arial"/>
          <w:color w:val="000000"/>
        </w:rPr>
        <w:t xml:space="preserve">Les dispositions des articles 12 et 13 susvisés confèrent donc aux enfants nés à l'étranger d'un seul parent béninois, plus ou moins de droits selon que le parent béninois est le père ou la mère. </w:t>
      </w:r>
      <w:r w:rsidRPr="00474A63">
        <w:rPr>
          <w:rFonts w:ascii="Arial" w:hAnsi="Arial" w:cs="Arial"/>
          <w:i/>
          <w:color w:val="000000"/>
        </w:rPr>
        <w:t>Dès lors qu'elles n'accordent pas les mêmes droits à tous les enfants nés à l'étranger d'un père béninois ou d'une mère béninoise, elles sont discriminatoires</w:t>
      </w:r>
      <w:r w:rsidRPr="00474A63">
        <w:rPr>
          <w:rFonts w:ascii="Arial" w:hAnsi="Arial" w:cs="Arial"/>
          <w:color w:val="000000"/>
        </w:rPr>
        <w:t xml:space="preserve"> et par conséquent, contraires aux dispositions de l'article 26</w:t>
      </w:r>
      <w:r w:rsidR="00670D98" w:rsidRPr="00474A63">
        <w:rPr>
          <w:rFonts w:ascii="Arial" w:hAnsi="Arial" w:cs="Arial"/>
          <w:color w:val="000000"/>
        </w:rPr>
        <w:t xml:space="preserve"> alinéa 1</w:t>
      </w:r>
      <w:r w:rsidR="00670D98" w:rsidRPr="00474A63">
        <w:rPr>
          <w:rFonts w:ascii="Arial" w:hAnsi="Arial" w:cs="Arial"/>
          <w:color w:val="000000"/>
          <w:vertAlign w:val="superscript"/>
        </w:rPr>
        <w:t>er</w:t>
      </w:r>
      <w:r w:rsidR="00670D98" w:rsidRPr="00474A63">
        <w:rPr>
          <w:rFonts w:ascii="Arial" w:hAnsi="Arial" w:cs="Arial"/>
          <w:color w:val="000000"/>
        </w:rPr>
        <w:t xml:space="preserve"> et 2 </w:t>
      </w:r>
      <w:r w:rsidRPr="00474A63">
        <w:rPr>
          <w:rFonts w:ascii="Arial" w:hAnsi="Arial" w:cs="Arial"/>
          <w:color w:val="000000"/>
        </w:rPr>
        <w:t xml:space="preserve"> de la Constitution qui dispose :</w:t>
      </w:r>
      <w:r w:rsidR="00670D98" w:rsidRPr="00474A63">
        <w:rPr>
          <w:rFonts w:ascii="Arial" w:hAnsi="Arial" w:cs="Arial"/>
          <w:color w:val="000000"/>
        </w:rPr>
        <w:t xml:space="preserve"> ‘’L'Etat assure à tous l'égalité devant la loi, sans</w:t>
      </w:r>
      <w:r w:rsidR="00ED7D4B" w:rsidRPr="00474A63">
        <w:rPr>
          <w:rFonts w:ascii="Arial" w:hAnsi="Arial" w:cs="Arial"/>
          <w:color w:val="000000"/>
        </w:rPr>
        <w:t xml:space="preserve"> </w:t>
      </w:r>
      <w:r w:rsidR="00670D98" w:rsidRPr="00474A63">
        <w:rPr>
          <w:rFonts w:ascii="Arial" w:hAnsi="Arial" w:cs="Arial"/>
          <w:color w:val="000000"/>
        </w:rPr>
        <w:t>distinction d'origine, de race, de sexe, de religion, d'opinion politique ou de position sociale. L'homme et la femme sont égaux en droit. Toutefois, la loi peut fixer des dispositions spéciales d'amélioration de la représentation du peuple par les femmes’’.</w:t>
      </w:r>
      <w:r w:rsidR="00670D98" w:rsidRPr="00474A63">
        <w:rPr>
          <w:rFonts w:ascii="Arial" w:hAnsi="Arial" w:cs="Arial"/>
          <w:color w:val="000000"/>
        </w:rPr>
        <w:cr/>
      </w:r>
      <w:r w:rsidRPr="00474A63">
        <w:rPr>
          <w:rFonts w:ascii="Arial" w:hAnsi="Arial" w:cs="Arial"/>
          <w:color w:val="000000"/>
        </w:rPr>
        <w:t xml:space="preserve"> </w:t>
      </w:r>
      <w:r w:rsidR="00670D98" w:rsidRPr="00474A63" w:rsidDel="00670D98">
        <w:rPr>
          <w:rFonts w:ascii="Arial" w:hAnsi="Arial" w:cs="Arial"/>
          <w:b/>
          <w:color w:val="000000"/>
        </w:rPr>
        <w:t xml:space="preserve"> </w:t>
      </w:r>
    </w:p>
    <w:p w14:paraId="126C872B" w14:textId="349739FC" w:rsidR="00B07043" w:rsidRPr="00474A63" w:rsidRDefault="00B07043" w:rsidP="00B07043">
      <w:pPr>
        <w:spacing w:after="0" w:line="276" w:lineRule="auto"/>
        <w:jc w:val="both"/>
        <w:rPr>
          <w:rFonts w:ascii="Arial" w:hAnsi="Arial" w:cs="Arial"/>
          <w:color w:val="000000"/>
        </w:rPr>
      </w:pPr>
      <w:r w:rsidRPr="00474A63">
        <w:rPr>
          <w:rFonts w:ascii="Arial" w:hAnsi="Arial" w:cs="Arial"/>
          <w:color w:val="000000"/>
        </w:rPr>
        <w:t>L’article 8 dispose </w:t>
      </w:r>
      <w:r w:rsidRPr="00474A63">
        <w:rPr>
          <w:rFonts w:ascii="Arial" w:hAnsi="Arial" w:cs="Arial"/>
          <w:b/>
          <w:color w:val="000000"/>
        </w:rPr>
        <w:t>:</w:t>
      </w:r>
      <w:r w:rsidR="00E1468F">
        <w:rPr>
          <w:rFonts w:ascii="Arial" w:hAnsi="Arial" w:cs="Arial"/>
          <w:b/>
          <w:color w:val="000000"/>
        </w:rPr>
        <w:t xml:space="preserve"> </w:t>
      </w:r>
      <w:r w:rsidRPr="00474A63">
        <w:rPr>
          <w:rFonts w:ascii="Arial" w:hAnsi="Arial" w:cs="Arial"/>
          <w:b/>
          <w:color w:val="000000"/>
        </w:rPr>
        <w:t>"</w:t>
      </w:r>
      <w:r w:rsidR="00E1468F">
        <w:rPr>
          <w:rFonts w:ascii="Arial" w:hAnsi="Arial" w:cs="Arial"/>
          <w:b/>
          <w:color w:val="000000"/>
        </w:rPr>
        <w:t xml:space="preserve"> </w:t>
      </w:r>
      <w:r w:rsidRPr="00474A63">
        <w:rPr>
          <w:rFonts w:ascii="Arial" w:hAnsi="Arial" w:cs="Arial"/>
          <w:b/>
          <w:color w:val="000000"/>
        </w:rPr>
        <w:t>Est béninois, sauf la faculté de répudier cette qualité dans les six mois précédant sa majorité, l'individu né au Bénin d'une mère qui y est elle-même née</w:t>
      </w:r>
      <w:r w:rsidR="00E1468F">
        <w:rPr>
          <w:rFonts w:ascii="Arial" w:hAnsi="Arial" w:cs="Arial"/>
          <w:b/>
          <w:color w:val="000000"/>
        </w:rPr>
        <w:t xml:space="preserve"> </w:t>
      </w:r>
      <w:r w:rsidRPr="00474A63">
        <w:rPr>
          <w:rFonts w:ascii="Arial" w:hAnsi="Arial" w:cs="Arial"/>
          <w:color w:val="000000"/>
        </w:rPr>
        <w:t>".</w:t>
      </w:r>
      <w:r w:rsidR="006B2977" w:rsidRPr="00474A63">
        <w:rPr>
          <w:rFonts w:ascii="Arial" w:hAnsi="Arial" w:cs="Arial"/>
          <w:color w:val="000000"/>
        </w:rPr>
        <w:t xml:space="preserve"> C</w:t>
      </w:r>
      <w:r w:rsidRPr="00474A63">
        <w:rPr>
          <w:rFonts w:ascii="Arial" w:hAnsi="Arial" w:cs="Arial"/>
          <w:color w:val="000000"/>
        </w:rPr>
        <w:t>ette disposition offre à l’enfant né au Bénin d’une mère elle-même béninoise la possibilité de répudier la nationalité sans pour autant offrir cette possibilité à un enfant né au Bénin d’un père lui-même béninois. Par conséquent, cette disposition peut être considér</w:t>
      </w:r>
      <w:r w:rsidR="004F7220" w:rsidRPr="00474A63">
        <w:rPr>
          <w:rFonts w:ascii="Arial" w:hAnsi="Arial" w:cs="Arial"/>
          <w:color w:val="000000"/>
        </w:rPr>
        <w:t>ée</w:t>
      </w:r>
      <w:r w:rsidRPr="00474A63">
        <w:rPr>
          <w:rFonts w:ascii="Arial" w:hAnsi="Arial" w:cs="Arial"/>
          <w:color w:val="000000"/>
        </w:rPr>
        <w:t xml:space="preserve"> comme créant une inégalité fondée sur la filiation (mère ou père).</w:t>
      </w:r>
    </w:p>
    <w:p w14:paraId="6DAA33FA" w14:textId="2DE5D1CC" w:rsidR="00B07043" w:rsidRPr="00474A63" w:rsidRDefault="00836918" w:rsidP="00B07043">
      <w:pPr>
        <w:spacing w:after="0" w:line="276" w:lineRule="auto"/>
        <w:jc w:val="both"/>
        <w:rPr>
          <w:rFonts w:ascii="Arial" w:hAnsi="Arial" w:cs="Arial"/>
          <w:b/>
          <w:color w:val="000000"/>
        </w:rPr>
      </w:pPr>
      <w:r w:rsidRPr="00474A63">
        <w:rPr>
          <w:rFonts w:ascii="Arial" w:hAnsi="Arial" w:cs="Arial"/>
          <w:color w:val="000000"/>
        </w:rPr>
        <w:t>L’</w:t>
      </w:r>
      <w:r w:rsidR="00B07043" w:rsidRPr="00474A63">
        <w:rPr>
          <w:rFonts w:ascii="Arial" w:hAnsi="Arial" w:cs="Arial"/>
          <w:color w:val="000000"/>
        </w:rPr>
        <w:t>article 18 de la Loi n° 65-17 du 23 juin 1965</w:t>
      </w:r>
      <w:r w:rsidRPr="00474A63">
        <w:rPr>
          <w:rFonts w:ascii="Arial" w:hAnsi="Arial" w:cs="Arial"/>
          <w:color w:val="000000"/>
        </w:rPr>
        <w:t>, par contre,</w:t>
      </w:r>
      <w:r w:rsidR="00B07043" w:rsidRPr="00474A63">
        <w:rPr>
          <w:rFonts w:ascii="Arial" w:hAnsi="Arial" w:cs="Arial"/>
          <w:color w:val="000000"/>
        </w:rPr>
        <w:t xml:space="preserve"> est relatif à l'acquisition de la nationalité béninoise par le mariage et dispose :</w:t>
      </w:r>
      <w:r w:rsidR="00B07043" w:rsidRPr="00474A63">
        <w:rPr>
          <w:rFonts w:ascii="Arial" w:hAnsi="Arial" w:cs="Arial"/>
          <w:b/>
          <w:color w:val="000000"/>
        </w:rPr>
        <w:t xml:space="preserve"> ‘’ Sous réserve des dispositions des articles 19, 20, 22 et 28, la femme étrangère qui épouse un Béninois acquiert la nationalité béninoise au moment de la célébration du mariage’’.</w:t>
      </w:r>
    </w:p>
    <w:p w14:paraId="64AE4EAE" w14:textId="77777777" w:rsidR="00836918" w:rsidRPr="00474A63" w:rsidRDefault="00EC0995" w:rsidP="00EC0995">
      <w:pPr>
        <w:spacing w:after="0" w:line="276" w:lineRule="auto"/>
        <w:jc w:val="both"/>
        <w:rPr>
          <w:rFonts w:ascii="Arial" w:hAnsi="Arial" w:cs="Arial"/>
          <w:color w:val="000000"/>
        </w:rPr>
      </w:pPr>
      <w:r w:rsidRPr="00474A63">
        <w:rPr>
          <w:rFonts w:ascii="Arial" w:hAnsi="Arial" w:cs="Arial"/>
          <w:color w:val="000000"/>
        </w:rPr>
        <w:t>La Loi n° 65-17 du 23 juin 1965 en ses articles 34 à 36 a organisé au profit de l’homme étranger marié à une femme béninoise, la procédure de naturalisation par décret. Il n’est pas prévu au profit de l’homme étranger époux d’une béninoise, l’acquisition de la nationalité par le mariage.</w:t>
      </w:r>
    </w:p>
    <w:p w14:paraId="311A635A" w14:textId="6F266AC3" w:rsidR="00836918" w:rsidRPr="00474A63" w:rsidRDefault="00E1468F" w:rsidP="00EC0995">
      <w:pPr>
        <w:spacing w:after="0" w:line="276" w:lineRule="auto"/>
        <w:jc w:val="both"/>
        <w:rPr>
          <w:rFonts w:ascii="Arial" w:hAnsi="Arial" w:cs="Arial"/>
          <w:color w:val="000000"/>
        </w:rPr>
      </w:pPr>
      <w:r>
        <w:rPr>
          <w:rFonts w:ascii="Arial" w:hAnsi="Arial" w:cs="Arial"/>
          <w:color w:val="000000"/>
        </w:rPr>
        <w:t>Il s’ensuit qu’il est</w:t>
      </w:r>
      <w:r w:rsidR="00836918" w:rsidRPr="00474A63">
        <w:rPr>
          <w:rFonts w:ascii="Arial" w:hAnsi="Arial" w:cs="Arial"/>
          <w:color w:val="000000"/>
        </w:rPr>
        <w:t xml:space="preserve"> cré</w:t>
      </w:r>
      <w:r>
        <w:rPr>
          <w:rFonts w:ascii="Arial" w:hAnsi="Arial" w:cs="Arial"/>
          <w:color w:val="000000"/>
        </w:rPr>
        <w:t>é</w:t>
      </w:r>
      <w:r w:rsidR="00836918" w:rsidRPr="00474A63">
        <w:rPr>
          <w:rFonts w:ascii="Arial" w:hAnsi="Arial" w:cs="Arial"/>
          <w:color w:val="000000"/>
        </w:rPr>
        <w:t xml:space="preserve"> une inégalité fondé</w:t>
      </w:r>
      <w:r w:rsidR="004F7220" w:rsidRPr="00474A63">
        <w:rPr>
          <w:rFonts w:ascii="Arial" w:hAnsi="Arial" w:cs="Arial"/>
          <w:color w:val="000000"/>
        </w:rPr>
        <w:t>e</w:t>
      </w:r>
      <w:r w:rsidR="00836918" w:rsidRPr="00474A63">
        <w:rPr>
          <w:rFonts w:ascii="Arial" w:hAnsi="Arial" w:cs="Arial"/>
          <w:color w:val="000000"/>
        </w:rPr>
        <w:t xml:space="preserve"> sur le genre.</w:t>
      </w:r>
    </w:p>
    <w:p w14:paraId="14E8A136" w14:textId="76B9F732" w:rsidR="00B07043" w:rsidRPr="00474A63" w:rsidRDefault="00836918" w:rsidP="008216D8">
      <w:pPr>
        <w:spacing w:after="0" w:line="276" w:lineRule="auto"/>
        <w:jc w:val="both"/>
        <w:rPr>
          <w:rFonts w:ascii="Arial" w:hAnsi="Arial" w:cs="Arial"/>
          <w:color w:val="000000"/>
        </w:rPr>
      </w:pPr>
      <w:r w:rsidRPr="00474A63">
        <w:rPr>
          <w:rFonts w:ascii="Arial" w:hAnsi="Arial" w:cs="Arial"/>
          <w:color w:val="000000"/>
        </w:rPr>
        <w:t xml:space="preserve">Il </w:t>
      </w:r>
      <w:r w:rsidR="00D25B6B" w:rsidRPr="00474A63">
        <w:rPr>
          <w:rFonts w:ascii="Arial" w:hAnsi="Arial" w:cs="Arial"/>
          <w:color w:val="000000"/>
        </w:rPr>
        <w:t>urge pour l’Etat partie à la convention d’adopter un no</w:t>
      </w:r>
      <w:r w:rsidR="00F3148B" w:rsidRPr="00474A63">
        <w:rPr>
          <w:rFonts w:ascii="Arial" w:hAnsi="Arial" w:cs="Arial"/>
          <w:color w:val="000000"/>
        </w:rPr>
        <w:t xml:space="preserve">uveau code de la nationalité et </w:t>
      </w:r>
      <w:r w:rsidR="00D25B6B" w:rsidRPr="00474A63">
        <w:rPr>
          <w:rFonts w:ascii="Arial" w:hAnsi="Arial" w:cs="Arial"/>
          <w:color w:val="000000"/>
        </w:rPr>
        <w:t>de veiller à la suppression des articles 8, 12,13 et 18.</w:t>
      </w:r>
      <w:r w:rsidR="00EC0995" w:rsidRPr="00474A63">
        <w:rPr>
          <w:rFonts w:ascii="Arial" w:hAnsi="Arial" w:cs="Arial"/>
          <w:color w:val="000000"/>
        </w:rPr>
        <w:cr/>
      </w:r>
    </w:p>
    <w:p w14:paraId="0B10033A" w14:textId="77777777" w:rsidR="00C1193E" w:rsidRPr="00474A63" w:rsidRDefault="00C1193E" w:rsidP="008216D8">
      <w:pPr>
        <w:spacing w:after="0" w:line="276" w:lineRule="auto"/>
        <w:jc w:val="both"/>
        <w:rPr>
          <w:rFonts w:ascii="Arial" w:hAnsi="Arial" w:cs="Arial"/>
          <w:color w:val="000000"/>
        </w:rPr>
      </w:pPr>
    </w:p>
    <w:p w14:paraId="69EC4D89" w14:textId="6774C115" w:rsidR="00B424DB" w:rsidRPr="00474A63" w:rsidRDefault="002F27C3" w:rsidP="00E84CA2">
      <w:pPr>
        <w:pStyle w:val="Titre3"/>
        <w:rPr>
          <w:rFonts w:ascii="Arial" w:hAnsi="Arial" w:cs="Arial"/>
          <w:b w:val="0"/>
        </w:rPr>
      </w:pPr>
      <w:r w:rsidRPr="00474A63">
        <w:rPr>
          <w:rFonts w:ascii="Arial" w:hAnsi="Arial" w:cs="Arial"/>
          <w:b w:val="0"/>
        </w:rPr>
        <w:t xml:space="preserve"> </w:t>
      </w:r>
      <w:bookmarkStart w:id="24" w:name="_Toc107841229"/>
      <w:r w:rsidR="002F1120">
        <w:rPr>
          <w:rFonts w:ascii="Arial" w:hAnsi="Arial" w:cs="Arial"/>
          <w:b w:val="0"/>
        </w:rPr>
        <w:t>ii</w:t>
      </w:r>
      <w:r w:rsidR="00E133D8" w:rsidRPr="00474A63">
        <w:rPr>
          <w:rFonts w:ascii="Arial" w:hAnsi="Arial" w:cs="Arial"/>
          <w:b w:val="0"/>
        </w:rPr>
        <w:t xml:space="preserve">) </w:t>
      </w:r>
      <w:r w:rsidR="00B424DB" w:rsidRPr="00474A63">
        <w:rPr>
          <w:rFonts w:ascii="Arial" w:hAnsi="Arial" w:cs="Arial"/>
          <w:b w:val="0"/>
        </w:rPr>
        <w:t>Droit à la liberté d’opinion et d’expression</w:t>
      </w:r>
      <w:bookmarkEnd w:id="24"/>
    </w:p>
    <w:p w14:paraId="53E82ED8" w14:textId="70B7A077" w:rsidR="004257A9" w:rsidRPr="00474A63" w:rsidRDefault="004257A9" w:rsidP="004257A9">
      <w:pPr>
        <w:autoSpaceDE w:val="0"/>
        <w:autoSpaceDN w:val="0"/>
        <w:adjustRightInd w:val="0"/>
        <w:spacing w:after="0" w:line="276" w:lineRule="auto"/>
        <w:jc w:val="both"/>
        <w:rPr>
          <w:rFonts w:ascii="Arial" w:hAnsi="Arial" w:cs="Arial"/>
        </w:rPr>
      </w:pPr>
      <w:r w:rsidRPr="00474A63">
        <w:rPr>
          <w:rFonts w:ascii="Arial" w:hAnsi="Arial" w:cs="Arial"/>
        </w:rPr>
        <w:t>Suivant le classement de Reporters Sans Frontières (RSF), en matière de liberté de presse, le Bénin occupait en 20</w:t>
      </w:r>
      <w:r w:rsidR="00C171CC" w:rsidRPr="00474A63">
        <w:rPr>
          <w:rFonts w:ascii="Arial" w:hAnsi="Arial" w:cs="Arial"/>
        </w:rPr>
        <w:t>17</w:t>
      </w:r>
      <w:r w:rsidRPr="00474A63">
        <w:rPr>
          <w:rFonts w:ascii="Arial" w:hAnsi="Arial" w:cs="Arial"/>
        </w:rPr>
        <w:t xml:space="preserve">, la </w:t>
      </w:r>
      <w:r w:rsidR="00C171CC" w:rsidRPr="00474A63">
        <w:rPr>
          <w:rFonts w:ascii="Arial" w:hAnsi="Arial" w:cs="Arial"/>
        </w:rPr>
        <w:t>78</w:t>
      </w:r>
      <w:r w:rsidRPr="00474A63">
        <w:rPr>
          <w:rFonts w:ascii="Arial" w:hAnsi="Arial" w:cs="Arial"/>
          <w:vertAlign w:val="superscript"/>
        </w:rPr>
        <w:t>e</w:t>
      </w:r>
      <w:r w:rsidRPr="00474A63">
        <w:rPr>
          <w:rFonts w:ascii="Arial" w:hAnsi="Arial" w:cs="Arial"/>
        </w:rPr>
        <w:t xml:space="preserve"> place sur 180. En 2022, le pays a chuté jusqu’à la 121</w:t>
      </w:r>
      <w:r w:rsidRPr="00474A63">
        <w:rPr>
          <w:rFonts w:ascii="Arial" w:hAnsi="Arial" w:cs="Arial"/>
          <w:vertAlign w:val="superscript"/>
        </w:rPr>
        <w:t>e</w:t>
      </w:r>
      <w:r w:rsidRPr="00474A63">
        <w:rPr>
          <w:rFonts w:ascii="Arial" w:hAnsi="Arial" w:cs="Arial"/>
        </w:rPr>
        <w:t xml:space="preserve"> place sur 180 en la matière</w:t>
      </w:r>
      <w:r w:rsidRPr="00474A63">
        <w:rPr>
          <w:rStyle w:val="Appelnotedebasdep"/>
          <w:rFonts w:ascii="Arial" w:hAnsi="Arial" w:cs="Arial"/>
        </w:rPr>
        <w:footnoteReference w:id="10"/>
      </w:r>
      <w:r w:rsidRPr="00474A63">
        <w:rPr>
          <w:rFonts w:ascii="Arial" w:hAnsi="Arial" w:cs="Arial"/>
        </w:rPr>
        <w:t xml:space="preserve">. Tout ceci démontre un recul progressif de la liberté de la presse au Bénin. En effet, certaines mesures de restriction de la liberté d’opinion, d’expression et du droit à l’information ont été prises dont notamment l’adoption de la loi n° 2017-20 du 20 avril 2018 portant code du numérique en République du Bénin. Cette loi comporte des dispositions restrictives de libertés publiques notamment la liberté d’opinion, d’expression et le droit à l’information.  Dans le cadre des élections législatives du 28 avril 2019, des </w:t>
      </w:r>
      <w:r w:rsidR="00C171CC" w:rsidRPr="00474A63">
        <w:rPr>
          <w:rFonts w:ascii="Arial" w:hAnsi="Arial" w:cs="Arial"/>
        </w:rPr>
        <w:t>citoyens</w:t>
      </w:r>
      <w:r w:rsidRPr="00474A63">
        <w:rPr>
          <w:rFonts w:ascii="Arial" w:hAnsi="Arial" w:cs="Arial"/>
        </w:rPr>
        <w:t xml:space="preserve"> ont été arrêtés et détenus </w:t>
      </w:r>
      <w:r w:rsidR="00C171CC" w:rsidRPr="00474A63">
        <w:rPr>
          <w:rFonts w:ascii="Arial" w:hAnsi="Arial" w:cs="Arial"/>
        </w:rPr>
        <w:t>dans des établissements pénitentiaires</w:t>
      </w:r>
      <w:r w:rsidRPr="00474A63">
        <w:rPr>
          <w:rFonts w:ascii="Arial" w:hAnsi="Arial" w:cs="Arial"/>
        </w:rPr>
        <w:t xml:space="preserve"> sur le </w:t>
      </w:r>
      <w:r w:rsidRPr="00474A63">
        <w:rPr>
          <w:rFonts w:ascii="Arial" w:hAnsi="Arial" w:cs="Arial"/>
        </w:rPr>
        <w:lastRenderedPageBreak/>
        <w:t xml:space="preserve">fondement des dispositions de </w:t>
      </w:r>
      <w:r w:rsidRPr="00474A63">
        <w:rPr>
          <w:rFonts w:ascii="Arial" w:hAnsi="Arial" w:cs="Arial"/>
          <w:b/>
          <w:i/>
        </w:rPr>
        <w:t>l’article 55</w:t>
      </w:r>
      <w:r w:rsidR="00C171CC" w:rsidRPr="00474A63">
        <w:rPr>
          <w:rFonts w:ascii="Arial" w:hAnsi="Arial" w:cs="Arial"/>
          <w:b/>
          <w:i/>
        </w:rPr>
        <w:t>0</w:t>
      </w:r>
      <w:r w:rsidRPr="00474A63">
        <w:rPr>
          <w:rFonts w:ascii="Arial" w:hAnsi="Arial" w:cs="Arial"/>
          <w:b/>
          <w:i/>
        </w:rPr>
        <w:t xml:space="preserve"> et suivants du Code du numérique</w:t>
      </w:r>
      <w:r w:rsidRPr="00474A63">
        <w:rPr>
          <w:rFonts w:ascii="Arial" w:hAnsi="Arial" w:cs="Arial"/>
        </w:rPr>
        <w:t>. Les suites négatives de l’application de ce Code ont entraîné l’adoption d’un Avis par le Groupe de travail des Nations Unies sur la détention arbitraire</w:t>
      </w:r>
      <w:r w:rsidRPr="00474A63">
        <w:rPr>
          <w:rStyle w:val="Appelnotedebasdep"/>
          <w:rFonts w:ascii="Arial" w:hAnsi="Arial" w:cs="Arial"/>
        </w:rPr>
        <w:footnoteReference w:id="11"/>
      </w:r>
      <w:r w:rsidRPr="00474A63">
        <w:rPr>
          <w:rFonts w:ascii="Arial" w:hAnsi="Arial" w:cs="Arial"/>
        </w:rPr>
        <w:t xml:space="preserve">. </w:t>
      </w:r>
      <w:r w:rsidR="008F2B54" w:rsidRPr="00474A63">
        <w:rPr>
          <w:rFonts w:ascii="Arial" w:hAnsi="Arial" w:cs="Arial"/>
        </w:rPr>
        <w:t xml:space="preserve">Une telle situation avait conduit </w:t>
      </w:r>
      <w:r w:rsidR="008F2B54" w:rsidRPr="00474A63">
        <w:rPr>
          <w:rFonts w:ascii="Arial" w:hAnsi="Arial" w:cs="Arial"/>
          <w:bCs/>
        </w:rPr>
        <w:t xml:space="preserve">le Comité des Droits Economiques, Sociaux et Culturels des Nations Unies à recommander lors de l’examen du troisième rapport périodique du Bénin en 2020 de </w:t>
      </w:r>
      <w:r w:rsidR="008F2B54" w:rsidRPr="00474A63">
        <w:rPr>
          <w:rFonts w:ascii="Arial" w:hAnsi="Arial" w:cs="Arial"/>
          <w:b/>
        </w:rPr>
        <w:t>réexaminer les dispositions légales relatives à la diffusion de fausses informations afin de permettre aux défenseurs des droits de l’homme de travailler librement et sans crainte. À cet égard, le Comité renvoie l’État partie à sa déclaration sur les défenseurs des droits de l’homme et les droits économiques, sociaux et culturels (E/C.12/2016/2).</w:t>
      </w:r>
    </w:p>
    <w:p w14:paraId="71186330" w14:textId="7D24A801" w:rsidR="004257A9" w:rsidRPr="00474A63" w:rsidRDefault="004257A9" w:rsidP="004257A9">
      <w:pPr>
        <w:autoSpaceDE w:val="0"/>
        <w:autoSpaceDN w:val="0"/>
        <w:adjustRightInd w:val="0"/>
        <w:spacing w:after="0" w:line="276" w:lineRule="auto"/>
        <w:jc w:val="both"/>
        <w:rPr>
          <w:rFonts w:ascii="Arial" w:hAnsi="Arial" w:cs="Arial"/>
          <w:b/>
        </w:rPr>
      </w:pPr>
      <w:r w:rsidRPr="00474A63">
        <w:rPr>
          <w:rFonts w:ascii="Arial" w:hAnsi="Arial" w:cs="Arial"/>
        </w:rPr>
        <w:t>Au demeurant, le 28 avril 2019, en plein processus électoral, l’accès à internet et aux réseaux sociaux a été bloqué le jour du scrutin pendant 24h sans aucune mesure de prévention préalable à l’endroit du citoyen consommateur</w:t>
      </w:r>
      <w:r w:rsidR="000A4930">
        <w:rPr>
          <w:rFonts w:ascii="Arial" w:hAnsi="Arial" w:cs="Arial"/>
        </w:rPr>
        <w:t xml:space="preserve"> ni de mesures de sanctions des auteurs</w:t>
      </w:r>
      <w:r w:rsidRPr="00474A63">
        <w:rPr>
          <w:rFonts w:ascii="Arial" w:hAnsi="Arial" w:cs="Arial"/>
        </w:rPr>
        <w:t xml:space="preserve">. </w:t>
      </w:r>
    </w:p>
    <w:p w14:paraId="47FF0DF1" w14:textId="020FE23D" w:rsidR="002F27C3" w:rsidRPr="00474A63" w:rsidRDefault="002F27C3" w:rsidP="008216D8">
      <w:pPr>
        <w:spacing w:line="276" w:lineRule="auto"/>
        <w:ind w:firstLine="708"/>
        <w:jc w:val="both"/>
        <w:rPr>
          <w:rFonts w:ascii="Arial" w:hAnsi="Arial" w:cs="Arial"/>
        </w:rPr>
      </w:pPr>
    </w:p>
    <w:p w14:paraId="51CFACB8" w14:textId="3D2A4B2B" w:rsidR="00B424DB" w:rsidRPr="00474A63" w:rsidRDefault="001529B3" w:rsidP="00E84CA2">
      <w:pPr>
        <w:pStyle w:val="Titre3"/>
        <w:rPr>
          <w:rFonts w:ascii="Arial" w:hAnsi="Arial" w:cs="Arial"/>
          <w:b w:val="0"/>
          <w:color w:val="000000"/>
        </w:rPr>
      </w:pPr>
      <w:r w:rsidRPr="00474A63">
        <w:rPr>
          <w:rFonts w:ascii="Arial" w:hAnsi="Arial" w:cs="Arial"/>
          <w:b w:val="0"/>
          <w:color w:val="000000"/>
        </w:rPr>
        <w:t xml:space="preserve"> </w:t>
      </w:r>
      <w:bookmarkStart w:id="25" w:name="_Toc107841230"/>
      <w:r w:rsidR="002F1120">
        <w:rPr>
          <w:rFonts w:ascii="Arial" w:hAnsi="Arial" w:cs="Arial"/>
          <w:b w:val="0"/>
          <w:color w:val="000000"/>
        </w:rPr>
        <w:t>iii</w:t>
      </w:r>
      <w:r w:rsidR="00E133D8" w:rsidRPr="00E52950">
        <w:rPr>
          <w:rFonts w:ascii="Arial" w:hAnsi="Arial" w:cs="Arial"/>
          <w:color w:val="000000"/>
        </w:rPr>
        <w:t xml:space="preserve">) </w:t>
      </w:r>
      <w:r w:rsidR="00B424DB" w:rsidRPr="00E52950">
        <w:rPr>
          <w:rFonts w:ascii="Arial" w:hAnsi="Arial" w:cs="Arial"/>
          <w:color w:val="000000"/>
        </w:rPr>
        <w:t>Droit à la liberté de réunion</w:t>
      </w:r>
      <w:r w:rsidR="00E133D8" w:rsidRPr="00E52950">
        <w:rPr>
          <w:rFonts w:ascii="Arial" w:hAnsi="Arial" w:cs="Arial"/>
          <w:color w:val="000000"/>
        </w:rPr>
        <w:t>,</w:t>
      </w:r>
      <w:r w:rsidR="00B424DB" w:rsidRPr="00E52950">
        <w:rPr>
          <w:rFonts w:ascii="Arial" w:hAnsi="Arial" w:cs="Arial"/>
          <w:color w:val="000000"/>
        </w:rPr>
        <w:t xml:space="preserve"> d’association </w:t>
      </w:r>
      <w:r w:rsidR="00E133D8" w:rsidRPr="00E52950">
        <w:rPr>
          <w:rFonts w:ascii="Arial" w:hAnsi="Arial" w:cs="Arial"/>
          <w:color w:val="000000"/>
        </w:rPr>
        <w:t xml:space="preserve">et de manifestation </w:t>
      </w:r>
      <w:r w:rsidR="00B424DB" w:rsidRPr="00E52950">
        <w:rPr>
          <w:rFonts w:ascii="Arial" w:hAnsi="Arial" w:cs="Arial"/>
          <w:color w:val="000000"/>
        </w:rPr>
        <w:t>pacifiques</w:t>
      </w:r>
      <w:bookmarkEnd w:id="25"/>
    </w:p>
    <w:p w14:paraId="374BD8F9" w14:textId="77777777" w:rsidR="00CB6BCC" w:rsidRPr="00474A63" w:rsidRDefault="00CB6BCC" w:rsidP="00C44CE8">
      <w:pPr>
        <w:jc w:val="both"/>
        <w:rPr>
          <w:rFonts w:ascii="Arial" w:hAnsi="Arial" w:cs="Arial"/>
          <w:color w:val="000000"/>
          <w:shd w:val="clear" w:color="auto" w:fill="FFFFFF"/>
        </w:rPr>
      </w:pPr>
      <w:r w:rsidRPr="00474A63">
        <w:rPr>
          <w:rFonts w:ascii="Arial" w:hAnsi="Arial" w:cs="Arial"/>
          <w:color w:val="000000"/>
          <w:shd w:val="clear" w:color="auto" w:fill="FFFFFF"/>
        </w:rPr>
        <w:t>Le Gouvernement a pris l’initiative d’élaborer un avant-projet de loi-cadre sur la liberté d’association au Bénin sur appui financier de l’Union Européenne. Aux diverses activités y afférentes auxquelles Changement Social Bénin a été associée, elle n’a pas manqué de relever à chaque fois les contrariétés et faiblesses dudit avant-projet de loi-cadre avec les standards internationaux en matière de liberté d’association puisque si la loi</w:t>
      </w:r>
      <w:r w:rsidRPr="00474A63">
        <w:rPr>
          <w:rFonts w:ascii="Arial" w:hAnsi="Arial" w:cs="Arial"/>
          <w:color w:val="000000"/>
          <w:shd w:val="clear" w:color="auto" w:fill="FFFFFF"/>
          <w:lang w:val="fr-CA"/>
        </w:rPr>
        <w:t xml:space="preserve"> </w:t>
      </w:r>
      <w:r w:rsidRPr="00474A63">
        <w:rPr>
          <w:rFonts w:ascii="Arial" w:hAnsi="Arial" w:cs="Arial"/>
          <w:color w:val="000000"/>
          <w:shd w:val="clear" w:color="auto" w:fill="FFFFFF"/>
        </w:rPr>
        <w:t xml:space="preserve">arrivait à être adoptée en l’état, elle est porteuse de germes pouvant restreindre la liberté d’association et créer un environnement anxieux pour les défenseur.e.s des droits humains. </w:t>
      </w:r>
      <w:r w:rsidRPr="00474A63">
        <w:rPr>
          <w:rFonts w:ascii="Arial" w:hAnsi="Arial" w:cs="Arial"/>
        </w:rPr>
        <w:t>De plus, il est à noter une procédure économiquement lourde pour l’enregistrement des associations, caractérisée par le paiement des droits d’enregistrement et l’achat d’un formulaire préétabli pour remplissage et valant pour les Statuts et le Règlement Intérieur des associations voulant constituer leur dossier de création.</w:t>
      </w:r>
    </w:p>
    <w:p w14:paraId="62B2DEC3" w14:textId="77777777" w:rsidR="00CB6BCC" w:rsidRPr="00474A63" w:rsidRDefault="00CB6BCC" w:rsidP="008216D8">
      <w:pPr>
        <w:spacing w:after="0" w:line="276" w:lineRule="auto"/>
        <w:jc w:val="both"/>
        <w:rPr>
          <w:rFonts w:ascii="Arial" w:hAnsi="Arial" w:cs="Arial"/>
          <w:color w:val="000000"/>
        </w:rPr>
      </w:pPr>
    </w:p>
    <w:p w14:paraId="053A91DC" w14:textId="024E237B" w:rsidR="00450792" w:rsidRPr="00474A63" w:rsidRDefault="00450792" w:rsidP="008216D8">
      <w:pPr>
        <w:spacing w:after="0" w:line="276" w:lineRule="auto"/>
        <w:jc w:val="both"/>
        <w:rPr>
          <w:rFonts w:ascii="Arial" w:hAnsi="Arial" w:cs="Arial"/>
          <w:color w:val="000000"/>
        </w:rPr>
      </w:pPr>
      <w:r w:rsidRPr="00474A63">
        <w:rPr>
          <w:rFonts w:ascii="Arial" w:hAnsi="Arial" w:cs="Arial"/>
          <w:color w:val="000000"/>
        </w:rPr>
        <w:t>Relativement à la liberté de réunion</w:t>
      </w:r>
      <w:r w:rsidR="00E12C0C" w:rsidRPr="00474A63">
        <w:rPr>
          <w:rFonts w:ascii="Arial" w:hAnsi="Arial" w:cs="Arial"/>
          <w:color w:val="000000"/>
        </w:rPr>
        <w:t xml:space="preserve"> et de manifestation pacifiques</w:t>
      </w:r>
      <w:r w:rsidRPr="00474A63">
        <w:rPr>
          <w:rFonts w:ascii="Arial" w:hAnsi="Arial" w:cs="Arial"/>
          <w:color w:val="000000"/>
        </w:rPr>
        <w:t xml:space="preserve">, l’article 240 de la Loi 2018-16 du 28 décembre 2018 portant Code Pénal en République du Bénin se révèle être </w:t>
      </w:r>
      <w:r w:rsidR="000F0FB1" w:rsidRPr="00474A63">
        <w:rPr>
          <w:rFonts w:ascii="Arial" w:hAnsi="Arial" w:cs="Arial"/>
          <w:color w:val="000000"/>
        </w:rPr>
        <w:t>une entorse</w:t>
      </w:r>
      <w:r w:rsidRPr="00474A63">
        <w:rPr>
          <w:rFonts w:ascii="Arial" w:hAnsi="Arial" w:cs="Arial"/>
          <w:color w:val="000000"/>
        </w:rPr>
        <w:t xml:space="preserve"> </w:t>
      </w:r>
      <w:r w:rsidR="000F0FB1" w:rsidRPr="00474A63">
        <w:rPr>
          <w:rFonts w:ascii="Arial" w:hAnsi="Arial" w:cs="Arial"/>
          <w:color w:val="000000"/>
        </w:rPr>
        <w:t>à</w:t>
      </w:r>
      <w:r w:rsidRPr="00474A63">
        <w:rPr>
          <w:rFonts w:ascii="Arial" w:hAnsi="Arial" w:cs="Arial"/>
          <w:color w:val="000000"/>
        </w:rPr>
        <w:t xml:space="preserve"> cette liberté.  Cet article dispose : « Toute provocation directe à un attroupement non armé soit par discours proféré publiquement, soit par écrits ou imprimés affichés ou distribués, est punie d'un emprisonnement de un (01) an si elle a été suivie d'effet, et dans le cas contraire, d'un emprisonnement de deux (02) mois à six (06) mois et d'une amende de cent mille (100.000) francs CFA à deux cent cinquante mille (250.000) francs CFA ou de l’une de ces deux peines seulement.</w:t>
      </w:r>
    </w:p>
    <w:p w14:paraId="32FA6B48" w14:textId="6E59CF96" w:rsidR="00450792" w:rsidRPr="00474A63" w:rsidRDefault="00450792" w:rsidP="008216D8">
      <w:pPr>
        <w:spacing w:after="0" w:line="276" w:lineRule="auto"/>
        <w:jc w:val="both"/>
        <w:rPr>
          <w:rFonts w:ascii="Arial" w:hAnsi="Arial" w:cs="Arial"/>
          <w:color w:val="000000"/>
        </w:rPr>
      </w:pPr>
      <w:r w:rsidRPr="00474A63">
        <w:rPr>
          <w:rFonts w:ascii="Arial" w:hAnsi="Arial" w:cs="Arial"/>
          <w:color w:val="000000"/>
        </w:rPr>
        <w:t>Toute provocation directe par les moyens à un attroupement armé est punie d'un emprisonnement de un (01) an à cinq (05) ans, si elle a été suivie d'effet et, dans le cas contraire, d'un emprisonnement de deux (02) mois à six {06) mois et d'une amende de deux cent mille (200.000) francs CFA à un million (1.000.000) de francs CFA ou de l’une de ces deux peines seulement. »</w:t>
      </w:r>
    </w:p>
    <w:p w14:paraId="1A2DA1E1" w14:textId="4513DBC7" w:rsidR="00FF6B84" w:rsidRPr="00474A63" w:rsidRDefault="00450792" w:rsidP="00FF6B84">
      <w:pPr>
        <w:spacing w:line="276" w:lineRule="auto"/>
        <w:jc w:val="both"/>
        <w:rPr>
          <w:rFonts w:ascii="Arial" w:hAnsi="Arial" w:cs="Arial"/>
          <w:color w:val="000000" w:themeColor="text1"/>
        </w:rPr>
      </w:pPr>
      <w:r w:rsidRPr="00474A63">
        <w:rPr>
          <w:rFonts w:ascii="Arial" w:hAnsi="Arial" w:cs="Arial"/>
          <w:color w:val="000000"/>
        </w:rPr>
        <w:t>C’est au nom de la violation de cette disposition du Code pénal que les forces de sécurité ont réprimé avec un usage excessif de la force la marche projetée sur la CENA le 04 avril 2019 et arrêté Thérèse WAOUNWA la Présidente du Comité National des Revendeurs, vendeurs et Artisans du Bénin pour la paix et le pain (CO.NA.RAB) et certains manifestants puis présentés au Procureur de la République pour attroupement non armés et non obtention d’autorisation de marche.</w:t>
      </w:r>
      <w:r w:rsidR="00FF6B84" w:rsidRPr="00474A63">
        <w:rPr>
          <w:rFonts w:ascii="Arial" w:hAnsi="Arial" w:cs="Arial"/>
          <w:color w:val="000000"/>
        </w:rPr>
        <w:t xml:space="preserve"> Au demeurant, </w:t>
      </w:r>
      <w:r w:rsidR="00FF6B84" w:rsidRPr="00474A63">
        <w:rPr>
          <w:rFonts w:ascii="Arial" w:hAnsi="Arial" w:cs="Arial"/>
          <w:color w:val="000000" w:themeColor="text1"/>
          <w:lang w:val="fr-CA"/>
        </w:rPr>
        <w:t xml:space="preserve">le processus électoral des élections </w:t>
      </w:r>
      <w:r w:rsidR="00FF6B84" w:rsidRPr="00474A63">
        <w:rPr>
          <w:rFonts w:ascii="Arial" w:hAnsi="Arial" w:cs="Arial"/>
          <w:color w:val="000000" w:themeColor="text1"/>
          <w:lang w:val="fr-CA"/>
        </w:rPr>
        <w:lastRenderedPageBreak/>
        <w:t>législatives du 28 avril 2019 a été émaillé de violations flagrantes des droits humains. Une telle situation avait induit une réaction de la Commission Africaine des Droits de l’Homme et des Peuples à travers l’adoption d’une résolution</w:t>
      </w:r>
      <w:r w:rsidR="00FF6B84" w:rsidRPr="00474A63">
        <w:rPr>
          <w:rStyle w:val="Appelnotedebasdep"/>
          <w:rFonts w:ascii="Arial" w:hAnsi="Arial" w:cs="Arial"/>
          <w:color w:val="000000" w:themeColor="text1"/>
          <w:lang w:val="fr-CA"/>
        </w:rPr>
        <w:footnoteReference w:id="12"/>
      </w:r>
      <w:r w:rsidR="00FF6B84" w:rsidRPr="00474A63">
        <w:rPr>
          <w:rFonts w:ascii="Arial" w:hAnsi="Arial" w:cs="Arial"/>
          <w:color w:val="000000" w:themeColor="text1"/>
          <w:lang w:val="fr-CA"/>
        </w:rPr>
        <w:t xml:space="preserve"> en date du 14 mai 2019. Cette Résolution avait</w:t>
      </w:r>
      <w:r w:rsidR="008816AB" w:rsidRPr="00474A63">
        <w:rPr>
          <w:rFonts w:ascii="Arial" w:hAnsi="Arial" w:cs="Arial"/>
          <w:color w:val="000000" w:themeColor="text1"/>
          <w:lang w:val="fr-CA"/>
        </w:rPr>
        <w:t>,</w:t>
      </w:r>
      <w:r w:rsidR="00FF6B84" w:rsidRPr="00474A63">
        <w:rPr>
          <w:rFonts w:ascii="Arial" w:hAnsi="Arial" w:cs="Arial"/>
          <w:color w:val="000000" w:themeColor="text1"/>
          <w:lang w:val="fr-CA"/>
        </w:rPr>
        <w:t xml:space="preserve"> entre autres recommandations</w:t>
      </w:r>
      <w:r w:rsidR="008816AB" w:rsidRPr="00474A63">
        <w:rPr>
          <w:rFonts w:ascii="Arial" w:hAnsi="Arial" w:cs="Arial"/>
          <w:color w:val="000000" w:themeColor="text1"/>
          <w:lang w:val="fr-CA"/>
        </w:rPr>
        <w:t>,</w:t>
      </w:r>
      <w:r w:rsidR="00FF6B84" w:rsidRPr="00474A63">
        <w:rPr>
          <w:rFonts w:ascii="Arial" w:hAnsi="Arial" w:cs="Arial"/>
          <w:color w:val="000000" w:themeColor="text1"/>
          <w:lang w:val="fr-CA"/>
        </w:rPr>
        <w:t xml:space="preserve"> </w:t>
      </w:r>
      <w:r w:rsidR="00FF6B84" w:rsidRPr="00474A63">
        <w:rPr>
          <w:rFonts w:ascii="Arial" w:hAnsi="Arial" w:cs="Arial"/>
          <w:color w:val="000000" w:themeColor="text1"/>
        </w:rPr>
        <w:t>« </w:t>
      </w:r>
      <w:r w:rsidR="00FF6B84" w:rsidRPr="00474A63">
        <w:rPr>
          <w:rFonts w:ascii="Arial" w:hAnsi="Arial" w:cs="Arial"/>
          <w:b/>
          <w:bCs/>
          <w:color w:val="000000" w:themeColor="text1"/>
        </w:rPr>
        <w:t>Exhorté le Gouvernement à ouvrir promptement une enquête sur les violations des droits de l’homme perpétrées pendant les affrontements pré et post-électoraux et à traduire en justice les présumés auteurs de ces actes</w:t>
      </w:r>
      <w:r w:rsidR="00FF6B84" w:rsidRPr="00474A63">
        <w:rPr>
          <w:rFonts w:ascii="Arial" w:hAnsi="Arial" w:cs="Arial"/>
          <w:color w:val="000000" w:themeColor="text1"/>
        </w:rPr>
        <w:t xml:space="preserve"> ». </w:t>
      </w:r>
    </w:p>
    <w:p w14:paraId="63A7EA9C" w14:textId="085103DD" w:rsidR="00FF6B84" w:rsidRPr="00474A63" w:rsidRDefault="00FF6B84" w:rsidP="00FF6B84">
      <w:pPr>
        <w:spacing w:line="276" w:lineRule="auto"/>
        <w:jc w:val="both"/>
        <w:rPr>
          <w:rFonts w:ascii="Arial" w:hAnsi="Arial" w:cs="Arial"/>
          <w:b/>
        </w:rPr>
      </w:pPr>
      <w:r w:rsidRPr="00474A63">
        <w:rPr>
          <w:rFonts w:ascii="Arial" w:hAnsi="Arial" w:cs="Arial"/>
        </w:rPr>
        <w:t xml:space="preserve">Au terme de l’examen du troisième rapport périodique du Bénin par le Comité des Nations Unies contre la torture et autres peines ou traitements cruels, inhumains ou dégradants en </w:t>
      </w:r>
      <w:r w:rsidR="00F05C51">
        <w:rPr>
          <w:rFonts w:ascii="Arial" w:hAnsi="Arial" w:cs="Arial"/>
        </w:rPr>
        <w:t xml:space="preserve">mai </w:t>
      </w:r>
      <w:r w:rsidRPr="00474A63">
        <w:rPr>
          <w:rFonts w:ascii="Arial" w:hAnsi="Arial" w:cs="Arial"/>
        </w:rPr>
        <w:t xml:space="preserve">2019, il fut recommandé </w:t>
      </w:r>
      <w:r w:rsidR="00FE184C">
        <w:rPr>
          <w:rFonts w:ascii="Arial" w:hAnsi="Arial" w:cs="Arial"/>
        </w:rPr>
        <w:t xml:space="preserve">à l’Etat partie </w:t>
      </w:r>
      <w:r w:rsidRPr="00474A63">
        <w:rPr>
          <w:rFonts w:ascii="Arial" w:hAnsi="Arial" w:cs="Arial"/>
        </w:rPr>
        <w:t xml:space="preserve">de </w:t>
      </w:r>
      <w:r w:rsidRPr="00474A63">
        <w:rPr>
          <w:rFonts w:ascii="Arial" w:hAnsi="Arial" w:cs="Arial"/>
          <w:b/>
        </w:rPr>
        <w:t>mener sans délai des enquêtes impartiales et approfondies sur toute allégation d’usage excessif de la force, et à développer des lignes directrices claires sur le recours à la force et aux armes intégrant les principes de légitimité, de nécessité, de proportionnalité et de précaution. Il prie également l’État partie de rendre les dispositions législatives et réglementaires régissant le recours à la force conformes aux normes internationales, notamment aux Principes de base sur le recours à la force et l’utilisation des armes à feu par les responsables de l’application des lois adoptés par les Nations Unies en 1990.</w:t>
      </w:r>
    </w:p>
    <w:p w14:paraId="698D6213" w14:textId="47328692" w:rsidR="00450792" w:rsidRPr="00474A63" w:rsidRDefault="00FF6B84" w:rsidP="00FF6B84">
      <w:pPr>
        <w:spacing w:after="0" w:line="276" w:lineRule="auto"/>
        <w:jc w:val="both"/>
        <w:rPr>
          <w:rFonts w:ascii="Arial" w:hAnsi="Arial" w:cs="Arial"/>
          <w:bCs/>
          <w:color w:val="000000" w:themeColor="text1"/>
          <w:lang w:val="fr-CA"/>
        </w:rPr>
      </w:pPr>
      <w:r w:rsidRPr="00474A63">
        <w:rPr>
          <w:rFonts w:ascii="Arial" w:hAnsi="Arial" w:cs="Arial"/>
          <w:bCs/>
          <w:color w:val="000000" w:themeColor="text1"/>
          <w:lang w:val="fr-CA"/>
        </w:rPr>
        <w:t>À l’arrivée, l’on observera que ces recommandations n’ont pas connu d’application. En effet, le 31 octobre 2019, l’Assemblée Nationale a adopté la loi 2019-39 portant amnistie des faits criminels, délictuels et contraventionnels commis lors des élections législatives d’avril 2019</w:t>
      </w:r>
      <w:r w:rsidRPr="00474A63">
        <w:rPr>
          <w:rStyle w:val="Appelnotedebasdep"/>
          <w:rFonts w:ascii="Arial" w:hAnsi="Arial" w:cs="Arial"/>
          <w:color w:val="000000" w:themeColor="text1"/>
          <w:lang w:val="fr-CA"/>
        </w:rPr>
        <w:footnoteReference w:id="13"/>
      </w:r>
      <w:r w:rsidRPr="00474A63">
        <w:rPr>
          <w:rFonts w:ascii="Arial" w:hAnsi="Arial" w:cs="Arial"/>
          <w:bCs/>
          <w:color w:val="000000" w:themeColor="text1"/>
          <w:lang w:val="fr-CA"/>
        </w:rPr>
        <w:t>.</w:t>
      </w:r>
    </w:p>
    <w:p w14:paraId="7861637B" w14:textId="77777777" w:rsidR="00BC2C42" w:rsidRPr="00474A63" w:rsidRDefault="00BC2C42" w:rsidP="00FF6B84">
      <w:pPr>
        <w:spacing w:after="0" w:line="276" w:lineRule="auto"/>
        <w:jc w:val="both"/>
        <w:rPr>
          <w:rFonts w:ascii="Arial" w:hAnsi="Arial" w:cs="Arial"/>
          <w:color w:val="000000"/>
        </w:rPr>
      </w:pPr>
    </w:p>
    <w:p w14:paraId="132CAAE0" w14:textId="77777777" w:rsidR="001529B3" w:rsidRPr="00474A63" w:rsidRDefault="001529B3" w:rsidP="008216D8">
      <w:pPr>
        <w:spacing w:after="0" w:line="276" w:lineRule="auto"/>
        <w:jc w:val="both"/>
        <w:rPr>
          <w:rFonts w:ascii="Arial" w:hAnsi="Arial" w:cs="Arial"/>
          <w:color w:val="000000"/>
        </w:rPr>
      </w:pPr>
    </w:p>
    <w:p w14:paraId="6FF8682A" w14:textId="77777777" w:rsidR="00450792" w:rsidRPr="00474A63" w:rsidRDefault="00450792" w:rsidP="008216D8">
      <w:pPr>
        <w:pStyle w:val="Paragraphedeliste"/>
        <w:spacing w:after="0" w:line="276" w:lineRule="auto"/>
        <w:ind w:left="643"/>
        <w:jc w:val="both"/>
        <w:rPr>
          <w:rFonts w:ascii="Arial" w:hAnsi="Arial" w:cs="Arial"/>
          <w:color w:val="000000"/>
        </w:rPr>
      </w:pPr>
    </w:p>
    <w:p w14:paraId="29593E51" w14:textId="5E253EB9" w:rsidR="001B28D8" w:rsidRPr="00E52950" w:rsidRDefault="00714ACF" w:rsidP="00E84CA2">
      <w:pPr>
        <w:pStyle w:val="Titre2"/>
        <w:rPr>
          <w:rFonts w:ascii="Arial" w:hAnsi="Arial" w:cs="Arial"/>
          <w:color w:val="244061" w:themeColor="accent1" w:themeShade="80"/>
        </w:rPr>
      </w:pPr>
      <w:bookmarkStart w:id="26" w:name="_Toc107841231"/>
      <w:r w:rsidRPr="00E52950">
        <w:rPr>
          <w:rFonts w:ascii="Arial" w:hAnsi="Arial" w:cs="Arial"/>
          <w:color w:val="244061" w:themeColor="accent1" w:themeShade="80"/>
        </w:rPr>
        <w:t xml:space="preserve">d) </w:t>
      </w:r>
      <w:r w:rsidR="00E52950" w:rsidRPr="00E52950">
        <w:rPr>
          <w:rFonts w:ascii="Arial" w:hAnsi="Arial" w:cs="Arial"/>
          <w:color w:val="244061" w:themeColor="accent1" w:themeShade="80"/>
        </w:rPr>
        <w:t>Les droits économiques, sociaux et culturels</w:t>
      </w:r>
      <w:bookmarkEnd w:id="26"/>
    </w:p>
    <w:p w14:paraId="36EC40B8" w14:textId="77777777" w:rsidR="00FF0C7D" w:rsidRPr="00E52950" w:rsidRDefault="00FF0C7D" w:rsidP="00FC3FC2">
      <w:pPr>
        <w:spacing w:after="0" w:line="276" w:lineRule="auto"/>
        <w:jc w:val="center"/>
        <w:rPr>
          <w:rFonts w:ascii="Arial" w:hAnsi="Arial" w:cs="Arial"/>
          <w:b/>
          <w:color w:val="244061" w:themeColor="accent1" w:themeShade="80"/>
        </w:rPr>
      </w:pPr>
    </w:p>
    <w:p w14:paraId="3F21C9E9" w14:textId="72D930C5" w:rsidR="00E855C6" w:rsidRPr="00E52950" w:rsidRDefault="001529B3" w:rsidP="00E52950">
      <w:pPr>
        <w:pStyle w:val="Titre3"/>
        <w:tabs>
          <w:tab w:val="center" w:pos="4536"/>
        </w:tabs>
        <w:rPr>
          <w:rFonts w:ascii="Arial" w:hAnsi="Arial" w:cs="Arial"/>
          <w:color w:val="000000"/>
        </w:rPr>
      </w:pPr>
      <w:r w:rsidRPr="00474A63">
        <w:rPr>
          <w:rFonts w:ascii="Arial" w:hAnsi="Arial" w:cs="Arial"/>
          <w:b w:val="0"/>
          <w:color w:val="000000"/>
        </w:rPr>
        <w:t xml:space="preserve"> </w:t>
      </w:r>
      <w:bookmarkStart w:id="27" w:name="_Toc107841232"/>
      <w:r w:rsidR="00714ACF">
        <w:rPr>
          <w:rFonts w:ascii="Arial" w:hAnsi="Arial" w:cs="Arial"/>
          <w:b w:val="0"/>
          <w:color w:val="000000"/>
        </w:rPr>
        <w:t>i</w:t>
      </w:r>
      <w:r w:rsidR="003D65F7" w:rsidRPr="00474A63">
        <w:rPr>
          <w:rFonts w:ascii="Arial" w:hAnsi="Arial" w:cs="Arial"/>
          <w:b w:val="0"/>
          <w:color w:val="000000"/>
        </w:rPr>
        <w:t xml:space="preserve">) </w:t>
      </w:r>
      <w:r w:rsidR="00E52950" w:rsidRPr="00E52950">
        <w:rPr>
          <w:rFonts w:ascii="Arial" w:hAnsi="Arial" w:cs="Arial"/>
          <w:color w:val="000000"/>
        </w:rPr>
        <w:t>droit au travail</w:t>
      </w:r>
      <w:bookmarkEnd w:id="27"/>
      <w:r w:rsidR="00E52950">
        <w:rPr>
          <w:rFonts w:ascii="Arial" w:hAnsi="Arial" w:cs="Arial"/>
          <w:color w:val="000000"/>
        </w:rPr>
        <w:tab/>
      </w:r>
    </w:p>
    <w:p w14:paraId="5B7D7CBF" w14:textId="2F0261DB" w:rsidR="001B28D8" w:rsidRPr="00474A63" w:rsidRDefault="001B28D8" w:rsidP="008216D8">
      <w:pPr>
        <w:spacing w:after="0" w:line="276" w:lineRule="auto"/>
        <w:jc w:val="both"/>
        <w:rPr>
          <w:rFonts w:ascii="Arial" w:hAnsi="Arial" w:cs="Arial"/>
          <w:color w:val="000000"/>
        </w:rPr>
      </w:pPr>
    </w:p>
    <w:p w14:paraId="1D8894D8" w14:textId="77777777" w:rsidR="00DF5A23" w:rsidRPr="00474A63" w:rsidRDefault="00DF5A23" w:rsidP="00DF5A23">
      <w:pPr>
        <w:spacing w:after="0" w:line="276" w:lineRule="auto"/>
        <w:jc w:val="both"/>
        <w:rPr>
          <w:rFonts w:ascii="Arial" w:hAnsi="Arial" w:cs="Arial"/>
          <w:color w:val="000000"/>
        </w:rPr>
      </w:pPr>
      <w:r w:rsidRPr="00474A63">
        <w:rPr>
          <w:rFonts w:ascii="Arial" w:hAnsi="Arial" w:cs="Arial"/>
          <w:b/>
          <w:color w:val="000000"/>
        </w:rPr>
        <w:t>Point sur la loi 2017-05 du 29 aout 2017 fixant les conditions et la procédure d'embauche, de placement de la main-d'œuvre et de résiliation du contrat de travail en République du Bénin</w:t>
      </w:r>
      <w:r w:rsidRPr="00474A63">
        <w:rPr>
          <w:rFonts w:ascii="Arial" w:hAnsi="Arial" w:cs="Arial"/>
          <w:color w:val="000000"/>
        </w:rPr>
        <w:t>.</w:t>
      </w:r>
    </w:p>
    <w:p w14:paraId="1BC2DB58" w14:textId="77777777" w:rsidR="00DF5A23" w:rsidRPr="00474A63" w:rsidRDefault="00DF5A23" w:rsidP="00DF5A23">
      <w:pPr>
        <w:spacing w:after="0" w:line="276" w:lineRule="auto"/>
        <w:jc w:val="both"/>
        <w:rPr>
          <w:rFonts w:ascii="Arial" w:hAnsi="Arial" w:cs="Arial"/>
          <w:color w:val="000000"/>
        </w:rPr>
      </w:pPr>
    </w:p>
    <w:p w14:paraId="1D656D47" w14:textId="5D69E277" w:rsidR="00DF5A23" w:rsidRPr="00474A63" w:rsidRDefault="00355EDB" w:rsidP="00DF5A23">
      <w:pPr>
        <w:spacing w:after="0" w:line="276" w:lineRule="auto"/>
        <w:jc w:val="both"/>
        <w:rPr>
          <w:rFonts w:ascii="Arial" w:hAnsi="Arial" w:cs="Arial"/>
          <w:color w:val="000000"/>
        </w:rPr>
      </w:pPr>
      <w:r w:rsidRPr="00474A63">
        <w:rPr>
          <w:rFonts w:ascii="Arial" w:hAnsi="Arial" w:cs="Arial"/>
          <w:color w:val="000000"/>
        </w:rPr>
        <w:t>C</w:t>
      </w:r>
      <w:r w:rsidR="00DF5A23" w:rsidRPr="00474A63">
        <w:rPr>
          <w:rFonts w:ascii="Arial" w:hAnsi="Arial" w:cs="Arial"/>
          <w:color w:val="000000"/>
        </w:rPr>
        <w:t>ette loi intervient dans un contexte de réformes engagées par le gouvernement</w:t>
      </w:r>
      <w:r w:rsidR="009A0C8A" w:rsidRPr="00474A63">
        <w:rPr>
          <w:rFonts w:ascii="Arial" w:hAnsi="Arial" w:cs="Arial"/>
          <w:color w:val="000000"/>
        </w:rPr>
        <w:t xml:space="preserve"> </w:t>
      </w:r>
      <w:r w:rsidR="00DF5A23" w:rsidRPr="00474A63">
        <w:rPr>
          <w:rFonts w:ascii="Arial" w:hAnsi="Arial" w:cs="Arial"/>
          <w:color w:val="000000"/>
        </w:rPr>
        <w:t xml:space="preserve">pour soutenir la mise en œuvre d’un Programme d’Actions Gouvernementales (2016-2021) à forte sollicitations de la capitale privé, à raison de 60% de son exécution. Cette forte sollicitation du capital privé, explique selon l’exposé des motifs de la loi susmentionnée, la prise de mesures de dérégulation sociale pour rendre attractif le cadre économique aux investissements. D’où les flexibilités légales prévues dans ladite loi aux dépens des principes de droits de l‘Homme convenus dans le Pacte International relatif aux Droits Economiques, Sociaux et Culturels à l’article 5 relativement à la non réversibilité des droits acquis. </w:t>
      </w:r>
    </w:p>
    <w:p w14:paraId="571DFA02" w14:textId="77777777" w:rsidR="00DF5A23" w:rsidRPr="00474A63" w:rsidRDefault="00DF5A23" w:rsidP="00DF5A23">
      <w:pPr>
        <w:spacing w:after="0" w:line="276" w:lineRule="auto"/>
        <w:jc w:val="both"/>
        <w:rPr>
          <w:rFonts w:ascii="Arial" w:hAnsi="Arial" w:cs="Arial"/>
          <w:color w:val="000000"/>
        </w:rPr>
      </w:pPr>
      <w:r w:rsidRPr="00474A63">
        <w:rPr>
          <w:rFonts w:ascii="Arial" w:hAnsi="Arial" w:cs="Arial"/>
          <w:color w:val="000000"/>
        </w:rPr>
        <w:t>Pour exemple l’article 13 alinéa 1er de la loi susmentionnée « : Le contrat de travail à durée déterminée peut être renouvelé indéfiniment. », un des acquis du Code du travail en vigueur qui en son article 13 alinéa 1er dispose « Tout contrat conclu pour une durée déterminée ne peut excéder deux ans renouvelables une fois... »</w:t>
      </w:r>
    </w:p>
    <w:p w14:paraId="340D07ED" w14:textId="37F850CA" w:rsidR="00DF5A23" w:rsidRPr="00474A63" w:rsidRDefault="00DF5A23" w:rsidP="00DF5A23">
      <w:pPr>
        <w:spacing w:after="0" w:line="276" w:lineRule="auto"/>
        <w:jc w:val="both"/>
        <w:rPr>
          <w:rFonts w:ascii="Arial" w:hAnsi="Arial" w:cs="Arial"/>
          <w:color w:val="000000"/>
        </w:rPr>
      </w:pPr>
      <w:r w:rsidRPr="00474A63">
        <w:rPr>
          <w:rFonts w:ascii="Arial" w:hAnsi="Arial" w:cs="Arial"/>
          <w:color w:val="000000"/>
        </w:rPr>
        <w:lastRenderedPageBreak/>
        <w:t>Pire, l’article 60 de la loi querellée dispose : « Les dispositions de la présente loi sont de pleins droits applicables aux contrats individuels en cours. Elles ne peuvent constituer une cause de rupture de ces contrats.</w:t>
      </w:r>
    </w:p>
    <w:p w14:paraId="72F5E9D5" w14:textId="77777777" w:rsidR="00DF5A23" w:rsidRPr="00474A63" w:rsidRDefault="00DF5A23" w:rsidP="00DF5A23">
      <w:pPr>
        <w:spacing w:after="0" w:line="276" w:lineRule="auto"/>
        <w:jc w:val="both"/>
        <w:rPr>
          <w:rFonts w:ascii="Arial" w:hAnsi="Arial" w:cs="Arial"/>
          <w:color w:val="000000"/>
        </w:rPr>
      </w:pPr>
      <w:r w:rsidRPr="00474A63">
        <w:rPr>
          <w:rFonts w:ascii="Arial" w:hAnsi="Arial" w:cs="Arial"/>
          <w:color w:val="000000"/>
        </w:rPr>
        <w:t xml:space="preserve">Les dispositions contenues dans les contrats individuels en cours qui ne sont pas contraires à la présente loi, aux conventions et accords collectifs et celles plus favorables aux travailleurs sont maintenues » </w:t>
      </w:r>
    </w:p>
    <w:p w14:paraId="758CDC1F" w14:textId="4BB8BE20" w:rsidR="00D625F7" w:rsidRPr="00474A63" w:rsidRDefault="00DF5A23" w:rsidP="008216D8">
      <w:pPr>
        <w:spacing w:after="0" w:line="276" w:lineRule="auto"/>
        <w:jc w:val="both"/>
        <w:rPr>
          <w:rFonts w:ascii="Arial" w:hAnsi="Arial" w:cs="Arial"/>
          <w:color w:val="000000"/>
        </w:rPr>
      </w:pPr>
      <w:r w:rsidRPr="00474A63">
        <w:rPr>
          <w:rFonts w:ascii="Arial" w:hAnsi="Arial" w:cs="Arial"/>
          <w:color w:val="000000"/>
        </w:rPr>
        <w:t>Il s’en suit à titre juridique, une instabilité pour tous les contrats en cours.</w:t>
      </w:r>
    </w:p>
    <w:p w14:paraId="37E57EA8" w14:textId="77777777" w:rsidR="00D625F7" w:rsidRPr="00474A63" w:rsidRDefault="00D625F7" w:rsidP="008216D8">
      <w:pPr>
        <w:spacing w:after="0" w:line="276" w:lineRule="auto"/>
        <w:jc w:val="both"/>
        <w:rPr>
          <w:rFonts w:ascii="Arial" w:hAnsi="Arial" w:cs="Arial"/>
          <w:b/>
          <w:color w:val="000000"/>
        </w:rPr>
      </w:pPr>
    </w:p>
    <w:p w14:paraId="7A38D45C" w14:textId="6A5DA476" w:rsidR="00D625F7" w:rsidRPr="00474A63" w:rsidRDefault="002E68F9" w:rsidP="002E68F9">
      <w:pPr>
        <w:jc w:val="both"/>
        <w:rPr>
          <w:rFonts w:ascii="Arial" w:hAnsi="Arial" w:cs="Arial"/>
          <w:bCs/>
        </w:rPr>
      </w:pPr>
      <w:r w:rsidRPr="00474A63">
        <w:rPr>
          <w:rFonts w:ascii="Arial" w:hAnsi="Arial" w:cs="Arial"/>
          <w:bCs/>
          <w:color w:val="000000"/>
        </w:rPr>
        <w:t>Par ailleurs, à l’occasion de l’examen du troisième rapport périodique du Bénin,</w:t>
      </w:r>
      <w:r w:rsidRPr="00474A63">
        <w:rPr>
          <w:rFonts w:ascii="Arial" w:hAnsi="Arial" w:cs="Arial"/>
          <w:b/>
          <w:color w:val="000000"/>
        </w:rPr>
        <w:t xml:space="preserve"> </w:t>
      </w:r>
      <w:r w:rsidRPr="00474A63">
        <w:rPr>
          <w:rFonts w:ascii="Arial" w:hAnsi="Arial" w:cs="Arial"/>
        </w:rPr>
        <w:t>le Comité des Droits Economiques, Sociaux et Culturels note que les conditions d'application de sanctions disciplinaires d’un fonctionnaire, dont la révocation, sont prévues dans la loi nº2015-18 portant statut général de la fonction publique. Il constate avec préoccupation que les amendements apportés par la loi 2018-35 modifiant et complétant la loi nº2015-18 favorisent le contournement des formalités de licenciement et fragilisent le droit au travail, en plafonnant à quelques mois les indemnités de licenciement ou révocation abusif. Le Comité est préoccupé par les dispositions rétrogressives introduites par la loi nº2017-05 fixant les conditions et la procédure d’embauche, de placement de la main-d’œuvre et de résiliation du contrat de travail, qui entraînent une précarisation de l’emploi, notamment : la possibilité d’un renouvellement indéfini du contrat de travail à durée déterminée (article 13) ; l’absence d’une limitation de la durée de la période d’essai qui peut être renouvelée mais également résiliée à tout moment, sans préavis, ni indemnités, ni réparation (article 10) ; le plafonnement du montant de la réparation en cas de licenciement ou d’inobservation des formalités de licenciement (articles 29 et 30), qui a été, selon la délégation, nécessaire à cause de la prévalence d’accords illicites entre magistrats et employés (art. 6).</w:t>
      </w:r>
      <w:r w:rsidR="00657861" w:rsidRPr="00474A63">
        <w:rPr>
          <w:rFonts w:ascii="Arial" w:hAnsi="Arial" w:cs="Arial"/>
        </w:rPr>
        <w:t xml:space="preserve"> </w:t>
      </w:r>
      <w:r w:rsidR="00657861" w:rsidRPr="00474A63">
        <w:rPr>
          <w:rFonts w:ascii="Arial" w:hAnsi="Arial" w:cs="Arial"/>
          <w:bCs/>
        </w:rPr>
        <w:t>Rappelant à l’État partie que l’obligation de sauvegarder le droit au travail constitue un élément essentiel de l’article 6 du Pacte, le Comité avait recommandé à l’État partie de : réexaminer les dispositions de la loi 2018-35 afin d'éviter que celles-ci puissent donner lieu à des licenciements ou révocations abusifs ; b) veiller à ce que tout licenciement ou révocation ait lieu pour des motifs valables et, dans le cas contraire, donne droit à une réintégration ou à une réparation adéquate ; amender les dispositions des articles 10, 13, 29 et 30 ainsi que toute autre disposition pertinente de la loi nº 2017-05 afin de protéger les travailleurs contre les licenciements injustifiés et autres abus rendus possibles par cette loi.</w:t>
      </w:r>
      <w:r w:rsidR="00DB10A6" w:rsidRPr="00474A63">
        <w:rPr>
          <w:rFonts w:ascii="Arial" w:hAnsi="Arial" w:cs="Arial"/>
          <w:bCs/>
        </w:rPr>
        <w:t xml:space="preserve"> </w:t>
      </w:r>
    </w:p>
    <w:p w14:paraId="296E5C5C" w14:textId="2A73C5FC" w:rsidR="00DB10A6" w:rsidRPr="00474A63" w:rsidRDefault="00DB10A6" w:rsidP="00FC3FC2">
      <w:pPr>
        <w:jc w:val="both"/>
        <w:rPr>
          <w:rFonts w:ascii="Arial" w:hAnsi="Arial" w:cs="Arial"/>
          <w:bCs/>
        </w:rPr>
      </w:pPr>
      <w:r w:rsidRPr="00474A63">
        <w:rPr>
          <w:rFonts w:ascii="Arial" w:hAnsi="Arial" w:cs="Arial"/>
          <w:bCs/>
        </w:rPr>
        <w:t>Cependant, force d’observer que ces recommandations peinent à trouver effectivité.</w:t>
      </w:r>
    </w:p>
    <w:p w14:paraId="62414347" w14:textId="77777777" w:rsidR="006E26D8" w:rsidRPr="00474A63" w:rsidRDefault="006E26D8" w:rsidP="008063D1">
      <w:pPr>
        <w:spacing w:after="0" w:line="276" w:lineRule="auto"/>
        <w:jc w:val="both"/>
        <w:rPr>
          <w:rFonts w:ascii="Arial" w:hAnsi="Arial" w:cs="Arial"/>
          <w:color w:val="000000"/>
        </w:rPr>
      </w:pPr>
    </w:p>
    <w:p w14:paraId="01079117" w14:textId="68473A68" w:rsidR="00670D98" w:rsidRPr="00474A63" w:rsidRDefault="008A6358" w:rsidP="00670D98">
      <w:pPr>
        <w:spacing w:after="0" w:line="276" w:lineRule="auto"/>
        <w:jc w:val="both"/>
        <w:rPr>
          <w:rFonts w:ascii="Arial" w:hAnsi="Arial" w:cs="Arial"/>
          <w:b/>
          <w:color w:val="000000"/>
        </w:rPr>
      </w:pPr>
      <w:r w:rsidRPr="00474A63">
        <w:rPr>
          <w:rFonts w:ascii="Arial" w:hAnsi="Arial" w:cs="Arial"/>
          <w:color w:val="000000"/>
        </w:rPr>
        <w:t xml:space="preserve">En vertu de l’article 26 </w:t>
      </w:r>
      <w:r w:rsidR="00670D98" w:rsidRPr="00474A63">
        <w:rPr>
          <w:rFonts w:ascii="Arial" w:hAnsi="Arial" w:cs="Arial"/>
          <w:color w:val="000000"/>
        </w:rPr>
        <w:t xml:space="preserve">alinéa 3 </w:t>
      </w:r>
      <w:r w:rsidRPr="00474A63">
        <w:rPr>
          <w:rFonts w:ascii="Arial" w:hAnsi="Arial" w:cs="Arial"/>
          <w:color w:val="000000"/>
        </w:rPr>
        <w:t xml:space="preserve">de la </w:t>
      </w:r>
      <w:r w:rsidR="002F27BF">
        <w:rPr>
          <w:rFonts w:ascii="Arial" w:hAnsi="Arial" w:cs="Arial"/>
          <w:color w:val="000000"/>
        </w:rPr>
        <w:t>C</w:t>
      </w:r>
      <w:r w:rsidRPr="00474A63">
        <w:rPr>
          <w:rFonts w:ascii="Arial" w:hAnsi="Arial" w:cs="Arial"/>
          <w:color w:val="000000"/>
        </w:rPr>
        <w:t xml:space="preserve">onstitution </w:t>
      </w:r>
      <w:r w:rsidR="002F27BF">
        <w:rPr>
          <w:rFonts w:ascii="Arial" w:hAnsi="Arial" w:cs="Arial"/>
          <w:color w:val="000000"/>
        </w:rPr>
        <w:t>en vigueur au</w:t>
      </w:r>
      <w:r w:rsidRPr="00474A63">
        <w:rPr>
          <w:rFonts w:ascii="Arial" w:hAnsi="Arial" w:cs="Arial"/>
          <w:color w:val="000000"/>
        </w:rPr>
        <w:t xml:space="preserve"> Bénin</w:t>
      </w:r>
      <w:r w:rsidR="000C3D1C" w:rsidRPr="00474A63">
        <w:rPr>
          <w:rFonts w:ascii="Arial" w:hAnsi="Arial" w:cs="Arial"/>
          <w:color w:val="000000"/>
        </w:rPr>
        <w:t xml:space="preserve"> « </w:t>
      </w:r>
      <w:r w:rsidR="00670D98" w:rsidRPr="00474A63">
        <w:rPr>
          <w:rFonts w:ascii="Arial" w:hAnsi="Arial" w:cs="Arial"/>
          <w:b/>
          <w:color w:val="000000"/>
        </w:rPr>
        <w:t xml:space="preserve">L'Etat protège la famille, particulièrement la mère et </w:t>
      </w:r>
      <w:r w:rsidR="000C3D1C" w:rsidRPr="00474A63">
        <w:rPr>
          <w:rFonts w:ascii="Arial" w:hAnsi="Arial" w:cs="Arial"/>
          <w:b/>
          <w:color w:val="000000"/>
        </w:rPr>
        <w:t>I’ enfant. Il</w:t>
      </w:r>
      <w:r w:rsidR="00670D98" w:rsidRPr="00474A63">
        <w:rPr>
          <w:rFonts w:ascii="Arial" w:hAnsi="Arial" w:cs="Arial"/>
          <w:b/>
          <w:color w:val="000000"/>
        </w:rPr>
        <w:t xml:space="preserve"> porte assistance aux personnes porteuses de handicap ainsi qu'aux personnes âgées</w:t>
      </w:r>
      <w:r w:rsidR="000C3D1C" w:rsidRPr="00474A63">
        <w:rPr>
          <w:rFonts w:ascii="Arial" w:hAnsi="Arial" w:cs="Arial"/>
          <w:b/>
          <w:color w:val="000000"/>
        </w:rPr>
        <w:t> »</w:t>
      </w:r>
      <w:r w:rsidR="00670D98" w:rsidRPr="00474A63">
        <w:rPr>
          <w:rFonts w:ascii="Arial" w:hAnsi="Arial" w:cs="Arial"/>
          <w:b/>
          <w:color w:val="000000"/>
        </w:rPr>
        <w:t>.</w:t>
      </w:r>
    </w:p>
    <w:p w14:paraId="7CBEF286" w14:textId="6CDED252" w:rsidR="006E26D8" w:rsidRPr="00474A63" w:rsidRDefault="006E26D8" w:rsidP="00670D98">
      <w:pPr>
        <w:spacing w:after="0" w:line="276" w:lineRule="auto"/>
        <w:jc w:val="both"/>
        <w:rPr>
          <w:rFonts w:ascii="Arial" w:hAnsi="Arial" w:cs="Arial"/>
          <w:color w:val="000000"/>
        </w:rPr>
      </w:pPr>
      <w:r w:rsidRPr="00474A63">
        <w:rPr>
          <w:rFonts w:ascii="Arial" w:hAnsi="Arial" w:cs="Arial"/>
          <w:color w:val="000000"/>
        </w:rPr>
        <w:t>».</w:t>
      </w:r>
      <w:r w:rsidR="008A6358" w:rsidRPr="00474A63">
        <w:rPr>
          <w:rFonts w:ascii="Arial" w:hAnsi="Arial" w:cs="Arial"/>
          <w:color w:val="000000"/>
        </w:rPr>
        <w:t xml:space="preserve"> De même, les articles 2, 13.2 et 18.4 de la Charte Africaine des Droits de l’Homme et des Peuples</w:t>
      </w:r>
      <w:r w:rsidR="00FE5DBA">
        <w:rPr>
          <w:rFonts w:ascii="Arial" w:hAnsi="Arial" w:cs="Arial"/>
          <w:color w:val="000000"/>
        </w:rPr>
        <w:t xml:space="preserve"> qui fait partie intégrante de la Constitution béninoise</w:t>
      </w:r>
      <w:r w:rsidR="008A6358" w:rsidRPr="00474A63">
        <w:rPr>
          <w:rFonts w:ascii="Arial" w:hAnsi="Arial" w:cs="Arial"/>
          <w:color w:val="000000"/>
        </w:rPr>
        <w:t xml:space="preserve"> énoncent : « 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 ou de toute autre situation » ; « Tous les citoyens ont également le droit d’accéder aux fonctions publiques de leur pays » ;« Les personnes âgées ou handicapées ont également droit à des mesures spécifiques de protection en rapport avec leurs besoins physiques ou moraux ». Conformément aux dispositions susmentionnées, l’Etat </w:t>
      </w:r>
      <w:r w:rsidR="00B5144E">
        <w:rPr>
          <w:rFonts w:ascii="Arial" w:hAnsi="Arial" w:cs="Arial"/>
          <w:color w:val="000000"/>
        </w:rPr>
        <w:t xml:space="preserve">a l’obligation de veiller à la non-discrimination et au surplus, </w:t>
      </w:r>
      <w:r w:rsidR="008A6358" w:rsidRPr="00474A63">
        <w:rPr>
          <w:rFonts w:ascii="Arial" w:hAnsi="Arial" w:cs="Arial"/>
          <w:color w:val="000000"/>
        </w:rPr>
        <w:t xml:space="preserve">en ce qui concerne les personnes handicapées, prendre « des mesures spécifiques de protection en rapport avec leurs </w:t>
      </w:r>
      <w:r w:rsidR="008A6358" w:rsidRPr="00474A63">
        <w:rPr>
          <w:rFonts w:ascii="Arial" w:hAnsi="Arial" w:cs="Arial"/>
          <w:color w:val="000000"/>
        </w:rPr>
        <w:lastRenderedPageBreak/>
        <w:t xml:space="preserve">besoins physiques ou moraux ». Toutefois, nous </w:t>
      </w:r>
      <w:r w:rsidR="00342E1F" w:rsidRPr="00474A63">
        <w:rPr>
          <w:rFonts w:ascii="Arial" w:hAnsi="Arial" w:cs="Arial"/>
          <w:color w:val="000000"/>
        </w:rPr>
        <w:t>notons des situations où des porteurs de devoirs sont à la source de</w:t>
      </w:r>
      <w:r w:rsidR="0047340B" w:rsidRPr="00474A63">
        <w:rPr>
          <w:rFonts w:ascii="Arial" w:hAnsi="Arial" w:cs="Arial"/>
          <w:color w:val="000000"/>
        </w:rPr>
        <w:t xml:space="preserve"> traitements discriminatoires </w:t>
      </w:r>
      <w:r w:rsidR="00342E1F" w:rsidRPr="00474A63">
        <w:rPr>
          <w:rFonts w:ascii="Arial" w:hAnsi="Arial" w:cs="Arial"/>
          <w:color w:val="000000"/>
        </w:rPr>
        <w:t>à l’endroit des personnes handicapées</w:t>
      </w:r>
      <w:r w:rsidR="0047340B" w:rsidRPr="00474A63">
        <w:rPr>
          <w:rFonts w:ascii="Arial" w:hAnsi="Arial" w:cs="Arial"/>
          <w:color w:val="000000"/>
        </w:rPr>
        <w:t xml:space="preserve">. C’est le cas de dame </w:t>
      </w:r>
      <w:r w:rsidR="00B14A1B">
        <w:rPr>
          <w:rFonts w:ascii="Arial" w:hAnsi="Arial" w:cs="Arial"/>
          <w:color w:val="000000"/>
        </w:rPr>
        <w:t xml:space="preserve">feue </w:t>
      </w:r>
      <w:r w:rsidR="0047340B" w:rsidRPr="00474A63">
        <w:rPr>
          <w:rFonts w:ascii="Arial" w:hAnsi="Arial" w:cs="Arial"/>
          <w:color w:val="000000"/>
        </w:rPr>
        <w:t xml:space="preserve">Géronime TOKPO qui </w:t>
      </w:r>
      <w:r w:rsidR="00342E1F" w:rsidRPr="00474A63">
        <w:rPr>
          <w:rFonts w:ascii="Arial" w:hAnsi="Arial" w:cs="Arial"/>
          <w:color w:val="000000"/>
        </w:rPr>
        <w:t>a</w:t>
      </w:r>
      <w:r w:rsidR="0047340B" w:rsidRPr="00474A63">
        <w:rPr>
          <w:rFonts w:ascii="Arial" w:hAnsi="Arial" w:cs="Arial"/>
          <w:color w:val="000000"/>
        </w:rPr>
        <w:t xml:space="preserve"> vu son dossier de candidature au concours des Auditeurs de Justice rejeté </w:t>
      </w:r>
      <w:r w:rsidR="00B14A1B">
        <w:rPr>
          <w:rFonts w:ascii="Arial" w:hAnsi="Arial" w:cs="Arial"/>
          <w:color w:val="000000"/>
        </w:rPr>
        <w:t>au</w:t>
      </w:r>
      <w:r w:rsidR="00B14A1B" w:rsidRPr="00474A63">
        <w:rPr>
          <w:rFonts w:ascii="Arial" w:hAnsi="Arial" w:cs="Arial"/>
          <w:color w:val="000000"/>
        </w:rPr>
        <w:t xml:space="preserve"> </w:t>
      </w:r>
      <w:r w:rsidR="0047340B" w:rsidRPr="00474A63">
        <w:rPr>
          <w:rFonts w:ascii="Arial" w:hAnsi="Arial" w:cs="Arial"/>
          <w:color w:val="000000"/>
        </w:rPr>
        <w:t>motif que le ‘’poste est non ouvert pour les épreuves de braille’’. La Cour constitutionnelle, saisie d’une requête, a déclaré le traitement infligé à dame Géronime TOKPO discriminatoire</w:t>
      </w:r>
      <w:r w:rsidR="00C44CE8" w:rsidRPr="00474A63">
        <w:rPr>
          <w:rStyle w:val="Appelnotedebasdep"/>
          <w:rFonts w:ascii="Arial" w:hAnsi="Arial" w:cs="Arial"/>
          <w:color w:val="000000"/>
        </w:rPr>
        <w:footnoteReference w:id="14"/>
      </w:r>
      <w:r w:rsidR="0047340B" w:rsidRPr="00474A63">
        <w:rPr>
          <w:rFonts w:ascii="Arial" w:hAnsi="Arial" w:cs="Arial"/>
          <w:color w:val="000000"/>
        </w:rPr>
        <w:t>.</w:t>
      </w:r>
    </w:p>
    <w:p w14:paraId="74B1FE60" w14:textId="77777777" w:rsidR="00C1193E" w:rsidRPr="00474A63" w:rsidRDefault="00C1193E" w:rsidP="008216D8">
      <w:pPr>
        <w:spacing w:after="0" w:line="276" w:lineRule="auto"/>
        <w:jc w:val="both"/>
        <w:rPr>
          <w:rFonts w:ascii="Arial" w:hAnsi="Arial" w:cs="Arial"/>
          <w:color w:val="000000"/>
        </w:rPr>
      </w:pPr>
    </w:p>
    <w:p w14:paraId="28BA59B4" w14:textId="3B37950A" w:rsidR="008063D1" w:rsidRPr="00474A63" w:rsidRDefault="0097739A" w:rsidP="008216D8">
      <w:pPr>
        <w:spacing w:after="0" w:line="276" w:lineRule="auto"/>
        <w:jc w:val="both"/>
        <w:rPr>
          <w:rFonts w:ascii="Arial" w:hAnsi="Arial" w:cs="Arial"/>
          <w:color w:val="000000"/>
        </w:rPr>
      </w:pPr>
      <w:r w:rsidRPr="00474A63">
        <w:rPr>
          <w:rFonts w:ascii="Arial" w:hAnsi="Arial" w:cs="Arial"/>
          <w:color w:val="000000"/>
        </w:rPr>
        <w:t>Huit ans après cette décision de la Cour constitutionnelle, l’accès à l’emploi notamment l’</w:t>
      </w:r>
      <w:r w:rsidR="001C389E" w:rsidRPr="00474A63">
        <w:rPr>
          <w:rFonts w:ascii="Arial" w:hAnsi="Arial" w:cs="Arial"/>
          <w:color w:val="000000"/>
        </w:rPr>
        <w:t xml:space="preserve">accès à </w:t>
      </w:r>
      <w:r w:rsidRPr="00474A63">
        <w:rPr>
          <w:rFonts w:ascii="Arial" w:hAnsi="Arial" w:cs="Arial"/>
          <w:color w:val="000000"/>
        </w:rPr>
        <w:t>la fonction publ</w:t>
      </w:r>
      <w:r w:rsidR="007913FE" w:rsidRPr="00474A63">
        <w:rPr>
          <w:rFonts w:ascii="Arial" w:hAnsi="Arial" w:cs="Arial"/>
          <w:color w:val="000000"/>
        </w:rPr>
        <w:t xml:space="preserve">ique </w:t>
      </w:r>
      <w:r w:rsidR="00342C85" w:rsidRPr="00474A63">
        <w:rPr>
          <w:rFonts w:ascii="Arial" w:hAnsi="Arial" w:cs="Arial"/>
          <w:color w:val="000000"/>
        </w:rPr>
        <w:t>pour les</w:t>
      </w:r>
      <w:r w:rsidR="007913FE" w:rsidRPr="00474A63">
        <w:rPr>
          <w:rFonts w:ascii="Arial" w:hAnsi="Arial" w:cs="Arial"/>
          <w:color w:val="000000"/>
        </w:rPr>
        <w:t xml:space="preserve"> personnes </w:t>
      </w:r>
      <w:r w:rsidRPr="00474A63">
        <w:rPr>
          <w:rFonts w:ascii="Arial" w:hAnsi="Arial" w:cs="Arial"/>
          <w:color w:val="000000"/>
        </w:rPr>
        <w:t>handicap</w:t>
      </w:r>
      <w:r w:rsidR="007913FE" w:rsidRPr="00474A63">
        <w:rPr>
          <w:rFonts w:ascii="Arial" w:hAnsi="Arial" w:cs="Arial"/>
          <w:color w:val="000000"/>
        </w:rPr>
        <w:t>ées</w:t>
      </w:r>
      <w:r w:rsidRPr="00474A63">
        <w:rPr>
          <w:rFonts w:ascii="Arial" w:hAnsi="Arial" w:cs="Arial"/>
          <w:color w:val="000000"/>
        </w:rPr>
        <w:t xml:space="preserve"> est toujours déplorable. Le 14 août 2020, le Ministère du Travail et de la Fonction Pu</w:t>
      </w:r>
      <w:r w:rsidR="00F8305B" w:rsidRPr="00474A63">
        <w:rPr>
          <w:rFonts w:ascii="Arial" w:hAnsi="Arial" w:cs="Arial"/>
          <w:color w:val="000000"/>
        </w:rPr>
        <w:t>blique, par un communiqué radio, a lancé le concours de recrutement de soixante (60) élèves-professeurs certifiés.</w:t>
      </w:r>
      <w:r w:rsidR="0041190A" w:rsidRPr="00474A63">
        <w:rPr>
          <w:rFonts w:ascii="Arial" w:hAnsi="Arial" w:cs="Arial"/>
          <w:color w:val="000000"/>
        </w:rPr>
        <w:t xml:space="preserve"> Ce concours était ouvert uniquement aux personnes qui ne sont pas bègues, sourdes, handicapées moteurs</w:t>
      </w:r>
      <w:r w:rsidR="009C1C3C" w:rsidRPr="00474A63">
        <w:rPr>
          <w:rFonts w:ascii="Arial" w:hAnsi="Arial" w:cs="Arial"/>
          <w:color w:val="000000"/>
        </w:rPr>
        <w:t xml:space="preserve"> donc des personnes qui jouissent d’une bonne acuité visuelle et qui sont indemnes de toute affection tuberculeuse, cancéreuse, nerveuse, poliomyélitique ou lépreuse ou en sont définitivement guéries</w:t>
      </w:r>
      <w:r w:rsidR="007913FE" w:rsidRPr="00474A63">
        <w:rPr>
          <w:rFonts w:ascii="Arial" w:hAnsi="Arial" w:cs="Arial"/>
          <w:color w:val="000000"/>
        </w:rPr>
        <w:t>. Les conditions ainsi énumérées exclues les personnes handicapées et violent, en conséquen</w:t>
      </w:r>
      <w:r w:rsidR="003E0236" w:rsidRPr="00474A63">
        <w:rPr>
          <w:rFonts w:ascii="Arial" w:hAnsi="Arial" w:cs="Arial"/>
          <w:color w:val="000000"/>
        </w:rPr>
        <w:t>ce</w:t>
      </w:r>
      <w:r w:rsidR="007913FE" w:rsidRPr="00474A63">
        <w:rPr>
          <w:rFonts w:ascii="Arial" w:hAnsi="Arial" w:cs="Arial"/>
          <w:color w:val="000000"/>
        </w:rPr>
        <w:t xml:space="preserve"> le droit à l’égal accès  de tous au travail et à l’emploi garanti par la </w:t>
      </w:r>
      <w:r w:rsidR="00C43B8D" w:rsidRPr="00474A63">
        <w:rPr>
          <w:rFonts w:ascii="Arial" w:hAnsi="Arial" w:cs="Arial"/>
          <w:color w:val="000000"/>
        </w:rPr>
        <w:t>C</w:t>
      </w:r>
      <w:r w:rsidR="007913FE" w:rsidRPr="00474A63">
        <w:rPr>
          <w:rFonts w:ascii="Arial" w:hAnsi="Arial" w:cs="Arial"/>
          <w:color w:val="000000"/>
        </w:rPr>
        <w:t xml:space="preserve">onstitution, la convention relative aux droits des personnes handicapées,  la loi n°2017-026 du 13 avril 2017 portant protection et promotion des droits des personnes handicapées, </w:t>
      </w:r>
      <w:r w:rsidR="00C1193E" w:rsidRPr="00474A63">
        <w:rPr>
          <w:rFonts w:ascii="Arial" w:hAnsi="Arial" w:cs="Arial"/>
          <w:color w:val="000000"/>
        </w:rPr>
        <w:t>qui non seulement, interdisent la discrimination fondé</w:t>
      </w:r>
      <w:r w:rsidR="00C43B8D" w:rsidRPr="00474A63">
        <w:rPr>
          <w:rFonts w:ascii="Arial" w:hAnsi="Arial" w:cs="Arial"/>
          <w:color w:val="000000"/>
        </w:rPr>
        <w:t>e</w:t>
      </w:r>
      <w:r w:rsidR="00C1193E" w:rsidRPr="00474A63">
        <w:rPr>
          <w:rFonts w:ascii="Arial" w:hAnsi="Arial" w:cs="Arial"/>
          <w:color w:val="000000"/>
        </w:rPr>
        <w:t xml:space="preserve"> sur le handicap mais surtout préconisent la prise de mesures spécifiques en faveur de ces personnes.</w:t>
      </w:r>
    </w:p>
    <w:p w14:paraId="7A072FB2" w14:textId="77777777" w:rsidR="00F3148B" w:rsidRPr="00474A63" w:rsidRDefault="00F3148B" w:rsidP="008216D8">
      <w:pPr>
        <w:spacing w:after="0" w:line="276" w:lineRule="auto"/>
        <w:jc w:val="both"/>
        <w:rPr>
          <w:rFonts w:ascii="Arial" w:hAnsi="Arial" w:cs="Arial"/>
          <w:color w:val="000000"/>
        </w:rPr>
      </w:pPr>
    </w:p>
    <w:p w14:paraId="6B1BEC90" w14:textId="77777777" w:rsidR="0031785F" w:rsidRPr="00474A63" w:rsidRDefault="0031785F" w:rsidP="008216D8">
      <w:pPr>
        <w:spacing w:after="0" w:line="276" w:lineRule="auto"/>
        <w:jc w:val="both"/>
        <w:rPr>
          <w:rFonts w:ascii="Arial" w:hAnsi="Arial" w:cs="Arial"/>
          <w:b/>
          <w:color w:val="000000"/>
        </w:rPr>
      </w:pPr>
    </w:p>
    <w:p w14:paraId="12B9065C" w14:textId="3519CFD8" w:rsidR="00E855C6" w:rsidRPr="00E52950" w:rsidRDefault="00714ACF" w:rsidP="00E84CA2">
      <w:pPr>
        <w:pStyle w:val="Titre3"/>
        <w:rPr>
          <w:rFonts w:ascii="Arial" w:hAnsi="Arial" w:cs="Arial"/>
          <w:color w:val="000000"/>
        </w:rPr>
      </w:pPr>
      <w:bookmarkStart w:id="28" w:name="_Toc107841233"/>
      <w:r>
        <w:rPr>
          <w:rFonts w:ascii="Arial" w:hAnsi="Arial" w:cs="Arial"/>
          <w:b w:val="0"/>
          <w:color w:val="000000"/>
        </w:rPr>
        <w:t>ii</w:t>
      </w:r>
      <w:r w:rsidR="008F308D" w:rsidRPr="00E52950">
        <w:rPr>
          <w:rFonts w:ascii="Arial" w:hAnsi="Arial" w:cs="Arial"/>
          <w:color w:val="000000"/>
        </w:rPr>
        <w:t xml:space="preserve">) </w:t>
      </w:r>
      <w:r w:rsidR="001529B3" w:rsidRPr="00E52950">
        <w:rPr>
          <w:rFonts w:ascii="Arial" w:hAnsi="Arial" w:cs="Arial"/>
          <w:color w:val="000000"/>
        </w:rPr>
        <w:t xml:space="preserve"> </w:t>
      </w:r>
      <w:r w:rsidR="00E855C6" w:rsidRPr="00E52950">
        <w:rPr>
          <w:rFonts w:ascii="Arial" w:hAnsi="Arial" w:cs="Arial"/>
          <w:color w:val="000000"/>
        </w:rPr>
        <w:t>Droits syndicaux</w:t>
      </w:r>
      <w:bookmarkEnd w:id="28"/>
    </w:p>
    <w:p w14:paraId="64667BED"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color w:val="000000"/>
        </w:rPr>
        <w:t xml:space="preserve">Corrélativement à la logique qui a prévalu à l’adoption de la </w:t>
      </w:r>
      <w:r w:rsidRPr="00474A63">
        <w:rPr>
          <w:rFonts w:ascii="Arial" w:hAnsi="Arial" w:cs="Arial"/>
          <w:bCs/>
          <w:color w:val="000000"/>
        </w:rPr>
        <w:t>loi 2017-05 du 29 aout 2017 fixant les conditions et la procédure d'embauche, de placement de la main-d'œuvre et de résiliation du contrat de travail en République du Bénin, le gouvernement a poursuivi ses réformes dans un contexte d’absence de dialogue pour faire légiférer par la majorité parlementaire des lois s’inscrivant dans la même logique que celle susmentionnée. Il s’agit entre autres de la loi N°2018-34 du 05 octobre 2018 modifiant et complétant la loi 2001-09 du 21 juin 2002 portant exercice du droit de grève en République du Bénin et de la Loi n°2018-01 portant statut de la magistrature en République du Bénin.</w:t>
      </w:r>
    </w:p>
    <w:p w14:paraId="4AAD187A"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bCs/>
          <w:color w:val="000000"/>
        </w:rPr>
        <w:t>La première loi querellée a réduit de façon drastique la durée de l’exercice du droit de grève en son article 13 « Lorsque les procédures sont respectées, le droit de grève s’exerce dans certaines conditions de durée qui ne peut excéder :</w:t>
      </w:r>
    </w:p>
    <w:p w14:paraId="6D90D0F1"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bCs/>
          <w:color w:val="000000"/>
        </w:rPr>
        <w:t>-</w:t>
      </w:r>
      <w:r w:rsidRPr="00474A63">
        <w:rPr>
          <w:rFonts w:ascii="Arial" w:hAnsi="Arial" w:cs="Arial"/>
          <w:bCs/>
          <w:color w:val="000000"/>
        </w:rPr>
        <w:tab/>
        <w:t>Dix (10) jours au cours d’une même année ;</w:t>
      </w:r>
    </w:p>
    <w:p w14:paraId="67AC9879"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bCs/>
          <w:color w:val="000000"/>
        </w:rPr>
        <w:t>-</w:t>
      </w:r>
      <w:r w:rsidRPr="00474A63">
        <w:rPr>
          <w:rFonts w:ascii="Arial" w:hAnsi="Arial" w:cs="Arial"/>
          <w:bCs/>
          <w:color w:val="000000"/>
        </w:rPr>
        <w:tab/>
        <w:t xml:space="preserve">Sept (07) jours au cours d’un même semestre ; et </w:t>
      </w:r>
    </w:p>
    <w:p w14:paraId="63623B96"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bCs/>
          <w:color w:val="000000"/>
        </w:rPr>
        <w:t>-</w:t>
      </w:r>
      <w:r w:rsidRPr="00474A63">
        <w:rPr>
          <w:rFonts w:ascii="Arial" w:hAnsi="Arial" w:cs="Arial"/>
          <w:bCs/>
          <w:color w:val="000000"/>
        </w:rPr>
        <w:tab/>
        <w:t>Deux (02) jours au cours d’un même mois. »,</w:t>
      </w:r>
    </w:p>
    <w:p w14:paraId="4A94DD55" w14:textId="66EDE3F4" w:rsidR="00131F1D" w:rsidRPr="00474A63" w:rsidRDefault="00131F1D" w:rsidP="008216D8">
      <w:pPr>
        <w:spacing w:after="0" w:line="276" w:lineRule="auto"/>
        <w:jc w:val="both"/>
        <w:rPr>
          <w:rFonts w:ascii="Arial" w:hAnsi="Arial" w:cs="Arial"/>
          <w:color w:val="000000"/>
        </w:rPr>
      </w:pPr>
      <w:r w:rsidRPr="00474A63">
        <w:rPr>
          <w:rFonts w:ascii="Arial" w:hAnsi="Arial" w:cs="Arial"/>
          <w:color w:val="000000"/>
        </w:rPr>
        <w:t>Toutes mesures contraires aux principes du Pacte relativement à l’exercice du droit de grève qui, certes, pourrait connaitre des restrictions mais non de la sorte. Quant à la seconde loi, elle a, en son article 20, retiré purement et simplement le droit de grève aux magistrats</w:t>
      </w:r>
    </w:p>
    <w:p w14:paraId="4BFBD8AD"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bCs/>
          <w:color w:val="000000"/>
        </w:rPr>
        <w:t xml:space="preserve"> « Comme citoyens, les magistrats jouissent de la liberté d’expression, de croyance, d’association et de réunion. Ils sont libres de se constituer en association ou en toute autre organisation ou de s’y affilier pour défendre leurs intérêts, promouvoir leur formation professionnelle et protéger l’indépendance de la magistrature.</w:t>
      </w:r>
    </w:p>
    <w:p w14:paraId="17B433AD" w14:textId="77777777" w:rsidR="00131F1D" w:rsidRPr="00474A63" w:rsidRDefault="00131F1D" w:rsidP="008216D8">
      <w:pPr>
        <w:spacing w:after="0" w:line="276" w:lineRule="auto"/>
        <w:jc w:val="both"/>
        <w:rPr>
          <w:rFonts w:ascii="Arial" w:hAnsi="Arial" w:cs="Arial"/>
          <w:bCs/>
          <w:color w:val="000000"/>
        </w:rPr>
      </w:pPr>
      <w:r w:rsidRPr="00474A63">
        <w:rPr>
          <w:rFonts w:ascii="Arial" w:hAnsi="Arial" w:cs="Arial"/>
          <w:bCs/>
          <w:color w:val="000000"/>
        </w:rPr>
        <w:lastRenderedPageBreak/>
        <w:t>Toutefois, dans l’exercice de leurs droits, les magistrats doivent se conduire de manière à préserver la dignité de leur charge, à sauvegarder l’impartialité et l’indépendance de la magistrature, à assurer la continuité du service public de la justice de manière à garantir en permanence la sécurité et la justice au sein de la nation. La grève est interdite aux magistrats. »</w:t>
      </w:r>
    </w:p>
    <w:p w14:paraId="0D35121F" w14:textId="5E5D8735" w:rsidR="00DC23A2" w:rsidRPr="00474A63" w:rsidRDefault="00131F1D" w:rsidP="00D617B5">
      <w:pPr>
        <w:spacing w:after="0" w:line="276" w:lineRule="auto"/>
        <w:jc w:val="both"/>
        <w:rPr>
          <w:rFonts w:ascii="Arial" w:hAnsi="Arial" w:cs="Arial"/>
        </w:rPr>
      </w:pPr>
      <w:r w:rsidRPr="00474A63">
        <w:rPr>
          <w:rFonts w:ascii="Arial" w:hAnsi="Arial" w:cs="Arial"/>
        </w:rPr>
        <w:t>Dans les deux cas malheureusement il n’a été prévu, tel que défini par les principes de l’O</w:t>
      </w:r>
      <w:r w:rsidR="006456AC" w:rsidRPr="00474A63">
        <w:rPr>
          <w:rFonts w:ascii="Arial" w:hAnsi="Arial" w:cs="Arial"/>
        </w:rPr>
        <w:t xml:space="preserve">rganisation </w:t>
      </w:r>
      <w:r w:rsidRPr="00474A63">
        <w:rPr>
          <w:rFonts w:ascii="Arial" w:hAnsi="Arial" w:cs="Arial"/>
        </w:rPr>
        <w:t>I</w:t>
      </w:r>
      <w:r w:rsidR="006456AC" w:rsidRPr="00474A63">
        <w:rPr>
          <w:rFonts w:ascii="Arial" w:hAnsi="Arial" w:cs="Arial"/>
        </w:rPr>
        <w:t xml:space="preserve">nternationale du </w:t>
      </w:r>
      <w:r w:rsidRPr="00474A63">
        <w:rPr>
          <w:rFonts w:ascii="Arial" w:hAnsi="Arial" w:cs="Arial"/>
        </w:rPr>
        <w:t>T</w:t>
      </w:r>
      <w:r w:rsidR="006456AC" w:rsidRPr="00474A63">
        <w:rPr>
          <w:rFonts w:ascii="Arial" w:hAnsi="Arial" w:cs="Arial"/>
        </w:rPr>
        <w:t>ravail (OIT)</w:t>
      </w:r>
      <w:r w:rsidRPr="00474A63">
        <w:rPr>
          <w:rFonts w:ascii="Arial" w:hAnsi="Arial" w:cs="Arial"/>
        </w:rPr>
        <w:t xml:space="preserve">, un mécanisme compensatoire de dialogue, dont l’exécution des décisions serait opposable tant à l’Etat qu’aux fonctionnaires concernés. Conséquence, depuis l’entrée en vigueur de ces diverses lois, les fonctionnaires relevant des corporations visées sont, selon le cas, restreints dans l’exercice de leur droit ou purement et simplement interdits d’exercer leurs droits de grève tel que convenu dans </w:t>
      </w:r>
      <w:r w:rsidR="00D617B5" w:rsidRPr="00474A63">
        <w:rPr>
          <w:rFonts w:ascii="Arial" w:hAnsi="Arial" w:cs="Arial"/>
        </w:rPr>
        <w:t xml:space="preserve">la Convention. </w:t>
      </w:r>
    </w:p>
    <w:p w14:paraId="4F8C359A" w14:textId="77478137" w:rsidR="00131F1D" w:rsidRPr="00474A63" w:rsidRDefault="0056315B" w:rsidP="00D617B5">
      <w:pPr>
        <w:spacing w:after="0" w:line="276" w:lineRule="auto"/>
        <w:jc w:val="both"/>
        <w:rPr>
          <w:rFonts w:ascii="Arial" w:hAnsi="Arial" w:cs="Arial"/>
          <w:b/>
          <w:color w:val="000000"/>
        </w:rPr>
      </w:pPr>
      <w:r w:rsidRPr="00474A63">
        <w:rPr>
          <w:rFonts w:ascii="Arial" w:hAnsi="Arial" w:cs="Arial"/>
        </w:rPr>
        <w:t>C’est pourquoi à l’occasion de l’examen du troisième rapport périodique du Bénin, le Comité des Droits Economiques, Sociaux et Culturels en 2020 était préoccupé par les restrictions au droit de grève introduites par la loi nº 2018-34 modifiant et complétant la loi nº2001-09 portant exercice du droit de grève en République du Bénin. En particulier, le Comité est préoccupé par les conditions de durée, l’interdiction d’exercice du droit de grève à certaines catégories de personnels (douanes, eaux, forêts et chasse, santé, etc.), l’interdiction de la grève de solidarité, et la définition vague du service minimum devant être assuré en cas de grève</w:t>
      </w:r>
      <w:r w:rsidR="00DB10A6" w:rsidRPr="00474A63">
        <w:rPr>
          <w:rFonts w:ascii="Arial" w:hAnsi="Arial" w:cs="Arial"/>
        </w:rPr>
        <w:t xml:space="preserve">. </w:t>
      </w:r>
      <w:r w:rsidR="00AF500F" w:rsidRPr="00474A63">
        <w:rPr>
          <w:rFonts w:ascii="Arial" w:hAnsi="Arial" w:cs="Arial"/>
        </w:rPr>
        <w:t xml:space="preserve">En conséquence, le Comité avait invité l’Etat partie à </w:t>
      </w:r>
      <w:r w:rsidR="00AF500F" w:rsidRPr="00474A63">
        <w:rPr>
          <w:rFonts w:ascii="Arial" w:hAnsi="Arial" w:cs="Arial"/>
          <w:b/>
        </w:rPr>
        <w:t xml:space="preserve">Réviser les catégories de personnels énumérées à l’article 2 nouveau afin que les agents de la fonction publique dont les services ne peuvent raisonnablement être considérés comme essentiels puissent exercer leur droit de grève ; </w:t>
      </w:r>
      <w:r w:rsidR="005453FF" w:rsidRPr="00474A63">
        <w:rPr>
          <w:rFonts w:ascii="Arial" w:hAnsi="Arial" w:cs="Arial"/>
          <w:b/>
        </w:rPr>
        <w:t>é</w:t>
      </w:r>
      <w:r w:rsidR="00AF500F" w:rsidRPr="00474A63">
        <w:rPr>
          <w:rFonts w:ascii="Arial" w:hAnsi="Arial" w:cs="Arial"/>
          <w:b/>
        </w:rPr>
        <w:t>tabli</w:t>
      </w:r>
      <w:r w:rsidR="005453FF" w:rsidRPr="00474A63">
        <w:rPr>
          <w:rFonts w:ascii="Arial" w:hAnsi="Arial" w:cs="Arial"/>
          <w:b/>
        </w:rPr>
        <w:t>r</w:t>
      </w:r>
      <w:r w:rsidR="00AF500F" w:rsidRPr="00474A63">
        <w:rPr>
          <w:rFonts w:ascii="Arial" w:hAnsi="Arial" w:cs="Arial"/>
          <w:b/>
        </w:rPr>
        <w:t xml:space="preserve"> une</w:t>
      </w:r>
      <w:r w:rsidR="00AF500F" w:rsidRPr="00474A63">
        <w:rPr>
          <w:rFonts w:ascii="Arial" w:hAnsi="Arial" w:cs="Arial"/>
          <w:b/>
          <w:bCs/>
        </w:rPr>
        <w:t xml:space="preserve"> liste de services, emplois et catégories de personnel strictement indispensables à la fourniture d’un service minimum en cas de grève dans les services publics ; </w:t>
      </w:r>
      <w:r w:rsidR="005453FF" w:rsidRPr="00474A63">
        <w:rPr>
          <w:rFonts w:ascii="Arial" w:hAnsi="Arial" w:cs="Arial"/>
          <w:b/>
          <w:bCs/>
        </w:rPr>
        <w:t>a</w:t>
      </w:r>
      <w:r w:rsidR="00AF500F" w:rsidRPr="00474A63">
        <w:rPr>
          <w:rFonts w:ascii="Arial" w:hAnsi="Arial" w:cs="Arial"/>
          <w:b/>
          <w:bCs/>
        </w:rPr>
        <w:t>broge</w:t>
      </w:r>
      <w:r w:rsidR="005453FF" w:rsidRPr="00474A63">
        <w:rPr>
          <w:rFonts w:ascii="Arial" w:hAnsi="Arial" w:cs="Arial"/>
          <w:b/>
          <w:bCs/>
        </w:rPr>
        <w:t>r</w:t>
      </w:r>
      <w:r w:rsidR="00AF500F" w:rsidRPr="00474A63">
        <w:rPr>
          <w:rFonts w:ascii="Arial" w:hAnsi="Arial" w:cs="Arial"/>
          <w:b/>
          <w:bCs/>
        </w:rPr>
        <w:t xml:space="preserve"> les dispositions relatives aux conditions de durée qui sont incompatibles à la nature du droit de grève et constituent des restrictions disproportionnées au droit de grève</w:t>
      </w:r>
      <w:r w:rsidR="00457895" w:rsidRPr="00474A63">
        <w:rPr>
          <w:rFonts w:ascii="Arial" w:hAnsi="Arial" w:cs="Arial"/>
          <w:b/>
          <w:bCs/>
        </w:rPr>
        <w:t xml:space="preserve">. </w:t>
      </w:r>
    </w:p>
    <w:p w14:paraId="7BF07C33" w14:textId="1610708E" w:rsidR="00D56DA5" w:rsidRPr="00474A63" w:rsidRDefault="00131F1D" w:rsidP="008216D8">
      <w:pPr>
        <w:spacing w:after="0" w:line="276" w:lineRule="auto"/>
        <w:jc w:val="both"/>
        <w:rPr>
          <w:rFonts w:ascii="Arial" w:hAnsi="Arial" w:cs="Arial"/>
          <w:color w:val="000000"/>
        </w:rPr>
      </w:pPr>
      <w:r w:rsidRPr="00474A63">
        <w:rPr>
          <w:rFonts w:ascii="Arial" w:hAnsi="Arial" w:cs="Arial"/>
          <w:color w:val="000000"/>
        </w:rPr>
        <w:t xml:space="preserve">Assez curieusement, et pour une première fois, cette loi a été sanctionnée par </w:t>
      </w:r>
      <w:r w:rsidRPr="00A55AED">
        <w:rPr>
          <w:rFonts w:ascii="Arial" w:hAnsi="Arial" w:cs="Arial"/>
          <w:color w:val="000000"/>
        </w:rPr>
        <w:t>deux décisions contraires</w:t>
      </w:r>
      <w:r w:rsidR="009068C9" w:rsidRPr="00A55AED">
        <w:rPr>
          <w:rStyle w:val="Appelnotedebasdep"/>
          <w:rFonts w:ascii="Arial" w:hAnsi="Arial" w:cs="Arial"/>
          <w:color w:val="000000"/>
        </w:rPr>
        <w:footnoteReference w:id="15"/>
      </w:r>
      <w:r w:rsidRPr="00A55AED">
        <w:rPr>
          <w:rFonts w:ascii="Arial" w:hAnsi="Arial" w:cs="Arial"/>
          <w:color w:val="000000"/>
        </w:rPr>
        <w:t xml:space="preserve"> de la cour constitutionnelle autrement constituée</w:t>
      </w:r>
      <w:r w:rsidR="00EC5BB8" w:rsidRPr="00A55AED">
        <w:rPr>
          <w:rStyle w:val="Appelnotedebasdep"/>
          <w:rFonts w:ascii="Arial" w:hAnsi="Arial" w:cs="Arial"/>
          <w:color w:val="000000"/>
        </w:rPr>
        <w:footnoteReference w:id="16"/>
      </w:r>
      <w:r w:rsidRPr="002B63E6">
        <w:rPr>
          <w:rFonts w:ascii="Arial" w:hAnsi="Arial" w:cs="Arial"/>
          <w:color w:val="000000"/>
        </w:rPr>
        <w:t>.</w:t>
      </w:r>
    </w:p>
    <w:p w14:paraId="6E0940DB" w14:textId="77777777" w:rsidR="00783EC8" w:rsidRPr="00474A63" w:rsidRDefault="00783EC8" w:rsidP="008216D8">
      <w:pPr>
        <w:spacing w:after="0" w:line="276" w:lineRule="auto"/>
        <w:jc w:val="both"/>
        <w:rPr>
          <w:rFonts w:ascii="Arial" w:hAnsi="Arial" w:cs="Arial"/>
          <w:color w:val="000000"/>
        </w:rPr>
      </w:pPr>
    </w:p>
    <w:p w14:paraId="6D6E92A7" w14:textId="5E54853E" w:rsidR="00E855C6" w:rsidRPr="00E52950" w:rsidRDefault="00714ACF" w:rsidP="00E84CA2">
      <w:pPr>
        <w:pStyle w:val="Titre3"/>
        <w:rPr>
          <w:rFonts w:ascii="Arial" w:hAnsi="Arial" w:cs="Arial"/>
          <w:color w:val="244061" w:themeColor="accent1" w:themeShade="80"/>
        </w:rPr>
      </w:pPr>
      <w:bookmarkStart w:id="29" w:name="_Toc107841234"/>
      <w:r w:rsidRPr="00E52950">
        <w:rPr>
          <w:rFonts w:ascii="Arial" w:hAnsi="Arial" w:cs="Arial"/>
          <w:color w:val="244061" w:themeColor="accent1" w:themeShade="80"/>
        </w:rPr>
        <w:t>iii</w:t>
      </w:r>
      <w:r w:rsidR="00F91681" w:rsidRPr="00E52950">
        <w:rPr>
          <w:rFonts w:ascii="Arial" w:hAnsi="Arial" w:cs="Arial"/>
          <w:color w:val="244061" w:themeColor="accent1" w:themeShade="80"/>
        </w:rPr>
        <w:t xml:space="preserve">) </w:t>
      </w:r>
      <w:r w:rsidR="001D183E" w:rsidRPr="00E52950">
        <w:rPr>
          <w:rFonts w:ascii="Arial" w:hAnsi="Arial" w:cs="Arial"/>
          <w:color w:val="244061" w:themeColor="accent1" w:themeShade="80"/>
        </w:rPr>
        <w:t>Droit</w:t>
      </w:r>
      <w:r w:rsidR="00E855C6" w:rsidRPr="00E52950">
        <w:rPr>
          <w:rFonts w:ascii="Arial" w:hAnsi="Arial" w:cs="Arial"/>
          <w:color w:val="244061" w:themeColor="accent1" w:themeShade="80"/>
        </w:rPr>
        <w:t xml:space="preserve"> à la santé, aux soins médicaux, à la sécurité sociale et aux services sociaux</w:t>
      </w:r>
      <w:bookmarkEnd w:id="29"/>
    </w:p>
    <w:p w14:paraId="069C39D2" w14:textId="77777777" w:rsidR="0021789D" w:rsidRPr="00474A63" w:rsidRDefault="0021789D" w:rsidP="0021789D">
      <w:pPr>
        <w:spacing w:after="0" w:line="276" w:lineRule="auto"/>
        <w:jc w:val="both"/>
        <w:rPr>
          <w:rFonts w:ascii="Arial" w:hAnsi="Arial" w:cs="Arial"/>
          <w:color w:val="000000"/>
        </w:rPr>
      </w:pPr>
      <w:r w:rsidRPr="00474A63">
        <w:rPr>
          <w:rFonts w:ascii="Arial" w:hAnsi="Arial" w:cs="Arial"/>
          <w:color w:val="000000"/>
        </w:rPr>
        <w:t>Plusieurs initiatives ont été prises dans ce cadre depuis 2018. Il s’agit entre autres de l’opérationnalisation du volet Assurance Maladie du projet Assurance pour le Renforcement du Capital Humain (ARCH)</w:t>
      </w:r>
      <w:r w:rsidRPr="00474A63">
        <w:rPr>
          <w:rFonts w:ascii="Arial" w:hAnsi="Arial" w:cs="Arial"/>
          <w:color w:val="000000"/>
          <w:vertAlign w:val="superscript"/>
        </w:rPr>
        <w:footnoteReference w:id="17"/>
      </w:r>
      <w:r w:rsidRPr="00474A63">
        <w:rPr>
          <w:rFonts w:ascii="Arial" w:hAnsi="Arial" w:cs="Arial"/>
          <w:color w:val="000000"/>
        </w:rPr>
        <w:t>, l’adoption du Plan National de Développement Sanitaire 2018-2022 (PNDS)</w:t>
      </w:r>
      <w:r w:rsidRPr="00474A63">
        <w:rPr>
          <w:rFonts w:ascii="Arial" w:hAnsi="Arial" w:cs="Arial"/>
          <w:color w:val="000000"/>
          <w:vertAlign w:val="superscript"/>
        </w:rPr>
        <w:footnoteReference w:id="18"/>
      </w:r>
      <w:r w:rsidRPr="00474A63">
        <w:rPr>
          <w:rFonts w:ascii="Arial" w:hAnsi="Arial" w:cs="Arial"/>
          <w:color w:val="000000"/>
        </w:rPr>
        <w:t xml:space="preserve"> et des plans sectoriels, l’adoption de la loi n° 2020-37 du 03 février 2021 portant protection de la santé des personnes en République du Bénin</w:t>
      </w:r>
      <w:r w:rsidRPr="00474A63">
        <w:rPr>
          <w:rFonts w:ascii="Arial" w:hAnsi="Arial" w:cs="Arial"/>
          <w:color w:val="000000"/>
          <w:vertAlign w:val="superscript"/>
        </w:rPr>
        <w:footnoteReference w:id="19"/>
      </w:r>
      <w:r w:rsidRPr="00474A63">
        <w:rPr>
          <w:rFonts w:ascii="Arial" w:hAnsi="Arial" w:cs="Arial"/>
          <w:color w:val="000000"/>
        </w:rPr>
        <w:t>, prise du décret n°2019-105 du 03 avril 2019 modifiant le décret n°2009-096 du 30 mars 2009 portant création, organisation et fonctionnement de l’Agence National de Gestion de la Gratuité de la Césarienne</w:t>
      </w:r>
      <w:r w:rsidRPr="00474A63">
        <w:rPr>
          <w:rFonts w:ascii="Arial" w:hAnsi="Arial" w:cs="Arial"/>
          <w:color w:val="000000"/>
          <w:vertAlign w:val="superscript"/>
        </w:rPr>
        <w:footnoteReference w:id="20"/>
      </w:r>
      <w:r w:rsidRPr="00474A63">
        <w:rPr>
          <w:rFonts w:ascii="Arial" w:hAnsi="Arial" w:cs="Arial"/>
          <w:color w:val="000000"/>
        </w:rPr>
        <w:t xml:space="preserve">. Des réformes institutionnelles ont été enregistrées à travers la création d’agence et de programmes spécialisés (Agences des infrastructures sanitaires, des </w:t>
      </w:r>
      <w:r w:rsidRPr="00474A63">
        <w:rPr>
          <w:rFonts w:ascii="Arial" w:hAnsi="Arial" w:cs="Arial"/>
          <w:color w:val="000000"/>
        </w:rPr>
        <w:lastRenderedPageBreak/>
        <w:t>équipements et de la maintenance, l’agence nationale de soins de santé primaires, Conseil National de Lutte contre le SIDA, la Tuberculose et le Paludisme et l'hépatite virale …etc.).</w:t>
      </w:r>
    </w:p>
    <w:p w14:paraId="3262E4AA" w14:textId="77777777" w:rsidR="0021789D" w:rsidRPr="00474A63" w:rsidRDefault="0021789D" w:rsidP="0021789D">
      <w:pPr>
        <w:spacing w:after="0" w:line="276" w:lineRule="auto"/>
        <w:jc w:val="both"/>
        <w:rPr>
          <w:rFonts w:ascii="Arial" w:hAnsi="Arial" w:cs="Arial"/>
          <w:color w:val="000000"/>
        </w:rPr>
      </w:pPr>
    </w:p>
    <w:p w14:paraId="16EB0A27" w14:textId="77777777" w:rsidR="0021789D" w:rsidRPr="00474A63" w:rsidRDefault="0021789D" w:rsidP="0021789D">
      <w:pPr>
        <w:spacing w:after="0" w:line="276" w:lineRule="auto"/>
        <w:jc w:val="both"/>
        <w:rPr>
          <w:rFonts w:ascii="Arial" w:hAnsi="Arial" w:cs="Arial"/>
          <w:color w:val="000000"/>
        </w:rPr>
      </w:pPr>
      <w:r w:rsidRPr="00474A63">
        <w:rPr>
          <w:rFonts w:ascii="Arial" w:hAnsi="Arial" w:cs="Arial"/>
          <w:color w:val="000000"/>
        </w:rPr>
        <w:t>Cependant, l’accès universel à la santé peine à être une réalité au Bénin</w:t>
      </w:r>
      <w:r w:rsidRPr="00474A63">
        <w:rPr>
          <w:rFonts w:ascii="Arial" w:hAnsi="Arial" w:cs="Arial"/>
          <w:color w:val="000000"/>
          <w:vertAlign w:val="superscript"/>
        </w:rPr>
        <w:footnoteReference w:id="21"/>
      </w:r>
      <w:r w:rsidRPr="00474A63">
        <w:rPr>
          <w:rFonts w:ascii="Arial" w:hAnsi="Arial" w:cs="Arial"/>
          <w:color w:val="000000"/>
        </w:rPr>
        <w:t xml:space="preserve">, en témoignent quelques indicateurs dont l’Indice de Développement Humain (IDH) : en 2020 en tenant compte des inégalités au niveau des trois dimensions du développement humain (une vie longue et </w:t>
      </w:r>
      <w:r w:rsidRPr="00474A63">
        <w:rPr>
          <w:rFonts w:ascii="Arial" w:hAnsi="Arial" w:cs="Arial"/>
          <w:b/>
          <w:bCs/>
          <w:color w:val="000000"/>
        </w:rPr>
        <w:t>en bonne santé</w:t>
      </w:r>
      <w:r w:rsidRPr="00474A63">
        <w:rPr>
          <w:rFonts w:ascii="Arial" w:hAnsi="Arial" w:cs="Arial"/>
          <w:color w:val="000000"/>
        </w:rPr>
        <w:t>, l’accès à la connaissance et un niveau de vie décent) l’IDH du Bénin descend à 0.343. Les goulots d’étranglement sont remarqués sur plusieurs plans :  en matière de la disponibilité, il est à noter l’inexistence d’infrastructures adéquates en quantité suffisante, la faible prise en compte des besoins spécifiques des personnes handicapées dans la constructions des infrastructures sanitaires, le déficit de personnel qualifié ainsi que des intrants de fonctionnement ; en matière d’accessibilité, des usagers dans certaines localités devront parcourir plus de 35 km pour rendre dans un centre de santé, les services d’accueil et d’orientation des usagers sont inexistants ou dysfonctionnent dans des formations sanitaires dans tous les départements, sans oublier l’accès économiques aux soins de santé qui demeure préoccupant pour les couches vulnérables ; l’inexistence de mécanismes de gestion de plaintes fonctionnels en dit aussi long sur la qualité des soins qui peinent pourtant à satisfaire les usagers.</w:t>
      </w:r>
      <w:r w:rsidRPr="00474A63">
        <w:rPr>
          <w:rFonts w:ascii="Arial" w:hAnsi="Arial" w:cs="Arial"/>
          <w:color w:val="000000"/>
          <w:vertAlign w:val="superscript"/>
        </w:rPr>
        <w:footnoteReference w:id="22"/>
      </w:r>
      <w:r w:rsidRPr="00474A63">
        <w:rPr>
          <w:rFonts w:ascii="Arial" w:hAnsi="Arial" w:cs="Arial"/>
          <w:color w:val="000000"/>
        </w:rPr>
        <w:t xml:space="preserve"> La faible collaboration entre acteurs aux niveaux central et décentralisé en matière de construction des infrastructures sanitaires ainsi que la faible implication des communautés à la base ont produit des infrastructures construites et non équipées et par ricochet non fréquentées. Ces différentes préoccupations sont plus particulièrement accentuées dans les milieux rural et péri-urbain. </w:t>
      </w:r>
    </w:p>
    <w:p w14:paraId="51F13D14" w14:textId="77777777" w:rsidR="0021789D" w:rsidRPr="00474A63" w:rsidRDefault="0021789D" w:rsidP="0021789D">
      <w:pPr>
        <w:spacing w:after="0" w:line="276" w:lineRule="auto"/>
        <w:jc w:val="both"/>
        <w:rPr>
          <w:rFonts w:ascii="Arial" w:hAnsi="Arial" w:cs="Arial"/>
          <w:color w:val="000000"/>
        </w:rPr>
      </w:pPr>
      <w:r w:rsidRPr="00474A63">
        <w:rPr>
          <w:rFonts w:ascii="Arial" w:hAnsi="Arial" w:cs="Arial"/>
          <w:color w:val="000000"/>
        </w:rPr>
        <w:t>Particulièrement en ce qui concerne la gestion du COVID, il est à noter un manque de transparence sur la gestion des fonds mobilisés ainsi qu’un défaut d’accompagnement des enfants orphelins du fait du COVID. Dans un rapport rendu public en mai 2021, intitulé « Gestion des Fonds COVID, l’écart de la responsabilité », l’International Budget Partnership (IBP) indique qu’au Bénin, dans le domaine de la transparence, l’information fournie au grand public est limitée, alors que le niveau de contrôle, celui de la participation et celui de la responsabilité sont minimaux</w:t>
      </w:r>
      <w:r w:rsidRPr="00474A63">
        <w:rPr>
          <w:rFonts w:ascii="Arial" w:hAnsi="Arial" w:cs="Arial"/>
          <w:color w:val="000000"/>
          <w:vertAlign w:val="superscript"/>
        </w:rPr>
        <w:footnoteReference w:id="23"/>
      </w:r>
      <w:r w:rsidRPr="00474A63">
        <w:rPr>
          <w:rFonts w:ascii="Arial" w:hAnsi="Arial" w:cs="Arial"/>
          <w:color w:val="000000"/>
        </w:rPr>
        <w:t>. Aussi, d’après un rapport d’audit de la Cour des Comptes, environ 385 milliards de FCFA de dépenses non justifiées seraient constatées dans la gestion du fonds COVID au Bénin</w:t>
      </w:r>
      <w:r w:rsidRPr="00474A63">
        <w:rPr>
          <w:rFonts w:ascii="Arial" w:hAnsi="Arial" w:cs="Arial"/>
          <w:color w:val="000000"/>
          <w:vertAlign w:val="superscript"/>
        </w:rPr>
        <w:footnoteReference w:id="24"/>
      </w:r>
      <w:r w:rsidRPr="00474A63">
        <w:rPr>
          <w:rFonts w:ascii="Arial" w:hAnsi="Arial" w:cs="Arial"/>
          <w:color w:val="000000"/>
        </w:rPr>
        <w:t xml:space="preserve">.  </w:t>
      </w:r>
    </w:p>
    <w:p w14:paraId="2EC109F9" w14:textId="77777777" w:rsidR="0021789D" w:rsidRPr="00474A63" w:rsidRDefault="0021789D" w:rsidP="0021789D">
      <w:pPr>
        <w:spacing w:after="0" w:line="276" w:lineRule="auto"/>
        <w:jc w:val="both"/>
        <w:rPr>
          <w:rFonts w:ascii="Arial" w:hAnsi="Arial" w:cs="Arial"/>
          <w:color w:val="000000"/>
        </w:rPr>
      </w:pPr>
      <w:r w:rsidRPr="00474A63">
        <w:rPr>
          <w:rFonts w:ascii="Arial" w:hAnsi="Arial" w:cs="Arial"/>
          <w:color w:val="000000"/>
        </w:rPr>
        <w:t>Par ailleurs, le droit béninois fait de l’Autorité de Régulation des Communications Électroniques et de la Poste (ARCEP-Bénin) un organe qui contrôle/veille le (au) respect des valeurs limites d’exposition par les antennes-relais des opérateurs GSM</w:t>
      </w:r>
      <w:r w:rsidRPr="00474A63">
        <w:rPr>
          <w:rFonts w:ascii="Arial" w:hAnsi="Arial" w:cs="Arial"/>
          <w:color w:val="000000"/>
          <w:vertAlign w:val="superscript"/>
        </w:rPr>
        <w:footnoteReference w:id="25"/>
      </w:r>
      <w:r w:rsidRPr="00474A63">
        <w:rPr>
          <w:rFonts w:ascii="Arial" w:hAnsi="Arial" w:cs="Arial"/>
          <w:color w:val="000000"/>
        </w:rPr>
        <w:t>. Or, cette structure de par ses rapports tels qu’ils résultent de sa conception par la loi ne présente pas de garanties d’indépendance vis-à-vis des opérateurs dont elle contrôle le niveau d’émission des équipements</w:t>
      </w:r>
      <w:r w:rsidRPr="00474A63">
        <w:rPr>
          <w:rFonts w:ascii="Arial" w:hAnsi="Arial" w:cs="Arial"/>
          <w:color w:val="000000"/>
          <w:vertAlign w:val="superscript"/>
        </w:rPr>
        <w:footnoteReference w:id="26"/>
      </w:r>
      <w:r w:rsidRPr="00474A63">
        <w:rPr>
          <w:rFonts w:ascii="Arial" w:hAnsi="Arial" w:cs="Arial"/>
          <w:color w:val="000000"/>
        </w:rPr>
        <w:t>. En effet, l’ARCEP est l’organe qui commercialise le domaine public hertzien de l’État béninois</w:t>
      </w:r>
      <w:r w:rsidRPr="00474A63">
        <w:rPr>
          <w:rFonts w:ascii="Arial" w:hAnsi="Arial" w:cs="Arial"/>
          <w:color w:val="000000"/>
          <w:vertAlign w:val="superscript"/>
        </w:rPr>
        <w:footnoteReference w:id="27"/>
      </w:r>
      <w:r w:rsidRPr="00474A63">
        <w:rPr>
          <w:rFonts w:ascii="Arial" w:hAnsi="Arial" w:cs="Arial"/>
          <w:color w:val="000000"/>
        </w:rPr>
        <w:t xml:space="preserve">. À ce titre, elle autorise entre autres les opérateurs GSM à </w:t>
      </w:r>
      <w:r w:rsidRPr="00474A63">
        <w:rPr>
          <w:rFonts w:ascii="Arial" w:hAnsi="Arial" w:cs="Arial"/>
          <w:color w:val="000000"/>
        </w:rPr>
        <w:lastRenderedPageBreak/>
        <w:t>s’installer</w:t>
      </w:r>
      <w:r w:rsidRPr="00474A63">
        <w:rPr>
          <w:rFonts w:ascii="Arial" w:hAnsi="Arial" w:cs="Arial"/>
          <w:color w:val="000000"/>
          <w:vertAlign w:val="superscript"/>
        </w:rPr>
        <w:footnoteReference w:id="28"/>
      </w:r>
      <w:r w:rsidRPr="00474A63">
        <w:rPr>
          <w:rFonts w:ascii="Arial" w:hAnsi="Arial" w:cs="Arial"/>
          <w:color w:val="000000"/>
        </w:rPr>
        <w:t xml:space="preserve">. Mieux, de par la loi ces opérateurs contribuent financièrement au fonctionnement de l’ARCEP (articles 58 et suivants du code du numérique). Il en résulte l’inféodation économique de l’ARCEP de par le fait de la loi à ces opérateurs ; toutes choses qui font qu’elle ne présente pas de garanties d’indépendance pour contrôler efficacement les émissions d’ondes par les antennes GSM des mêmes opérateurs qui concourent financièrement à son fonctionnement. Cette situation est affaiblissante en ce qui concerne la protection des personnes contre les effets des radiofréquences dans un contexte où en dépit de la réforme des recommandations de la CIPRNI la problématique des effets liés à l’exposition aux radiations artificielles demeure entière et la communauté scientifique plus que jamais divisée. </w:t>
      </w:r>
    </w:p>
    <w:p w14:paraId="3EA869E7" w14:textId="77777777" w:rsidR="0021789D" w:rsidRPr="00474A63" w:rsidRDefault="0021789D" w:rsidP="0021789D">
      <w:pPr>
        <w:spacing w:after="0" w:line="276" w:lineRule="auto"/>
        <w:jc w:val="both"/>
        <w:rPr>
          <w:rFonts w:ascii="Arial" w:hAnsi="Arial" w:cs="Arial"/>
          <w:color w:val="000000"/>
        </w:rPr>
      </w:pPr>
    </w:p>
    <w:p w14:paraId="5DF39197" w14:textId="77777777" w:rsidR="0021789D" w:rsidRPr="00474A63" w:rsidRDefault="0021789D" w:rsidP="0021789D">
      <w:pPr>
        <w:spacing w:after="0" w:line="276" w:lineRule="auto"/>
        <w:jc w:val="both"/>
        <w:rPr>
          <w:rFonts w:ascii="Arial" w:hAnsi="Arial" w:cs="Arial"/>
          <w:color w:val="000000"/>
        </w:rPr>
      </w:pPr>
      <w:r w:rsidRPr="00474A63">
        <w:rPr>
          <w:rFonts w:ascii="Arial" w:hAnsi="Arial" w:cs="Arial"/>
          <w:color w:val="000000"/>
        </w:rPr>
        <w:t>Aussi, on note l’inexistence de la Commission interdisciplinaire ‘’ rayonnements non ionisants et santé ‘’ prévue pourtant par la réglementation</w:t>
      </w:r>
      <w:r w:rsidRPr="00474A63">
        <w:rPr>
          <w:rFonts w:ascii="Arial" w:hAnsi="Arial" w:cs="Arial"/>
          <w:color w:val="000000"/>
          <w:vertAlign w:val="superscript"/>
        </w:rPr>
        <w:footnoteReference w:id="29"/>
      </w:r>
      <w:r w:rsidRPr="00474A63">
        <w:rPr>
          <w:rFonts w:ascii="Arial" w:hAnsi="Arial" w:cs="Arial"/>
          <w:color w:val="000000"/>
        </w:rPr>
        <w:t xml:space="preserve"> a priori à titre d’organe d’évaluation des risques. Les OSC sont également préoccupées par l’absence de sensibilisation réelle de la population sur ce que les technologies ont des émanations invisibles avec un potentiel toxique, sur les précautions à prendre dans la consommation des technologies pour réduire son exposition aux ondes</w:t>
      </w:r>
      <w:r w:rsidRPr="00474A63">
        <w:rPr>
          <w:rFonts w:ascii="Arial" w:hAnsi="Arial" w:cs="Arial"/>
          <w:color w:val="000000"/>
          <w:vertAlign w:val="superscript"/>
        </w:rPr>
        <w:footnoteReference w:id="30"/>
      </w:r>
      <w:r w:rsidRPr="00474A63">
        <w:rPr>
          <w:rFonts w:ascii="Arial" w:hAnsi="Arial" w:cs="Arial"/>
          <w:color w:val="000000"/>
        </w:rPr>
        <w:t>.</w:t>
      </w:r>
    </w:p>
    <w:p w14:paraId="6425436B" w14:textId="77777777" w:rsidR="0021789D" w:rsidRPr="00474A63" w:rsidRDefault="0021789D" w:rsidP="0021789D">
      <w:pPr>
        <w:spacing w:after="0" w:line="276" w:lineRule="auto"/>
        <w:jc w:val="both"/>
        <w:rPr>
          <w:rFonts w:ascii="Arial" w:hAnsi="Arial" w:cs="Arial"/>
          <w:color w:val="000000"/>
        </w:rPr>
      </w:pPr>
    </w:p>
    <w:p w14:paraId="5EE22D2D" w14:textId="77777777" w:rsidR="0021789D" w:rsidRPr="00474A63" w:rsidRDefault="0021789D" w:rsidP="0021789D">
      <w:pPr>
        <w:spacing w:after="0" w:line="276" w:lineRule="auto"/>
        <w:jc w:val="both"/>
        <w:rPr>
          <w:rFonts w:ascii="Arial" w:hAnsi="Arial" w:cs="Arial"/>
          <w:color w:val="000000"/>
        </w:rPr>
      </w:pPr>
      <w:r w:rsidRPr="00474A63">
        <w:rPr>
          <w:rFonts w:ascii="Arial" w:hAnsi="Arial" w:cs="Arial"/>
          <w:color w:val="000000"/>
        </w:rPr>
        <w:t xml:space="preserve">Ce contexte entraine des lacunes dans la réalisation du droit à la santé qu’il est nécessaire de veiller à ce que les interventions en cours et celles futures abordent de manière coordonnée et holistique l’ensemble des critères d’effectivité du droit à la santé, à savoir la disponibilité, l’accessibilité, l’acceptabilité et l’adaptabilité des services de santé tels que commande une approche fondée sur les droits humains. </w:t>
      </w:r>
    </w:p>
    <w:p w14:paraId="49B4F832" w14:textId="77777777" w:rsidR="001779ED" w:rsidRPr="00474A63" w:rsidRDefault="001779ED" w:rsidP="008216D8">
      <w:pPr>
        <w:spacing w:after="0" w:line="276" w:lineRule="auto"/>
        <w:jc w:val="both"/>
        <w:rPr>
          <w:rFonts w:ascii="Arial" w:hAnsi="Arial" w:cs="Arial"/>
          <w:color w:val="000000"/>
        </w:rPr>
      </w:pPr>
    </w:p>
    <w:p w14:paraId="3EA28150" w14:textId="77777777" w:rsidR="001779ED" w:rsidRPr="00474A63" w:rsidRDefault="001779ED" w:rsidP="008216D8">
      <w:pPr>
        <w:spacing w:after="0" w:line="276" w:lineRule="auto"/>
        <w:jc w:val="both"/>
        <w:rPr>
          <w:rFonts w:ascii="Arial" w:hAnsi="Arial" w:cs="Arial"/>
          <w:color w:val="000000"/>
        </w:rPr>
      </w:pPr>
    </w:p>
    <w:p w14:paraId="7B47AA28" w14:textId="77777777" w:rsidR="001779ED" w:rsidRPr="00474A63" w:rsidRDefault="001779ED" w:rsidP="008216D8">
      <w:pPr>
        <w:spacing w:after="0" w:line="276" w:lineRule="auto"/>
        <w:jc w:val="both"/>
        <w:rPr>
          <w:rFonts w:ascii="Arial" w:hAnsi="Arial" w:cs="Arial"/>
          <w:color w:val="000000"/>
        </w:rPr>
      </w:pPr>
    </w:p>
    <w:p w14:paraId="373B1F02" w14:textId="71A8AD4D" w:rsidR="00E855C6" w:rsidRPr="00E52950" w:rsidRDefault="00714ACF" w:rsidP="00E84CA2">
      <w:pPr>
        <w:pStyle w:val="Titre3"/>
        <w:rPr>
          <w:rFonts w:ascii="Arial" w:hAnsi="Arial" w:cs="Arial"/>
          <w:color w:val="244061" w:themeColor="accent1" w:themeShade="80"/>
        </w:rPr>
      </w:pPr>
      <w:bookmarkStart w:id="30" w:name="_Toc107841235"/>
      <w:r w:rsidRPr="00E52950">
        <w:rPr>
          <w:rFonts w:ascii="Arial" w:hAnsi="Arial" w:cs="Arial"/>
          <w:color w:val="244061" w:themeColor="accent1" w:themeShade="80"/>
        </w:rPr>
        <w:t>iv</w:t>
      </w:r>
      <w:r w:rsidR="00635986" w:rsidRPr="00E52950">
        <w:rPr>
          <w:rFonts w:ascii="Arial" w:hAnsi="Arial" w:cs="Arial"/>
          <w:color w:val="244061" w:themeColor="accent1" w:themeShade="80"/>
        </w:rPr>
        <w:t xml:space="preserve">) </w:t>
      </w:r>
      <w:r w:rsidR="00E855C6" w:rsidRPr="00E52950">
        <w:rPr>
          <w:rFonts w:ascii="Arial" w:hAnsi="Arial" w:cs="Arial"/>
          <w:color w:val="244061" w:themeColor="accent1" w:themeShade="80"/>
        </w:rPr>
        <w:t>Droit à l’éducation et à la formation professionnelle</w:t>
      </w:r>
      <w:bookmarkEnd w:id="30"/>
    </w:p>
    <w:p w14:paraId="092771B4" w14:textId="77777777" w:rsidR="00450792" w:rsidRPr="00E52950" w:rsidRDefault="00450792" w:rsidP="008216D8">
      <w:pPr>
        <w:autoSpaceDE w:val="0"/>
        <w:autoSpaceDN w:val="0"/>
        <w:adjustRightInd w:val="0"/>
        <w:spacing w:after="0" w:line="276" w:lineRule="auto"/>
        <w:jc w:val="both"/>
        <w:rPr>
          <w:rFonts w:ascii="Arial" w:eastAsiaTheme="minorHAnsi" w:hAnsi="Arial" w:cs="Arial"/>
          <w:b/>
          <w:color w:val="244061" w:themeColor="accent1" w:themeShade="80"/>
          <w:lang w:val="uz-Cyrl-UZ" w:eastAsia="en-US"/>
        </w:rPr>
      </w:pPr>
    </w:p>
    <w:p w14:paraId="21F48B3B" w14:textId="7CCCD286" w:rsidR="0021789D" w:rsidRPr="00474A63" w:rsidRDefault="002D532F" w:rsidP="00DD0D29">
      <w:pPr>
        <w:spacing w:line="276" w:lineRule="auto"/>
        <w:jc w:val="both"/>
        <w:rPr>
          <w:rFonts w:ascii="Arial" w:hAnsi="Arial" w:cs="Arial"/>
          <w:bCs/>
          <w:color w:val="000000" w:themeColor="text1"/>
        </w:rPr>
      </w:pPr>
      <w:r>
        <w:rPr>
          <w:rFonts w:ascii="Arial" w:hAnsi="Arial" w:cs="Arial"/>
          <w:color w:val="000000" w:themeColor="text1"/>
        </w:rPr>
        <w:t>L</w:t>
      </w:r>
      <w:r w:rsidR="0021789D" w:rsidRPr="00474A63">
        <w:rPr>
          <w:rFonts w:ascii="Arial" w:hAnsi="Arial" w:cs="Arial"/>
          <w:color w:val="000000" w:themeColor="text1"/>
        </w:rPr>
        <w:t xml:space="preserve">e Bénin </w:t>
      </w:r>
      <w:r w:rsidR="00DD0D29" w:rsidRPr="00474A63">
        <w:rPr>
          <w:rFonts w:ascii="Arial" w:hAnsi="Arial" w:cs="Arial"/>
          <w:color w:val="000000" w:themeColor="text1"/>
        </w:rPr>
        <w:t>a</w:t>
      </w:r>
      <w:r w:rsidR="0021789D" w:rsidRPr="00474A63">
        <w:rPr>
          <w:rFonts w:ascii="Arial" w:hAnsi="Arial" w:cs="Arial"/>
          <w:color w:val="000000" w:themeColor="text1"/>
        </w:rPr>
        <w:t xml:space="preserve"> poursuivi l’opérationnalisation de certaines mesures et mis en place d’autres. Il s’agit notamment de l’adoption du plan sectoriel de l’éducation 2018-2030 du Bénin,  des cantines scolaires</w:t>
      </w:r>
      <w:r w:rsidR="0021789D" w:rsidRPr="00474A63">
        <w:rPr>
          <w:rStyle w:val="Appelnotedebasdep"/>
          <w:rFonts w:ascii="Arial" w:hAnsi="Arial" w:cs="Arial"/>
          <w:color w:val="000000" w:themeColor="text1"/>
        </w:rPr>
        <w:footnoteReference w:id="31"/>
      </w:r>
      <w:r w:rsidR="0021789D" w:rsidRPr="00474A63">
        <w:rPr>
          <w:rFonts w:ascii="Arial" w:hAnsi="Arial" w:cs="Arial"/>
          <w:color w:val="000000" w:themeColor="text1"/>
        </w:rPr>
        <w:t>, de la couverture de la gratuité jusqu’au premier cycle du collège pour les filles</w:t>
      </w:r>
      <w:r w:rsidR="0021789D" w:rsidRPr="00474A63">
        <w:rPr>
          <w:rStyle w:val="Appelnotedebasdep"/>
          <w:rFonts w:ascii="Arial" w:hAnsi="Arial" w:cs="Arial"/>
          <w:color w:val="000000" w:themeColor="text1"/>
        </w:rPr>
        <w:footnoteReference w:id="32"/>
      </w:r>
      <w:r w:rsidR="0021789D" w:rsidRPr="00474A63">
        <w:rPr>
          <w:rFonts w:ascii="Arial" w:hAnsi="Arial" w:cs="Arial"/>
          <w:color w:val="000000" w:themeColor="text1"/>
        </w:rPr>
        <w:t xml:space="preserve">, la promotion de l’éducation inclusive avec la construction des infrastructures sexospécifiques et adaptées aux personnes handicapées dans certaines écoles, </w:t>
      </w:r>
      <w:r w:rsidR="0021789D" w:rsidRPr="00474A63">
        <w:rPr>
          <w:rFonts w:ascii="Arial" w:hAnsi="Arial" w:cs="Arial"/>
          <w:bCs/>
          <w:color w:val="000000" w:themeColor="text1"/>
        </w:rPr>
        <w:t xml:space="preserve">l’appui en kits scolaire, sanitaire et nutritionnels aux couches vulnérables par le biais des centres de promotions sociales, création de quelques centres d’alphabétisation. On note également l’installation </w:t>
      </w:r>
      <w:r w:rsidR="0021789D" w:rsidRPr="00474A63">
        <w:rPr>
          <w:rFonts w:ascii="Arial" w:hAnsi="Arial" w:cs="Arial"/>
          <w:color w:val="000000"/>
          <w:shd w:val="clear" w:color="auto" w:fill="FFFFFF"/>
        </w:rPr>
        <w:t>en janvier 2020 des membres du Conseil National de l’Éducation</w:t>
      </w:r>
      <w:r w:rsidR="0021789D" w:rsidRPr="00474A63">
        <w:rPr>
          <w:rStyle w:val="Appelnotedebasdep"/>
          <w:rFonts w:ascii="Arial" w:hAnsi="Arial" w:cs="Arial"/>
          <w:color w:val="000000"/>
          <w:shd w:val="clear" w:color="auto" w:fill="FFFFFF"/>
        </w:rPr>
        <w:footnoteReference w:id="33"/>
      </w:r>
      <w:r w:rsidR="0021789D" w:rsidRPr="00474A63">
        <w:rPr>
          <w:rFonts w:ascii="Arial" w:hAnsi="Arial" w:cs="Arial"/>
          <w:color w:val="000000"/>
          <w:shd w:val="clear" w:color="auto" w:fill="FFFFFF"/>
        </w:rPr>
        <w:t xml:space="preserve">. </w:t>
      </w:r>
    </w:p>
    <w:p w14:paraId="0EF66C1C" w14:textId="77777777" w:rsidR="0021789D" w:rsidRPr="00474A63" w:rsidRDefault="0021789D" w:rsidP="00DD0D29">
      <w:pPr>
        <w:spacing w:line="276" w:lineRule="auto"/>
        <w:jc w:val="both"/>
        <w:rPr>
          <w:rFonts w:ascii="Arial" w:hAnsi="Arial" w:cs="Arial"/>
          <w:bCs/>
          <w:color w:val="000000" w:themeColor="text1"/>
        </w:rPr>
      </w:pPr>
      <w:r w:rsidRPr="00474A63">
        <w:rPr>
          <w:rFonts w:ascii="Arial" w:hAnsi="Arial" w:cs="Arial"/>
          <w:bCs/>
          <w:color w:val="000000" w:themeColor="text1"/>
        </w:rPr>
        <w:lastRenderedPageBreak/>
        <w:t xml:space="preserve">L’opérationnalisation de ces initiatives montre toutefois des failles. En effet, le système d’enseignement public est à l’épreuve de plusieurs défis qui touchent particulièrement l’enseignement de base, même si le Bénin s’est engagé depuis 2015 à assurer </w:t>
      </w:r>
      <w:r w:rsidRPr="00474A63">
        <w:rPr>
          <w:rFonts w:ascii="Arial" w:hAnsi="Arial" w:cs="Arial"/>
        </w:rPr>
        <w:t>douze années d’enseignements primaire et secondaire de qualité, gratuit et équitable, financé sur fonds publics</w:t>
      </w:r>
      <w:r w:rsidRPr="00474A63">
        <w:rPr>
          <w:rStyle w:val="Appelnotedebasdep"/>
          <w:rFonts w:ascii="Arial" w:hAnsi="Arial" w:cs="Arial"/>
        </w:rPr>
        <w:footnoteReference w:id="34"/>
      </w:r>
      <w:r w:rsidRPr="00474A63">
        <w:rPr>
          <w:rFonts w:ascii="Arial" w:hAnsi="Arial" w:cs="Arial"/>
          <w:bCs/>
          <w:color w:val="000000" w:themeColor="text1"/>
        </w:rPr>
        <w:t xml:space="preserve">. Il s’agit entre autres des faibles dotations en infrastructures et équipements scolaires et du défaut de réhabilitation des anciennes constructions, ainsi que des infrastructures sans eau potable et électricité. La question de la sécurité des enfants à l’école se pose plus particulièrement du fait du défaut de clôture de certains établissements, notamment maternels et primaires. Sur un échantillon de </w:t>
      </w:r>
      <w:r w:rsidRPr="00474A63">
        <w:rPr>
          <w:rFonts w:ascii="Arial" w:hAnsi="Arial" w:cs="Arial"/>
        </w:rPr>
        <w:t>1034 écoles primaires et 78 écoles maternelles réparties sur 11 départements du Bénin</w:t>
      </w:r>
      <w:r w:rsidRPr="00474A63">
        <w:rPr>
          <w:rFonts w:ascii="Arial" w:hAnsi="Arial" w:cs="Arial"/>
          <w:bCs/>
          <w:color w:val="000000" w:themeColor="text1"/>
        </w:rPr>
        <w:t xml:space="preserve"> parcourus en 2020 dans le cadre de l’élaboration d’une revue alternative sur le droit à l’éducation, plus 80% de disposaient pas de clôture. Ce document met également en lumière les disparités entre le milieu rural et le milieu urbain en termes de couvertures en infrastructures scolaires, l’insuffisance d’intrants de fonctionnement (les intrants prévus par les normes de l’École de Qualité Fondamentale adoptées par le Bénin), de l’insuffisance d’enseignants qualifiés, certains dysfonctionnements constatés dans l’animation des cantines scolaires relatifs au manque d’intrants de fonctionnement.</w:t>
      </w:r>
      <w:r w:rsidRPr="00474A63">
        <w:rPr>
          <w:rStyle w:val="Appelnotedebasdep"/>
          <w:rFonts w:ascii="Arial" w:hAnsi="Arial" w:cs="Arial"/>
          <w:color w:val="000000" w:themeColor="text1"/>
        </w:rPr>
        <w:footnoteReference w:id="35"/>
      </w:r>
      <w:r w:rsidRPr="00474A63">
        <w:rPr>
          <w:rFonts w:ascii="Arial" w:hAnsi="Arial" w:cs="Arial"/>
          <w:bCs/>
          <w:color w:val="000000" w:themeColor="text1"/>
        </w:rPr>
        <w:t xml:space="preserve"> </w:t>
      </w:r>
    </w:p>
    <w:p w14:paraId="359FD668" w14:textId="77777777" w:rsidR="0021789D" w:rsidRPr="00474A63" w:rsidRDefault="0021789D" w:rsidP="00DD0D29">
      <w:pPr>
        <w:spacing w:line="276" w:lineRule="auto"/>
        <w:jc w:val="both"/>
        <w:rPr>
          <w:rFonts w:ascii="Arial" w:hAnsi="Arial" w:cs="Arial"/>
          <w:bCs/>
          <w:color w:val="000000" w:themeColor="text1"/>
        </w:rPr>
      </w:pPr>
      <w:r w:rsidRPr="00474A63">
        <w:rPr>
          <w:rFonts w:ascii="Arial" w:hAnsi="Arial" w:cs="Arial"/>
          <w:bCs/>
          <w:color w:val="000000" w:themeColor="text1"/>
        </w:rPr>
        <w:t>Les mécanismes de redevabilité devant servir de cadre de dialogue entre détenteurs de droits et débiteurs d’obligations en vue d’améliorer la qualité de l’enseignement sont inexistants dans certains ordres d’enseignement. Seul le Ministère des Enseignements Maternel et Primaire a mis en place par notes en mars 2021 des cadres de concertations départementaux, sur les trois ordres d’enseignements. Même au niveau de ce ministère il faudra relever défi d’intégrer le niveau national et le niveau communal en impliquant les autorités décentralisées qui partagent certaines compétences avec le ministère notamment en matière d’infrastructures scolaires.</w:t>
      </w:r>
    </w:p>
    <w:p w14:paraId="42176955" w14:textId="77777777" w:rsidR="0021789D" w:rsidRPr="00474A63" w:rsidRDefault="0021789D" w:rsidP="00DD0D29">
      <w:pPr>
        <w:spacing w:line="276" w:lineRule="auto"/>
        <w:jc w:val="both"/>
        <w:rPr>
          <w:rFonts w:ascii="Arial" w:hAnsi="Arial" w:cs="Arial"/>
          <w:bCs/>
          <w:color w:val="000000" w:themeColor="text1"/>
        </w:rPr>
      </w:pPr>
      <w:r w:rsidRPr="00474A63">
        <w:rPr>
          <w:rFonts w:ascii="Arial" w:hAnsi="Arial" w:cs="Arial"/>
          <w:bCs/>
          <w:color w:val="000000" w:themeColor="text1"/>
        </w:rPr>
        <w:t xml:space="preserve">Par ailleurs, le privé reste encore largement sollicité tant en milieu rural qu’en milieu urbain par une grande majorité de la population qui décrit la qualité de l’enseignement public. Ceci encourage le phénomène de la marchandisation de l’éducation, qui accentue les inégalités en matière d’accès à l’éducation. </w:t>
      </w:r>
    </w:p>
    <w:p w14:paraId="4142AEAD" w14:textId="77777777" w:rsidR="0021789D" w:rsidRPr="00474A63" w:rsidRDefault="0021789D" w:rsidP="00DD0D29">
      <w:pPr>
        <w:spacing w:line="276" w:lineRule="auto"/>
        <w:jc w:val="both"/>
        <w:rPr>
          <w:rFonts w:ascii="Arial" w:hAnsi="Arial" w:cs="Arial"/>
          <w:bCs/>
          <w:color w:val="000000" w:themeColor="text1"/>
        </w:rPr>
      </w:pPr>
      <w:r w:rsidRPr="00474A63">
        <w:rPr>
          <w:rFonts w:ascii="Arial" w:hAnsi="Arial" w:cs="Arial"/>
          <w:bCs/>
          <w:color w:val="000000" w:themeColor="text1"/>
        </w:rPr>
        <w:t xml:space="preserve">En ce qui concerne l’éducation aux droits humains, le Bénin peine à mettre en place une stratégie à cette fin. </w:t>
      </w:r>
    </w:p>
    <w:p w14:paraId="4DB3EC6D" w14:textId="77777777" w:rsidR="0021789D" w:rsidRPr="00474A63" w:rsidRDefault="0021789D" w:rsidP="00DD0D29">
      <w:pPr>
        <w:spacing w:line="276" w:lineRule="auto"/>
        <w:jc w:val="both"/>
        <w:rPr>
          <w:rFonts w:ascii="Arial" w:hAnsi="Arial" w:cs="Arial"/>
          <w:color w:val="000000" w:themeColor="text1"/>
        </w:rPr>
      </w:pPr>
      <w:r w:rsidRPr="00474A63">
        <w:rPr>
          <w:rFonts w:ascii="Arial" w:hAnsi="Arial" w:cs="Arial"/>
          <w:color w:val="000000" w:themeColor="text1"/>
        </w:rPr>
        <w:t xml:space="preserve">Toutes ces difficultés qui freinent encore la jouissance effective du droit à l’éducation au Bénin devront être traitées de manière inclusive avec les parties prenantes du secteur afin de garantir la disponibilité, l’accessibilité et l’acceptabilité de l’éducation à tous. </w:t>
      </w:r>
    </w:p>
    <w:p w14:paraId="1B24A557" w14:textId="77777777" w:rsidR="0021789D" w:rsidRPr="00474A63" w:rsidRDefault="0021789D" w:rsidP="008216D8">
      <w:pPr>
        <w:autoSpaceDE w:val="0"/>
        <w:autoSpaceDN w:val="0"/>
        <w:adjustRightInd w:val="0"/>
        <w:spacing w:after="0" w:line="276" w:lineRule="auto"/>
        <w:jc w:val="both"/>
        <w:rPr>
          <w:rFonts w:ascii="Arial" w:eastAsiaTheme="minorHAnsi" w:hAnsi="Arial" w:cs="Arial"/>
          <w:lang w:val="uz-Cyrl-UZ" w:eastAsia="en-US"/>
        </w:rPr>
      </w:pPr>
    </w:p>
    <w:p w14:paraId="67E7C468" w14:textId="77777777" w:rsidR="0021789D" w:rsidRPr="00474A63" w:rsidRDefault="0021789D" w:rsidP="008216D8">
      <w:pPr>
        <w:autoSpaceDE w:val="0"/>
        <w:autoSpaceDN w:val="0"/>
        <w:adjustRightInd w:val="0"/>
        <w:spacing w:after="0" w:line="276" w:lineRule="auto"/>
        <w:jc w:val="both"/>
        <w:rPr>
          <w:rFonts w:ascii="Arial" w:eastAsiaTheme="minorHAnsi" w:hAnsi="Arial" w:cs="Arial"/>
          <w:lang w:val="uz-Cyrl-UZ" w:eastAsia="en-US"/>
        </w:rPr>
      </w:pPr>
    </w:p>
    <w:p w14:paraId="4166C6C3" w14:textId="77777777" w:rsidR="0021789D" w:rsidRPr="00474A63" w:rsidRDefault="0021789D" w:rsidP="008216D8">
      <w:pPr>
        <w:autoSpaceDE w:val="0"/>
        <w:autoSpaceDN w:val="0"/>
        <w:adjustRightInd w:val="0"/>
        <w:spacing w:after="0" w:line="276" w:lineRule="auto"/>
        <w:jc w:val="both"/>
        <w:rPr>
          <w:rFonts w:ascii="Arial" w:eastAsiaTheme="minorHAnsi" w:hAnsi="Arial" w:cs="Arial"/>
          <w:lang w:val="uz-Cyrl-UZ" w:eastAsia="en-US"/>
        </w:rPr>
      </w:pPr>
    </w:p>
    <w:p w14:paraId="1EE3FFC8" w14:textId="77777777" w:rsidR="0021789D" w:rsidRDefault="0021789D" w:rsidP="008216D8">
      <w:pPr>
        <w:autoSpaceDE w:val="0"/>
        <w:autoSpaceDN w:val="0"/>
        <w:adjustRightInd w:val="0"/>
        <w:spacing w:after="0" w:line="276" w:lineRule="auto"/>
        <w:jc w:val="both"/>
        <w:rPr>
          <w:rFonts w:ascii="Arial" w:eastAsiaTheme="minorHAnsi" w:hAnsi="Arial" w:cs="Arial"/>
          <w:lang w:val="uz-Cyrl-UZ" w:eastAsia="en-US"/>
        </w:rPr>
      </w:pPr>
    </w:p>
    <w:p w14:paraId="4C55D5DE" w14:textId="77777777" w:rsidR="00474A63" w:rsidRDefault="00474A63" w:rsidP="008216D8">
      <w:pPr>
        <w:autoSpaceDE w:val="0"/>
        <w:autoSpaceDN w:val="0"/>
        <w:adjustRightInd w:val="0"/>
        <w:spacing w:after="0" w:line="276" w:lineRule="auto"/>
        <w:jc w:val="both"/>
        <w:rPr>
          <w:rFonts w:ascii="Arial" w:eastAsiaTheme="minorHAnsi" w:hAnsi="Arial" w:cs="Arial"/>
          <w:lang w:val="uz-Cyrl-UZ" w:eastAsia="en-US"/>
        </w:rPr>
      </w:pPr>
    </w:p>
    <w:p w14:paraId="13FA759A" w14:textId="77777777" w:rsidR="00474A63" w:rsidRDefault="00474A63" w:rsidP="008216D8">
      <w:pPr>
        <w:autoSpaceDE w:val="0"/>
        <w:autoSpaceDN w:val="0"/>
        <w:adjustRightInd w:val="0"/>
        <w:spacing w:after="0" w:line="276" w:lineRule="auto"/>
        <w:jc w:val="both"/>
        <w:rPr>
          <w:rFonts w:ascii="Arial" w:eastAsiaTheme="minorHAnsi" w:hAnsi="Arial" w:cs="Arial"/>
          <w:lang w:val="uz-Cyrl-UZ" w:eastAsia="en-US"/>
        </w:rPr>
      </w:pPr>
    </w:p>
    <w:p w14:paraId="0A7E4128" w14:textId="77777777" w:rsidR="00474A63" w:rsidRDefault="00474A63" w:rsidP="008216D8">
      <w:pPr>
        <w:autoSpaceDE w:val="0"/>
        <w:autoSpaceDN w:val="0"/>
        <w:adjustRightInd w:val="0"/>
        <w:spacing w:after="0" w:line="276" w:lineRule="auto"/>
        <w:jc w:val="both"/>
        <w:rPr>
          <w:rFonts w:ascii="Arial" w:eastAsiaTheme="minorHAnsi" w:hAnsi="Arial" w:cs="Arial"/>
          <w:lang w:val="uz-Cyrl-UZ" w:eastAsia="en-US"/>
        </w:rPr>
      </w:pPr>
    </w:p>
    <w:p w14:paraId="28965574" w14:textId="77777777" w:rsidR="00474A63" w:rsidRDefault="00474A63" w:rsidP="008216D8">
      <w:pPr>
        <w:autoSpaceDE w:val="0"/>
        <w:autoSpaceDN w:val="0"/>
        <w:adjustRightInd w:val="0"/>
        <w:spacing w:after="0" w:line="276" w:lineRule="auto"/>
        <w:jc w:val="both"/>
        <w:rPr>
          <w:rFonts w:ascii="Arial" w:eastAsiaTheme="minorHAnsi" w:hAnsi="Arial" w:cs="Arial"/>
          <w:lang w:val="uz-Cyrl-UZ" w:eastAsia="en-US"/>
        </w:rPr>
      </w:pPr>
    </w:p>
    <w:p w14:paraId="44A20F2B" w14:textId="27F3AF8A" w:rsidR="004E4CCE" w:rsidRPr="00474A63" w:rsidRDefault="00E84CA2" w:rsidP="00E84CA2">
      <w:pPr>
        <w:pStyle w:val="Titre1"/>
        <w:jc w:val="center"/>
        <w:rPr>
          <w:rFonts w:ascii="Arial" w:hAnsi="Arial" w:cs="Arial"/>
          <w:color w:val="000000"/>
        </w:rPr>
      </w:pPr>
      <w:bookmarkStart w:id="31" w:name="_Toc107841236"/>
      <w:r w:rsidRPr="00474A63">
        <w:rPr>
          <w:rFonts w:ascii="Arial" w:hAnsi="Arial" w:cs="Arial"/>
          <w:noProof/>
          <w:color w:val="000000"/>
        </w:rPr>
        <mc:AlternateContent>
          <mc:Choice Requires="wps">
            <w:drawing>
              <wp:anchor distT="0" distB="0" distL="114300" distR="114300" simplePos="0" relativeHeight="251674112" behindDoc="0" locked="0" layoutInCell="1" allowOverlap="1" wp14:anchorId="52C744D2" wp14:editId="283815F4">
                <wp:simplePos x="0" y="0"/>
                <wp:positionH relativeFrom="margin">
                  <wp:posOffset>195580</wp:posOffset>
                </wp:positionH>
                <wp:positionV relativeFrom="paragraph">
                  <wp:posOffset>178435</wp:posOffset>
                </wp:positionV>
                <wp:extent cx="5553075" cy="504825"/>
                <wp:effectExtent l="57150" t="57150" r="66675" b="66675"/>
                <wp:wrapNone/>
                <wp:docPr id="7" name="Rectangle 7"/>
                <wp:cNvGraphicFramePr/>
                <a:graphic xmlns:a="http://schemas.openxmlformats.org/drawingml/2006/main">
                  <a:graphicData uri="http://schemas.microsoft.com/office/word/2010/wordprocessingShape">
                    <wps:wsp>
                      <wps:cNvSpPr/>
                      <wps:spPr>
                        <a:xfrm>
                          <a:off x="0" y="0"/>
                          <a:ext cx="5553075" cy="504825"/>
                        </a:xfrm>
                        <a:prstGeom prst="rect">
                          <a:avLst/>
                        </a:prstGeom>
                        <a:scene3d>
                          <a:camera prst="orthographicFront"/>
                          <a:lightRig rig="threePt" dir="t"/>
                        </a:scene3d>
                        <a:sp3d>
                          <a:bevelT prst="convex"/>
                        </a:sp3d>
                      </wps:spPr>
                      <wps:style>
                        <a:lnRef idx="2">
                          <a:schemeClr val="accent1">
                            <a:shade val="50000"/>
                          </a:schemeClr>
                        </a:lnRef>
                        <a:fillRef idx="1">
                          <a:schemeClr val="accent1"/>
                        </a:fillRef>
                        <a:effectRef idx="0">
                          <a:schemeClr val="accent1"/>
                        </a:effectRef>
                        <a:fontRef idx="minor">
                          <a:schemeClr val="lt1"/>
                        </a:fontRef>
                      </wps:style>
                      <wps:txbx>
                        <w:txbxContent>
                          <w:p w14:paraId="0714AD69" w14:textId="34E9054F" w:rsidR="00C800FB" w:rsidRPr="00336332" w:rsidRDefault="00C800FB" w:rsidP="00A55AED">
                            <w:pPr>
                              <w:jc w:val="center"/>
                              <w:rPr>
                                <w:b/>
                              </w:rPr>
                            </w:pPr>
                            <w:r w:rsidRPr="00E855C6">
                              <w:rPr>
                                <w:rFonts w:ascii="Arial" w:hAnsi="Arial" w:cs="Arial"/>
                                <w:b/>
                                <w:sz w:val="28"/>
                                <w:szCs w:val="28"/>
                              </w:rPr>
                              <w:t>Article 6 : Droits des victimes à des recours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744D2" id="Rectangle 7" o:spid="_x0000_s1028" style="position:absolute;left:0;text-align:left;margin-left:15.4pt;margin-top:14.05pt;width:437.25pt;height:39.7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" fillcolor="#4f81bd [3204]" strokecolor="#243f60 [1604]" strokeweight="2pt">
                <v:textbox>
                  <w:txbxContent>
                    <w:p w14:paraId="0714AD69" w14:textId="34E9054F" w:rsidR="00C800FB" w:rsidRPr="00336332" w:rsidRDefault="00C800FB" w:rsidP="00A55AED">
                      <w:pPr>
                        <w:jc w:val="center"/>
                        <w:rPr>
                          <w:b/>
                        </w:rPr>
                      </w:pPr>
                      <w:r w:rsidRPr="00E855C6">
                        <w:rPr>
                          <w:rFonts w:ascii="Arial" w:hAnsi="Arial" w:cs="Arial"/>
                          <w:b/>
                          <w:sz w:val="28"/>
                          <w:szCs w:val="28"/>
                        </w:rPr>
                        <w:t>Article 6 : Droits des victimes à des recours</w:t>
                      </w:r>
                    </w:p>
                  </w:txbxContent>
                </v:textbox>
                <w10:wrap anchorx="margin"/>
              </v:rect>
            </w:pict>
          </mc:Fallback>
        </mc:AlternateContent>
      </w:r>
      <w:r w:rsidRPr="00E855C6">
        <w:rPr>
          <w:rFonts w:ascii="Arial" w:hAnsi="Arial" w:cs="Arial"/>
          <w:b w:val="0"/>
        </w:rPr>
        <w:t>Droits des victimes à des recours</w:t>
      </w:r>
      <w:bookmarkEnd w:id="31"/>
    </w:p>
    <w:p w14:paraId="4D074EDD" w14:textId="4E6103C8" w:rsidR="00E855C6" w:rsidRDefault="00E855C6" w:rsidP="008216D8">
      <w:pPr>
        <w:spacing w:line="276" w:lineRule="auto"/>
        <w:jc w:val="both"/>
        <w:rPr>
          <w:rFonts w:ascii="Arial" w:hAnsi="Arial" w:cs="Arial"/>
          <w:b/>
        </w:rPr>
      </w:pPr>
    </w:p>
    <w:p w14:paraId="044482F9" w14:textId="01806F8D" w:rsidR="00A55AED" w:rsidRPr="00474A63" w:rsidRDefault="00A55AED" w:rsidP="008216D8">
      <w:pPr>
        <w:spacing w:line="276" w:lineRule="auto"/>
        <w:jc w:val="both"/>
        <w:rPr>
          <w:rFonts w:ascii="Arial" w:hAnsi="Arial" w:cs="Arial"/>
        </w:rPr>
      </w:pPr>
    </w:p>
    <w:p w14:paraId="6158D623" w14:textId="2B6DF670" w:rsidR="00F10499" w:rsidRPr="00474A63" w:rsidRDefault="00F10499" w:rsidP="008216D8">
      <w:pPr>
        <w:spacing w:line="276" w:lineRule="auto"/>
        <w:jc w:val="both"/>
        <w:rPr>
          <w:rFonts w:ascii="Arial" w:hAnsi="Arial" w:cs="Arial"/>
        </w:rPr>
      </w:pPr>
      <w:r w:rsidRPr="00474A63">
        <w:rPr>
          <w:rFonts w:ascii="Arial" w:hAnsi="Arial" w:cs="Arial"/>
        </w:rPr>
        <w:t>Assurer à ses citoyens le droit à une justice impartiale et indépendante est une fonction régalienne de l’Etat. Les stipulations de l’article 6 de la Convention posent les principes du droit au recours.</w:t>
      </w:r>
    </w:p>
    <w:p w14:paraId="5F5C17A1" w14:textId="74867C40" w:rsidR="00F10499" w:rsidRPr="00474A63" w:rsidRDefault="00F10499" w:rsidP="00FC3FC2">
      <w:pPr>
        <w:autoSpaceDE w:val="0"/>
        <w:autoSpaceDN w:val="0"/>
        <w:adjustRightInd w:val="0"/>
        <w:spacing w:after="0" w:line="360" w:lineRule="auto"/>
        <w:jc w:val="both"/>
        <w:rPr>
          <w:rFonts w:ascii="Arial" w:hAnsi="Arial" w:cs="Arial"/>
        </w:rPr>
      </w:pPr>
      <w:r w:rsidRPr="00474A63">
        <w:rPr>
          <w:rFonts w:ascii="Arial" w:hAnsi="Arial" w:cs="Arial"/>
        </w:rPr>
        <w:t xml:space="preserve">Il convient de mentionner l’entreprise de verrouillage de l’accès des citoyens à la justice </w:t>
      </w:r>
      <w:r w:rsidR="00DC4A81" w:rsidRPr="00474A63">
        <w:rPr>
          <w:rFonts w:ascii="Arial" w:hAnsi="Arial" w:cs="Arial"/>
        </w:rPr>
        <w:t>extranationale africaine</w:t>
      </w:r>
      <w:r w:rsidRPr="00474A63">
        <w:rPr>
          <w:rFonts w:ascii="Arial" w:hAnsi="Arial" w:cs="Arial"/>
        </w:rPr>
        <w:t>. On en veut pour preuve le retrait assumé, par voie politique, en mars 2020, de la déclaration attributive de compétence de la Cour Africaine des Droits de l’Homme et des Peuples à connaitre les recours individuels et les recours des ONG dotées du statut d’observateur auprès de la Commission Africaine des Droits de l’Homme et des Peuples. Cerise sur le gâteau , par Décision DCC 20-434 du 30 avril 2020, la Cour Constitutionnelle du Bénin à travers une interprétation éclipse du Protocole A/P/91 de la Communauté Economique des Etats de l’Afrique de l’Ouest (CEDEAO) relatif à la Cour de Justice de la Communauté (CJC) et du Protocol</w:t>
      </w:r>
      <w:r w:rsidR="00C00D2F" w:rsidRPr="00474A63">
        <w:rPr>
          <w:rFonts w:ascii="Arial" w:hAnsi="Arial" w:cs="Arial"/>
        </w:rPr>
        <w:t>e</w:t>
      </w:r>
      <w:r w:rsidRPr="00474A63">
        <w:rPr>
          <w:rFonts w:ascii="Arial" w:hAnsi="Arial" w:cs="Arial"/>
        </w:rPr>
        <w:t xml:space="preserve"> Additionnel A/SP/1/01/05 portant amendement du préambule, des articles 1</w:t>
      </w:r>
      <w:r w:rsidRPr="00474A63">
        <w:rPr>
          <w:rFonts w:ascii="Arial" w:hAnsi="Arial" w:cs="Arial"/>
          <w:vertAlign w:val="superscript"/>
        </w:rPr>
        <w:t>er</w:t>
      </w:r>
      <w:r w:rsidRPr="00474A63">
        <w:rPr>
          <w:rFonts w:ascii="Arial" w:hAnsi="Arial" w:cs="Arial"/>
        </w:rPr>
        <w:t>, 2, 9, 22 et 30 du Protocol A/P/91 de la CEDEAO relatif à la (CJC), entérine la restriction du droit de saisine de la Cour de Justice de la CEDEAO par les citoyens et l’inopposabilité du Protocole amendé à l’Etat béninois avec la nullité de tous les actes qui résultent de la mise en œuvre des dispositions communautaires amendées à l’égard du Bénin.</w:t>
      </w:r>
    </w:p>
    <w:p w14:paraId="2DB235B8" w14:textId="77777777" w:rsidR="00124EE1" w:rsidRPr="00474A63" w:rsidRDefault="00124EE1" w:rsidP="008216D8">
      <w:pPr>
        <w:spacing w:line="276" w:lineRule="auto"/>
        <w:jc w:val="both"/>
        <w:rPr>
          <w:rFonts w:ascii="Arial" w:hAnsi="Arial" w:cs="Arial"/>
        </w:rPr>
      </w:pPr>
    </w:p>
    <w:p w14:paraId="621FEE2E" w14:textId="77777777" w:rsidR="00E855C6" w:rsidRPr="00474A63" w:rsidRDefault="00E855C6" w:rsidP="008216D8">
      <w:pPr>
        <w:spacing w:line="276" w:lineRule="auto"/>
        <w:jc w:val="both"/>
        <w:rPr>
          <w:rFonts w:ascii="Arial" w:hAnsi="Arial" w:cs="Arial"/>
        </w:rPr>
      </w:pPr>
    </w:p>
    <w:p w14:paraId="7E013A9E" w14:textId="77777777" w:rsidR="00E855C6" w:rsidRPr="00474A63" w:rsidRDefault="00E855C6" w:rsidP="008216D8">
      <w:pPr>
        <w:spacing w:line="276" w:lineRule="auto"/>
        <w:jc w:val="both"/>
        <w:rPr>
          <w:rFonts w:ascii="Arial" w:hAnsi="Arial" w:cs="Arial"/>
        </w:rPr>
      </w:pPr>
    </w:p>
    <w:p w14:paraId="1032AC6C" w14:textId="77777777" w:rsidR="00E855C6" w:rsidRPr="00474A63" w:rsidRDefault="00E855C6" w:rsidP="008216D8">
      <w:pPr>
        <w:spacing w:line="276" w:lineRule="auto"/>
        <w:jc w:val="both"/>
        <w:rPr>
          <w:rFonts w:ascii="Arial" w:hAnsi="Arial" w:cs="Arial"/>
        </w:rPr>
      </w:pPr>
    </w:p>
    <w:p w14:paraId="030D69CE" w14:textId="77777777" w:rsidR="00E855C6" w:rsidRPr="00474A63" w:rsidRDefault="00E855C6" w:rsidP="008216D8">
      <w:pPr>
        <w:spacing w:line="276" w:lineRule="auto"/>
        <w:jc w:val="both"/>
        <w:rPr>
          <w:rFonts w:ascii="Arial" w:hAnsi="Arial" w:cs="Arial"/>
        </w:rPr>
      </w:pPr>
    </w:p>
    <w:p w14:paraId="34A0AAA6" w14:textId="77777777" w:rsidR="00E855C6" w:rsidRPr="00474A63" w:rsidRDefault="00E855C6" w:rsidP="008216D8">
      <w:pPr>
        <w:spacing w:line="276" w:lineRule="auto"/>
        <w:jc w:val="both"/>
        <w:rPr>
          <w:rFonts w:ascii="Arial" w:hAnsi="Arial" w:cs="Arial"/>
        </w:rPr>
      </w:pPr>
    </w:p>
    <w:p w14:paraId="12BF7F99" w14:textId="77777777" w:rsidR="00E855C6" w:rsidRPr="00474A63" w:rsidRDefault="00E855C6" w:rsidP="008216D8">
      <w:pPr>
        <w:spacing w:line="276" w:lineRule="auto"/>
        <w:jc w:val="both"/>
        <w:rPr>
          <w:rFonts w:ascii="Arial" w:hAnsi="Arial" w:cs="Arial"/>
        </w:rPr>
      </w:pPr>
    </w:p>
    <w:p w14:paraId="578EBA2B" w14:textId="77777777" w:rsidR="00E855C6" w:rsidRPr="00474A63" w:rsidRDefault="00E855C6" w:rsidP="008216D8">
      <w:pPr>
        <w:spacing w:line="276" w:lineRule="auto"/>
        <w:jc w:val="both"/>
        <w:rPr>
          <w:rFonts w:ascii="Arial" w:hAnsi="Arial" w:cs="Arial"/>
        </w:rPr>
      </w:pPr>
    </w:p>
    <w:p w14:paraId="1988D632" w14:textId="77777777" w:rsidR="00E855C6" w:rsidRPr="00474A63" w:rsidRDefault="00E855C6" w:rsidP="008216D8">
      <w:pPr>
        <w:spacing w:line="276" w:lineRule="auto"/>
        <w:jc w:val="both"/>
        <w:rPr>
          <w:rFonts w:ascii="Arial" w:hAnsi="Arial" w:cs="Arial"/>
        </w:rPr>
      </w:pPr>
    </w:p>
    <w:p w14:paraId="318DF616" w14:textId="77777777" w:rsidR="00E855C6" w:rsidRPr="00474A63" w:rsidRDefault="00E855C6" w:rsidP="008216D8">
      <w:pPr>
        <w:spacing w:line="276" w:lineRule="auto"/>
        <w:jc w:val="both"/>
        <w:rPr>
          <w:rFonts w:ascii="Arial" w:hAnsi="Arial" w:cs="Arial"/>
        </w:rPr>
      </w:pPr>
    </w:p>
    <w:p w14:paraId="0685C570" w14:textId="77777777" w:rsidR="00E855C6" w:rsidRPr="00474A63" w:rsidRDefault="00E855C6" w:rsidP="008216D8">
      <w:pPr>
        <w:spacing w:line="276" w:lineRule="auto"/>
        <w:jc w:val="both"/>
        <w:rPr>
          <w:rFonts w:ascii="Arial" w:hAnsi="Arial" w:cs="Arial"/>
        </w:rPr>
      </w:pPr>
    </w:p>
    <w:p w14:paraId="54F3FB54" w14:textId="77777777" w:rsidR="00E855C6" w:rsidRPr="00474A63" w:rsidRDefault="00E855C6" w:rsidP="008216D8">
      <w:pPr>
        <w:spacing w:line="276" w:lineRule="auto"/>
        <w:jc w:val="both"/>
        <w:rPr>
          <w:rFonts w:ascii="Arial" w:hAnsi="Arial" w:cs="Arial"/>
        </w:rPr>
      </w:pPr>
    </w:p>
    <w:sectPr w:rsidR="00E855C6" w:rsidRPr="00474A63">
      <w:headerReference w:type="default" r:id="rId8"/>
      <w:footerReference w:type="default" r:id="rId9"/>
      <w:headerReference w:type="first" r:id="rId1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A76F7" w16cex:dateUtc="2022-07-02T0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C360B6" w16cid:durableId="266A76F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A988ED" w14:textId="77777777" w:rsidR="005E6308" w:rsidRDefault="005E6308" w:rsidP="00DD20D2">
      <w:pPr>
        <w:spacing w:after="0" w:line="240" w:lineRule="auto"/>
      </w:pPr>
      <w:r>
        <w:separator/>
      </w:r>
    </w:p>
  </w:endnote>
  <w:endnote w:type="continuationSeparator" w:id="0">
    <w:p w14:paraId="5BCF8879" w14:textId="77777777" w:rsidR="005E6308" w:rsidRDefault="005E6308" w:rsidP="00DD2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aiandra GD">
    <w:altName w:val="Candara"/>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charset w:val="00"/>
    <w:family w:val="auto"/>
    <w:pitch w:val="variable"/>
    <w:sig w:usb0="20000287" w:usb1="00000001" w:usb2="00000000" w:usb3="00000000" w:csb0="000001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rPr>
      <w:id w:val="1013651092"/>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6A987FB3" w14:textId="3F84FF7E" w:rsidR="00C800FB" w:rsidRDefault="00C800F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2336" behindDoc="0" locked="0" layoutInCell="1" allowOverlap="1" wp14:anchorId="2ED9F40A" wp14:editId="35103480">
                      <wp:simplePos x="0" y="0"/>
                      <wp:positionH relativeFrom="margin">
                        <wp:posOffset>2566887</wp:posOffset>
                      </wp:positionH>
                      <wp:positionV relativeFrom="bottomMargin">
                        <wp:posOffset>135436</wp:posOffset>
                      </wp:positionV>
                      <wp:extent cx="562708" cy="502418"/>
                      <wp:effectExtent l="0" t="0" r="8890" b="0"/>
                      <wp:wrapNone/>
                      <wp:docPr id="3" name="El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708" cy="502418"/>
                              </a:xfrm>
                              <a:prstGeom prst="ellipse">
                                <a:avLst/>
                              </a:prstGeom>
                              <a:solidFill>
                                <a:schemeClr val="tx2">
                                  <a:lumMod val="40000"/>
                                  <a:lumOff val="60000"/>
                                </a:schemeClr>
                              </a:solidFill>
                              <a:ln>
                                <a:noFill/>
                              </a:ln>
                            </wps:spPr>
                            <wps:txbx>
                              <w:txbxContent>
                                <w:p w14:paraId="7A73E664" w14:textId="77777777" w:rsidR="00C800FB" w:rsidRPr="008100BD" w:rsidRDefault="00C800FB">
                                  <w:pPr>
                                    <w:pStyle w:val="Pieddepage"/>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C478D" w:rsidRPr="00FC478D">
                                    <w:rPr>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8100BD">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ED9F40A" id="Ellipse 3" o:spid="_x0000_s1029" style="position:absolute;margin-left:202.1pt;margin-top:10.65pt;width:44.3pt;height:39.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" fillcolor="#8db3e2 [1311]" stroked="f">
                      <v:textbox>
                        <w:txbxContent>
                          <w:p w14:paraId="7A73E664" w14:textId="77777777" w:rsidR="00C800FB" w:rsidRPr="008100BD" w:rsidRDefault="00C800FB">
                            <w:pPr>
                              <w:pStyle w:val="Pieddepage"/>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C478D" w:rsidRPr="00FC478D">
                              <w:rPr>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8100BD">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anchorx="margin" anchory="margin"/>
                    </v:oval>
                  </w:pict>
                </mc:Fallback>
              </mc:AlternateContent>
            </w:r>
          </w:p>
        </w:sdtContent>
      </w:sdt>
    </w:sdtContent>
  </w:sdt>
  <w:p w14:paraId="33A2B4FC" w14:textId="77777777" w:rsidR="00C800FB" w:rsidRDefault="00C800F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8EF684" w14:textId="77777777" w:rsidR="005E6308" w:rsidRDefault="005E6308" w:rsidP="00DD20D2">
      <w:pPr>
        <w:spacing w:after="0" w:line="240" w:lineRule="auto"/>
      </w:pPr>
      <w:r>
        <w:separator/>
      </w:r>
    </w:p>
  </w:footnote>
  <w:footnote w:type="continuationSeparator" w:id="0">
    <w:p w14:paraId="48AE538B" w14:textId="77777777" w:rsidR="005E6308" w:rsidRDefault="005E6308" w:rsidP="00DD20D2">
      <w:pPr>
        <w:spacing w:after="0" w:line="240" w:lineRule="auto"/>
      </w:pPr>
      <w:r>
        <w:continuationSeparator/>
      </w:r>
    </w:p>
  </w:footnote>
  <w:footnote w:id="1">
    <w:p w14:paraId="2E34219F" w14:textId="260063D1" w:rsidR="00C800FB" w:rsidRPr="007F7DD8" w:rsidRDefault="00C800FB" w:rsidP="007F7DD8">
      <w:pPr>
        <w:pStyle w:val="Notedebasdepage"/>
        <w:rPr>
          <w:b/>
          <w:i/>
        </w:rPr>
      </w:pPr>
      <w:r>
        <w:rPr>
          <w:rStyle w:val="Appelnotedebasdep"/>
        </w:rPr>
        <w:footnoteRef/>
      </w:r>
      <w:r>
        <w:t xml:space="preserve"> Article 26 alinéa premier de la loi n°</w:t>
      </w:r>
      <w:r w:rsidRPr="00EB15B0">
        <w:t xml:space="preserve"> 90-32 du 11 décembre 1990 portant constitution de la République du Bénin dispose que</w:t>
      </w:r>
      <w:r>
        <w:t> :</w:t>
      </w:r>
      <w:r w:rsidRPr="00EB15B0">
        <w:t xml:space="preserve"> </w:t>
      </w:r>
      <w:r w:rsidRPr="00EB15B0">
        <w:rPr>
          <w:b/>
          <w:i/>
        </w:rPr>
        <w:t>«</w:t>
      </w:r>
      <w:r>
        <w:rPr>
          <w:b/>
          <w:i/>
        </w:rPr>
        <w:t>L'Etat assure à tous l'égalité deva</w:t>
      </w:r>
      <w:r w:rsidRPr="007F7DD8">
        <w:rPr>
          <w:b/>
          <w:i/>
        </w:rPr>
        <w:t>nt</w:t>
      </w:r>
      <w:r>
        <w:rPr>
          <w:b/>
          <w:i/>
        </w:rPr>
        <w:t xml:space="preserve"> la loi, sans distinction d'origine, de ra</w:t>
      </w:r>
      <w:r w:rsidRPr="007F7DD8">
        <w:rPr>
          <w:b/>
          <w:i/>
        </w:rPr>
        <w:t>ce, de sexe, de reli</w:t>
      </w:r>
      <w:r>
        <w:rPr>
          <w:b/>
          <w:i/>
        </w:rPr>
        <w:t>gion, d'opinion politique ou de position sociale</w:t>
      </w:r>
      <w:r w:rsidRPr="00EB15B0">
        <w:rPr>
          <w:b/>
          <w:i/>
        </w:rPr>
        <w:t>»</w:t>
      </w:r>
      <w:r>
        <w:rPr>
          <w:b/>
          <w:i/>
        </w:rPr>
        <w:t>.</w:t>
      </w:r>
    </w:p>
  </w:footnote>
  <w:footnote w:id="2">
    <w:p w14:paraId="6F0BB2F9" w14:textId="3DB87990" w:rsidR="00C800FB" w:rsidRDefault="00C800FB" w:rsidP="00C07138">
      <w:pPr>
        <w:pStyle w:val="Notedebasdepage"/>
      </w:pPr>
      <w:r>
        <w:rPr>
          <w:rStyle w:val="Appelnotedebasdep"/>
        </w:rPr>
        <w:footnoteRef/>
      </w:r>
      <w:r>
        <w:t xml:space="preserve"> Article 2 de la Charte Africaine des Droits de l’Homme et des peuples : </w:t>
      </w:r>
      <w:r w:rsidRPr="00C07138">
        <w:rPr>
          <w:b/>
          <w:i/>
        </w:rPr>
        <w:t>« 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 ou de toute autre situation ».</w:t>
      </w:r>
    </w:p>
  </w:footnote>
  <w:footnote w:id="3">
    <w:p w14:paraId="1734A2B8" w14:textId="1D3D8739" w:rsidR="00C800FB" w:rsidRDefault="00C800FB">
      <w:pPr>
        <w:pStyle w:val="Notedebasdepage"/>
      </w:pPr>
      <w:r>
        <w:rPr>
          <w:rStyle w:val="Appelnotedebasdep"/>
        </w:rPr>
        <w:footnoteRef/>
      </w:r>
      <w:hyperlink r:id="rId1" w:anchor=":~:text=La%20transhumance%20est%20la%20migration%20p%C3%A9riodique%20du%20b%C3%A9tail,reproduction.%20Elle%20se%20pratique%20sur%20tous%20les%20continents" w:history="1">
        <w:r w:rsidRPr="00300B32">
          <w:rPr>
            <w:rStyle w:val="Lienhypertexte"/>
          </w:rPr>
          <w:t>https://fr.wikipedia.org/wiki/Transhumance#:~:text=La%20transhumance%20est%20la%20migration%20p%C3%A9riodique%20du%20b%C3%A9tail,reproduction.%20Elle%20se%20pratique%20sur%20tous%20les%20continents</w:t>
        </w:r>
      </w:hyperlink>
      <w:r w:rsidRPr="009A0C8A">
        <w:t>.</w:t>
      </w:r>
    </w:p>
    <w:p w14:paraId="637B0658" w14:textId="5953232A" w:rsidR="00C800FB" w:rsidRDefault="00C800FB">
      <w:pPr>
        <w:pStyle w:val="Notedebasdepage"/>
      </w:pPr>
      <w:r>
        <w:t xml:space="preserve"> </w:t>
      </w:r>
    </w:p>
  </w:footnote>
  <w:footnote w:id="4">
    <w:p w14:paraId="4A826F43" w14:textId="08F331B6" w:rsidR="00C800FB" w:rsidRPr="00514186" w:rsidRDefault="00C800FB" w:rsidP="00514186">
      <w:pPr>
        <w:pStyle w:val="Notedebasdepage"/>
        <w:rPr>
          <w:color w:val="0000FF" w:themeColor="hyperlink"/>
          <w:u w:val="single"/>
        </w:rPr>
      </w:pPr>
      <w:r>
        <w:rPr>
          <w:rStyle w:val="Appelnotedebasdep"/>
        </w:rPr>
        <w:footnoteRef/>
      </w:r>
      <w:hyperlink r:id="rId2" w:history="1">
        <w:r w:rsidRPr="00187B86">
          <w:rPr>
            <w:rStyle w:val="Lienhypertexte"/>
          </w:rPr>
          <w:t>https://www.bing.com/search?q=Affrontement+entre+%C3%A9leveurs+et+agriculteurs+%C3%A0+malanville&amp;qs=n&amp;form=QBRE&amp;sp=-1&amp;pq=affrontement+entre+%C3%A9leveurs+et+agriculteurs+%C3%A0+malanville&amp;sc=1-56&amp;sk=&amp;cvid=86E345B23A6343CC93AC545467F57399#</w:t>
        </w:r>
      </w:hyperlink>
    </w:p>
  </w:footnote>
  <w:footnote w:id="5">
    <w:p w14:paraId="37581DF7" w14:textId="74C6DAD2" w:rsidR="00C800FB" w:rsidRDefault="00C800FB" w:rsidP="00514186">
      <w:pPr>
        <w:pStyle w:val="Notedebasdepage"/>
      </w:pPr>
      <w:r>
        <w:rPr>
          <w:rStyle w:val="Appelnotedebasdep"/>
        </w:rPr>
        <w:footnoteRef/>
      </w:r>
      <w:r>
        <w:t xml:space="preserve"> </w:t>
      </w:r>
      <w:hyperlink r:id="rId3" w:history="1">
        <w:r w:rsidRPr="00490BD3">
          <w:rPr>
            <w:rStyle w:val="Lienhypertexte"/>
          </w:rPr>
          <w:t>https://www.24haubenin.info/?4-morts-dans-un-conflit-a-Tchaourou</w:t>
        </w:r>
      </w:hyperlink>
    </w:p>
  </w:footnote>
  <w:footnote w:id="6">
    <w:p w14:paraId="109B8B06" w14:textId="62778179" w:rsidR="00C800FB" w:rsidRDefault="00C800FB" w:rsidP="00514186">
      <w:pPr>
        <w:pStyle w:val="Notedebasdepage"/>
      </w:pPr>
      <w:r>
        <w:rPr>
          <w:rStyle w:val="Appelnotedebasdep"/>
        </w:rPr>
        <w:footnoteRef/>
      </w:r>
      <w:r>
        <w:t xml:space="preserve"> </w:t>
      </w:r>
      <w:hyperlink r:id="rId4" w:history="1">
        <w:r w:rsidRPr="00300B32">
          <w:rPr>
            <w:rStyle w:val="Lienhypertexte"/>
          </w:rPr>
          <w:t>https://decision.courconstitutionnellebenin.bj/upload/decision/DCC22-159_du_28_avril_2022.pdf</w:t>
        </w:r>
      </w:hyperlink>
    </w:p>
  </w:footnote>
  <w:footnote w:id="7">
    <w:p w14:paraId="499B43FD" w14:textId="79D25319" w:rsidR="00C800FB" w:rsidRDefault="00C800FB" w:rsidP="00514186">
      <w:pPr>
        <w:pStyle w:val="Notedebasdepage"/>
      </w:pPr>
      <w:r w:rsidRPr="00F3148B">
        <w:rPr>
          <w:rStyle w:val="Appelnotedebasdep"/>
        </w:rPr>
        <w:footnoteRef/>
      </w:r>
      <w:r w:rsidRPr="00F3148B">
        <w:t xml:space="preserve">  </w:t>
      </w:r>
      <w:hyperlink r:id="rId5" w:history="1">
        <w:r w:rsidRPr="002B74D4">
          <w:rPr>
            <w:rStyle w:val="Lienhypertexte"/>
          </w:rPr>
          <w:t>https://drive.google.com/file/d/1PX32Ufijg0sk0DjUqpxJxhY3x_lQcNzl/view?usp=drivesdk</w:t>
        </w:r>
      </w:hyperlink>
    </w:p>
  </w:footnote>
  <w:footnote w:id="8">
    <w:p w14:paraId="2AE91A7B" w14:textId="383060B3" w:rsidR="00C800FB" w:rsidRDefault="00C800FB" w:rsidP="00514186">
      <w:pPr>
        <w:pStyle w:val="Notedebasdepage"/>
      </w:pPr>
      <w:r>
        <w:rPr>
          <w:rStyle w:val="Appelnotedebasdep"/>
        </w:rPr>
        <w:footnoteRef/>
      </w:r>
      <w:r>
        <w:t xml:space="preserve"> </w:t>
      </w:r>
      <w:hyperlink r:id="rId6" w:history="1">
        <w:r w:rsidRPr="00300B32">
          <w:rPr>
            <w:rStyle w:val="Lienhypertexte"/>
          </w:rPr>
          <w:t>https://ivoirwebtv.com/2021/08/benin-un-peulh-tue-a-coup-de-machette-un-jeune-homme-a-ketou-photo/</w:t>
        </w:r>
      </w:hyperlink>
    </w:p>
    <w:p w14:paraId="32FA7351" w14:textId="77777777" w:rsidR="00C800FB" w:rsidRDefault="00C800FB" w:rsidP="00514186">
      <w:pPr>
        <w:pStyle w:val="Notedebasdepage"/>
      </w:pPr>
    </w:p>
  </w:footnote>
  <w:footnote w:id="9">
    <w:p w14:paraId="74E0B4DC" w14:textId="77777777" w:rsidR="00C800FB" w:rsidRPr="005B260F" w:rsidRDefault="00C800FB" w:rsidP="003315CF">
      <w:pPr>
        <w:pStyle w:val="Notedebasdepage"/>
      </w:pPr>
      <w:r>
        <w:rPr>
          <w:rStyle w:val="Appelnotedebasdep"/>
        </w:rPr>
        <w:footnoteRef/>
      </w:r>
      <w:r>
        <w:t xml:space="preserve"> </w:t>
      </w:r>
      <w:hyperlink r:id="rId7" w:history="1">
        <w:r w:rsidRPr="00F877CE">
          <w:rPr>
            <w:rStyle w:val="Lienhypertexte"/>
          </w:rPr>
          <w:t>https://www.achpr.org/fr_sessions/resolutions?id=439</w:t>
        </w:r>
      </w:hyperlink>
      <w:r w:rsidRPr="005B260F">
        <w:t xml:space="preserve"> </w:t>
      </w:r>
    </w:p>
  </w:footnote>
  <w:footnote w:id="10">
    <w:p w14:paraId="4FA221AC" w14:textId="77777777" w:rsidR="00C800FB" w:rsidRPr="008C4706" w:rsidRDefault="00C800FB" w:rsidP="004257A9">
      <w:pPr>
        <w:pStyle w:val="Notedebasdepage"/>
        <w:rPr>
          <w:lang w:val="fr-CA"/>
        </w:rPr>
      </w:pPr>
      <w:r>
        <w:rPr>
          <w:rStyle w:val="Appelnotedebasdep"/>
        </w:rPr>
        <w:footnoteRef/>
      </w:r>
      <w:r>
        <w:t xml:space="preserve"> </w:t>
      </w:r>
      <w:hyperlink r:id="rId8" w:history="1">
        <w:r w:rsidRPr="008C1452">
          <w:rPr>
            <w:rStyle w:val="Lienhypertexte"/>
          </w:rPr>
          <w:t>https://rsf.org/fr/pays/b%C3%A9nin</w:t>
        </w:r>
      </w:hyperlink>
      <w:r>
        <w:rPr>
          <w:lang w:val="fr-CA"/>
        </w:rPr>
        <w:t xml:space="preserve"> </w:t>
      </w:r>
    </w:p>
  </w:footnote>
  <w:footnote w:id="11">
    <w:p w14:paraId="19F2996E" w14:textId="77777777" w:rsidR="00C800FB" w:rsidRPr="00931E73" w:rsidRDefault="00C800FB" w:rsidP="004257A9">
      <w:pPr>
        <w:pStyle w:val="Notedebasdepage"/>
        <w:rPr>
          <w:lang w:val="fr-CA"/>
        </w:rPr>
      </w:pPr>
      <w:r>
        <w:rPr>
          <w:rStyle w:val="Appelnotedebasdep"/>
        </w:rPr>
        <w:footnoteRef/>
      </w:r>
      <w:r>
        <w:t xml:space="preserve"> </w:t>
      </w:r>
      <w:hyperlink r:id="rId9" w:history="1">
        <w:r w:rsidRPr="008C1452">
          <w:rPr>
            <w:rStyle w:val="Lienhypertexte"/>
          </w:rPr>
          <w:t>https://documents-dds-ny.un.org/doc/UNDOC/GEN/G20/254/67/PDF/G2025467.pdf?OpenElement</w:t>
        </w:r>
      </w:hyperlink>
      <w:r>
        <w:rPr>
          <w:lang w:val="fr-CA"/>
        </w:rPr>
        <w:t xml:space="preserve"> </w:t>
      </w:r>
    </w:p>
  </w:footnote>
  <w:footnote w:id="12">
    <w:p w14:paraId="27F0B78F" w14:textId="77777777" w:rsidR="00C800FB" w:rsidRPr="002E2365" w:rsidRDefault="00C800FB" w:rsidP="00FF6B84">
      <w:pPr>
        <w:pStyle w:val="Notedebasdepage"/>
        <w:rPr>
          <w:lang w:val="fr-CA"/>
        </w:rPr>
      </w:pPr>
      <w:r>
        <w:rPr>
          <w:rStyle w:val="Appelnotedebasdep"/>
        </w:rPr>
        <w:footnoteRef/>
      </w:r>
      <w:r>
        <w:t xml:space="preserve"> </w:t>
      </w:r>
      <w:hyperlink r:id="rId10" w:history="1">
        <w:r w:rsidRPr="00F877CE">
          <w:rPr>
            <w:rStyle w:val="Lienhypertexte"/>
          </w:rPr>
          <w:t>https://www.achpr.org/fr_sessions/resolutions?id=439</w:t>
        </w:r>
      </w:hyperlink>
      <w:r>
        <w:rPr>
          <w:lang w:val="fr-CA"/>
        </w:rPr>
        <w:t xml:space="preserve"> </w:t>
      </w:r>
    </w:p>
  </w:footnote>
  <w:footnote w:id="13">
    <w:p w14:paraId="58BEC329" w14:textId="77777777" w:rsidR="00C800FB" w:rsidRPr="003B724F" w:rsidRDefault="00C800FB" w:rsidP="00FF6B84">
      <w:pPr>
        <w:pStyle w:val="Notedebasdepage"/>
        <w:rPr>
          <w:lang w:val="fr-CA"/>
        </w:rPr>
      </w:pPr>
      <w:r>
        <w:rPr>
          <w:rStyle w:val="Appelnotedebasdep"/>
        </w:rPr>
        <w:footnoteRef/>
      </w:r>
      <w:r>
        <w:t xml:space="preserve"> </w:t>
      </w:r>
      <w:hyperlink r:id="rId11" w:history="1">
        <w:r w:rsidRPr="00F877CE">
          <w:rPr>
            <w:rStyle w:val="Lienhypertexte"/>
          </w:rPr>
          <w:t>https://sgg.gouv.bj/recherche/?type=tout&amp;begin=&amp;end=&amp;keywords=amnistie</w:t>
        </w:r>
      </w:hyperlink>
      <w:r>
        <w:rPr>
          <w:lang w:val="fr-CA"/>
        </w:rPr>
        <w:t xml:space="preserve"> </w:t>
      </w:r>
    </w:p>
  </w:footnote>
  <w:footnote w:id="14">
    <w:p w14:paraId="14D84DCF" w14:textId="12B58879" w:rsidR="00C800FB" w:rsidRDefault="00C800FB">
      <w:pPr>
        <w:pStyle w:val="Notedebasdepage"/>
      </w:pPr>
      <w:r>
        <w:rPr>
          <w:rStyle w:val="Appelnotedebasdep"/>
        </w:rPr>
        <w:footnoteRef/>
      </w:r>
      <w:r>
        <w:t xml:space="preserve"> Décision DDC 12-106 du 03 Mai 2012 </w:t>
      </w:r>
      <w:hyperlink r:id="rId12" w:history="1">
        <w:r w:rsidRPr="00871977">
          <w:rPr>
            <w:rStyle w:val="Lienhypertexte"/>
          </w:rPr>
          <w:t>https://decision.courconstitutionnellebenin.bj/upload/decision/DCC12-106.pdf</w:t>
        </w:r>
      </w:hyperlink>
      <w:r>
        <w:t xml:space="preserve"> </w:t>
      </w:r>
    </w:p>
  </w:footnote>
  <w:footnote w:id="15">
    <w:p w14:paraId="0FBAC73D" w14:textId="54770A6A" w:rsidR="00C800FB" w:rsidRPr="00A55AED" w:rsidRDefault="00C800FB">
      <w:pPr>
        <w:pStyle w:val="Notedebasdepage"/>
        <w:rPr>
          <w:lang w:val="fr-CA"/>
        </w:rPr>
      </w:pPr>
      <w:r>
        <w:rPr>
          <w:rStyle w:val="Appelnotedebasdep"/>
        </w:rPr>
        <w:footnoteRef/>
      </w:r>
      <w:r>
        <w:t xml:space="preserve"> </w:t>
      </w:r>
      <w:hyperlink r:id="rId13" w:history="1">
        <w:r w:rsidRPr="00973E5D">
          <w:rPr>
            <w:rStyle w:val="Lienhypertexte"/>
          </w:rPr>
          <w:t>https://decision.courconstitutionnellebenin.bj/upload/decision/DCC18-001.pdf</w:t>
        </w:r>
      </w:hyperlink>
      <w:r>
        <w:t xml:space="preserve"> </w:t>
      </w:r>
    </w:p>
  </w:footnote>
  <w:footnote w:id="16">
    <w:p w14:paraId="13CF4252" w14:textId="475C0349" w:rsidR="00C800FB" w:rsidRPr="00A55AED" w:rsidRDefault="00C800FB">
      <w:pPr>
        <w:pStyle w:val="Notedebasdepage"/>
        <w:rPr>
          <w:lang w:val="fr-CA"/>
        </w:rPr>
      </w:pPr>
      <w:r>
        <w:rPr>
          <w:rStyle w:val="Appelnotedebasdep"/>
        </w:rPr>
        <w:footnoteRef/>
      </w:r>
      <w:r>
        <w:t xml:space="preserve"> </w:t>
      </w:r>
      <w:hyperlink r:id="rId14" w:history="1">
        <w:r w:rsidRPr="00973E5D">
          <w:rPr>
            <w:rStyle w:val="Lienhypertexte"/>
          </w:rPr>
          <w:t>https://decision.courconstitutionnellebenin.bj/upload/decision/DCC18-193.pdf</w:t>
        </w:r>
      </w:hyperlink>
      <w:r>
        <w:t xml:space="preserve"> </w:t>
      </w:r>
    </w:p>
  </w:footnote>
  <w:footnote w:id="17">
    <w:p w14:paraId="25EBFD1A" w14:textId="77777777" w:rsidR="00C800FB" w:rsidRDefault="00C800FB" w:rsidP="0021789D">
      <w:pPr>
        <w:pStyle w:val="Notedebasdepage"/>
      </w:pPr>
      <w:r>
        <w:rPr>
          <w:rStyle w:val="Appelnotedebasdep"/>
        </w:rPr>
        <w:footnoteRef/>
      </w:r>
      <w:r>
        <w:t xml:space="preserve"> </w:t>
      </w:r>
      <w:hyperlink r:id="rId15" w:history="1">
        <w:r w:rsidRPr="008A3959">
          <w:rPr>
            <w:rStyle w:val="Lienhypertexte"/>
          </w:rPr>
          <w:t>https://www.gouv.bj/actualite/1536/volet-assurance-maladie-projet-arch-personnel-sante-elus-locaux-invites-accompagner-populations/</w:t>
        </w:r>
      </w:hyperlink>
      <w:r>
        <w:t xml:space="preserve"> </w:t>
      </w:r>
    </w:p>
  </w:footnote>
  <w:footnote w:id="18">
    <w:p w14:paraId="69599B8B" w14:textId="77777777" w:rsidR="00C800FB" w:rsidRDefault="00C800FB" w:rsidP="0021789D">
      <w:pPr>
        <w:pStyle w:val="Notedebasdepage"/>
      </w:pPr>
      <w:r>
        <w:rPr>
          <w:rStyle w:val="Appelnotedebasdep"/>
        </w:rPr>
        <w:footnoteRef/>
      </w:r>
      <w:r>
        <w:t xml:space="preserve"> </w:t>
      </w:r>
      <w:hyperlink r:id="rId16" w:history="1">
        <w:r w:rsidRPr="008A3959">
          <w:rPr>
            <w:rStyle w:val="Lienhypertexte"/>
          </w:rPr>
          <w:t>https://www.gouv.bj/download/2/mpd_plan-national-developpement_2018-2025_final_14_janv.pdf</w:t>
        </w:r>
      </w:hyperlink>
      <w:r>
        <w:t xml:space="preserve"> </w:t>
      </w:r>
    </w:p>
  </w:footnote>
  <w:footnote w:id="19">
    <w:p w14:paraId="2DB1202E" w14:textId="77777777" w:rsidR="00C800FB" w:rsidRDefault="00C800FB" w:rsidP="0021789D">
      <w:pPr>
        <w:pStyle w:val="Notedebasdepage"/>
      </w:pPr>
      <w:r>
        <w:rPr>
          <w:rStyle w:val="Appelnotedebasdep"/>
        </w:rPr>
        <w:footnoteRef/>
      </w:r>
      <w:r>
        <w:t xml:space="preserve"> </w:t>
      </w:r>
      <w:hyperlink r:id="rId17" w:history="1">
        <w:r w:rsidRPr="008A3959">
          <w:rPr>
            <w:rStyle w:val="Lienhypertexte"/>
          </w:rPr>
          <w:t>https://sgg.gouv.bj/doc/loi-2020-37/</w:t>
        </w:r>
      </w:hyperlink>
      <w:r>
        <w:t xml:space="preserve"> </w:t>
      </w:r>
    </w:p>
  </w:footnote>
  <w:footnote w:id="20">
    <w:p w14:paraId="7F2C41C6" w14:textId="77777777" w:rsidR="00C800FB" w:rsidRDefault="00C800FB" w:rsidP="0021789D">
      <w:pPr>
        <w:pStyle w:val="Notedebasdepage"/>
      </w:pPr>
      <w:r>
        <w:rPr>
          <w:rStyle w:val="Appelnotedebasdep"/>
        </w:rPr>
        <w:footnoteRef/>
      </w:r>
      <w:r>
        <w:t xml:space="preserve"> </w:t>
      </w:r>
      <w:hyperlink r:id="rId18" w:history="1">
        <w:r w:rsidRPr="008A3959">
          <w:rPr>
            <w:rStyle w:val="Lienhypertexte"/>
          </w:rPr>
          <w:t>https://sgg.gouv.bj/doc/decret-2019-105/download</w:t>
        </w:r>
      </w:hyperlink>
      <w:r>
        <w:t xml:space="preserve"> </w:t>
      </w:r>
    </w:p>
  </w:footnote>
  <w:footnote w:id="21">
    <w:p w14:paraId="5FE44A8E" w14:textId="77777777" w:rsidR="00C800FB" w:rsidRDefault="00C800FB" w:rsidP="0021789D">
      <w:pPr>
        <w:pStyle w:val="Notedebasdepage"/>
      </w:pPr>
      <w:r>
        <w:rPr>
          <w:rStyle w:val="Appelnotedebasdep"/>
        </w:rPr>
        <w:footnoteRef/>
      </w:r>
      <w:r>
        <w:t xml:space="preserve"> </w:t>
      </w:r>
      <w:hyperlink r:id="rId19" w:history="1">
        <w:r w:rsidRPr="00A14F3F">
          <w:rPr>
            <w:rStyle w:val="Lienhypertexte"/>
          </w:rPr>
          <w:t>https://changementsocialbenin.org/newsite/revue-alternative-secteur-sante/</w:t>
        </w:r>
      </w:hyperlink>
      <w:r>
        <w:t xml:space="preserve"> </w:t>
      </w:r>
    </w:p>
  </w:footnote>
  <w:footnote w:id="22">
    <w:p w14:paraId="540D0CB7" w14:textId="77777777" w:rsidR="00C800FB" w:rsidRDefault="00C800FB" w:rsidP="0021789D">
      <w:pPr>
        <w:pStyle w:val="Notedebasdepage"/>
      </w:pPr>
      <w:r>
        <w:rPr>
          <w:rStyle w:val="Appelnotedebasdep"/>
        </w:rPr>
        <w:footnoteRef/>
      </w:r>
      <w:r>
        <w:t xml:space="preserve"> </w:t>
      </w:r>
      <w:hyperlink r:id="rId20" w:history="1">
        <w:r w:rsidRPr="002D6D05">
          <w:rPr>
            <w:rStyle w:val="Lienhypertexte"/>
          </w:rPr>
          <w:t>https://changementsocialbenin.org/wp-content/uploads/2021/01/Revue-alternative-sectorielle-Sante-2.pdf</w:t>
        </w:r>
      </w:hyperlink>
      <w:r>
        <w:t xml:space="preserve"> </w:t>
      </w:r>
    </w:p>
  </w:footnote>
  <w:footnote w:id="23">
    <w:p w14:paraId="13ADAE3C" w14:textId="77777777" w:rsidR="00C800FB" w:rsidRDefault="00C800FB" w:rsidP="0021789D">
      <w:pPr>
        <w:pStyle w:val="Notedebasdepage"/>
      </w:pPr>
      <w:r>
        <w:rPr>
          <w:rStyle w:val="Appelnotedebasdep"/>
        </w:rPr>
        <w:footnoteRef/>
      </w:r>
      <w:r>
        <w:t xml:space="preserve"> </w:t>
      </w:r>
      <w:hyperlink r:id="rId21" w:history="1">
        <w:r w:rsidRPr="008A3959">
          <w:rPr>
            <w:rStyle w:val="Lienhypertexte"/>
          </w:rPr>
          <w:t>https://socialwatch.bj/?p=1940</w:t>
        </w:r>
      </w:hyperlink>
      <w:r>
        <w:t xml:space="preserve"> </w:t>
      </w:r>
    </w:p>
  </w:footnote>
  <w:footnote w:id="24">
    <w:p w14:paraId="090200E7" w14:textId="77777777" w:rsidR="00C800FB" w:rsidRDefault="00C800FB" w:rsidP="0021789D">
      <w:pPr>
        <w:pStyle w:val="Notedebasdepage"/>
      </w:pPr>
      <w:r>
        <w:rPr>
          <w:rStyle w:val="Appelnotedebasdep"/>
        </w:rPr>
        <w:footnoteRef/>
      </w:r>
      <w:r>
        <w:t xml:space="preserve"> </w:t>
      </w:r>
      <w:hyperlink r:id="rId22" w:history="1">
        <w:r w:rsidRPr="008A3959">
          <w:rPr>
            <w:rStyle w:val="Lienhypertexte"/>
          </w:rPr>
          <w:t>https://quotidienlatempete.com/gestion-du-fonds-covid-au-benin-environ-385-milliards-fcfa-de-depenses-non-justifiees-selon-un-rapport-daudit-de-la-cour-des-comptes/</w:t>
        </w:r>
      </w:hyperlink>
      <w:r>
        <w:t xml:space="preserve"> </w:t>
      </w:r>
    </w:p>
  </w:footnote>
  <w:footnote w:id="25">
    <w:p w14:paraId="2CE94DE0" w14:textId="77777777" w:rsidR="00C800FB" w:rsidRDefault="00C800FB" w:rsidP="0021789D">
      <w:pPr>
        <w:pStyle w:val="Notedebasdepage"/>
        <w:jc w:val="both"/>
        <w:rPr>
          <w:rFonts w:ascii="Maiandra GD" w:hAnsi="Maiandra GD"/>
        </w:rPr>
      </w:pPr>
      <w:r>
        <w:rPr>
          <w:rStyle w:val="Appelnotedebasdep"/>
          <w:rFonts w:ascii="Maiandra GD" w:hAnsi="Maiandra GD"/>
        </w:rPr>
        <w:footnoteRef/>
      </w:r>
      <w:r>
        <w:rPr>
          <w:rFonts w:ascii="Maiandra GD" w:hAnsi="Maiandra GD"/>
        </w:rPr>
        <w:t xml:space="preserve"> </w:t>
      </w:r>
      <w:r>
        <w:rPr>
          <w:rFonts w:ascii="Maiandra GD" w:hAnsi="Maiandra GD"/>
          <w:sz w:val="18"/>
        </w:rPr>
        <w:t>Article 14, 15 décret n° 2021-051 du 03 février 2021 fixant les valeurs limites d’exposition aux champs électriques, magnétiques et électromagnétiques et les modalités de contrôle et d’inspection des équipements et installations radioélectriques.</w:t>
      </w:r>
    </w:p>
  </w:footnote>
  <w:footnote w:id="26">
    <w:p w14:paraId="0D5D4772" w14:textId="0532602F" w:rsidR="00C800FB" w:rsidRDefault="00C800FB" w:rsidP="0021789D">
      <w:pPr>
        <w:pStyle w:val="Notedebasdepage"/>
        <w:jc w:val="both"/>
      </w:pPr>
      <w:r>
        <w:rPr>
          <w:rStyle w:val="Appelnotedebasdep"/>
          <w:rFonts w:ascii="Maiandra GD" w:hAnsi="Maiandra GD"/>
        </w:rPr>
        <w:footnoteRef/>
      </w:r>
      <w:r>
        <w:rPr>
          <w:rFonts w:ascii="Maiandra GD" w:hAnsi="Maiandra GD"/>
        </w:rPr>
        <w:t xml:space="preserve"> </w:t>
      </w:r>
      <w:r>
        <w:rPr>
          <w:rFonts w:ascii="Maiandra GD" w:hAnsi="Maiandra GD"/>
          <w:sz w:val="18"/>
        </w:rPr>
        <w:t>H. TOSSA, Le droit face aux ondes. Monde en mutation technologique et droit au Bénin, Paris, L’Harmattan, 2021, pp. 89 et suivantes.</w:t>
      </w:r>
    </w:p>
  </w:footnote>
  <w:footnote w:id="27">
    <w:p w14:paraId="4E8A9550" w14:textId="77777777" w:rsidR="00C800FB" w:rsidRDefault="00C800FB" w:rsidP="0021789D">
      <w:pPr>
        <w:pStyle w:val="Notedebasdepage"/>
      </w:pPr>
      <w:r>
        <w:rPr>
          <w:rStyle w:val="Appelnotedebasdep"/>
        </w:rPr>
        <w:footnoteRef/>
      </w:r>
      <w:r>
        <w:t xml:space="preserve"> </w:t>
      </w:r>
      <w:r>
        <w:rPr>
          <w:sz w:val="18"/>
        </w:rPr>
        <w:t>Idem.</w:t>
      </w:r>
    </w:p>
  </w:footnote>
  <w:footnote w:id="28">
    <w:p w14:paraId="358F010B" w14:textId="77777777" w:rsidR="00C800FB" w:rsidRDefault="00C800FB" w:rsidP="0021789D">
      <w:pPr>
        <w:pStyle w:val="Notedebasdepage"/>
        <w:jc w:val="both"/>
      </w:pPr>
      <w:r>
        <w:rPr>
          <w:rStyle w:val="Appelnotedebasdep"/>
        </w:rPr>
        <w:footnoteRef/>
      </w:r>
      <w:r>
        <w:t xml:space="preserve"> </w:t>
      </w:r>
      <w:r>
        <w:rPr>
          <w:rFonts w:ascii="Maiandra GD" w:hAnsi="Maiandra GD"/>
          <w:sz w:val="18"/>
        </w:rPr>
        <w:t>Article 9 décret n° 2021-051 du 03 février 2021 fixant les valeurs limites d’exposition aux champs électriques, magnétiques et électromagnétiques et les modalités de contrôle et d’inspection des équipements et installations radioélectriques ; article 6 arrêté n°017 portant conditions d’implantation, de transfert et de modification des stations radioélectriques.</w:t>
      </w:r>
    </w:p>
  </w:footnote>
  <w:footnote w:id="29">
    <w:p w14:paraId="4A27DAD0" w14:textId="77777777" w:rsidR="00C800FB" w:rsidRDefault="00C800FB" w:rsidP="0021789D">
      <w:pPr>
        <w:pStyle w:val="Notedebasdepage"/>
      </w:pPr>
      <w:r>
        <w:rPr>
          <w:rStyle w:val="Appelnotedebasdep"/>
        </w:rPr>
        <w:footnoteRef/>
      </w:r>
      <w:r>
        <w:t xml:space="preserve"> Article 16, ibid.</w:t>
      </w:r>
    </w:p>
  </w:footnote>
  <w:footnote w:id="30">
    <w:p w14:paraId="760232E7" w14:textId="77777777" w:rsidR="00C800FB" w:rsidRDefault="00C800FB" w:rsidP="0021789D">
      <w:pPr>
        <w:pStyle w:val="Notedebasdepage"/>
      </w:pPr>
      <w:r>
        <w:rPr>
          <w:rStyle w:val="Appelnotedebasdep"/>
        </w:rPr>
        <w:footnoteRef/>
      </w:r>
      <w:r>
        <w:t xml:space="preserve"> V. tous les rapports de l’ARCEP-Bénin. </w:t>
      </w:r>
      <w:hyperlink r:id="rId23" w:history="1">
        <w:r>
          <w:rPr>
            <w:rStyle w:val="Lienhypertexte"/>
          </w:rPr>
          <w:t>https://arcep.bj/rapports/</w:t>
        </w:r>
      </w:hyperlink>
      <w:r>
        <w:t xml:space="preserve"> </w:t>
      </w:r>
    </w:p>
  </w:footnote>
  <w:footnote w:id="31">
    <w:p w14:paraId="0A81FC00" w14:textId="77777777" w:rsidR="00C800FB" w:rsidRDefault="00C800FB" w:rsidP="0021789D">
      <w:pPr>
        <w:pStyle w:val="Notedebasdepage"/>
      </w:pPr>
      <w:r>
        <w:rPr>
          <w:rStyle w:val="Appelnotedebasdep"/>
        </w:rPr>
        <w:footnoteRef/>
      </w:r>
      <w:r>
        <w:t xml:space="preserve"> </w:t>
      </w:r>
      <w:hyperlink r:id="rId24" w:history="1">
        <w:r w:rsidRPr="00456789">
          <w:rPr>
            <w:rStyle w:val="Lienhypertexte"/>
          </w:rPr>
          <w:t>https://www.gouv.bj/actualite/1675/mise-oeuvre-programme-cantines-scolaires-benin-directeur-executif-satisfait-progres-significatifs-obtenus/</w:t>
        </w:r>
      </w:hyperlink>
      <w:r>
        <w:t xml:space="preserve"> </w:t>
      </w:r>
    </w:p>
  </w:footnote>
  <w:footnote w:id="32">
    <w:p w14:paraId="37AD483E" w14:textId="77777777" w:rsidR="00C800FB" w:rsidRDefault="00C800FB" w:rsidP="0021789D">
      <w:pPr>
        <w:pStyle w:val="Notedebasdepage"/>
      </w:pPr>
      <w:r>
        <w:rPr>
          <w:rStyle w:val="Appelnotedebasdep"/>
        </w:rPr>
        <w:footnoteRef/>
      </w:r>
      <w:r>
        <w:t xml:space="preserve"> </w:t>
      </w:r>
      <w:hyperlink r:id="rId25" w:history="1">
        <w:r w:rsidRPr="00456789">
          <w:rPr>
            <w:rStyle w:val="Lienhypertexte"/>
          </w:rPr>
          <w:t>https://assemblee-nationale.bj/wp-content/uploads/2020/03/rapport-final-etude-prospective-sur-leducation-en-republique-du-benin.pdf</w:t>
        </w:r>
      </w:hyperlink>
      <w:r>
        <w:t xml:space="preserve"> </w:t>
      </w:r>
    </w:p>
  </w:footnote>
  <w:footnote w:id="33">
    <w:p w14:paraId="0DB94DDD" w14:textId="77777777" w:rsidR="00C800FB" w:rsidRDefault="00C800FB" w:rsidP="0021789D">
      <w:pPr>
        <w:pStyle w:val="Notedebasdepage"/>
      </w:pPr>
      <w:r>
        <w:rPr>
          <w:rStyle w:val="Appelnotedebasdep"/>
        </w:rPr>
        <w:footnoteRef/>
      </w:r>
      <w:r>
        <w:t xml:space="preserve"> </w:t>
      </w:r>
      <w:hyperlink r:id="rId26" w:history="1">
        <w:r w:rsidRPr="00456789">
          <w:rPr>
            <w:rStyle w:val="Lienhypertexte"/>
          </w:rPr>
          <w:t>https://mediapartbenin.com/article/396/benin-conseil-national-de-leducation-les-nouveaux-membres-desormais-installes/</w:t>
        </w:r>
      </w:hyperlink>
      <w:r>
        <w:t xml:space="preserve"> </w:t>
      </w:r>
    </w:p>
  </w:footnote>
  <w:footnote w:id="34">
    <w:p w14:paraId="18ECDAE0" w14:textId="77777777" w:rsidR="00C800FB" w:rsidRDefault="00C800FB" w:rsidP="0021789D">
      <w:pPr>
        <w:pStyle w:val="Notedebasdepage"/>
      </w:pPr>
      <w:r>
        <w:rPr>
          <w:rStyle w:val="Appelnotedebasdep"/>
        </w:rPr>
        <w:footnoteRef/>
      </w:r>
      <w:r>
        <w:t xml:space="preserve"> Au titre des 49 cibles prioritaires des ODD retenues par le Bénin, figue la cible 4.1 : « </w:t>
      </w:r>
      <w:r w:rsidRPr="00006C0F">
        <w:rPr>
          <w:i/>
          <w:iCs/>
        </w:rPr>
        <w:t>D’ici à 2030, faire en sorte que toutes les filles et tous les garçons suivent, sur un pied d’égalité, un cycle complet d’enseignement primaire et secondaire gratuit et de qualité, qui débouche sur un apprentissage véritablement utile</w:t>
      </w:r>
      <w:r>
        <w:rPr>
          <w:i/>
          <w:iCs/>
        </w:rPr>
        <w:t> »</w:t>
      </w:r>
    </w:p>
  </w:footnote>
  <w:footnote w:id="35">
    <w:p w14:paraId="519570B5" w14:textId="77777777" w:rsidR="00C800FB" w:rsidRDefault="00C800FB" w:rsidP="0021789D">
      <w:pPr>
        <w:pStyle w:val="Notedebasdepage"/>
      </w:pPr>
      <w:r>
        <w:rPr>
          <w:rStyle w:val="Appelnotedebasdep"/>
        </w:rPr>
        <w:footnoteRef/>
      </w:r>
      <w:r>
        <w:t xml:space="preserve"> </w:t>
      </w:r>
      <w:hyperlink r:id="rId27" w:history="1">
        <w:r w:rsidRPr="00456789">
          <w:rPr>
            <w:rStyle w:val="Lienhypertexte"/>
          </w:rPr>
          <w:t>https://changementsocialbenin.org/newsite/wp-content/uploads/2022/05/Revue-alternative-secteur-Education.pdf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390C6" w14:textId="77777777" w:rsidR="00C800FB" w:rsidRDefault="005E6308">
    <w:r>
      <w:rPr>
        <w:noProof/>
      </w:rPr>
      <w:pict w14:anchorId="6A5E52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1190836" o:spid="_x0000_s2050" type="#_x0000_t75" style="position:absolute;margin-left:0;margin-top:0;width:453.55pt;height:319.85pt;z-index:-251656192;mso-wrap-edited:f;mso-position-horizontal:center;mso-position-horizontal-relative:margin;mso-position-vertical:center;mso-position-vertical-relative:margin" o:allowincell="f">
          <v:imagedata r:id="rId1" o:title="Logo CSB"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0E26F" w14:textId="77777777" w:rsidR="00C800FB" w:rsidRDefault="005E6308">
    <w:r>
      <w:rPr>
        <w:noProof/>
      </w:rPr>
      <w:pict w14:anchorId="40F1F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1190834" o:spid="_x0000_s2049" type="#_x0000_t75" style="position:absolute;margin-left:0;margin-top:0;width:453.55pt;height:319.85pt;z-index:-251657216;mso-wrap-edited:f;mso-position-horizontal:center;mso-position-horizontal-relative:margin;mso-position-vertical:center;mso-position-vertical-relative:margin" o:allowincell="f">
          <v:imagedata r:id="rId1" o:title="Logo CSB"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A0208"/>
    <w:multiLevelType w:val="hybridMultilevel"/>
    <w:tmpl w:val="1F7090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CB32B2"/>
    <w:multiLevelType w:val="hybridMultilevel"/>
    <w:tmpl w:val="E20EDC4C"/>
    <w:lvl w:ilvl="0" w:tplc="D64236EA">
      <w:start w:val="1"/>
      <w:numFmt w:val="decimal"/>
      <w:lvlText w:val="%1."/>
      <w:lvlJc w:val="left"/>
      <w:pPr>
        <w:ind w:left="644"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D5F7D00"/>
    <w:multiLevelType w:val="multilevel"/>
    <w:tmpl w:val="6DEA45E0"/>
    <w:lvl w:ilvl="0">
      <w:start w:val="1"/>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843B02"/>
    <w:multiLevelType w:val="hybridMultilevel"/>
    <w:tmpl w:val="0404865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81B25C7"/>
    <w:multiLevelType w:val="hybridMultilevel"/>
    <w:tmpl w:val="CB32D5F6"/>
    <w:lvl w:ilvl="0" w:tplc="D62842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0C2045F"/>
    <w:multiLevelType w:val="hybridMultilevel"/>
    <w:tmpl w:val="063212EA"/>
    <w:lvl w:ilvl="0" w:tplc="040C0001">
      <w:start w:val="1"/>
      <w:numFmt w:val="bullet"/>
      <w:lvlText w:val=""/>
      <w:lvlJc w:val="left"/>
      <w:pPr>
        <w:ind w:left="360" w:hanging="360"/>
      </w:pPr>
      <w:rPr>
        <w:rFonts w:ascii="Symbol" w:hAnsi="Symbol"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6" w15:restartNumberingAfterBreak="0">
    <w:nsid w:val="41A04AFB"/>
    <w:multiLevelType w:val="hybridMultilevel"/>
    <w:tmpl w:val="15DE425C"/>
    <w:lvl w:ilvl="0" w:tplc="4FB40D18">
      <w:start w:val="1"/>
      <w:numFmt w:val="lowerLetter"/>
      <w:lvlText w:val="%1)"/>
      <w:lvlJc w:val="left"/>
      <w:pPr>
        <w:ind w:left="2061" w:hanging="360"/>
      </w:pPr>
      <w:rPr>
        <w:rFonts w:hint="default"/>
        <w:b w:val="0"/>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7" w15:restartNumberingAfterBreak="0">
    <w:nsid w:val="44122D93"/>
    <w:multiLevelType w:val="hybridMultilevel"/>
    <w:tmpl w:val="47B6A506"/>
    <w:lvl w:ilvl="0" w:tplc="93DCDDD8">
      <w:start w:val="10"/>
      <w:numFmt w:val="bullet"/>
      <w:lvlText w:val="-"/>
      <w:lvlJc w:val="left"/>
      <w:pPr>
        <w:ind w:left="720" w:hanging="360"/>
      </w:pPr>
      <w:rPr>
        <w:rFonts w:ascii="Californian FB" w:eastAsiaTheme="minorEastAsia" w:hAnsi="Californian FB"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7500F06"/>
    <w:multiLevelType w:val="hybridMultilevel"/>
    <w:tmpl w:val="0C58068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2AB43CD"/>
    <w:multiLevelType w:val="hybridMultilevel"/>
    <w:tmpl w:val="84BE05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8B4419A"/>
    <w:multiLevelType w:val="hybridMultilevel"/>
    <w:tmpl w:val="DF5C83F2"/>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11" w15:restartNumberingAfterBreak="0">
    <w:nsid w:val="5C8D5C88"/>
    <w:multiLevelType w:val="hybridMultilevel"/>
    <w:tmpl w:val="1C5EBF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D0C6E0D"/>
    <w:multiLevelType w:val="multilevel"/>
    <w:tmpl w:val="5D9A40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D595CBF"/>
    <w:multiLevelType w:val="hybridMultilevel"/>
    <w:tmpl w:val="8F42665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5454522"/>
    <w:multiLevelType w:val="hybridMultilevel"/>
    <w:tmpl w:val="6B3C6A74"/>
    <w:lvl w:ilvl="0" w:tplc="4580BB6C">
      <w:start w:val="1"/>
      <w:numFmt w:val="decimal"/>
      <w:lvlText w:val="%1."/>
      <w:lvlJc w:val="left"/>
      <w:pPr>
        <w:ind w:left="1854" w:hanging="360"/>
      </w:pPr>
      <w:rPr>
        <w:rFonts w:ascii="Times New Roman" w:hAnsi="Times New Roman" w:cs="Times New Roman" w:hint="default"/>
        <w:b w:val="0"/>
        <w:sz w:val="20"/>
        <w:szCs w:val="20"/>
        <w:lang w:val="fr-CH"/>
      </w:rPr>
    </w:lvl>
    <w:lvl w:ilvl="1" w:tplc="1E620A3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A4E0A82"/>
    <w:multiLevelType w:val="hybridMultilevel"/>
    <w:tmpl w:val="5CC699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707D471D"/>
    <w:multiLevelType w:val="hybridMultilevel"/>
    <w:tmpl w:val="7916D484"/>
    <w:lvl w:ilvl="0" w:tplc="F9D85FF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15639BE"/>
    <w:multiLevelType w:val="hybridMultilevel"/>
    <w:tmpl w:val="40B4927A"/>
    <w:lvl w:ilvl="0" w:tplc="940CF2F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BF24050"/>
    <w:multiLevelType w:val="hybridMultilevel"/>
    <w:tmpl w:val="DEB8DF3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CBA4208"/>
    <w:multiLevelType w:val="hybridMultilevel"/>
    <w:tmpl w:val="B7582FAC"/>
    <w:lvl w:ilvl="0" w:tplc="040C0001">
      <w:start w:val="1"/>
      <w:numFmt w:val="bullet"/>
      <w:lvlText w:val=""/>
      <w:lvlJc w:val="left"/>
      <w:pPr>
        <w:ind w:left="501" w:hanging="360"/>
      </w:pPr>
      <w:rPr>
        <w:rFonts w:ascii="Symbol" w:hAnsi="Symbol"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20" w15:restartNumberingAfterBreak="0">
    <w:nsid w:val="7F7B65C5"/>
    <w:multiLevelType w:val="multilevel"/>
    <w:tmpl w:val="C93EFDE8"/>
    <w:lvl w:ilvl="0">
      <w:start w:val="1"/>
      <w:numFmt w:val="decimal"/>
      <w:lvlText w:val="%1"/>
      <w:lvlJc w:val="left"/>
      <w:pPr>
        <w:ind w:left="720" w:hanging="360"/>
      </w:pPr>
      <w:rPr>
        <w:rFonts w:ascii="Maiandra GD" w:eastAsiaTheme="minorEastAsia" w:hAnsi="Maiandra GD" w:cstheme="minorBidi"/>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3"/>
  </w:num>
  <w:num w:numId="3">
    <w:abstractNumId w:val="17"/>
  </w:num>
  <w:num w:numId="4">
    <w:abstractNumId w:val="4"/>
  </w:num>
  <w:num w:numId="5">
    <w:abstractNumId w:val="8"/>
  </w:num>
  <w:num w:numId="6">
    <w:abstractNumId w:val="12"/>
  </w:num>
  <w:num w:numId="7">
    <w:abstractNumId w:val="20"/>
  </w:num>
  <w:num w:numId="8">
    <w:abstractNumId w:val="2"/>
  </w:num>
  <w:num w:numId="9">
    <w:abstractNumId w:val="15"/>
  </w:num>
  <w:num w:numId="10">
    <w:abstractNumId w:val="18"/>
  </w:num>
  <w:num w:numId="11">
    <w:abstractNumId w:val="19"/>
  </w:num>
  <w:num w:numId="12">
    <w:abstractNumId w:val="11"/>
  </w:num>
  <w:num w:numId="13">
    <w:abstractNumId w:val="9"/>
  </w:num>
  <w:num w:numId="14">
    <w:abstractNumId w:val="16"/>
  </w:num>
  <w:num w:numId="15">
    <w:abstractNumId w:val="14"/>
  </w:num>
  <w:num w:numId="16">
    <w:abstractNumId w:val="6"/>
  </w:num>
  <w:num w:numId="17">
    <w:abstractNumId w:val="10"/>
  </w:num>
  <w:num w:numId="18">
    <w:abstractNumId w:val="1"/>
  </w:num>
  <w:num w:numId="19">
    <w:abstractNumId w:val="5"/>
  </w:num>
  <w:num w:numId="20">
    <w:abstractNumId w:val="13"/>
  </w:num>
  <w:num w:numId="21">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0D2"/>
    <w:rsid w:val="00005512"/>
    <w:rsid w:val="000075C0"/>
    <w:rsid w:val="000233F7"/>
    <w:rsid w:val="0004045F"/>
    <w:rsid w:val="00041DCF"/>
    <w:rsid w:val="000506A4"/>
    <w:rsid w:val="0005206F"/>
    <w:rsid w:val="0005487C"/>
    <w:rsid w:val="00055879"/>
    <w:rsid w:val="00056455"/>
    <w:rsid w:val="000673AF"/>
    <w:rsid w:val="000723FA"/>
    <w:rsid w:val="0008752D"/>
    <w:rsid w:val="00092F8E"/>
    <w:rsid w:val="00094307"/>
    <w:rsid w:val="00095085"/>
    <w:rsid w:val="000A30D2"/>
    <w:rsid w:val="000A4930"/>
    <w:rsid w:val="000A5D38"/>
    <w:rsid w:val="000B1DFD"/>
    <w:rsid w:val="000B3994"/>
    <w:rsid w:val="000B43AC"/>
    <w:rsid w:val="000C1B7D"/>
    <w:rsid w:val="000C3D1C"/>
    <w:rsid w:val="000D19E1"/>
    <w:rsid w:val="000D3F4B"/>
    <w:rsid w:val="000D5808"/>
    <w:rsid w:val="000D59A3"/>
    <w:rsid w:val="000D629F"/>
    <w:rsid w:val="000E07B7"/>
    <w:rsid w:val="000E4864"/>
    <w:rsid w:val="000E7F85"/>
    <w:rsid w:val="000F0FB1"/>
    <w:rsid w:val="000F222B"/>
    <w:rsid w:val="000F686F"/>
    <w:rsid w:val="001033C4"/>
    <w:rsid w:val="00114817"/>
    <w:rsid w:val="001161E9"/>
    <w:rsid w:val="00121541"/>
    <w:rsid w:val="00124EE1"/>
    <w:rsid w:val="00131F1D"/>
    <w:rsid w:val="00131F31"/>
    <w:rsid w:val="001329FA"/>
    <w:rsid w:val="00137C6A"/>
    <w:rsid w:val="0014344E"/>
    <w:rsid w:val="00145D6E"/>
    <w:rsid w:val="00146ABA"/>
    <w:rsid w:val="001471A1"/>
    <w:rsid w:val="0015205B"/>
    <w:rsid w:val="001529B3"/>
    <w:rsid w:val="001609BF"/>
    <w:rsid w:val="00162505"/>
    <w:rsid w:val="00164EA8"/>
    <w:rsid w:val="001663D0"/>
    <w:rsid w:val="001708AE"/>
    <w:rsid w:val="0017723E"/>
    <w:rsid w:val="001779ED"/>
    <w:rsid w:val="00182A8B"/>
    <w:rsid w:val="001836CB"/>
    <w:rsid w:val="00185DB9"/>
    <w:rsid w:val="00192746"/>
    <w:rsid w:val="00194B97"/>
    <w:rsid w:val="001960FE"/>
    <w:rsid w:val="001A4455"/>
    <w:rsid w:val="001A6667"/>
    <w:rsid w:val="001B0E0B"/>
    <w:rsid w:val="001B28D8"/>
    <w:rsid w:val="001C389E"/>
    <w:rsid w:val="001D183E"/>
    <w:rsid w:val="001D354D"/>
    <w:rsid w:val="001D769C"/>
    <w:rsid w:val="001E0FF9"/>
    <w:rsid w:val="001E2624"/>
    <w:rsid w:val="001E2FCB"/>
    <w:rsid w:val="001E65B6"/>
    <w:rsid w:val="001F38D9"/>
    <w:rsid w:val="001F544B"/>
    <w:rsid w:val="001F7E13"/>
    <w:rsid w:val="002005A0"/>
    <w:rsid w:val="002023DD"/>
    <w:rsid w:val="0021789D"/>
    <w:rsid w:val="00217FD2"/>
    <w:rsid w:val="00220665"/>
    <w:rsid w:val="00224993"/>
    <w:rsid w:val="00230734"/>
    <w:rsid w:val="00230906"/>
    <w:rsid w:val="0023125C"/>
    <w:rsid w:val="00231A5C"/>
    <w:rsid w:val="00233D75"/>
    <w:rsid w:val="002356AD"/>
    <w:rsid w:val="00242445"/>
    <w:rsid w:val="002424CF"/>
    <w:rsid w:val="00246880"/>
    <w:rsid w:val="00250029"/>
    <w:rsid w:val="00251EBE"/>
    <w:rsid w:val="0026592A"/>
    <w:rsid w:val="0027017D"/>
    <w:rsid w:val="002701C2"/>
    <w:rsid w:val="0027290D"/>
    <w:rsid w:val="00273812"/>
    <w:rsid w:val="00274D60"/>
    <w:rsid w:val="002967E5"/>
    <w:rsid w:val="00296803"/>
    <w:rsid w:val="002A3B2E"/>
    <w:rsid w:val="002A4CCE"/>
    <w:rsid w:val="002A7E66"/>
    <w:rsid w:val="002B05E5"/>
    <w:rsid w:val="002B0FDD"/>
    <w:rsid w:val="002B63E6"/>
    <w:rsid w:val="002D532F"/>
    <w:rsid w:val="002D663D"/>
    <w:rsid w:val="002E68F9"/>
    <w:rsid w:val="002F1120"/>
    <w:rsid w:val="002F22B7"/>
    <w:rsid w:val="002F27BF"/>
    <w:rsid w:val="002F27C3"/>
    <w:rsid w:val="003017B2"/>
    <w:rsid w:val="00304D0C"/>
    <w:rsid w:val="00305788"/>
    <w:rsid w:val="00307F3E"/>
    <w:rsid w:val="0031153F"/>
    <w:rsid w:val="0031443D"/>
    <w:rsid w:val="0031785F"/>
    <w:rsid w:val="00320F92"/>
    <w:rsid w:val="003232E6"/>
    <w:rsid w:val="0032749E"/>
    <w:rsid w:val="003315CF"/>
    <w:rsid w:val="00333D5E"/>
    <w:rsid w:val="00340C67"/>
    <w:rsid w:val="00341A9C"/>
    <w:rsid w:val="00342C85"/>
    <w:rsid w:val="00342E1F"/>
    <w:rsid w:val="00343A67"/>
    <w:rsid w:val="003524A0"/>
    <w:rsid w:val="00355EDB"/>
    <w:rsid w:val="00360125"/>
    <w:rsid w:val="00363DD6"/>
    <w:rsid w:val="00364D5C"/>
    <w:rsid w:val="003719E8"/>
    <w:rsid w:val="003765EB"/>
    <w:rsid w:val="00380CFA"/>
    <w:rsid w:val="00383A81"/>
    <w:rsid w:val="003867F3"/>
    <w:rsid w:val="00390419"/>
    <w:rsid w:val="003A358C"/>
    <w:rsid w:val="003B1949"/>
    <w:rsid w:val="003B45B4"/>
    <w:rsid w:val="003B6AEA"/>
    <w:rsid w:val="003C07B4"/>
    <w:rsid w:val="003C5D1D"/>
    <w:rsid w:val="003C684D"/>
    <w:rsid w:val="003C7D29"/>
    <w:rsid w:val="003D4218"/>
    <w:rsid w:val="003D511A"/>
    <w:rsid w:val="003D5B24"/>
    <w:rsid w:val="003D65F7"/>
    <w:rsid w:val="003E0236"/>
    <w:rsid w:val="003E2BEF"/>
    <w:rsid w:val="003F1D96"/>
    <w:rsid w:val="003F7276"/>
    <w:rsid w:val="0041190A"/>
    <w:rsid w:val="00422428"/>
    <w:rsid w:val="00425000"/>
    <w:rsid w:val="004257A9"/>
    <w:rsid w:val="00426D59"/>
    <w:rsid w:val="004347C2"/>
    <w:rsid w:val="00440C55"/>
    <w:rsid w:val="00450792"/>
    <w:rsid w:val="004532D5"/>
    <w:rsid w:val="004548F8"/>
    <w:rsid w:val="00457895"/>
    <w:rsid w:val="00460057"/>
    <w:rsid w:val="00461465"/>
    <w:rsid w:val="00462719"/>
    <w:rsid w:val="00463F00"/>
    <w:rsid w:val="0047340B"/>
    <w:rsid w:val="00474A63"/>
    <w:rsid w:val="004754AE"/>
    <w:rsid w:val="0047689E"/>
    <w:rsid w:val="00482F26"/>
    <w:rsid w:val="00483A8C"/>
    <w:rsid w:val="004854F8"/>
    <w:rsid w:val="0048748F"/>
    <w:rsid w:val="004947CB"/>
    <w:rsid w:val="004A0EF6"/>
    <w:rsid w:val="004B0DFF"/>
    <w:rsid w:val="004B1B4B"/>
    <w:rsid w:val="004B5E4C"/>
    <w:rsid w:val="004B74A4"/>
    <w:rsid w:val="004C0FD9"/>
    <w:rsid w:val="004C3937"/>
    <w:rsid w:val="004C4255"/>
    <w:rsid w:val="004C5555"/>
    <w:rsid w:val="004C5685"/>
    <w:rsid w:val="004D10E4"/>
    <w:rsid w:val="004D1A9A"/>
    <w:rsid w:val="004D4553"/>
    <w:rsid w:val="004D5D58"/>
    <w:rsid w:val="004D6025"/>
    <w:rsid w:val="004D7974"/>
    <w:rsid w:val="004E2D45"/>
    <w:rsid w:val="004E4459"/>
    <w:rsid w:val="004E4CCE"/>
    <w:rsid w:val="004F1073"/>
    <w:rsid w:val="004F2674"/>
    <w:rsid w:val="004F46AD"/>
    <w:rsid w:val="004F7220"/>
    <w:rsid w:val="00504537"/>
    <w:rsid w:val="00510F95"/>
    <w:rsid w:val="005140DB"/>
    <w:rsid w:val="00514186"/>
    <w:rsid w:val="0052128A"/>
    <w:rsid w:val="005219A3"/>
    <w:rsid w:val="0052214E"/>
    <w:rsid w:val="00523933"/>
    <w:rsid w:val="005272CF"/>
    <w:rsid w:val="00534A1E"/>
    <w:rsid w:val="00541936"/>
    <w:rsid w:val="005453FF"/>
    <w:rsid w:val="00550652"/>
    <w:rsid w:val="00550D23"/>
    <w:rsid w:val="00551D6E"/>
    <w:rsid w:val="0055416C"/>
    <w:rsid w:val="00554425"/>
    <w:rsid w:val="005567C1"/>
    <w:rsid w:val="00560171"/>
    <w:rsid w:val="005608C5"/>
    <w:rsid w:val="0056160E"/>
    <w:rsid w:val="0056315B"/>
    <w:rsid w:val="00563CD8"/>
    <w:rsid w:val="005675D7"/>
    <w:rsid w:val="00575EDE"/>
    <w:rsid w:val="00587900"/>
    <w:rsid w:val="0059368C"/>
    <w:rsid w:val="00593B1F"/>
    <w:rsid w:val="00594FF6"/>
    <w:rsid w:val="005A005F"/>
    <w:rsid w:val="005B339A"/>
    <w:rsid w:val="005D02AF"/>
    <w:rsid w:val="005D259B"/>
    <w:rsid w:val="005D595A"/>
    <w:rsid w:val="005D775B"/>
    <w:rsid w:val="005E6308"/>
    <w:rsid w:val="005F0AC4"/>
    <w:rsid w:val="005F0C8A"/>
    <w:rsid w:val="00612A9F"/>
    <w:rsid w:val="006167D6"/>
    <w:rsid w:val="00616E1B"/>
    <w:rsid w:val="0061703C"/>
    <w:rsid w:val="00617A65"/>
    <w:rsid w:val="00622CB9"/>
    <w:rsid w:val="00623EF3"/>
    <w:rsid w:val="00625642"/>
    <w:rsid w:val="0062788C"/>
    <w:rsid w:val="0063085D"/>
    <w:rsid w:val="006353F0"/>
    <w:rsid w:val="00635986"/>
    <w:rsid w:val="006424EE"/>
    <w:rsid w:val="006456AC"/>
    <w:rsid w:val="006504A2"/>
    <w:rsid w:val="0065137E"/>
    <w:rsid w:val="00651FC2"/>
    <w:rsid w:val="00655154"/>
    <w:rsid w:val="00655315"/>
    <w:rsid w:val="00657861"/>
    <w:rsid w:val="00657DFF"/>
    <w:rsid w:val="00662C5E"/>
    <w:rsid w:val="006658B6"/>
    <w:rsid w:val="006674A3"/>
    <w:rsid w:val="00670D98"/>
    <w:rsid w:val="00682974"/>
    <w:rsid w:val="00684E8A"/>
    <w:rsid w:val="00686189"/>
    <w:rsid w:val="0069289F"/>
    <w:rsid w:val="00693CED"/>
    <w:rsid w:val="006A193D"/>
    <w:rsid w:val="006A455A"/>
    <w:rsid w:val="006A6973"/>
    <w:rsid w:val="006B167E"/>
    <w:rsid w:val="006B2977"/>
    <w:rsid w:val="006B2B29"/>
    <w:rsid w:val="006B4F77"/>
    <w:rsid w:val="006C6579"/>
    <w:rsid w:val="006D772A"/>
    <w:rsid w:val="006E26D8"/>
    <w:rsid w:val="006E46FB"/>
    <w:rsid w:val="006F28CF"/>
    <w:rsid w:val="006F37AB"/>
    <w:rsid w:val="006F4D9C"/>
    <w:rsid w:val="006F7921"/>
    <w:rsid w:val="00700157"/>
    <w:rsid w:val="00710A4D"/>
    <w:rsid w:val="00714ACF"/>
    <w:rsid w:val="00720BFE"/>
    <w:rsid w:val="007215FF"/>
    <w:rsid w:val="007236F8"/>
    <w:rsid w:val="00725C87"/>
    <w:rsid w:val="00733CA1"/>
    <w:rsid w:val="0073652C"/>
    <w:rsid w:val="00741DBF"/>
    <w:rsid w:val="0074366B"/>
    <w:rsid w:val="00745D32"/>
    <w:rsid w:val="00751DBF"/>
    <w:rsid w:val="00753F27"/>
    <w:rsid w:val="00756008"/>
    <w:rsid w:val="00760AD3"/>
    <w:rsid w:val="00764896"/>
    <w:rsid w:val="007652C8"/>
    <w:rsid w:val="00771876"/>
    <w:rsid w:val="00773062"/>
    <w:rsid w:val="00774022"/>
    <w:rsid w:val="007742DD"/>
    <w:rsid w:val="00775181"/>
    <w:rsid w:val="00783EC8"/>
    <w:rsid w:val="007848BF"/>
    <w:rsid w:val="00785270"/>
    <w:rsid w:val="007911B9"/>
    <w:rsid w:val="007913FE"/>
    <w:rsid w:val="00793367"/>
    <w:rsid w:val="0079675D"/>
    <w:rsid w:val="007A5856"/>
    <w:rsid w:val="007A5E77"/>
    <w:rsid w:val="007A6961"/>
    <w:rsid w:val="007B3E65"/>
    <w:rsid w:val="007D0FB4"/>
    <w:rsid w:val="007D3D51"/>
    <w:rsid w:val="007D3FD1"/>
    <w:rsid w:val="007E19B3"/>
    <w:rsid w:val="007F1CD6"/>
    <w:rsid w:val="007F50E8"/>
    <w:rsid w:val="007F62FA"/>
    <w:rsid w:val="007F7DD8"/>
    <w:rsid w:val="00801251"/>
    <w:rsid w:val="008063D1"/>
    <w:rsid w:val="008100BD"/>
    <w:rsid w:val="00813EDA"/>
    <w:rsid w:val="00817A59"/>
    <w:rsid w:val="00820375"/>
    <w:rsid w:val="008216D8"/>
    <w:rsid w:val="0082190E"/>
    <w:rsid w:val="00830A27"/>
    <w:rsid w:val="008340CC"/>
    <w:rsid w:val="00834C75"/>
    <w:rsid w:val="00836918"/>
    <w:rsid w:val="00836C87"/>
    <w:rsid w:val="0084474C"/>
    <w:rsid w:val="008460A9"/>
    <w:rsid w:val="0085601C"/>
    <w:rsid w:val="008604C8"/>
    <w:rsid w:val="00860982"/>
    <w:rsid w:val="008640C7"/>
    <w:rsid w:val="0086410B"/>
    <w:rsid w:val="008669FF"/>
    <w:rsid w:val="00872B76"/>
    <w:rsid w:val="00877CF6"/>
    <w:rsid w:val="008812D2"/>
    <w:rsid w:val="008816AB"/>
    <w:rsid w:val="008879BF"/>
    <w:rsid w:val="008967CB"/>
    <w:rsid w:val="008A06EF"/>
    <w:rsid w:val="008A0785"/>
    <w:rsid w:val="008A6358"/>
    <w:rsid w:val="008B2B00"/>
    <w:rsid w:val="008B471C"/>
    <w:rsid w:val="008B4F8C"/>
    <w:rsid w:val="008C3C89"/>
    <w:rsid w:val="008C3F07"/>
    <w:rsid w:val="008C45A2"/>
    <w:rsid w:val="008C7E7C"/>
    <w:rsid w:val="008D0AD0"/>
    <w:rsid w:val="008D2F4D"/>
    <w:rsid w:val="008D3052"/>
    <w:rsid w:val="008D39C4"/>
    <w:rsid w:val="008D4D73"/>
    <w:rsid w:val="008D53D6"/>
    <w:rsid w:val="008D68C9"/>
    <w:rsid w:val="008E10FD"/>
    <w:rsid w:val="008E4484"/>
    <w:rsid w:val="008F1200"/>
    <w:rsid w:val="008F2B54"/>
    <w:rsid w:val="008F308D"/>
    <w:rsid w:val="008F3AB3"/>
    <w:rsid w:val="008F5103"/>
    <w:rsid w:val="008F6434"/>
    <w:rsid w:val="008F6EEC"/>
    <w:rsid w:val="009006E3"/>
    <w:rsid w:val="00900DD5"/>
    <w:rsid w:val="00902758"/>
    <w:rsid w:val="00902B48"/>
    <w:rsid w:val="0090387E"/>
    <w:rsid w:val="009068C9"/>
    <w:rsid w:val="009125BC"/>
    <w:rsid w:val="0091515E"/>
    <w:rsid w:val="009165C0"/>
    <w:rsid w:val="00917FB1"/>
    <w:rsid w:val="00920BD6"/>
    <w:rsid w:val="009338A9"/>
    <w:rsid w:val="009359A0"/>
    <w:rsid w:val="00935C82"/>
    <w:rsid w:val="00936601"/>
    <w:rsid w:val="00942038"/>
    <w:rsid w:val="00947E66"/>
    <w:rsid w:val="00951C57"/>
    <w:rsid w:val="00953056"/>
    <w:rsid w:val="009564B3"/>
    <w:rsid w:val="009571C2"/>
    <w:rsid w:val="0096477C"/>
    <w:rsid w:val="00964EE6"/>
    <w:rsid w:val="00966E5A"/>
    <w:rsid w:val="00971CEA"/>
    <w:rsid w:val="0097739A"/>
    <w:rsid w:val="00980B15"/>
    <w:rsid w:val="009876FF"/>
    <w:rsid w:val="009927AD"/>
    <w:rsid w:val="00994850"/>
    <w:rsid w:val="0099536D"/>
    <w:rsid w:val="009A05E8"/>
    <w:rsid w:val="009A0C8A"/>
    <w:rsid w:val="009A1A36"/>
    <w:rsid w:val="009A26E6"/>
    <w:rsid w:val="009C0B0B"/>
    <w:rsid w:val="009C1C3C"/>
    <w:rsid w:val="009C71D6"/>
    <w:rsid w:val="009D712C"/>
    <w:rsid w:val="009F11BC"/>
    <w:rsid w:val="009F1F12"/>
    <w:rsid w:val="009F5026"/>
    <w:rsid w:val="009F7837"/>
    <w:rsid w:val="00A01F3F"/>
    <w:rsid w:val="00A064F8"/>
    <w:rsid w:val="00A117B3"/>
    <w:rsid w:val="00A13ED5"/>
    <w:rsid w:val="00A20252"/>
    <w:rsid w:val="00A208CD"/>
    <w:rsid w:val="00A20BD5"/>
    <w:rsid w:val="00A22A74"/>
    <w:rsid w:val="00A24E92"/>
    <w:rsid w:val="00A30703"/>
    <w:rsid w:val="00A32DB8"/>
    <w:rsid w:val="00A3354D"/>
    <w:rsid w:val="00A40FA5"/>
    <w:rsid w:val="00A469F3"/>
    <w:rsid w:val="00A53F70"/>
    <w:rsid w:val="00A55519"/>
    <w:rsid w:val="00A55AED"/>
    <w:rsid w:val="00A615EE"/>
    <w:rsid w:val="00A70EEA"/>
    <w:rsid w:val="00A72335"/>
    <w:rsid w:val="00A745DD"/>
    <w:rsid w:val="00A77BE4"/>
    <w:rsid w:val="00A802CF"/>
    <w:rsid w:val="00A84D68"/>
    <w:rsid w:val="00A86A66"/>
    <w:rsid w:val="00AA3639"/>
    <w:rsid w:val="00AB4A3F"/>
    <w:rsid w:val="00AB7CA2"/>
    <w:rsid w:val="00AC645E"/>
    <w:rsid w:val="00AC7895"/>
    <w:rsid w:val="00AD6B41"/>
    <w:rsid w:val="00AD742D"/>
    <w:rsid w:val="00AD751E"/>
    <w:rsid w:val="00AE5200"/>
    <w:rsid w:val="00AE754D"/>
    <w:rsid w:val="00AF0C93"/>
    <w:rsid w:val="00AF500F"/>
    <w:rsid w:val="00B01282"/>
    <w:rsid w:val="00B04EBB"/>
    <w:rsid w:val="00B060D0"/>
    <w:rsid w:val="00B07043"/>
    <w:rsid w:val="00B1142E"/>
    <w:rsid w:val="00B146CD"/>
    <w:rsid w:val="00B14A1B"/>
    <w:rsid w:val="00B25CD1"/>
    <w:rsid w:val="00B260F3"/>
    <w:rsid w:val="00B2656F"/>
    <w:rsid w:val="00B30B21"/>
    <w:rsid w:val="00B30CE9"/>
    <w:rsid w:val="00B3106B"/>
    <w:rsid w:val="00B313A1"/>
    <w:rsid w:val="00B41584"/>
    <w:rsid w:val="00B424DB"/>
    <w:rsid w:val="00B42E44"/>
    <w:rsid w:val="00B5142F"/>
    <w:rsid w:val="00B5144E"/>
    <w:rsid w:val="00B55063"/>
    <w:rsid w:val="00B55E6C"/>
    <w:rsid w:val="00B56793"/>
    <w:rsid w:val="00B570C1"/>
    <w:rsid w:val="00B602C5"/>
    <w:rsid w:val="00B64FB9"/>
    <w:rsid w:val="00B6753C"/>
    <w:rsid w:val="00B84954"/>
    <w:rsid w:val="00B85EF6"/>
    <w:rsid w:val="00B97EBD"/>
    <w:rsid w:val="00BA1D13"/>
    <w:rsid w:val="00BA3C31"/>
    <w:rsid w:val="00BA6048"/>
    <w:rsid w:val="00BA7B25"/>
    <w:rsid w:val="00BB08F9"/>
    <w:rsid w:val="00BC0E0B"/>
    <w:rsid w:val="00BC2C42"/>
    <w:rsid w:val="00BC5F8C"/>
    <w:rsid w:val="00BC6B89"/>
    <w:rsid w:val="00BD17D3"/>
    <w:rsid w:val="00BD2EB7"/>
    <w:rsid w:val="00BD44CF"/>
    <w:rsid w:val="00BD6F20"/>
    <w:rsid w:val="00BE0309"/>
    <w:rsid w:val="00BE4E3F"/>
    <w:rsid w:val="00BF26C5"/>
    <w:rsid w:val="00BF71F0"/>
    <w:rsid w:val="00C006C5"/>
    <w:rsid w:val="00C00D2F"/>
    <w:rsid w:val="00C01C64"/>
    <w:rsid w:val="00C05116"/>
    <w:rsid w:val="00C060C4"/>
    <w:rsid w:val="00C0705A"/>
    <w:rsid w:val="00C07138"/>
    <w:rsid w:val="00C077E4"/>
    <w:rsid w:val="00C1193E"/>
    <w:rsid w:val="00C12AC4"/>
    <w:rsid w:val="00C15554"/>
    <w:rsid w:val="00C171CC"/>
    <w:rsid w:val="00C23C5F"/>
    <w:rsid w:val="00C37DBF"/>
    <w:rsid w:val="00C4066B"/>
    <w:rsid w:val="00C4395D"/>
    <w:rsid w:val="00C43B8D"/>
    <w:rsid w:val="00C44CE8"/>
    <w:rsid w:val="00C45CE9"/>
    <w:rsid w:val="00C46385"/>
    <w:rsid w:val="00C506FA"/>
    <w:rsid w:val="00C564EC"/>
    <w:rsid w:val="00C60B8E"/>
    <w:rsid w:val="00C64784"/>
    <w:rsid w:val="00C66EB8"/>
    <w:rsid w:val="00C737B9"/>
    <w:rsid w:val="00C74E11"/>
    <w:rsid w:val="00C800FB"/>
    <w:rsid w:val="00C815A8"/>
    <w:rsid w:val="00C82D38"/>
    <w:rsid w:val="00C91835"/>
    <w:rsid w:val="00CA1861"/>
    <w:rsid w:val="00CA353C"/>
    <w:rsid w:val="00CA664B"/>
    <w:rsid w:val="00CA7B3B"/>
    <w:rsid w:val="00CA7FA2"/>
    <w:rsid w:val="00CB2311"/>
    <w:rsid w:val="00CB28A9"/>
    <w:rsid w:val="00CB6BCC"/>
    <w:rsid w:val="00CC2B1A"/>
    <w:rsid w:val="00CC2B29"/>
    <w:rsid w:val="00CC393A"/>
    <w:rsid w:val="00CC5F0C"/>
    <w:rsid w:val="00CC7D25"/>
    <w:rsid w:val="00CD07E0"/>
    <w:rsid w:val="00CD6BD8"/>
    <w:rsid w:val="00CF03F0"/>
    <w:rsid w:val="00CF16C8"/>
    <w:rsid w:val="00D07F56"/>
    <w:rsid w:val="00D128FD"/>
    <w:rsid w:val="00D14F9A"/>
    <w:rsid w:val="00D17CD2"/>
    <w:rsid w:val="00D22682"/>
    <w:rsid w:val="00D22930"/>
    <w:rsid w:val="00D25B6B"/>
    <w:rsid w:val="00D25E96"/>
    <w:rsid w:val="00D32822"/>
    <w:rsid w:val="00D346F7"/>
    <w:rsid w:val="00D40D3D"/>
    <w:rsid w:val="00D4330D"/>
    <w:rsid w:val="00D444A3"/>
    <w:rsid w:val="00D47FE2"/>
    <w:rsid w:val="00D53D18"/>
    <w:rsid w:val="00D56DA5"/>
    <w:rsid w:val="00D60A51"/>
    <w:rsid w:val="00D617B5"/>
    <w:rsid w:val="00D625F7"/>
    <w:rsid w:val="00D74748"/>
    <w:rsid w:val="00D761E8"/>
    <w:rsid w:val="00D94BE8"/>
    <w:rsid w:val="00DA3AAF"/>
    <w:rsid w:val="00DB10A6"/>
    <w:rsid w:val="00DB1504"/>
    <w:rsid w:val="00DB3E82"/>
    <w:rsid w:val="00DB462B"/>
    <w:rsid w:val="00DB7910"/>
    <w:rsid w:val="00DC23A2"/>
    <w:rsid w:val="00DC4A81"/>
    <w:rsid w:val="00DC7838"/>
    <w:rsid w:val="00DD0D29"/>
    <w:rsid w:val="00DD20D2"/>
    <w:rsid w:val="00DD37A1"/>
    <w:rsid w:val="00DF1730"/>
    <w:rsid w:val="00DF1E74"/>
    <w:rsid w:val="00DF3C6D"/>
    <w:rsid w:val="00DF513C"/>
    <w:rsid w:val="00DF5A23"/>
    <w:rsid w:val="00DF6FAE"/>
    <w:rsid w:val="00E021E7"/>
    <w:rsid w:val="00E0507D"/>
    <w:rsid w:val="00E075EC"/>
    <w:rsid w:val="00E124E9"/>
    <w:rsid w:val="00E12C0C"/>
    <w:rsid w:val="00E133D8"/>
    <w:rsid w:val="00E1468F"/>
    <w:rsid w:val="00E20EBC"/>
    <w:rsid w:val="00E216AF"/>
    <w:rsid w:val="00E23058"/>
    <w:rsid w:val="00E26F4D"/>
    <w:rsid w:val="00E27696"/>
    <w:rsid w:val="00E3057F"/>
    <w:rsid w:val="00E342D4"/>
    <w:rsid w:val="00E368EE"/>
    <w:rsid w:val="00E40788"/>
    <w:rsid w:val="00E40DC2"/>
    <w:rsid w:val="00E44A32"/>
    <w:rsid w:val="00E46A66"/>
    <w:rsid w:val="00E47AC0"/>
    <w:rsid w:val="00E51EE0"/>
    <w:rsid w:val="00E52950"/>
    <w:rsid w:val="00E5297C"/>
    <w:rsid w:val="00E53D7D"/>
    <w:rsid w:val="00E53FAD"/>
    <w:rsid w:val="00E57ACF"/>
    <w:rsid w:val="00E625CA"/>
    <w:rsid w:val="00E67029"/>
    <w:rsid w:val="00E675A4"/>
    <w:rsid w:val="00E67602"/>
    <w:rsid w:val="00E7599B"/>
    <w:rsid w:val="00E801D6"/>
    <w:rsid w:val="00E81AC6"/>
    <w:rsid w:val="00E84CA2"/>
    <w:rsid w:val="00E855C6"/>
    <w:rsid w:val="00EA2B67"/>
    <w:rsid w:val="00EA5DCB"/>
    <w:rsid w:val="00EA79E4"/>
    <w:rsid w:val="00EB15B0"/>
    <w:rsid w:val="00EB1A40"/>
    <w:rsid w:val="00EB2060"/>
    <w:rsid w:val="00EB24BD"/>
    <w:rsid w:val="00EB5881"/>
    <w:rsid w:val="00EC0818"/>
    <w:rsid w:val="00EC0995"/>
    <w:rsid w:val="00EC3490"/>
    <w:rsid w:val="00EC53D3"/>
    <w:rsid w:val="00EC5BB8"/>
    <w:rsid w:val="00EC5CC2"/>
    <w:rsid w:val="00EC69A1"/>
    <w:rsid w:val="00EC7C3F"/>
    <w:rsid w:val="00ED7D4B"/>
    <w:rsid w:val="00EE55FC"/>
    <w:rsid w:val="00EE691F"/>
    <w:rsid w:val="00EE7414"/>
    <w:rsid w:val="00EF147B"/>
    <w:rsid w:val="00EF6A71"/>
    <w:rsid w:val="00EF6FC8"/>
    <w:rsid w:val="00F0434F"/>
    <w:rsid w:val="00F05B3C"/>
    <w:rsid w:val="00F05C51"/>
    <w:rsid w:val="00F070E7"/>
    <w:rsid w:val="00F10499"/>
    <w:rsid w:val="00F17091"/>
    <w:rsid w:val="00F21ED3"/>
    <w:rsid w:val="00F30BA1"/>
    <w:rsid w:val="00F3148B"/>
    <w:rsid w:val="00F33E9D"/>
    <w:rsid w:val="00F34AB9"/>
    <w:rsid w:val="00F43BA4"/>
    <w:rsid w:val="00F46053"/>
    <w:rsid w:val="00F50E81"/>
    <w:rsid w:val="00F53708"/>
    <w:rsid w:val="00F57197"/>
    <w:rsid w:val="00F60AE2"/>
    <w:rsid w:val="00F708F4"/>
    <w:rsid w:val="00F70CF7"/>
    <w:rsid w:val="00F70F12"/>
    <w:rsid w:val="00F7140F"/>
    <w:rsid w:val="00F71433"/>
    <w:rsid w:val="00F80D5B"/>
    <w:rsid w:val="00F8305B"/>
    <w:rsid w:val="00F90E8F"/>
    <w:rsid w:val="00F91681"/>
    <w:rsid w:val="00F93165"/>
    <w:rsid w:val="00F961BF"/>
    <w:rsid w:val="00FA205A"/>
    <w:rsid w:val="00FA6FC2"/>
    <w:rsid w:val="00FB078B"/>
    <w:rsid w:val="00FB173C"/>
    <w:rsid w:val="00FB27DF"/>
    <w:rsid w:val="00FC3296"/>
    <w:rsid w:val="00FC3FC2"/>
    <w:rsid w:val="00FC478D"/>
    <w:rsid w:val="00FD1BD6"/>
    <w:rsid w:val="00FD3F57"/>
    <w:rsid w:val="00FD40D4"/>
    <w:rsid w:val="00FD5701"/>
    <w:rsid w:val="00FE184C"/>
    <w:rsid w:val="00FE5DBA"/>
    <w:rsid w:val="00FE5FBE"/>
    <w:rsid w:val="00FE648A"/>
    <w:rsid w:val="00FF0C7D"/>
    <w:rsid w:val="00FF2680"/>
    <w:rsid w:val="00FF3D2E"/>
    <w:rsid w:val="00FF52E3"/>
    <w:rsid w:val="00FF6B84"/>
    <w:rsid w:val="00FF7B6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47D086D"/>
  <w15:docId w15:val="{BD97D4E1-7F66-4480-BF91-9544A834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0D2"/>
    <w:pPr>
      <w:spacing w:after="160" w:line="259" w:lineRule="auto"/>
    </w:pPr>
    <w:rPr>
      <w:rFonts w:eastAsiaTheme="minorEastAsia"/>
      <w:lang w:eastAsia="fr-FR"/>
    </w:rPr>
  </w:style>
  <w:style w:type="paragraph" w:styleId="Titre1">
    <w:name w:val="heading 1"/>
    <w:basedOn w:val="Normal"/>
    <w:next w:val="Normal"/>
    <w:link w:val="Titre1C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rPr>
      <w:rFonts w:asciiTheme="majorHAnsi" w:eastAsiaTheme="majorEastAsia" w:hAnsiTheme="majorHAnsi" w:cstheme="majorBidi"/>
      <w:i/>
      <w:iCs/>
      <w:color w:val="404040" w:themeColor="text1" w:themeTint="BF"/>
      <w:sz w:val="20"/>
      <w:szCs w:val="20"/>
    </w:rPr>
  </w:style>
  <w:style w:type="paragraph" w:styleId="Titre">
    <w:name w:val="Title"/>
    <w:basedOn w:val="Normal"/>
    <w:next w:val="Normal"/>
    <w:link w:val="Titre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Pr>
      <w:rFonts w:asciiTheme="majorHAnsi" w:eastAsiaTheme="majorEastAsia" w:hAnsiTheme="majorHAnsi" w:cstheme="majorBidi"/>
      <w:i/>
      <w:iCs/>
      <w:color w:val="4F81BD" w:themeColor="accent1"/>
      <w:spacing w:val="15"/>
      <w:sz w:val="24"/>
      <w:szCs w:val="24"/>
    </w:rPr>
  </w:style>
  <w:style w:type="character" w:styleId="Emphaseple">
    <w:name w:val="Subtle Emphasis"/>
    <w:basedOn w:val="Policepardfaut"/>
    <w:uiPriority w:val="19"/>
    <w:qFormat/>
    <w:rPr>
      <w:i/>
      <w:iCs/>
      <w:color w:val="808080" w:themeColor="text1" w:themeTint="7F"/>
    </w:rPr>
  </w:style>
  <w:style w:type="character" w:styleId="Accentuation">
    <w:name w:val="Emphasis"/>
    <w:basedOn w:val="Policepardfaut"/>
    <w:uiPriority w:val="20"/>
    <w:qFormat/>
    <w:rPr>
      <w:i/>
      <w:iCs/>
    </w:rPr>
  </w:style>
  <w:style w:type="character" w:styleId="Emphaseintense">
    <w:name w:val="Intense Emphasis"/>
    <w:basedOn w:val="Policepardfaut"/>
    <w:uiPriority w:val="21"/>
    <w:qFormat/>
    <w:rPr>
      <w:b/>
      <w:bCs/>
      <w:i/>
      <w:iCs/>
      <w:color w:val="4F81BD" w:themeColor="accent1"/>
    </w:rPr>
  </w:style>
  <w:style w:type="character" w:styleId="lev">
    <w:name w:val="Strong"/>
    <w:basedOn w:val="Policepardfaut"/>
    <w:uiPriority w:val="22"/>
    <w:qFormat/>
    <w:rPr>
      <w:b/>
      <w:bCs/>
    </w:rPr>
  </w:style>
  <w:style w:type="paragraph" w:styleId="Citation">
    <w:name w:val="Quote"/>
    <w:basedOn w:val="Normal"/>
    <w:next w:val="Normal"/>
    <w:link w:val="CitationCar"/>
    <w:uiPriority w:val="29"/>
    <w:qFormat/>
    <w:rPr>
      <w:i/>
      <w:iCs/>
      <w:color w:val="000000" w:themeColor="text1"/>
    </w:rPr>
  </w:style>
  <w:style w:type="character" w:customStyle="1" w:styleId="CitationCar">
    <w:name w:val="Citation Car"/>
    <w:basedOn w:val="Policepardfaut"/>
    <w:link w:val="Citation"/>
    <w:uiPriority w:val="29"/>
    <w:rPr>
      <w:i/>
      <w:iCs/>
      <w:color w:val="000000" w:themeColor="text1"/>
    </w:rPr>
  </w:style>
  <w:style w:type="paragraph" w:styleId="Citationintense">
    <w:name w:val="Intense Quote"/>
    <w:basedOn w:val="Normal"/>
    <w:next w:val="Normal"/>
    <w:link w:val="Citationintense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Pr>
      <w:b/>
      <w:bCs/>
      <w:i/>
      <w:iCs/>
      <w:color w:val="4F81BD" w:themeColor="accent1"/>
    </w:rPr>
  </w:style>
  <w:style w:type="character" w:styleId="Rfrenceple">
    <w:name w:val="Subtle Reference"/>
    <w:basedOn w:val="Policepardfaut"/>
    <w:uiPriority w:val="31"/>
    <w:qFormat/>
    <w:rPr>
      <w:smallCaps/>
      <w:color w:val="C0504D" w:themeColor="accent2"/>
      <w:u w:val="single"/>
    </w:rPr>
  </w:style>
  <w:style w:type="character" w:styleId="Rfrenceintense">
    <w:name w:val="Intense Reference"/>
    <w:basedOn w:val="Policepardfaut"/>
    <w:uiPriority w:val="32"/>
    <w:qFormat/>
    <w:rPr>
      <w:b/>
      <w:bCs/>
      <w:smallCaps/>
      <w:color w:val="C0504D" w:themeColor="accent2"/>
      <w:spacing w:val="5"/>
      <w:u w:val="single"/>
    </w:rPr>
  </w:style>
  <w:style w:type="character" w:styleId="Titredulivre">
    <w:name w:val="Book Title"/>
    <w:basedOn w:val="Policepardfaut"/>
    <w:uiPriority w:val="33"/>
    <w:qFormat/>
    <w:rPr>
      <w:b/>
      <w:bCs/>
      <w:smallCaps/>
      <w:spacing w:val="5"/>
    </w:rPr>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uiPriority w:val="34"/>
    <w:qFormat/>
    <w:pPr>
      <w:ind w:left="720"/>
      <w:contextualSpacing/>
    </w:pPr>
  </w:style>
  <w:style w:type="character" w:styleId="Lienhypertexte">
    <w:name w:val="Hyperlink"/>
    <w:basedOn w:val="Policepardfaut"/>
    <w:uiPriority w:val="99"/>
    <w:unhideWhenUsed/>
    <w:rPr>
      <w:color w:val="0000FF" w:themeColor="hyperlink"/>
      <w:u w:val="single"/>
    </w:rPr>
  </w:style>
  <w:style w:type="character" w:styleId="Lienhypertextesuivivisit">
    <w:name w:val="FollowedHyperlink"/>
    <w:basedOn w:val="Policepardfaut"/>
    <w:uiPriority w:val="99"/>
    <w:unhideWhenUsed/>
    <w:rPr>
      <w:color w:val="800080" w:themeColor="followedHyperlink"/>
      <w:u w:val="single"/>
    </w:rPr>
  </w:style>
  <w:style w:type="paragraph" w:styleId="Notedebasdepage">
    <w:name w:val="footnote text"/>
    <w:aliases w:val="single space,Texte de note de bas de page,footnote text,5_G"/>
    <w:basedOn w:val="Normal"/>
    <w:link w:val="NotedebasdepageCar"/>
    <w:uiPriority w:val="99"/>
    <w:unhideWhenUsed/>
    <w:qFormat/>
    <w:rsid w:val="00DD20D2"/>
    <w:pPr>
      <w:spacing w:after="0" w:line="240" w:lineRule="auto"/>
    </w:pPr>
    <w:rPr>
      <w:sz w:val="20"/>
      <w:szCs w:val="20"/>
    </w:rPr>
  </w:style>
  <w:style w:type="character" w:customStyle="1" w:styleId="NotedebasdepageCar">
    <w:name w:val="Note de bas de page Car"/>
    <w:aliases w:val="single space Car,Texte de note de bas de page Car,footnote text Car,5_G Car"/>
    <w:basedOn w:val="Policepardfaut"/>
    <w:link w:val="Notedebasdepage"/>
    <w:uiPriority w:val="99"/>
    <w:rsid w:val="00DD20D2"/>
    <w:rPr>
      <w:rFonts w:eastAsiaTheme="minorEastAsia"/>
      <w:sz w:val="20"/>
      <w:szCs w:val="20"/>
      <w:lang w:eastAsia="fr-FR"/>
    </w:rPr>
  </w:style>
  <w:style w:type="character" w:styleId="Appelnotedebasdep">
    <w:name w:val="footnote reference"/>
    <w:aliases w:val="ftref,Footnotes refss,Style 10,Appel note de bas de page,4_G"/>
    <w:basedOn w:val="Policepardfaut"/>
    <w:uiPriority w:val="99"/>
    <w:unhideWhenUsed/>
    <w:qFormat/>
    <w:rsid w:val="00DD20D2"/>
    <w:rPr>
      <w:vertAlign w:val="superscript"/>
    </w:rPr>
  </w:style>
  <w:style w:type="paragraph" w:styleId="En-tte">
    <w:name w:val="header"/>
    <w:basedOn w:val="Normal"/>
    <w:link w:val="En-tteCar"/>
    <w:uiPriority w:val="99"/>
    <w:unhideWhenUsed/>
    <w:rsid w:val="00554425"/>
    <w:pPr>
      <w:tabs>
        <w:tab w:val="center" w:pos="4536"/>
        <w:tab w:val="right" w:pos="9072"/>
      </w:tabs>
      <w:spacing w:after="0" w:line="240" w:lineRule="auto"/>
    </w:pPr>
  </w:style>
  <w:style w:type="character" w:customStyle="1" w:styleId="En-tteCar">
    <w:name w:val="En-tête Car"/>
    <w:basedOn w:val="Policepardfaut"/>
    <w:link w:val="En-tte"/>
    <w:uiPriority w:val="99"/>
    <w:rsid w:val="00554425"/>
    <w:rPr>
      <w:rFonts w:eastAsiaTheme="minorEastAsia"/>
      <w:lang w:eastAsia="fr-FR"/>
    </w:rPr>
  </w:style>
  <w:style w:type="paragraph" w:styleId="Pieddepage">
    <w:name w:val="footer"/>
    <w:basedOn w:val="Normal"/>
    <w:link w:val="PieddepageCar"/>
    <w:uiPriority w:val="99"/>
    <w:unhideWhenUsed/>
    <w:rsid w:val="0055442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54425"/>
    <w:rPr>
      <w:rFonts w:eastAsiaTheme="minorEastAsia"/>
      <w:lang w:eastAsia="fr-FR"/>
    </w:rPr>
  </w:style>
  <w:style w:type="character" w:customStyle="1" w:styleId="fullarticletexte">
    <w:name w:val="fullarticletexte"/>
    <w:basedOn w:val="Policepardfaut"/>
    <w:rsid w:val="00EE691F"/>
  </w:style>
  <w:style w:type="character" w:customStyle="1" w:styleId="A5">
    <w:name w:val="A5"/>
    <w:uiPriority w:val="99"/>
    <w:rsid w:val="00B2656F"/>
    <w:rPr>
      <w:i/>
      <w:iCs/>
      <w:color w:val="000000"/>
      <w:sz w:val="20"/>
      <w:szCs w:val="20"/>
    </w:rPr>
  </w:style>
  <w:style w:type="paragraph" w:customStyle="1" w:styleId="Pa3">
    <w:name w:val="Pa3"/>
    <w:basedOn w:val="Normal"/>
    <w:next w:val="Normal"/>
    <w:uiPriority w:val="99"/>
    <w:rsid w:val="00DB3E82"/>
    <w:pPr>
      <w:autoSpaceDE w:val="0"/>
      <w:autoSpaceDN w:val="0"/>
      <w:adjustRightInd w:val="0"/>
      <w:spacing w:after="0" w:line="241" w:lineRule="atLeast"/>
    </w:pPr>
    <w:rPr>
      <w:rFonts w:ascii="Arial" w:eastAsiaTheme="minorHAnsi" w:hAnsi="Arial" w:cs="Arial"/>
      <w:sz w:val="24"/>
      <w:szCs w:val="24"/>
      <w:lang w:eastAsia="en-US"/>
    </w:rPr>
  </w:style>
  <w:style w:type="character" w:customStyle="1" w:styleId="A0">
    <w:name w:val="A0"/>
    <w:uiPriority w:val="99"/>
    <w:rsid w:val="00055879"/>
    <w:rPr>
      <w:rFonts w:cs="Calibri"/>
      <w:color w:val="000000"/>
      <w:sz w:val="28"/>
      <w:szCs w:val="28"/>
    </w:rPr>
  </w:style>
  <w:style w:type="paragraph" w:customStyle="1" w:styleId="s9e9b0cd7">
    <w:name w:val="s9e9b0cd7"/>
    <w:basedOn w:val="Normal"/>
    <w:rsid w:val="00F05B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Policepardfaut"/>
    <w:rsid w:val="00F05B3C"/>
  </w:style>
  <w:style w:type="character" w:customStyle="1" w:styleId="s1a844bc0">
    <w:name w:val="s1a844bc0"/>
    <w:basedOn w:val="Policepardfaut"/>
    <w:rsid w:val="00F05B3C"/>
  </w:style>
  <w:style w:type="table" w:styleId="Grilledutableau">
    <w:name w:val="Table Grid"/>
    <w:basedOn w:val="TableauNormal"/>
    <w:uiPriority w:val="39"/>
    <w:rsid w:val="00FE648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cun">
    <w:name w:val="Aucun"/>
    <w:rsid w:val="0082190E"/>
    <w:rPr>
      <w:lang w:val="fr-FR"/>
    </w:rPr>
  </w:style>
  <w:style w:type="paragraph" w:customStyle="1" w:styleId="Corps">
    <w:name w:val="Corps"/>
    <w:rsid w:val="0082190E"/>
    <w:pPr>
      <w:pBdr>
        <w:top w:val="nil"/>
        <w:left w:val="nil"/>
        <w:bottom w:val="nil"/>
        <w:right w:val="nil"/>
        <w:between w:val="nil"/>
        <w:bar w:val="nil"/>
      </w:pBdr>
    </w:pPr>
    <w:rPr>
      <w:rFonts w:ascii="Calibri" w:eastAsia="Calibri" w:hAnsi="Calibri" w:cs="Calibri"/>
      <w:color w:val="000000"/>
      <w:u w:color="000000"/>
      <w:bdr w:val="nil"/>
      <w:lang w:eastAsia="fr-FR"/>
      <w14:textOutline w14:w="0" w14:cap="flat" w14:cmpd="sng" w14:algn="ctr">
        <w14:noFill/>
        <w14:prstDash w14:val="solid"/>
        <w14:bevel/>
      </w14:textOutline>
    </w:rPr>
  </w:style>
  <w:style w:type="character" w:customStyle="1" w:styleId="A8">
    <w:name w:val="A8"/>
    <w:uiPriority w:val="99"/>
    <w:rsid w:val="001609BF"/>
    <w:rPr>
      <w:color w:val="000000"/>
      <w:sz w:val="40"/>
      <w:szCs w:val="40"/>
    </w:rPr>
  </w:style>
  <w:style w:type="paragraph" w:customStyle="1" w:styleId="Default">
    <w:name w:val="Default"/>
    <w:rsid w:val="005567C1"/>
    <w:pPr>
      <w:autoSpaceDE w:val="0"/>
      <w:autoSpaceDN w:val="0"/>
      <w:adjustRightInd w:val="0"/>
      <w:spacing w:after="0" w:line="240" w:lineRule="auto"/>
    </w:pPr>
    <w:rPr>
      <w:rFonts w:ascii="Myriad Pro" w:hAnsi="Myriad Pro" w:cs="Myriad Pro"/>
      <w:color w:val="000000"/>
      <w:sz w:val="24"/>
      <w:szCs w:val="24"/>
      <w:lang w:val="uz-Cyrl-UZ"/>
    </w:rPr>
  </w:style>
  <w:style w:type="paragraph" w:customStyle="1" w:styleId="Pa0">
    <w:name w:val="Pa0"/>
    <w:basedOn w:val="Default"/>
    <w:next w:val="Default"/>
    <w:uiPriority w:val="99"/>
    <w:rsid w:val="002356AD"/>
    <w:pPr>
      <w:spacing w:line="241" w:lineRule="atLeast"/>
    </w:pPr>
    <w:rPr>
      <w:rFonts w:cstheme="minorBidi"/>
      <w:color w:val="auto"/>
    </w:rPr>
  </w:style>
  <w:style w:type="character" w:customStyle="1" w:styleId="A4">
    <w:name w:val="A4"/>
    <w:uiPriority w:val="99"/>
    <w:rsid w:val="002356AD"/>
    <w:rPr>
      <w:rFonts w:cs="Myriad Pro"/>
      <w:i/>
      <w:iCs/>
      <w:color w:val="000000"/>
      <w:sz w:val="14"/>
      <w:szCs w:val="14"/>
    </w:rPr>
  </w:style>
  <w:style w:type="paragraph" w:customStyle="1" w:styleId="Pa1">
    <w:name w:val="Pa1"/>
    <w:basedOn w:val="Default"/>
    <w:next w:val="Default"/>
    <w:uiPriority w:val="99"/>
    <w:rsid w:val="00305788"/>
    <w:pPr>
      <w:spacing w:line="241" w:lineRule="atLeast"/>
    </w:pPr>
    <w:rPr>
      <w:rFonts w:cstheme="minorBidi"/>
      <w:color w:val="auto"/>
    </w:rPr>
  </w:style>
  <w:style w:type="character" w:customStyle="1" w:styleId="A6">
    <w:name w:val="A6"/>
    <w:uiPriority w:val="99"/>
    <w:rsid w:val="00920BD6"/>
    <w:rPr>
      <w:rFonts w:cs="Myriad Pro"/>
      <w:color w:val="000000"/>
      <w:sz w:val="14"/>
      <w:szCs w:val="14"/>
    </w:rPr>
  </w:style>
  <w:style w:type="character" w:styleId="Marquedecommentaire">
    <w:name w:val="annotation reference"/>
    <w:basedOn w:val="Policepardfaut"/>
    <w:uiPriority w:val="99"/>
    <w:semiHidden/>
    <w:unhideWhenUsed/>
    <w:rsid w:val="00C15554"/>
    <w:rPr>
      <w:sz w:val="18"/>
      <w:szCs w:val="18"/>
    </w:rPr>
  </w:style>
  <w:style w:type="paragraph" w:styleId="Commentaire">
    <w:name w:val="annotation text"/>
    <w:basedOn w:val="Normal"/>
    <w:link w:val="CommentaireCar"/>
    <w:uiPriority w:val="99"/>
    <w:semiHidden/>
    <w:unhideWhenUsed/>
    <w:rsid w:val="00C15554"/>
    <w:pPr>
      <w:spacing w:line="240" w:lineRule="auto"/>
    </w:pPr>
    <w:rPr>
      <w:sz w:val="24"/>
      <w:szCs w:val="24"/>
    </w:rPr>
  </w:style>
  <w:style w:type="character" w:customStyle="1" w:styleId="CommentaireCar">
    <w:name w:val="Commentaire Car"/>
    <w:basedOn w:val="Policepardfaut"/>
    <w:link w:val="Commentaire"/>
    <w:uiPriority w:val="99"/>
    <w:semiHidden/>
    <w:rsid w:val="00C15554"/>
    <w:rPr>
      <w:rFonts w:eastAsiaTheme="minorEastAsia"/>
      <w:sz w:val="24"/>
      <w:szCs w:val="24"/>
      <w:lang w:eastAsia="fr-FR"/>
    </w:rPr>
  </w:style>
  <w:style w:type="paragraph" w:styleId="Objetducommentaire">
    <w:name w:val="annotation subject"/>
    <w:basedOn w:val="Commentaire"/>
    <w:next w:val="Commentaire"/>
    <w:link w:val="ObjetducommentaireCar"/>
    <w:uiPriority w:val="99"/>
    <w:semiHidden/>
    <w:unhideWhenUsed/>
    <w:rsid w:val="00C15554"/>
    <w:rPr>
      <w:b/>
      <w:bCs/>
      <w:sz w:val="20"/>
      <w:szCs w:val="20"/>
    </w:rPr>
  </w:style>
  <w:style w:type="character" w:customStyle="1" w:styleId="ObjetducommentaireCar">
    <w:name w:val="Objet du commentaire Car"/>
    <w:basedOn w:val="CommentaireCar"/>
    <w:link w:val="Objetducommentaire"/>
    <w:uiPriority w:val="99"/>
    <w:semiHidden/>
    <w:rsid w:val="00C15554"/>
    <w:rPr>
      <w:rFonts w:eastAsiaTheme="minorEastAsia"/>
      <w:b/>
      <w:bCs/>
      <w:sz w:val="20"/>
      <w:szCs w:val="20"/>
      <w:lang w:eastAsia="fr-FR"/>
    </w:rPr>
  </w:style>
  <w:style w:type="paragraph" w:styleId="Textedebulles">
    <w:name w:val="Balloon Text"/>
    <w:basedOn w:val="Normal"/>
    <w:link w:val="TextedebullesCar"/>
    <w:uiPriority w:val="99"/>
    <w:semiHidden/>
    <w:unhideWhenUsed/>
    <w:rsid w:val="00C15554"/>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15554"/>
    <w:rPr>
      <w:rFonts w:ascii="Lucida Grande" w:eastAsiaTheme="minorEastAsia" w:hAnsi="Lucida Grande" w:cs="Lucida Grande"/>
      <w:sz w:val="18"/>
      <w:szCs w:val="18"/>
      <w:lang w:eastAsia="fr-FR"/>
    </w:rPr>
  </w:style>
  <w:style w:type="character" w:customStyle="1" w:styleId="Mentionnonrsolue1">
    <w:name w:val="Mention non résolue1"/>
    <w:basedOn w:val="Policepardfaut"/>
    <w:uiPriority w:val="99"/>
    <w:semiHidden/>
    <w:unhideWhenUsed/>
    <w:rsid w:val="00900DD5"/>
    <w:rPr>
      <w:color w:val="605E5C"/>
      <w:shd w:val="clear" w:color="auto" w:fill="E1DFDD"/>
    </w:rPr>
  </w:style>
  <w:style w:type="paragraph" w:customStyle="1" w:styleId="SingleTxtG">
    <w:name w:val="_ Single Txt_G"/>
    <w:basedOn w:val="Normal"/>
    <w:link w:val="SingleTxtGChar"/>
    <w:rsid w:val="00F0434F"/>
    <w:pPr>
      <w:suppressAutoHyphens/>
      <w:spacing w:after="120" w:line="240" w:lineRule="atLeast"/>
      <w:ind w:left="1134" w:right="1134"/>
      <w:jc w:val="both"/>
    </w:pPr>
    <w:rPr>
      <w:rFonts w:ascii="Times New Roman" w:eastAsia="Times New Roman" w:hAnsi="Times New Roman" w:cs="Times New Roman"/>
      <w:sz w:val="20"/>
      <w:szCs w:val="20"/>
      <w:lang w:val="fr-CH" w:eastAsia="en-US"/>
    </w:rPr>
  </w:style>
  <w:style w:type="paragraph" w:styleId="Rvision">
    <w:name w:val="Revision"/>
    <w:hidden/>
    <w:uiPriority w:val="99"/>
    <w:semiHidden/>
    <w:rsid w:val="00F70CF7"/>
    <w:pPr>
      <w:spacing w:after="0" w:line="240" w:lineRule="auto"/>
    </w:pPr>
    <w:rPr>
      <w:rFonts w:eastAsiaTheme="minorEastAsia"/>
      <w:lang w:eastAsia="fr-FR"/>
    </w:rPr>
  </w:style>
  <w:style w:type="character" w:customStyle="1" w:styleId="SingleTxtGChar">
    <w:name w:val="_ Single Txt_G Char"/>
    <w:link w:val="SingleTxtG"/>
    <w:rsid w:val="002E68F9"/>
    <w:rPr>
      <w:rFonts w:ascii="Times New Roman" w:eastAsia="Times New Roman" w:hAnsi="Times New Roman" w:cs="Times New Roman"/>
      <w:sz w:val="20"/>
      <w:szCs w:val="20"/>
      <w:lang w:val="fr-CH"/>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link w:val="Paragraphedeliste"/>
    <w:uiPriority w:val="34"/>
    <w:qFormat/>
    <w:locked/>
    <w:rsid w:val="003315CF"/>
    <w:rPr>
      <w:rFonts w:eastAsiaTheme="minorEastAsia"/>
      <w:lang w:eastAsia="fr-FR"/>
    </w:rPr>
  </w:style>
  <w:style w:type="character" w:customStyle="1" w:styleId="UnresolvedMention">
    <w:name w:val="Unresolved Mention"/>
    <w:basedOn w:val="Policepardfaut"/>
    <w:uiPriority w:val="99"/>
    <w:semiHidden/>
    <w:unhideWhenUsed/>
    <w:rsid w:val="00EC5BB8"/>
    <w:rPr>
      <w:color w:val="605E5C"/>
      <w:shd w:val="clear" w:color="auto" w:fill="E1DFDD"/>
    </w:rPr>
  </w:style>
  <w:style w:type="paragraph" w:styleId="En-ttedetabledesmatires">
    <w:name w:val="TOC Heading"/>
    <w:basedOn w:val="Titre1"/>
    <w:next w:val="Normal"/>
    <w:uiPriority w:val="39"/>
    <w:unhideWhenUsed/>
    <w:qFormat/>
    <w:rsid w:val="00C800FB"/>
    <w:pPr>
      <w:spacing w:before="240"/>
      <w:outlineLvl w:val="9"/>
    </w:pPr>
    <w:rPr>
      <w:b w:val="0"/>
      <w:bCs w:val="0"/>
      <w:sz w:val="32"/>
      <w:szCs w:val="32"/>
    </w:rPr>
  </w:style>
  <w:style w:type="paragraph" w:styleId="TM1">
    <w:name w:val="toc 1"/>
    <w:basedOn w:val="Normal"/>
    <w:next w:val="Normal"/>
    <w:autoRedefine/>
    <w:uiPriority w:val="39"/>
    <w:unhideWhenUsed/>
    <w:rsid w:val="00C800FB"/>
    <w:pPr>
      <w:spacing w:after="100"/>
    </w:pPr>
  </w:style>
  <w:style w:type="paragraph" w:styleId="TM2">
    <w:name w:val="toc 2"/>
    <w:basedOn w:val="Normal"/>
    <w:next w:val="Normal"/>
    <w:autoRedefine/>
    <w:uiPriority w:val="39"/>
    <w:unhideWhenUsed/>
    <w:rsid w:val="00C800FB"/>
    <w:pPr>
      <w:spacing w:after="100"/>
      <w:ind w:left="220"/>
    </w:pPr>
  </w:style>
  <w:style w:type="paragraph" w:styleId="TM3">
    <w:name w:val="toc 3"/>
    <w:basedOn w:val="Normal"/>
    <w:next w:val="Normal"/>
    <w:autoRedefine/>
    <w:uiPriority w:val="39"/>
    <w:unhideWhenUsed/>
    <w:rsid w:val="007911B9"/>
    <w:pPr>
      <w:tabs>
        <w:tab w:val="left" w:pos="1320"/>
        <w:tab w:val="right" w:leader="dot" w:pos="9062"/>
      </w:tabs>
      <w:spacing w:after="100"/>
      <w:ind w:left="44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326208">
      <w:bodyDiv w:val="1"/>
      <w:marLeft w:val="0"/>
      <w:marRight w:val="0"/>
      <w:marTop w:val="0"/>
      <w:marBottom w:val="0"/>
      <w:divBdr>
        <w:top w:val="none" w:sz="0" w:space="0" w:color="auto"/>
        <w:left w:val="none" w:sz="0" w:space="0" w:color="auto"/>
        <w:bottom w:val="none" w:sz="0" w:space="0" w:color="auto"/>
        <w:right w:val="none" w:sz="0" w:space="0" w:color="auto"/>
      </w:divBdr>
    </w:div>
    <w:div w:id="1804276632">
      <w:bodyDiv w:val="1"/>
      <w:marLeft w:val="0"/>
      <w:marRight w:val="0"/>
      <w:marTop w:val="0"/>
      <w:marBottom w:val="0"/>
      <w:divBdr>
        <w:top w:val="none" w:sz="0" w:space="0" w:color="auto"/>
        <w:left w:val="none" w:sz="0" w:space="0" w:color="auto"/>
        <w:bottom w:val="none" w:sz="0" w:space="0" w:color="auto"/>
        <w:right w:val="none" w:sz="0" w:space="0" w:color="auto"/>
      </w:divBdr>
    </w:div>
    <w:div w:id="2016763139">
      <w:bodyDiv w:val="1"/>
      <w:marLeft w:val="0"/>
      <w:marRight w:val="0"/>
      <w:marTop w:val="0"/>
      <w:marBottom w:val="0"/>
      <w:divBdr>
        <w:top w:val="none" w:sz="0" w:space="0" w:color="auto"/>
        <w:left w:val="none" w:sz="0" w:space="0" w:color="auto"/>
        <w:bottom w:val="none" w:sz="0" w:space="0" w:color="auto"/>
        <w:right w:val="none" w:sz="0" w:space="0" w:color="auto"/>
      </w:divBdr>
      <w:divsChild>
        <w:div w:id="157438769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rsf.org/fr/pays/b%C3%A9nin" TargetMode="External"/><Relationship Id="rId13" Type="http://schemas.openxmlformats.org/officeDocument/2006/relationships/hyperlink" Target="https://decision.courconstitutionnellebenin.bj/upload/decision/DCC18-001.pdf" TargetMode="External"/><Relationship Id="rId18" Type="http://schemas.openxmlformats.org/officeDocument/2006/relationships/hyperlink" Target="https://sgg.gouv.bj/doc/decret-2019-105/download" TargetMode="External"/><Relationship Id="rId26" Type="http://schemas.openxmlformats.org/officeDocument/2006/relationships/hyperlink" Target="https://mediapartbenin.com/article/396/benin-conseil-national-de-leducation-les-nouveaux-membres-desormais-installes/" TargetMode="External"/><Relationship Id="rId3" Type="http://schemas.openxmlformats.org/officeDocument/2006/relationships/hyperlink" Target="https://www.24haubenin.info/?4-morts-dans-un-conflit-a-Tchaourou" TargetMode="External"/><Relationship Id="rId21" Type="http://schemas.openxmlformats.org/officeDocument/2006/relationships/hyperlink" Target="https://socialwatch.bj/?p=1940" TargetMode="External"/><Relationship Id="rId7" Type="http://schemas.openxmlformats.org/officeDocument/2006/relationships/hyperlink" Target="https://www.achpr.org/fr_sessions/resolutions?id=439" TargetMode="External"/><Relationship Id="rId12" Type="http://schemas.openxmlformats.org/officeDocument/2006/relationships/hyperlink" Target="https://decision.courconstitutionnellebenin.bj/upload/decision/DCC12-106.pdf" TargetMode="External"/><Relationship Id="rId17" Type="http://schemas.openxmlformats.org/officeDocument/2006/relationships/hyperlink" Target="https://sgg.gouv.bj/doc/loi-2020-37/" TargetMode="External"/><Relationship Id="rId25" Type="http://schemas.openxmlformats.org/officeDocument/2006/relationships/hyperlink" Target="https://assemblee-nationale.bj/wp-content/uploads/2020/03/rapport-final-etude-prospective-sur-leducation-en-republique-du-benin.pdf" TargetMode="External"/><Relationship Id="rId2" Type="http://schemas.openxmlformats.org/officeDocument/2006/relationships/hyperlink" Target="https://www.bing.com/search?q=Affrontement+entre+%C3%A9leveurs+et+agriculteurs+%C3%A0+malanville&amp;qs=n&amp;form=QBRE&amp;sp=-1&amp;pq=affrontement+entre+%C3%A9leveurs+et+agriculteurs+%C3%A0+malanville&amp;sc=1-56&amp;sk=&amp;cvid=86E345B23A6343CC93AC545467F57399" TargetMode="External"/><Relationship Id="rId16" Type="http://schemas.openxmlformats.org/officeDocument/2006/relationships/hyperlink" Target="https://www.gouv.bj/download/2/mpd_plan-national-developpement_2018-2025_final_14_janv.pdf" TargetMode="External"/><Relationship Id="rId20" Type="http://schemas.openxmlformats.org/officeDocument/2006/relationships/hyperlink" Target="https://changementsocialbenin.org/wp-content/uploads/2021/01/Revue-alternative-sectorielle-Sante-2.pdf" TargetMode="External"/><Relationship Id="rId1" Type="http://schemas.openxmlformats.org/officeDocument/2006/relationships/hyperlink" Target="https://fr.wikipedia.org/wiki/Transhumance" TargetMode="External"/><Relationship Id="rId6" Type="http://schemas.openxmlformats.org/officeDocument/2006/relationships/hyperlink" Target="https://ivoirwebtv.com/2021/08/benin-un-peulh-tue-a-coup-de-machette-un-jeune-homme-a-ketou-photo/" TargetMode="External"/><Relationship Id="rId11" Type="http://schemas.openxmlformats.org/officeDocument/2006/relationships/hyperlink" Target="https://sgg.gouv.bj/recherche/?type=tout&amp;begin=&amp;end=&amp;keywords=amnistie" TargetMode="External"/><Relationship Id="rId24" Type="http://schemas.openxmlformats.org/officeDocument/2006/relationships/hyperlink" Target="https://www.gouv.bj/actualite/1675/mise-oeuvre-programme-cantines-scolaires-benin-directeur-executif-satisfait-progres-significatifs-obtenus/" TargetMode="External"/><Relationship Id="rId5" Type="http://schemas.openxmlformats.org/officeDocument/2006/relationships/hyperlink" Target="https://drive.google.com/file/d/1PX32Ufijg0sk0DjUqpxJxhY3x_lQcNzl/view?usp=drivesdk" TargetMode="External"/><Relationship Id="rId15" Type="http://schemas.openxmlformats.org/officeDocument/2006/relationships/hyperlink" Target="https://www.gouv.bj/actualite/1536/volet-assurance-maladie-projet-arch-personnel-sante-elus-locaux-invites-accompagner-populations/" TargetMode="External"/><Relationship Id="rId23" Type="http://schemas.openxmlformats.org/officeDocument/2006/relationships/hyperlink" Target="https://arcep.bj/rapports/" TargetMode="External"/><Relationship Id="rId10" Type="http://schemas.openxmlformats.org/officeDocument/2006/relationships/hyperlink" Target="https://www.achpr.org/fr_sessions/resolutions?id=439" TargetMode="External"/><Relationship Id="rId19" Type="http://schemas.openxmlformats.org/officeDocument/2006/relationships/hyperlink" Target="https://changementsocialbenin.org/newsite/revue-alternative-secteur-sante/" TargetMode="External"/><Relationship Id="rId4" Type="http://schemas.openxmlformats.org/officeDocument/2006/relationships/hyperlink" Target="https://decision.courconstitutionnellebenin.bj/upload/decision/DCC22-159_du_28_avril_2022.pdf" TargetMode="External"/><Relationship Id="rId9" Type="http://schemas.openxmlformats.org/officeDocument/2006/relationships/hyperlink" Target="https://documents-dds-ny.un.org/doc/UNDOC/GEN/G20/254/67/PDF/G2025467.pdf?OpenElement" TargetMode="External"/><Relationship Id="rId14" Type="http://schemas.openxmlformats.org/officeDocument/2006/relationships/hyperlink" Target="https://decision.courconstitutionnellebenin.bj/upload/decision/DCC18-193.pdf" TargetMode="External"/><Relationship Id="rId22" Type="http://schemas.openxmlformats.org/officeDocument/2006/relationships/hyperlink" Target="https://quotidienlatempete.com/gestion-du-fonds-covid-au-benin-environ-385-milliards-fcfa-de-depenses-non-justifiees-selon-un-rapport-daudit-de-la-cour-des-comptes/" TargetMode="External"/><Relationship Id="rId27" Type="http://schemas.openxmlformats.org/officeDocument/2006/relationships/hyperlink" Target="https://changementsocialbenin.org/newsite/wp-content/uploads/2022/05/Revue-alternative-secteur-Educ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6\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3E5B95-93AD-4759-9A61-0D830F88C576}">
  <ds:schemaRefs>
    <ds:schemaRef ds:uri="http://schemas.openxmlformats.org/officeDocument/2006/bibliography"/>
  </ds:schemaRefs>
</ds:datastoreItem>
</file>

<file path=customXml/itemProps2.xml><?xml version="1.0" encoding="utf-8"?>
<ds:datastoreItem xmlns:ds="http://schemas.openxmlformats.org/officeDocument/2006/customXml" ds:itemID="{06C548A2-4F94-4DFA-93A2-9C71D2E08BA5}"/>
</file>

<file path=customXml/itemProps3.xml><?xml version="1.0" encoding="utf-8"?>
<ds:datastoreItem xmlns:ds="http://schemas.openxmlformats.org/officeDocument/2006/customXml" ds:itemID="{8A20F35D-119E-4C5E-9C40-2C0BB4315CFA}"/>
</file>

<file path=customXml/itemProps4.xml><?xml version="1.0" encoding="utf-8"?>
<ds:datastoreItem xmlns:ds="http://schemas.openxmlformats.org/officeDocument/2006/customXml" ds:itemID="{AED5883F-6DB1-4D92-AFCD-7D122A9DC4F1}"/>
</file>

<file path=docProps/app.xml><?xml version="1.0" encoding="utf-8"?>
<Properties xmlns="http://schemas.openxmlformats.org/officeDocument/2006/extended-properties" xmlns:vt="http://schemas.openxmlformats.org/officeDocument/2006/docPropsVTypes">
  <Template>Word 2010 look</Template>
  <TotalTime>5303</TotalTime>
  <Pages>1</Pages>
  <Words>7830</Words>
  <Characters>43065</Characters>
  <Application>Microsoft Office Word</Application>
  <DocSecurity>0</DocSecurity>
  <Lines>358</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ORIGINAL</dc:creator>
  <cp:keywords/>
  <dc:description/>
  <cp:lastModifiedBy>SECRETARIAT CSB</cp:lastModifiedBy>
  <cp:revision>129</cp:revision>
  <cp:lastPrinted>2022-07-04T15:56:00Z</cp:lastPrinted>
  <dcterms:created xsi:type="dcterms:W3CDTF">2021-10-12T21:31:00Z</dcterms:created>
  <dcterms:modified xsi:type="dcterms:W3CDTF">2022-07-11T10:11:00Z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