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ECC33F" w14:textId="2079D1F5" w:rsidR="00D83FAA" w:rsidRPr="00502B7D" w:rsidRDefault="00D83FAA" w:rsidP="003878DD">
      <w:pPr>
        <w:rPr>
          <w:rFonts w:ascii="Times New Roman" w:eastAsia="Times New Roman" w:hAnsi="Times New Roman" w:cs="Times New Roman"/>
          <w:color w:val="17365D"/>
          <w:spacing w:val="5"/>
          <w:kern w:val="28"/>
          <w:sz w:val="50"/>
          <w:szCs w:val="50"/>
        </w:rPr>
      </w:pPr>
      <w:r w:rsidRPr="00502B7D">
        <w:rPr>
          <w:rFonts w:ascii="Times New Roman" w:eastAsia="Times New Roman" w:hAnsi="Times New Roman" w:cs="Times New Roman"/>
          <w:color w:val="17365D"/>
          <w:spacing w:val="5"/>
          <w:kern w:val="28"/>
          <w:sz w:val="50"/>
          <w:szCs w:val="50"/>
        </w:rPr>
        <w:t>European Union</w:t>
      </w:r>
      <w:r w:rsidR="00B85EBC">
        <w:rPr>
          <w:rFonts w:ascii="Times New Roman" w:eastAsia="Times New Roman" w:hAnsi="Times New Roman" w:cs="Times New Roman"/>
          <w:color w:val="17365D"/>
          <w:spacing w:val="5"/>
          <w:kern w:val="28"/>
          <w:sz w:val="50"/>
          <w:szCs w:val="50"/>
        </w:rPr>
        <w:t xml:space="preserve"> Agency for Fundamental Rights, </w:t>
      </w:r>
      <w:r w:rsidR="00F956F0" w:rsidRPr="00502B7D">
        <w:rPr>
          <w:rFonts w:ascii="Times New Roman" w:eastAsia="Times New Roman" w:hAnsi="Times New Roman" w:cs="Times New Roman"/>
          <w:color w:val="17365D"/>
          <w:spacing w:val="5"/>
          <w:kern w:val="28"/>
          <w:sz w:val="50"/>
          <w:szCs w:val="50"/>
        </w:rPr>
        <w:t>select</w:t>
      </w:r>
      <w:r w:rsidR="00F956F0">
        <w:rPr>
          <w:rFonts w:ascii="Times New Roman" w:eastAsia="Times New Roman" w:hAnsi="Times New Roman" w:cs="Times New Roman"/>
          <w:color w:val="17365D"/>
          <w:spacing w:val="5"/>
          <w:kern w:val="28"/>
          <w:sz w:val="50"/>
          <w:szCs w:val="50"/>
        </w:rPr>
        <w:t>ed</w:t>
      </w:r>
      <w:r w:rsidR="00F956F0" w:rsidRPr="00502B7D">
        <w:rPr>
          <w:rFonts w:ascii="Times New Roman" w:eastAsia="Times New Roman" w:hAnsi="Times New Roman" w:cs="Times New Roman"/>
          <w:color w:val="17365D"/>
          <w:spacing w:val="5"/>
          <w:kern w:val="28"/>
          <w:sz w:val="50"/>
          <w:szCs w:val="50"/>
        </w:rPr>
        <w:t xml:space="preserve"> </w:t>
      </w:r>
      <w:r w:rsidR="00F956F0">
        <w:rPr>
          <w:rFonts w:ascii="Times New Roman" w:eastAsia="Times New Roman" w:hAnsi="Times New Roman" w:cs="Times New Roman"/>
          <w:color w:val="17365D"/>
          <w:spacing w:val="5"/>
          <w:kern w:val="28"/>
          <w:sz w:val="50"/>
          <w:szCs w:val="50"/>
        </w:rPr>
        <w:t>passages on the</w:t>
      </w:r>
      <w:r w:rsidRPr="00502B7D">
        <w:rPr>
          <w:rFonts w:ascii="Times New Roman" w:eastAsia="Times New Roman" w:hAnsi="Times New Roman" w:cs="Times New Roman"/>
          <w:color w:val="17365D"/>
          <w:spacing w:val="5"/>
          <w:kern w:val="28"/>
          <w:sz w:val="50"/>
          <w:szCs w:val="50"/>
        </w:rPr>
        <w:t xml:space="preserve"> </w:t>
      </w:r>
      <w:r w:rsidR="00DE0651" w:rsidRPr="00502B7D">
        <w:rPr>
          <w:rFonts w:ascii="Times New Roman" w:eastAsia="Times New Roman" w:hAnsi="Times New Roman" w:cs="Times New Roman"/>
          <w:color w:val="17365D"/>
          <w:spacing w:val="5"/>
          <w:kern w:val="28"/>
          <w:sz w:val="50"/>
          <w:szCs w:val="50"/>
        </w:rPr>
        <w:t xml:space="preserve">rights of </w:t>
      </w:r>
      <w:r w:rsidR="00F956F0">
        <w:rPr>
          <w:rFonts w:ascii="Times New Roman" w:eastAsia="Times New Roman" w:hAnsi="Times New Roman" w:cs="Times New Roman"/>
          <w:color w:val="17365D"/>
          <w:spacing w:val="5"/>
          <w:kern w:val="28"/>
          <w:sz w:val="50"/>
          <w:szCs w:val="50"/>
        </w:rPr>
        <w:t xml:space="preserve">persons </w:t>
      </w:r>
      <w:r w:rsidR="00551C6F">
        <w:rPr>
          <w:rFonts w:ascii="Times New Roman" w:eastAsia="Times New Roman" w:hAnsi="Times New Roman" w:cs="Times New Roman"/>
          <w:color w:val="17365D"/>
          <w:spacing w:val="5"/>
          <w:kern w:val="28"/>
          <w:sz w:val="50"/>
          <w:szCs w:val="50"/>
        </w:rPr>
        <w:t>with disabilities</w:t>
      </w:r>
      <w:r w:rsidR="00DE0651" w:rsidRPr="00502B7D">
        <w:rPr>
          <w:rFonts w:ascii="Times New Roman" w:eastAsia="Times New Roman" w:hAnsi="Times New Roman" w:cs="Times New Roman"/>
          <w:color w:val="17365D"/>
          <w:spacing w:val="5"/>
          <w:kern w:val="28"/>
          <w:sz w:val="50"/>
          <w:szCs w:val="50"/>
        </w:rPr>
        <w:t xml:space="preserve"> </w:t>
      </w:r>
      <w:r w:rsidRPr="00502B7D">
        <w:rPr>
          <w:rFonts w:ascii="Times New Roman" w:eastAsia="Times New Roman" w:hAnsi="Times New Roman" w:cs="Times New Roman"/>
          <w:color w:val="17365D"/>
          <w:spacing w:val="5"/>
          <w:kern w:val="28"/>
          <w:sz w:val="50"/>
          <w:szCs w:val="50"/>
        </w:rPr>
        <w:t>from pub</w:t>
      </w:r>
      <w:r w:rsidR="00551C6F">
        <w:rPr>
          <w:rFonts w:ascii="Times New Roman" w:eastAsia="Times New Roman" w:hAnsi="Times New Roman" w:cs="Times New Roman"/>
          <w:color w:val="17365D"/>
          <w:spacing w:val="5"/>
          <w:kern w:val="28"/>
          <w:sz w:val="50"/>
          <w:szCs w:val="50"/>
        </w:rPr>
        <w:t xml:space="preserve">lished reports related to </w:t>
      </w:r>
      <w:r w:rsidR="00482353">
        <w:rPr>
          <w:rFonts w:ascii="Times New Roman" w:eastAsia="Times New Roman" w:hAnsi="Times New Roman" w:cs="Times New Roman"/>
          <w:color w:val="17365D"/>
          <w:spacing w:val="5"/>
          <w:kern w:val="28"/>
          <w:sz w:val="50"/>
          <w:szCs w:val="50"/>
        </w:rPr>
        <w:t>Bulgaria</w:t>
      </w:r>
    </w:p>
    <w:p w14:paraId="4AECC340" w14:textId="77777777" w:rsidR="00D83FAA" w:rsidRPr="00502B7D" w:rsidRDefault="00D83FAA" w:rsidP="003878DD">
      <w:pPr>
        <w:pBdr>
          <w:bottom w:val="single" w:sz="8" w:space="4" w:color="4F81BD"/>
        </w:pBdr>
        <w:spacing w:after="300"/>
        <w:contextualSpacing/>
        <w:rPr>
          <w:rFonts w:ascii="Times New Roman" w:eastAsia="Times New Roman" w:hAnsi="Times New Roman" w:cs="Times New Roman"/>
          <w:color w:val="17365D"/>
          <w:spacing w:val="5"/>
          <w:kern w:val="28"/>
          <w:sz w:val="50"/>
          <w:szCs w:val="50"/>
        </w:rPr>
      </w:pPr>
      <w:r w:rsidRPr="00502B7D">
        <w:rPr>
          <w:rFonts w:ascii="Times New Roman" w:eastAsia="Times New Roman" w:hAnsi="Times New Roman" w:cs="Times New Roman"/>
          <w:color w:val="17365D"/>
          <w:spacing w:val="5"/>
          <w:kern w:val="28"/>
          <w:sz w:val="50"/>
          <w:szCs w:val="50"/>
        </w:rPr>
        <w:t>fra.europa.eu</w:t>
      </w:r>
    </w:p>
    <w:p w14:paraId="4AECC341" w14:textId="5638E0B3" w:rsidR="00392DA1" w:rsidRPr="00502B7D" w:rsidRDefault="00392DA1" w:rsidP="003878DD"/>
    <w:p w14:paraId="4BB653B1" w14:textId="67294BB0" w:rsidR="00EA5BD7" w:rsidRPr="00502B7D" w:rsidRDefault="00D71E3D" w:rsidP="003878DD">
      <w:pPr>
        <w:rPr>
          <w:i/>
        </w:rPr>
      </w:pPr>
      <w:r>
        <w:rPr>
          <w:i/>
        </w:rPr>
        <w:t xml:space="preserve"> </w:t>
      </w:r>
      <w:r w:rsidR="00454CBC">
        <w:rPr>
          <w:i/>
        </w:rPr>
        <w:t>June 2018</w:t>
      </w:r>
      <w:r w:rsidR="00EA5BD7" w:rsidRPr="00502B7D">
        <w:rPr>
          <w:i/>
        </w:rPr>
        <w:t>, Vienna</w:t>
      </w:r>
    </w:p>
    <w:sdt>
      <w:sdtPr>
        <w:rPr>
          <w:rFonts w:asciiTheme="minorHAnsi" w:eastAsiaTheme="minorHAnsi" w:hAnsiTheme="minorHAnsi" w:cstheme="minorBidi"/>
          <w:color w:val="auto"/>
          <w:sz w:val="22"/>
          <w:szCs w:val="22"/>
          <w:lang w:val="en-IE"/>
        </w:rPr>
        <w:id w:val="1229737705"/>
        <w:docPartObj>
          <w:docPartGallery w:val="Table of Contents"/>
          <w:docPartUnique/>
        </w:docPartObj>
      </w:sdtPr>
      <w:sdtEndPr>
        <w:rPr>
          <w:b/>
          <w:bCs/>
          <w:noProof/>
        </w:rPr>
      </w:sdtEndPr>
      <w:sdtContent>
        <w:p w14:paraId="2B071B0D" w14:textId="7D64F20C" w:rsidR="00EA5BD7" w:rsidRPr="00F83F6A" w:rsidRDefault="00EA5BD7" w:rsidP="003878DD">
          <w:pPr>
            <w:pStyle w:val="TOCHeading"/>
            <w:rPr>
              <w:lang w:val="en-IE"/>
            </w:rPr>
          </w:pPr>
          <w:r w:rsidRPr="00F83F6A">
            <w:rPr>
              <w:lang w:val="en-IE"/>
            </w:rPr>
            <w:t>Contents</w:t>
          </w:r>
        </w:p>
        <w:p w14:paraId="4FDFC7A0" w14:textId="77777777" w:rsidR="00FF03F8" w:rsidRDefault="00EA5BD7">
          <w:pPr>
            <w:pStyle w:val="TOC1"/>
            <w:rPr>
              <w:rFonts w:eastAsiaTheme="minorEastAsia"/>
              <w:noProof/>
              <w:lang w:eastAsia="en-IE"/>
            </w:rPr>
          </w:pPr>
          <w:r w:rsidRPr="00F83F6A">
            <w:fldChar w:fldCharType="begin"/>
          </w:r>
          <w:r w:rsidRPr="00502B7D">
            <w:instrText xml:space="preserve"> TOC \o "1-3" \h \z \u </w:instrText>
          </w:r>
          <w:r w:rsidRPr="00F83F6A">
            <w:fldChar w:fldCharType="separate"/>
          </w:r>
          <w:hyperlink w:anchor="_Toc518293481" w:history="1">
            <w:r w:rsidR="00FF03F8" w:rsidRPr="007352E8">
              <w:rPr>
                <w:rStyle w:val="Hyperlink"/>
                <w:noProof/>
              </w:rPr>
              <w:t>1</w:t>
            </w:r>
            <w:r w:rsidR="00FF03F8">
              <w:rPr>
                <w:rFonts w:eastAsiaTheme="minorEastAsia"/>
                <w:noProof/>
                <w:lang w:eastAsia="en-IE"/>
              </w:rPr>
              <w:tab/>
            </w:r>
            <w:r w:rsidR="00FF03F8" w:rsidRPr="007352E8">
              <w:rPr>
                <w:rStyle w:val="Hyperlink"/>
                <w:noProof/>
              </w:rPr>
              <w:t>Annual reports</w:t>
            </w:r>
            <w:r w:rsidR="00FF03F8">
              <w:rPr>
                <w:noProof/>
                <w:webHidden/>
              </w:rPr>
              <w:tab/>
            </w:r>
            <w:r w:rsidR="00FF03F8">
              <w:rPr>
                <w:noProof/>
                <w:webHidden/>
              </w:rPr>
              <w:fldChar w:fldCharType="begin"/>
            </w:r>
            <w:r w:rsidR="00FF03F8">
              <w:rPr>
                <w:noProof/>
                <w:webHidden/>
              </w:rPr>
              <w:instrText xml:space="preserve"> PAGEREF _Toc518293481 \h </w:instrText>
            </w:r>
            <w:r w:rsidR="00FF03F8">
              <w:rPr>
                <w:noProof/>
                <w:webHidden/>
              </w:rPr>
            </w:r>
            <w:r w:rsidR="00FF03F8">
              <w:rPr>
                <w:noProof/>
                <w:webHidden/>
              </w:rPr>
              <w:fldChar w:fldCharType="separate"/>
            </w:r>
            <w:r w:rsidR="00FF03F8">
              <w:rPr>
                <w:noProof/>
                <w:webHidden/>
              </w:rPr>
              <w:t>3</w:t>
            </w:r>
            <w:r w:rsidR="00FF03F8">
              <w:rPr>
                <w:noProof/>
                <w:webHidden/>
              </w:rPr>
              <w:fldChar w:fldCharType="end"/>
            </w:r>
          </w:hyperlink>
        </w:p>
        <w:p w14:paraId="56FA287B" w14:textId="77777777" w:rsidR="00FF03F8" w:rsidRDefault="00FF03F8">
          <w:pPr>
            <w:pStyle w:val="TOC2"/>
            <w:tabs>
              <w:tab w:val="left" w:pos="880"/>
              <w:tab w:val="right" w:leader="dot" w:pos="9016"/>
            </w:tabs>
            <w:rPr>
              <w:rFonts w:eastAsiaTheme="minorEastAsia"/>
              <w:noProof/>
              <w:lang w:eastAsia="en-IE"/>
            </w:rPr>
          </w:pPr>
          <w:hyperlink w:anchor="_Toc518293482" w:history="1">
            <w:r w:rsidRPr="007352E8">
              <w:rPr>
                <w:rStyle w:val="Hyperlink"/>
                <w:noProof/>
              </w:rPr>
              <w:t>1.1</w:t>
            </w:r>
            <w:r>
              <w:rPr>
                <w:rFonts w:eastAsiaTheme="minorEastAsia"/>
                <w:noProof/>
                <w:lang w:eastAsia="en-IE"/>
              </w:rPr>
              <w:tab/>
            </w:r>
            <w:r w:rsidRPr="007352E8">
              <w:rPr>
                <w:rStyle w:val="Hyperlink"/>
                <w:noProof/>
              </w:rPr>
              <w:t>Fundamental Rights Report 2018</w:t>
            </w:r>
            <w:r>
              <w:rPr>
                <w:noProof/>
                <w:webHidden/>
              </w:rPr>
              <w:tab/>
            </w:r>
            <w:r>
              <w:rPr>
                <w:noProof/>
                <w:webHidden/>
              </w:rPr>
              <w:fldChar w:fldCharType="begin"/>
            </w:r>
            <w:r>
              <w:rPr>
                <w:noProof/>
                <w:webHidden/>
              </w:rPr>
              <w:instrText xml:space="preserve"> PAGEREF _Toc518293482 \h </w:instrText>
            </w:r>
            <w:r>
              <w:rPr>
                <w:noProof/>
                <w:webHidden/>
              </w:rPr>
            </w:r>
            <w:r>
              <w:rPr>
                <w:noProof/>
                <w:webHidden/>
              </w:rPr>
              <w:fldChar w:fldCharType="separate"/>
            </w:r>
            <w:r>
              <w:rPr>
                <w:noProof/>
                <w:webHidden/>
              </w:rPr>
              <w:t>3</w:t>
            </w:r>
            <w:r>
              <w:rPr>
                <w:noProof/>
                <w:webHidden/>
              </w:rPr>
              <w:fldChar w:fldCharType="end"/>
            </w:r>
          </w:hyperlink>
        </w:p>
        <w:p w14:paraId="55EFCAFA" w14:textId="77777777" w:rsidR="00FF03F8" w:rsidRDefault="00FF03F8">
          <w:pPr>
            <w:pStyle w:val="TOC2"/>
            <w:tabs>
              <w:tab w:val="left" w:pos="880"/>
              <w:tab w:val="right" w:leader="dot" w:pos="9016"/>
            </w:tabs>
            <w:rPr>
              <w:rFonts w:eastAsiaTheme="minorEastAsia"/>
              <w:noProof/>
              <w:lang w:eastAsia="en-IE"/>
            </w:rPr>
          </w:pPr>
          <w:hyperlink w:anchor="_Toc518293483" w:history="1">
            <w:r w:rsidRPr="007352E8">
              <w:rPr>
                <w:rStyle w:val="Hyperlink"/>
                <w:noProof/>
              </w:rPr>
              <w:t>1.2</w:t>
            </w:r>
            <w:r>
              <w:rPr>
                <w:rFonts w:eastAsiaTheme="minorEastAsia"/>
                <w:noProof/>
                <w:lang w:eastAsia="en-IE"/>
              </w:rPr>
              <w:tab/>
            </w:r>
            <w:r w:rsidRPr="007352E8">
              <w:rPr>
                <w:rStyle w:val="Hyperlink"/>
                <w:noProof/>
              </w:rPr>
              <w:t>Fundamental Rights Report 2017</w:t>
            </w:r>
            <w:r>
              <w:rPr>
                <w:noProof/>
                <w:webHidden/>
              </w:rPr>
              <w:tab/>
            </w:r>
            <w:r>
              <w:rPr>
                <w:noProof/>
                <w:webHidden/>
              </w:rPr>
              <w:fldChar w:fldCharType="begin"/>
            </w:r>
            <w:r>
              <w:rPr>
                <w:noProof/>
                <w:webHidden/>
              </w:rPr>
              <w:instrText xml:space="preserve"> PAGEREF _Toc518293483 \h </w:instrText>
            </w:r>
            <w:r>
              <w:rPr>
                <w:noProof/>
                <w:webHidden/>
              </w:rPr>
            </w:r>
            <w:r>
              <w:rPr>
                <w:noProof/>
                <w:webHidden/>
              </w:rPr>
              <w:fldChar w:fldCharType="separate"/>
            </w:r>
            <w:r>
              <w:rPr>
                <w:noProof/>
                <w:webHidden/>
              </w:rPr>
              <w:t>3</w:t>
            </w:r>
            <w:r>
              <w:rPr>
                <w:noProof/>
                <w:webHidden/>
              </w:rPr>
              <w:fldChar w:fldCharType="end"/>
            </w:r>
          </w:hyperlink>
        </w:p>
        <w:p w14:paraId="6B4ABFEB" w14:textId="77777777" w:rsidR="00FF03F8" w:rsidRDefault="00FF03F8">
          <w:pPr>
            <w:pStyle w:val="TOC2"/>
            <w:tabs>
              <w:tab w:val="left" w:pos="880"/>
              <w:tab w:val="right" w:leader="dot" w:pos="9016"/>
            </w:tabs>
            <w:rPr>
              <w:rFonts w:eastAsiaTheme="minorEastAsia"/>
              <w:noProof/>
              <w:lang w:eastAsia="en-IE"/>
            </w:rPr>
          </w:pPr>
          <w:hyperlink w:anchor="_Toc518293484" w:history="1">
            <w:r w:rsidRPr="007352E8">
              <w:rPr>
                <w:rStyle w:val="Hyperlink"/>
                <w:noProof/>
              </w:rPr>
              <w:t>1.3</w:t>
            </w:r>
            <w:r>
              <w:rPr>
                <w:rFonts w:eastAsiaTheme="minorEastAsia"/>
                <w:noProof/>
                <w:lang w:eastAsia="en-IE"/>
              </w:rPr>
              <w:tab/>
            </w:r>
            <w:r w:rsidRPr="007352E8">
              <w:rPr>
                <w:rStyle w:val="Hyperlink"/>
                <w:noProof/>
              </w:rPr>
              <w:t>Fundamental Rights Report 2016</w:t>
            </w:r>
            <w:r>
              <w:rPr>
                <w:noProof/>
                <w:webHidden/>
              </w:rPr>
              <w:tab/>
            </w:r>
            <w:r>
              <w:rPr>
                <w:noProof/>
                <w:webHidden/>
              </w:rPr>
              <w:fldChar w:fldCharType="begin"/>
            </w:r>
            <w:r>
              <w:rPr>
                <w:noProof/>
                <w:webHidden/>
              </w:rPr>
              <w:instrText xml:space="preserve"> PAGEREF _Toc518293484 \h </w:instrText>
            </w:r>
            <w:r>
              <w:rPr>
                <w:noProof/>
                <w:webHidden/>
              </w:rPr>
            </w:r>
            <w:r>
              <w:rPr>
                <w:noProof/>
                <w:webHidden/>
              </w:rPr>
              <w:fldChar w:fldCharType="separate"/>
            </w:r>
            <w:r>
              <w:rPr>
                <w:noProof/>
                <w:webHidden/>
              </w:rPr>
              <w:t>4</w:t>
            </w:r>
            <w:r>
              <w:rPr>
                <w:noProof/>
                <w:webHidden/>
              </w:rPr>
              <w:fldChar w:fldCharType="end"/>
            </w:r>
          </w:hyperlink>
        </w:p>
        <w:p w14:paraId="2DB1982D" w14:textId="374FD10D" w:rsidR="00FF03F8" w:rsidRDefault="00FF03F8">
          <w:pPr>
            <w:pStyle w:val="TOC2"/>
            <w:tabs>
              <w:tab w:val="left" w:pos="880"/>
              <w:tab w:val="right" w:leader="dot" w:pos="9016"/>
            </w:tabs>
            <w:rPr>
              <w:rFonts w:eastAsiaTheme="minorEastAsia"/>
              <w:noProof/>
              <w:lang w:eastAsia="en-IE"/>
            </w:rPr>
          </w:pPr>
          <w:hyperlink w:anchor="_Toc518293485" w:history="1">
            <w:r w:rsidRPr="007352E8">
              <w:rPr>
                <w:rStyle w:val="Hyperlink"/>
                <w:noProof/>
              </w:rPr>
              <w:t>1.4</w:t>
            </w:r>
            <w:r>
              <w:rPr>
                <w:rFonts w:eastAsiaTheme="minorEastAsia"/>
                <w:noProof/>
                <w:lang w:eastAsia="en-IE"/>
              </w:rPr>
              <w:tab/>
            </w:r>
            <w:r w:rsidRPr="007352E8">
              <w:rPr>
                <w:rStyle w:val="Hyperlink"/>
                <w:noProof/>
              </w:rPr>
              <w:t>Fundamental rights: challenges and achievements in 2014 – Annual Report 2014 (June 2015)</w:t>
            </w:r>
            <w:r>
              <w:rPr>
                <w:noProof/>
                <w:webHidden/>
              </w:rPr>
              <w:tab/>
              <w:t>…………………………………………………………………………………………………………………………………………..</w:t>
            </w:r>
            <w:r>
              <w:rPr>
                <w:noProof/>
                <w:webHidden/>
              </w:rPr>
              <w:fldChar w:fldCharType="begin"/>
            </w:r>
            <w:r>
              <w:rPr>
                <w:noProof/>
                <w:webHidden/>
              </w:rPr>
              <w:instrText xml:space="preserve"> PAGEREF _Toc518293485 \h </w:instrText>
            </w:r>
            <w:r>
              <w:rPr>
                <w:noProof/>
                <w:webHidden/>
              </w:rPr>
            </w:r>
            <w:r>
              <w:rPr>
                <w:noProof/>
                <w:webHidden/>
              </w:rPr>
              <w:fldChar w:fldCharType="separate"/>
            </w:r>
            <w:r>
              <w:rPr>
                <w:noProof/>
                <w:webHidden/>
              </w:rPr>
              <w:t>4</w:t>
            </w:r>
            <w:r>
              <w:rPr>
                <w:noProof/>
                <w:webHidden/>
              </w:rPr>
              <w:fldChar w:fldCharType="end"/>
            </w:r>
          </w:hyperlink>
        </w:p>
        <w:p w14:paraId="1127CF4A" w14:textId="77777777" w:rsidR="00FF03F8" w:rsidRDefault="00FF03F8">
          <w:pPr>
            <w:pStyle w:val="TOC1"/>
            <w:rPr>
              <w:rFonts w:eastAsiaTheme="minorEastAsia"/>
              <w:noProof/>
              <w:lang w:eastAsia="en-IE"/>
            </w:rPr>
          </w:pPr>
          <w:hyperlink w:anchor="_Toc518293486" w:history="1">
            <w:r w:rsidRPr="007352E8">
              <w:rPr>
                <w:rStyle w:val="Hyperlink"/>
                <w:noProof/>
              </w:rPr>
              <w:t>2</w:t>
            </w:r>
            <w:r>
              <w:rPr>
                <w:rFonts w:eastAsiaTheme="minorEastAsia"/>
                <w:noProof/>
                <w:lang w:eastAsia="en-IE"/>
              </w:rPr>
              <w:tab/>
            </w:r>
            <w:r w:rsidRPr="007352E8">
              <w:rPr>
                <w:rStyle w:val="Hyperlink"/>
                <w:noProof/>
              </w:rPr>
              <w:t>Thematic reports on the rights of persons with disabilities</w:t>
            </w:r>
            <w:r>
              <w:rPr>
                <w:noProof/>
                <w:webHidden/>
              </w:rPr>
              <w:tab/>
            </w:r>
            <w:r>
              <w:rPr>
                <w:noProof/>
                <w:webHidden/>
              </w:rPr>
              <w:fldChar w:fldCharType="begin"/>
            </w:r>
            <w:r>
              <w:rPr>
                <w:noProof/>
                <w:webHidden/>
              </w:rPr>
              <w:instrText xml:space="preserve"> PAGEREF _Toc518293486 \h </w:instrText>
            </w:r>
            <w:r>
              <w:rPr>
                <w:noProof/>
                <w:webHidden/>
              </w:rPr>
            </w:r>
            <w:r>
              <w:rPr>
                <w:noProof/>
                <w:webHidden/>
              </w:rPr>
              <w:fldChar w:fldCharType="separate"/>
            </w:r>
            <w:r>
              <w:rPr>
                <w:noProof/>
                <w:webHidden/>
              </w:rPr>
              <w:t>5</w:t>
            </w:r>
            <w:r>
              <w:rPr>
                <w:noProof/>
                <w:webHidden/>
              </w:rPr>
              <w:fldChar w:fldCharType="end"/>
            </w:r>
          </w:hyperlink>
        </w:p>
        <w:p w14:paraId="3F4814A9" w14:textId="77777777" w:rsidR="00FF03F8" w:rsidRDefault="00FF03F8">
          <w:pPr>
            <w:pStyle w:val="TOC2"/>
            <w:tabs>
              <w:tab w:val="left" w:pos="880"/>
              <w:tab w:val="right" w:leader="dot" w:pos="9016"/>
            </w:tabs>
            <w:rPr>
              <w:rFonts w:eastAsiaTheme="minorEastAsia"/>
              <w:noProof/>
              <w:lang w:eastAsia="en-IE"/>
            </w:rPr>
          </w:pPr>
          <w:hyperlink w:anchor="_Toc518293487" w:history="1">
            <w:r w:rsidRPr="007352E8">
              <w:rPr>
                <w:rStyle w:val="Hyperlink"/>
                <w:noProof/>
              </w:rPr>
              <w:t>2.1</w:t>
            </w:r>
            <w:r>
              <w:rPr>
                <w:rFonts w:eastAsiaTheme="minorEastAsia"/>
                <w:noProof/>
                <w:lang w:eastAsia="en-IE"/>
              </w:rPr>
              <w:tab/>
            </w:r>
            <w:r w:rsidRPr="007352E8">
              <w:rPr>
                <w:rStyle w:val="Hyperlink"/>
                <w:noProof/>
              </w:rPr>
              <w:t>From institutions to community living - Part I: commitments and structures</w:t>
            </w:r>
            <w:r>
              <w:rPr>
                <w:noProof/>
                <w:webHidden/>
              </w:rPr>
              <w:tab/>
            </w:r>
            <w:r>
              <w:rPr>
                <w:noProof/>
                <w:webHidden/>
              </w:rPr>
              <w:fldChar w:fldCharType="begin"/>
            </w:r>
            <w:r>
              <w:rPr>
                <w:noProof/>
                <w:webHidden/>
              </w:rPr>
              <w:instrText xml:space="preserve"> PAGEREF _Toc518293487 \h </w:instrText>
            </w:r>
            <w:r>
              <w:rPr>
                <w:noProof/>
                <w:webHidden/>
              </w:rPr>
            </w:r>
            <w:r>
              <w:rPr>
                <w:noProof/>
                <w:webHidden/>
              </w:rPr>
              <w:fldChar w:fldCharType="separate"/>
            </w:r>
            <w:r>
              <w:rPr>
                <w:noProof/>
                <w:webHidden/>
              </w:rPr>
              <w:t>5</w:t>
            </w:r>
            <w:r>
              <w:rPr>
                <w:noProof/>
                <w:webHidden/>
              </w:rPr>
              <w:fldChar w:fldCharType="end"/>
            </w:r>
          </w:hyperlink>
        </w:p>
        <w:p w14:paraId="4B4D7BDF" w14:textId="77777777" w:rsidR="00FF03F8" w:rsidRDefault="00FF03F8">
          <w:pPr>
            <w:pStyle w:val="TOC2"/>
            <w:tabs>
              <w:tab w:val="left" w:pos="880"/>
              <w:tab w:val="right" w:leader="dot" w:pos="9016"/>
            </w:tabs>
            <w:rPr>
              <w:rFonts w:eastAsiaTheme="minorEastAsia"/>
              <w:noProof/>
              <w:lang w:eastAsia="en-IE"/>
            </w:rPr>
          </w:pPr>
          <w:hyperlink w:anchor="_Toc518293488" w:history="1">
            <w:r w:rsidRPr="007352E8">
              <w:rPr>
                <w:rStyle w:val="Hyperlink"/>
                <w:noProof/>
              </w:rPr>
              <w:t>2.2</w:t>
            </w:r>
            <w:r>
              <w:rPr>
                <w:rFonts w:eastAsiaTheme="minorEastAsia"/>
                <w:noProof/>
                <w:lang w:eastAsia="en-IE"/>
              </w:rPr>
              <w:tab/>
            </w:r>
            <w:r w:rsidRPr="007352E8">
              <w:rPr>
                <w:rStyle w:val="Hyperlink"/>
                <w:noProof/>
              </w:rPr>
              <w:t>From institutions to community living - Part II: funding and budgeting</w:t>
            </w:r>
            <w:r>
              <w:rPr>
                <w:noProof/>
                <w:webHidden/>
              </w:rPr>
              <w:tab/>
            </w:r>
            <w:r>
              <w:rPr>
                <w:noProof/>
                <w:webHidden/>
              </w:rPr>
              <w:fldChar w:fldCharType="begin"/>
            </w:r>
            <w:r>
              <w:rPr>
                <w:noProof/>
                <w:webHidden/>
              </w:rPr>
              <w:instrText xml:space="preserve"> PAGEREF _Toc518293488 \h </w:instrText>
            </w:r>
            <w:r>
              <w:rPr>
                <w:noProof/>
                <w:webHidden/>
              </w:rPr>
            </w:r>
            <w:r>
              <w:rPr>
                <w:noProof/>
                <w:webHidden/>
              </w:rPr>
              <w:fldChar w:fldCharType="separate"/>
            </w:r>
            <w:r>
              <w:rPr>
                <w:noProof/>
                <w:webHidden/>
              </w:rPr>
              <w:t>6</w:t>
            </w:r>
            <w:r>
              <w:rPr>
                <w:noProof/>
                <w:webHidden/>
              </w:rPr>
              <w:fldChar w:fldCharType="end"/>
            </w:r>
          </w:hyperlink>
        </w:p>
        <w:p w14:paraId="76960A1A" w14:textId="77777777" w:rsidR="00FF03F8" w:rsidRDefault="00FF03F8">
          <w:pPr>
            <w:pStyle w:val="TOC2"/>
            <w:tabs>
              <w:tab w:val="left" w:pos="880"/>
              <w:tab w:val="right" w:leader="dot" w:pos="9016"/>
            </w:tabs>
            <w:rPr>
              <w:rFonts w:eastAsiaTheme="minorEastAsia"/>
              <w:noProof/>
              <w:lang w:eastAsia="en-IE"/>
            </w:rPr>
          </w:pPr>
          <w:hyperlink w:anchor="_Toc518293489" w:history="1">
            <w:r w:rsidRPr="007352E8">
              <w:rPr>
                <w:rStyle w:val="Hyperlink"/>
                <w:noProof/>
              </w:rPr>
              <w:t>2.3</w:t>
            </w:r>
            <w:r>
              <w:rPr>
                <w:rFonts w:eastAsiaTheme="minorEastAsia"/>
                <w:noProof/>
                <w:lang w:eastAsia="en-IE"/>
              </w:rPr>
              <w:tab/>
            </w:r>
            <w:r w:rsidRPr="007352E8">
              <w:rPr>
                <w:rStyle w:val="Hyperlink"/>
                <w:noProof/>
              </w:rPr>
              <w:t>From institutions to community living - Part III: outcomes for persons with disabilities</w:t>
            </w:r>
            <w:r>
              <w:rPr>
                <w:noProof/>
                <w:webHidden/>
              </w:rPr>
              <w:tab/>
            </w:r>
            <w:r>
              <w:rPr>
                <w:noProof/>
                <w:webHidden/>
              </w:rPr>
              <w:fldChar w:fldCharType="begin"/>
            </w:r>
            <w:r>
              <w:rPr>
                <w:noProof/>
                <w:webHidden/>
              </w:rPr>
              <w:instrText xml:space="preserve"> PAGEREF _Toc518293489 \h </w:instrText>
            </w:r>
            <w:r>
              <w:rPr>
                <w:noProof/>
                <w:webHidden/>
              </w:rPr>
            </w:r>
            <w:r>
              <w:rPr>
                <w:noProof/>
                <w:webHidden/>
              </w:rPr>
              <w:fldChar w:fldCharType="separate"/>
            </w:r>
            <w:r>
              <w:rPr>
                <w:noProof/>
                <w:webHidden/>
              </w:rPr>
              <w:t>6</w:t>
            </w:r>
            <w:r>
              <w:rPr>
                <w:noProof/>
                <w:webHidden/>
              </w:rPr>
              <w:fldChar w:fldCharType="end"/>
            </w:r>
          </w:hyperlink>
        </w:p>
        <w:p w14:paraId="750E7D74" w14:textId="77777777" w:rsidR="00FF03F8" w:rsidRDefault="00FF03F8">
          <w:pPr>
            <w:pStyle w:val="TOC2"/>
            <w:tabs>
              <w:tab w:val="left" w:pos="880"/>
              <w:tab w:val="right" w:leader="dot" w:pos="9016"/>
            </w:tabs>
            <w:rPr>
              <w:rFonts w:eastAsiaTheme="minorEastAsia"/>
              <w:noProof/>
              <w:lang w:eastAsia="en-IE"/>
            </w:rPr>
          </w:pPr>
          <w:hyperlink w:anchor="_Toc518293490" w:history="1">
            <w:r w:rsidRPr="007352E8">
              <w:rPr>
                <w:rStyle w:val="Hyperlink"/>
                <w:noProof/>
              </w:rPr>
              <w:t>2.4</w:t>
            </w:r>
            <w:r>
              <w:rPr>
                <w:rFonts w:eastAsiaTheme="minorEastAsia"/>
                <w:noProof/>
                <w:lang w:eastAsia="en-IE"/>
              </w:rPr>
              <w:tab/>
            </w:r>
            <w:r w:rsidRPr="007352E8">
              <w:rPr>
                <w:rStyle w:val="Hyperlink"/>
                <w:noProof/>
              </w:rPr>
              <w:t>Violence against children with disabilities: legislation, policies and programmes in the EU report (2015)</w:t>
            </w:r>
            <w:r>
              <w:rPr>
                <w:noProof/>
                <w:webHidden/>
              </w:rPr>
              <w:tab/>
            </w:r>
            <w:r>
              <w:rPr>
                <w:noProof/>
                <w:webHidden/>
              </w:rPr>
              <w:fldChar w:fldCharType="begin"/>
            </w:r>
            <w:r>
              <w:rPr>
                <w:noProof/>
                <w:webHidden/>
              </w:rPr>
              <w:instrText xml:space="preserve"> PAGEREF _Toc518293490 \h </w:instrText>
            </w:r>
            <w:r>
              <w:rPr>
                <w:noProof/>
                <w:webHidden/>
              </w:rPr>
            </w:r>
            <w:r>
              <w:rPr>
                <w:noProof/>
                <w:webHidden/>
              </w:rPr>
              <w:fldChar w:fldCharType="separate"/>
            </w:r>
            <w:r>
              <w:rPr>
                <w:noProof/>
                <w:webHidden/>
              </w:rPr>
              <w:t>7</w:t>
            </w:r>
            <w:r>
              <w:rPr>
                <w:noProof/>
                <w:webHidden/>
              </w:rPr>
              <w:fldChar w:fldCharType="end"/>
            </w:r>
          </w:hyperlink>
        </w:p>
        <w:p w14:paraId="47EFCEA4" w14:textId="77777777" w:rsidR="00FF03F8" w:rsidRDefault="00FF03F8">
          <w:pPr>
            <w:pStyle w:val="TOC2"/>
            <w:tabs>
              <w:tab w:val="left" w:pos="880"/>
              <w:tab w:val="right" w:leader="dot" w:pos="9016"/>
            </w:tabs>
            <w:rPr>
              <w:rFonts w:eastAsiaTheme="minorEastAsia"/>
              <w:noProof/>
              <w:lang w:eastAsia="en-IE"/>
            </w:rPr>
          </w:pPr>
          <w:hyperlink w:anchor="_Toc518293491" w:history="1">
            <w:r w:rsidRPr="007352E8">
              <w:rPr>
                <w:rStyle w:val="Hyperlink"/>
                <w:noProof/>
              </w:rPr>
              <w:t>2.5</w:t>
            </w:r>
            <w:r>
              <w:rPr>
                <w:rFonts w:eastAsiaTheme="minorEastAsia"/>
                <w:noProof/>
                <w:lang w:eastAsia="en-IE"/>
              </w:rPr>
              <w:tab/>
            </w:r>
            <w:r w:rsidRPr="007352E8">
              <w:rPr>
                <w:rStyle w:val="Hyperlink"/>
                <w:noProof/>
              </w:rPr>
              <w:t>Implementing the UN CRPD: An overview of legal reforms in EU Member States (2015)</w:t>
            </w:r>
            <w:r>
              <w:rPr>
                <w:noProof/>
                <w:webHidden/>
              </w:rPr>
              <w:tab/>
            </w:r>
            <w:r>
              <w:rPr>
                <w:noProof/>
                <w:webHidden/>
              </w:rPr>
              <w:fldChar w:fldCharType="begin"/>
            </w:r>
            <w:r>
              <w:rPr>
                <w:noProof/>
                <w:webHidden/>
              </w:rPr>
              <w:instrText xml:space="preserve"> PAGEREF _Toc518293491 \h </w:instrText>
            </w:r>
            <w:r>
              <w:rPr>
                <w:noProof/>
                <w:webHidden/>
              </w:rPr>
            </w:r>
            <w:r>
              <w:rPr>
                <w:noProof/>
                <w:webHidden/>
              </w:rPr>
              <w:fldChar w:fldCharType="separate"/>
            </w:r>
            <w:r>
              <w:rPr>
                <w:noProof/>
                <w:webHidden/>
              </w:rPr>
              <w:t>15</w:t>
            </w:r>
            <w:r>
              <w:rPr>
                <w:noProof/>
                <w:webHidden/>
              </w:rPr>
              <w:fldChar w:fldCharType="end"/>
            </w:r>
          </w:hyperlink>
        </w:p>
        <w:p w14:paraId="55D73B06" w14:textId="2DCC576D" w:rsidR="00FF03F8" w:rsidRDefault="00FF03F8">
          <w:pPr>
            <w:pStyle w:val="TOC2"/>
            <w:tabs>
              <w:tab w:val="left" w:pos="880"/>
              <w:tab w:val="right" w:leader="dot" w:pos="9016"/>
            </w:tabs>
            <w:rPr>
              <w:rFonts w:eastAsiaTheme="minorEastAsia"/>
              <w:noProof/>
              <w:lang w:eastAsia="en-IE"/>
            </w:rPr>
          </w:pPr>
          <w:hyperlink w:anchor="_Toc518293492" w:history="1">
            <w:r w:rsidRPr="007352E8">
              <w:rPr>
                <w:rStyle w:val="Hyperlink"/>
                <w:noProof/>
              </w:rPr>
              <w:t>2.6</w:t>
            </w:r>
            <w:r>
              <w:rPr>
                <w:rFonts w:eastAsiaTheme="minorEastAsia"/>
                <w:noProof/>
                <w:lang w:eastAsia="en-IE"/>
              </w:rPr>
              <w:tab/>
            </w:r>
            <w:r w:rsidRPr="007352E8">
              <w:rPr>
                <w:rStyle w:val="Hyperlink"/>
                <w:noProof/>
              </w:rPr>
              <w:t>The right to political participation for persons with disabilities: human rights indicators (2014)</w:t>
            </w:r>
            <w:r>
              <w:rPr>
                <w:noProof/>
                <w:webHidden/>
              </w:rPr>
              <w:tab/>
              <w:t>…………………………………………………………………………………………………………………………………………</w:t>
            </w:r>
            <w:r>
              <w:rPr>
                <w:noProof/>
                <w:webHidden/>
              </w:rPr>
              <w:fldChar w:fldCharType="begin"/>
            </w:r>
            <w:r>
              <w:rPr>
                <w:noProof/>
                <w:webHidden/>
              </w:rPr>
              <w:instrText xml:space="preserve"> PAGEREF _Toc518293492 \h </w:instrText>
            </w:r>
            <w:r>
              <w:rPr>
                <w:noProof/>
                <w:webHidden/>
              </w:rPr>
            </w:r>
            <w:r>
              <w:rPr>
                <w:noProof/>
                <w:webHidden/>
              </w:rPr>
              <w:fldChar w:fldCharType="separate"/>
            </w:r>
            <w:r>
              <w:rPr>
                <w:noProof/>
                <w:webHidden/>
              </w:rPr>
              <w:t>16</w:t>
            </w:r>
            <w:r>
              <w:rPr>
                <w:noProof/>
                <w:webHidden/>
              </w:rPr>
              <w:fldChar w:fldCharType="end"/>
            </w:r>
          </w:hyperlink>
        </w:p>
        <w:p w14:paraId="3D004007" w14:textId="77777777" w:rsidR="00FF03F8" w:rsidRDefault="00FF03F8">
          <w:pPr>
            <w:pStyle w:val="TOC2"/>
            <w:tabs>
              <w:tab w:val="left" w:pos="880"/>
              <w:tab w:val="right" w:leader="dot" w:pos="9016"/>
            </w:tabs>
            <w:rPr>
              <w:rFonts w:eastAsiaTheme="minorEastAsia"/>
              <w:noProof/>
              <w:lang w:eastAsia="en-IE"/>
            </w:rPr>
          </w:pPr>
          <w:hyperlink w:anchor="_Toc518293493" w:history="1">
            <w:r w:rsidRPr="007352E8">
              <w:rPr>
                <w:rStyle w:val="Hyperlink"/>
                <w:noProof/>
              </w:rPr>
              <w:t>2.7</w:t>
            </w:r>
            <w:r>
              <w:rPr>
                <w:rFonts w:eastAsiaTheme="minorEastAsia"/>
                <w:noProof/>
                <w:lang w:eastAsia="en-IE"/>
              </w:rPr>
              <w:tab/>
            </w:r>
            <w:r w:rsidRPr="007352E8">
              <w:rPr>
                <w:rStyle w:val="Hyperlink"/>
                <w:noProof/>
              </w:rPr>
              <w:t>Legal capacity of persons with intellectual disabilities and persons with mental health problems (2013)</w:t>
            </w:r>
            <w:r>
              <w:rPr>
                <w:noProof/>
                <w:webHidden/>
              </w:rPr>
              <w:tab/>
            </w:r>
            <w:r>
              <w:rPr>
                <w:noProof/>
                <w:webHidden/>
              </w:rPr>
              <w:fldChar w:fldCharType="begin"/>
            </w:r>
            <w:r>
              <w:rPr>
                <w:noProof/>
                <w:webHidden/>
              </w:rPr>
              <w:instrText xml:space="preserve"> PAGEREF _Toc518293493 \h </w:instrText>
            </w:r>
            <w:r>
              <w:rPr>
                <w:noProof/>
                <w:webHidden/>
              </w:rPr>
            </w:r>
            <w:r>
              <w:rPr>
                <w:noProof/>
                <w:webHidden/>
              </w:rPr>
              <w:fldChar w:fldCharType="separate"/>
            </w:r>
            <w:r>
              <w:rPr>
                <w:noProof/>
                <w:webHidden/>
              </w:rPr>
              <w:t>18</w:t>
            </w:r>
            <w:r>
              <w:rPr>
                <w:noProof/>
                <w:webHidden/>
              </w:rPr>
              <w:fldChar w:fldCharType="end"/>
            </w:r>
          </w:hyperlink>
        </w:p>
        <w:p w14:paraId="4DA52721" w14:textId="7094C0CE" w:rsidR="00FF03F8" w:rsidRDefault="00FF03F8">
          <w:pPr>
            <w:pStyle w:val="TOC2"/>
            <w:tabs>
              <w:tab w:val="left" w:pos="880"/>
              <w:tab w:val="right" w:leader="dot" w:pos="9016"/>
            </w:tabs>
            <w:rPr>
              <w:rFonts w:eastAsiaTheme="minorEastAsia"/>
              <w:noProof/>
              <w:lang w:eastAsia="en-IE"/>
            </w:rPr>
          </w:pPr>
          <w:hyperlink w:anchor="_Toc518293494" w:history="1">
            <w:r w:rsidRPr="007352E8">
              <w:rPr>
                <w:rStyle w:val="Hyperlink"/>
                <w:noProof/>
              </w:rPr>
              <w:t>2.8</w:t>
            </w:r>
            <w:r>
              <w:rPr>
                <w:rFonts w:eastAsiaTheme="minorEastAsia"/>
                <w:noProof/>
                <w:lang w:eastAsia="en-IE"/>
              </w:rPr>
              <w:tab/>
            </w:r>
            <w:r w:rsidRPr="007352E8">
              <w:rPr>
                <w:rStyle w:val="Hyperlink"/>
                <w:noProof/>
              </w:rPr>
              <w:t>Involuntary placement and involuntary treatment of persons with mental health problems (2012)</w:t>
            </w:r>
            <w:r>
              <w:rPr>
                <w:noProof/>
                <w:webHidden/>
              </w:rPr>
              <w:tab/>
              <w:t>…………………………………………………………………………………………………………………………………………</w:t>
            </w:r>
            <w:r>
              <w:rPr>
                <w:noProof/>
                <w:webHidden/>
              </w:rPr>
              <w:fldChar w:fldCharType="begin"/>
            </w:r>
            <w:r>
              <w:rPr>
                <w:noProof/>
                <w:webHidden/>
              </w:rPr>
              <w:instrText xml:space="preserve"> PAGEREF _Toc518293494 \h </w:instrText>
            </w:r>
            <w:r>
              <w:rPr>
                <w:noProof/>
                <w:webHidden/>
              </w:rPr>
            </w:r>
            <w:r>
              <w:rPr>
                <w:noProof/>
                <w:webHidden/>
              </w:rPr>
              <w:fldChar w:fldCharType="separate"/>
            </w:r>
            <w:r>
              <w:rPr>
                <w:noProof/>
                <w:webHidden/>
              </w:rPr>
              <w:t>20</w:t>
            </w:r>
            <w:r>
              <w:rPr>
                <w:noProof/>
                <w:webHidden/>
              </w:rPr>
              <w:fldChar w:fldCharType="end"/>
            </w:r>
          </w:hyperlink>
        </w:p>
        <w:p w14:paraId="53DB0DFB" w14:textId="55CE294C" w:rsidR="00FF03F8" w:rsidRDefault="00FF03F8">
          <w:pPr>
            <w:pStyle w:val="TOC2"/>
            <w:tabs>
              <w:tab w:val="left" w:pos="880"/>
              <w:tab w:val="right" w:leader="dot" w:pos="9016"/>
            </w:tabs>
            <w:rPr>
              <w:rFonts w:eastAsiaTheme="minorEastAsia"/>
              <w:noProof/>
              <w:lang w:eastAsia="en-IE"/>
            </w:rPr>
          </w:pPr>
          <w:hyperlink w:anchor="_Toc518293495" w:history="1">
            <w:r w:rsidRPr="007352E8">
              <w:rPr>
                <w:rStyle w:val="Hyperlink"/>
                <w:noProof/>
              </w:rPr>
              <w:t>2.9</w:t>
            </w:r>
            <w:r>
              <w:rPr>
                <w:rFonts w:eastAsiaTheme="minorEastAsia"/>
                <w:noProof/>
                <w:lang w:eastAsia="en-IE"/>
              </w:rPr>
              <w:tab/>
            </w:r>
            <w:r w:rsidRPr="007352E8">
              <w:rPr>
                <w:rStyle w:val="Hyperlink"/>
                <w:noProof/>
              </w:rPr>
              <w:t>The legal protection of persons with mental health problems under non-discrimination law (2011)</w:t>
            </w:r>
            <w:r>
              <w:rPr>
                <w:noProof/>
                <w:webHidden/>
              </w:rPr>
              <w:tab/>
              <w:t>…………………………………………………………………………………………………………………………………………</w:t>
            </w:r>
            <w:bookmarkStart w:id="0" w:name="_GoBack"/>
            <w:bookmarkEnd w:id="0"/>
            <w:r>
              <w:rPr>
                <w:noProof/>
                <w:webHidden/>
              </w:rPr>
              <w:fldChar w:fldCharType="begin"/>
            </w:r>
            <w:r>
              <w:rPr>
                <w:noProof/>
                <w:webHidden/>
              </w:rPr>
              <w:instrText xml:space="preserve"> PAGEREF _Toc518293495 \h </w:instrText>
            </w:r>
            <w:r>
              <w:rPr>
                <w:noProof/>
                <w:webHidden/>
              </w:rPr>
            </w:r>
            <w:r>
              <w:rPr>
                <w:noProof/>
                <w:webHidden/>
              </w:rPr>
              <w:fldChar w:fldCharType="separate"/>
            </w:r>
            <w:r>
              <w:rPr>
                <w:noProof/>
                <w:webHidden/>
              </w:rPr>
              <w:t>21</w:t>
            </w:r>
            <w:r>
              <w:rPr>
                <w:noProof/>
                <w:webHidden/>
              </w:rPr>
              <w:fldChar w:fldCharType="end"/>
            </w:r>
          </w:hyperlink>
        </w:p>
        <w:p w14:paraId="15B42CBB" w14:textId="77777777" w:rsidR="00FF03F8" w:rsidRDefault="00FF03F8">
          <w:pPr>
            <w:pStyle w:val="TOC2"/>
            <w:tabs>
              <w:tab w:val="left" w:pos="880"/>
              <w:tab w:val="right" w:leader="dot" w:pos="9016"/>
            </w:tabs>
            <w:rPr>
              <w:rFonts w:eastAsiaTheme="minorEastAsia"/>
              <w:noProof/>
              <w:lang w:eastAsia="en-IE"/>
            </w:rPr>
          </w:pPr>
          <w:hyperlink w:anchor="_Toc518293496" w:history="1">
            <w:r w:rsidRPr="007352E8">
              <w:rPr>
                <w:rStyle w:val="Hyperlink"/>
                <w:noProof/>
              </w:rPr>
              <w:t>2.10</w:t>
            </w:r>
            <w:r>
              <w:rPr>
                <w:rFonts w:eastAsiaTheme="minorEastAsia"/>
                <w:noProof/>
                <w:lang w:eastAsia="en-IE"/>
              </w:rPr>
              <w:tab/>
            </w:r>
            <w:r w:rsidRPr="007352E8">
              <w:rPr>
                <w:rStyle w:val="Hyperlink"/>
                <w:noProof/>
              </w:rPr>
              <w:t>The right to political participation of persons with mental health problems and persons with intellectual disabilities (2010)</w:t>
            </w:r>
            <w:r>
              <w:rPr>
                <w:noProof/>
                <w:webHidden/>
              </w:rPr>
              <w:tab/>
            </w:r>
            <w:r>
              <w:rPr>
                <w:noProof/>
                <w:webHidden/>
              </w:rPr>
              <w:fldChar w:fldCharType="begin"/>
            </w:r>
            <w:r>
              <w:rPr>
                <w:noProof/>
                <w:webHidden/>
              </w:rPr>
              <w:instrText xml:space="preserve"> PAGEREF _Toc518293496 \h </w:instrText>
            </w:r>
            <w:r>
              <w:rPr>
                <w:noProof/>
                <w:webHidden/>
              </w:rPr>
            </w:r>
            <w:r>
              <w:rPr>
                <w:noProof/>
                <w:webHidden/>
              </w:rPr>
              <w:fldChar w:fldCharType="separate"/>
            </w:r>
            <w:r>
              <w:rPr>
                <w:noProof/>
                <w:webHidden/>
              </w:rPr>
              <w:t>22</w:t>
            </w:r>
            <w:r>
              <w:rPr>
                <w:noProof/>
                <w:webHidden/>
              </w:rPr>
              <w:fldChar w:fldCharType="end"/>
            </w:r>
          </w:hyperlink>
        </w:p>
        <w:p w14:paraId="3C24AD8B" w14:textId="77777777" w:rsidR="00FF03F8" w:rsidRDefault="00FF03F8">
          <w:pPr>
            <w:pStyle w:val="TOC1"/>
            <w:rPr>
              <w:rFonts w:eastAsiaTheme="minorEastAsia"/>
              <w:noProof/>
              <w:lang w:eastAsia="en-IE"/>
            </w:rPr>
          </w:pPr>
          <w:hyperlink w:anchor="_Toc518293497" w:history="1">
            <w:r w:rsidRPr="007352E8">
              <w:rPr>
                <w:rStyle w:val="Hyperlink"/>
                <w:noProof/>
              </w:rPr>
              <w:t>3</w:t>
            </w:r>
            <w:r>
              <w:rPr>
                <w:rFonts w:eastAsiaTheme="minorEastAsia"/>
                <w:noProof/>
                <w:lang w:eastAsia="en-IE"/>
              </w:rPr>
              <w:tab/>
            </w:r>
            <w:r w:rsidRPr="007352E8">
              <w:rPr>
                <w:rStyle w:val="Hyperlink"/>
                <w:noProof/>
              </w:rPr>
              <w:t>Other reports related to disability</w:t>
            </w:r>
            <w:r>
              <w:rPr>
                <w:noProof/>
                <w:webHidden/>
              </w:rPr>
              <w:tab/>
            </w:r>
            <w:r>
              <w:rPr>
                <w:noProof/>
                <w:webHidden/>
              </w:rPr>
              <w:fldChar w:fldCharType="begin"/>
            </w:r>
            <w:r>
              <w:rPr>
                <w:noProof/>
                <w:webHidden/>
              </w:rPr>
              <w:instrText xml:space="preserve"> PAGEREF _Toc518293497 \h </w:instrText>
            </w:r>
            <w:r>
              <w:rPr>
                <w:noProof/>
                <w:webHidden/>
              </w:rPr>
            </w:r>
            <w:r>
              <w:rPr>
                <w:noProof/>
                <w:webHidden/>
              </w:rPr>
              <w:fldChar w:fldCharType="separate"/>
            </w:r>
            <w:r>
              <w:rPr>
                <w:noProof/>
                <w:webHidden/>
              </w:rPr>
              <w:t>22</w:t>
            </w:r>
            <w:r>
              <w:rPr>
                <w:noProof/>
                <w:webHidden/>
              </w:rPr>
              <w:fldChar w:fldCharType="end"/>
            </w:r>
          </w:hyperlink>
        </w:p>
        <w:p w14:paraId="66227C65" w14:textId="77777777" w:rsidR="00FF03F8" w:rsidRDefault="00FF03F8">
          <w:pPr>
            <w:pStyle w:val="TOC2"/>
            <w:tabs>
              <w:tab w:val="left" w:pos="880"/>
              <w:tab w:val="right" w:leader="dot" w:pos="9016"/>
            </w:tabs>
            <w:rPr>
              <w:rFonts w:eastAsiaTheme="minorEastAsia"/>
              <w:noProof/>
              <w:lang w:eastAsia="en-IE"/>
            </w:rPr>
          </w:pPr>
          <w:hyperlink w:anchor="_Toc518293498" w:history="1">
            <w:r w:rsidRPr="007352E8">
              <w:rPr>
                <w:rStyle w:val="Hyperlink"/>
                <w:noProof/>
              </w:rPr>
              <w:t>3.1</w:t>
            </w:r>
            <w:r>
              <w:rPr>
                <w:rFonts w:eastAsiaTheme="minorEastAsia"/>
                <w:noProof/>
                <w:lang w:eastAsia="en-IE"/>
              </w:rPr>
              <w:tab/>
            </w:r>
            <w:r w:rsidRPr="007352E8">
              <w:rPr>
                <w:rStyle w:val="Hyperlink"/>
                <w:noProof/>
              </w:rPr>
              <w:t>Thematic focus: migrants with disabilities (2016)</w:t>
            </w:r>
            <w:r>
              <w:rPr>
                <w:noProof/>
                <w:webHidden/>
              </w:rPr>
              <w:tab/>
            </w:r>
            <w:r>
              <w:rPr>
                <w:noProof/>
                <w:webHidden/>
              </w:rPr>
              <w:fldChar w:fldCharType="begin"/>
            </w:r>
            <w:r>
              <w:rPr>
                <w:noProof/>
                <w:webHidden/>
              </w:rPr>
              <w:instrText xml:space="preserve"> PAGEREF _Toc518293498 \h </w:instrText>
            </w:r>
            <w:r>
              <w:rPr>
                <w:noProof/>
                <w:webHidden/>
              </w:rPr>
            </w:r>
            <w:r>
              <w:rPr>
                <w:noProof/>
                <w:webHidden/>
              </w:rPr>
              <w:fldChar w:fldCharType="separate"/>
            </w:r>
            <w:r>
              <w:rPr>
                <w:noProof/>
                <w:webHidden/>
              </w:rPr>
              <w:t>22</w:t>
            </w:r>
            <w:r>
              <w:rPr>
                <w:noProof/>
                <w:webHidden/>
              </w:rPr>
              <w:fldChar w:fldCharType="end"/>
            </w:r>
          </w:hyperlink>
        </w:p>
        <w:p w14:paraId="540B12CB" w14:textId="77777777" w:rsidR="00FF03F8" w:rsidRDefault="00FF03F8">
          <w:pPr>
            <w:pStyle w:val="TOC2"/>
            <w:tabs>
              <w:tab w:val="left" w:pos="880"/>
              <w:tab w:val="right" w:leader="dot" w:pos="9016"/>
            </w:tabs>
            <w:rPr>
              <w:rFonts w:eastAsiaTheme="minorEastAsia"/>
              <w:noProof/>
              <w:lang w:eastAsia="en-IE"/>
            </w:rPr>
          </w:pPr>
          <w:hyperlink w:anchor="_Toc518293499" w:history="1">
            <w:r w:rsidRPr="007352E8">
              <w:rPr>
                <w:rStyle w:val="Hyperlink"/>
                <w:noProof/>
              </w:rPr>
              <w:t>3.2</w:t>
            </w:r>
            <w:r>
              <w:rPr>
                <w:rFonts w:eastAsiaTheme="minorEastAsia"/>
                <w:noProof/>
                <w:lang w:eastAsia="en-IE"/>
              </w:rPr>
              <w:tab/>
            </w:r>
            <w:r w:rsidRPr="007352E8">
              <w:rPr>
                <w:rStyle w:val="Hyperlink"/>
                <w:noProof/>
              </w:rPr>
              <w:t>Rights of suspected and accused persons across the EU: translation, interpretation and information (2016)</w:t>
            </w:r>
            <w:r>
              <w:rPr>
                <w:noProof/>
                <w:webHidden/>
              </w:rPr>
              <w:tab/>
            </w:r>
            <w:r>
              <w:rPr>
                <w:noProof/>
                <w:webHidden/>
              </w:rPr>
              <w:fldChar w:fldCharType="begin"/>
            </w:r>
            <w:r>
              <w:rPr>
                <w:noProof/>
                <w:webHidden/>
              </w:rPr>
              <w:instrText xml:space="preserve"> PAGEREF _Toc518293499 \h </w:instrText>
            </w:r>
            <w:r>
              <w:rPr>
                <w:noProof/>
                <w:webHidden/>
              </w:rPr>
            </w:r>
            <w:r>
              <w:rPr>
                <w:noProof/>
                <w:webHidden/>
              </w:rPr>
              <w:fldChar w:fldCharType="separate"/>
            </w:r>
            <w:r>
              <w:rPr>
                <w:noProof/>
                <w:webHidden/>
              </w:rPr>
              <w:t>24</w:t>
            </w:r>
            <w:r>
              <w:rPr>
                <w:noProof/>
                <w:webHidden/>
              </w:rPr>
              <w:fldChar w:fldCharType="end"/>
            </w:r>
          </w:hyperlink>
        </w:p>
        <w:p w14:paraId="47DCE95C" w14:textId="77777777" w:rsidR="00FF03F8" w:rsidRDefault="00FF03F8">
          <w:pPr>
            <w:pStyle w:val="TOC2"/>
            <w:tabs>
              <w:tab w:val="left" w:pos="880"/>
              <w:tab w:val="right" w:leader="dot" w:pos="9016"/>
            </w:tabs>
            <w:rPr>
              <w:rFonts w:eastAsiaTheme="minorEastAsia"/>
              <w:noProof/>
              <w:lang w:eastAsia="en-IE"/>
            </w:rPr>
          </w:pPr>
          <w:hyperlink w:anchor="_Toc518293500" w:history="1">
            <w:r w:rsidRPr="007352E8">
              <w:rPr>
                <w:rStyle w:val="Hyperlink"/>
                <w:noProof/>
              </w:rPr>
              <w:t>3.3</w:t>
            </w:r>
            <w:r>
              <w:rPr>
                <w:rFonts w:eastAsiaTheme="minorEastAsia"/>
                <w:noProof/>
                <w:lang w:eastAsia="en-IE"/>
              </w:rPr>
              <w:tab/>
            </w:r>
            <w:r w:rsidRPr="007352E8">
              <w:rPr>
                <w:rStyle w:val="Hyperlink"/>
                <w:noProof/>
              </w:rPr>
              <w:t>Inequalities and multiple discrimination in access to and quality of healthcare (2013)</w:t>
            </w:r>
            <w:r>
              <w:rPr>
                <w:noProof/>
                <w:webHidden/>
              </w:rPr>
              <w:tab/>
            </w:r>
            <w:r>
              <w:rPr>
                <w:noProof/>
                <w:webHidden/>
              </w:rPr>
              <w:fldChar w:fldCharType="begin"/>
            </w:r>
            <w:r>
              <w:rPr>
                <w:noProof/>
                <w:webHidden/>
              </w:rPr>
              <w:instrText xml:space="preserve"> PAGEREF _Toc518293500 \h </w:instrText>
            </w:r>
            <w:r>
              <w:rPr>
                <w:noProof/>
                <w:webHidden/>
              </w:rPr>
            </w:r>
            <w:r>
              <w:rPr>
                <w:noProof/>
                <w:webHidden/>
              </w:rPr>
              <w:fldChar w:fldCharType="separate"/>
            </w:r>
            <w:r>
              <w:rPr>
                <w:noProof/>
                <w:webHidden/>
              </w:rPr>
              <w:t>24</w:t>
            </w:r>
            <w:r>
              <w:rPr>
                <w:noProof/>
                <w:webHidden/>
              </w:rPr>
              <w:fldChar w:fldCharType="end"/>
            </w:r>
          </w:hyperlink>
        </w:p>
        <w:p w14:paraId="25682C65" w14:textId="21BF3336" w:rsidR="00C4175B" w:rsidRPr="00473A78" w:rsidRDefault="00EA5BD7" w:rsidP="003878DD">
          <w:r w:rsidRPr="00F83F6A">
            <w:rPr>
              <w:b/>
              <w:bCs/>
              <w:noProof/>
            </w:rPr>
            <w:fldChar w:fldCharType="end"/>
          </w:r>
        </w:p>
      </w:sdtContent>
    </w:sdt>
    <w:bookmarkStart w:id="1" w:name="_Toc437340013" w:displacedByCustomXml="prev"/>
    <w:bookmarkEnd w:id="1" w:displacedByCustomXml="prev"/>
    <w:bookmarkStart w:id="2" w:name="_Toc437340012" w:displacedByCustomXml="prev"/>
    <w:bookmarkEnd w:id="2" w:displacedByCustomXml="prev"/>
    <w:bookmarkStart w:id="3" w:name="_Toc437340011" w:displacedByCustomXml="prev"/>
    <w:bookmarkEnd w:id="3" w:displacedByCustomXml="prev"/>
    <w:bookmarkStart w:id="4" w:name="_Toc437340010" w:displacedByCustomXml="prev"/>
    <w:bookmarkEnd w:id="4" w:displacedByCustomXml="prev"/>
    <w:p w14:paraId="36499D7E" w14:textId="0DD7AE2B" w:rsidR="00454CBC" w:rsidRDefault="00454CBC" w:rsidP="00454CBC">
      <w:pPr>
        <w:pStyle w:val="Heading1"/>
        <w:numPr>
          <w:ilvl w:val="0"/>
          <w:numId w:val="0"/>
        </w:numPr>
        <w:ind w:left="432"/>
      </w:pPr>
    </w:p>
    <w:p w14:paraId="4B72CAB7" w14:textId="77777777" w:rsidR="00454CBC" w:rsidRDefault="00454CBC" w:rsidP="00454CBC"/>
    <w:p w14:paraId="26415960" w14:textId="77777777" w:rsidR="00454CBC" w:rsidRDefault="00454CBC" w:rsidP="00454CBC"/>
    <w:p w14:paraId="0991A44E" w14:textId="77777777" w:rsidR="00454CBC" w:rsidRDefault="00454CBC" w:rsidP="00454CBC"/>
    <w:p w14:paraId="072563F4" w14:textId="77777777" w:rsidR="00454CBC" w:rsidRDefault="00454CBC" w:rsidP="00454CBC"/>
    <w:p w14:paraId="3D4097FA" w14:textId="77777777" w:rsidR="00454CBC" w:rsidRDefault="00454CBC" w:rsidP="00454CBC"/>
    <w:p w14:paraId="31D6A15D" w14:textId="77777777" w:rsidR="00454CBC" w:rsidRDefault="00454CBC" w:rsidP="00454CBC"/>
    <w:p w14:paraId="5C83F570" w14:textId="77777777" w:rsidR="00454CBC" w:rsidRDefault="00454CBC" w:rsidP="00454CBC"/>
    <w:p w14:paraId="53BD6AF0" w14:textId="77777777" w:rsidR="00454CBC" w:rsidRDefault="00454CBC" w:rsidP="00454CBC"/>
    <w:p w14:paraId="24010C90" w14:textId="77777777" w:rsidR="00454CBC" w:rsidRDefault="00454CBC" w:rsidP="00454CBC"/>
    <w:p w14:paraId="3431C3D3" w14:textId="77777777" w:rsidR="00454CBC" w:rsidRDefault="00454CBC" w:rsidP="00454CBC"/>
    <w:p w14:paraId="26594C78" w14:textId="77777777" w:rsidR="00454CBC" w:rsidRDefault="00454CBC" w:rsidP="00454CBC"/>
    <w:p w14:paraId="552BCF27" w14:textId="77777777" w:rsidR="00454CBC" w:rsidRDefault="00454CBC" w:rsidP="00454CBC"/>
    <w:p w14:paraId="62FCFC62" w14:textId="77777777" w:rsidR="00454CBC" w:rsidRDefault="00454CBC" w:rsidP="00454CBC"/>
    <w:p w14:paraId="4A39ACBA" w14:textId="77777777" w:rsidR="00454CBC" w:rsidRDefault="00454CBC" w:rsidP="00454CBC"/>
    <w:p w14:paraId="25AB28EA" w14:textId="77777777" w:rsidR="00454CBC" w:rsidRDefault="00454CBC" w:rsidP="00454CBC"/>
    <w:p w14:paraId="34C97B6F" w14:textId="793DB978" w:rsidR="00454CBC" w:rsidRDefault="00454CBC" w:rsidP="00454CBC"/>
    <w:p w14:paraId="50012BC6" w14:textId="77777777" w:rsidR="00454CBC" w:rsidRDefault="00454CBC" w:rsidP="00454CBC"/>
    <w:p w14:paraId="3952F75D" w14:textId="4C9D99C4" w:rsidR="00454CBC" w:rsidRDefault="002D2A11" w:rsidP="00454CBC">
      <w:pPr>
        <w:pStyle w:val="Heading1"/>
      </w:pPr>
      <w:bookmarkStart w:id="5" w:name="_Toc518293481"/>
      <w:r w:rsidRPr="001A2786">
        <w:t>A</w:t>
      </w:r>
      <w:r w:rsidR="00EA5BD7" w:rsidRPr="001A2786">
        <w:t>nnual reports</w:t>
      </w:r>
      <w:bookmarkEnd w:id="5"/>
    </w:p>
    <w:p w14:paraId="4AE19F00" w14:textId="77777777" w:rsidR="00454CBC" w:rsidRPr="00454CBC" w:rsidRDefault="00454CBC" w:rsidP="00454CBC">
      <w:pPr>
        <w:spacing w:after="0"/>
      </w:pPr>
    </w:p>
    <w:p w14:paraId="1A091664" w14:textId="668554B1" w:rsidR="00D97FF1" w:rsidRDefault="00D97FF1" w:rsidP="00454CBC">
      <w:pPr>
        <w:pStyle w:val="Heading2"/>
        <w:ind w:left="939"/>
      </w:pPr>
      <w:bookmarkStart w:id="6" w:name="_Toc437340026"/>
      <w:bookmarkStart w:id="7" w:name="_Toc518293482"/>
      <w:bookmarkEnd w:id="6"/>
      <w:r>
        <w:t>Fundamental Rights Report 2018</w:t>
      </w:r>
      <w:bookmarkEnd w:id="7"/>
    </w:p>
    <w:p w14:paraId="2C8ADE77" w14:textId="737D4F65" w:rsidR="00D97FF1" w:rsidRDefault="007F5D0C" w:rsidP="00454CBC">
      <w:pPr>
        <w:spacing w:after="0"/>
      </w:pPr>
      <w:r w:rsidRPr="0033559A">
        <w:t>For more detailed information:</w:t>
      </w:r>
      <w:r>
        <w:t xml:space="preserve"> </w:t>
      </w:r>
      <w:hyperlink r:id="rId8" w:history="1">
        <w:r w:rsidRPr="00FF770D">
          <w:rPr>
            <w:rStyle w:val="Hyperlink"/>
          </w:rPr>
          <w:t>http://fra.europa.eu/en/publication/2018/fundamental-rights-report-2018</w:t>
        </w:r>
      </w:hyperlink>
      <w:r>
        <w:t xml:space="preserve"> .</w:t>
      </w:r>
    </w:p>
    <w:p w14:paraId="72BDB95E" w14:textId="63341BF7" w:rsidR="007F5D0C" w:rsidRDefault="007F5D0C" w:rsidP="00454CBC">
      <w:pPr>
        <w:spacing w:after="0"/>
      </w:pPr>
      <w:r>
        <w:t>“</w:t>
      </w:r>
      <w:r w:rsidR="008D0CA8">
        <w:t xml:space="preserve">Member States began taking steps to implement the requirements for the accessibility of websites and mobile applications set out in the Web Accessibility Directive, which was adopted in 2016 and has a transposition deadline of 23 September 2018. For example, as a first step, the responsible ministries in </w:t>
      </w:r>
      <w:r w:rsidR="008D0CA8" w:rsidRPr="008D0CA8">
        <w:rPr>
          <w:b/>
        </w:rPr>
        <w:t>Bulgaria</w:t>
      </w:r>
      <w:r w:rsidR="008D0CA8">
        <w:t xml:space="preserve"> and Finland established working groups to support transposition.” (p.226)</w:t>
      </w:r>
    </w:p>
    <w:p w14:paraId="5479E431" w14:textId="0F70D2EF" w:rsidR="008D0CA8" w:rsidRDefault="008D0CA8" w:rsidP="00454CBC">
      <w:pPr>
        <w:spacing w:after="0"/>
      </w:pPr>
      <w:r>
        <w:t>“</w:t>
      </w:r>
      <w:r w:rsidRPr="008D0CA8">
        <w:t xml:space="preserve">This leaves </w:t>
      </w:r>
      <w:r w:rsidRPr="008D0CA8">
        <w:rPr>
          <w:b/>
          <w:bCs/>
        </w:rPr>
        <w:t>Bulgaria</w:t>
      </w:r>
      <w:r w:rsidRPr="008D0CA8">
        <w:t xml:space="preserve">, </w:t>
      </w:r>
      <w:r w:rsidRPr="00B12F47">
        <w:rPr>
          <w:bCs/>
        </w:rPr>
        <w:t xml:space="preserve">Estonia </w:t>
      </w:r>
      <w:r w:rsidRPr="00B12F47">
        <w:t xml:space="preserve">and </w:t>
      </w:r>
      <w:r w:rsidRPr="00B12F47">
        <w:rPr>
          <w:bCs/>
        </w:rPr>
        <w:t>Sweden</w:t>
      </w:r>
      <w:r w:rsidRPr="008D0CA8">
        <w:rPr>
          <w:b/>
          <w:bCs/>
        </w:rPr>
        <w:t xml:space="preserve"> </w:t>
      </w:r>
      <w:r w:rsidRPr="008D0CA8">
        <w:t xml:space="preserve">as the only three Member States yet to appoint monitoring bodies. Preparations in </w:t>
      </w:r>
      <w:r w:rsidRPr="008D0CA8">
        <w:rPr>
          <w:b/>
        </w:rPr>
        <w:t>Bulgaria</w:t>
      </w:r>
      <w:r w:rsidRPr="008D0CA8">
        <w:t xml:space="preserve"> took a step forward with the establishment of an interagency working group to design the coordination and monitoring mechanisms. The group includes representatives of the ombuds organisation, the Commission for Protection against Discrimination (</w:t>
      </w:r>
      <w:r w:rsidRPr="008D0CA8">
        <w:rPr>
          <w:i/>
          <w:iCs/>
        </w:rPr>
        <w:t>Комисия за защита от дискриминацията</w:t>
      </w:r>
      <w:r w:rsidRPr="008D0CA8">
        <w:t>), NGOs and DPOs</w:t>
      </w:r>
      <w:r>
        <w:t>.” (p.233)</w:t>
      </w:r>
    </w:p>
    <w:p w14:paraId="5520DB14" w14:textId="77777777" w:rsidR="00454CBC" w:rsidRPr="00D97FF1" w:rsidRDefault="00454CBC" w:rsidP="00454CBC">
      <w:pPr>
        <w:spacing w:after="0"/>
      </w:pPr>
    </w:p>
    <w:p w14:paraId="1B0B7C8A" w14:textId="5795B30F" w:rsidR="00D97FF1" w:rsidRDefault="00D97FF1" w:rsidP="00454CBC">
      <w:pPr>
        <w:pStyle w:val="Heading2"/>
        <w:ind w:left="939"/>
      </w:pPr>
      <w:bookmarkStart w:id="8" w:name="_Toc518293483"/>
      <w:r>
        <w:lastRenderedPageBreak/>
        <w:t>Fundamental Rights Report 2017</w:t>
      </w:r>
      <w:bookmarkEnd w:id="8"/>
    </w:p>
    <w:p w14:paraId="13B666E2" w14:textId="5302C386" w:rsidR="00D97FF1" w:rsidRDefault="0033559A" w:rsidP="00454CBC">
      <w:pPr>
        <w:spacing w:after="0"/>
      </w:pPr>
      <w:r w:rsidRPr="0033559A">
        <w:t>For more detailed information:</w:t>
      </w:r>
      <w:r>
        <w:t xml:space="preserve"> </w:t>
      </w:r>
      <w:hyperlink r:id="rId9" w:history="1">
        <w:r w:rsidRPr="00FF770D">
          <w:rPr>
            <w:rStyle w:val="Hyperlink"/>
          </w:rPr>
          <w:t>http://fra.europa.eu/en/publication/2017/fundamental-rights-report-2017</w:t>
        </w:r>
      </w:hyperlink>
      <w:r>
        <w:t xml:space="preserve"> .</w:t>
      </w:r>
    </w:p>
    <w:p w14:paraId="570E6EED" w14:textId="71CCF37C" w:rsidR="00E44D9B" w:rsidRDefault="00E44D9B" w:rsidP="00454CBC">
      <w:pPr>
        <w:spacing w:after="0"/>
      </w:pPr>
      <w:r>
        <w:t xml:space="preserve">“Rather than new national action plans, such as those adopted in </w:t>
      </w:r>
      <w:r w:rsidRPr="00E44D9B">
        <w:rPr>
          <w:b/>
        </w:rPr>
        <w:t>Bulgaria</w:t>
      </w:r>
      <w:r>
        <w:t xml:space="preserve"> and Romania, much activity now focuses on evaluating existing action plans and developing their successors.”</w:t>
      </w:r>
    </w:p>
    <w:p w14:paraId="21624BCD" w14:textId="73CA12D4" w:rsidR="0033559A" w:rsidRDefault="00E44D9B" w:rsidP="00D97FF1">
      <w:r>
        <w:rPr>
          <w:noProof/>
          <w:lang w:eastAsia="en-IE"/>
        </w:rPr>
        <w:drawing>
          <wp:inline distT="0" distB="0" distL="0" distR="0" wp14:anchorId="0337D6DC" wp14:editId="195E6B4A">
            <wp:extent cx="5181600" cy="4627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PD1.PNG"/>
                    <pic:cNvPicPr/>
                  </pic:nvPicPr>
                  <pic:blipFill>
                    <a:blip r:embed="rId10">
                      <a:extLst>
                        <a:ext uri="{28A0092B-C50C-407E-A947-70E740481C1C}">
                          <a14:useLocalDpi xmlns:a14="http://schemas.microsoft.com/office/drawing/2010/main" val="0"/>
                        </a:ext>
                      </a:extLst>
                    </a:blip>
                    <a:stretch>
                      <a:fillRect/>
                    </a:stretch>
                  </pic:blipFill>
                  <pic:spPr>
                    <a:xfrm>
                      <a:off x="0" y="0"/>
                      <a:ext cx="5324826" cy="475494"/>
                    </a:xfrm>
                    <a:prstGeom prst="rect">
                      <a:avLst/>
                    </a:prstGeom>
                  </pic:spPr>
                </pic:pic>
              </a:graphicData>
            </a:graphic>
          </wp:inline>
        </w:drawing>
      </w:r>
    </w:p>
    <w:p w14:paraId="5646C395" w14:textId="0171187C" w:rsidR="00E44D9B" w:rsidRDefault="00E44D9B" w:rsidP="00D97FF1">
      <w:r>
        <w:rPr>
          <w:noProof/>
          <w:lang w:eastAsia="en-IE"/>
        </w:rPr>
        <w:drawing>
          <wp:inline distT="0" distB="0" distL="0" distR="0" wp14:anchorId="0CB7F526" wp14:editId="64AF4640">
            <wp:extent cx="5191125" cy="342265"/>
            <wp:effectExtent l="0" t="0" r="952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RPD2.PNG"/>
                    <pic:cNvPicPr/>
                  </pic:nvPicPr>
                  <pic:blipFill>
                    <a:blip r:embed="rId11">
                      <a:extLst>
                        <a:ext uri="{28A0092B-C50C-407E-A947-70E740481C1C}">
                          <a14:useLocalDpi xmlns:a14="http://schemas.microsoft.com/office/drawing/2010/main" val="0"/>
                        </a:ext>
                      </a:extLst>
                    </a:blip>
                    <a:stretch>
                      <a:fillRect/>
                    </a:stretch>
                  </pic:blipFill>
                  <pic:spPr>
                    <a:xfrm>
                      <a:off x="0" y="0"/>
                      <a:ext cx="5431281" cy="358099"/>
                    </a:xfrm>
                    <a:prstGeom prst="rect">
                      <a:avLst/>
                    </a:prstGeom>
                  </pic:spPr>
                </pic:pic>
              </a:graphicData>
            </a:graphic>
          </wp:inline>
        </w:drawing>
      </w:r>
      <w:r>
        <w:t>(p.227)</w:t>
      </w:r>
    </w:p>
    <w:p w14:paraId="5A59A806" w14:textId="1E2C542E" w:rsidR="00E44D9B" w:rsidRDefault="00E44D9B" w:rsidP="00454CBC">
      <w:pPr>
        <w:spacing w:after="0"/>
      </w:pPr>
      <w:r>
        <w:t xml:space="preserve">“A </w:t>
      </w:r>
      <w:r w:rsidRPr="00E44D9B">
        <w:rPr>
          <w:b/>
        </w:rPr>
        <w:t>Bulgarian</w:t>
      </w:r>
      <w:r>
        <w:t xml:space="preserve"> applicant with physical impairments claimed financial compensation for damages suffered as a consequence of inaccessible court premises, which meant he – a wheelchair user – needed the help of two</w:t>
      </w:r>
      <w:r w:rsidR="00B12F47">
        <w:t xml:space="preserve"> people to enter the building.</w:t>
      </w:r>
      <w:r>
        <w:t xml:space="preserve"> Again drawing on the principle of equal treatment, the court found that, as there was no way for persons using wheelchairs to enter or move around the building without help, the applicant’s right to equal treatment had been violated. However, the court did not make reference to the CRPD, although the applicant explicitly mentioned its provisions concerning discrimination on the grounds of disability and accessibility.” (p.229)</w:t>
      </w:r>
    </w:p>
    <w:p w14:paraId="75F2DF65" w14:textId="3B778615" w:rsidR="00E44D9B" w:rsidRDefault="00E44D9B" w:rsidP="00454CBC">
      <w:pPr>
        <w:spacing w:after="0"/>
      </w:pPr>
      <w:r>
        <w:t>“At the most basic level, 2016 saw no developments in the four EU Member States (</w:t>
      </w:r>
      <w:r w:rsidRPr="00E44D9B">
        <w:rPr>
          <w:b/>
        </w:rPr>
        <w:t>Bulgaria</w:t>
      </w:r>
      <w:r>
        <w:t>, the Czech Republic, Greece and Sweden) still to appoint Article 33 (2) bodies.” (p.233)</w:t>
      </w:r>
    </w:p>
    <w:p w14:paraId="1A72A6D9" w14:textId="77777777" w:rsidR="00E44D9B" w:rsidRPr="00D97FF1" w:rsidRDefault="00E44D9B" w:rsidP="00D97FF1"/>
    <w:p w14:paraId="122B9222" w14:textId="3682223E" w:rsidR="00DC58E1" w:rsidRDefault="00DC58E1" w:rsidP="00454CBC">
      <w:pPr>
        <w:pStyle w:val="Heading2"/>
        <w:ind w:left="939"/>
      </w:pPr>
      <w:bookmarkStart w:id="9" w:name="_Toc518293484"/>
      <w:r w:rsidRPr="004C24D1">
        <w:t>Fundamental Rights Report 2016</w:t>
      </w:r>
      <w:bookmarkEnd w:id="9"/>
    </w:p>
    <w:p w14:paraId="27B8F0D3" w14:textId="3F47A260" w:rsidR="00DC58E1" w:rsidRPr="00E673AD" w:rsidRDefault="00DC58E1" w:rsidP="00454CBC">
      <w:pPr>
        <w:spacing w:after="0"/>
        <w:rPr>
          <w:sz w:val="24"/>
          <w:szCs w:val="24"/>
        </w:rPr>
      </w:pPr>
      <w:r w:rsidRPr="00E673AD">
        <w:rPr>
          <w:sz w:val="24"/>
          <w:szCs w:val="24"/>
        </w:rPr>
        <w:t xml:space="preserve">For more detailed information: </w:t>
      </w:r>
      <w:hyperlink r:id="rId12" w:history="1">
        <w:r w:rsidRPr="00E673AD">
          <w:rPr>
            <w:rStyle w:val="Hyperlink"/>
            <w:sz w:val="24"/>
            <w:szCs w:val="24"/>
          </w:rPr>
          <w:t>http://fra.europa.eu/en/publications-and-resources/publications/annual-reports/fundamental-rights-2016</w:t>
        </w:r>
      </w:hyperlink>
      <w:r w:rsidR="008152A5" w:rsidRPr="008152A5">
        <w:rPr>
          <w:rStyle w:val="Hyperlink"/>
          <w:sz w:val="24"/>
          <w:szCs w:val="24"/>
          <w:u w:val="none"/>
        </w:rPr>
        <w:t>.</w:t>
      </w:r>
      <w:r w:rsidRPr="008152A5">
        <w:rPr>
          <w:sz w:val="24"/>
          <w:szCs w:val="24"/>
        </w:rPr>
        <w:t xml:space="preserve"> </w:t>
      </w:r>
    </w:p>
    <w:p w14:paraId="0E482212" w14:textId="7BB088A0" w:rsidR="0050303F" w:rsidRPr="00C4175B" w:rsidRDefault="002D605B" w:rsidP="00454CBC">
      <w:pPr>
        <w:spacing w:after="0"/>
        <w:rPr>
          <w:rFonts w:cs="DaxlinePro-Bold"/>
          <w:bCs/>
          <w:sz w:val="24"/>
          <w:szCs w:val="24"/>
        </w:rPr>
      </w:pPr>
      <w:r w:rsidRPr="00C4175B">
        <w:rPr>
          <w:rFonts w:cs="DaxlinePro-Bold"/>
          <w:bCs/>
          <w:sz w:val="24"/>
          <w:szCs w:val="24"/>
        </w:rPr>
        <w:t>“</w:t>
      </w:r>
      <w:r w:rsidR="0050303F" w:rsidRPr="00C4175B">
        <w:rPr>
          <w:rFonts w:cs="DaxlinePro-Bold"/>
          <w:bCs/>
          <w:sz w:val="24"/>
          <w:szCs w:val="24"/>
        </w:rPr>
        <w:t xml:space="preserve">Meanwhile, </w:t>
      </w:r>
      <w:r w:rsidR="0050303F" w:rsidRPr="00C4175B">
        <w:rPr>
          <w:rFonts w:cs="DaxlinePro-Bold"/>
          <w:b/>
          <w:bCs/>
          <w:sz w:val="24"/>
          <w:szCs w:val="24"/>
        </w:rPr>
        <w:t>Bulgaria</w:t>
      </w:r>
      <w:r w:rsidR="0050303F" w:rsidRPr="00C4175B">
        <w:rPr>
          <w:rFonts w:cs="DaxlinePro-Bold"/>
          <w:bCs/>
          <w:sz w:val="24"/>
          <w:szCs w:val="24"/>
        </w:rPr>
        <w:t>, the Czech Republic, Poland, Romania, and the EU have still not ratified the Optional Protocol to the CRPD, which allows for individuals to bring complaints to the CRPD Committee.</w:t>
      </w:r>
      <w:r w:rsidRPr="00C4175B">
        <w:rPr>
          <w:rFonts w:cs="DaxlinePro-Bold"/>
          <w:bCs/>
          <w:sz w:val="24"/>
          <w:szCs w:val="24"/>
        </w:rPr>
        <w:t>”</w:t>
      </w:r>
      <w:r w:rsidR="0050303F" w:rsidRPr="00C4175B">
        <w:rPr>
          <w:rFonts w:cs="DaxlinePro-Bold"/>
          <w:bCs/>
          <w:sz w:val="24"/>
          <w:szCs w:val="24"/>
        </w:rPr>
        <w:t xml:space="preserve"> (p189) </w:t>
      </w:r>
    </w:p>
    <w:p w14:paraId="514C697D" w14:textId="1E06FC4F" w:rsidR="00506713" w:rsidRDefault="00506713" w:rsidP="002D605B">
      <w:pPr>
        <w:rPr>
          <w:rFonts w:cs="DaxlinePro-Bold"/>
          <w:bCs/>
        </w:rPr>
      </w:pPr>
      <w:r>
        <w:rPr>
          <w:noProof/>
          <w:lang w:eastAsia="en-IE"/>
        </w:rPr>
        <w:drawing>
          <wp:inline distT="0" distB="0" distL="0" distR="0" wp14:anchorId="17B43105" wp14:editId="08DC5DF4">
            <wp:extent cx="4914900" cy="476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1275" t="18590" r="20624" b="76464"/>
                    <a:stretch/>
                  </pic:blipFill>
                  <pic:spPr bwMode="auto">
                    <a:xfrm>
                      <a:off x="0" y="0"/>
                      <a:ext cx="4928946" cy="477611"/>
                    </a:xfrm>
                    <a:prstGeom prst="rect">
                      <a:avLst/>
                    </a:prstGeom>
                    <a:ln>
                      <a:noFill/>
                    </a:ln>
                    <a:extLst>
                      <a:ext uri="{53640926-AAD7-44D8-BBD7-CCE9431645EC}">
                        <a14:shadowObscured xmlns:a14="http://schemas.microsoft.com/office/drawing/2010/main"/>
                      </a:ext>
                    </a:extLst>
                  </pic:spPr>
                </pic:pic>
              </a:graphicData>
            </a:graphic>
          </wp:inline>
        </w:drawing>
      </w:r>
    </w:p>
    <w:p w14:paraId="0B41D037" w14:textId="0D0A15A7" w:rsidR="00506713" w:rsidRDefault="00506713" w:rsidP="002D605B">
      <w:pPr>
        <w:rPr>
          <w:rFonts w:cs="DaxlinePro-Bold"/>
          <w:bCs/>
        </w:rPr>
      </w:pPr>
      <w:r>
        <w:rPr>
          <w:noProof/>
          <w:lang w:eastAsia="en-IE"/>
        </w:rPr>
        <w:lastRenderedPageBreak/>
        <w:drawing>
          <wp:inline distT="0" distB="0" distL="0" distR="0" wp14:anchorId="2CA60147" wp14:editId="631E7C78">
            <wp:extent cx="4800600" cy="4095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1564" t="26260" r="21522" b="69649"/>
                    <a:stretch/>
                  </pic:blipFill>
                  <pic:spPr bwMode="auto">
                    <a:xfrm>
                      <a:off x="0" y="0"/>
                      <a:ext cx="4876830" cy="416079"/>
                    </a:xfrm>
                    <a:prstGeom prst="rect">
                      <a:avLst/>
                    </a:prstGeom>
                    <a:ln>
                      <a:noFill/>
                    </a:ln>
                    <a:extLst>
                      <a:ext uri="{53640926-AAD7-44D8-BBD7-CCE9431645EC}">
                        <a14:shadowObscured xmlns:a14="http://schemas.microsoft.com/office/drawing/2010/main"/>
                      </a:ext>
                    </a:extLst>
                  </pic:spPr>
                </pic:pic>
              </a:graphicData>
            </a:graphic>
          </wp:inline>
        </w:drawing>
      </w:r>
      <w:r w:rsidR="002B0997">
        <w:rPr>
          <w:rFonts w:cs="DaxlinePro-Bold"/>
          <w:bCs/>
        </w:rPr>
        <w:t>(p.190)</w:t>
      </w:r>
    </w:p>
    <w:p w14:paraId="29192840" w14:textId="15D3EFFB" w:rsidR="0050303F" w:rsidRPr="002D605B" w:rsidRDefault="002D605B" w:rsidP="00454CBC">
      <w:pPr>
        <w:spacing w:after="0"/>
        <w:rPr>
          <w:rFonts w:cs="DaxlinePro-Regular"/>
          <w:color w:val="000000"/>
          <w:sz w:val="24"/>
          <w:szCs w:val="24"/>
        </w:rPr>
      </w:pPr>
      <w:r>
        <w:rPr>
          <w:rFonts w:cs="DaxlinePro-Regular"/>
          <w:color w:val="000000"/>
          <w:sz w:val="24"/>
          <w:szCs w:val="24"/>
        </w:rPr>
        <w:t>“</w:t>
      </w:r>
      <w:r w:rsidR="0050303F" w:rsidRPr="002D605B">
        <w:rPr>
          <w:rFonts w:cs="DaxlinePro-Regular"/>
          <w:color w:val="000000"/>
          <w:sz w:val="24"/>
          <w:szCs w:val="24"/>
        </w:rPr>
        <w:t xml:space="preserve">Reflecting a wider trend for developing action plans targeting specific CRPD articles, the </w:t>
      </w:r>
      <w:r w:rsidR="0050303F" w:rsidRPr="00C4175B">
        <w:rPr>
          <w:rFonts w:cs="DaxlinePro-Bold"/>
          <w:bCs/>
          <w:color w:val="000000"/>
          <w:sz w:val="24"/>
          <w:szCs w:val="24"/>
        </w:rPr>
        <w:t>Slovak</w:t>
      </w:r>
      <w:r w:rsidR="0050303F" w:rsidRPr="002D605B">
        <w:rPr>
          <w:rFonts w:cs="DaxlinePro-Bold"/>
          <w:b/>
          <w:bCs/>
          <w:color w:val="000000"/>
          <w:sz w:val="24"/>
          <w:szCs w:val="24"/>
        </w:rPr>
        <w:t xml:space="preserve"> </w:t>
      </w:r>
      <w:r w:rsidR="0050303F" w:rsidRPr="002D605B">
        <w:rPr>
          <w:rFonts w:cs="DaxlinePro-Regular"/>
          <w:color w:val="000000"/>
          <w:sz w:val="24"/>
          <w:szCs w:val="24"/>
        </w:rPr>
        <w:t>Ministry of Labour, Social Affairs and Family assessed the imple</w:t>
      </w:r>
      <w:r w:rsidR="0050303F" w:rsidRPr="002D605B">
        <w:rPr>
          <w:rFonts w:cs="DaxlinePro-Regular"/>
          <w:color w:val="000000"/>
          <w:sz w:val="24"/>
          <w:szCs w:val="24"/>
        </w:rPr>
        <w:softHyphen/>
        <w:t>mentation of two strategies – the first on deinstitution</w:t>
      </w:r>
      <w:r w:rsidR="0050303F" w:rsidRPr="002D605B">
        <w:rPr>
          <w:rFonts w:cs="DaxlinePro-Regular"/>
          <w:color w:val="000000"/>
          <w:sz w:val="24"/>
          <w:szCs w:val="24"/>
        </w:rPr>
        <w:softHyphen/>
        <w:t>alisation of social care</w:t>
      </w:r>
      <w:r w:rsidR="0050303F" w:rsidRPr="002D605B">
        <w:rPr>
          <w:rStyle w:val="A9"/>
          <w:sz w:val="24"/>
          <w:szCs w:val="24"/>
        </w:rPr>
        <w:t xml:space="preserve"> </w:t>
      </w:r>
      <w:r w:rsidR="0050303F" w:rsidRPr="002D605B">
        <w:rPr>
          <w:rFonts w:cs="DaxlinePro-Regular"/>
          <w:color w:val="000000"/>
          <w:sz w:val="24"/>
          <w:szCs w:val="24"/>
        </w:rPr>
        <w:t>and the second on develop</w:t>
      </w:r>
      <w:r w:rsidR="0050303F" w:rsidRPr="002D605B">
        <w:rPr>
          <w:rFonts w:cs="DaxlinePro-Regular"/>
          <w:color w:val="000000"/>
          <w:sz w:val="24"/>
          <w:szCs w:val="24"/>
        </w:rPr>
        <w:softHyphen/>
        <w:t>ment of living conditions for persons with disabilities.</w:t>
      </w:r>
      <w:r w:rsidR="0050303F" w:rsidRPr="002D605B">
        <w:rPr>
          <w:rStyle w:val="A9"/>
          <w:sz w:val="24"/>
          <w:szCs w:val="24"/>
        </w:rPr>
        <w:t xml:space="preserve"> </w:t>
      </w:r>
      <w:r w:rsidR="0050303F" w:rsidRPr="002D605B">
        <w:rPr>
          <w:rFonts w:cs="DaxlinePro-Regular"/>
          <w:color w:val="000000"/>
          <w:sz w:val="24"/>
          <w:szCs w:val="24"/>
        </w:rPr>
        <w:t xml:space="preserve">Such assessments in turn often result in follow-up strategies, such as that developed in </w:t>
      </w:r>
      <w:r w:rsidR="0050303F" w:rsidRPr="002D605B">
        <w:rPr>
          <w:rFonts w:cs="DaxlinePro-Bold"/>
          <w:b/>
          <w:bCs/>
          <w:color w:val="000000"/>
          <w:sz w:val="24"/>
          <w:szCs w:val="24"/>
        </w:rPr>
        <w:t xml:space="preserve">Bulgaria </w:t>
      </w:r>
      <w:r w:rsidR="0050303F" w:rsidRPr="002D605B">
        <w:rPr>
          <w:rFonts w:cs="DaxlinePro-Regular"/>
          <w:color w:val="000000"/>
          <w:sz w:val="24"/>
          <w:szCs w:val="24"/>
        </w:rPr>
        <w:t>for the period 2015–2020.</w:t>
      </w:r>
      <w:r w:rsidR="00506713" w:rsidRPr="002D605B">
        <w:rPr>
          <w:sz w:val="24"/>
          <w:szCs w:val="24"/>
        </w:rPr>
        <w:t xml:space="preserve"> </w:t>
      </w:r>
      <w:r w:rsidR="00506713" w:rsidRPr="002D605B">
        <w:rPr>
          <w:rFonts w:cs="DaxlinePro-Regular"/>
          <w:color w:val="000000"/>
          <w:sz w:val="24"/>
          <w:szCs w:val="24"/>
        </w:rPr>
        <w:t>The new plan addresses objectives that were not reached during the period of the 2013–2014 plan, including designating Article 33 bodies (see Section 8.2.2) and drafting a longer-term national strategy for CRPD implementation.</w:t>
      </w:r>
      <w:r>
        <w:rPr>
          <w:rFonts w:cs="DaxlinePro-Regular"/>
          <w:color w:val="000000"/>
          <w:sz w:val="24"/>
          <w:szCs w:val="24"/>
        </w:rPr>
        <w:t>” (p.190)</w:t>
      </w:r>
    </w:p>
    <w:p w14:paraId="0294D5BF" w14:textId="7A1119B8" w:rsidR="00506713" w:rsidRDefault="002D605B" w:rsidP="00454CBC">
      <w:pPr>
        <w:spacing w:after="0"/>
        <w:rPr>
          <w:rFonts w:cs="DaxlinePro-Regular"/>
          <w:color w:val="000000"/>
          <w:sz w:val="24"/>
          <w:szCs w:val="24"/>
        </w:rPr>
      </w:pPr>
      <w:r w:rsidRPr="002D605B">
        <w:rPr>
          <w:rFonts w:cs="DaxlinePro-Regular"/>
          <w:color w:val="000000"/>
          <w:sz w:val="24"/>
          <w:szCs w:val="24"/>
        </w:rPr>
        <w:t>“</w:t>
      </w:r>
      <w:r w:rsidR="00506713" w:rsidRPr="002D605B">
        <w:rPr>
          <w:rFonts w:cs="DaxlinePro-Regular"/>
          <w:color w:val="000000"/>
          <w:sz w:val="24"/>
          <w:szCs w:val="24"/>
        </w:rPr>
        <w:t>Although this means that all but four (</w:t>
      </w:r>
      <w:r w:rsidR="00506713" w:rsidRPr="002D605B">
        <w:rPr>
          <w:rFonts w:cs="DaxlinePro-Bold"/>
          <w:b/>
          <w:bCs/>
          <w:color w:val="000000"/>
          <w:sz w:val="24"/>
          <w:szCs w:val="24"/>
        </w:rPr>
        <w:t>Bulgaria</w:t>
      </w:r>
      <w:r w:rsidR="00506713" w:rsidRPr="002D605B">
        <w:rPr>
          <w:rFonts w:cs="DaxlinePro-Regular"/>
          <w:color w:val="000000"/>
          <w:sz w:val="24"/>
          <w:szCs w:val="24"/>
        </w:rPr>
        <w:t xml:space="preserve">, the </w:t>
      </w:r>
      <w:r w:rsidR="00506713" w:rsidRPr="002D605B">
        <w:rPr>
          <w:rFonts w:cs="DaxlinePro-Bold"/>
          <w:bCs/>
          <w:color w:val="000000"/>
          <w:sz w:val="24"/>
          <w:szCs w:val="24"/>
        </w:rPr>
        <w:t>Czech Republic</w:t>
      </w:r>
      <w:r w:rsidR="00506713" w:rsidRPr="002D605B">
        <w:rPr>
          <w:rFonts w:cs="DaxlinePro-Regular"/>
          <w:color w:val="000000"/>
          <w:sz w:val="24"/>
          <w:szCs w:val="24"/>
        </w:rPr>
        <w:t xml:space="preserve">, </w:t>
      </w:r>
      <w:r w:rsidR="00506713" w:rsidRPr="002D605B">
        <w:rPr>
          <w:rFonts w:cs="DaxlinePro-Bold"/>
          <w:bCs/>
          <w:color w:val="000000"/>
          <w:sz w:val="24"/>
          <w:szCs w:val="24"/>
        </w:rPr>
        <w:t xml:space="preserve">Greece </w:t>
      </w:r>
      <w:r w:rsidR="00506713" w:rsidRPr="002D605B">
        <w:rPr>
          <w:rFonts w:cs="DaxlinePro-Regular"/>
          <w:color w:val="000000"/>
          <w:sz w:val="24"/>
          <w:szCs w:val="24"/>
        </w:rPr>
        <w:t xml:space="preserve">and </w:t>
      </w:r>
      <w:r w:rsidR="00506713" w:rsidRPr="002D605B">
        <w:rPr>
          <w:rFonts w:cs="DaxlinePro-Bold"/>
          <w:bCs/>
          <w:color w:val="000000"/>
          <w:sz w:val="24"/>
          <w:szCs w:val="24"/>
        </w:rPr>
        <w:t>Sweden</w:t>
      </w:r>
      <w:r w:rsidR="00506713" w:rsidRPr="002D605B">
        <w:rPr>
          <w:rFonts w:cs="DaxlinePro-Regular"/>
          <w:color w:val="000000"/>
          <w:sz w:val="24"/>
          <w:szCs w:val="24"/>
        </w:rPr>
        <w:t>) of the Member States that have ratified the CRPD have now appointed Article 33(2) bodies, concerns persist about the effec</w:t>
      </w:r>
      <w:r w:rsidR="00506713" w:rsidRPr="002D605B">
        <w:rPr>
          <w:rFonts w:cs="DaxlinePro-Regular"/>
          <w:color w:val="000000"/>
          <w:sz w:val="24"/>
          <w:szCs w:val="24"/>
        </w:rPr>
        <w:softHyphen/>
        <w:t>tiveness of some of these monitoring mechanisms.</w:t>
      </w:r>
      <w:r w:rsidRPr="002D605B">
        <w:rPr>
          <w:rFonts w:cs="DaxlinePro-Regular"/>
          <w:color w:val="000000"/>
          <w:sz w:val="24"/>
          <w:szCs w:val="24"/>
        </w:rPr>
        <w:t>”</w:t>
      </w:r>
      <w:r w:rsidR="00506713" w:rsidRPr="002D605B">
        <w:rPr>
          <w:rFonts w:cs="DaxlinePro-Regular"/>
          <w:color w:val="000000"/>
          <w:sz w:val="24"/>
          <w:szCs w:val="24"/>
        </w:rPr>
        <w:t xml:space="preserve"> (p.193)</w:t>
      </w:r>
    </w:p>
    <w:p w14:paraId="500642E9" w14:textId="77777777" w:rsidR="00454CBC" w:rsidRPr="002D605B" w:rsidRDefault="00454CBC" w:rsidP="00454CBC">
      <w:pPr>
        <w:spacing w:after="0"/>
        <w:rPr>
          <w:rFonts w:cs="DaxlinePro-Regular"/>
          <w:color w:val="000000"/>
          <w:sz w:val="24"/>
          <w:szCs w:val="24"/>
        </w:rPr>
      </w:pPr>
    </w:p>
    <w:p w14:paraId="4AECC35A" w14:textId="4003C412" w:rsidR="002D2A11" w:rsidRDefault="002D2A11" w:rsidP="00454CBC">
      <w:pPr>
        <w:pStyle w:val="Heading2"/>
        <w:ind w:left="939"/>
      </w:pPr>
      <w:bookmarkStart w:id="10" w:name="_Toc518293485"/>
      <w:r w:rsidRPr="004C24D1">
        <w:t>Fundamental rights: challenges and achievements in 2014 – Annual Report 2014 (June 2015)</w:t>
      </w:r>
      <w:bookmarkEnd w:id="10"/>
    </w:p>
    <w:p w14:paraId="4AECC35B" w14:textId="6B85AE65" w:rsidR="002D2A11" w:rsidRPr="00E673AD" w:rsidRDefault="00DC58E1" w:rsidP="00454CBC">
      <w:pPr>
        <w:spacing w:after="0"/>
        <w:rPr>
          <w:rStyle w:val="Hyperlink"/>
          <w:sz w:val="24"/>
          <w:szCs w:val="24"/>
        </w:rPr>
      </w:pPr>
      <w:r w:rsidRPr="00E673AD">
        <w:rPr>
          <w:sz w:val="24"/>
          <w:szCs w:val="24"/>
        </w:rPr>
        <w:t>For more detailed information</w:t>
      </w:r>
      <w:r w:rsidR="00F956F0">
        <w:rPr>
          <w:sz w:val="24"/>
          <w:szCs w:val="24"/>
        </w:rPr>
        <w:t>:</w:t>
      </w:r>
      <w:r w:rsidRPr="00E673AD">
        <w:rPr>
          <w:sz w:val="24"/>
          <w:szCs w:val="24"/>
        </w:rPr>
        <w:t xml:space="preserve"> </w:t>
      </w:r>
      <w:hyperlink r:id="rId15" w:history="1">
        <w:r w:rsidR="002D2A11" w:rsidRPr="00E673AD">
          <w:rPr>
            <w:rStyle w:val="Hyperlink"/>
            <w:sz w:val="24"/>
            <w:szCs w:val="24"/>
          </w:rPr>
          <w:t>http://fra.europa.eu/en/publications-and-resources/publications/annual-reports/fundamental-rights-2014</w:t>
        </w:r>
      </w:hyperlink>
      <w:r w:rsidR="002D605B" w:rsidRPr="002D605B">
        <w:rPr>
          <w:rStyle w:val="Hyperlink"/>
          <w:color w:val="auto"/>
          <w:sz w:val="24"/>
          <w:szCs w:val="24"/>
          <w:u w:val="none"/>
        </w:rPr>
        <w:t>.</w:t>
      </w:r>
    </w:p>
    <w:p w14:paraId="0F64EC59" w14:textId="02EFD929" w:rsidR="00C4175B" w:rsidRDefault="00DC58E1" w:rsidP="00454CBC">
      <w:pPr>
        <w:spacing w:after="0"/>
        <w:rPr>
          <w:rFonts w:cs="DaxlinePro-Regular"/>
          <w:color w:val="000000"/>
          <w:sz w:val="24"/>
          <w:szCs w:val="24"/>
        </w:rPr>
      </w:pPr>
      <w:r w:rsidRPr="00E673AD">
        <w:rPr>
          <w:rFonts w:cs="DaxlinePro-Regular"/>
          <w:color w:val="000000"/>
          <w:sz w:val="24"/>
          <w:szCs w:val="24"/>
        </w:rPr>
        <w:t>“The other relevant conditionality Member States have to meet relates to arrangements to monitor the imple</w:t>
      </w:r>
      <w:r w:rsidRPr="00E673AD">
        <w:rPr>
          <w:rFonts w:cs="DaxlinePro-Regular"/>
          <w:color w:val="000000"/>
          <w:sz w:val="24"/>
          <w:szCs w:val="24"/>
        </w:rPr>
        <w:softHyphen/>
        <w:t>mentation of Article 9 of the CRPD on accessibility, in the context of disbursing structural and investment funds. Monitoring here relates to ensuring the suita</w:t>
      </w:r>
      <w:r w:rsidRPr="00E673AD">
        <w:rPr>
          <w:rFonts w:cs="DaxlinePro-Regular"/>
          <w:color w:val="000000"/>
          <w:sz w:val="24"/>
          <w:szCs w:val="24"/>
        </w:rPr>
        <w:softHyphen/>
        <w:t xml:space="preserve">bility of the built environment, transport, information and communication technologies or public services. It also relates to the availability of redress mechanisms to challenge situations where structural funds would be used in a way prejudicial to accessibility. </w:t>
      </w:r>
      <w:r w:rsidRPr="00E673AD">
        <w:rPr>
          <w:rFonts w:cs="DaxlinePro-Bold"/>
          <w:bCs/>
          <w:color w:val="000000"/>
          <w:sz w:val="24"/>
          <w:szCs w:val="24"/>
        </w:rPr>
        <w:t>Austria</w:t>
      </w:r>
      <w:r w:rsidRPr="00E673AD">
        <w:rPr>
          <w:rFonts w:cs="DaxlinePro-Regular"/>
          <w:color w:val="000000"/>
          <w:sz w:val="24"/>
          <w:szCs w:val="24"/>
        </w:rPr>
        <w:t xml:space="preserve">, </w:t>
      </w:r>
      <w:r w:rsidRPr="00E673AD">
        <w:rPr>
          <w:rFonts w:cs="DaxlinePro-Bold"/>
          <w:bCs/>
          <w:color w:val="000000"/>
          <w:sz w:val="24"/>
          <w:szCs w:val="24"/>
        </w:rPr>
        <w:t>Belgium</w:t>
      </w:r>
      <w:r w:rsidRPr="00E673AD">
        <w:rPr>
          <w:rFonts w:cs="DaxlinePro-Regular"/>
          <w:color w:val="000000"/>
          <w:sz w:val="24"/>
          <w:szCs w:val="24"/>
        </w:rPr>
        <w:t xml:space="preserve">, </w:t>
      </w:r>
      <w:r w:rsidRPr="00116EA9">
        <w:rPr>
          <w:rFonts w:cs="DaxlinePro-Bold"/>
          <w:b/>
          <w:bCs/>
          <w:color w:val="000000"/>
          <w:sz w:val="24"/>
          <w:szCs w:val="24"/>
        </w:rPr>
        <w:t>Bulgaria</w:t>
      </w:r>
      <w:r w:rsidRPr="00E673AD">
        <w:rPr>
          <w:rFonts w:cs="DaxlinePro-Regular"/>
          <w:color w:val="000000"/>
          <w:sz w:val="24"/>
          <w:szCs w:val="24"/>
        </w:rPr>
        <w:t xml:space="preserve">, </w:t>
      </w:r>
      <w:r w:rsidRPr="00E673AD">
        <w:rPr>
          <w:rFonts w:cs="DaxlinePro-Bold"/>
          <w:bCs/>
          <w:color w:val="000000"/>
          <w:sz w:val="24"/>
          <w:szCs w:val="24"/>
        </w:rPr>
        <w:t>Denmark</w:t>
      </w:r>
      <w:r w:rsidRPr="00E673AD">
        <w:rPr>
          <w:rFonts w:cs="DaxlinePro-Regular"/>
          <w:color w:val="000000"/>
          <w:sz w:val="24"/>
          <w:szCs w:val="24"/>
        </w:rPr>
        <w:t xml:space="preserve">, </w:t>
      </w:r>
      <w:r w:rsidRPr="00E673AD">
        <w:rPr>
          <w:rFonts w:cs="DaxlinePro-Bold"/>
          <w:bCs/>
          <w:color w:val="000000"/>
          <w:sz w:val="24"/>
          <w:szCs w:val="24"/>
        </w:rPr>
        <w:t>France</w:t>
      </w:r>
      <w:r w:rsidRPr="00E673AD">
        <w:rPr>
          <w:rFonts w:cs="DaxlinePro-Regular"/>
          <w:color w:val="000000"/>
          <w:sz w:val="24"/>
          <w:szCs w:val="24"/>
        </w:rPr>
        <w:t xml:space="preserve">, </w:t>
      </w:r>
      <w:r w:rsidRPr="00E673AD">
        <w:rPr>
          <w:rFonts w:cs="DaxlinePro-Bold"/>
          <w:bCs/>
          <w:color w:val="000000"/>
          <w:sz w:val="24"/>
          <w:szCs w:val="24"/>
        </w:rPr>
        <w:t>Hungary</w:t>
      </w:r>
      <w:r w:rsidRPr="00E673AD">
        <w:rPr>
          <w:rFonts w:cs="DaxlinePro-Regular"/>
          <w:color w:val="000000"/>
          <w:sz w:val="24"/>
          <w:szCs w:val="24"/>
        </w:rPr>
        <w:t xml:space="preserve">, </w:t>
      </w:r>
      <w:r w:rsidRPr="00E673AD">
        <w:rPr>
          <w:rFonts w:cs="DaxlinePro-Bold"/>
          <w:bCs/>
          <w:color w:val="000000"/>
          <w:sz w:val="24"/>
          <w:szCs w:val="24"/>
        </w:rPr>
        <w:t>Italy</w:t>
      </w:r>
      <w:r w:rsidRPr="00E673AD">
        <w:rPr>
          <w:rFonts w:cs="DaxlinePro-Regular"/>
          <w:color w:val="000000"/>
          <w:sz w:val="24"/>
          <w:szCs w:val="24"/>
        </w:rPr>
        <w:t xml:space="preserve">, </w:t>
      </w:r>
      <w:r w:rsidRPr="00E673AD">
        <w:rPr>
          <w:rFonts w:cs="DaxlinePro-Bold"/>
          <w:bCs/>
          <w:color w:val="000000"/>
          <w:sz w:val="24"/>
          <w:szCs w:val="24"/>
        </w:rPr>
        <w:t>Latvia</w:t>
      </w:r>
      <w:r w:rsidRPr="00E673AD">
        <w:rPr>
          <w:rFonts w:cs="DaxlinePro-Regular"/>
          <w:color w:val="000000"/>
          <w:sz w:val="24"/>
          <w:szCs w:val="24"/>
        </w:rPr>
        <w:t xml:space="preserve">, </w:t>
      </w:r>
      <w:r w:rsidRPr="00E673AD">
        <w:rPr>
          <w:rFonts w:cs="DaxlinePro-Bold"/>
          <w:bCs/>
          <w:color w:val="000000"/>
          <w:sz w:val="24"/>
          <w:szCs w:val="24"/>
        </w:rPr>
        <w:t>Lithuania</w:t>
      </w:r>
      <w:r w:rsidRPr="00E673AD">
        <w:rPr>
          <w:rFonts w:cs="DaxlinePro-Regular"/>
          <w:color w:val="000000"/>
          <w:sz w:val="24"/>
          <w:szCs w:val="24"/>
        </w:rPr>
        <w:t xml:space="preserve">, </w:t>
      </w:r>
      <w:r w:rsidRPr="00E673AD">
        <w:rPr>
          <w:rFonts w:cs="DaxlinePro-Bold"/>
          <w:bCs/>
          <w:color w:val="000000"/>
          <w:sz w:val="24"/>
          <w:szCs w:val="24"/>
        </w:rPr>
        <w:t>Luxembourg</w:t>
      </w:r>
      <w:r w:rsidRPr="00E673AD">
        <w:rPr>
          <w:rFonts w:cs="DaxlinePro-Regular"/>
          <w:color w:val="000000"/>
          <w:sz w:val="24"/>
          <w:szCs w:val="24"/>
        </w:rPr>
        <w:t xml:space="preserve">, </w:t>
      </w:r>
      <w:r w:rsidRPr="00E673AD">
        <w:rPr>
          <w:rFonts w:cs="DaxlinePro-Bold"/>
          <w:bCs/>
          <w:color w:val="000000"/>
          <w:sz w:val="24"/>
          <w:szCs w:val="24"/>
        </w:rPr>
        <w:t>Malta</w:t>
      </w:r>
      <w:r w:rsidRPr="00E673AD">
        <w:rPr>
          <w:rFonts w:cs="DaxlinePro-Regular"/>
          <w:color w:val="000000"/>
          <w:sz w:val="24"/>
          <w:szCs w:val="24"/>
        </w:rPr>
        <w:t xml:space="preserve">, </w:t>
      </w:r>
      <w:r w:rsidRPr="00E673AD">
        <w:rPr>
          <w:rFonts w:cs="DaxlinePro-Bold"/>
          <w:bCs/>
          <w:color w:val="000000"/>
          <w:sz w:val="24"/>
          <w:szCs w:val="24"/>
        </w:rPr>
        <w:t>Poland</w:t>
      </w:r>
      <w:r w:rsidRPr="00E673AD">
        <w:rPr>
          <w:rFonts w:cs="DaxlinePro-Regular"/>
          <w:color w:val="000000"/>
          <w:sz w:val="24"/>
          <w:szCs w:val="24"/>
        </w:rPr>
        <w:t xml:space="preserve">, </w:t>
      </w:r>
      <w:r w:rsidRPr="00E673AD">
        <w:rPr>
          <w:rFonts w:cs="DaxlinePro-Bold"/>
          <w:bCs/>
          <w:color w:val="000000"/>
          <w:sz w:val="24"/>
          <w:szCs w:val="24"/>
        </w:rPr>
        <w:t>Romania</w:t>
      </w:r>
      <w:r w:rsidRPr="00E673AD">
        <w:rPr>
          <w:rFonts w:cs="DaxlinePro-Regular"/>
          <w:color w:val="000000"/>
          <w:sz w:val="24"/>
          <w:szCs w:val="24"/>
        </w:rPr>
        <w:t xml:space="preserve">, </w:t>
      </w:r>
      <w:r w:rsidRPr="00E673AD">
        <w:rPr>
          <w:rFonts w:cs="DaxlinePro-Bold"/>
          <w:bCs/>
          <w:color w:val="000000"/>
          <w:sz w:val="24"/>
          <w:szCs w:val="24"/>
        </w:rPr>
        <w:t>Slovakia</w:t>
      </w:r>
      <w:r w:rsidRPr="00E673AD">
        <w:rPr>
          <w:rFonts w:cs="DaxlinePro-Regular"/>
          <w:color w:val="000000"/>
          <w:sz w:val="24"/>
          <w:szCs w:val="24"/>
        </w:rPr>
        <w:t xml:space="preserve">, </w:t>
      </w:r>
      <w:r w:rsidRPr="00E673AD">
        <w:rPr>
          <w:rFonts w:cs="DaxlinePro-Bold"/>
          <w:bCs/>
          <w:color w:val="000000"/>
          <w:sz w:val="24"/>
          <w:szCs w:val="24"/>
        </w:rPr>
        <w:t xml:space="preserve">Sweden </w:t>
      </w:r>
      <w:r w:rsidRPr="00E673AD">
        <w:rPr>
          <w:rFonts w:cs="DaxlinePro-Regular"/>
          <w:color w:val="000000"/>
          <w:sz w:val="24"/>
          <w:szCs w:val="24"/>
        </w:rPr>
        <w:t xml:space="preserve">and the </w:t>
      </w:r>
      <w:r w:rsidRPr="00116EA9">
        <w:rPr>
          <w:rFonts w:cs="DaxlinePro-Bold"/>
          <w:bCs/>
          <w:color w:val="000000"/>
          <w:sz w:val="24"/>
          <w:szCs w:val="24"/>
        </w:rPr>
        <w:t xml:space="preserve">United Kingdom </w:t>
      </w:r>
      <w:r w:rsidRPr="00116EA9">
        <w:rPr>
          <w:rFonts w:cs="DaxlinePro-Regular"/>
          <w:color w:val="000000"/>
          <w:sz w:val="24"/>
          <w:szCs w:val="24"/>
        </w:rPr>
        <w:t>took</w:t>
      </w:r>
      <w:r w:rsidRPr="00E673AD">
        <w:rPr>
          <w:rFonts w:cs="DaxlinePro-Regular"/>
          <w:color w:val="000000"/>
          <w:sz w:val="24"/>
          <w:szCs w:val="24"/>
        </w:rPr>
        <w:t xml:space="preserve"> steps towards meeting this conditionality.” (p.31)</w:t>
      </w:r>
    </w:p>
    <w:p w14:paraId="3284CBA0" w14:textId="5A01CB8B" w:rsidR="00D97FF1" w:rsidRDefault="007E19AF" w:rsidP="00D97FF1">
      <w:pPr>
        <w:pStyle w:val="Heading1"/>
        <w:rPr>
          <w:rFonts w:asciiTheme="minorHAnsi" w:hAnsiTheme="minorHAnsi"/>
        </w:rPr>
      </w:pPr>
      <w:bookmarkStart w:id="11" w:name="_Toc437340032"/>
      <w:bookmarkStart w:id="12" w:name="_Toc518293486"/>
      <w:bookmarkEnd w:id="11"/>
      <w:r w:rsidRPr="001B79F3">
        <w:rPr>
          <w:rFonts w:asciiTheme="minorHAnsi" w:hAnsiTheme="minorHAnsi"/>
        </w:rPr>
        <w:lastRenderedPageBreak/>
        <w:t>Thematic</w:t>
      </w:r>
      <w:r w:rsidR="00EF36C3" w:rsidRPr="001B79F3">
        <w:rPr>
          <w:rFonts w:asciiTheme="minorHAnsi" w:hAnsiTheme="minorHAnsi"/>
        </w:rPr>
        <w:t xml:space="preserve"> reports on the rights of persons with disabilities</w:t>
      </w:r>
      <w:bookmarkEnd w:id="12"/>
    </w:p>
    <w:p w14:paraId="6F02D066" w14:textId="77777777" w:rsidR="00D97FF1" w:rsidRPr="00D97FF1" w:rsidRDefault="00D97FF1" w:rsidP="00D97FF1"/>
    <w:p w14:paraId="382F70F2" w14:textId="62A8F081" w:rsidR="00D97FF1" w:rsidRDefault="00D97FF1" w:rsidP="00454CBC">
      <w:pPr>
        <w:pStyle w:val="Heading2"/>
        <w:ind w:left="939"/>
      </w:pPr>
      <w:bookmarkStart w:id="13" w:name="_Toc518293487"/>
      <w:r w:rsidRPr="00D97FF1">
        <w:t>From institutions to community living - Part I: commitments and structures</w:t>
      </w:r>
      <w:bookmarkEnd w:id="13"/>
    </w:p>
    <w:p w14:paraId="675DFFAD" w14:textId="4DA0531E" w:rsidR="00D97FF1" w:rsidRDefault="00D97FF1" w:rsidP="00454CBC">
      <w:pPr>
        <w:spacing w:after="0"/>
      </w:pPr>
      <w:r w:rsidRPr="00D97FF1">
        <w:t>For more detailed information:</w:t>
      </w:r>
      <w:r>
        <w:t xml:space="preserve"> </w:t>
      </w:r>
      <w:hyperlink r:id="rId16" w:history="1">
        <w:r w:rsidRPr="00580E70">
          <w:rPr>
            <w:rStyle w:val="Hyperlink"/>
          </w:rPr>
          <w:t>http://fra.europa.eu/en/publication/2017/independent-living-structures</w:t>
        </w:r>
      </w:hyperlink>
      <w:r>
        <w:t xml:space="preserve"> . Also available in easy-to-read: </w:t>
      </w:r>
      <w:hyperlink r:id="rId17" w:history="1">
        <w:r w:rsidRPr="00580E70">
          <w:rPr>
            <w:rStyle w:val="Hyperlink"/>
          </w:rPr>
          <w:t>http://fra.europa.eu/en/publication/2018/institutions-community-living-part-i-commitments-and-structures-easy-read</w:t>
        </w:r>
      </w:hyperlink>
      <w:r>
        <w:t xml:space="preserve"> .</w:t>
      </w:r>
    </w:p>
    <w:p w14:paraId="448847EB" w14:textId="07324F28" w:rsidR="00FE2128" w:rsidRDefault="00FE2128" w:rsidP="00454CBC">
      <w:pPr>
        <w:spacing w:after="0"/>
      </w:pPr>
      <w:r>
        <w:t xml:space="preserve">“Several Member States, including </w:t>
      </w:r>
      <w:r w:rsidRPr="00FE2128">
        <w:rPr>
          <w:b/>
        </w:rPr>
        <w:t>Bulgaria</w:t>
      </w:r>
      <w:r>
        <w:t xml:space="preserve"> and Latvia, have introduced a statutory right to personal assistance, albeit with various degrees of scope.” (p.9)</w:t>
      </w:r>
    </w:p>
    <w:p w14:paraId="7D7D2143" w14:textId="4C372137" w:rsidR="00FE2128" w:rsidRDefault="00FE2128" w:rsidP="00454CBC">
      <w:pPr>
        <w:spacing w:after="0"/>
      </w:pPr>
      <w:r>
        <w:t xml:space="preserve">“For 2014–2020, the European Commission identified a need for measures for the shift from institutional to community-based care in 12 EU Member States: </w:t>
      </w:r>
      <w:r w:rsidRPr="00FE2128">
        <w:rPr>
          <w:b/>
        </w:rPr>
        <w:t>Bulgaria</w:t>
      </w:r>
      <w:r>
        <w:t>, Croatia, the Czech Republic, Estonia, Greece, Hungary, Latvia, Lithuania, Poland, Romania, Slovakia and Slovenia.” (p.10)</w:t>
      </w:r>
    </w:p>
    <w:p w14:paraId="3013642F" w14:textId="3B4B2992" w:rsidR="00FE2128" w:rsidRDefault="00FE2128" w:rsidP="00454CBC">
      <w:pPr>
        <w:spacing w:after="0"/>
      </w:pPr>
      <w:r>
        <w:t xml:space="preserve">“In a third group, including </w:t>
      </w:r>
      <w:r w:rsidRPr="00FE2128">
        <w:rPr>
          <w:b/>
        </w:rPr>
        <w:t>Bulgaria</w:t>
      </w:r>
      <w:r>
        <w:t xml:space="preserve"> and the Czech Republic, there are general commitments [to deinstitutionalisation] in partnership agreements, supplemented by specific measures in the respective operational programmes.” (p.11)</w:t>
      </w:r>
    </w:p>
    <w:p w14:paraId="4D869709" w14:textId="3DACD899" w:rsidR="00FE2128" w:rsidRDefault="00FE2128" w:rsidP="00454CBC">
      <w:pPr>
        <w:spacing w:after="0"/>
      </w:pPr>
      <w:r>
        <w:t xml:space="preserve">“Setting clear targets and a timeframe for their achievement can help make strategies more effective. Examples include </w:t>
      </w:r>
      <w:r w:rsidRPr="00FE2128">
        <w:rPr>
          <w:b/>
        </w:rPr>
        <w:t>Bulgaria</w:t>
      </w:r>
      <w:r>
        <w:t>, with a target concerning deinstitutionalisation of children, Estonia and Finland.” (p.13)</w:t>
      </w:r>
    </w:p>
    <w:p w14:paraId="36E0FB91" w14:textId="394EB9DA" w:rsidR="006E0FBB" w:rsidRPr="00D97FF1" w:rsidRDefault="006E0FBB" w:rsidP="00454CBC">
      <w:pPr>
        <w:spacing w:after="0"/>
      </w:pPr>
      <w:r>
        <w:t xml:space="preserve">“Monitoring mechanisms’ activities take different forms. Some Member States, including </w:t>
      </w:r>
      <w:r w:rsidRPr="006E0FBB">
        <w:rPr>
          <w:b/>
        </w:rPr>
        <w:t>Bulgaria</w:t>
      </w:r>
      <w:r>
        <w:t>, the Czech Republic and Slovakia, prepare regular – typically annual – progress reports.”  (p.13)</w:t>
      </w:r>
    </w:p>
    <w:p w14:paraId="209C347D" w14:textId="2C217266" w:rsidR="00D97FF1" w:rsidRDefault="006E0FBB" w:rsidP="00454CBC">
      <w:pPr>
        <w:spacing w:after="0"/>
      </w:pPr>
      <w:r>
        <w:t xml:space="preserve">“Around one third of EU Member States have committed to not building new institutions for persons with disabilities, FRA evidence indicates. Other Member States, including </w:t>
      </w:r>
      <w:r w:rsidRPr="006E0FBB">
        <w:rPr>
          <w:b/>
        </w:rPr>
        <w:t>Bulgaria</w:t>
      </w:r>
      <w:r>
        <w:t>, Estonia, Hungary and Romania, have not explicitly committed to not building new institutions.” (p.13)</w:t>
      </w:r>
    </w:p>
    <w:p w14:paraId="1A2E791E" w14:textId="159A286F" w:rsidR="006E0FBB" w:rsidRDefault="006E0FBB" w:rsidP="00454CBC">
      <w:pPr>
        <w:spacing w:after="0"/>
      </w:pPr>
      <w:r>
        <w:t xml:space="preserve">“While the responsible minister in Romania has committed to finalising the deinstitutionalisation process by 2020, the deadline for fulfilling the </w:t>
      </w:r>
      <w:r w:rsidRPr="006E0FBB">
        <w:rPr>
          <w:b/>
        </w:rPr>
        <w:t>Bulgarian</w:t>
      </w:r>
      <w:r>
        <w:t xml:space="preserve"> commitment is 2025, and the timeframe for institutions to close in Hungary is 2041.” (p.14)</w:t>
      </w:r>
    </w:p>
    <w:p w14:paraId="560DEDFC" w14:textId="19CA20BE" w:rsidR="006E0FBB" w:rsidRDefault="006E0FBB" w:rsidP="00454CBC">
      <w:pPr>
        <w:spacing w:after="0"/>
      </w:pPr>
      <w:r>
        <w:t xml:space="preserve">“However, in some of these countries – for example, </w:t>
      </w:r>
      <w:r w:rsidRPr="006E0FBB">
        <w:rPr>
          <w:b/>
        </w:rPr>
        <w:t>Bulgaria</w:t>
      </w:r>
      <w:r>
        <w:t xml:space="preserve">, Latvia and Poland – while a national body holds overall responsibility, the implementation of services is delegated to local administrations.  For example, in Bulgaria, the State Social Assistance Agency (Агенция за социално подпомагане) has </w:t>
      </w:r>
      <w:r>
        <w:lastRenderedPageBreak/>
        <w:t>overall responsibility for providing services, through its local Social Assistance Directorates. As the deinstitutionalisation process is a national government commitment, new community-based services are devised at the national level by the Social Assistance Agency. However, municipalities decide which of these services they will actually provide, taking into account local needs.” (p.15)</w:t>
      </w:r>
    </w:p>
    <w:p w14:paraId="7A56C6F4" w14:textId="4AA4DCEB" w:rsidR="006E0FBB" w:rsidRPr="00D97FF1" w:rsidRDefault="006E0FBB" w:rsidP="00454CBC">
      <w:pPr>
        <w:spacing w:after="0"/>
      </w:pPr>
      <w:r>
        <w:t>“Civil society organisations have raised concerns about the sustainability of ESIF-funded services – for example, in</w:t>
      </w:r>
      <w:r w:rsidRPr="006E0FBB">
        <w:rPr>
          <w:b/>
        </w:rPr>
        <w:t xml:space="preserve"> Bulgaria</w:t>
      </w:r>
      <w:r>
        <w:t xml:space="preserve"> and Slovakia.” (p.18)</w:t>
      </w:r>
    </w:p>
    <w:p w14:paraId="3585AE49" w14:textId="77777777" w:rsidR="00D97FF1" w:rsidRDefault="00D97FF1" w:rsidP="00454CBC">
      <w:pPr>
        <w:pStyle w:val="Heading2"/>
        <w:ind w:left="939"/>
      </w:pPr>
      <w:bookmarkStart w:id="14" w:name="_Toc518293488"/>
      <w:r w:rsidRPr="00D97FF1">
        <w:t>From institutions to community living - Part II: funding and budgeting</w:t>
      </w:r>
      <w:bookmarkEnd w:id="14"/>
    </w:p>
    <w:p w14:paraId="074110A0" w14:textId="24FBB510" w:rsidR="00D97FF1" w:rsidRDefault="00D97FF1" w:rsidP="00454CBC">
      <w:pPr>
        <w:spacing w:after="0"/>
      </w:pPr>
      <w:r w:rsidRPr="00D97FF1">
        <w:t>For more detailed information:</w:t>
      </w:r>
      <w:r>
        <w:t xml:space="preserve"> </w:t>
      </w:r>
      <w:hyperlink r:id="rId18" w:history="1">
        <w:r w:rsidRPr="00580E70">
          <w:rPr>
            <w:rStyle w:val="Hyperlink"/>
          </w:rPr>
          <w:t>http://fra.europa.eu/en/publication/2017/independent-living-funding</w:t>
        </w:r>
      </w:hyperlink>
      <w:r>
        <w:t xml:space="preserve"> . Also available in easy-to-read: </w:t>
      </w:r>
      <w:hyperlink r:id="rId19" w:history="1">
        <w:r w:rsidRPr="00580E70">
          <w:rPr>
            <w:rStyle w:val="Hyperlink"/>
          </w:rPr>
          <w:t>http://fra.europa.eu/en/publication/2018/institutions-community-living-part-ii-funding-and-budgeting-easy-read</w:t>
        </w:r>
      </w:hyperlink>
      <w:r>
        <w:t xml:space="preserve"> .</w:t>
      </w:r>
    </w:p>
    <w:p w14:paraId="66F766BA" w14:textId="33DB1912" w:rsidR="00F0351D" w:rsidRPr="00D97FF1" w:rsidRDefault="00F0351D" w:rsidP="00454CBC">
      <w:pPr>
        <w:spacing w:after="0"/>
      </w:pPr>
      <w:r>
        <w:t xml:space="preserve">“Comprehensive data on what proportion of ESIF is spent on activities related to deinstitutionalisation and independent living are not available. Nevertheless, in at least 12 EU Member States – </w:t>
      </w:r>
      <w:r w:rsidRPr="00F0351D">
        <w:rPr>
          <w:b/>
        </w:rPr>
        <w:t>Bulgaria</w:t>
      </w:r>
      <w:r>
        <w:t>, Czech Republic, Estonia, Greece, Hungary, Latvia, Lithuania, Poland, Portugal, Romania, Slovakia and Slovenia – ESIF funded projects related to living arrangements for persons with disabilities during the 2007–2013 funding period, according to evidence that FRA collected for this report.” (p.11)</w:t>
      </w:r>
    </w:p>
    <w:p w14:paraId="6DE41B1E" w14:textId="17E619A1" w:rsidR="00D97FF1" w:rsidRDefault="00F0351D" w:rsidP="00454CBC">
      <w:pPr>
        <w:spacing w:after="0"/>
      </w:pPr>
      <w:r>
        <w:t xml:space="preserve">“Information provided to FRA by the </w:t>
      </w:r>
      <w:r w:rsidRPr="00F0351D">
        <w:rPr>
          <w:b/>
        </w:rPr>
        <w:t>Bulgarian</w:t>
      </w:r>
      <w:r>
        <w:t xml:space="preserve"> Ministry of Regional Development and Public works indicates that ERDF supplied BGN 15 million (around € 8 million) for the reconstruction, renovation and equipment of institutions for children and adults. This money was provided under the project ‘Support for a Suitable and Educational, Social and Cultural Infrastructure, Contributing to the Development of Sustainable Urban Areas’. As a result, 21 buildings were renovated, and 14 wheelchair ramps, 10 platforms and seven lifts were installed.” (p.12)</w:t>
      </w:r>
    </w:p>
    <w:p w14:paraId="7171EBF5" w14:textId="57CA2D2C" w:rsidR="00F0351D" w:rsidRDefault="00F0351D" w:rsidP="00454CBC">
      <w:pPr>
        <w:spacing w:after="0"/>
      </w:pPr>
      <w:r>
        <w:t xml:space="preserve">“Concerning ESF, in </w:t>
      </w:r>
      <w:r w:rsidRPr="003F6DD5">
        <w:rPr>
          <w:b/>
        </w:rPr>
        <w:t>Bulgaria</w:t>
      </w:r>
      <w:r>
        <w:t>, for example, the operational programme on Human Resources Development allocates € 336 million (ESF € 286 million; national contribution € 50 million) for the priority ‘Reducing poverty and promoting social inclusion’.” (p.13</w:t>
      </w:r>
      <w:r w:rsidR="003F6DD5">
        <w:t>)</w:t>
      </w:r>
    </w:p>
    <w:p w14:paraId="0233E5F4" w14:textId="70457354" w:rsidR="003F6DD5" w:rsidRDefault="003F6DD5" w:rsidP="00454CBC">
      <w:pPr>
        <w:spacing w:after="0"/>
      </w:pPr>
      <w:r>
        <w:t xml:space="preserve">“In addition, in a number of Member States, funding for deinstitutionalisation draws heavily on ESIF. Such Member States include </w:t>
      </w:r>
      <w:r w:rsidRPr="003F6DD5">
        <w:rPr>
          <w:b/>
        </w:rPr>
        <w:t>Bulgaria</w:t>
      </w:r>
      <w:r>
        <w:t>, the Czech Republic, Greece, Hungary and Slovakia.” (p.18)</w:t>
      </w:r>
    </w:p>
    <w:p w14:paraId="2BF304AE" w14:textId="4848EA4E" w:rsidR="00E16CC2" w:rsidRDefault="00E16CC2" w:rsidP="00454CBC">
      <w:pPr>
        <w:spacing w:after="0"/>
      </w:pPr>
      <w:r>
        <w:t xml:space="preserve">“The civil society organisation Lumos funds projects related to deinstitutionalisation in </w:t>
      </w:r>
      <w:r w:rsidRPr="00E16CC2">
        <w:rPr>
          <w:b/>
        </w:rPr>
        <w:t>Bulgaria</w:t>
      </w:r>
      <w:r>
        <w:t>, the Czech Republic and Greece. It focuses specifically on closing institutions for children, including children with disabilities.” (p.18)</w:t>
      </w:r>
    </w:p>
    <w:p w14:paraId="2DDB11DC" w14:textId="61E2309D" w:rsidR="00E16CC2" w:rsidRDefault="00F24742" w:rsidP="00454CBC">
      <w:pPr>
        <w:spacing w:after="0"/>
      </w:pPr>
      <w:r>
        <w:lastRenderedPageBreak/>
        <w:t xml:space="preserve">“While regulations in a third group of Member States allow services to be outsourced to a range of actors, this rarely happens in practice. These Member States include </w:t>
      </w:r>
      <w:r w:rsidRPr="00F24742">
        <w:rPr>
          <w:b/>
        </w:rPr>
        <w:t>Bulgaria</w:t>
      </w:r>
      <w:r>
        <w:t>, Slovakia and Romania. This could be because they lack well-developed non-profit organisations that could provide community-based services, or because conditions are not favourable to private sector providers.” (p.18)</w:t>
      </w:r>
    </w:p>
    <w:p w14:paraId="431ABD6B" w14:textId="77777777" w:rsidR="00454CBC" w:rsidRPr="00D97FF1" w:rsidRDefault="00454CBC" w:rsidP="00454CBC">
      <w:pPr>
        <w:spacing w:after="0"/>
      </w:pPr>
    </w:p>
    <w:p w14:paraId="6409EB08" w14:textId="2A111AC3" w:rsidR="00D97FF1" w:rsidRDefault="00D97FF1" w:rsidP="00454CBC">
      <w:pPr>
        <w:pStyle w:val="Heading2"/>
        <w:ind w:left="939"/>
      </w:pPr>
      <w:bookmarkStart w:id="15" w:name="_Toc518293489"/>
      <w:r w:rsidRPr="00D97FF1">
        <w:t>From institutions to community living - Part III: outcomes for persons with disabilities</w:t>
      </w:r>
      <w:bookmarkEnd w:id="15"/>
    </w:p>
    <w:p w14:paraId="5D231AA4" w14:textId="165CF574" w:rsidR="00D97FF1" w:rsidRDefault="00D97FF1" w:rsidP="00454CBC">
      <w:pPr>
        <w:spacing w:after="0"/>
      </w:pPr>
      <w:r w:rsidRPr="00D97FF1">
        <w:t>For more detailed information:</w:t>
      </w:r>
      <w:r>
        <w:t xml:space="preserve"> </w:t>
      </w:r>
      <w:hyperlink r:id="rId20" w:history="1">
        <w:r w:rsidRPr="00580E70">
          <w:rPr>
            <w:rStyle w:val="Hyperlink"/>
          </w:rPr>
          <w:t>http://fra.europa.eu/en/publication/2017/independent-living-outcomes</w:t>
        </w:r>
      </w:hyperlink>
      <w:r>
        <w:t xml:space="preserve"> . Also available in easy-to-read: </w:t>
      </w:r>
      <w:hyperlink r:id="rId21" w:history="1">
        <w:r w:rsidRPr="00580E70">
          <w:rPr>
            <w:rStyle w:val="Hyperlink"/>
          </w:rPr>
          <w:t>http://fra.europa.eu/en/publication/2018/institutions-community-living-part-iii-outcomes-persons-disabilities-easy-read</w:t>
        </w:r>
      </w:hyperlink>
      <w:r>
        <w:t xml:space="preserve"> .</w:t>
      </w:r>
    </w:p>
    <w:p w14:paraId="3D6FE75A" w14:textId="2260F0EA" w:rsidR="00F24742" w:rsidRDefault="00F24742" w:rsidP="00454CBC">
      <w:pPr>
        <w:spacing w:after="0"/>
      </w:pPr>
      <w:r>
        <w:t xml:space="preserve">“However, in nearly all Member States, persons with disabilities are less likely to feel that they have such a choice than persons without disabilities, FRA analysis of data from the European Quality of Life Survey (EQLS) reveals. </w:t>
      </w:r>
      <w:r w:rsidR="00D80518">
        <w:t xml:space="preserve">Particularly wide ‘disability gaps’ in agreement levels exist in </w:t>
      </w:r>
      <w:r w:rsidR="00D80518" w:rsidRPr="00D80518">
        <w:rPr>
          <w:b/>
        </w:rPr>
        <w:t>Bulgaria</w:t>
      </w:r>
      <w:r w:rsidR="00D80518">
        <w:t xml:space="preserve"> (45 % of persons with disabilities, compared with 70 % of persons without disabilities), Latvia (55 % and 75%, respectively) and Slovakia (52 % and 68%, respectively).” (p.</w:t>
      </w:r>
      <w:r w:rsidR="0033559A">
        <w:t xml:space="preserve"> </w:t>
      </w:r>
      <w:r w:rsidR="00D80518">
        <w:t>12-13)</w:t>
      </w:r>
    </w:p>
    <w:p w14:paraId="4D672CB8" w14:textId="4A7B5917" w:rsidR="00D97FF1" w:rsidRDefault="00D80518" w:rsidP="00454CBC">
      <w:pPr>
        <w:spacing w:after="0"/>
      </w:pPr>
      <w:r>
        <w:t>“The focus on deinst</w:t>
      </w:r>
      <w:r w:rsidR="0033559A">
        <w:t xml:space="preserve">itutionalisation of children in </w:t>
      </w:r>
      <w:r w:rsidRPr="0033559A">
        <w:rPr>
          <w:b/>
        </w:rPr>
        <w:t>Bulgaria</w:t>
      </w:r>
      <w:r>
        <w:t xml:space="preserve"> resulted in the closure of the last of 25 speci</w:t>
      </w:r>
      <w:r w:rsidR="0033559A">
        <w:t xml:space="preserve">alised </w:t>
      </w:r>
      <w:r>
        <w:t xml:space="preserve">institutions for children </w:t>
      </w:r>
      <w:r w:rsidR="0033559A">
        <w:t xml:space="preserve">with disabilities in 2016. In </w:t>
      </w:r>
      <w:r>
        <w:t>contrast, figures for adults wi</w:t>
      </w:r>
      <w:r w:rsidR="0033559A">
        <w:t>th disabilities in institutions remain high.</w:t>
      </w:r>
      <w:r>
        <w:t xml:space="preserve"> Bet</w:t>
      </w:r>
      <w:r w:rsidR="0033559A">
        <w:t xml:space="preserve">ween 2012 and May 2017 only two </w:t>
      </w:r>
      <w:r>
        <w:t>specialised institutions fo</w:t>
      </w:r>
      <w:r w:rsidR="0033559A">
        <w:t xml:space="preserve">r adults with disabilities were </w:t>
      </w:r>
      <w:r>
        <w:t>closed. This left 79 institut</w:t>
      </w:r>
      <w:r w:rsidR="0033559A">
        <w:t xml:space="preserve">ions operating. As of May 2017, </w:t>
      </w:r>
      <w:r>
        <w:t>2,059 persons lived in institution</w:t>
      </w:r>
      <w:r w:rsidR="0033559A">
        <w:t xml:space="preserve">s for persons with intellectual </w:t>
      </w:r>
      <w:r>
        <w:t>disabilities; 1,022 i</w:t>
      </w:r>
      <w:r w:rsidR="0033559A">
        <w:t xml:space="preserve">n institutions for persons with </w:t>
      </w:r>
      <w:r>
        <w:t>mental health problems; 1,</w:t>
      </w:r>
      <w:r w:rsidR="0033559A">
        <w:t xml:space="preserve">199 in institutions for persons </w:t>
      </w:r>
      <w:r>
        <w:t>with physical disabilities; and 118 i</w:t>
      </w:r>
      <w:r w:rsidR="0033559A">
        <w:t xml:space="preserve">n institutions for persons </w:t>
      </w:r>
      <w:r>
        <w:t>with sensory disabili</w:t>
      </w:r>
      <w:r w:rsidR="0033559A">
        <w:t xml:space="preserve">ties. The total number of 5,189 </w:t>
      </w:r>
      <w:r>
        <w:t>persons with disabilities liv</w:t>
      </w:r>
      <w:r w:rsidR="0033559A">
        <w:t xml:space="preserve">ing in institutions in May 2017 </w:t>
      </w:r>
      <w:r>
        <w:t>is only slightly lower than the 2010 figure of 5,729</w:t>
      </w:r>
      <w:r w:rsidR="0033559A">
        <w:t>.” (p. 16)</w:t>
      </w:r>
    </w:p>
    <w:p w14:paraId="777123E7" w14:textId="77777777" w:rsidR="00454CBC" w:rsidRPr="00D97FF1" w:rsidRDefault="00454CBC" w:rsidP="00454CBC">
      <w:pPr>
        <w:spacing w:after="0"/>
      </w:pPr>
    </w:p>
    <w:p w14:paraId="3C7E58F4" w14:textId="0BF8A7F8" w:rsidR="008152A5" w:rsidRDefault="00281962" w:rsidP="00454CBC">
      <w:pPr>
        <w:pStyle w:val="Heading2"/>
        <w:ind w:left="939"/>
      </w:pPr>
      <w:bookmarkStart w:id="16" w:name="_Toc518293490"/>
      <w:r w:rsidRPr="001B79F3">
        <w:t>Violence against children with disabilities: legislation, policies and programmes in the EU report (2015)</w:t>
      </w:r>
      <w:bookmarkEnd w:id="16"/>
    </w:p>
    <w:p w14:paraId="5DAF0577" w14:textId="268ACDE8" w:rsidR="00116EA9" w:rsidRDefault="00281962" w:rsidP="00B37D35">
      <w:pPr>
        <w:spacing w:after="0"/>
        <w:rPr>
          <w:rFonts w:cs="DaxlinePro-RegularItalic"/>
          <w:iCs/>
          <w:sz w:val="24"/>
          <w:szCs w:val="24"/>
        </w:rPr>
      </w:pPr>
      <w:r w:rsidRPr="001114EE">
        <w:rPr>
          <w:color w:val="000000" w:themeColor="text1"/>
          <w:sz w:val="24"/>
          <w:szCs w:val="24"/>
        </w:rPr>
        <w:t xml:space="preserve">The report includes extensive information regarding </w:t>
      </w:r>
      <w:r w:rsidR="002A1817">
        <w:rPr>
          <w:color w:val="000000" w:themeColor="text1"/>
          <w:sz w:val="24"/>
          <w:szCs w:val="24"/>
        </w:rPr>
        <w:t>Bulgaria</w:t>
      </w:r>
      <w:r w:rsidRPr="001114EE">
        <w:rPr>
          <w:color w:val="000000" w:themeColor="text1"/>
          <w:sz w:val="24"/>
          <w:szCs w:val="24"/>
        </w:rPr>
        <w:t>, these excerpts are just a selection.</w:t>
      </w:r>
      <w:r w:rsidR="00FE5A96">
        <w:rPr>
          <w:color w:val="000000" w:themeColor="text1"/>
          <w:sz w:val="24"/>
          <w:szCs w:val="24"/>
        </w:rPr>
        <w:t xml:space="preserve"> </w:t>
      </w:r>
      <w:r w:rsidRPr="001114EE">
        <w:rPr>
          <w:color w:val="000000" w:themeColor="text1"/>
          <w:sz w:val="24"/>
          <w:szCs w:val="24"/>
        </w:rPr>
        <w:t>For more detailed information:</w:t>
      </w:r>
      <w:r w:rsidRPr="001114EE">
        <w:rPr>
          <w:sz w:val="24"/>
          <w:szCs w:val="24"/>
        </w:rPr>
        <w:t xml:space="preserve"> </w:t>
      </w:r>
      <w:hyperlink r:id="rId22" w:history="1">
        <w:r w:rsidRPr="001114EE">
          <w:rPr>
            <w:rStyle w:val="Hyperlink"/>
            <w:sz w:val="24"/>
            <w:szCs w:val="24"/>
          </w:rPr>
          <w:t>http://fra.europa.eu/en/publication/2015/children-disabilities-violence</w:t>
        </w:r>
      </w:hyperlink>
      <w:r w:rsidR="008152A5" w:rsidRPr="001114EE">
        <w:rPr>
          <w:rStyle w:val="Hyperlink"/>
          <w:sz w:val="24"/>
          <w:szCs w:val="24"/>
          <w:u w:val="none"/>
        </w:rPr>
        <w:t xml:space="preserve">. </w:t>
      </w:r>
      <w:r w:rsidR="008152A5" w:rsidRPr="001114EE">
        <w:rPr>
          <w:rFonts w:cs="DaxlinePro-RegularItalic"/>
          <w:iCs/>
          <w:sz w:val="24"/>
          <w:szCs w:val="24"/>
        </w:rPr>
        <w:t xml:space="preserve">Also available in easy-to-read: </w:t>
      </w:r>
      <w:hyperlink r:id="rId23" w:history="1">
        <w:r w:rsidR="008152A5" w:rsidRPr="001114EE">
          <w:rPr>
            <w:rStyle w:val="Hyperlink"/>
            <w:rFonts w:cs="DaxlinePro-RegularItalic"/>
            <w:iCs/>
            <w:sz w:val="24"/>
            <w:szCs w:val="24"/>
          </w:rPr>
          <w:t>http://fra.europa.eu/en/publication/2015/violence-against-children-disabilities</w:t>
        </w:r>
      </w:hyperlink>
      <w:r w:rsidR="008152A5" w:rsidRPr="001114EE">
        <w:rPr>
          <w:rFonts w:cs="DaxlinePro-RegularItalic"/>
          <w:iCs/>
          <w:sz w:val="24"/>
          <w:szCs w:val="24"/>
        </w:rPr>
        <w:t>.</w:t>
      </w:r>
    </w:p>
    <w:p w14:paraId="2DEF8130" w14:textId="01EF9816" w:rsidR="00281962" w:rsidRPr="00C4175B" w:rsidRDefault="00116EA9" w:rsidP="00B37D35">
      <w:pPr>
        <w:spacing w:after="0"/>
        <w:rPr>
          <w:rFonts w:cs="DaxlinePro-RegularItalic"/>
          <w:iCs/>
          <w:sz w:val="24"/>
          <w:szCs w:val="24"/>
        </w:rPr>
      </w:pPr>
      <w:r w:rsidRPr="00016A70">
        <w:rPr>
          <w:rFonts w:cs="DaxlinePro-RegularItalic"/>
          <w:i/>
          <w:iCs/>
          <w:sz w:val="24"/>
          <w:szCs w:val="24"/>
        </w:rPr>
        <w:lastRenderedPageBreak/>
        <w:t xml:space="preserve">“Children with disabilities are among the most stigmatised and marginalised children and it could be said that the risk of violence for them is significantly higher namely because they are ignored by society and there is a negative traditional mind set.” </w:t>
      </w:r>
      <w:r w:rsidRPr="00C4175B">
        <w:rPr>
          <w:rFonts w:cs="DaxlinePro-RegularItalic"/>
          <w:iCs/>
          <w:sz w:val="24"/>
          <w:szCs w:val="24"/>
        </w:rPr>
        <w:t xml:space="preserve">(Public authority representative, </w:t>
      </w:r>
      <w:r w:rsidRPr="00C4175B">
        <w:rPr>
          <w:rFonts w:cs="DaxlinePro-RegularItalic"/>
          <w:b/>
          <w:iCs/>
          <w:sz w:val="24"/>
          <w:szCs w:val="24"/>
        </w:rPr>
        <w:t>Bulgaria</w:t>
      </w:r>
      <w:r w:rsidRPr="00C4175B">
        <w:rPr>
          <w:rFonts w:cs="DaxlinePro-RegularItalic"/>
          <w:iCs/>
          <w:sz w:val="24"/>
          <w:szCs w:val="24"/>
        </w:rPr>
        <w:t>). (p.8)</w:t>
      </w:r>
    </w:p>
    <w:p w14:paraId="5FAA3418" w14:textId="22C4BE44" w:rsidR="00116EA9" w:rsidRPr="00016A70" w:rsidRDefault="00116EA9" w:rsidP="00B37D35">
      <w:pPr>
        <w:spacing w:after="0"/>
        <w:rPr>
          <w:rFonts w:eastAsia="DaxlinePro-RegularItalic" w:cs="DaxlinePro-RegularItalic"/>
          <w:color w:val="000000"/>
          <w:sz w:val="24"/>
          <w:szCs w:val="24"/>
        </w:rPr>
      </w:pPr>
      <w:r w:rsidRPr="00016A70">
        <w:rPr>
          <w:rFonts w:cs="DaxlinePro-Regular"/>
          <w:color w:val="000000"/>
          <w:sz w:val="24"/>
          <w:szCs w:val="24"/>
        </w:rPr>
        <w:t xml:space="preserve">“In </w:t>
      </w:r>
      <w:r w:rsidRPr="003F69A1">
        <w:rPr>
          <w:rFonts w:eastAsia="DaxlinePro-RegularItalic" w:cs="DaxlinePro-RegularItalic"/>
          <w:i/>
          <w:iCs/>
          <w:color w:val="000000"/>
          <w:sz w:val="24"/>
          <w:szCs w:val="24"/>
        </w:rPr>
        <w:t xml:space="preserve">Nencheva and Others v. </w:t>
      </w:r>
      <w:r w:rsidRPr="003F69A1">
        <w:rPr>
          <w:rFonts w:eastAsia="DaxlinePro-RegularItalic" w:cs="DaxlinePro-RegularItalic"/>
          <w:b/>
          <w:i/>
          <w:iCs/>
          <w:color w:val="000000"/>
          <w:sz w:val="24"/>
          <w:szCs w:val="24"/>
        </w:rPr>
        <w:t>Bulgaria</w:t>
      </w:r>
      <w:r w:rsidRPr="00016A70">
        <w:rPr>
          <w:rFonts w:eastAsia="DaxlinePro-RegularItalic" w:cs="DaxlinePro-RegularItalic"/>
          <w:iCs/>
          <w:color w:val="000000"/>
          <w:sz w:val="24"/>
          <w:szCs w:val="24"/>
        </w:rPr>
        <w:t>,</w:t>
      </w:r>
      <w:r w:rsidRPr="00016A70">
        <w:rPr>
          <w:rStyle w:val="A13"/>
          <w:sz w:val="24"/>
          <w:szCs w:val="24"/>
        </w:rPr>
        <w:t xml:space="preserve"> </w:t>
      </w:r>
      <w:r w:rsidRPr="00016A70">
        <w:rPr>
          <w:rFonts w:eastAsia="DaxlinePro-RegularItalic" w:cs="DaxlinePro-RegularItalic"/>
          <w:color w:val="000000"/>
          <w:sz w:val="24"/>
          <w:szCs w:val="24"/>
        </w:rPr>
        <w:t>the court found a violation of Arti</w:t>
      </w:r>
      <w:r w:rsidRPr="00016A70">
        <w:rPr>
          <w:rFonts w:eastAsia="DaxlinePro-RegularItalic" w:cs="DaxlinePro-RegularItalic"/>
          <w:color w:val="000000"/>
          <w:sz w:val="24"/>
          <w:szCs w:val="24"/>
        </w:rPr>
        <w:softHyphen/>
        <w:t>cle 2 (right to life) where fifteen children and young adults in a state</w:t>
      </w:r>
      <w:r w:rsidRPr="00016A70">
        <w:rPr>
          <w:rFonts w:eastAsia="DaxlinePro-RegularItalic" w:cs="DaxlinePro-RegularItalic"/>
          <w:color w:val="000000"/>
          <w:sz w:val="24"/>
          <w:szCs w:val="24"/>
        </w:rPr>
        <w:noBreakHyphen/>
        <w:t>run home for young people with physi</w:t>
      </w:r>
      <w:r w:rsidRPr="00016A70">
        <w:rPr>
          <w:rFonts w:eastAsia="DaxlinePro-RegularItalic" w:cs="DaxlinePro-RegularItalic"/>
          <w:color w:val="000000"/>
          <w:sz w:val="24"/>
          <w:szCs w:val="24"/>
        </w:rPr>
        <w:softHyphen/>
        <w:t>cal and intellectual disabilities died as a result of the cold and shortages of food, medicine and basic necessities. The authorities had also failed to conduct an effective, official investigation into the deaths.” (p.30)</w:t>
      </w:r>
    </w:p>
    <w:p w14:paraId="7F8903DF" w14:textId="68B05AF2" w:rsidR="00116EA9" w:rsidRPr="00016A70" w:rsidRDefault="00116EA9" w:rsidP="00B37D35">
      <w:pPr>
        <w:spacing w:after="0"/>
        <w:rPr>
          <w:rFonts w:cs="DaxlinePro-Regular"/>
          <w:color w:val="000000"/>
          <w:sz w:val="24"/>
          <w:szCs w:val="24"/>
        </w:rPr>
      </w:pPr>
      <w:r w:rsidRPr="00016A70">
        <w:rPr>
          <w:rFonts w:cs="DaxlinePro-Regular"/>
          <w:color w:val="000000"/>
          <w:sz w:val="24"/>
          <w:szCs w:val="24"/>
        </w:rPr>
        <w:t>“A recent NGO coalition report assessed the attention paid to the deinstitutionalisation of children in the PAs and OPs of eight EU Member States (</w:t>
      </w:r>
      <w:r w:rsidRPr="00016A70">
        <w:rPr>
          <w:rFonts w:cs="DaxlinePro-Regular"/>
          <w:b/>
          <w:color w:val="000000"/>
          <w:sz w:val="24"/>
          <w:szCs w:val="24"/>
        </w:rPr>
        <w:t>Bulgaria</w:t>
      </w:r>
      <w:r w:rsidRPr="00016A70">
        <w:rPr>
          <w:rFonts w:cs="DaxlinePro-Regular"/>
          <w:color w:val="000000"/>
          <w:sz w:val="24"/>
          <w:szCs w:val="24"/>
        </w:rPr>
        <w:t>, Esto</w:t>
      </w:r>
      <w:r w:rsidRPr="00016A70">
        <w:rPr>
          <w:rFonts w:cs="DaxlinePro-Regular"/>
          <w:color w:val="000000"/>
          <w:sz w:val="24"/>
          <w:szCs w:val="24"/>
        </w:rPr>
        <w:softHyphen/>
        <w:t>nia, Greece, Hungary, Latvia, Lithuania, Poland and Romania).</w:t>
      </w:r>
      <w:r w:rsidR="00CC4EBB" w:rsidRPr="00016A70">
        <w:rPr>
          <w:sz w:val="24"/>
          <w:szCs w:val="24"/>
        </w:rPr>
        <w:t xml:space="preserve"> […] </w:t>
      </w:r>
      <w:r w:rsidR="00CC4EBB" w:rsidRPr="00016A70">
        <w:rPr>
          <w:rFonts w:cs="DaxlinePro-Regular"/>
          <w:color w:val="000000"/>
          <w:sz w:val="24"/>
          <w:szCs w:val="24"/>
        </w:rPr>
        <w:t>However, only half of the countries’ respondents felt that the ESIF budget allocation for deinstitutionalisation was satisfactory (</w:t>
      </w:r>
      <w:r w:rsidR="00CC4EBB" w:rsidRPr="00016A70">
        <w:rPr>
          <w:rFonts w:cs="DaxlinePro-Regular"/>
          <w:b/>
          <w:color w:val="000000"/>
          <w:sz w:val="24"/>
          <w:szCs w:val="24"/>
        </w:rPr>
        <w:t>Bulgaria</w:t>
      </w:r>
      <w:r w:rsidR="00CC4EBB" w:rsidRPr="00016A70">
        <w:rPr>
          <w:rFonts w:cs="DaxlinePro-Regular"/>
          <w:color w:val="000000"/>
          <w:sz w:val="24"/>
          <w:szCs w:val="24"/>
        </w:rPr>
        <w:t>, Estonia, Latvia and Romania).</w:t>
      </w:r>
      <w:r w:rsidRPr="00016A70">
        <w:rPr>
          <w:rFonts w:cs="DaxlinePro-Regular"/>
          <w:color w:val="000000"/>
          <w:sz w:val="24"/>
          <w:szCs w:val="24"/>
        </w:rPr>
        <w:t>” (p.33)</w:t>
      </w:r>
    </w:p>
    <w:p w14:paraId="509DD8BE" w14:textId="1CE41617" w:rsidR="00CC4EBB" w:rsidRPr="00016A70" w:rsidRDefault="00CC4EBB" w:rsidP="00B37D35">
      <w:pPr>
        <w:spacing w:after="0"/>
        <w:rPr>
          <w:rFonts w:cs="DaxlinePro-Regular"/>
          <w:color w:val="000000"/>
          <w:sz w:val="24"/>
          <w:szCs w:val="24"/>
        </w:rPr>
      </w:pPr>
      <w:r w:rsidRPr="00016A70">
        <w:rPr>
          <w:rFonts w:cs="DaxlinePro-Regular"/>
          <w:color w:val="000000"/>
          <w:sz w:val="24"/>
          <w:szCs w:val="24"/>
        </w:rPr>
        <w:t xml:space="preserve">“Among Member States with specialised legislation, two separate approaches can be identified. Some have put in place a general child protection instrument. In </w:t>
      </w:r>
      <w:r w:rsidRPr="00016A70">
        <w:rPr>
          <w:rFonts w:cs="DaxlinePro-Regular"/>
          <w:b/>
          <w:color w:val="000000"/>
          <w:sz w:val="24"/>
          <w:szCs w:val="24"/>
        </w:rPr>
        <w:t>Bul</w:t>
      </w:r>
      <w:r w:rsidRPr="00016A70">
        <w:rPr>
          <w:rFonts w:cs="DaxlinePro-Regular"/>
          <w:b/>
          <w:color w:val="000000"/>
          <w:sz w:val="24"/>
          <w:szCs w:val="24"/>
        </w:rPr>
        <w:softHyphen/>
        <w:t>garia</w:t>
      </w:r>
      <w:r w:rsidRPr="00016A70">
        <w:rPr>
          <w:rFonts w:cs="DaxlinePro-Regular"/>
          <w:color w:val="000000"/>
          <w:sz w:val="24"/>
          <w:szCs w:val="24"/>
        </w:rPr>
        <w:t>, for example, the Child Protection Act guarantees the protection of children from all forms of violence.</w:t>
      </w:r>
      <w:r w:rsidRPr="00016A70">
        <w:rPr>
          <w:rStyle w:val="A13"/>
          <w:sz w:val="24"/>
          <w:szCs w:val="24"/>
        </w:rPr>
        <w:t xml:space="preserve"> </w:t>
      </w:r>
      <w:r w:rsidRPr="00016A70">
        <w:rPr>
          <w:rFonts w:cs="DaxlinePro-Regular"/>
          <w:color w:val="000000"/>
          <w:sz w:val="24"/>
          <w:szCs w:val="24"/>
        </w:rPr>
        <w:t>According to this law, children who are at risk of abuse or are victims of abuse are classified as “children at risk</w:t>
      </w:r>
      <w:r w:rsidR="00AF5A6F">
        <w:rPr>
          <w:rFonts w:cs="DaxlinePro-Regular"/>
          <w:color w:val="000000"/>
          <w:sz w:val="24"/>
          <w:szCs w:val="24"/>
        </w:rPr>
        <w:t>.”</w:t>
      </w:r>
      <w:r w:rsidRPr="00016A70">
        <w:rPr>
          <w:rFonts w:cs="DaxlinePro-Regular"/>
          <w:color w:val="000000"/>
          <w:sz w:val="24"/>
          <w:szCs w:val="24"/>
        </w:rPr>
        <w:t xml:space="preserve"> In particular, a “child at risk” includes any child permanently deprived of parental care, a victim of abuse, violence, exploitation or any other inhumane or degrading treatment or punishment, either in or outside of his/her family environment, as well as any child whose physical, mental, moral, intellectual and social development is endangered, or who has a disability.” (p.</w:t>
      </w:r>
      <w:r w:rsidR="00B37D35">
        <w:rPr>
          <w:rFonts w:cs="DaxlinePro-Regular"/>
          <w:color w:val="000000"/>
          <w:sz w:val="24"/>
          <w:szCs w:val="24"/>
        </w:rPr>
        <w:t xml:space="preserve"> </w:t>
      </w:r>
      <w:r w:rsidRPr="00016A70">
        <w:rPr>
          <w:rFonts w:cs="DaxlinePro-Regular"/>
          <w:color w:val="000000"/>
          <w:sz w:val="24"/>
          <w:szCs w:val="24"/>
        </w:rPr>
        <w:t>3</w:t>
      </w:r>
      <w:r w:rsidR="00AF5A6F">
        <w:rPr>
          <w:rFonts w:cs="DaxlinePro-Regular"/>
          <w:color w:val="000000"/>
          <w:sz w:val="24"/>
          <w:szCs w:val="24"/>
        </w:rPr>
        <w:t>5-3</w:t>
      </w:r>
      <w:r w:rsidRPr="00016A70">
        <w:rPr>
          <w:rFonts w:cs="DaxlinePro-Regular"/>
          <w:color w:val="000000"/>
          <w:sz w:val="24"/>
          <w:szCs w:val="24"/>
        </w:rPr>
        <w:t>6)</w:t>
      </w:r>
    </w:p>
    <w:p w14:paraId="301DB3FF" w14:textId="1A24C7E7" w:rsidR="00CC4EBB" w:rsidRPr="00016A70" w:rsidRDefault="00CC4EBB" w:rsidP="00B37D35">
      <w:pPr>
        <w:spacing w:after="0"/>
        <w:rPr>
          <w:rFonts w:cs="DaxlinePro-Regular"/>
          <w:color w:val="000000"/>
          <w:sz w:val="24"/>
          <w:szCs w:val="24"/>
        </w:rPr>
      </w:pPr>
      <w:r w:rsidRPr="00016A70">
        <w:rPr>
          <w:rFonts w:cs="DaxlinePro-Regular"/>
          <w:color w:val="000000"/>
          <w:sz w:val="24"/>
          <w:szCs w:val="24"/>
        </w:rPr>
        <w:t>“Only 15 of the 25 Member States who have such a reporting obligation impose it on all professionals (</w:t>
      </w:r>
      <w:r w:rsidRPr="003F69A1">
        <w:rPr>
          <w:rFonts w:cs="DaxlinePro-Regular"/>
          <w:b/>
          <w:color w:val="000000"/>
          <w:sz w:val="24"/>
          <w:szCs w:val="24"/>
        </w:rPr>
        <w:t>Bulgaria</w:t>
      </w:r>
      <w:r w:rsidRPr="00016A70">
        <w:rPr>
          <w:rFonts w:cs="DaxlinePro-Regular"/>
          <w:color w:val="000000"/>
          <w:sz w:val="24"/>
          <w:szCs w:val="24"/>
        </w:rPr>
        <w:t>, Croatia, Denmark, Estonia, France, Hungary, Ireland, Lithuania, Luxembourg, Poland, Romania, Slo</w:t>
      </w:r>
      <w:r w:rsidRPr="00016A70">
        <w:rPr>
          <w:rFonts w:cs="DaxlinePro-Regular"/>
          <w:color w:val="000000"/>
          <w:sz w:val="24"/>
          <w:szCs w:val="24"/>
        </w:rPr>
        <w:softHyphen/>
        <w:t>venia, Spain, Sweden and the United Kingdom).” (p.40)</w:t>
      </w:r>
    </w:p>
    <w:p w14:paraId="2C874D8A" w14:textId="2A2C770B" w:rsidR="00CC4EBB" w:rsidRPr="00016A70" w:rsidRDefault="00CC4EBB" w:rsidP="00B37D35">
      <w:pPr>
        <w:spacing w:after="0"/>
        <w:rPr>
          <w:rFonts w:cs="DaxlinePro-Regular"/>
          <w:color w:val="000000"/>
          <w:sz w:val="24"/>
          <w:szCs w:val="24"/>
        </w:rPr>
      </w:pPr>
      <w:r w:rsidRPr="00016A70">
        <w:rPr>
          <w:rFonts w:cs="DaxlinePro-Regular"/>
          <w:color w:val="000000"/>
          <w:sz w:val="24"/>
          <w:szCs w:val="24"/>
        </w:rPr>
        <w:t xml:space="preserve">“A second group of Member States, which includes </w:t>
      </w:r>
      <w:r w:rsidRPr="00016A70">
        <w:rPr>
          <w:rFonts w:cs="DaxlinePro-Regular"/>
          <w:b/>
          <w:color w:val="000000"/>
          <w:sz w:val="24"/>
          <w:szCs w:val="24"/>
        </w:rPr>
        <w:t>Bul</w:t>
      </w:r>
      <w:r w:rsidRPr="00016A70">
        <w:rPr>
          <w:rFonts w:cs="DaxlinePro-Regular"/>
          <w:b/>
          <w:color w:val="000000"/>
          <w:sz w:val="24"/>
          <w:szCs w:val="24"/>
        </w:rPr>
        <w:softHyphen/>
        <w:t>garia</w:t>
      </w:r>
      <w:r w:rsidRPr="00016A70">
        <w:rPr>
          <w:rFonts w:cs="DaxlinePro-Regular"/>
          <w:color w:val="000000"/>
          <w:sz w:val="24"/>
          <w:szCs w:val="24"/>
        </w:rPr>
        <w:t>, Germany, the Netherlands and Slovenia,</w:t>
      </w:r>
      <w:r w:rsidRPr="00016A70">
        <w:rPr>
          <w:rStyle w:val="A13"/>
          <w:sz w:val="24"/>
          <w:szCs w:val="24"/>
        </w:rPr>
        <w:t xml:space="preserve"> </w:t>
      </w:r>
      <w:r w:rsidRPr="00016A70">
        <w:rPr>
          <w:rFonts w:cs="DaxlinePro-Regular"/>
          <w:color w:val="000000"/>
          <w:sz w:val="24"/>
          <w:szCs w:val="24"/>
        </w:rPr>
        <w:t>has policies addressing the protection of children from vio</w:t>
      </w:r>
      <w:r w:rsidRPr="00016A70">
        <w:rPr>
          <w:rFonts w:cs="DaxlinePro-Regular"/>
          <w:color w:val="000000"/>
          <w:sz w:val="24"/>
          <w:szCs w:val="24"/>
        </w:rPr>
        <w:softHyphen/>
        <w:t>lence that refer generally to children with disabilities, some of them recognising their particular vulnerabil</w:t>
      </w:r>
      <w:r w:rsidRPr="00016A70">
        <w:rPr>
          <w:rFonts w:cs="DaxlinePro-Regular"/>
          <w:color w:val="000000"/>
          <w:sz w:val="24"/>
          <w:szCs w:val="24"/>
        </w:rPr>
        <w:softHyphen/>
        <w:t xml:space="preserve">ity. However, </w:t>
      </w:r>
      <w:r w:rsidRPr="00016A70">
        <w:rPr>
          <w:rFonts w:cs="DaxlinePro-Regular"/>
          <w:color w:val="000000"/>
          <w:sz w:val="24"/>
          <w:szCs w:val="24"/>
        </w:rPr>
        <w:lastRenderedPageBreak/>
        <w:t xml:space="preserve">they do not contain specific measures addressing violence against children with disabilities in particular. The </w:t>
      </w:r>
      <w:r w:rsidRPr="00016A70">
        <w:rPr>
          <w:rFonts w:cs="DaxlinePro-Regular"/>
          <w:b/>
          <w:color w:val="000000"/>
          <w:sz w:val="24"/>
          <w:szCs w:val="24"/>
        </w:rPr>
        <w:t>Bulgarian</w:t>
      </w:r>
      <w:r w:rsidRPr="00016A70">
        <w:rPr>
          <w:rFonts w:cs="DaxlinePro-Regular"/>
          <w:color w:val="000000"/>
          <w:sz w:val="24"/>
          <w:szCs w:val="24"/>
        </w:rPr>
        <w:t xml:space="preserve"> National Strategy for the Child 2008– 2018</w:t>
      </w:r>
      <w:r w:rsidRPr="00016A70">
        <w:rPr>
          <w:rStyle w:val="A13"/>
          <w:sz w:val="24"/>
          <w:szCs w:val="24"/>
        </w:rPr>
        <w:t xml:space="preserve"> </w:t>
      </w:r>
      <w:r w:rsidRPr="00016A70">
        <w:rPr>
          <w:rFonts w:cs="DaxlinePro-Regular"/>
          <w:color w:val="000000"/>
          <w:sz w:val="24"/>
          <w:szCs w:val="24"/>
        </w:rPr>
        <w:t>refers to children with disabilities in sections addressing non</w:t>
      </w:r>
      <w:r w:rsidRPr="00016A70">
        <w:rPr>
          <w:rFonts w:cs="DaxlinePro-Regular"/>
          <w:color w:val="000000"/>
          <w:sz w:val="24"/>
          <w:szCs w:val="24"/>
        </w:rPr>
        <w:noBreakHyphen/>
        <w:t>discrimination, accessibility, and inclu</w:t>
      </w:r>
      <w:r w:rsidRPr="00016A70">
        <w:rPr>
          <w:rFonts w:cs="DaxlinePro-Regular"/>
          <w:color w:val="000000"/>
          <w:sz w:val="24"/>
          <w:szCs w:val="24"/>
        </w:rPr>
        <w:softHyphen/>
        <w:t>sion in mainstream schools, but does not specifically address children with disabilities in the section on pro</w:t>
      </w:r>
      <w:r w:rsidRPr="00016A70">
        <w:rPr>
          <w:rFonts w:cs="DaxlinePro-Regular"/>
          <w:color w:val="000000"/>
          <w:sz w:val="24"/>
          <w:szCs w:val="24"/>
        </w:rPr>
        <w:softHyphen/>
        <w:t xml:space="preserve">tection from violence.” (p.42) </w:t>
      </w:r>
    </w:p>
    <w:p w14:paraId="1015B9D8" w14:textId="0844E7B9" w:rsidR="00CC4EBB" w:rsidRPr="00016A70" w:rsidRDefault="00CC4EBB" w:rsidP="002D605B">
      <w:pPr>
        <w:rPr>
          <w:rFonts w:cs="DaxlinePro-Regular"/>
          <w:color w:val="000000"/>
          <w:sz w:val="24"/>
          <w:szCs w:val="24"/>
        </w:rPr>
      </w:pPr>
      <w:r w:rsidRPr="00016A70">
        <w:rPr>
          <w:noProof/>
          <w:sz w:val="24"/>
          <w:szCs w:val="24"/>
          <w:lang w:eastAsia="en-IE"/>
        </w:rPr>
        <w:drawing>
          <wp:inline distT="0" distB="0" distL="0" distR="0" wp14:anchorId="492443E4" wp14:editId="3802BE6D">
            <wp:extent cx="4905375" cy="22139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41214" t="59447" r="21228" b="18504"/>
                    <a:stretch/>
                  </pic:blipFill>
                  <pic:spPr bwMode="auto">
                    <a:xfrm>
                      <a:off x="0" y="0"/>
                      <a:ext cx="4920240" cy="2220639"/>
                    </a:xfrm>
                    <a:prstGeom prst="rect">
                      <a:avLst/>
                    </a:prstGeom>
                    <a:ln>
                      <a:noFill/>
                    </a:ln>
                    <a:extLst>
                      <a:ext uri="{53640926-AAD7-44D8-BBD7-CCE9431645EC}">
                        <a14:shadowObscured xmlns:a14="http://schemas.microsoft.com/office/drawing/2010/main"/>
                      </a:ext>
                    </a:extLst>
                  </pic:spPr>
                </pic:pic>
              </a:graphicData>
            </a:graphic>
          </wp:inline>
        </w:drawing>
      </w:r>
      <w:r w:rsidRPr="00016A70">
        <w:rPr>
          <w:rFonts w:cs="DaxlinePro-Regular"/>
          <w:color w:val="000000"/>
          <w:sz w:val="24"/>
          <w:szCs w:val="24"/>
        </w:rPr>
        <w:t>(p.42)</w:t>
      </w:r>
    </w:p>
    <w:p w14:paraId="7DF30328" w14:textId="185F62EA" w:rsidR="00116EA9" w:rsidRPr="00016A70" w:rsidRDefault="003F69A1" w:rsidP="00B37D35">
      <w:pPr>
        <w:spacing w:after="0"/>
        <w:rPr>
          <w:rFonts w:eastAsia="DaxlinePro-Regular" w:cs="DaxlinePro-Regular"/>
          <w:color w:val="000000"/>
          <w:sz w:val="24"/>
          <w:szCs w:val="24"/>
        </w:rPr>
      </w:pPr>
      <w:r>
        <w:rPr>
          <w:rFonts w:cs="DaxlinePro-Regular"/>
          <w:color w:val="000000"/>
          <w:sz w:val="24"/>
          <w:szCs w:val="24"/>
        </w:rPr>
        <w:t>“</w:t>
      </w:r>
      <w:r w:rsidR="00CC4EBB" w:rsidRPr="00016A70">
        <w:rPr>
          <w:rFonts w:cs="DaxlinePro-Regular"/>
          <w:color w:val="000000"/>
          <w:sz w:val="24"/>
          <w:szCs w:val="24"/>
        </w:rPr>
        <w:t>According to the CRC Committee, countries should pro</w:t>
      </w:r>
      <w:r w:rsidR="00CC4EBB" w:rsidRPr="00016A70">
        <w:rPr>
          <w:rFonts w:cs="DaxlinePro-Regular"/>
          <w:color w:val="000000"/>
          <w:sz w:val="24"/>
          <w:szCs w:val="24"/>
        </w:rPr>
        <w:softHyphen/>
        <w:t>vide adequate budget allocations for the implementa</w:t>
      </w:r>
      <w:r w:rsidR="00CC4EBB" w:rsidRPr="00016A70">
        <w:rPr>
          <w:rFonts w:cs="DaxlinePro-Regular"/>
          <w:color w:val="000000"/>
          <w:sz w:val="24"/>
          <w:szCs w:val="24"/>
        </w:rPr>
        <w:softHyphen/>
        <w:t>tion of legislation prohibiting violence against children</w:t>
      </w:r>
      <w:r w:rsidR="009347EA" w:rsidRPr="00016A70">
        <w:rPr>
          <w:rStyle w:val="A7"/>
          <w:sz w:val="24"/>
          <w:szCs w:val="24"/>
        </w:rPr>
        <w:t xml:space="preserve"> </w:t>
      </w:r>
      <w:r w:rsidR="00CC4EBB" w:rsidRPr="00016A70">
        <w:rPr>
          <w:rFonts w:cs="DaxlinePro-Regular"/>
          <w:color w:val="000000"/>
          <w:sz w:val="24"/>
          <w:szCs w:val="24"/>
        </w:rPr>
        <w:t xml:space="preserve">[…] </w:t>
      </w:r>
      <w:r w:rsidR="00CC4EBB" w:rsidRPr="00016A70">
        <w:rPr>
          <w:rFonts w:eastAsia="DaxlinePro-RegularItalic" w:cs="DaxlinePro-RegularItalic"/>
          <w:i/>
          <w:iCs/>
          <w:color w:val="000000"/>
          <w:sz w:val="24"/>
          <w:szCs w:val="24"/>
        </w:rPr>
        <w:t xml:space="preserve">“[T]he funding of these policies is a major issue as it is insufficient for all activities the plans for implementation contain.” </w:t>
      </w:r>
      <w:r w:rsidR="00CC4EBB" w:rsidRPr="00016A70">
        <w:rPr>
          <w:rFonts w:eastAsia="DaxlinePro-Regular" w:cs="DaxlinePro-Regular"/>
          <w:color w:val="000000"/>
          <w:sz w:val="24"/>
          <w:szCs w:val="24"/>
        </w:rPr>
        <w:t xml:space="preserve">(NHRB representative, </w:t>
      </w:r>
      <w:r w:rsidR="00CC4EBB" w:rsidRPr="00016A70">
        <w:rPr>
          <w:rFonts w:eastAsia="DaxlinePro-Regular" w:cs="DaxlinePro-Regular"/>
          <w:b/>
          <w:color w:val="000000"/>
          <w:sz w:val="24"/>
          <w:szCs w:val="24"/>
        </w:rPr>
        <w:t>Bulgaria</w:t>
      </w:r>
      <w:r w:rsidR="00CC4EBB" w:rsidRPr="00016A70">
        <w:rPr>
          <w:rFonts w:eastAsia="DaxlinePro-Regular" w:cs="DaxlinePro-Regular"/>
          <w:color w:val="000000"/>
          <w:sz w:val="24"/>
          <w:szCs w:val="24"/>
        </w:rPr>
        <w:t>)</w:t>
      </w:r>
      <w:r w:rsidR="009347EA" w:rsidRPr="00016A70">
        <w:rPr>
          <w:rFonts w:eastAsia="DaxlinePro-Regular" w:cs="DaxlinePro-Regular"/>
          <w:color w:val="000000"/>
          <w:sz w:val="24"/>
          <w:szCs w:val="24"/>
        </w:rPr>
        <w:t xml:space="preserve"> (p.46)</w:t>
      </w:r>
    </w:p>
    <w:p w14:paraId="35195383" w14:textId="77777777" w:rsidR="009347EA" w:rsidRPr="00016A70" w:rsidRDefault="009347EA" w:rsidP="00B37D35">
      <w:pPr>
        <w:spacing w:after="0"/>
        <w:rPr>
          <w:rFonts w:cs="DaxlinePro-Regular"/>
          <w:color w:val="000000"/>
          <w:sz w:val="24"/>
          <w:szCs w:val="24"/>
        </w:rPr>
      </w:pPr>
      <w:r w:rsidRPr="00016A70">
        <w:rPr>
          <w:rFonts w:cs="DaxlinePro-Regular"/>
          <w:color w:val="000000"/>
          <w:sz w:val="24"/>
          <w:szCs w:val="24"/>
        </w:rPr>
        <w:t xml:space="preserve">“In </w:t>
      </w:r>
      <w:r w:rsidRPr="00016A70">
        <w:rPr>
          <w:rFonts w:cs="DaxlinePro-Regular"/>
          <w:b/>
          <w:color w:val="000000"/>
          <w:sz w:val="24"/>
          <w:szCs w:val="24"/>
        </w:rPr>
        <w:t>Bulgaria</w:t>
      </w:r>
      <w:r w:rsidRPr="00016A70">
        <w:rPr>
          <w:rFonts w:cs="DaxlinePro-Regular"/>
          <w:color w:val="000000"/>
          <w:sz w:val="24"/>
          <w:szCs w:val="24"/>
        </w:rPr>
        <w:t>, low remuneration and limited possi</w:t>
      </w:r>
      <w:r w:rsidRPr="00016A70">
        <w:rPr>
          <w:rFonts w:cs="DaxlinePro-Regular"/>
          <w:color w:val="000000"/>
          <w:sz w:val="24"/>
          <w:szCs w:val="24"/>
        </w:rPr>
        <w:softHyphen/>
        <w:t>bilities for continuous qualification are the main reasons for the very low number of social workers.” (p.46)</w:t>
      </w:r>
    </w:p>
    <w:p w14:paraId="27A597A4" w14:textId="77777777" w:rsidR="009347EA" w:rsidRPr="00016A70" w:rsidRDefault="009347EA" w:rsidP="00B37D35">
      <w:pPr>
        <w:spacing w:after="0"/>
        <w:rPr>
          <w:rStyle w:val="A7"/>
          <w:sz w:val="24"/>
          <w:szCs w:val="24"/>
        </w:rPr>
      </w:pPr>
      <w:r w:rsidRPr="00016A70">
        <w:rPr>
          <w:rStyle w:val="A7"/>
          <w:sz w:val="24"/>
          <w:szCs w:val="24"/>
        </w:rPr>
        <w:t xml:space="preserve">“In </w:t>
      </w:r>
      <w:r w:rsidRPr="00016A70">
        <w:rPr>
          <w:rStyle w:val="A7"/>
          <w:b/>
          <w:sz w:val="24"/>
          <w:szCs w:val="24"/>
        </w:rPr>
        <w:t>Bulgaria</w:t>
      </w:r>
      <w:r w:rsidRPr="00016A70">
        <w:rPr>
          <w:rStyle w:val="A7"/>
          <w:sz w:val="24"/>
          <w:szCs w:val="24"/>
        </w:rPr>
        <w:t>, for example, the state child protection agency col</w:t>
      </w:r>
      <w:r w:rsidRPr="00016A70">
        <w:rPr>
          <w:rStyle w:val="A7"/>
          <w:sz w:val="24"/>
          <w:szCs w:val="24"/>
        </w:rPr>
        <w:softHyphen/>
        <w:t>lects and publishes data on violence against children in general, but does not disaggregate the data based on disability.” (p.51)</w:t>
      </w:r>
    </w:p>
    <w:p w14:paraId="610433AB" w14:textId="4AB0DE68" w:rsidR="009347EA" w:rsidRPr="00016A70" w:rsidRDefault="003F69A1" w:rsidP="00B37D35">
      <w:pPr>
        <w:spacing w:after="0"/>
        <w:rPr>
          <w:rFonts w:eastAsia="DaxlinePro-Regular" w:cs="DaxlinePro-Regular"/>
          <w:color w:val="000000"/>
          <w:sz w:val="24"/>
          <w:szCs w:val="24"/>
        </w:rPr>
      </w:pPr>
      <w:r>
        <w:rPr>
          <w:rFonts w:cs="DaxlinePro-Regular"/>
          <w:color w:val="000000"/>
          <w:sz w:val="24"/>
          <w:szCs w:val="24"/>
        </w:rPr>
        <w:t>“</w:t>
      </w:r>
      <w:r w:rsidR="009347EA" w:rsidRPr="00016A70">
        <w:rPr>
          <w:rFonts w:cs="DaxlinePro-Regular"/>
          <w:color w:val="000000"/>
          <w:sz w:val="24"/>
          <w:szCs w:val="24"/>
        </w:rPr>
        <w:t>Respondents acknowledged that when there are no data or research on violence against children with disabili</w:t>
      </w:r>
      <w:r w:rsidR="009347EA" w:rsidRPr="00016A70">
        <w:rPr>
          <w:rFonts w:cs="DaxlinePro-Regular"/>
          <w:color w:val="000000"/>
          <w:sz w:val="24"/>
          <w:szCs w:val="24"/>
        </w:rPr>
        <w:softHyphen/>
        <w:t xml:space="preserve">ties, they encounter difficulties in defining appropriate </w:t>
      </w:r>
      <w:r w:rsidR="009347EA" w:rsidRPr="00016A70">
        <w:rPr>
          <w:rStyle w:val="A7"/>
          <w:sz w:val="24"/>
          <w:szCs w:val="24"/>
        </w:rPr>
        <w:t>measures for tackling the issue.</w:t>
      </w:r>
      <w:r w:rsidR="009347EA" w:rsidRPr="00016A70">
        <w:rPr>
          <w:rFonts w:cs="DaxlinePro-Regular"/>
          <w:color w:val="000000"/>
          <w:sz w:val="24"/>
          <w:szCs w:val="24"/>
        </w:rPr>
        <w:t xml:space="preserve"> </w:t>
      </w:r>
      <w:r w:rsidR="009347EA" w:rsidRPr="00016A70">
        <w:rPr>
          <w:rFonts w:eastAsia="DaxlinePro-Regular" w:cs="DaxlinePro-Regular"/>
          <w:color w:val="000000"/>
          <w:sz w:val="24"/>
          <w:szCs w:val="24"/>
        </w:rPr>
        <w:t>“</w:t>
      </w:r>
      <w:r w:rsidR="009347EA" w:rsidRPr="00AE3ADA">
        <w:rPr>
          <w:rFonts w:eastAsia="DaxlinePro-Regular" w:cs="DaxlinePro-Regular"/>
          <w:i/>
          <w:color w:val="000000"/>
          <w:sz w:val="24"/>
          <w:szCs w:val="24"/>
        </w:rPr>
        <w:t>So, how could we possibly make policies, plan policies, in the absence of any clear, precise statistics made available to us?</w:t>
      </w:r>
      <w:r w:rsidR="009347EA" w:rsidRPr="00016A70">
        <w:rPr>
          <w:rFonts w:eastAsia="DaxlinePro-Regular" w:cs="DaxlinePro-Regular"/>
          <w:color w:val="000000"/>
          <w:sz w:val="24"/>
          <w:szCs w:val="24"/>
        </w:rPr>
        <w:t xml:space="preserve">” (NHRB representative, </w:t>
      </w:r>
      <w:r w:rsidR="009347EA" w:rsidRPr="00016A70">
        <w:rPr>
          <w:rFonts w:eastAsia="DaxlinePro-Regular" w:cs="DaxlinePro-Regular"/>
          <w:b/>
          <w:color w:val="000000"/>
          <w:sz w:val="24"/>
          <w:szCs w:val="24"/>
        </w:rPr>
        <w:t>Bulgaria</w:t>
      </w:r>
      <w:r w:rsidR="00AE3ADA">
        <w:rPr>
          <w:rFonts w:eastAsia="DaxlinePro-Regular" w:cs="DaxlinePro-Regular"/>
          <w:color w:val="000000"/>
          <w:sz w:val="24"/>
          <w:szCs w:val="24"/>
        </w:rPr>
        <w:t>)</w:t>
      </w:r>
      <w:r w:rsidR="009347EA" w:rsidRPr="00016A70">
        <w:rPr>
          <w:rFonts w:eastAsia="DaxlinePro-Regular" w:cs="DaxlinePro-Regular"/>
          <w:color w:val="000000"/>
          <w:sz w:val="24"/>
          <w:szCs w:val="24"/>
        </w:rPr>
        <w:t xml:space="preserve"> (p.52)</w:t>
      </w:r>
    </w:p>
    <w:p w14:paraId="64825162" w14:textId="3791B615" w:rsidR="00036F2B" w:rsidRPr="00AE3ADA" w:rsidRDefault="009347EA" w:rsidP="00B37D35">
      <w:pPr>
        <w:spacing w:after="0"/>
        <w:rPr>
          <w:rFonts w:cs="DaxlinePro-Regular"/>
          <w:color w:val="000000"/>
          <w:sz w:val="24"/>
          <w:szCs w:val="24"/>
        </w:rPr>
      </w:pPr>
      <w:r w:rsidRPr="00016A70">
        <w:rPr>
          <w:rFonts w:cs="DaxlinePro-Regular"/>
          <w:color w:val="000000"/>
          <w:sz w:val="24"/>
          <w:szCs w:val="24"/>
        </w:rPr>
        <w:t>“The European Commission’s report entitled ‘</w:t>
      </w:r>
      <w:r w:rsidRPr="00016A70">
        <w:rPr>
          <w:rFonts w:eastAsia="DaxlinePro-RegularItalic" w:cs="DaxlinePro-RegularItalic"/>
          <w:i/>
          <w:iCs/>
          <w:color w:val="000000"/>
          <w:sz w:val="24"/>
          <w:szCs w:val="24"/>
        </w:rPr>
        <w:t>Evaluation of legislation, policy and practice on child participation in the European Union</w:t>
      </w:r>
      <w:r w:rsidRPr="00016A70">
        <w:rPr>
          <w:rFonts w:cs="DaxlinePro-Regular"/>
          <w:color w:val="000000"/>
          <w:sz w:val="24"/>
          <w:szCs w:val="24"/>
        </w:rPr>
        <w:t xml:space="preserve">’ shows that the participation rights of children with </w:t>
      </w:r>
      <w:r w:rsidRPr="00016A70">
        <w:rPr>
          <w:rFonts w:cs="DaxlinePro-Regular"/>
          <w:color w:val="000000"/>
          <w:sz w:val="24"/>
          <w:szCs w:val="24"/>
        </w:rPr>
        <w:lastRenderedPageBreak/>
        <w:t>disabilities, and other vulnerable groups of children, are often overlooked or under</w:t>
      </w:r>
      <w:r w:rsidRPr="00016A70">
        <w:rPr>
          <w:rFonts w:cs="DaxlinePro-Regular"/>
          <w:color w:val="000000"/>
          <w:sz w:val="24"/>
          <w:szCs w:val="24"/>
        </w:rPr>
        <w:noBreakHyphen/>
        <w:t>valued, for example in institutional care.</w:t>
      </w:r>
      <w:r w:rsidRPr="00016A70">
        <w:rPr>
          <w:rStyle w:val="A13"/>
          <w:sz w:val="24"/>
          <w:szCs w:val="24"/>
        </w:rPr>
        <w:t xml:space="preserve"> </w:t>
      </w:r>
      <w:r w:rsidRPr="00016A70">
        <w:rPr>
          <w:rFonts w:cs="DaxlinePro-Regular"/>
          <w:color w:val="000000"/>
          <w:sz w:val="24"/>
          <w:szCs w:val="24"/>
        </w:rPr>
        <w:t>The study suggests that very few countries have legislation recognising chil</w:t>
      </w:r>
      <w:r w:rsidRPr="00016A70">
        <w:rPr>
          <w:rFonts w:cs="DaxlinePro-Regular"/>
          <w:color w:val="000000"/>
          <w:sz w:val="24"/>
          <w:szCs w:val="24"/>
        </w:rPr>
        <w:softHyphen/>
        <w:t xml:space="preserve">dren with disabilities’ right to participate. However, it also shows several good examples, such as the Child Protection Act in </w:t>
      </w:r>
      <w:r w:rsidRPr="00016A70">
        <w:rPr>
          <w:rFonts w:cs="DaxlinePro-Regular"/>
          <w:b/>
          <w:color w:val="000000"/>
          <w:sz w:val="24"/>
          <w:szCs w:val="24"/>
        </w:rPr>
        <w:t>Bulgaria</w:t>
      </w:r>
      <w:r w:rsidRPr="00016A70">
        <w:rPr>
          <w:rFonts w:cs="DaxlinePro-Regular"/>
          <w:color w:val="000000"/>
          <w:sz w:val="24"/>
          <w:szCs w:val="24"/>
        </w:rPr>
        <w:t>, which requires the state to undertake special measures to fulfil the rights of chil</w:t>
      </w:r>
      <w:r w:rsidRPr="00016A70">
        <w:rPr>
          <w:rFonts w:cs="DaxlinePro-Regular"/>
          <w:color w:val="000000"/>
          <w:sz w:val="24"/>
          <w:szCs w:val="24"/>
        </w:rPr>
        <w:softHyphen/>
        <w:t>dren who may have difficulty participating.” (p.53)</w:t>
      </w:r>
    </w:p>
    <w:p w14:paraId="3BCCC5C5" w14:textId="360A0942" w:rsidR="00036F2B" w:rsidRPr="00016A70" w:rsidRDefault="009347EA" w:rsidP="00B37D35">
      <w:pPr>
        <w:spacing w:after="0"/>
        <w:rPr>
          <w:rFonts w:cs="DaxlinePro-Regular"/>
          <w:color w:val="000000"/>
          <w:sz w:val="24"/>
          <w:szCs w:val="24"/>
        </w:rPr>
      </w:pPr>
      <w:r w:rsidRPr="00016A70">
        <w:rPr>
          <w:rFonts w:cs="DaxlinePro-Regular"/>
          <w:color w:val="000000"/>
          <w:sz w:val="24"/>
          <w:szCs w:val="24"/>
        </w:rPr>
        <w:t>“Respondents pointed out that society’s negative per</w:t>
      </w:r>
      <w:r w:rsidRPr="00016A70">
        <w:rPr>
          <w:rFonts w:cs="DaxlinePro-Regular"/>
          <w:color w:val="000000"/>
          <w:sz w:val="24"/>
          <w:szCs w:val="24"/>
        </w:rPr>
        <w:softHyphen/>
        <w:t>ceptions of disability may also be tied to economic con</w:t>
      </w:r>
      <w:r w:rsidRPr="00016A70">
        <w:rPr>
          <w:rFonts w:cs="DaxlinePro-Regular"/>
          <w:color w:val="000000"/>
          <w:sz w:val="24"/>
          <w:szCs w:val="24"/>
        </w:rPr>
        <w:softHyphen/>
        <w:t xml:space="preserve">ditions. In fact, several respondents from </w:t>
      </w:r>
      <w:r w:rsidRPr="00016A70">
        <w:rPr>
          <w:rFonts w:cs="DaxlinePro-Regular"/>
          <w:b/>
          <w:color w:val="000000"/>
          <w:sz w:val="24"/>
          <w:szCs w:val="24"/>
        </w:rPr>
        <w:t>Bulgaria</w:t>
      </w:r>
      <w:r w:rsidRPr="00016A70">
        <w:rPr>
          <w:rFonts w:cs="DaxlinePro-Regular"/>
          <w:color w:val="000000"/>
          <w:sz w:val="24"/>
          <w:szCs w:val="24"/>
        </w:rPr>
        <w:t>, the Czech Republic, Denmark, the Netherlands and Sweden maintained that economic hardship and heavier burdens contribute to increased intolerance, which can result in hostility and violence against adults and children with disabilities.”</w:t>
      </w:r>
      <w:r w:rsidR="00036F2B" w:rsidRPr="00016A70">
        <w:rPr>
          <w:rFonts w:cs="DaxlinePro-Regular"/>
          <w:color w:val="000000"/>
          <w:sz w:val="24"/>
          <w:szCs w:val="24"/>
        </w:rPr>
        <w:t xml:space="preserve"> (p.61)</w:t>
      </w:r>
    </w:p>
    <w:p w14:paraId="0206EFEF" w14:textId="22262C2A" w:rsidR="009347EA" w:rsidRPr="003F69A1" w:rsidRDefault="003F69A1" w:rsidP="00B37D35">
      <w:pPr>
        <w:autoSpaceDE w:val="0"/>
        <w:autoSpaceDN w:val="0"/>
        <w:adjustRightInd w:val="0"/>
        <w:spacing w:after="0"/>
        <w:rPr>
          <w:rStyle w:val="A7"/>
          <w:rFonts w:eastAsia="DaxlinePro-Regular"/>
          <w:sz w:val="24"/>
          <w:szCs w:val="24"/>
        </w:rPr>
      </w:pPr>
      <w:r>
        <w:rPr>
          <w:rFonts w:eastAsia="DaxlinePro-Regular" w:cs="DaxlinePro-Regular"/>
          <w:color w:val="000000"/>
          <w:sz w:val="24"/>
          <w:szCs w:val="24"/>
        </w:rPr>
        <w:t>“</w:t>
      </w:r>
      <w:r w:rsidR="009347EA" w:rsidRPr="00016A70">
        <w:rPr>
          <w:rFonts w:eastAsia="DaxlinePro-Regular" w:cs="DaxlinePro-Regular"/>
          <w:color w:val="000000"/>
          <w:sz w:val="24"/>
          <w:szCs w:val="24"/>
        </w:rPr>
        <w:t xml:space="preserve">When asked to identify the key measure to prevent violence against children with disabilities, an expert from the </w:t>
      </w:r>
      <w:r w:rsidR="009347EA" w:rsidRPr="00016A70">
        <w:rPr>
          <w:rFonts w:eastAsia="DaxlinePro-Regular" w:cs="DaxlinePro-Regular"/>
          <w:b/>
          <w:color w:val="000000"/>
          <w:sz w:val="24"/>
          <w:szCs w:val="24"/>
        </w:rPr>
        <w:t>Bulgarian</w:t>
      </w:r>
      <w:r>
        <w:rPr>
          <w:rFonts w:eastAsia="DaxlinePro-Regular" w:cs="DaxlinePro-Regular"/>
          <w:color w:val="000000"/>
          <w:sz w:val="24"/>
          <w:szCs w:val="24"/>
        </w:rPr>
        <w:t xml:space="preserve"> Ombudsperson office replied: </w:t>
      </w:r>
      <w:r w:rsidR="00036F2B" w:rsidRPr="00016A70">
        <w:rPr>
          <w:rFonts w:eastAsia="DaxlinePro-RegularItalic" w:cs="DaxlinePro-RegularItalic"/>
          <w:i/>
          <w:iCs/>
          <w:color w:val="000000"/>
          <w:sz w:val="24"/>
          <w:szCs w:val="24"/>
        </w:rPr>
        <w:t xml:space="preserve">“First of all, awareness. There is a great need for systematically raising public awareness, of promoting a change of attitudes by a variety of programmes targeted at all ages… The thing is that the greatest challenge faced by our society nowadays is the fact that we’re failing to meet the new challenges our children have to handle and they lack good examples in their own family.” </w:t>
      </w:r>
      <w:r w:rsidR="00036F2B" w:rsidRPr="00016A70">
        <w:rPr>
          <w:rFonts w:eastAsia="DaxlinePro-Regular" w:cs="DaxlinePro-Regular"/>
          <w:color w:val="000000"/>
          <w:sz w:val="24"/>
          <w:szCs w:val="24"/>
        </w:rPr>
        <w:t xml:space="preserve">(Child rights expert, </w:t>
      </w:r>
      <w:r w:rsidR="00036F2B" w:rsidRPr="00016A70">
        <w:rPr>
          <w:rFonts w:eastAsia="DaxlinePro-Regular" w:cs="DaxlinePro-Regular"/>
          <w:b/>
          <w:color w:val="000000"/>
          <w:sz w:val="24"/>
          <w:szCs w:val="24"/>
        </w:rPr>
        <w:t>Bulgaria</w:t>
      </w:r>
      <w:r w:rsidR="00036F2B" w:rsidRPr="00016A70">
        <w:rPr>
          <w:rFonts w:eastAsia="DaxlinePro-Regular" w:cs="DaxlinePro-Regular"/>
          <w:color w:val="000000"/>
          <w:sz w:val="24"/>
          <w:szCs w:val="24"/>
        </w:rPr>
        <w:t>). (p.62)</w:t>
      </w:r>
    </w:p>
    <w:p w14:paraId="06A37A79" w14:textId="6A2C6770" w:rsidR="009347EA" w:rsidRPr="00016A70" w:rsidRDefault="00AE3ADA" w:rsidP="00B37D35">
      <w:pPr>
        <w:spacing w:after="0"/>
        <w:rPr>
          <w:rFonts w:cs="DaxlinePro-Regular"/>
          <w:color w:val="000000"/>
          <w:sz w:val="24"/>
          <w:szCs w:val="24"/>
        </w:rPr>
      </w:pPr>
      <w:r>
        <w:rPr>
          <w:rFonts w:cs="DaxlinePro-Regular"/>
          <w:color w:val="000000"/>
          <w:sz w:val="24"/>
          <w:szCs w:val="24"/>
        </w:rPr>
        <w:t>“</w:t>
      </w:r>
      <w:r w:rsidR="00036F2B" w:rsidRPr="00016A70">
        <w:rPr>
          <w:rFonts w:cs="DaxlinePro-Regular"/>
          <w:color w:val="000000"/>
          <w:sz w:val="24"/>
          <w:szCs w:val="24"/>
        </w:rPr>
        <w:t xml:space="preserve">Several respondents, notably in </w:t>
      </w:r>
      <w:r w:rsidR="00036F2B" w:rsidRPr="00016A70">
        <w:rPr>
          <w:rFonts w:cs="DaxlinePro-Regular"/>
          <w:b/>
          <w:color w:val="000000"/>
          <w:sz w:val="24"/>
          <w:szCs w:val="24"/>
        </w:rPr>
        <w:t>Bulgaria</w:t>
      </w:r>
      <w:r w:rsidR="00036F2B" w:rsidRPr="00016A70">
        <w:rPr>
          <w:rFonts w:cs="DaxlinePro-Regular"/>
          <w:color w:val="000000"/>
          <w:sz w:val="24"/>
          <w:szCs w:val="24"/>
        </w:rPr>
        <w:t>, Croatia, the Czech Republic and Lithuania, deemed the social isola</w:t>
      </w:r>
      <w:r w:rsidR="00036F2B" w:rsidRPr="00016A70">
        <w:rPr>
          <w:rFonts w:cs="DaxlinePro-Regular"/>
          <w:color w:val="000000"/>
          <w:sz w:val="24"/>
          <w:szCs w:val="24"/>
        </w:rPr>
        <w:softHyphen/>
        <w:t>tion of children with disabilities in the past a trigger of violence and hostile societal attitudes.</w:t>
      </w:r>
      <w:r>
        <w:rPr>
          <w:rFonts w:cs="DaxlinePro-Regular"/>
          <w:color w:val="000000"/>
          <w:sz w:val="24"/>
          <w:szCs w:val="24"/>
        </w:rPr>
        <w:t>”</w:t>
      </w:r>
      <w:r w:rsidR="00036F2B" w:rsidRPr="00016A70">
        <w:rPr>
          <w:rFonts w:cs="DaxlinePro-Regular"/>
          <w:color w:val="000000"/>
          <w:sz w:val="24"/>
          <w:szCs w:val="24"/>
        </w:rPr>
        <w:t xml:space="preserve"> (p.62)</w:t>
      </w:r>
    </w:p>
    <w:p w14:paraId="3A1209DC" w14:textId="1A16A85A" w:rsidR="002A1817" w:rsidRPr="00016A70" w:rsidRDefault="002A1817" w:rsidP="00B37D35">
      <w:pPr>
        <w:spacing w:after="0"/>
        <w:rPr>
          <w:rFonts w:cs="DaxlinePro-Regular"/>
          <w:color w:val="000000"/>
          <w:sz w:val="24"/>
          <w:szCs w:val="24"/>
        </w:rPr>
      </w:pPr>
      <w:r w:rsidRPr="00016A70">
        <w:rPr>
          <w:rFonts w:cs="DaxlinePro-Regular"/>
          <w:color w:val="000000"/>
          <w:sz w:val="24"/>
          <w:szCs w:val="24"/>
        </w:rPr>
        <w:t>“</w:t>
      </w:r>
      <w:r w:rsidRPr="00016A70">
        <w:rPr>
          <w:rFonts w:cs="DaxlinePro-Regular"/>
          <w:i/>
          <w:color w:val="000000"/>
          <w:sz w:val="24"/>
          <w:szCs w:val="24"/>
        </w:rPr>
        <w:t>The mind set in society is most difficult and slow to change through the years. These children were hidden for long years. They were usually hidden in institutions, away from populated areas […] and society; even our children are not used to seeing them, to accepting them.</w:t>
      </w:r>
      <w:r w:rsidRPr="00016A70">
        <w:rPr>
          <w:rFonts w:cs="DaxlinePro-Regular"/>
          <w:color w:val="000000"/>
          <w:sz w:val="24"/>
          <w:szCs w:val="24"/>
        </w:rPr>
        <w:t xml:space="preserve">” (Children’s advisor and expert, </w:t>
      </w:r>
      <w:r w:rsidRPr="00016A70">
        <w:rPr>
          <w:rFonts w:cs="DaxlinePro-Regular"/>
          <w:b/>
          <w:color w:val="000000"/>
          <w:sz w:val="24"/>
          <w:szCs w:val="24"/>
        </w:rPr>
        <w:t>Bulgaria</w:t>
      </w:r>
      <w:r w:rsidRPr="00016A70">
        <w:rPr>
          <w:rFonts w:cs="DaxlinePro-Regular"/>
          <w:color w:val="000000"/>
          <w:sz w:val="24"/>
          <w:szCs w:val="24"/>
        </w:rPr>
        <w:t>) (p.63)</w:t>
      </w:r>
    </w:p>
    <w:p w14:paraId="17DBD2AF" w14:textId="34341A7C" w:rsidR="002A1817" w:rsidRPr="00016A70" w:rsidRDefault="00AE3ADA" w:rsidP="00B37D35">
      <w:pPr>
        <w:spacing w:after="0"/>
        <w:rPr>
          <w:rFonts w:cs="DaxlinePro-Regular"/>
          <w:color w:val="000000"/>
          <w:sz w:val="24"/>
          <w:szCs w:val="24"/>
        </w:rPr>
      </w:pPr>
      <w:r>
        <w:rPr>
          <w:rFonts w:cs="DaxlinePro-Regular"/>
          <w:color w:val="000000"/>
          <w:sz w:val="24"/>
          <w:szCs w:val="24"/>
        </w:rPr>
        <w:t>“</w:t>
      </w:r>
      <w:r w:rsidR="002A1817" w:rsidRPr="00016A70">
        <w:rPr>
          <w:rFonts w:cs="DaxlinePro-Regular"/>
          <w:color w:val="000000"/>
          <w:sz w:val="24"/>
          <w:szCs w:val="24"/>
        </w:rPr>
        <w:t>Violence and hostility towards children with disabili</w:t>
      </w:r>
      <w:r w:rsidR="002A1817" w:rsidRPr="00016A70">
        <w:rPr>
          <w:rFonts w:cs="DaxlinePro-Regular"/>
          <w:color w:val="000000"/>
          <w:sz w:val="24"/>
          <w:szCs w:val="24"/>
        </w:rPr>
        <w:softHyphen/>
        <w:t xml:space="preserve">ties also occur in domestic settings. Respondents from various countries, notably </w:t>
      </w:r>
      <w:r w:rsidR="002A1817" w:rsidRPr="00016A70">
        <w:rPr>
          <w:rFonts w:cs="DaxlinePro-Regular"/>
          <w:b/>
          <w:color w:val="000000"/>
          <w:sz w:val="24"/>
          <w:szCs w:val="24"/>
        </w:rPr>
        <w:t>Bulgaria</w:t>
      </w:r>
      <w:r w:rsidR="002A1817" w:rsidRPr="00016A70">
        <w:rPr>
          <w:rFonts w:cs="DaxlinePro-Regular"/>
          <w:color w:val="000000"/>
          <w:sz w:val="24"/>
          <w:szCs w:val="24"/>
        </w:rPr>
        <w:t>, Croatia, Lithuania, Portugal and Sweden, noted that the burden families and carers of children with disabilities may experience can contribute to domestic violence.</w:t>
      </w:r>
      <w:r>
        <w:rPr>
          <w:rFonts w:cs="DaxlinePro-Regular"/>
          <w:color w:val="000000"/>
          <w:sz w:val="24"/>
          <w:szCs w:val="24"/>
        </w:rPr>
        <w:t>”</w:t>
      </w:r>
      <w:r w:rsidR="002A1817" w:rsidRPr="00016A70">
        <w:rPr>
          <w:rFonts w:cs="DaxlinePro-Regular"/>
          <w:color w:val="000000"/>
          <w:sz w:val="24"/>
          <w:szCs w:val="24"/>
        </w:rPr>
        <w:t xml:space="preserve"> (p.65)</w:t>
      </w:r>
    </w:p>
    <w:p w14:paraId="6750F294" w14:textId="77FB9FF4" w:rsidR="002A1817" w:rsidRPr="00016A70" w:rsidRDefault="00AE3ADA" w:rsidP="00B37D35">
      <w:pPr>
        <w:spacing w:after="0"/>
        <w:rPr>
          <w:rFonts w:cs="DaxlinePro-Regular"/>
          <w:color w:val="000000"/>
          <w:sz w:val="24"/>
          <w:szCs w:val="24"/>
        </w:rPr>
      </w:pPr>
      <w:r>
        <w:rPr>
          <w:rFonts w:cs="DaxlinePro-Regular"/>
          <w:color w:val="000000"/>
          <w:sz w:val="24"/>
          <w:szCs w:val="24"/>
        </w:rPr>
        <w:lastRenderedPageBreak/>
        <w:t>“</w:t>
      </w:r>
      <w:r w:rsidR="002A1817" w:rsidRPr="00016A70">
        <w:rPr>
          <w:rFonts w:cs="DaxlinePro-Regular"/>
          <w:color w:val="000000"/>
          <w:sz w:val="24"/>
          <w:szCs w:val="24"/>
        </w:rPr>
        <w:t xml:space="preserve">Respondents from various countries, including Austria, </w:t>
      </w:r>
      <w:r w:rsidR="002A1817" w:rsidRPr="00016A70">
        <w:rPr>
          <w:rFonts w:cs="DaxlinePro-Regular"/>
          <w:b/>
          <w:color w:val="000000"/>
          <w:sz w:val="24"/>
          <w:szCs w:val="24"/>
        </w:rPr>
        <w:t>Bulgaria</w:t>
      </w:r>
      <w:r w:rsidR="002A1817" w:rsidRPr="00016A70">
        <w:rPr>
          <w:rFonts w:cs="DaxlinePro-Regular"/>
          <w:color w:val="000000"/>
          <w:sz w:val="24"/>
          <w:szCs w:val="24"/>
        </w:rPr>
        <w:t>, the Czech Republic, Croatia, Italy and Sweden, emphasised that family support is crucial for prevent</w:t>
      </w:r>
      <w:r w:rsidR="002A1817" w:rsidRPr="00016A70">
        <w:rPr>
          <w:rFonts w:cs="DaxlinePro-Regular"/>
          <w:color w:val="000000"/>
          <w:sz w:val="24"/>
          <w:szCs w:val="24"/>
        </w:rPr>
        <w:softHyphen/>
        <w:t>ing domestic violence caused by the overburdening of parents.</w:t>
      </w:r>
      <w:r>
        <w:rPr>
          <w:rFonts w:cs="DaxlinePro-Regular"/>
          <w:color w:val="000000"/>
          <w:sz w:val="24"/>
          <w:szCs w:val="24"/>
        </w:rPr>
        <w:t>”</w:t>
      </w:r>
      <w:r w:rsidR="002A1817" w:rsidRPr="00016A70">
        <w:rPr>
          <w:rFonts w:cs="DaxlinePro-Regular"/>
          <w:color w:val="000000"/>
          <w:sz w:val="24"/>
          <w:szCs w:val="24"/>
        </w:rPr>
        <w:t xml:space="preserve"> (p.65)</w:t>
      </w:r>
    </w:p>
    <w:p w14:paraId="0A51C2FC" w14:textId="3FF97E3D" w:rsidR="00036F2B" w:rsidRPr="00016A70" w:rsidRDefault="002A1817" w:rsidP="00B37D35">
      <w:pPr>
        <w:spacing w:after="0"/>
        <w:rPr>
          <w:rFonts w:eastAsia="DaxlinePro-Regular" w:cs="DaxlinePro-Regular"/>
          <w:color w:val="000000"/>
          <w:sz w:val="24"/>
          <w:szCs w:val="24"/>
        </w:rPr>
      </w:pPr>
      <w:r w:rsidRPr="00016A70">
        <w:rPr>
          <w:rFonts w:eastAsia="DaxlinePro-Regular" w:cs="DaxlinePro-Regular"/>
          <w:color w:val="000000"/>
          <w:sz w:val="24"/>
          <w:szCs w:val="24"/>
        </w:rPr>
        <w:t>“</w:t>
      </w:r>
      <w:r w:rsidRPr="00016A70">
        <w:rPr>
          <w:rFonts w:eastAsia="DaxlinePro-Regular" w:cs="DaxlinePro-Regular"/>
          <w:i/>
          <w:color w:val="000000"/>
          <w:sz w:val="24"/>
          <w:szCs w:val="24"/>
        </w:rPr>
        <w:t>Some teachers are willing to provide [support], but they really feel quite alone</w:t>
      </w:r>
      <w:r w:rsidRPr="00016A70">
        <w:rPr>
          <w:rFonts w:eastAsia="DaxlinePro-Regular" w:cs="DaxlinePro-Regular"/>
          <w:color w:val="000000"/>
          <w:sz w:val="24"/>
          <w:szCs w:val="24"/>
        </w:rPr>
        <w:t xml:space="preserve">.” (Public authority representative, </w:t>
      </w:r>
      <w:r w:rsidRPr="00016A70">
        <w:rPr>
          <w:rFonts w:eastAsia="DaxlinePro-Regular" w:cs="DaxlinePro-Regular"/>
          <w:b/>
          <w:color w:val="000000"/>
          <w:sz w:val="24"/>
          <w:szCs w:val="24"/>
        </w:rPr>
        <w:t>Bulgaria</w:t>
      </w:r>
      <w:r w:rsidRPr="00016A70">
        <w:rPr>
          <w:rFonts w:eastAsia="DaxlinePro-Regular" w:cs="DaxlinePro-Regular"/>
          <w:color w:val="000000"/>
          <w:sz w:val="24"/>
          <w:szCs w:val="24"/>
        </w:rPr>
        <w:t>) (p.65)</w:t>
      </w:r>
    </w:p>
    <w:p w14:paraId="616CBEC1" w14:textId="4B03E35D" w:rsidR="002A1817" w:rsidRPr="00016A70" w:rsidRDefault="002A1817" w:rsidP="00B37D35">
      <w:pPr>
        <w:spacing w:after="0"/>
        <w:rPr>
          <w:rFonts w:eastAsia="DaxlinePro-Regular" w:cs="DaxlinePro-Regular"/>
          <w:color w:val="000000"/>
          <w:sz w:val="24"/>
          <w:szCs w:val="24"/>
        </w:rPr>
      </w:pPr>
      <w:r w:rsidRPr="00016A70">
        <w:rPr>
          <w:rFonts w:eastAsia="DaxlinePro-Regular" w:cs="DaxlinePro-Regular"/>
          <w:color w:val="000000"/>
          <w:sz w:val="24"/>
          <w:szCs w:val="24"/>
        </w:rPr>
        <w:t>“</w:t>
      </w:r>
      <w:r w:rsidRPr="00AE3ADA">
        <w:rPr>
          <w:rFonts w:eastAsia="DaxlinePro-Regular" w:cs="DaxlinePro-Regular"/>
          <w:i/>
          <w:color w:val="000000"/>
          <w:sz w:val="24"/>
          <w:szCs w:val="24"/>
        </w:rPr>
        <w:t>In the first place, according to me, every child with mental disability is at risk. I have lots of observations in my work at the crisis centre. People with disabilities are regular clients there as victims of trafficking. And this is not a single case, this is massive.</w:t>
      </w:r>
      <w:r w:rsidRPr="00016A70">
        <w:rPr>
          <w:rFonts w:eastAsia="DaxlinePro-Regular" w:cs="DaxlinePro-Regular"/>
          <w:color w:val="000000"/>
          <w:sz w:val="24"/>
          <w:szCs w:val="24"/>
        </w:rPr>
        <w:t xml:space="preserve">” (Therapist working with children who are victims of violence, </w:t>
      </w:r>
      <w:r w:rsidRPr="00016A70">
        <w:rPr>
          <w:rFonts w:eastAsia="DaxlinePro-Regular" w:cs="DaxlinePro-Regular"/>
          <w:b/>
          <w:color w:val="000000"/>
          <w:sz w:val="24"/>
          <w:szCs w:val="24"/>
        </w:rPr>
        <w:t>Bulgaria</w:t>
      </w:r>
      <w:r w:rsidRPr="00016A70">
        <w:rPr>
          <w:rFonts w:eastAsia="DaxlinePro-Regular" w:cs="DaxlinePro-Regular"/>
          <w:color w:val="000000"/>
          <w:sz w:val="24"/>
          <w:szCs w:val="24"/>
        </w:rPr>
        <w:t>) (p.66)</w:t>
      </w:r>
    </w:p>
    <w:p w14:paraId="33B50844" w14:textId="48EC0A12" w:rsidR="00C4175B" w:rsidRDefault="00AE3ADA" w:rsidP="00B37D35">
      <w:pPr>
        <w:spacing w:after="0"/>
        <w:rPr>
          <w:rFonts w:eastAsia="DaxlinePro-RegularItalic" w:cs="DaxlinePro-RegularItalic"/>
          <w:color w:val="000000"/>
          <w:sz w:val="24"/>
          <w:szCs w:val="24"/>
        </w:rPr>
      </w:pPr>
      <w:r>
        <w:rPr>
          <w:rFonts w:eastAsia="DaxlinePro-RegularItalic" w:cs="DaxlinePro-RegularItalic"/>
          <w:color w:val="000000"/>
          <w:sz w:val="24"/>
          <w:szCs w:val="24"/>
        </w:rPr>
        <w:t>“</w:t>
      </w:r>
      <w:r w:rsidR="002A1817" w:rsidRPr="00016A70">
        <w:rPr>
          <w:rFonts w:eastAsia="DaxlinePro-RegularItalic" w:cs="DaxlinePro-RegularItalic"/>
          <w:color w:val="000000"/>
          <w:sz w:val="24"/>
          <w:szCs w:val="24"/>
        </w:rPr>
        <w:t xml:space="preserve">A respondent from </w:t>
      </w:r>
      <w:r w:rsidR="002A1817" w:rsidRPr="00C4175B">
        <w:rPr>
          <w:rFonts w:eastAsia="DaxlinePro-RegularItalic" w:cs="DaxlinePro-RegularItalic"/>
          <w:b/>
          <w:color w:val="000000"/>
          <w:sz w:val="24"/>
          <w:szCs w:val="24"/>
        </w:rPr>
        <w:t>Bulgaria</w:t>
      </w:r>
      <w:r w:rsidR="002A1817" w:rsidRPr="00016A70">
        <w:rPr>
          <w:rFonts w:eastAsia="DaxlinePro-RegularItalic" w:cs="DaxlinePro-RegularItalic"/>
          <w:color w:val="000000"/>
          <w:sz w:val="24"/>
          <w:szCs w:val="24"/>
        </w:rPr>
        <w:t xml:space="preserve"> spoke about shame felt not only by parents but also by the child him/herself, pointing to a culture that makes both children and parents feel as if “they don’t deserve any better</w:t>
      </w:r>
      <w:r w:rsidR="00AF5A6F">
        <w:rPr>
          <w:rFonts w:eastAsia="DaxlinePro-RegularItalic" w:cs="DaxlinePro-RegularItalic"/>
          <w:color w:val="000000"/>
          <w:sz w:val="24"/>
          <w:szCs w:val="24"/>
        </w:rPr>
        <w:t>.”</w:t>
      </w:r>
      <w:r w:rsidR="002A1817" w:rsidRPr="00016A70">
        <w:rPr>
          <w:rFonts w:eastAsia="DaxlinePro-RegularItalic" w:cs="DaxlinePro-RegularItalic"/>
          <w:color w:val="000000"/>
          <w:sz w:val="24"/>
          <w:szCs w:val="24"/>
        </w:rPr>
        <w:t xml:space="preserve"> </w:t>
      </w:r>
      <w:r w:rsidR="00D4104D" w:rsidRPr="00016A70">
        <w:rPr>
          <w:rFonts w:eastAsia="DaxlinePro-RegularItalic" w:cs="DaxlinePro-RegularItalic"/>
          <w:color w:val="000000"/>
          <w:sz w:val="24"/>
          <w:szCs w:val="24"/>
        </w:rPr>
        <w:t>(p.69)</w:t>
      </w:r>
    </w:p>
    <w:p w14:paraId="15AD540B" w14:textId="15133B2A" w:rsidR="00D4104D" w:rsidRPr="00C4175B" w:rsidRDefault="00D4104D" w:rsidP="00B37D35">
      <w:pPr>
        <w:spacing w:after="0"/>
        <w:rPr>
          <w:rFonts w:eastAsia="DaxlinePro-RegularItalic" w:cs="DaxlinePro-RegularItalic"/>
          <w:color w:val="000000"/>
          <w:sz w:val="24"/>
          <w:szCs w:val="24"/>
        </w:rPr>
      </w:pPr>
      <w:r w:rsidRPr="00D4104D">
        <w:rPr>
          <w:rFonts w:eastAsia="DaxlinePro-RegularItalic" w:cs="DaxlinePro-RegularItalic"/>
          <w:i/>
          <w:iCs/>
          <w:color w:val="000000"/>
          <w:sz w:val="24"/>
          <w:szCs w:val="24"/>
        </w:rPr>
        <w:t xml:space="preserve">“[S]erious forms of violence are met at schools as usually older students harass younger ones or children who are physically weaker or shyer than other children, so such negative acts are actually a result of complex reasons and influences, where a particularly important factor is attitudes in society and tolerance towards violence.” </w:t>
      </w:r>
      <w:r w:rsidRPr="00D4104D">
        <w:rPr>
          <w:rFonts w:eastAsia="DaxlinePro-Regular" w:cs="DaxlinePro-Regular"/>
          <w:color w:val="000000"/>
          <w:sz w:val="24"/>
          <w:szCs w:val="24"/>
        </w:rPr>
        <w:t xml:space="preserve">(Ministry official, </w:t>
      </w:r>
      <w:r w:rsidRPr="00D4104D">
        <w:rPr>
          <w:rFonts w:eastAsia="DaxlinePro-Regular" w:cs="DaxlinePro-Regular"/>
          <w:b/>
          <w:color w:val="000000"/>
          <w:sz w:val="24"/>
          <w:szCs w:val="24"/>
        </w:rPr>
        <w:t>Bulgaria</w:t>
      </w:r>
      <w:r w:rsidRPr="00D4104D">
        <w:rPr>
          <w:rFonts w:eastAsia="DaxlinePro-Regular" w:cs="DaxlinePro-Regular"/>
          <w:color w:val="000000"/>
          <w:sz w:val="24"/>
          <w:szCs w:val="24"/>
        </w:rPr>
        <w:t xml:space="preserve">) </w:t>
      </w:r>
      <w:r w:rsidRPr="00016A70">
        <w:rPr>
          <w:rFonts w:eastAsia="DaxlinePro-Regular" w:cs="DaxlinePro-Regular"/>
          <w:color w:val="000000"/>
          <w:sz w:val="24"/>
          <w:szCs w:val="24"/>
        </w:rPr>
        <w:t>(p.70)</w:t>
      </w:r>
    </w:p>
    <w:p w14:paraId="357DF9C2" w14:textId="61340084" w:rsidR="00D4104D" w:rsidRPr="00016A70" w:rsidRDefault="00AE3ADA" w:rsidP="00B37D35">
      <w:pPr>
        <w:autoSpaceDE w:val="0"/>
        <w:autoSpaceDN w:val="0"/>
        <w:adjustRightInd w:val="0"/>
        <w:spacing w:after="0"/>
        <w:rPr>
          <w:rFonts w:cs="DaxlinePro-Regular"/>
          <w:color w:val="000000"/>
          <w:sz w:val="24"/>
          <w:szCs w:val="24"/>
        </w:rPr>
      </w:pPr>
      <w:r>
        <w:rPr>
          <w:rFonts w:cs="DaxlinePro-Regular"/>
          <w:color w:val="000000"/>
          <w:sz w:val="24"/>
          <w:szCs w:val="24"/>
        </w:rPr>
        <w:t>“</w:t>
      </w:r>
      <w:r w:rsidR="00D4104D" w:rsidRPr="00016A70">
        <w:rPr>
          <w:rFonts w:cs="DaxlinePro-Regular"/>
          <w:color w:val="000000"/>
          <w:sz w:val="24"/>
          <w:szCs w:val="24"/>
        </w:rPr>
        <w:t xml:space="preserve">Stakeholders in several EU countries – specifically, </w:t>
      </w:r>
      <w:r w:rsidR="00D4104D" w:rsidRPr="00016A70">
        <w:rPr>
          <w:rFonts w:cs="DaxlinePro-Regular"/>
          <w:b/>
          <w:color w:val="000000"/>
          <w:sz w:val="24"/>
          <w:szCs w:val="24"/>
        </w:rPr>
        <w:t>Bul</w:t>
      </w:r>
      <w:r w:rsidR="00D4104D" w:rsidRPr="00016A70">
        <w:rPr>
          <w:rFonts w:cs="DaxlinePro-Regular"/>
          <w:b/>
          <w:color w:val="000000"/>
          <w:sz w:val="24"/>
          <w:szCs w:val="24"/>
        </w:rPr>
        <w:softHyphen/>
        <w:t>garia</w:t>
      </w:r>
      <w:r w:rsidR="00D4104D" w:rsidRPr="00016A70">
        <w:rPr>
          <w:rFonts w:cs="DaxlinePro-Regular"/>
          <w:color w:val="000000"/>
          <w:sz w:val="24"/>
          <w:szCs w:val="24"/>
        </w:rPr>
        <w:t>, the Czech Republic and Lithuania – voiced the concern that children with disabilities are included in mainstream schools without appropriate mechanisms to ensure a safe environment. A lack of such mechanisms can put children with disabilities at risk of violence.</w:t>
      </w:r>
      <w:r>
        <w:rPr>
          <w:rFonts w:cs="DaxlinePro-Regular"/>
          <w:color w:val="000000"/>
          <w:sz w:val="24"/>
          <w:szCs w:val="24"/>
        </w:rPr>
        <w:t>”</w:t>
      </w:r>
      <w:r w:rsidR="00D4104D" w:rsidRPr="00016A70">
        <w:rPr>
          <w:rFonts w:cs="DaxlinePro-Regular"/>
          <w:color w:val="000000"/>
          <w:sz w:val="24"/>
          <w:szCs w:val="24"/>
        </w:rPr>
        <w:t xml:space="preserve"> (p.71)</w:t>
      </w:r>
    </w:p>
    <w:p w14:paraId="447EE8DC" w14:textId="7670D0AC" w:rsidR="00D4104D" w:rsidRPr="00016A70" w:rsidRDefault="00AE3ADA" w:rsidP="00B37D35">
      <w:pPr>
        <w:autoSpaceDE w:val="0"/>
        <w:autoSpaceDN w:val="0"/>
        <w:adjustRightInd w:val="0"/>
        <w:spacing w:after="0"/>
        <w:rPr>
          <w:rFonts w:cs="DaxlinePro-Regular"/>
          <w:color w:val="000000"/>
          <w:sz w:val="24"/>
          <w:szCs w:val="24"/>
        </w:rPr>
      </w:pPr>
      <w:r>
        <w:rPr>
          <w:rFonts w:cs="DaxlinePro-Regular"/>
          <w:color w:val="000000"/>
          <w:sz w:val="24"/>
          <w:szCs w:val="24"/>
        </w:rPr>
        <w:t>“</w:t>
      </w:r>
      <w:r w:rsidR="00D4104D" w:rsidRPr="00016A70">
        <w:rPr>
          <w:rFonts w:cs="DaxlinePro-Regular"/>
          <w:color w:val="000000"/>
          <w:sz w:val="24"/>
          <w:szCs w:val="24"/>
        </w:rPr>
        <w:t xml:space="preserve">Respondents in Austria and </w:t>
      </w:r>
      <w:r w:rsidR="00D4104D" w:rsidRPr="00C4175B">
        <w:rPr>
          <w:rFonts w:cs="DaxlinePro-Regular"/>
          <w:b/>
          <w:color w:val="000000"/>
          <w:sz w:val="24"/>
          <w:szCs w:val="24"/>
        </w:rPr>
        <w:t>Bulgaria</w:t>
      </w:r>
      <w:r w:rsidR="00D4104D" w:rsidRPr="00016A70">
        <w:rPr>
          <w:rFonts w:cs="DaxlinePro-Regular"/>
          <w:color w:val="000000"/>
          <w:sz w:val="24"/>
          <w:szCs w:val="24"/>
        </w:rPr>
        <w:t xml:space="preserve"> also indicated that, where an integration/resource teacher accompanies a child with a disability in class, some teachers may not feel “respon</w:t>
      </w:r>
      <w:r w:rsidR="00D4104D" w:rsidRPr="00016A70">
        <w:rPr>
          <w:rFonts w:cs="DaxlinePro-Regular"/>
          <w:color w:val="000000"/>
          <w:sz w:val="24"/>
          <w:szCs w:val="24"/>
        </w:rPr>
        <w:softHyphen/>
        <w:t>sible” for such students and may disregard them in the educational process and hinder their inclusion in class.</w:t>
      </w:r>
      <w:r>
        <w:rPr>
          <w:rFonts w:cs="DaxlinePro-Regular"/>
          <w:color w:val="000000"/>
          <w:sz w:val="24"/>
          <w:szCs w:val="24"/>
        </w:rPr>
        <w:t>”</w:t>
      </w:r>
      <w:r w:rsidR="00D4104D" w:rsidRPr="00016A70">
        <w:rPr>
          <w:rFonts w:cs="DaxlinePro-Regular"/>
          <w:color w:val="000000"/>
          <w:sz w:val="24"/>
          <w:szCs w:val="24"/>
        </w:rPr>
        <w:t xml:space="preserve"> (p.73)</w:t>
      </w:r>
    </w:p>
    <w:p w14:paraId="0D4CCB7D" w14:textId="7E63C8E9" w:rsidR="00D4104D" w:rsidRPr="00016A70" w:rsidRDefault="00AE3ADA" w:rsidP="00B37D35">
      <w:pPr>
        <w:autoSpaceDE w:val="0"/>
        <w:autoSpaceDN w:val="0"/>
        <w:adjustRightInd w:val="0"/>
        <w:spacing w:after="0"/>
        <w:rPr>
          <w:rFonts w:eastAsia="DaxlinePro-RegularItalic" w:cs="DaxlinePro-RegularItalic"/>
          <w:color w:val="000000"/>
          <w:sz w:val="24"/>
          <w:szCs w:val="24"/>
        </w:rPr>
      </w:pPr>
      <w:r>
        <w:rPr>
          <w:rFonts w:cs="DaxlinePro-Regular"/>
          <w:color w:val="000000"/>
          <w:sz w:val="24"/>
          <w:szCs w:val="24"/>
        </w:rPr>
        <w:t>“</w:t>
      </w:r>
      <w:r w:rsidR="00D4104D" w:rsidRPr="00016A70">
        <w:rPr>
          <w:rFonts w:cs="DaxlinePro-Regular"/>
          <w:color w:val="000000"/>
          <w:sz w:val="24"/>
          <w:szCs w:val="24"/>
        </w:rPr>
        <w:t xml:space="preserve">In several countries – </w:t>
      </w:r>
      <w:r w:rsidR="00D4104D" w:rsidRPr="00C4175B">
        <w:rPr>
          <w:rFonts w:cs="DaxlinePro-Regular"/>
          <w:b/>
          <w:color w:val="000000"/>
          <w:sz w:val="24"/>
          <w:szCs w:val="24"/>
        </w:rPr>
        <w:t>Bulgaria</w:t>
      </w:r>
      <w:r w:rsidR="00D4104D" w:rsidRPr="00016A70">
        <w:rPr>
          <w:rFonts w:cs="DaxlinePro-Regular"/>
          <w:color w:val="000000"/>
          <w:sz w:val="24"/>
          <w:szCs w:val="24"/>
        </w:rPr>
        <w:t>, Lithuania and Portugal – respondents noted that educational staff sometimes advise parents of children with disabilities to place them in special schools or institutions due to pressure from parents of children without disabilities and/or the ina</w:t>
      </w:r>
      <w:r w:rsidR="00D4104D" w:rsidRPr="00016A70">
        <w:rPr>
          <w:rFonts w:cs="DaxlinePro-Regular"/>
          <w:color w:val="000000"/>
          <w:sz w:val="24"/>
          <w:szCs w:val="24"/>
        </w:rPr>
        <w:softHyphen/>
        <w:t>bility and lack of readiness of some schools to educate and include children with disabilities.</w:t>
      </w:r>
      <w:r>
        <w:rPr>
          <w:rFonts w:cs="DaxlinePro-Regular"/>
          <w:color w:val="000000"/>
          <w:sz w:val="24"/>
          <w:szCs w:val="24"/>
        </w:rPr>
        <w:t>”</w:t>
      </w:r>
      <w:r w:rsidR="00D4104D" w:rsidRPr="00016A70">
        <w:rPr>
          <w:rFonts w:cs="DaxlinePro-Regular"/>
          <w:color w:val="000000"/>
          <w:sz w:val="24"/>
          <w:szCs w:val="24"/>
        </w:rPr>
        <w:t xml:space="preserve"> (p.73)</w:t>
      </w:r>
    </w:p>
    <w:p w14:paraId="466687E9" w14:textId="2A14F3CF" w:rsidR="00116EA9" w:rsidRPr="00016A70" w:rsidRDefault="00D4104D" w:rsidP="00B37D35">
      <w:pPr>
        <w:spacing w:after="0"/>
        <w:rPr>
          <w:rStyle w:val="Hyperlink"/>
          <w:rFonts w:cs="DaxlinePro-RegularItalic"/>
          <w:i/>
          <w:iCs/>
          <w:color w:val="auto"/>
          <w:sz w:val="24"/>
          <w:szCs w:val="24"/>
          <w:u w:val="none"/>
        </w:rPr>
      </w:pPr>
      <w:r w:rsidRPr="00016A70">
        <w:rPr>
          <w:rStyle w:val="Hyperlink"/>
          <w:rFonts w:cs="DaxlinePro-RegularItalic"/>
          <w:i/>
          <w:iCs/>
          <w:color w:val="auto"/>
          <w:sz w:val="24"/>
          <w:szCs w:val="24"/>
          <w:u w:val="none"/>
        </w:rPr>
        <w:lastRenderedPageBreak/>
        <w:t xml:space="preserve">“[I]t is true that children who are now integrated in [mainstream] education face resistance. Parents of other children do not want to have a child with disability in their children’s class.” </w:t>
      </w:r>
      <w:r w:rsidRPr="00AE3ADA">
        <w:rPr>
          <w:rStyle w:val="Hyperlink"/>
          <w:rFonts w:cs="DaxlinePro-RegularItalic"/>
          <w:iCs/>
          <w:color w:val="auto"/>
          <w:sz w:val="24"/>
          <w:szCs w:val="24"/>
          <w:u w:val="none"/>
        </w:rPr>
        <w:t xml:space="preserve">(NHRB representative, </w:t>
      </w:r>
      <w:r w:rsidRPr="00AE3ADA">
        <w:rPr>
          <w:rStyle w:val="Hyperlink"/>
          <w:rFonts w:cs="DaxlinePro-RegularItalic"/>
          <w:b/>
          <w:iCs/>
          <w:color w:val="auto"/>
          <w:sz w:val="24"/>
          <w:szCs w:val="24"/>
          <w:u w:val="none"/>
        </w:rPr>
        <w:t>Bulgaria</w:t>
      </w:r>
      <w:r w:rsidRPr="00AE3ADA">
        <w:rPr>
          <w:rStyle w:val="Hyperlink"/>
          <w:rFonts w:cs="DaxlinePro-RegularItalic"/>
          <w:iCs/>
          <w:color w:val="auto"/>
          <w:sz w:val="24"/>
          <w:szCs w:val="24"/>
          <w:u w:val="none"/>
        </w:rPr>
        <w:t>) (p.73)</w:t>
      </w:r>
    </w:p>
    <w:p w14:paraId="42EF5771" w14:textId="5DA3D87A" w:rsidR="00AE3ADA" w:rsidRDefault="00D4104D" w:rsidP="00B37D35">
      <w:pPr>
        <w:autoSpaceDE w:val="0"/>
        <w:autoSpaceDN w:val="0"/>
        <w:adjustRightInd w:val="0"/>
        <w:spacing w:after="0"/>
        <w:rPr>
          <w:rFonts w:eastAsia="DaxlinePro-Regular" w:cs="DaxlinePro-Regular"/>
          <w:color w:val="000000"/>
          <w:sz w:val="24"/>
          <w:szCs w:val="24"/>
        </w:rPr>
      </w:pPr>
      <w:r w:rsidRPr="00D4104D">
        <w:rPr>
          <w:rFonts w:eastAsia="DaxlinePro-RegularItalic" w:cs="DaxlinePro-RegularItalic"/>
          <w:i/>
          <w:iCs/>
          <w:color w:val="000000"/>
          <w:sz w:val="24"/>
          <w:szCs w:val="24"/>
        </w:rPr>
        <w:t xml:space="preserve">“Very early the children internalise that they are not like the other children, that they are ‘worse’ and ‘more stupid’ because they do not cope with the school material, and that they are spoiled, lazy and, when at school, they already know that they are not worthy.” </w:t>
      </w:r>
      <w:r w:rsidRPr="00D4104D">
        <w:rPr>
          <w:rFonts w:eastAsia="DaxlinePro-Regular" w:cs="DaxlinePro-Regular"/>
          <w:color w:val="000000"/>
          <w:sz w:val="24"/>
          <w:szCs w:val="24"/>
        </w:rPr>
        <w:t xml:space="preserve">(Representative of an NGO working on inclusive education, </w:t>
      </w:r>
      <w:r w:rsidRPr="00D4104D">
        <w:rPr>
          <w:rFonts w:eastAsia="DaxlinePro-Regular" w:cs="DaxlinePro-Regular"/>
          <w:b/>
          <w:color w:val="000000"/>
          <w:sz w:val="24"/>
          <w:szCs w:val="24"/>
        </w:rPr>
        <w:t>Bulgaria</w:t>
      </w:r>
      <w:r w:rsidRPr="00D4104D">
        <w:rPr>
          <w:rFonts w:eastAsia="DaxlinePro-Regular" w:cs="DaxlinePro-Regular"/>
          <w:color w:val="000000"/>
          <w:sz w:val="24"/>
          <w:szCs w:val="24"/>
        </w:rPr>
        <w:t xml:space="preserve">) </w:t>
      </w:r>
      <w:r w:rsidR="00120DCE" w:rsidRPr="00016A70">
        <w:rPr>
          <w:rFonts w:eastAsia="DaxlinePro-Regular" w:cs="DaxlinePro-Regular"/>
          <w:color w:val="000000"/>
          <w:sz w:val="24"/>
          <w:szCs w:val="24"/>
        </w:rPr>
        <w:t>(p.73)</w:t>
      </w:r>
    </w:p>
    <w:p w14:paraId="17A42C8B" w14:textId="48EB9B4E" w:rsidR="00120DCE" w:rsidRPr="00AE3ADA" w:rsidRDefault="00AE3ADA" w:rsidP="00B37D35">
      <w:pPr>
        <w:autoSpaceDE w:val="0"/>
        <w:autoSpaceDN w:val="0"/>
        <w:adjustRightInd w:val="0"/>
        <w:spacing w:after="0"/>
        <w:rPr>
          <w:rFonts w:eastAsia="DaxlinePro-Regular" w:cs="DaxlinePro-Regular"/>
          <w:color w:val="000000"/>
          <w:sz w:val="24"/>
          <w:szCs w:val="24"/>
        </w:rPr>
      </w:pPr>
      <w:r>
        <w:rPr>
          <w:rFonts w:cs="DaxlinePro-Regular"/>
          <w:color w:val="000000"/>
          <w:sz w:val="24"/>
          <w:szCs w:val="24"/>
        </w:rPr>
        <w:t>“</w:t>
      </w:r>
      <w:r w:rsidR="00120DCE" w:rsidRPr="00016A70">
        <w:rPr>
          <w:rFonts w:cs="DaxlinePro-Regular"/>
          <w:color w:val="000000"/>
          <w:sz w:val="24"/>
          <w:szCs w:val="24"/>
        </w:rPr>
        <w:t xml:space="preserve">In 2010, the </w:t>
      </w:r>
      <w:r w:rsidR="00120DCE" w:rsidRPr="00C4175B">
        <w:rPr>
          <w:rFonts w:cs="DaxlinePro-Regular"/>
          <w:b/>
          <w:color w:val="000000"/>
          <w:sz w:val="24"/>
          <w:szCs w:val="24"/>
        </w:rPr>
        <w:t>Bulgarian</w:t>
      </w:r>
      <w:r w:rsidR="00120DCE" w:rsidRPr="00016A70">
        <w:rPr>
          <w:rFonts w:cs="DaxlinePro-Regular"/>
          <w:color w:val="000000"/>
          <w:sz w:val="24"/>
          <w:szCs w:val="24"/>
        </w:rPr>
        <w:t xml:space="preserve"> Helsinki Committee conducted inspections of institutions for children with physical and psychosocial disabilities in conjunction with the pros</w:t>
      </w:r>
      <w:r w:rsidR="00120DCE" w:rsidRPr="00016A70">
        <w:rPr>
          <w:rFonts w:cs="DaxlinePro-Regular"/>
          <w:color w:val="000000"/>
          <w:sz w:val="24"/>
          <w:szCs w:val="24"/>
        </w:rPr>
        <w:softHyphen/>
        <w:t xml:space="preserve">ecutor’s office of </w:t>
      </w:r>
      <w:r w:rsidR="00120DCE" w:rsidRPr="00016A70">
        <w:rPr>
          <w:rFonts w:cs="DaxlinePro-Regular"/>
          <w:b/>
          <w:color w:val="000000"/>
          <w:sz w:val="24"/>
          <w:szCs w:val="24"/>
        </w:rPr>
        <w:t>Bulgaria</w:t>
      </w:r>
      <w:r w:rsidR="00120DCE" w:rsidRPr="00016A70">
        <w:rPr>
          <w:rFonts w:cs="DaxlinePro-Regular"/>
          <w:color w:val="000000"/>
          <w:sz w:val="24"/>
          <w:szCs w:val="24"/>
        </w:rPr>
        <w:t>, looking also at children’s deaths and physical injuries in institutions and at poten</w:t>
      </w:r>
      <w:r w:rsidR="00120DCE" w:rsidRPr="00016A70">
        <w:rPr>
          <w:rFonts w:cs="DaxlinePro-Regular"/>
          <w:color w:val="000000"/>
          <w:sz w:val="24"/>
          <w:szCs w:val="24"/>
        </w:rPr>
        <w:softHyphen/>
        <w:t>tially criminal neglect or abuse. The monitoring revealed that 238 children with disabilities died in care institu</w:t>
      </w:r>
      <w:r w:rsidR="00120DCE" w:rsidRPr="00016A70">
        <w:rPr>
          <w:rFonts w:cs="DaxlinePro-Regular"/>
          <w:color w:val="000000"/>
          <w:sz w:val="24"/>
          <w:szCs w:val="24"/>
        </w:rPr>
        <w:softHyphen/>
        <w:t xml:space="preserve">tions between 2000 and 2010 – an average of 25 deaths per year. The </w:t>
      </w:r>
      <w:r w:rsidR="00120DCE" w:rsidRPr="00C4175B">
        <w:rPr>
          <w:rFonts w:cs="DaxlinePro-Regular"/>
          <w:b/>
          <w:color w:val="000000"/>
          <w:sz w:val="24"/>
          <w:szCs w:val="24"/>
        </w:rPr>
        <w:t>Bulgarian</w:t>
      </w:r>
      <w:r w:rsidR="00120DCE" w:rsidRPr="00016A70">
        <w:rPr>
          <w:rFonts w:cs="DaxlinePro-Regular"/>
          <w:color w:val="000000"/>
          <w:sz w:val="24"/>
          <w:szCs w:val="24"/>
        </w:rPr>
        <w:t xml:space="preserve"> Helsinki Committee opined that at least three quarters of these deaths were avoidable. In total, 31 children died of starvation (systematic mal</w:t>
      </w:r>
      <w:r w:rsidR="00120DCE" w:rsidRPr="00016A70">
        <w:rPr>
          <w:rFonts w:cs="DaxlinePro-Regular"/>
          <w:color w:val="000000"/>
          <w:sz w:val="24"/>
          <w:szCs w:val="24"/>
        </w:rPr>
        <w:softHyphen/>
        <w:t>nutrition); 84 from neglect; 13 due to poor hygiene; 6 in accidents such as hypothermia, drowning, suffocation; 36 because they were bedridden; and 2 deaths were caused by violence. The prosecutor’s office initiated 248 pre</w:t>
      </w:r>
      <w:r w:rsidR="00120DCE" w:rsidRPr="00016A70">
        <w:rPr>
          <w:rFonts w:cs="DaxlinePro-Regular"/>
          <w:color w:val="000000"/>
          <w:sz w:val="24"/>
          <w:szCs w:val="24"/>
        </w:rPr>
        <w:noBreakHyphen/>
        <w:t xml:space="preserve">trial proceedings on the death and injury cases, but all proceedings have been terminated. As presented in Section 2.1., the </w:t>
      </w:r>
      <w:r w:rsidR="00120DCE" w:rsidRPr="00C4175B">
        <w:rPr>
          <w:rFonts w:cs="DaxlinePro-Regular"/>
          <w:b/>
          <w:color w:val="000000"/>
          <w:sz w:val="24"/>
          <w:szCs w:val="24"/>
        </w:rPr>
        <w:t>Bulgarian</w:t>
      </w:r>
      <w:r w:rsidR="00120DCE" w:rsidRPr="00016A70">
        <w:rPr>
          <w:rFonts w:cs="DaxlinePro-Regular"/>
          <w:color w:val="000000"/>
          <w:sz w:val="24"/>
          <w:szCs w:val="24"/>
        </w:rPr>
        <w:t xml:space="preserve"> Helsinki Committee filed applications with the European Court of Human Rights regarding the most severe cases.</w:t>
      </w:r>
      <w:r>
        <w:rPr>
          <w:rFonts w:cs="DaxlinePro-Regular"/>
          <w:color w:val="000000"/>
          <w:sz w:val="24"/>
          <w:szCs w:val="24"/>
        </w:rPr>
        <w:t>”</w:t>
      </w:r>
      <w:r w:rsidR="00120DCE" w:rsidRPr="00016A70">
        <w:rPr>
          <w:rFonts w:cs="DaxlinePro-Regular"/>
          <w:color w:val="000000"/>
          <w:sz w:val="24"/>
          <w:szCs w:val="24"/>
        </w:rPr>
        <w:t xml:space="preserve"> (p.75)</w:t>
      </w:r>
    </w:p>
    <w:p w14:paraId="19BC28D2" w14:textId="21F3001C" w:rsidR="00120DCE" w:rsidRPr="00016A70" w:rsidRDefault="00AE3ADA" w:rsidP="00B37D35">
      <w:pPr>
        <w:autoSpaceDE w:val="0"/>
        <w:autoSpaceDN w:val="0"/>
        <w:adjustRightInd w:val="0"/>
        <w:spacing w:after="0"/>
        <w:rPr>
          <w:rStyle w:val="A7"/>
          <w:sz w:val="24"/>
          <w:szCs w:val="24"/>
        </w:rPr>
      </w:pPr>
      <w:r>
        <w:rPr>
          <w:rFonts w:cs="DaxlinePro-Regular"/>
          <w:color w:val="000000"/>
          <w:sz w:val="24"/>
          <w:szCs w:val="24"/>
        </w:rPr>
        <w:t>“</w:t>
      </w:r>
      <w:r w:rsidR="00120DCE" w:rsidRPr="00016A70">
        <w:rPr>
          <w:rFonts w:cs="DaxlinePro-Regular"/>
          <w:color w:val="000000"/>
          <w:sz w:val="24"/>
          <w:szCs w:val="24"/>
        </w:rPr>
        <w:t xml:space="preserve">In </w:t>
      </w:r>
      <w:r w:rsidR="00120DCE" w:rsidRPr="00C4175B">
        <w:rPr>
          <w:rFonts w:cs="DaxlinePro-Regular"/>
          <w:b/>
          <w:color w:val="000000"/>
          <w:sz w:val="24"/>
          <w:szCs w:val="24"/>
        </w:rPr>
        <w:t>Bulgaria</w:t>
      </w:r>
      <w:r w:rsidR="00120DCE" w:rsidRPr="00016A70">
        <w:rPr>
          <w:rFonts w:cs="DaxlinePro-Regular"/>
          <w:color w:val="000000"/>
          <w:sz w:val="24"/>
          <w:szCs w:val="24"/>
        </w:rPr>
        <w:t xml:space="preserve"> for instance, the State Agency for Child Protection is responsible for controlling whether institutions and community</w:t>
      </w:r>
      <w:r w:rsidR="00120DCE" w:rsidRPr="00016A70">
        <w:rPr>
          <w:rFonts w:cs="DaxlinePro-Regular"/>
          <w:color w:val="000000"/>
          <w:sz w:val="24"/>
          <w:szCs w:val="24"/>
        </w:rPr>
        <w:noBreakHyphen/>
        <w:t>based services comply with the standards of social services for children.</w:t>
      </w:r>
      <w:r w:rsidR="00120DCE" w:rsidRPr="00016A70">
        <w:rPr>
          <w:rStyle w:val="A13"/>
          <w:sz w:val="24"/>
          <w:szCs w:val="24"/>
        </w:rPr>
        <w:t xml:space="preserve"> </w:t>
      </w:r>
      <w:r w:rsidR="00120DCE" w:rsidRPr="00016A70">
        <w:rPr>
          <w:rFonts w:cs="DaxlinePro-Regular"/>
          <w:color w:val="000000"/>
          <w:sz w:val="24"/>
          <w:szCs w:val="24"/>
        </w:rPr>
        <w:t xml:space="preserve">However, the rules do not stipulate how often </w:t>
      </w:r>
      <w:r w:rsidR="00120DCE" w:rsidRPr="00016A70">
        <w:rPr>
          <w:rStyle w:val="A7"/>
          <w:sz w:val="24"/>
          <w:szCs w:val="24"/>
        </w:rPr>
        <w:t>monitoring must take place.</w:t>
      </w:r>
      <w:r>
        <w:rPr>
          <w:rStyle w:val="A7"/>
          <w:sz w:val="24"/>
          <w:szCs w:val="24"/>
        </w:rPr>
        <w:t>”</w:t>
      </w:r>
      <w:r w:rsidR="00120DCE" w:rsidRPr="00016A70">
        <w:rPr>
          <w:rStyle w:val="A7"/>
          <w:sz w:val="24"/>
          <w:szCs w:val="24"/>
        </w:rPr>
        <w:t xml:space="preserve"> (p.76)</w:t>
      </w:r>
    </w:p>
    <w:p w14:paraId="76ECC6F0" w14:textId="59F06FE2" w:rsidR="00120DCE" w:rsidRPr="00016A70" w:rsidRDefault="00561A3B" w:rsidP="00B37D35">
      <w:pPr>
        <w:autoSpaceDE w:val="0"/>
        <w:autoSpaceDN w:val="0"/>
        <w:adjustRightInd w:val="0"/>
        <w:spacing w:after="0"/>
        <w:rPr>
          <w:rFonts w:cs="DaxlinePro-Regular"/>
          <w:color w:val="000000"/>
          <w:sz w:val="24"/>
          <w:szCs w:val="24"/>
        </w:rPr>
      </w:pPr>
      <w:r>
        <w:rPr>
          <w:rFonts w:cs="DaxlinePro-Regular"/>
          <w:color w:val="000000"/>
          <w:sz w:val="24"/>
          <w:szCs w:val="24"/>
        </w:rPr>
        <w:t>“</w:t>
      </w:r>
      <w:r w:rsidR="00120DCE" w:rsidRPr="00016A70">
        <w:rPr>
          <w:rFonts w:cs="DaxlinePro-Regular"/>
          <w:color w:val="000000"/>
          <w:sz w:val="24"/>
          <w:szCs w:val="24"/>
        </w:rPr>
        <w:t xml:space="preserve">Some stakeholders, notably in </w:t>
      </w:r>
      <w:r w:rsidR="00120DCE" w:rsidRPr="00C4175B">
        <w:rPr>
          <w:rFonts w:cs="DaxlinePro-Regular"/>
          <w:b/>
          <w:color w:val="000000"/>
          <w:sz w:val="24"/>
          <w:szCs w:val="24"/>
        </w:rPr>
        <w:t>Bulgaria</w:t>
      </w:r>
      <w:r w:rsidR="00120DCE" w:rsidRPr="00016A70">
        <w:rPr>
          <w:rFonts w:cs="DaxlinePro-Regular"/>
          <w:color w:val="000000"/>
          <w:sz w:val="24"/>
          <w:szCs w:val="24"/>
        </w:rPr>
        <w:t>, Lithuania and Slovenia, identified the isolation of children with dis</w:t>
      </w:r>
      <w:r w:rsidR="00120DCE" w:rsidRPr="00016A70">
        <w:rPr>
          <w:rFonts w:cs="DaxlinePro-Regular"/>
          <w:color w:val="000000"/>
          <w:sz w:val="24"/>
          <w:szCs w:val="24"/>
        </w:rPr>
        <w:softHyphen/>
        <w:t>abilities in institutional care as a form of violence. They further indicated that there is a general lack of aware</w:t>
      </w:r>
      <w:r w:rsidR="00120DCE" w:rsidRPr="00016A70">
        <w:rPr>
          <w:rFonts w:cs="DaxlinePro-Regular"/>
          <w:color w:val="000000"/>
          <w:sz w:val="24"/>
          <w:szCs w:val="24"/>
        </w:rPr>
        <w:softHyphen/>
        <w:t>ness about certain forms of violence and neglect, such as segregation and refusal of care, which also signifi</w:t>
      </w:r>
      <w:r w:rsidR="00120DCE" w:rsidRPr="00016A70">
        <w:rPr>
          <w:rFonts w:cs="DaxlinePro-Regular"/>
          <w:color w:val="000000"/>
          <w:sz w:val="24"/>
          <w:szCs w:val="24"/>
        </w:rPr>
        <w:softHyphen/>
        <w:t>cantly affect children’s development.</w:t>
      </w:r>
      <w:r>
        <w:rPr>
          <w:rFonts w:cs="DaxlinePro-Regular"/>
          <w:color w:val="000000"/>
          <w:sz w:val="24"/>
          <w:szCs w:val="24"/>
        </w:rPr>
        <w:t>”</w:t>
      </w:r>
      <w:r w:rsidR="00120DCE" w:rsidRPr="00016A70">
        <w:rPr>
          <w:rFonts w:cs="DaxlinePro-Regular"/>
          <w:color w:val="000000"/>
          <w:sz w:val="24"/>
          <w:szCs w:val="24"/>
        </w:rPr>
        <w:t xml:space="preserve"> (p.77)</w:t>
      </w:r>
    </w:p>
    <w:p w14:paraId="3DDE701A" w14:textId="4D907A22" w:rsidR="00120DCE" w:rsidRPr="00016A70" w:rsidRDefault="00561A3B" w:rsidP="00B37D35">
      <w:pPr>
        <w:autoSpaceDE w:val="0"/>
        <w:autoSpaceDN w:val="0"/>
        <w:adjustRightInd w:val="0"/>
        <w:spacing w:after="0"/>
        <w:rPr>
          <w:rStyle w:val="Hyperlink"/>
          <w:rFonts w:cs="DaxlinePro-Regular"/>
          <w:color w:val="000000"/>
          <w:sz w:val="24"/>
          <w:szCs w:val="24"/>
          <w:u w:val="none"/>
        </w:rPr>
      </w:pPr>
      <w:r>
        <w:rPr>
          <w:rFonts w:cs="DaxlinePro-Regular"/>
          <w:color w:val="000000"/>
          <w:sz w:val="24"/>
          <w:szCs w:val="24"/>
        </w:rPr>
        <w:lastRenderedPageBreak/>
        <w:t>“</w:t>
      </w:r>
      <w:r w:rsidR="00120DCE" w:rsidRPr="00016A70">
        <w:rPr>
          <w:rFonts w:cs="DaxlinePro-Regular"/>
          <w:color w:val="000000"/>
          <w:sz w:val="24"/>
          <w:szCs w:val="24"/>
        </w:rPr>
        <w:t xml:space="preserve">For example, an interviewee in </w:t>
      </w:r>
      <w:r w:rsidR="00120DCE" w:rsidRPr="00C4175B">
        <w:rPr>
          <w:rFonts w:cs="DaxlinePro-Regular"/>
          <w:b/>
          <w:color w:val="000000"/>
          <w:sz w:val="24"/>
          <w:szCs w:val="24"/>
        </w:rPr>
        <w:t>Bulgaria</w:t>
      </w:r>
      <w:r w:rsidR="00120DCE" w:rsidRPr="00016A70">
        <w:rPr>
          <w:rFonts w:cs="DaxlinePro-Regular"/>
          <w:color w:val="000000"/>
          <w:sz w:val="24"/>
          <w:szCs w:val="24"/>
        </w:rPr>
        <w:t xml:space="preserve"> stressed that even though the child protection departments, the police, the prosecu</w:t>
      </w:r>
      <w:r w:rsidR="00120DCE" w:rsidRPr="00016A70">
        <w:rPr>
          <w:rFonts w:cs="DaxlinePro-Regular"/>
          <w:color w:val="000000"/>
          <w:sz w:val="24"/>
          <w:szCs w:val="24"/>
        </w:rPr>
        <w:softHyphen/>
        <w:t>tor and the Ombudsperson are all entitled to control closed institutions, they only do so when a complaint or signal is sent to them.</w:t>
      </w:r>
      <w:r>
        <w:rPr>
          <w:rFonts w:cs="DaxlinePro-Regular"/>
          <w:color w:val="000000"/>
          <w:sz w:val="24"/>
          <w:szCs w:val="24"/>
        </w:rPr>
        <w:t>”</w:t>
      </w:r>
      <w:r w:rsidR="00120DCE" w:rsidRPr="00016A70">
        <w:rPr>
          <w:rFonts w:cs="DaxlinePro-Regular"/>
          <w:color w:val="000000"/>
          <w:sz w:val="24"/>
          <w:szCs w:val="24"/>
        </w:rPr>
        <w:t xml:space="preserve"> (p.78)</w:t>
      </w:r>
    </w:p>
    <w:p w14:paraId="197F5FB4" w14:textId="20CDDA0F" w:rsidR="00120DCE" w:rsidRPr="00016A70" w:rsidRDefault="00561A3B" w:rsidP="00B37D35">
      <w:pPr>
        <w:autoSpaceDE w:val="0"/>
        <w:autoSpaceDN w:val="0"/>
        <w:adjustRightInd w:val="0"/>
        <w:spacing w:after="0"/>
        <w:rPr>
          <w:rFonts w:cs="DaxlinePro-Regular"/>
          <w:color w:val="000000"/>
          <w:sz w:val="24"/>
          <w:szCs w:val="24"/>
        </w:rPr>
      </w:pPr>
      <w:r>
        <w:rPr>
          <w:rFonts w:cs="DaxlinePro-Regular"/>
          <w:color w:val="000000"/>
          <w:sz w:val="24"/>
          <w:szCs w:val="24"/>
        </w:rPr>
        <w:t>“</w:t>
      </w:r>
      <w:r w:rsidR="00120DCE" w:rsidRPr="00016A70">
        <w:rPr>
          <w:rFonts w:cs="DaxlinePro-Regular"/>
          <w:color w:val="000000"/>
          <w:sz w:val="24"/>
          <w:szCs w:val="24"/>
        </w:rPr>
        <w:t xml:space="preserve">A respondent from </w:t>
      </w:r>
      <w:r w:rsidR="00120DCE" w:rsidRPr="00C4175B">
        <w:rPr>
          <w:rFonts w:cs="DaxlinePro-Regular"/>
          <w:b/>
          <w:color w:val="000000"/>
          <w:sz w:val="24"/>
          <w:szCs w:val="24"/>
        </w:rPr>
        <w:t>Bulgaria</w:t>
      </w:r>
      <w:r w:rsidR="00120DCE" w:rsidRPr="00016A70">
        <w:rPr>
          <w:rFonts w:cs="DaxlinePro-Regular"/>
          <w:color w:val="000000"/>
          <w:sz w:val="24"/>
          <w:szCs w:val="24"/>
        </w:rPr>
        <w:t xml:space="preserve"> compared the extent of monitoring in care institutions to that of prison facili</w:t>
      </w:r>
      <w:r w:rsidR="00120DCE" w:rsidRPr="00016A70">
        <w:rPr>
          <w:rFonts w:cs="DaxlinePro-Regular"/>
          <w:color w:val="000000"/>
          <w:sz w:val="24"/>
          <w:szCs w:val="24"/>
        </w:rPr>
        <w:softHyphen/>
        <w:t>ties. According to the interviewee, accessing social care institutions for children with intellectual disabilities is harder and less regulated than accessing prisons and investigation facilities.</w:t>
      </w:r>
      <w:r>
        <w:rPr>
          <w:rFonts w:cs="DaxlinePro-Regular"/>
          <w:color w:val="000000"/>
          <w:sz w:val="24"/>
          <w:szCs w:val="24"/>
        </w:rPr>
        <w:t>”</w:t>
      </w:r>
      <w:r w:rsidR="00120DCE" w:rsidRPr="00016A70">
        <w:rPr>
          <w:rFonts w:cs="DaxlinePro-Regular"/>
          <w:color w:val="000000"/>
          <w:sz w:val="24"/>
          <w:szCs w:val="24"/>
        </w:rPr>
        <w:t xml:space="preserve"> (p.78)</w:t>
      </w:r>
    </w:p>
    <w:p w14:paraId="1D7F5564" w14:textId="6AD49822" w:rsidR="00120DCE" w:rsidRPr="00016A70" w:rsidRDefault="00561A3B" w:rsidP="00B37D35">
      <w:pPr>
        <w:autoSpaceDE w:val="0"/>
        <w:autoSpaceDN w:val="0"/>
        <w:adjustRightInd w:val="0"/>
        <w:spacing w:after="0"/>
        <w:rPr>
          <w:rFonts w:cs="DaxlinePro-Regular"/>
          <w:color w:val="000000"/>
          <w:sz w:val="24"/>
          <w:szCs w:val="24"/>
        </w:rPr>
      </w:pPr>
      <w:r>
        <w:rPr>
          <w:rFonts w:cs="DaxlinePro-Regular"/>
          <w:color w:val="000000"/>
          <w:sz w:val="24"/>
          <w:szCs w:val="24"/>
        </w:rPr>
        <w:t>“</w:t>
      </w:r>
      <w:r w:rsidR="00120DCE" w:rsidRPr="00016A70">
        <w:rPr>
          <w:rFonts w:cs="DaxlinePro-Regular"/>
          <w:color w:val="000000"/>
          <w:sz w:val="24"/>
          <w:szCs w:val="24"/>
        </w:rPr>
        <w:t>Respondents also spoke about the need to train institu</w:t>
      </w:r>
      <w:r w:rsidR="00120DCE" w:rsidRPr="00016A70">
        <w:rPr>
          <w:rFonts w:cs="DaxlinePro-Regular"/>
          <w:color w:val="000000"/>
          <w:sz w:val="24"/>
          <w:szCs w:val="24"/>
        </w:rPr>
        <w:softHyphen/>
        <w:t xml:space="preserve">tional staff on rights awareness and on communication techniques for children with disabilities. For example, a respondent in </w:t>
      </w:r>
      <w:r w:rsidR="00120DCE" w:rsidRPr="00C4175B">
        <w:rPr>
          <w:rFonts w:cs="DaxlinePro-Regular"/>
          <w:b/>
          <w:color w:val="000000"/>
          <w:sz w:val="24"/>
          <w:szCs w:val="24"/>
        </w:rPr>
        <w:t>Bulgaria</w:t>
      </w:r>
      <w:r w:rsidR="00120DCE" w:rsidRPr="00016A70">
        <w:rPr>
          <w:rFonts w:cs="DaxlinePro-Regular"/>
          <w:color w:val="000000"/>
          <w:sz w:val="24"/>
          <w:szCs w:val="24"/>
        </w:rPr>
        <w:t xml:space="preserve"> commented that carers in “these institutions are not competent enough, not sen</w:t>
      </w:r>
      <w:r w:rsidR="00120DCE" w:rsidRPr="00016A70">
        <w:rPr>
          <w:rFonts w:cs="DaxlinePro-Regular"/>
          <w:color w:val="000000"/>
          <w:sz w:val="24"/>
          <w:szCs w:val="24"/>
        </w:rPr>
        <w:softHyphen/>
        <w:t>sitive enough to that kind of children and their needs</w:t>
      </w:r>
      <w:r w:rsidR="00AF5A6F">
        <w:rPr>
          <w:rFonts w:cs="DaxlinePro-Regular"/>
          <w:color w:val="000000"/>
          <w:sz w:val="24"/>
          <w:szCs w:val="24"/>
        </w:rPr>
        <w:t>.”</w:t>
      </w:r>
      <w:r w:rsidR="00120DCE" w:rsidRPr="00016A70">
        <w:rPr>
          <w:rFonts w:cs="DaxlinePro-Regular"/>
          <w:color w:val="000000"/>
          <w:sz w:val="24"/>
          <w:szCs w:val="24"/>
        </w:rPr>
        <w:t xml:space="preserve"> A respondent in Sweden underscored the importance of developing communication skills.</w:t>
      </w:r>
      <w:r>
        <w:rPr>
          <w:rFonts w:cs="DaxlinePro-Regular"/>
          <w:color w:val="000000"/>
          <w:sz w:val="24"/>
          <w:szCs w:val="24"/>
        </w:rPr>
        <w:t>”</w:t>
      </w:r>
      <w:r w:rsidR="00120DCE" w:rsidRPr="00016A70">
        <w:rPr>
          <w:rFonts w:cs="DaxlinePro-Regular"/>
          <w:color w:val="000000"/>
          <w:sz w:val="24"/>
          <w:szCs w:val="24"/>
        </w:rPr>
        <w:t xml:space="preserve"> (p.79)</w:t>
      </w:r>
    </w:p>
    <w:p w14:paraId="39AD1C83" w14:textId="7D573F57" w:rsidR="00120DCE" w:rsidRPr="00016A70" w:rsidRDefault="00A82561" w:rsidP="00B37D35">
      <w:pPr>
        <w:autoSpaceDE w:val="0"/>
        <w:autoSpaceDN w:val="0"/>
        <w:adjustRightInd w:val="0"/>
        <w:spacing w:after="0"/>
        <w:rPr>
          <w:rStyle w:val="Hyperlink"/>
          <w:rFonts w:eastAsia="DaxlinePro-RegularItalic" w:cs="DaxlinePro-RegularItalic"/>
          <w:color w:val="000000"/>
          <w:sz w:val="24"/>
          <w:szCs w:val="24"/>
          <w:u w:val="none"/>
        </w:rPr>
      </w:pPr>
      <w:r w:rsidRPr="00120DCE">
        <w:rPr>
          <w:rFonts w:eastAsia="DaxlinePro-RegularItalic" w:cs="DaxlinePro-RegularItalic"/>
          <w:i/>
          <w:iCs/>
          <w:color w:val="000000"/>
          <w:sz w:val="24"/>
          <w:szCs w:val="24"/>
        </w:rPr>
        <w:t xml:space="preserve">“Most complaints reflect the fact that in poor families, especially those with disabled children, neglect and hostility manifests more often. I have worked on cases where mothers claim that the siblings of her disabled child have developed an aggressive attitude to their little sister because they believe that most of the family income gets invested into overcoming her impairment. So, social services should account for that.” </w:t>
      </w:r>
      <w:r w:rsidRPr="00120DCE">
        <w:rPr>
          <w:rFonts w:eastAsia="DaxlinePro-Regular" w:cs="DaxlinePro-Regular"/>
          <w:color w:val="000000"/>
          <w:sz w:val="24"/>
          <w:szCs w:val="24"/>
        </w:rPr>
        <w:t xml:space="preserve">(NHRB representative, </w:t>
      </w:r>
      <w:r w:rsidRPr="00120DCE">
        <w:rPr>
          <w:rFonts w:eastAsia="DaxlinePro-Regular" w:cs="DaxlinePro-Regular"/>
          <w:b/>
          <w:color w:val="000000"/>
          <w:sz w:val="24"/>
          <w:szCs w:val="24"/>
        </w:rPr>
        <w:t>Bulgaria</w:t>
      </w:r>
      <w:r w:rsidRPr="00120DCE">
        <w:rPr>
          <w:rFonts w:eastAsia="DaxlinePro-Regular" w:cs="DaxlinePro-Regular"/>
          <w:color w:val="000000"/>
          <w:sz w:val="24"/>
          <w:szCs w:val="24"/>
        </w:rPr>
        <w:t>)</w:t>
      </w:r>
      <w:r w:rsidR="00561A3B">
        <w:rPr>
          <w:rFonts w:eastAsia="DaxlinePro-Regular" w:cs="DaxlinePro-Regular"/>
          <w:color w:val="000000"/>
          <w:sz w:val="24"/>
          <w:szCs w:val="24"/>
        </w:rPr>
        <w:t xml:space="preserve"> (p</w:t>
      </w:r>
      <w:r w:rsidRPr="00016A70">
        <w:rPr>
          <w:rFonts w:eastAsia="DaxlinePro-Regular" w:cs="DaxlinePro-Regular"/>
          <w:color w:val="000000"/>
          <w:sz w:val="24"/>
          <w:szCs w:val="24"/>
        </w:rPr>
        <w:t>.81)</w:t>
      </w:r>
    </w:p>
    <w:p w14:paraId="412BB2AB" w14:textId="27CF3477" w:rsidR="00120DCE" w:rsidRPr="00016A70" w:rsidRDefault="00561A3B" w:rsidP="00B37D35">
      <w:pPr>
        <w:autoSpaceDE w:val="0"/>
        <w:autoSpaceDN w:val="0"/>
        <w:adjustRightInd w:val="0"/>
        <w:spacing w:after="0"/>
        <w:rPr>
          <w:rFonts w:cs="DaxlinePro-Regular"/>
          <w:color w:val="000000"/>
          <w:sz w:val="24"/>
          <w:szCs w:val="24"/>
        </w:rPr>
      </w:pPr>
      <w:r>
        <w:rPr>
          <w:rFonts w:cs="DaxlinePro-Regular"/>
          <w:color w:val="000000"/>
          <w:sz w:val="24"/>
          <w:szCs w:val="24"/>
        </w:rPr>
        <w:t>“</w:t>
      </w:r>
      <w:r w:rsidR="00A82561" w:rsidRPr="00016A70">
        <w:rPr>
          <w:rFonts w:cs="DaxlinePro-Regular"/>
          <w:color w:val="000000"/>
          <w:sz w:val="24"/>
          <w:szCs w:val="24"/>
        </w:rPr>
        <w:t>In some countries – such as Austria, Denmark, Italy, the Netherlands Poland, Portugal, Sweden and the United Kingdom – respondents spoke about other eth</w:t>
      </w:r>
      <w:r w:rsidR="00A82561" w:rsidRPr="00016A70">
        <w:rPr>
          <w:rFonts w:cs="DaxlinePro-Regular"/>
          <w:color w:val="000000"/>
          <w:sz w:val="24"/>
          <w:szCs w:val="24"/>
        </w:rPr>
        <w:softHyphen/>
        <w:t xml:space="preserve">nicities or migratory backgrounds in general, while in </w:t>
      </w:r>
      <w:r w:rsidR="00A82561" w:rsidRPr="00C4175B">
        <w:rPr>
          <w:rFonts w:cs="DaxlinePro-Regular"/>
          <w:b/>
          <w:color w:val="000000"/>
          <w:sz w:val="24"/>
          <w:szCs w:val="24"/>
        </w:rPr>
        <w:t>Bulgaria</w:t>
      </w:r>
      <w:r w:rsidR="00A82561" w:rsidRPr="00016A70">
        <w:rPr>
          <w:rFonts w:cs="DaxlinePro-Regular"/>
          <w:color w:val="000000"/>
          <w:sz w:val="24"/>
          <w:szCs w:val="24"/>
        </w:rPr>
        <w:t>, Croatia, the Czech Republic and Lithuania – countries with populations that have higher percent</w:t>
      </w:r>
      <w:r w:rsidR="00A82561" w:rsidRPr="00016A70">
        <w:rPr>
          <w:rFonts w:cs="DaxlinePro-Regular"/>
          <w:color w:val="000000"/>
          <w:sz w:val="24"/>
          <w:szCs w:val="24"/>
        </w:rPr>
        <w:softHyphen/>
        <w:t>ages of Roma – respondents spoke predominately about Roma ethnicity.</w:t>
      </w:r>
      <w:r>
        <w:rPr>
          <w:rFonts w:cs="DaxlinePro-Regular"/>
          <w:color w:val="000000"/>
          <w:sz w:val="24"/>
          <w:szCs w:val="24"/>
        </w:rPr>
        <w:t>”</w:t>
      </w:r>
      <w:r w:rsidR="00A82561" w:rsidRPr="00016A70">
        <w:rPr>
          <w:rFonts w:cs="DaxlinePro-Regular"/>
          <w:color w:val="000000"/>
          <w:sz w:val="24"/>
          <w:szCs w:val="24"/>
        </w:rPr>
        <w:t xml:space="preserve"> (p.81)</w:t>
      </w:r>
    </w:p>
    <w:p w14:paraId="212A85A5" w14:textId="36799F22" w:rsidR="00127721" w:rsidRPr="00016A70" w:rsidRDefault="00561A3B" w:rsidP="00B37D35">
      <w:pPr>
        <w:autoSpaceDE w:val="0"/>
        <w:autoSpaceDN w:val="0"/>
        <w:adjustRightInd w:val="0"/>
        <w:spacing w:after="0"/>
        <w:rPr>
          <w:rFonts w:cs="DaxlinePro-Regular"/>
          <w:color w:val="000000"/>
          <w:sz w:val="24"/>
          <w:szCs w:val="24"/>
        </w:rPr>
      </w:pPr>
      <w:r>
        <w:rPr>
          <w:rFonts w:cs="DaxlinePro-Regular"/>
          <w:color w:val="000000"/>
          <w:sz w:val="24"/>
          <w:szCs w:val="24"/>
        </w:rPr>
        <w:t>“</w:t>
      </w:r>
      <w:r w:rsidR="00127721" w:rsidRPr="00016A70">
        <w:rPr>
          <w:rFonts w:cs="DaxlinePro-Regular"/>
          <w:color w:val="000000"/>
          <w:sz w:val="24"/>
          <w:szCs w:val="24"/>
        </w:rPr>
        <w:t xml:space="preserve">In </w:t>
      </w:r>
      <w:r w:rsidR="00127721" w:rsidRPr="00C4175B">
        <w:rPr>
          <w:rFonts w:cs="DaxlinePro-Regular"/>
          <w:b/>
          <w:color w:val="000000"/>
          <w:sz w:val="24"/>
          <w:szCs w:val="24"/>
        </w:rPr>
        <w:t>Bulgaria</w:t>
      </w:r>
      <w:r w:rsidR="00127721" w:rsidRPr="00016A70">
        <w:rPr>
          <w:rFonts w:cs="DaxlinePro-Regular"/>
          <w:color w:val="000000"/>
          <w:sz w:val="24"/>
          <w:szCs w:val="24"/>
        </w:rPr>
        <w:t>, Croatia, the Czech Republic and Lithuania respondents indicated that Roma children with disa</w:t>
      </w:r>
      <w:r w:rsidR="00127721" w:rsidRPr="00016A70">
        <w:rPr>
          <w:rFonts w:cs="DaxlinePro-Regular"/>
          <w:color w:val="000000"/>
          <w:sz w:val="24"/>
          <w:szCs w:val="24"/>
        </w:rPr>
        <w:softHyphen/>
        <w:t>bilities face an increased risk of hostility and violence. Many believe that Roma ethnicity increases a child’s risk of hostility and abuse more than the fact that he/ she has an impairment. […]</w:t>
      </w:r>
    </w:p>
    <w:p w14:paraId="2C70D53E" w14:textId="44BF39E8" w:rsidR="00561A3B" w:rsidRPr="00016A70" w:rsidRDefault="00127721" w:rsidP="00B37D35">
      <w:pPr>
        <w:autoSpaceDE w:val="0"/>
        <w:autoSpaceDN w:val="0"/>
        <w:adjustRightInd w:val="0"/>
        <w:spacing w:after="0"/>
        <w:rPr>
          <w:rFonts w:cs="DaxlinePro-Regular"/>
          <w:color w:val="000000"/>
          <w:sz w:val="24"/>
          <w:szCs w:val="24"/>
        </w:rPr>
      </w:pPr>
      <w:r w:rsidRPr="00016A70">
        <w:rPr>
          <w:rFonts w:cs="DaxlinePro-Regular"/>
          <w:color w:val="000000"/>
          <w:sz w:val="24"/>
          <w:szCs w:val="24"/>
        </w:rPr>
        <w:t>“</w:t>
      </w:r>
      <w:r w:rsidRPr="00016A70">
        <w:rPr>
          <w:rFonts w:cs="DaxlinePro-Regular"/>
          <w:i/>
          <w:color w:val="000000"/>
          <w:sz w:val="24"/>
          <w:szCs w:val="24"/>
        </w:rPr>
        <w:t xml:space="preserve">The intersection of grounds leads to the build-up of negative attitudes towards a particular child, because there are groups in society who do not accept or accept with reluctance Roma </w:t>
      </w:r>
      <w:r w:rsidRPr="00016A70">
        <w:rPr>
          <w:rFonts w:cs="DaxlinePro-Regular"/>
          <w:i/>
          <w:color w:val="000000"/>
          <w:sz w:val="24"/>
          <w:szCs w:val="24"/>
        </w:rPr>
        <w:lastRenderedPageBreak/>
        <w:t>people. When a particular disability is added or some other ground the situation becomes unacceptable and aggressive for them, they exclude the person, the child</w:t>
      </w:r>
      <w:r w:rsidRPr="00016A70">
        <w:rPr>
          <w:rFonts w:cs="DaxlinePro-Regular"/>
          <w:color w:val="000000"/>
          <w:sz w:val="24"/>
          <w:szCs w:val="24"/>
        </w:rPr>
        <w:t xml:space="preserve">.” (NHRB representative, </w:t>
      </w:r>
      <w:r w:rsidRPr="00016A70">
        <w:rPr>
          <w:rFonts w:cs="DaxlinePro-Regular"/>
          <w:b/>
          <w:color w:val="000000"/>
          <w:sz w:val="24"/>
          <w:szCs w:val="24"/>
        </w:rPr>
        <w:t>Bulgaria</w:t>
      </w:r>
      <w:r w:rsidRPr="00016A70">
        <w:rPr>
          <w:rFonts w:cs="DaxlinePro-Regular"/>
          <w:color w:val="000000"/>
          <w:sz w:val="24"/>
          <w:szCs w:val="24"/>
        </w:rPr>
        <w:t xml:space="preserve">) (p.82). </w:t>
      </w:r>
    </w:p>
    <w:p w14:paraId="0550E744" w14:textId="2756C997" w:rsidR="00127721" w:rsidRPr="00016A70" w:rsidRDefault="00127721" w:rsidP="002D605B">
      <w:pPr>
        <w:autoSpaceDE w:val="0"/>
        <w:autoSpaceDN w:val="0"/>
        <w:adjustRightInd w:val="0"/>
        <w:spacing w:after="100" w:line="185" w:lineRule="atLeast"/>
        <w:rPr>
          <w:rStyle w:val="SubtleEmphasis"/>
          <w:sz w:val="24"/>
          <w:szCs w:val="24"/>
        </w:rPr>
      </w:pPr>
      <w:r w:rsidRPr="00016A70">
        <w:rPr>
          <w:rStyle w:val="SubtleEmphasis"/>
          <w:sz w:val="24"/>
          <w:szCs w:val="24"/>
        </w:rPr>
        <w:t>Table 3: Examples of awareness</w:t>
      </w:r>
      <w:r w:rsidRPr="00016A70">
        <w:rPr>
          <w:rStyle w:val="SubtleEmphasis"/>
          <w:rFonts w:ascii="Cambria Math" w:hAnsi="Cambria Math" w:cs="Cambria Math"/>
          <w:sz w:val="24"/>
          <w:szCs w:val="24"/>
        </w:rPr>
        <w:t>‑</w:t>
      </w:r>
      <w:r w:rsidRPr="00016A70">
        <w:rPr>
          <w:rStyle w:val="SubtleEmphasis"/>
          <w:sz w:val="24"/>
          <w:szCs w:val="24"/>
        </w:rPr>
        <w:t>raising programmes, projects and campaigns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23"/>
        <w:gridCol w:w="3023"/>
        <w:gridCol w:w="3023"/>
      </w:tblGrid>
      <w:tr w:rsidR="00127721" w:rsidRPr="00127721" w14:paraId="2DB4BC88" w14:textId="77777777" w:rsidTr="00127721">
        <w:trPr>
          <w:trHeight w:val="161"/>
        </w:trPr>
        <w:tc>
          <w:tcPr>
            <w:tcW w:w="3023" w:type="dxa"/>
          </w:tcPr>
          <w:p w14:paraId="7685A0CC" w14:textId="6EADD772" w:rsidR="00127721" w:rsidRPr="00127721" w:rsidRDefault="00127721" w:rsidP="002D605B">
            <w:pPr>
              <w:autoSpaceDE w:val="0"/>
              <w:autoSpaceDN w:val="0"/>
              <w:adjustRightInd w:val="0"/>
              <w:spacing w:after="0" w:line="185" w:lineRule="atLeast"/>
              <w:rPr>
                <w:rFonts w:cs="DaxlinePro-Bold"/>
                <w:color w:val="000000"/>
                <w:sz w:val="24"/>
                <w:szCs w:val="24"/>
              </w:rPr>
            </w:pPr>
            <w:r w:rsidRPr="00016A70">
              <w:rPr>
                <w:rFonts w:cs="DaxlinePro-Bold"/>
                <w:b/>
                <w:bCs/>
                <w:color w:val="000000"/>
                <w:sz w:val="24"/>
                <w:szCs w:val="24"/>
              </w:rPr>
              <w:t xml:space="preserve">Name of programme </w:t>
            </w:r>
          </w:p>
        </w:tc>
        <w:tc>
          <w:tcPr>
            <w:tcW w:w="3023" w:type="dxa"/>
          </w:tcPr>
          <w:p w14:paraId="7F769FE0" w14:textId="77777777" w:rsidR="00127721" w:rsidRPr="00127721" w:rsidRDefault="00127721" w:rsidP="002D605B">
            <w:pPr>
              <w:autoSpaceDE w:val="0"/>
              <w:autoSpaceDN w:val="0"/>
              <w:adjustRightInd w:val="0"/>
              <w:spacing w:after="0" w:line="185" w:lineRule="atLeast"/>
              <w:rPr>
                <w:rFonts w:cs="DaxlinePro-Bold"/>
                <w:color w:val="000000"/>
                <w:sz w:val="24"/>
                <w:szCs w:val="24"/>
              </w:rPr>
            </w:pPr>
            <w:r w:rsidRPr="00016A70">
              <w:rPr>
                <w:rFonts w:cs="DaxlinePro-Bold"/>
                <w:b/>
                <w:bCs/>
                <w:color w:val="000000"/>
                <w:sz w:val="24"/>
                <w:szCs w:val="24"/>
              </w:rPr>
              <w:t xml:space="preserve">Description </w:t>
            </w:r>
          </w:p>
        </w:tc>
        <w:tc>
          <w:tcPr>
            <w:tcW w:w="3023" w:type="dxa"/>
          </w:tcPr>
          <w:p w14:paraId="04E058A1" w14:textId="77777777" w:rsidR="00127721" w:rsidRPr="00127721" w:rsidRDefault="00127721" w:rsidP="002D605B">
            <w:pPr>
              <w:autoSpaceDE w:val="0"/>
              <w:autoSpaceDN w:val="0"/>
              <w:adjustRightInd w:val="0"/>
              <w:spacing w:after="0" w:line="185" w:lineRule="atLeast"/>
              <w:rPr>
                <w:rFonts w:cs="DaxlinePro-Bold"/>
                <w:color w:val="000000"/>
                <w:sz w:val="24"/>
                <w:szCs w:val="24"/>
              </w:rPr>
            </w:pPr>
            <w:r w:rsidRPr="00016A70">
              <w:rPr>
                <w:rFonts w:cs="DaxlinePro-Bold"/>
                <w:b/>
                <w:bCs/>
                <w:color w:val="000000"/>
                <w:sz w:val="24"/>
                <w:szCs w:val="24"/>
              </w:rPr>
              <w:t xml:space="preserve">Reference and link </w:t>
            </w:r>
          </w:p>
        </w:tc>
      </w:tr>
      <w:tr w:rsidR="00127721" w:rsidRPr="00127721" w14:paraId="7BF1E67C" w14:textId="77777777" w:rsidTr="00127721">
        <w:trPr>
          <w:trHeight w:val="683"/>
        </w:trPr>
        <w:tc>
          <w:tcPr>
            <w:tcW w:w="3023" w:type="dxa"/>
          </w:tcPr>
          <w:p w14:paraId="09B16F0C" w14:textId="77777777" w:rsidR="00127721" w:rsidRPr="00127721" w:rsidRDefault="00127721" w:rsidP="002D605B">
            <w:pPr>
              <w:autoSpaceDE w:val="0"/>
              <w:autoSpaceDN w:val="0"/>
              <w:adjustRightInd w:val="0"/>
              <w:spacing w:after="0" w:line="185" w:lineRule="atLeast"/>
              <w:rPr>
                <w:rFonts w:cs="DaxlinePro-Bold"/>
                <w:color w:val="000000"/>
                <w:sz w:val="24"/>
                <w:szCs w:val="24"/>
              </w:rPr>
            </w:pPr>
            <w:r w:rsidRPr="00016A70">
              <w:rPr>
                <w:rFonts w:cs="DaxlinePro-Bold"/>
                <w:bCs/>
                <w:color w:val="000000"/>
                <w:sz w:val="24"/>
                <w:szCs w:val="24"/>
              </w:rPr>
              <w:t xml:space="preserve">Childhood for everyone </w:t>
            </w:r>
          </w:p>
        </w:tc>
        <w:tc>
          <w:tcPr>
            <w:tcW w:w="3023" w:type="dxa"/>
          </w:tcPr>
          <w:p w14:paraId="76FDD754" w14:textId="77777777" w:rsidR="00127721" w:rsidRPr="00127721" w:rsidRDefault="00127721" w:rsidP="002D605B">
            <w:pPr>
              <w:autoSpaceDE w:val="0"/>
              <w:autoSpaceDN w:val="0"/>
              <w:adjustRightInd w:val="0"/>
              <w:spacing w:after="0" w:line="185" w:lineRule="atLeast"/>
              <w:rPr>
                <w:rFonts w:eastAsia="DaxlinePro-Regular" w:cs="DaxlinePro-Regular"/>
                <w:color w:val="000000"/>
                <w:sz w:val="24"/>
                <w:szCs w:val="24"/>
              </w:rPr>
            </w:pPr>
            <w:r w:rsidRPr="00016A70">
              <w:rPr>
                <w:rFonts w:eastAsia="DaxlinePro-Regular" w:cs="DaxlinePro-Regular"/>
                <w:color w:val="000000"/>
                <w:sz w:val="24"/>
                <w:szCs w:val="24"/>
              </w:rPr>
              <w:t xml:space="preserve">In 2010, Bulgaria adopted a “Vision for deinstitutionalisation of children”, which aims to close down all 137 institutions for children and to provide alternative community services for all vulnerable children by 2025. In line with the aims of the strategy, the state agency for child protection developed a comprehensive media campaign aimed at countering negative attitudes towards children with disabilities. The campaign included videos broadcast via TV channels with national coverage, ad spots and others. </w:t>
            </w:r>
          </w:p>
        </w:tc>
        <w:tc>
          <w:tcPr>
            <w:tcW w:w="3023" w:type="dxa"/>
          </w:tcPr>
          <w:p w14:paraId="033AA5A9" w14:textId="2AEE4800" w:rsidR="00127721" w:rsidRPr="00127721" w:rsidRDefault="00127721" w:rsidP="002D605B">
            <w:pPr>
              <w:autoSpaceDE w:val="0"/>
              <w:autoSpaceDN w:val="0"/>
              <w:adjustRightInd w:val="0"/>
              <w:spacing w:after="0" w:line="185" w:lineRule="atLeast"/>
              <w:rPr>
                <w:rFonts w:eastAsia="DaxlinePro-Regular" w:cs="DaxlinePro-Bold"/>
                <w:color w:val="000000"/>
                <w:sz w:val="24"/>
                <w:szCs w:val="24"/>
              </w:rPr>
            </w:pPr>
            <w:r w:rsidRPr="00016A70">
              <w:rPr>
                <w:rFonts w:eastAsia="DaxlinePro-Regular" w:cs="DaxlinePro-Regular"/>
                <w:color w:val="000000"/>
                <w:sz w:val="24"/>
                <w:szCs w:val="24"/>
              </w:rPr>
              <w:t xml:space="preserve">Bulgaria, State Agency for Child Protection, see: </w:t>
            </w:r>
            <w:hyperlink r:id="rId25" w:history="1">
              <w:r w:rsidRPr="00016A70">
                <w:rPr>
                  <w:rStyle w:val="Hyperlink"/>
                  <w:rFonts w:eastAsia="DaxlinePro-Regular" w:cs="DaxlinePro-Regular"/>
                  <w:sz w:val="24"/>
                  <w:szCs w:val="24"/>
                </w:rPr>
                <w:t>http://sacp.government.bg/bg/evropejski-programi-i-proekti/proekt-detstvo-za-vsichki/</w:t>
              </w:r>
            </w:hyperlink>
            <w:r w:rsidRPr="00016A70">
              <w:rPr>
                <w:rFonts w:eastAsia="DaxlinePro-Regular" w:cs="DaxlinePro-Regular"/>
                <w:color w:val="000000"/>
                <w:sz w:val="24"/>
                <w:szCs w:val="24"/>
              </w:rPr>
              <w:t xml:space="preserve">. (p.87) </w:t>
            </w:r>
          </w:p>
        </w:tc>
      </w:tr>
    </w:tbl>
    <w:p w14:paraId="17C2EF98" w14:textId="5951B012" w:rsidR="00127721" w:rsidRPr="00016A70" w:rsidRDefault="00127721" w:rsidP="00B37D35">
      <w:pPr>
        <w:autoSpaceDE w:val="0"/>
        <w:autoSpaceDN w:val="0"/>
        <w:adjustRightInd w:val="0"/>
        <w:spacing w:after="0" w:line="185" w:lineRule="atLeast"/>
        <w:rPr>
          <w:rStyle w:val="SubtleEmphasis"/>
          <w:sz w:val="24"/>
          <w:szCs w:val="24"/>
        </w:rPr>
      </w:pPr>
      <w:r w:rsidRPr="00016A70">
        <w:rPr>
          <w:rStyle w:val="SubtleEmphasis"/>
          <w:sz w:val="24"/>
          <w:szCs w:val="24"/>
        </w:rPr>
        <w:t>Table 5: Select examples of programmes aimed at empowering and promoting participation by children with disabilities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23"/>
        <w:gridCol w:w="3023"/>
        <w:gridCol w:w="3023"/>
      </w:tblGrid>
      <w:tr w:rsidR="00127721" w:rsidRPr="00127721" w14:paraId="603166FB" w14:textId="77777777" w:rsidTr="00CE61C6">
        <w:trPr>
          <w:trHeight w:val="161"/>
        </w:trPr>
        <w:tc>
          <w:tcPr>
            <w:tcW w:w="3023" w:type="dxa"/>
          </w:tcPr>
          <w:p w14:paraId="08C6AA7B" w14:textId="3E7E8BF0" w:rsidR="00127721" w:rsidRPr="00127721" w:rsidRDefault="00127721" w:rsidP="002D605B">
            <w:pPr>
              <w:autoSpaceDE w:val="0"/>
              <w:autoSpaceDN w:val="0"/>
              <w:adjustRightInd w:val="0"/>
              <w:spacing w:after="0" w:line="185" w:lineRule="atLeast"/>
              <w:rPr>
                <w:rFonts w:cs="DaxlinePro-Bold"/>
                <w:color w:val="000000"/>
                <w:sz w:val="24"/>
                <w:szCs w:val="24"/>
              </w:rPr>
            </w:pPr>
            <w:r w:rsidRPr="00016A70">
              <w:rPr>
                <w:rFonts w:cs="DaxlinePro-Bold"/>
                <w:b/>
                <w:bCs/>
                <w:color w:val="000000"/>
                <w:sz w:val="24"/>
                <w:szCs w:val="24"/>
              </w:rPr>
              <w:t xml:space="preserve">Name </w:t>
            </w:r>
          </w:p>
        </w:tc>
        <w:tc>
          <w:tcPr>
            <w:tcW w:w="3023" w:type="dxa"/>
          </w:tcPr>
          <w:p w14:paraId="4886D732" w14:textId="77777777" w:rsidR="00127721" w:rsidRPr="00127721" w:rsidRDefault="00127721" w:rsidP="002D605B">
            <w:pPr>
              <w:autoSpaceDE w:val="0"/>
              <w:autoSpaceDN w:val="0"/>
              <w:adjustRightInd w:val="0"/>
              <w:spacing w:after="0" w:line="185" w:lineRule="atLeast"/>
              <w:rPr>
                <w:rFonts w:cs="DaxlinePro-Bold"/>
                <w:color w:val="000000"/>
                <w:sz w:val="24"/>
                <w:szCs w:val="24"/>
              </w:rPr>
            </w:pPr>
            <w:r w:rsidRPr="00016A70">
              <w:rPr>
                <w:rFonts w:cs="DaxlinePro-Bold"/>
                <w:b/>
                <w:bCs/>
                <w:color w:val="000000"/>
                <w:sz w:val="24"/>
                <w:szCs w:val="24"/>
              </w:rPr>
              <w:t xml:space="preserve">Description </w:t>
            </w:r>
          </w:p>
        </w:tc>
        <w:tc>
          <w:tcPr>
            <w:tcW w:w="3023" w:type="dxa"/>
          </w:tcPr>
          <w:p w14:paraId="77FA80F0" w14:textId="77777777" w:rsidR="00127721" w:rsidRPr="00127721" w:rsidRDefault="00127721" w:rsidP="002D605B">
            <w:pPr>
              <w:autoSpaceDE w:val="0"/>
              <w:autoSpaceDN w:val="0"/>
              <w:adjustRightInd w:val="0"/>
              <w:spacing w:after="0" w:line="185" w:lineRule="atLeast"/>
              <w:rPr>
                <w:rFonts w:cs="DaxlinePro-Bold"/>
                <w:color w:val="000000"/>
                <w:sz w:val="24"/>
                <w:szCs w:val="24"/>
              </w:rPr>
            </w:pPr>
            <w:r w:rsidRPr="00016A70">
              <w:rPr>
                <w:rFonts w:cs="DaxlinePro-Bold"/>
                <w:b/>
                <w:bCs/>
                <w:color w:val="000000"/>
                <w:sz w:val="24"/>
                <w:szCs w:val="24"/>
              </w:rPr>
              <w:t xml:space="preserve">Reference and link </w:t>
            </w:r>
          </w:p>
        </w:tc>
      </w:tr>
      <w:tr w:rsidR="00127721" w:rsidRPr="00127721" w14:paraId="62A7C587" w14:textId="77777777" w:rsidTr="00CE61C6">
        <w:trPr>
          <w:trHeight w:val="683"/>
        </w:trPr>
        <w:tc>
          <w:tcPr>
            <w:tcW w:w="3023" w:type="dxa"/>
          </w:tcPr>
          <w:p w14:paraId="3A554AF3" w14:textId="5EF8F02B" w:rsidR="002D208F" w:rsidRPr="00016A70" w:rsidRDefault="002D208F" w:rsidP="002D605B">
            <w:pPr>
              <w:autoSpaceDE w:val="0"/>
              <w:autoSpaceDN w:val="0"/>
              <w:adjustRightInd w:val="0"/>
              <w:spacing w:after="0" w:line="185" w:lineRule="atLeast"/>
              <w:rPr>
                <w:rFonts w:cs="DaxlinePro-Bold"/>
                <w:color w:val="000000"/>
                <w:sz w:val="24"/>
                <w:szCs w:val="24"/>
              </w:rPr>
            </w:pPr>
            <w:r w:rsidRPr="00016A70">
              <w:rPr>
                <w:rFonts w:cs="DaxlinePro-Bold"/>
                <w:color w:val="000000"/>
                <w:sz w:val="24"/>
                <w:szCs w:val="24"/>
              </w:rPr>
              <w:t>Users’ Involvement in the</w:t>
            </w:r>
          </w:p>
          <w:p w14:paraId="62488552" w14:textId="1C913410" w:rsidR="00127721" w:rsidRPr="00127721" w:rsidRDefault="002D208F" w:rsidP="002D605B">
            <w:pPr>
              <w:autoSpaceDE w:val="0"/>
              <w:autoSpaceDN w:val="0"/>
              <w:adjustRightInd w:val="0"/>
              <w:spacing w:after="0" w:line="185" w:lineRule="atLeast"/>
              <w:rPr>
                <w:rFonts w:cs="DaxlinePro-Bold"/>
                <w:color w:val="000000"/>
                <w:sz w:val="24"/>
                <w:szCs w:val="24"/>
              </w:rPr>
            </w:pPr>
            <w:r w:rsidRPr="00016A70">
              <w:rPr>
                <w:rFonts w:cs="DaxlinePro-Bold"/>
                <w:color w:val="000000"/>
                <w:sz w:val="24"/>
                <w:szCs w:val="24"/>
              </w:rPr>
              <w:t>Decision</w:t>
            </w:r>
            <w:r w:rsidRPr="00016A70">
              <w:rPr>
                <w:rFonts w:ascii="Cambria Math" w:hAnsi="Cambria Math" w:cs="Cambria Math"/>
                <w:color w:val="000000"/>
                <w:sz w:val="24"/>
                <w:szCs w:val="24"/>
              </w:rPr>
              <w:t>‑</w:t>
            </w:r>
            <w:r w:rsidRPr="00016A70">
              <w:rPr>
                <w:rFonts w:cs="DaxlinePro-Bold"/>
                <w:color w:val="000000"/>
                <w:sz w:val="24"/>
                <w:szCs w:val="24"/>
              </w:rPr>
              <w:t>Making Process – a Step Towards Complete Social Integration</w:t>
            </w:r>
          </w:p>
        </w:tc>
        <w:tc>
          <w:tcPr>
            <w:tcW w:w="3023" w:type="dxa"/>
          </w:tcPr>
          <w:p w14:paraId="7DB867C5" w14:textId="00BA5397" w:rsidR="008C515E" w:rsidRPr="00016A70" w:rsidRDefault="008C515E" w:rsidP="002D605B">
            <w:pPr>
              <w:autoSpaceDE w:val="0"/>
              <w:autoSpaceDN w:val="0"/>
              <w:adjustRightInd w:val="0"/>
              <w:spacing w:after="0" w:line="185" w:lineRule="atLeast"/>
              <w:rPr>
                <w:rFonts w:eastAsia="DaxlinePro-Regular" w:cs="DaxlinePro-Regular"/>
                <w:color w:val="000000"/>
                <w:sz w:val="24"/>
                <w:szCs w:val="24"/>
              </w:rPr>
            </w:pPr>
            <w:r w:rsidRPr="00016A70">
              <w:rPr>
                <w:rFonts w:eastAsia="DaxlinePro-Regular" w:cs="DaxlinePro-Regular"/>
                <w:color w:val="000000"/>
                <w:sz w:val="24"/>
                <w:szCs w:val="24"/>
              </w:rPr>
              <w:t>In Bulgaria, the Cedar Foundation user involvement project focused on empowering children and young adults with intellectual disabilities to make their own decisions and to participate in decision</w:t>
            </w:r>
            <w:r w:rsidRPr="00016A70">
              <w:rPr>
                <w:rFonts w:ascii="Cambria Math" w:eastAsia="DaxlinePro-Regular" w:hAnsi="Cambria Math" w:cs="Cambria Math"/>
                <w:color w:val="000000"/>
                <w:sz w:val="24"/>
                <w:szCs w:val="24"/>
              </w:rPr>
              <w:t>‑</w:t>
            </w:r>
            <w:r w:rsidRPr="00016A70">
              <w:rPr>
                <w:rFonts w:eastAsia="DaxlinePro-Regular" w:cs="DaxlinePro-Regular"/>
                <w:color w:val="000000"/>
                <w:sz w:val="24"/>
                <w:szCs w:val="24"/>
              </w:rPr>
              <w:t>making.</w:t>
            </w:r>
          </w:p>
          <w:p w14:paraId="3339B961" w14:textId="7E5F00D4" w:rsidR="008C515E" w:rsidRPr="00016A70" w:rsidRDefault="008C515E" w:rsidP="002D605B">
            <w:pPr>
              <w:autoSpaceDE w:val="0"/>
              <w:autoSpaceDN w:val="0"/>
              <w:adjustRightInd w:val="0"/>
              <w:spacing w:after="0" w:line="185" w:lineRule="atLeast"/>
              <w:rPr>
                <w:rFonts w:eastAsia="DaxlinePro-Regular" w:cs="DaxlinePro-Regular"/>
                <w:color w:val="000000"/>
                <w:sz w:val="24"/>
                <w:szCs w:val="24"/>
              </w:rPr>
            </w:pPr>
            <w:r w:rsidRPr="00016A70">
              <w:rPr>
                <w:rFonts w:eastAsia="DaxlinePro-Regular" w:cs="DaxlinePro-Regular"/>
                <w:color w:val="000000"/>
                <w:sz w:val="24"/>
                <w:szCs w:val="24"/>
              </w:rPr>
              <w:lastRenderedPageBreak/>
              <w:t>The project was implemented in partnership with the Kyustendil Municipality and Learning Disability Wales, and realised with the financial support of the European Social Fund.</w:t>
            </w:r>
          </w:p>
          <w:p w14:paraId="581B4FF5" w14:textId="787B502C" w:rsidR="008C515E" w:rsidRPr="00016A70" w:rsidRDefault="008C515E" w:rsidP="002D605B">
            <w:pPr>
              <w:autoSpaceDE w:val="0"/>
              <w:autoSpaceDN w:val="0"/>
              <w:adjustRightInd w:val="0"/>
              <w:spacing w:after="0" w:line="185" w:lineRule="atLeast"/>
              <w:rPr>
                <w:rFonts w:eastAsia="DaxlinePro-Regular" w:cs="DaxlinePro-Regular"/>
                <w:color w:val="000000"/>
                <w:sz w:val="24"/>
                <w:szCs w:val="24"/>
              </w:rPr>
            </w:pPr>
            <w:r w:rsidRPr="00016A70">
              <w:rPr>
                <w:rFonts w:eastAsia="DaxlinePro-Regular" w:cs="DaxlinePro-Regular"/>
                <w:color w:val="000000"/>
                <w:sz w:val="24"/>
                <w:szCs w:val="24"/>
              </w:rPr>
              <w:t>The main aim of the project was to train professionals and exchange good practices. Municipal officers and social workers from Kyustendil visited Learning Disability Wales in Cardiff and learned about policies and methods that Welsh agencies and social service providers use to ensure that the opinions of people with</w:t>
            </w:r>
          </w:p>
          <w:p w14:paraId="132F8856" w14:textId="10CD2110" w:rsidR="00127721" w:rsidRPr="00127721" w:rsidRDefault="008C515E" w:rsidP="002D605B">
            <w:pPr>
              <w:autoSpaceDE w:val="0"/>
              <w:autoSpaceDN w:val="0"/>
              <w:adjustRightInd w:val="0"/>
              <w:spacing w:after="0" w:line="185" w:lineRule="atLeast"/>
              <w:rPr>
                <w:rFonts w:eastAsia="DaxlinePro-Regular" w:cs="DaxlinePro-Regular"/>
                <w:color w:val="000000"/>
                <w:sz w:val="24"/>
                <w:szCs w:val="24"/>
              </w:rPr>
            </w:pPr>
            <w:r w:rsidRPr="00016A70">
              <w:rPr>
                <w:rFonts w:eastAsia="DaxlinePro-Regular" w:cs="DaxlinePro-Regular"/>
                <w:color w:val="000000"/>
                <w:sz w:val="24"/>
                <w:szCs w:val="24"/>
              </w:rPr>
              <w:t>learning disabilities are taken into consideration in all aspects of their lives.</w:t>
            </w:r>
          </w:p>
        </w:tc>
        <w:tc>
          <w:tcPr>
            <w:tcW w:w="3023" w:type="dxa"/>
          </w:tcPr>
          <w:p w14:paraId="218E1426" w14:textId="18923D9A" w:rsidR="00127721" w:rsidRPr="00127721" w:rsidRDefault="008C515E" w:rsidP="002D605B">
            <w:pPr>
              <w:pStyle w:val="Pa31"/>
              <w:rPr>
                <w:rFonts w:asciiTheme="minorHAnsi" w:cs="DaxlinePro-Regular"/>
                <w:color w:val="000000"/>
              </w:rPr>
            </w:pPr>
            <w:r w:rsidRPr="00016A70">
              <w:rPr>
                <w:rFonts w:asciiTheme="minorHAnsi" w:cs="DaxlinePro-Regular"/>
                <w:color w:val="000000"/>
              </w:rPr>
              <w:lastRenderedPageBreak/>
              <w:t>Bulgaria, Cedar Foundation,</w:t>
            </w:r>
            <w:r w:rsidR="002D208F" w:rsidRPr="00016A70">
              <w:rPr>
                <w:rFonts w:asciiTheme="minorHAnsi" w:cs="DaxlinePro-Regular"/>
                <w:color w:val="000000"/>
              </w:rPr>
              <w:t xml:space="preserve"> more information in English at </w:t>
            </w:r>
            <w:hyperlink r:id="rId26" w:history="1">
              <w:r w:rsidRPr="00016A70">
                <w:rPr>
                  <w:rStyle w:val="Hyperlink"/>
                  <w:rFonts w:asciiTheme="minorHAnsi" w:cs="DaxlinePro-Regular"/>
                  <w:lang w:val="en-IE"/>
                </w:rPr>
                <w:t>http://www.cedarfoundation.org/en/</w:t>
              </w:r>
            </w:hyperlink>
            <w:r w:rsidRPr="00016A70">
              <w:rPr>
                <w:rFonts w:asciiTheme="minorHAnsi" w:cs="DaxlinePro-Regular"/>
                <w:color w:val="000000"/>
                <w:lang w:val="en-IE"/>
              </w:rPr>
              <w:t xml:space="preserve"> </w:t>
            </w:r>
            <w:r w:rsidRPr="00016A70">
              <w:rPr>
                <w:rFonts w:asciiTheme="minorHAnsi" w:cs="DaxlinePro-Regular"/>
                <w:color w:val="000000"/>
              </w:rPr>
              <w:t>and in their annual report. (p.90)</w:t>
            </w:r>
          </w:p>
        </w:tc>
      </w:tr>
    </w:tbl>
    <w:p w14:paraId="059536A5" w14:textId="4ECD8E65" w:rsidR="00127721" w:rsidRPr="004F7947" w:rsidRDefault="002D208F" w:rsidP="00B37D35">
      <w:pPr>
        <w:autoSpaceDE w:val="0"/>
        <w:autoSpaceDN w:val="0"/>
        <w:adjustRightInd w:val="0"/>
        <w:spacing w:after="0"/>
        <w:rPr>
          <w:rFonts w:cs="DaxlinePro-Regular"/>
          <w:sz w:val="24"/>
          <w:szCs w:val="24"/>
        </w:rPr>
      </w:pPr>
      <w:r w:rsidRPr="004F7947">
        <w:rPr>
          <w:rFonts w:cs="DaxlinePro-Regular"/>
          <w:sz w:val="24"/>
          <w:szCs w:val="24"/>
        </w:rPr>
        <w:t xml:space="preserve">“Aside from formalised cooperation efforts between different actors, respondents – in Austria, </w:t>
      </w:r>
      <w:r w:rsidRPr="004F7947">
        <w:rPr>
          <w:rFonts w:cs="DaxlinePro-Regular"/>
          <w:b/>
          <w:sz w:val="24"/>
          <w:szCs w:val="24"/>
        </w:rPr>
        <w:t>Bulgaria</w:t>
      </w:r>
      <w:r w:rsidRPr="004F7947">
        <w:rPr>
          <w:rFonts w:cs="DaxlinePro-Regular"/>
          <w:sz w:val="24"/>
          <w:szCs w:val="24"/>
        </w:rPr>
        <w:t>, Croatia, the Czech Republic, Italy, Lithuania, Slovenia and Sweden, for example – raised concerns about the lack of coordination and cooperation among different institutions and bodies involved in child protection.“ (p.98)</w:t>
      </w:r>
    </w:p>
    <w:p w14:paraId="485E0379" w14:textId="72E560AA" w:rsidR="00127721" w:rsidRPr="004F7947" w:rsidRDefault="0095635D" w:rsidP="00B37D35">
      <w:pPr>
        <w:autoSpaceDE w:val="0"/>
        <w:autoSpaceDN w:val="0"/>
        <w:adjustRightInd w:val="0"/>
        <w:spacing w:after="0"/>
        <w:rPr>
          <w:rFonts w:eastAsia="DaxlinePro-RegularItalic" w:cs="DaxlinePro-RegularItalic"/>
          <w:sz w:val="24"/>
          <w:szCs w:val="24"/>
        </w:rPr>
      </w:pPr>
      <w:r w:rsidRPr="004F7947">
        <w:rPr>
          <w:rFonts w:eastAsia="DaxlinePro-RegularItalic" w:cs="DaxlinePro-RegularItalic"/>
          <w:i/>
          <w:iCs/>
          <w:sz w:val="24"/>
          <w:szCs w:val="24"/>
        </w:rPr>
        <w:t>“Above all, I believe that a clear system of protection, with a clear coordination mechanism should be established, so that it’s obvious who is in charge at any given moment and responsibility is not shifted all the time. There should be no statements like ‘We have no legal powers about it’ in answer to the question who’s in charge. The answer to this question should be ‘We’re following this issue. This</w:t>
      </w:r>
      <w:r w:rsidRPr="004F7947">
        <w:rPr>
          <w:rFonts w:eastAsia="DaxlinePro-RegularItalic" w:cs="DaxlinePro-RegularItalic"/>
          <w:sz w:val="24"/>
          <w:szCs w:val="24"/>
        </w:rPr>
        <w:noBreakHyphen/>
      </w:r>
      <w:r w:rsidRPr="004F7947">
        <w:rPr>
          <w:rFonts w:eastAsia="DaxlinePro-RegularItalic" w:cs="DaxlinePro-RegularItalic"/>
          <w:i/>
          <w:iCs/>
          <w:sz w:val="24"/>
          <w:szCs w:val="24"/>
        </w:rPr>
        <w:t>and</w:t>
      </w:r>
      <w:r w:rsidRPr="004F7947">
        <w:rPr>
          <w:rFonts w:eastAsia="DaxlinePro-RegularItalic" w:cs="DaxlinePro-RegularItalic"/>
          <w:sz w:val="24"/>
          <w:szCs w:val="24"/>
        </w:rPr>
        <w:noBreakHyphen/>
      </w:r>
      <w:r w:rsidRPr="004F7947">
        <w:rPr>
          <w:rFonts w:eastAsia="DaxlinePro-RegularItalic" w:cs="DaxlinePro-RegularItalic"/>
          <w:i/>
          <w:iCs/>
          <w:sz w:val="24"/>
          <w:szCs w:val="24"/>
        </w:rPr>
        <w:t xml:space="preserve">that particular institution is working on it. There is a coordinator we’re in touch with’, rather than, ‘Go and ask someone else.’” </w:t>
      </w:r>
      <w:r w:rsidRPr="004F7947">
        <w:rPr>
          <w:rFonts w:eastAsia="DaxlinePro-Regular" w:cs="DaxlinePro-Regular"/>
          <w:sz w:val="24"/>
          <w:szCs w:val="24"/>
        </w:rPr>
        <w:t xml:space="preserve">(Expert at the Ombuds institution, </w:t>
      </w:r>
      <w:r w:rsidRPr="004F7947">
        <w:rPr>
          <w:rFonts w:eastAsia="DaxlinePro-Regular" w:cs="DaxlinePro-Regular"/>
          <w:b/>
          <w:sz w:val="24"/>
          <w:szCs w:val="24"/>
        </w:rPr>
        <w:t>Bulgaria</w:t>
      </w:r>
      <w:r w:rsidRPr="004F7947">
        <w:rPr>
          <w:rFonts w:eastAsia="DaxlinePro-Regular" w:cs="DaxlinePro-Regular"/>
          <w:sz w:val="24"/>
          <w:szCs w:val="24"/>
        </w:rPr>
        <w:t xml:space="preserve">) (p.99) </w:t>
      </w:r>
    </w:p>
    <w:p w14:paraId="59B82740" w14:textId="672BCCAC" w:rsidR="00127721" w:rsidRPr="004F7947" w:rsidRDefault="0095635D" w:rsidP="00B37D35">
      <w:pPr>
        <w:autoSpaceDE w:val="0"/>
        <w:autoSpaceDN w:val="0"/>
        <w:adjustRightInd w:val="0"/>
        <w:spacing w:after="0"/>
        <w:rPr>
          <w:rFonts w:eastAsia="DaxlinePro-Regular" w:cs="DaxlinePro-Regular"/>
          <w:sz w:val="24"/>
          <w:szCs w:val="24"/>
        </w:rPr>
      </w:pPr>
      <w:r w:rsidRPr="004F7947">
        <w:rPr>
          <w:rFonts w:eastAsia="DaxlinePro-RegularItalic" w:cs="DaxlinePro-RegularItalic"/>
          <w:i/>
          <w:iCs/>
          <w:sz w:val="24"/>
          <w:szCs w:val="24"/>
        </w:rPr>
        <w:lastRenderedPageBreak/>
        <w:t xml:space="preserve">“In all these institutions there is no unified policy, internal, organizational policy which explains to all civil servants in police, schools, hospitals, municipality what safety is and what harassment and violence is. This is not there at all and thus the common understanding on which they can step and base their actions is lacking.” </w:t>
      </w:r>
      <w:r w:rsidRPr="004F7947">
        <w:rPr>
          <w:rFonts w:eastAsia="DaxlinePro-Regular" w:cs="DaxlinePro-Regular"/>
          <w:sz w:val="24"/>
          <w:szCs w:val="24"/>
        </w:rPr>
        <w:t xml:space="preserve">(NGO representative working on inclusive education, </w:t>
      </w:r>
      <w:r w:rsidRPr="004F7947">
        <w:rPr>
          <w:rFonts w:eastAsia="DaxlinePro-Regular" w:cs="DaxlinePro-Regular"/>
          <w:b/>
          <w:sz w:val="24"/>
          <w:szCs w:val="24"/>
        </w:rPr>
        <w:t>Bulgaria</w:t>
      </w:r>
      <w:r w:rsidRPr="004F7947">
        <w:rPr>
          <w:rFonts w:eastAsia="DaxlinePro-Regular" w:cs="DaxlinePro-Regular"/>
          <w:sz w:val="24"/>
          <w:szCs w:val="24"/>
        </w:rPr>
        <w:t>) (p.99)</w:t>
      </w:r>
    </w:p>
    <w:p w14:paraId="41BAACFA" w14:textId="599CA170" w:rsidR="0095635D" w:rsidRPr="00016A70" w:rsidRDefault="0095635D" w:rsidP="002D605B">
      <w:pPr>
        <w:autoSpaceDE w:val="0"/>
        <w:autoSpaceDN w:val="0"/>
        <w:adjustRightInd w:val="0"/>
        <w:spacing w:after="100" w:line="185" w:lineRule="atLeast"/>
        <w:rPr>
          <w:rStyle w:val="SubtleEmphasis"/>
          <w:sz w:val="24"/>
          <w:szCs w:val="24"/>
        </w:rPr>
      </w:pPr>
      <w:r w:rsidRPr="00016A70">
        <w:rPr>
          <w:rStyle w:val="SubtleEmphasis"/>
          <w:sz w:val="24"/>
          <w:szCs w:val="24"/>
        </w:rPr>
        <w:t>Table 9: Select examples of multiagency cooperation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4252"/>
        <w:gridCol w:w="2729"/>
      </w:tblGrid>
      <w:tr w:rsidR="0095635D" w:rsidRPr="00127721" w14:paraId="7DB3D04A" w14:textId="77777777" w:rsidTr="0095635D">
        <w:trPr>
          <w:trHeight w:val="161"/>
        </w:trPr>
        <w:tc>
          <w:tcPr>
            <w:tcW w:w="2088" w:type="dxa"/>
          </w:tcPr>
          <w:p w14:paraId="2574C3AC" w14:textId="77777777" w:rsidR="0095635D" w:rsidRPr="00127721" w:rsidRDefault="0095635D" w:rsidP="002D605B">
            <w:pPr>
              <w:autoSpaceDE w:val="0"/>
              <w:autoSpaceDN w:val="0"/>
              <w:adjustRightInd w:val="0"/>
              <w:spacing w:after="0" w:line="185" w:lineRule="atLeast"/>
              <w:rPr>
                <w:rFonts w:cs="DaxlinePro-Bold"/>
                <w:color w:val="000000"/>
                <w:sz w:val="24"/>
                <w:szCs w:val="24"/>
              </w:rPr>
            </w:pPr>
            <w:r w:rsidRPr="00016A70">
              <w:rPr>
                <w:rFonts w:cs="DaxlinePro-Bold"/>
                <w:b/>
                <w:bCs/>
                <w:color w:val="000000"/>
                <w:sz w:val="24"/>
                <w:szCs w:val="24"/>
              </w:rPr>
              <w:t xml:space="preserve">Name </w:t>
            </w:r>
          </w:p>
        </w:tc>
        <w:tc>
          <w:tcPr>
            <w:tcW w:w="4252" w:type="dxa"/>
          </w:tcPr>
          <w:p w14:paraId="0B836CE0" w14:textId="77777777" w:rsidR="0095635D" w:rsidRPr="00127721" w:rsidRDefault="0095635D" w:rsidP="002D605B">
            <w:pPr>
              <w:autoSpaceDE w:val="0"/>
              <w:autoSpaceDN w:val="0"/>
              <w:adjustRightInd w:val="0"/>
              <w:spacing w:after="0" w:line="185" w:lineRule="atLeast"/>
              <w:rPr>
                <w:rFonts w:cs="DaxlinePro-Bold"/>
                <w:color w:val="000000"/>
                <w:sz w:val="24"/>
                <w:szCs w:val="24"/>
              </w:rPr>
            </w:pPr>
            <w:r w:rsidRPr="00016A70">
              <w:rPr>
                <w:rFonts w:cs="DaxlinePro-Bold"/>
                <w:b/>
                <w:bCs/>
                <w:color w:val="000000"/>
                <w:sz w:val="24"/>
                <w:szCs w:val="24"/>
              </w:rPr>
              <w:t xml:space="preserve">Description </w:t>
            </w:r>
          </w:p>
        </w:tc>
        <w:tc>
          <w:tcPr>
            <w:tcW w:w="2729" w:type="dxa"/>
          </w:tcPr>
          <w:p w14:paraId="4BF47EDD" w14:textId="77777777" w:rsidR="0095635D" w:rsidRPr="00127721" w:rsidRDefault="0095635D" w:rsidP="002D605B">
            <w:pPr>
              <w:autoSpaceDE w:val="0"/>
              <w:autoSpaceDN w:val="0"/>
              <w:adjustRightInd w:val="0"/>
              <w:spacing w:after="0" w:line="185" w:lineRule="atLeast"/>
              <w:rPr>
                <w:rFonts w:cs="DaxlinePro-Bold"/>
                <w:color w:val="000000"/>
                <w:sz w:val="24"/>
                <w:szCs w:val="24"/>
              </w:rPr>
            </w:pPr>
            <w:r w:rsidRPr="00016A70">
              <w:rPr>
                <w:rFonts w:cs="DaxlinePro-Bold"/>
                <w:b/>
                <w:bCs/>
                <w:color w:val="000000"/>
                <w:sz w:val="24"/>
                <w:szCs w:val="24"/>
              </w:rPr>
              <w:t xml:space="preserve">Reference and link </w:t>
            </w:r>
          </w:p>
        </w:tc>
      </w:tr>
      <w:tr w:rsidR="0095635D" w:rsidRPr="00127721" w14:paraId="0AA7F148" w14:textId="77777777" w:rsidTr="0095635D">
        <w:trPr>
          <w:trHeight w:val="683"/>
        </w:trPr>
        <w:tc>
          <w:tcPr>
            <w:tcW w:w="2088" w:type="dxa"/>
          </w:tcPr>
          <w:p w14:paraId="2B10EA61" w14:textId="4924142C" w:rsidR="0095635D" w:rsidRPr="00016A70" w:rsidRDefault="0095635D" w:rsidP="002D605B">
            <w:pPr>
              <w:autoSpaceDE w:val="0"/>
              <w:autoSpaceDN w:val="0"/>
              <w:adjustRightInd w:val="0"/>
              <w:spacing w:after="0" w:line="185" w:lineRule="atLeast"/>
              <w:rPr>
                <w:rFonts w:cs="DaxlinePro-Bold"/>
                <w:color w:val="000000"/>
                <w:sz w:val="24"/>
                <w:szCs w:val="24"/>
              </w:rPr>
            </w:pPr>
            <w:r w:rsidRPr="00016A70">
              <w:rPr>
                <w:rFonts w:cs="DaxlinePro-Bold"/>
                <w:color w:val="000000"/>
                <w:sz w:val="24"/>
                <w:szCs w:val="24"/>
              </w:rPr>
              <w:t>Coordination mechanism for interaction on</w:t>
            </w:r>
          </w:p>
          <w:p w14:paraId="2AE452B3" w14:textId="595E8A70" w:rsidR="0095635D" w:rsidRPr="00127721" w:rsidRDefault="0095635D" w:rsidP="002D605B">
            <w:pPr>
              <w:autoSpaceDE w:val="0"/>
              <w:autoSpaceDN w:val="0"/>
              <w:adjustRightInd w:val="0"/>
              <w:spacing w:after="0" w:line="185" w:lineRule="atLeast"/>
              <w:rPr>
                <w:rFonts w:cs="DaxlinePro-Bold"/>
                <w:color w:val="000000"/>
                <w:sz w:val="24"/>
                <w:szCs w:val="24"/>
              </w:rPr>
            </w:pPr>
            <w:r w:rsidRPr="00016A70">
              <w:rPr>
                <w:rFonts w:cs="DaxlinePro-Bold"/>
                <w:color w:val="000000"/>
                <w:sz w:val="24"/>
                <w:szCs w:val="24"/>
              </w:rPr>
              <w:t>cases of child abuse or children at risk of abuse and for interaction in crisis intervention</w:t>
            </w:r>
          </w:p>
        </w:tc>
        <w:tc>
          <w:tcPr>
            <w:tcW w:w="4252" w:type="dxa"/>
          </w:tcPr>
          <w:p w14:paraId="1F295558" w14:textId="77777777" w:rsidR="0095635D" w:rsidRPr="0095635D" w:rsidRDefault="0095635D" w:rsidP="002D605B">
            <w:pPr>
              <w:autoSpaceDE w:val="0"/>
              <w:autoSpaceDN w:val="0"/>
              <w:adjustRightInd w:val="0"/>
              <w:spacing w:after="100" w:line="185" w:lineRule="atLeast"/>
              <w:rPr>
                <w:rFonts w:eastAsia="DaxlinePro-Regular" w:cs="DaxlinePro-Regular"/>
                <w:color w:val="000000"/>
                <w:sz w:val="24"/>
                <w:szCs w:val="24"/>
              </w:rPr>
            </w:pPr>
            <w:r w:rsidRPr="00016A70">
              <w:rPr>
                <w:rFonts w:eastAsia="DaxlinePro-Regular" w:cs="DaxlinePro-Regular"/>
                <w:color w:val="000000"/>
                <w:sz w:val="24"/>
                <w:szCs w:val="24"/>
              </w:rPr>
              <w:t>The coordination mechanism is in place since 2010. When no</w:t>
            </w:r>
            <w:r w:rsidRPr="00016A70">
              <w:rPr>
                <w:rFonts w:eastAsia="DaxlinePro-Regular" w:cs="DaxlinePro-Regular"/>
                <w:color w:val="000000"/>
                <w:sz w:val="24"/>
                <w:szCs w:val="24"/>
              </w:rPr>
              <w:softHyphen/>
              <w:t>tice of abuse is given, it requires a designated caseworker to conduct an investigation within 24 hours and convene a meet</w:t>
            </w:r>
            <w:r w:rsidRPr="00016A70">
              <w:rPr>
                <w:rFonts w:eastAsia="DaxlinePro-Regular" w:cs="DaxlinePro-Regular"/>
                <w:color w:val="000000"/>
                <w:sz w:val="24"/>
                <w:szCs w:val="24"/>
              </w:rPr>
              <w:softHyphen/>
              <w:t>ing with a multidisciplinary team, including a wide range of professionals, and, in some cases, municipality representa</w:t>
            </w:r>
            <w:r w:rsidRPr="00016A70">
              <w:rPr>
                <w:rFonts w:eastAsia="DaxlinePro-Regular" w:cs="DaxlinePro-Regular"/>
                <w:color w:val="000000"/>
                <w:sz w:val="24"/>
                <w:szCs w:val="24"/>
              </w:rPr>
              <w:softHyphen/>
              <w:t>tives, the regional police department, the regional healthcare centre, the child’s personal doctor, the director of the school, kindergarten or other service</w:t>
            </w:r>
            <w:r w:rsidRPr="00016A70">
              <w:rPr>
                <w:rFonts w:eastAsia="DaxlinePro-Regular" w:cs="DaxlinePro-Regular"/>
                <w:color w:val="000000"/>
                <w:sz w:val="24"/>
                <w:szCs w:val="24"/>
              </w:rPr>
              <w:noBreakHyphen/>
              <w:t xml:space="preserve">providing unit, and others. </w:t>
            </w:r>
          </w:p>
          <w:p w14:paraId="0FBBCC17" w14:textId="77777777" w:rsidR="0095635D" w:rsidRPr="0095635D" w:rsidRDefault="0095635D" w:rsidP="002D605B">
            <w:pPr>
              <w:autoSpaceDE w:val="0"/>
              <w:autoSpaceDN w:val="0"/>
              <w:adjustRightInd w:val="0"/>
              <w:spacing w:after="100" w:line="185" w:lineRule="atLeast"/>
              <w:rPr>
                <w:rFonts w:eastAsia="DaxlinePro-Regular" w:cs="DaxlinePro-Regular"/>
                <w:color w:val="000000"/>
                <w:sz w:val="24"/>
                <w:szCs w:val="24"/>
              </w:rPr>
            </w:pPr>
            <w:r w:rsidRPr="00016A70">
              <w:rPr>
                <w:rFonts w:eastAsia="DaxlinePro-Regular" w:cs="DaxlinePro-Regular"/>
                <w:color w:val="000000"/>
                <w:sz w:val="24"/>
                <w:szCs w:val="24"/>
              </w:rPr>
              <w:t>Since 2011, the State Agency for Child Protection gathers, on an ‘information card’, data on the work of these multidisciplinary teams, examining rules and procedures, difficulties encoun</w:t>
            </w:r>
            <w:r w:rsidRPr="00016A70">
              <w:rPr>
                <w:rFonts w:eastAsia="DaxlinePro-Regular" w:cs="DaxlinePro-Regular"/>
                <w:color w:val="000000"/>
                <w:sz w:val="24"/>
                <w:szCs w:val="24"/>
              </w:rPr>
              <w:softHyphen/>
              <w:t xml:space="preserve">tered locally, as well as feedback on conditions necessary to increase operation efficiency and optimise interaction. </w:t>
            </w:r>
          </w:p>
          <w:p w14:paraId="32914DE5" w14:textId="77777777" w:rsidR="0095635D" w:rsidRPr="0095635D" w:rsidRDefault="0095635D" w:rsidP="002D605B">
            <w:pPr>
              <w:autoSpaceDE w:val="0"/>
              <w:autoSpaceDN w:val="0"/>
              <w:adjustRightInd w:val="0"/>
              <w:spacing w:after="100" w:line="185" w:lineRule="atLeast"/>
              <w:rPr>
                <w:rFonts w:eastAsia="DaxlinePro-Regular" w:cs="DaxlinePro-Regular"/>
                <w:color w:val="000000"/>
                <w:sz w:val="24"/>
                <w:szCs w:val="24"/>
              </w:rPr>
            </w:pPr>
            <w:r w:rsidRPr="00016A70">
              <w:rPr>
                <w:rFonts w:eastAsia="DaxlinePro-Regular" w:cs="DaxlinePro-Regular"/>
                <w:color w:val="000000"/>
                <w:sz w:val="24"/>
                <w:szCs w:val="24"/>
              </w:rPr>
              <w:t xml:space="preserve">The results are summarised and analysed at the national </w:t>
            </w:r>
            <w:r w:rsidRPr="00016A70">
              <w:rPr>
                <w:rFonts w:eastAsia="DaxlinePro-Regular" w:cs="DaxlinePro-Regular"/>
                <w:color w:val="000000"/>
                <w:sz w:val="24"/>
                <w:szCs w:val="24"/>
              </w:rPr>
              <w:lastRenderedPageBreak/>
              <w:t>level, and the agency prepares annual reports on how to op</w:t>
            </w:r>
            <w:r w:rsidRPr="00016A70">
              <w:rPr>
                <w:rFonts w:eastAsia="DaxlinePro-Regular" w:cs="DaxlinePro-Regular"/>
                <w:color w:val="000000"/>
                <w:sz w:val="24"/>
                <w:szCs w:val="24"/>
              </w:rPr>
              <w:softHyphen/>
              <w:t xml:space="preserve">timise and improve cooperation on cases of child abuse or cases involving a risk of violence, and on interactions in crisis intervention. </w:t>
            </w:r>
          </w:p>
          <w:p w14:paraId="46FD7C50" w14:textId="68AF1682" w:rsidR="0095635D" w:rsidRPr="00127721" w:rsidRDefault="0095635D" w:rsidP="002D605B">
            <w:pPr>
              <w:autoSpaceDE w:val="0"/>
              <w:autoSpaceDN w:val="0"/>
              <w:adjustRightInd w:val="0"/>
              <w:spacing w:after="0" w:line="185" w:lineRule="atLeast"/>
              <w:rPr>
                <w:rFonts w:eastAsia="DaxlinePro-Regular" w:cs="DaxlinePro-Regular"/>
                <w:color w:val="000000"/>
                <w:sz w:val="24"/>
                <w:szCs w:val="24"/>
              </w:rPr>
            </w:pPr>
            <w:r w:rsidRPr="00016A70">
              <w:rPr>
                <w:rFonts w:eastAsia="DaxlinePro-Regular" w:cs="DaxlinePro-Regular"/>
                <w:color w:val="000000"/>
                <w:sz w:val="24"/>
                <w:szCs w:val="24"/>
              </w:rPr>
              <w:t>The information is disaggregated based on type of violence, gender, age, environment (in the family, at school, etc.), but is not broken down based on disability – meaning that there is no information on whether or not a child victim of violence has a disability</w:t>
            </w:r>
          </w:p>
        </w:tc>
        <w:tc>
          <w:tcPr>
            <w:tcW w:w="2729" w:type="dxa"/>
          </w:tcPr>
          <w:p w14:paraId="45CEE997" w14:textId="77777777" w:rsidR="0095635D" w:rsidRPr="00016A70" w:rsidRDefault="0095635D" w:rsidP="002D605B">
            <w:pPr>
              <w:pStyle w:val="Pa31"/>
              <w:rPr>
                <w:rFonts w:asciiTheme="minorHAnsi" w:cs="DaxlinePro-Regular"/>
                <w:color w:val="000000"/>
              </w:rPr>
            </w:pPr>
            <w:r w:rsidRPr="00016A70">
              <w:rPr>
                <w:rFonts w:asciiTheme="minorHAnsi" w:cs="DaxlinePro-Regular"/>
                <w:color w:val="000000"/>
              </w:rPr>
              <w:lastRenderedPageBreak/>
              <w:t>Bulgaria, State Agency</w:t>
            </w:r>
          </w:p>
          <w:p w14:paraId="2DE41103" w14:textId="77777777" w:rsidR="0095635D" w:rsidRPr="00016A70" w:rsidRDefault="0095635D" w:rsidP="002D605B">
            <w:pPr>
              <w:pStyle w:val="Pa31"/>
              <w:rPr>
                <w:rFonts w:asciiTheme="minorHAnsi" w:cs="DaxlinePro-Regular"/>
                <w:color w:val="000000"/>
              </w:rPr>
            </w:pPr>
            <w:r w:rsidRPr="00016A70">
              <w:rPr>
                <w:rFonts w:asciiTheme="minorHAnsi" w:cs="DaxlinePro-Regular"/>
                <w:color w:val="000000"/>
              </w:rPr>
              <w:t>for Child Protection, see:</w:t>
            </w:r>
          </w:p>
          <w:p w14:paraId="03DCABEF" w14:textId="4486F2EE" w:rsidR="00016A70" w:rsidRPr="00016A70" w:rsidRDefault="00FF03F8" w:rsidP="002D605B">
            <w:pPr>
              <w:autoSpaceDE w:val="0"/>
              <w:autoSpaceDN w:val="0"/>
              <w:spacing w:before="40" w:after="40"/>
              <w:rPr>
                <w:rFonts w:eastAsia="Times New Roman" w:cs="Times New Roman"/>
                <w:sz w:val="24"/>
                <w:szCs w:val="24"/>
                <w:lang w:eastAsia="en-IE"/>
              </w:rPr>
            </w:pPr>
            <w:hyperlink r:id="rId27" w:history="1">
              <w:r w:rsidR="00016A70" w:rsidRPr="00016A70">
                <w:rPr>
                  <w:rStyle w:val="Hyperlink"/>
                  <w:rFonts w:eastAsia="Times New Roman" w:cs="Segoe UI"/>
                  <w:sz w:val="24"/>
                  <w:szCs w:val="24"/>
                  <w:lang w:val="en-GB" w:eastAsia="en-IE"/>
                </w:rPr>
                <w:t>http://sacp.government.bg/bg/za-agenciyata/politiki/sporazumeniya/</w:t>
              </w:r>
            </w:hyperlink>
            <w:r w:rsidR="004F7947">
              <w:rPr>
                <w:rFonts w:eastAsia="Times New Roman" w:cs="Segoe UI"/>
                <w:sz w:val="24"/>
                <w:szCs w:val="24"/>
                <w:lang w:val="en-GB" w:eastAsia="en-IE"/>
              </w:rPr>
              <w:t xml:space="preserve"> </w:t>
            </w:r>
            <w:r w:rsidR="00016A70" w:rsidRPr="00016A70">
              <w:rPr>
                <w:rFonts w:eastAsia="Times New Roman" w:cs="Segoe UI"/>
                <w:sz w:val="24"/>
                <w:szCs w:val="24"/>
                <w:lang w:val="en-GB" w:eastAsia="en-IE"/>
              </w:rPr>
              <w:t>and</w:t>
            </w:r>
          </w:p>
          <w:p w14:paraId="43BC99A2" w14:textId="1DCA6437" w:rsidR="00016A70" w:rsidRPr="00016A70" w:rsidRDefault="00FF03F8" w:rsidP="002D605B">
            <w:pPr>
              <w:autoSpaceDE w:val="0"/>
              <w:autoSpaceDN w:val="0"/>
              <w:spacing w:after="0"/>
              <w:rPr>
                <w:rFonts w:eastAsia="Times New Roman" w:cs="Times New Roman"/>
                <w:sz w:val="24"/>
                <w:szCs w:val="24"/>
                <w:lang w:eastAsia="en-IE"/>
              </w:rPr>
            </w:pPr>
            <w:hyperlink r:id="rId28" w:history="1">
              <w:r w:rsidR="00016A70" w:rsidRPr="00016A70">
                <w:rPr>
                  <w:rStyle w:val="Hyperlink"/>
                  <w:rFonts w:eastAsia="Times New Roman" w:cs="Times New Roman"/>
                  <w:sz w:val="24"/>
                  <w:szCs w:val="24"/>
                  <w:lang w:val="en-GB" w:eastAsia="en-IE"/>
                </w:rPr>
                <w:t>http://sacp.government.bg/media/filer_public/2015/12/17/koordinatsionen-mehanizam-zadalzhenia-na-organite.pdf</w:t>
              </w:r>
            </w:hyperlink>
            <w:r w:rsidR="00016A70" w:rsidRPr="00016A70">
              <w:rPr>
                <w:rFonts w:eastAsia="Times New Roman" w:cs="Times New Roman"/>
                <w:sz w:val="24"/>
                <w:szCs w:val="24"/>
                <w:lang w:val="en-GB" w:eastAsia="en-IE"/>
              </w:rPr>
              <w:t>. (p.100)</w:t>
            </w:r>
          </w:p>
          <w:p w14:paraId="0596F0FE" w14:textId="5654FC4D" w:rsidR="00016A70" w:rsidRPr="00016A70" w:rsidRDefault="00016A70" w:rsidP="002D605B">
            <w:pPr>
              <w:rPr>
                <w:sz w:val="24"/>
                <w:szCs w:val="24"/>
              </w:rPr>
            </w:pPr>
          </w:p>
        </w:tc>
      </w:tr>
    </w:tbl>
    <w:p w14:paraId="0D9F3474" w14:textId="4780EBE2" w:rsidR="008F75AA" w:rsidRPr="00016A70" w:rsidRDefault="00561A3B" w:rsidP="00B37D35">
      <w:pPr>
        <w:autoSpaceDE w:val="0"/>
        <w:autoSpaceDN w:val="0"/>
        <w:adjustRightInd w:val="0"/>
        <w:spacing w:after="0" w:line="185" w:lineRule="atLeast"/>
        <w:rPr>
          <w:rFonts w:eastAsia="DaxlinePro-RegularItalic" w:cs="DaxlinePro-RegularItalic"/>
          <w:color w:val="000000"/>
          <w:sz w:val="24"/>
          <w:szCs w:val="24"/>
        </w:rPr>
      </w:pPr>
      <w:r>
        <w:rPr>
          <w:rFonts w:cs="DaxlinePro-Regular"/>
          <w:color w:val="000000"/>
          <w:sz w:val="24"/>
          <w:szCs w:val="24"/>
        </w:rPr>
        <w:t>“</w:t>
      </w:r>
      <w:r w:rsidR="008F75AA" w:rsidRPr="00016A70">
        <w:rPr>
          <w:rFonts w:cs="DaxlinePro-Regular"/>
          <w:color w:val="000000"/>
          <w:sz w:val="24"/>
          <w:szCs w:val="24"/>
        </w:rPr>
        <w:t xml:space="preserve">Different forms of help and support services exist in the EU Member States covered by the FRA research. For example, in </w:t>
      </w:r>
      <w:r w:rsidR="008F75AA" w:rsidRPr="00C4175B">
        <w:rPr>
          <w:rFonts w:cs="DaxlinePro-Regular"/>
          <w:b/>
          <w:color w:val="000000"/>
          <w:sz w:val="24"/>
          <w:szCs w:val="24"/>
        </w:rPr>
        <w:t>Bulgaria</w:t>
      </w:r>
      <w:r w:rsidR="008F75AA" w:rsidRPr="00016A70">
        <w:rPr>
          <w:rFonts w:cs="DaxlinePro-Regular"/>
          <w:color w:val="000000"/>
          <w:sz w:val="24"/>
          <w:szCs w:val="24"/>
        </w:rPr>
        <w:t>, Croatia, the Czech Republic, Lithuania and Poland, school psychologists and psycho</w:t>
      </w:r>
      <w:r w:rsidR="008F75AA" w:rsidRPr="00016A70">
        <w:rPr>
          <w:rFonts w:cs="DaxlinePro-Regular"/>
          <w:color w:val="000000"/>
          <w:sz w:val="24"/>
          <w:szCs w:val="24"/>
        </w:rPr>
        <w:softHyphen/>
        <w:t>logical services provide support</w:t>
      </w:r>
      <w:r>
        <w:rPr>
          <w:rFonts w:cs="DaxlinePro-Regular"/>
          <w:color w:val="000000"/>
          <w:sz w:val="24"/>
          <w:szCs w:val="24"/>
        </w:rPr>
        <w:t>.”</w:t>
      </w:r>
      <w:r w:rsidR="008F75AA" w:rsidRPr="00016A70">
        <w:rPr>
          <w:rFonts w:cs="DaxlinePro-Regular"/>
          <w:color w:val="000000"/>
          <w:sz w:val="24"/>
          <w:szCs w:val="24"/>
        </w:rPr>
        <w:t xml:space="preserve"> (p.101)</w:t>
      </w:r>
    </w:p>
    <w:p w14:paraId="2FABF785" w14:textId="7F20EE2D" w:rsidR="008F75AA" w:rsidRPr="00016A70" w:rsidRDefault="00561A3B" w:rsidP="00B37D35">
      <w:pPr>
        <w:autoSpaceDE w:val="0"/>
        <w:autoSpaceDN w:val="0"/>
        <w:adjustRightInd w:val="0"/>
        <w:spacing w:after="0" w:line="185" w:lineRule="atLeast"/>
        <w:rPr>
          <w:rFonts w:cs="DaxlinePro-Regular"/>
          <w:color w:val="000000"/>
          <w:sz w:val="24"/>
          <w:szCs w:val="24"/>
        </w:rPr>
      </w:pPr>
      <w:r>
        <w:rPr>
          <w:rFonts w:cs="DaxlinePro-Regular"/>
          <w:color w:val="000000"/>
          <w:sz w:val="24"/>
          <w:szCs w:val="24"/>
        </w:rPr>
        <w:t>“</w:t>
      </w:r>
      <w:r w:rsidR="008F75AA" w:rsidRPr="00016A70">
        <w:rPr>
          <w:rFonts w:cs="DaxlinePro-Regular"/>
          <w:color w:val="000000"/>
          <w:sz w:val="24"/>
          <w:szCs w:val="24"/>
        </w:rPr>
        <w:t xml:space="preserve">Respondents in </w:t>
      </w:r>
      <w:r w:rsidR="008F75AA" w:rsidRPr="00016A70">
        <w:rPr>
          <w:rFonts w:cs="DaxlinePro-Regular"/>
          <w:b/>
          <w:color w:val="000000"/>
          <w:sz w:val="24"/>
          <w:szCs w:val="24"/>
        </w:rPr>
        <w:t>Bulgaria</w:t>
      </w:r>
      <w:r w:rsidR="008F75AA" w:rsidRPr="00016A70">
        <w:rPr>
          <w:rFonts w:cs="DaxlinePro-Regular"/>
          <w:color w:val="000000"/>
          <w:sz w:val="24"/>
          <w:szCs w:val="24"/>
        </w:rPr>
        <w:t>, Croatia, the Czech Republic, Lithuania, Poland and Slovenia often mentioned NGOs as the main providers of support and help services to children. In particular, they identified DPOs as provid</w:t>
      </w:r>
      <w:r w:rsidR="008F75AA" w:rsidRPr="00016A70">
        <w:rPr>
          <w:rFonts w:cs="DaxlinePro-Regular"/>
          <w:color w:val="000000"/>
          <w:sz w:val="24"/>
          <w:szCs w:val="24"/>
        </w:rPr>
        <w:softHyphen/>
        <w:t xml:space="preserve">ing help and support services targeted at children with disabilities and their </w:t>
      </w:r>
      <w:r w:rsidR="00016A70" w:rsidRPr="00016A70">
        <w:rPr>
          <w:rFonts w:cs="DaxlinePro-Regular"/>
          <w:color w:val="000000"/>
          <w:sz w:val="24"/>
          <w:szCs w:val="24"/>
        </w:rPr>
        <w:t>families.</w:t>
      </w:r>
      <w:r>
        <w:rPr>
          <w:rFonts w:cs="DaxlinePro-Regular"/>
          <w:color w:val="000000"/>
          <w:sz w:val="24"/>
          <w:szCs w:val="24"/>
        </w:rPr>
        <w:t>”</w:t>
      </w:r>
      <w:r w:rsidR="00016A70" w:rsidRPr="00016A70">
        <w:rPr>
          <w:rFonts w:cs="DaxlinePro-Regular"/>
          <w:color w:val="000000"/>
          <w:sz w:val="24"/>
          <w:szCs w:val="24"/>
        </w:rPr>
        <w:t xml:space="preserve"> </w:t>
      </w:r>
      <w:r w:rsidR="008F75AA" w:rsidRPr="00016A70">
        <w:rPr>
          <w:rFonts w:cs="DaxlinePro-Regular"/>
          <w:color w:val="000000"/>
          <w:sz w:val="24"/>
          <w:szCs w:val="24"/>
        </w:rPr>
        <w:t>(p.101)</w:t>
      </w:r>
    </w:p>
    <w:p w14:paraId="506318DD" w14:textId="280A7040" w:rsidR="008F75AA" w:rsidRPr="00016A70" w:rsidRDefault="00016A70" w:rsidP="00B37D35">
      <w:pPr>
        <w:autoSpaceDE w:val="0"/>
        <w:autoSpaceDN w:val="0"/>
        <w:adjustRightInd w:val="0"/>
        <w:spacing w:after="0" w:line="185" w:lineRule="atLeast"/>
        <w:rPr>
          <w:rFonts w:cs="DaxlinePro-Regular"/>
          <w:color w:val="000000"/>
          <w:sz w:val="24"/>
          <w:szCs w:val="24"/>
        </w:rPr>
      </w:pPr>
      <w:r w:rsidRPr="00016A70">
        <w:rPr>
          <w:rFonts w:cs="DaxlinePro-Regular"/>
          <w:color w:val="000000"/>
          <w:sz w:val="24"/>
          <w:szCs w:val="24"/>
        </w:rPr>
        <w:t>“</w:t>
      </w:r>
      <w:r w:rsidR="008F75AA" w:rsidRPr="00016A70">
        <w:rPr>
          <w:rFonts w:cs="DaxlinePro-Regular"/>
          <w:color w:val="000000"/>
          <w:sz w:val="24"/>
          <w:szCs w:val="24"/>
        </w:rPr>
        <w:t>In line with a UN study stressing that “short</w:t>
      </w:r>
      <w:r w:rsidR="008F75AA" w:rsidRPr="00016A70">
        <w:rPr>
          <w:rFonts w:cs="DaxlinePro-Regular"/>
          <w:color w:val="000000"/>
          <w:sz w:val="24"/>
          <w:szCs w:val="24"/>
        </w:rPr>
        <w:noBreakHyphen/>
        <w:t>term respite care for parents of children with disabilities can reduce stress on the family as a whole, but also act as a pre</w:t>
      </w:r>
      <w:r w:rsidR="008F75AA" w:rsidRPr="00016A70">
        <w:rPr>
          <w:rFonts w:cs="DaxlinePro-Regular"/>
          <w:color w:val="000000"/>
          <w:sz w:val="24"/>
          <w:szCs w:val="24"/>
        </w:rPr>
        <w:softHyphen/>
        <w:t>ventive strategy against violence”,</w:t>
      </w:r>
      <w:r w:rsidR="008F75AA" w:rsidRPr="00016A70">
        <w:rPr>
          <w:rStyle w:val="A13"/>
          <w:sz w:val="24"/>
          <w:szCs w:val="24"/>
        </w:rPr>
        <w:t xml:space="preserve"> </w:t>
      </w:r>
      <w:r w:rsidR="008F75AA" w:rsidRPr="00016A70">
        <w:rPr>
          <w:rFonts w:cs="DaxlinePro-Regular"/>
          <w:color w:val="000000"/>
          <w:sz w:val="24"/>
          <w:szCs w:val="24"/>
        </w:rPr>
        <w:t>many respond</w:t>
      </w:r>
      <w:r w:rsidR="008F75AA" w:rsidRPr="00016A70">
        <w:rPr>
          <w:rFonts w:cs="DaxlinePro-Regular"/>
          <w:color w:val="000000"/>
          <w:sz w:val="24"/>
          <w:szCs w:val="24"/>
        </w:rPr>
        <w:softHyphen/>
        <w:t xml:space="preserve">ents – for instance, from Austria, </w:t>
      </w:r>
      <w:r w:rsidR="008F75AA" w:rsidRPr="00016A70">
        <w:rPr>
          <w:rFonts w:cs="DaxlinePro-Regular"/>
          <w:b/>
          <w:color w:val="000000"/>
          <w:sz w:val="24"/>
          <w:szCs w:val="24"/>
        </w:rPr>
        <w:t>Bulgaria</w:t>
      </w:r>
      <w:r w:rsidR="008F75AA" w:rsidRPr="00016A70">
        <w:rPr>
          <w:rFonts w:cs="DaxlinePro-Regular"/>
          <w:color w:val="000000"/>
          <w:sz w:val="24"/>
          <w:szCs w:val="24"/>
        </w:rPr>
        <w:t>, Croatia, the Czech Republic, Italy and Sweden – called for the adop</w:t>
      </w:r>
      <w:r w:rsidR="008F75AA" w:rsidRPr="00016A70">
        <w:rPr>
          <w:rFonts w:cs="DaxlinePro-Regular"/>
          <w:color w:val="000000"/>
          <w:sz w:val="24"/>
          <w:szCs w:val="24"/>
        </w:rPr>
        <w:softHyphen/>
        <w:t>tion of support programmes for parents of children with disabilities, with a pa</w:t>
      </w:r>
      <w:r w:rsidRPr="00016A70">
        <w:rPr>
          <w:rFonts w:cs="DaxlinePro-Regular"/>
          <w:color w:val="000000"/>
          <w:sz w:val="24"/>
          <w:szCs w:val="24"/>
        </w:rPr>
        <w:t>rticular focus on early support.” (p.103)</w:t>
      </w:r>
    </w:p>
    <w:p w14:paraId="644A8113" w14:textId="45C2772C" w:rsidR="00016A70" w:rsidRPr="00016A70" w:rsidRDefault="00016A70" w:rsidP="00B37D35">
      <w:pPr>
        <w:autoSpaceDE w:val="0"/>
        <w:autoSpaceDN w:val="0"/>
        <w:adjustRightInd w:val="0"/>
        <w:spacing w:after="0" w:line="185" w:lineRule="atLeast"/>
        <w:rPr>
          <w:rFonts w:eastAsia="DaxlinePro-Regular" w:cs="DaxlinePro-Regular"/>
          <w:color w:val="000000"/>
          <w:sz w:val="24"/>
          <w:szCs w:val="24"/>
        </w:rPr>
      </w:pPr>
      <w:r w:rsidRPr="00016A70">
        <w:rPr>
          <w:rFonts w:eastAsia="DaxlinePro-RegularItalic" w:cs="DaxlinePro-RegularItalic"/>
          <w:i/>
          <w:iCs/>
          <w:color w:val="000000"/>
          <w:sz w:val="24"/>
          <w:szCs w:val="24"/>
        </w:rPr>
        <w:t xml:space="preserve">“The majority of the children with disabilities need personal assistance. This personal assistant costs money and parents cannot afford it and are forced to look after their child and not have a job which is unacceptable. In my view, there should be funds for the personal assistant service for every child with disability, so the parents can have a normal job and the child could receive care in particular hours during the day, not to be left alone and closed inside his/her home, to be </w:t>
      </w:r>
      <w:r w:rsidRPr="00016A70">
        <w:rPr>
          <w:rFonts w:eastAsia="DaxlinePro-RegularItalic" w:cs="DaxlinePro-RegularItalic"/>
          <w:i/>
          <w:iCs/>
          <w:color w:val="000000"/>
          <w:sz w:val="24"/>
          <w:szCs w:val="24"/>
        </w:rPr>
        <w:lastRenderedPageBreak/>
        <w:t xml:space="preserve">able to socialise with other children with similar disabilities, to be able to live as most normally as possible. So, in that regard assistance programmes would be very useful.” </w:t>
      </w:r>
      <w:r w:rsidRPr="00016A70">
        <w:rPr>
          <w:rFonts w:eastAsia="DaxlinePro-Regular" w:cs="DaxlinePro-Regular"/>
          <w:color w:val="000000"/>
          <w:sz w:val="24"/>
          <w:szCs w:val="24"/>
        </w:rPr>
        <w:t xml:space="preserve">(Commissioner at the Protection against Discrimination Commission, </w:t>
      </w:r>
      <w:r w:rsidRPr="00016A70">
        <w:rPr>
          <w:rFonts w:eastAsia="DaxlinePro-Regular" w:cs="DaxlinePro-Regular"/>
          <w:b/>
          <w:color w:val="000000"/>
          <w:sz w:val="24"/>
          <w:szCs w:val="24"/>
        </w:rPr>
        <w:t>Bulgaria</w:t>
      </w:r>
      <w:r w:rsidRPr="00016A70">
        <w:rPr>
          <w:rFonts w:eastAsia="DaxlinePro-Regular" w:cs="DaxlinePro-Regular"/>
          <w:color w:val="000000"/>
          <w:sz w:val="24"/>
          <w:szCs w:val="24"/>
        </w:rPr>
        <w:t>) (p.103)</w:t>
      </w:r>
    </w:p>
    <w:p w14:paraId="1946A493" w14:textId="0AD19526" w:rsidR="00016A70" w:rsidRPr="00016A70" w:rsidRDefault="00016A70" w:rsidP="00B37D35">
      <w:pPr>
        <w:autoSpaceDE w:val="0"/>
        <w:autoSpaceDN w:val="0"/>
        <w:adjustRightInd w:val="0"/>
        <w:spacing w:after="0" w:line="185" w:lineRule="atLeast"/>
        <w:rPr>
          <w:rFonts w:eastAsia="DaxlinePro-Regular" w:cs="DaxlinePro-Regular"/>
          <w:color w:val="000000"/>
          <w:sz w:val="24"/>
          <w:szCs w:val="24"/>
        </w:rPr>
      </w:pPr>
      <w:r w:rsidRPr="00016A70">
        <w:rPr>
          <w:rFonts w:eastAsia="DaxlinePro-RegularItalic" w:cs="DaxlinePro-RegularItalic"/>
          <w:i/>
          <w:iCs/>
          <w:color w:val="000000"/>
          <w:sz w:val="24"/>
          <w:szCs w:val="24"/>
        </w:rPr>
        <w:t xml:space="preserve">“Lack of financial security is also a risk. There are no funds for lots of the activities because a large number of them are […] implemented through projects. Every project has a deadline, duration and then […]” </w:t>
      </w:r>
      <w:r w:rsidRPr="00016A70">
        <w:rPr>
          <w:rFonts w:eastAsia="DaxlinePro-Regular" w:cs="DaxlinePro-Regular"/>
          <w:color w:val="000000"/>
          <w:sz w:val="24"/>
          <w:szCs w:val="24"/>
        </w:rPr>
        <w:t xml:space="preserve">(Child expert, </w:t>
      </w:r>
      <w:r w:rsidRPr="00016A70">
        <w:rPr>
          <w:rFonts w:eastAsia="DaxlinePro-Regular" w:cs="DaxlinePro-Regular"/>
          <w:b/>
          <w:color w:val="000000"/>
          <w:sz w:val="24"/>
          <w:szCs w:val="24"/>
        </w:rPr>
        <w:t>Bulgaria</w:t>
      </w:r>
      <w:r w:rsidRPr="00016A70">
        <w:rPr>
          <w:rFonts w:eastAsia="DaxlinePro-Regular" w:cs="DaxlinePro-Regular"/>
          <w:color w:val="000000"/>
          <w:sz w:val="24"/>
          <w:szCs w:val="24"/>
        </w:rPr>
        <w:t>) (p.104)</w:t>
      </w:r>
    </w:p>
    <w:p w14:paraId="5062AC99" w14:textId="059DB748" w:rsidR="00016A70" w:rsidRPr="00016A70" w:rsidRDefault="00561A3B" w:rsidP="00B37D35">
      <w:pPr>
        <w:autoSpaceDE w:val="0"/>
        <w:autoSpaceDN w:val="0"/>
        <w:adjustRightInd w:val="0"/>
        <w:spacing w:after="0" w:line="185" w:lineRule="atLeast"/>
        <w:rPr>
          <w:rFonts w:eastAsia="DaxlinePro-RegularItalic" w:cs="DaxlinePro-RegularItalic"/>
          <w:color w:val="000000"/>
          <w:sz w:val="24"/>
          <w:szCs w:val="24"/>
        </w:rPr>
      </w:pPr>
      <w:r>
        <w:rPr>
          <w:rFonts w:cs="DaxlinePro-Regular"/>
          <w:color w:val="000000"/>
          <w:sz w:val="24"/>
          <w:szCs w:val="24"/>
        </w:rPr>
        <w:t>“</w:t>
      </w:r>
      <w:r w:rsidR="00016A70" w:rsidRPr="00016A70">
        <w:rPr>
          <w:rFonts w:cs="DaxlinePro-Regular"/>
          <w:color w:val="000000"/>
          <w:sz w:val="24"/>
          <w:szCs w:val="24"/>
        </w:rPr>
        <w:t xml:space="preserve">Several respondents from </w:t>
      </w:r>
      <w:r w:rsidR="00016A70" w:rsidRPr="00016A70">
        <w:rPr>
          <w:rFonts w:cs="DaxlinePro-Regular"/>
          <w:b/>
          <w:color w:val="000000"/>
          <w:sz w:val="24"/>
          <w:szCs w:val="24"/>
        </w:rPr>
        <w:t>Bulgaria</w:t>
      </w:r>
      <w:r w:rsidR="00016A70" w:rsidRPr="00016A70">
        <w:rPr>
          <w:rFonts w:cs="DaxlinePro-Regular"/>
          <w:color w:val="000000"/>
          <w:sz w:val="24"/>
          <w:szCs w:val="24"/>
        </w:rPr>
        <w:t>, the Czech Republic, Sweden and the United Kingdom maintained that sup</w:t>
      </w:r>
      <w:r w:rsidR="00016A70" w:rsidRPr="00016A70">
        <w:rPr>
          <w:rFonts w:cs="DaxlinePro-Regular"/>
          <w:color w:val="000000"/>
          <w:sz w:val="24"/>
          <w:szCs w:val="24"/>
        </w:rPr>
        <w:softHyphen/>
        <w:t>port services for children with disabilities lack consist</w:t>
      </w:r>
      <w:r w:rsidR="00016A70" w:rsidRPr="00016A70">
        <w:rPr>
          <w:rFonts w:cs="DaxlinePro-Regular"/>
          <w:color w:val="000000"/>
          <w:sz w:val="24"/>
          <w:szCs w:val="24"/>
        </w:rPr>
        <w:softHyphen/>
        <w:t>ency and that practices vary in different localities. Many emphasised that parents of children with disabilities are forced to change their place of residence to access appropriate services for their children.</w:t>
      </w:r>
      <w:r>
        <w:rPr>
          <w:rFonts w:cs="DaxlinePro-Regular"/>
          <w:color w:val="000000"/>
          <w:sz w:val="24"/>
          <w:szCs w:val="24"/>
        </w:rPr>
        <w:t>”</w:t>
      </w:r>
      <w:r w:rsidR="00016A70" w:rsidRPr="00016A70">
        <w:rPr>
          <w:rFonts w:cs="DaxlinePro-Regular"/>
          <w:color w:val="000000"/>
          <w:sz w:val="24"/>
          <w:szCs w:val="24"/>
        </w:rPr>
        <w:t xml:space="preserve"> (p.104)</w:t>
      </w:r>
    </w:p>
    <w:p w14:paraId="62F1979D" w14:textId="050E36DF" w:rsidR="008F75AA" w:rsidRPr="00016A70" w:rsidRDefault="00561A3B" w:rsidP="00B37D35">
      <w:pPr>
        <w:autoSpaceDE w:val="0"/>
        <w:autoSpaceDN w:val="0"/>
        <w:adjustRightInd w:val="0"/>
        <w:spacing w:after="0" w:line="185" w:lineRule="atLeast"/>
        <w:rPr>
          <w:rFonts w:eastAsia="DaxlinePro-Regular" w:cs="DaxlinePro-Regular"/>
          <w:color w:val="000000"/>
          <w:sz w:val="24"/>
          <w:szCs w:val="24"/>
        </w:rPr>
      </w:pPr>
      <w:r>
        <w:rPr>
          <w:rFonts w:eastAsia="DaxlinePro-RegularItalic" w:cs="DaxlinePro-RegularItalic"/>
          <w:i/>
          <w:iCs/>
          <w:color w:val="000000"/>
          <w:sz w:val="24"/>
          <w:szCs w:val="24"/>
        </w:rPr>
        <w:t>“</w:t>
      </w:r>
      <w:r w:rsidR="00016A70" w:rsidRPr="00016A70">
        <w:rPr>
          <w:rFonts w:eastAsia="DaxlinePro-RegularItalic" w:cs="DaxlinePro-RegularItalic"/>
          <w:i/>
          <w:iCs/>
          <w:color w:val="000000"/>
          <w:sz w:val="24"/>
          <w:szCs w:val="24"/>
        </w:rPr>
        <w:t xml:space="preserve">One of the gravest forms of discrimination is the lack of appropriate services for disabled children in the community. Disabled children’s families are often forced to migrate and turn their lives upside down for the lack of such services for children with autism or other kinds of impairment outside the cities. Naturally, you couldn’t provide these services everywhere or they would be ‘empty’. But there are alternative options like mobile services, for instance.” </w:t>
      </w:r>
      <w:r w:rsidR="00016A70" w:rsidRPr="00016A70">
        <w:rPr>
          <w:rFonts w:eastAsia="DaxlinePro-Regular" w:cs="DaxlinePro-Regular"/>
          <w:color w:val="000000"/>
          <w:sz w:val="24"/>
          <w:szCs w:val="24"/>
        </w:rPr>
        <w:t xml:space="preserve">(Children’s rights expert at national human rights institution, </w:t>
      </w:r>
      <w:r w:rsidR="00016A70" w:rsidRPr="00016A70">
        <w:rPr>
          <w:rFonts w:eastAsia="DaxlinePro-Regular" w:cs="DaxlinePro-Regular"/>
          <w:b/>
          <w:color w:val="000000"/>
          <w:sz w:val="24"/>
          <w:szCs w:val="24"/>
        </w:rPr>
        <w:t>Bulgaria</w:t>
      </w:r>
      <w:r w:rsidR="00016A70" w:rsidRPr="00016A70">
        <w:rPr>
          <w:rFonts w:eastAsia="DaxlinePro-Regular" w:cs="DaxlinePro-Regular"/>
          <w:color w:val="000000"/>
          <w:sz w:val="24"/>
          <w:szCs w:val="24"/>
        </w:rPr>
        <w:t>) (p.105)</w:t>
      </w:r>
    </w:p>
    <w:p w14:paraId="579D9E7C" w14:textId="4A27CF90" w:rsidR="004F7947" w:rsidRDefault="00561A3B" w:rsidP="00B37D35">
      <w:pPr>
        <w:autoSpaceDE w:val="0"/>
        <w:autoSpaceDN w:val="0"/>
        <w:adjustRightInd w:val="0"/>
        <w:spacing w:after="0" w:line="185" w:lineRule="atLeast"/>
        <w:rPr>
          <w:rFonts w:cs="DaxlinePro-Regular"/>
          <w:color w:val="000000"/>
          <w:sz w:val="24"/>
          <w:szCs w:val="24"/>
        </w:rPr>
      </w:pPr>
      <w:r>
        <w:rPr>
          <w:rFonts w:cs="DaxlinePro-Regular"/>
          <w:color w:val="000000"/>
          <w:sz w:val="24"/>
          <w:szCs w:val="24"/>
        </w:rPr>
        <w:t>“</w:t>
      </w:r>
      <w:r w:rsidR="00016A70" w:rsidRPr="00016A70">
        <w:rPr>
          <w:rFonts w:cs="DaxlinePro-Regular"/>
          <w:color w:val="000000"/>
          <w:sz w:val="24"/>
          <w:szCs w:val="24"/>
        </w:rPr>
        <w:t>Some respond</w:t>
      </w:r>
      <w:r w:rsidR="00016A70" w:rsidRPr="00016A70">
        <w:rPr>
          <w:rFonts w:cs="DaxlinePro-Regular"/>
          <w:color w:val="000000"/>
          <w:sz w:val="24"/>
          <w:szCs w:val="24"/>
        </w:rPr>
        <w:softHyphen/>
        <w:t xml:space="preserve">ents in </w:t>
      </w:r>
      <w:r w:rsidR="00016A70" w:rsidRPr="00016A70">
        <w:rPr>
          <w:rFonts w:cs="DaxlinePro-Regular"/>
          <w:b/>
          <w:color w:val="000000"/>
          <w:sz w:val="24"/>
          <w:szCs w:val="24"/>
        </w:rPr>
        <w:t>Bulgaria</w:t>
      </w:r>
      <w:r w:rsidR="00016A70" w:rsidRPr="00016A70">
        <w:rPr>
          <w:rFonts w:cs="DaxlinePro-Regular"/>
          <w:color w:val="000000"/>
          <w:sz w:val="24"/>
          <w:szCs w:val="24"/>
        </w:rPr>
        <w:t>, the Czech Republic, Italy, Sweden and the United Kingdom, raised concern over discrepan</w:t>
      </w:r>
      <w:r w:rsidR="00016A70" w:rsidRPr="00016A70">
        <w:rPr>
          <w:rFonts w:cs="DaxlinePro-Regular"/>
          <w:color w:val="000000"/>
          <w:sz w:val="24"/>
          <w:szCs w:val="24"/>
        </w:rPr>
        <w:softHyphen/>
        <w:t>cies in service provision stemming from the devolution of powers and competences.</w:t>
      </w:r>
      <w:r>
        <w:rPr>
          <w:rFonts w:cs="DaxlinePro-Regular"/>
          <w:color w:val="000000"/>
          <w:sz w:val="24"/>
          <w:szCs w:val="24"/>
        </w:rPr>
        <w:t>”</w:t>
      </w:r>
      <w:r w:rsidR="00016A70" w:rsidRPr="00016A70">
        <w:rPr>
          <w:rFonts w:cs="DaxlinePro-Regular"/>
          <w:color w:val="000000"/>
          <w:sz w:val="24"/>
          <w:szCs w:val="24"/>
        </w:rPr>
        <w:t xml:space="preserve"> (p.105)</w:t>
      </w:r>
    </w:p>
    <w:p w14:paraId="4D86DF0D" w14:textId="77777777" w:rsidR="007637C6" w:rsidRPr="007637C6" w:rsidRDefault="007637C6" w:rsidP="007637C6">
      <w:pPr>
        <w:autoSpaceDE w:val="0"/>
        <w:autoSpaceDN w:val="0"/>
        <w:adjustRightInd w:val="0"/>
        <w:spacing w:after="100" w:line="185" w:lineRule="atLeast"/>
        <w:rPr>
          <w:rFonts w:cs="DaxlinePro-Regular"/>
          <w:color w:val="000000"/>
          <w:sz w:val="24"/>
          <w:szCs w:val="24"/>
        </w:rPr>
      </w:pPr>
    </w:p>
    <w:p w14:paraId="52599D57" w14:textId="77777777" w:rsidR="00281962" w:rsidRPr="004C24D1" w:rsidRDefault="00281962" w:rsidP="00B37D35">
      <w:pPr>
        <w:pStyle w:val="Heading2"/>
        <w:ind w:left="939"/>
      </w:pPr>
      <w:bookmarkStart w:id="17" w:name="_Toc518293491"/>
      <w:r w:rsidRPr="004C24D1">
        <w:t>Implementing the UN CRPD: An overview of legal reforms in EU Member States (2015)</w:t>
      </w:r>
      <w:bookmarkEnd w:id="17"/>
      <w:r w:rsidRPr="004C24D1">
        <w:t xml:space="preserve"> </w:t>
      </w:r>
    </w:p>
    <w:p w14:paraId="431D1950" w14:textId="2D5E3FF1" w:rsidR="00281962" w:rsidRPr="001B79F3" w:rsidRDefault="00281962" w:rsidP="00B37D35">
      <w:pPr>
        <w:spacing w:after="0"/>
        <w:rPr>
          <w:rStyle w:val="Hyperlink"/>
          <w:sz w:val="24"/>
          <w:szCs w:val="24"/>
        </w:rPr>
      </w:pPr>
      <w:r w:rsidRPr="001B79F3">
        <w:rPr>
          <w:color w:val="000000" w:themeColor="text1"/>
          <w:sz w:val="24"/>
          <w:szCs w:val="24"/>
        </w:rPr>
        <w:t xml:space="preserve">The report includes extensive information </w:t>
      </w:r>
      <w:r w:rsidR="00AC75BF">
        <w:rPr>
          <w:color w:val="000000" w:themeColor="text1"/>
          <w:sz w:val="24"/>
          <w:szCs w:val="24"/>
        </w:rPr>
        <w:t>regarding Bulgaria</w:t>
      </w:r>
      <w:r w:rsidRPr="001B79F3">
        <w:rPr>
          <w:color w:val="000000" w:themeColor="text1"/>
          <w:sz w:val="24"/>
          <w:szCs w:val="24"/>
        </w:rPr>
        <w:t>, these excerpts are just a selection.</w:t>
      </w:r>
      <w:r w:rsidR="00FE5A96">
        <w:rPr>
          <w:color w:val="000000" w:themeColor="text1"/>
          <w:sz w:val="24"/>
          <w:szCs w:val="24"/>
        </w:rPr>
        <w:t xml:space="preserve"> </w:t>
      </w:r>
      <w:r w:rsidRPr="001B79F3">
        <w:rPr>
          <w:color w:val="000000" w:themeColor="text1"/>
          <w:sz w:val="24"/>
          <w:szCs w:val="24"/>
        </w:rPr>
        <w:t>For more detailed information</w:t>
      </w:r>
      <w:r w:rsidRPr="001B79F3">
        <w:rPr>
          <w:sz w:val="24"/>
          <w:szCs w:val="24"/>
        </w:rPr>
        <w:t xml:space="preserve">: </w:t>
      </w:r>
      <w:hyperlink r:id="rId29" w:history="1">
        <w:r w:rsidRPr="001B79F3">
          <w:rPr>
            <w:rStyle w:val="Hyperlink"/>
            <w:sz w:val="24"/>
            <w:szCs w:val="24"/>
          </w:rPr>
          <w:t>http://fra.europa.eu/sites/default/files/fra-2015-focus-05-2015-crpd_en.pdf</w:t>
        </w:r>
      </w:hyperlink>
      <w:r w:rsidR="00561A3B" w:rsidRPr="00561A3B">
        <w:rPr>
          <w:rStyle w:val="Hyperlink"/>
          <w:color w:val="auto"/>
          <w:sz w:val="24"/>
          <w:szCs w:val="24"/>
          <w:u w:val="none"/>
        </w:rPr>
        <w:t>.</w:t>
      </w:r>
      <w:r w:rsidRPr="001B79F3">
        <w:rPr>
          <w:sz w:val="24"/>
          <w:szCs w:val="24"/>
        </w:rPr>
        <w:t xml:space="preserve"> </w:t>
      </w:r>
    </w:p>
    <w:p w14:paraId="61683E93" w14:textId="484E153B" w:rsidR="00376E84" w:rsidRPr="00280DA0" w:rsidRDefault="00561A3B" w:rsidP="00B37D35">
      <w:pPr>
        <w:spacing w:after="0"/>
        <w:rPr>
          <w:sz w:val="24"/>
          <w:szCs w:val="24"/>
        </w:rPr>
      </w:pPr>
      <w:r>
        <w:rPr>
          <w:sz w:val="24"/>
          <w:szCs w:val="24"/>
        </w:rPr>
        <w:lastRenderedPageBreak/>
        <w:t>“</w:t>
      </w:r>
      <w:r w:rsidR="00AC75BF" w:rsidRPr="00280DA0">
        <w:rPr>
          <w:sz w:val="24"/>
          <w:szCs w:val="24"/>
        </w:rPr>
        <w:t xml:space="preserve">Other countries, including </w:t>
      </w:r>
      <w:r w:rsidR="00AC75BF" w:rsidRPr="00280DA0">
        <w:rPr>
          <w:b/>
          <w:bCs/>
          <w:sz w:val="24"/>
          <w:szCs w:val="24"/>
        </w:rPr>
        <w:t>Bulgaria</w:t>
      </w:r>
      <w:r w:rsidR="00AC75BF" w:rsidRPr="00280DA0">
        <w:rPr>
          <w:sz w:val="24"/>
          <w:szCs w:val="24"/>
        </w:rPr>
        <w:t xml:space="preserve">, </w:t>
      </w:r>
      <w:r w:rsidR="00AC75BF" w:rsidRPr="00280DA0">
        <w:rPr>
          <w:bCs/>
          <w:sz w:val="24"/>
          <w:szCs w:val="24"/>
        </w:rPr>
        <w:t>Croatia</w:t>
      </w:r>
      <w:r w:rsidR="00AC75BF" w:rsidRPr="00280DA0">
        <w:rPr>
          <w:sz w:val="24"/>
          <w:szCs w:val="24"/>
        </w:rPr>
        <w:t xml:space="preserve">, </w:t>
      </w:r>
      <w:r w:rsidR="00AC75BF" w:rsidRPr="00280DA0">
        <w:rPr>
          <w:bCs/>
          <w:sz w:val="24"/>
          <w:szCs w:val="24"/>
        </w:rPr>
        <w:t>Estonia</w:t>
      </w:r>
      <w:r w:rsidR="00AC75BF" w:rsidRPr="00280DA0">
        <w:rPr>
          <w:sz w:val="24"/>
          <w:szCs w:val="24"/>
        </w:rPr>
        <w:t xml:space="preserve">, </w:t>
      </w:r>
      <w:r w:rsidR="00AC75BF" w:rsidRPr="00280DA0">
        <w:rPr>
          <w:bCs/>
          <w:sz w:val="24"/>
          <w:szCs w:val="24"/>
        </w:rPr>
        <w:t xml:space="preserve">Lithuania </w:t>
      </w:r>
      <w:r w:rsidR="00AC75BF" w:rsidRPr="00280DA0">
        <w:rPr>
          <w:sz w:val="24"/>
          <w:szCs w:val="24"/>
        </w:rPr>
        <w:t xml:space="preserve">and </w:t>
      </w:r>
      <w:r w:rsidR="00AC75BF" w:rsidRPr="00280DA0">
        <w:rPr>
          <w:bCs/>
          <w:sz w:val="24"/>
          <w:szCs w:val="24"/>
        </w:rPr>
        <w:t>Slovakia</w:t>
      </w:r>
      <w:r w:rsidR="00AC75BF" w:rsidRPr="00280DA0">
        <w:rPr>
          <w:sz w:val="24"/>
          <w:szCs w:val="24"/>
        </w:rPr>
        <w:t>, adopted strategies for the implementation of specific rights set out in the CRPD.</w:t>
      </w:r>
      <w:r>
        <w:rPr>
          <w:sz w:val="24"/>
          <w:szCs w:val="24"/>
        </w:rPr>
        <w:t>”</w:t>
      </w:r>
      <w:r w:rsidR="00AC75BF" w:rsidRPr="00280DA0">
        <w:rPr>
          <w:sz w:val="24"/>
          <w:szCs w:val="24"/>
        </w:rPr>
        <w:t xml:space="preserve"> (p.6)</w:t>
      </w:r>
    </w:p>
    <w:p w14:paraId="0EB08B7E" w14:textId="79B063C1" w:rsidR="00280DA0" w:rsidRPr="00280DA0" w:rsidRDefault="00561A3B" w:rsidP="00B37D35">
      <w:pPr>
        <w:spacing w:after="0"/>
        <w:rPr>
          <w:sz w:val="24"/>
          <w:szCs w:val="24"/>
        </w:rPr>
      </w:pPr>
      <w:r>
        <w:rPr>
          <w:sz w:val="24"/>
          <w:szCs w:val="24"/>
        </w:rPr>
        <w:t>“</w:t>
      </w:r>
      <w:r w:rsidR="00280DA0" w:rsidRPr="00280DA0">
        <w:rPr>
          <w:sz w:val="24"/>
          <w:szCs w:val="24"/>
        </w:rPr>
        <w:t xml:space="preserve">Several Member States, including </w:t>
      </w:r>
      <w:r w:rsidR="00280DA0" w:rsidRPr="00280DA0">
        <w:rPr>
          <w:b/>
          <w:bCs/>
          <w:sz w:val="24"/>
          <w:szCs w:val="24"/>
        </w:rPr>
        <w:t>Bulgaria</w:t>
      </w:r>
      <w:r w:rsidR="00280DA0" w:rsidRPr="00280DA0">
        <w:rPr>
          <w:sz w:val="24"/>
          <w:szCs w:val="24"/>
        </w:rPr>
        <w:t xml:space="preserve">, </w:t>
      </w:r>
      <w:r w:rsidR="00280DA0" w:rsidRPr="00280DA0">
        <w:rPr>
          <w:bCs/>
          <w:sz w:val="24"/>
          <w:szCs w:val="24"/>
        </w:rPr>
        <w:t>Cyprus</w:t>
      </w:r>
      <w:r w:rsidR="00280DA0" w:rsidRPr="00280DA0">
        <w:rPr>
          <w:sz w:val="24"/>
          <w:szCs w:val="24"/>
        </w:rPr>
        <w:t xml:space="preserve">, </w:t>
      </w:r>
      <w:r w:rsidR="00280DA0" w:rsidRPr="00280DA0">
        <w:rPr>
          <w:bCs/>
          <w:sz w:val="24"/>
          <w:szCs w:val="24"/>
        </w:rPr>
        <w:t xml:space="preserve">Denmark </w:t>
      </w:r>
      <w:r w:rsidR="00280DA0" w:rsidRPr="00280DA0">
        <w:rPr>
          <w:sz w:val="24"/>
          <w:szCs w:val="24"/>
        </w:rPr>
        <w:t xml:space="preserve">and </w:t>
      </w:r>
      <w:r w:rsidR="00280DA0" w:rsidRPr="00280DA0">
        <w:rPr>
          <w:bCs/>
          <w:sz w:val="24"/>
          <w:szCs w:val="24"/>
        </w:rPr>
        <w:t>Germany</w:t>
      </w:r>
      <w:r w:rsidR="00280DA0" w:rsidRPr="00280DA0">
        <w:rPr>
          <w:b/>
          <w:bCs/>
          <w:sz w:val="24"/>
          <w:szCs w:val="24"/>
        </w:rPr>
        <w:t xml:space="preserve"> </w:t>
      </w:r>
      <w:r w:rsidR="00280DA0" w:rsidRPr="00280DA0">
        <w:rPr>
          <w:sz w:val="24"/>
          <w:szCs w:val="24"/>
        </w:rPr>
        <w:t xml:space="preserve">have evaluated their programmes and strategies. […], </w:t>
      </w:r>
      <w:r w:rsidR="00280DA0" w:rsidRPr="00280DA0">
        <w:rPr>
          <w:b/>
          <w:bCs/>
          <w:sz w:val="24"/>
          <w:szCs w:val="24"/>
        </w:rPr>
        <w:t>Bulgaria</w:t>
      </w:r>
      <w:r w:rsidR="007210B1">
        <w:rPr>
          <w:sz w:val="24"/>
          <w:szCs w:val="24"/>
        </w:rPr>
        <w:t xml:space="preserve">, </w:t>
      </w:r>
      <w:r w:rsidR="007210B1" w:rsidRPr="007210B1">
        <w:rPr>
          <w:bCs/>
          <w:sz w:val="24"/>
          <w:szCs w:val="24"/>
        </w:rPr>
        <w:t xml:space="preserve">Croatia, </w:t>
      </w:r>
      <w:r w:rsidR="00280DA0" w:rsidRPr="007210B1">
        <w:rPr>
          <w:bCs/>
          <w:sz w:val="24"/>
          <w:szCs w:val="24"/>
        </w:rPr>
        <w:t xml:space="preserve">Hungary, Portugal </w:t>
      </w:r>
      <w:r w:rsidR="00280DA0" w:rsidRPr="007210B1">
        <w:rPr>
          <w:sz w:val="24"/>
          <w:szCs w:val="24"/>
        </w:rPr>
        <w:t xml:space="preserve">and </w:t>
      </w:r>
      <w:r w:rsidR="00280DA0" w:rsidRPr="007210B1">
        <w:rPr>
          <w:bCs/>
          <w:sz w:val="24"/>
          <w:szCs w:val="24"/>
        </w:rPr>
        <w:t>Romania</w:t>
      </w:r>
      <w:r w:rsidR="00280DA0" w:rsidRPr="00280DA0">
        <w:rPr>
          <w:b/>
          <w:bCs/>
          <w:sz w:val="24"/>
          <w:szCs w:val="24"/>
        </w:rPr>
        <w:t xml:space="preserve"> </w:t>
      </w:r>
      <w:r w:rsidR="00280DA0" w:rsidRPr="00280DA0">
        <w:rPr>
          <w:sz w:val="24"/>
          <w:szCs w:val="24"/>
        </w:rPr>
        <w:t>are in the process of preparing follow up action plans following the expiration of previous strategies.” (p.6)</w:t>
      </w:r>
    </w:p>
    <w:p w14:paraId="103AC179" w14:textId="4F8893A1" w:rsidR="00280DA0" w:rsidRPr="00280DA0" w:rsidRDefault="00561A3B" w:rsidP="00B37D35">
      <w:pPr>
        <w:spacing w:after="0"/>
        <w:rPr>
          <w:sz w:val="24"/>
          <w:szCs w:val="24"/>
        </w:rPr>
      </w:pPr>
      <w:r>
        <w:rPr>
          <w:sz w:val="24"/>
          <w:szCs w:val="24"/>
        </w:rPr>
        <w:t>“</w:t>
      </w:r>
      <w:r w:rsidR="00280DA0" w:rsidRPr="00280DA0">
        <w:rPr>
          <w:sz w:val="24"/>
          <w:szCs w:val="24"/>
        </w:rPr>
        <w:t xml:space="preserve">In other Member States, reforms are ongoing. For example, in </w:t>
      </w:r>
      <w:r w:rsidR="00280DA0" w:rsidRPr="00280DA0">
        <w:rPr>
          <w:b/>
          <w:bCs/>
          <w:sz w:val="24"/>
          <w:szCs w:val="24"/>
        </w:rPr>
        <w:t>Bulgaria</w:t>
      </w:r>
      <w:r w:rsidR="00280DA0" w:rsidRPr="00280DA0">
        <w:rPr>
          <w:sz w:val="24"/>
          <w:szCs w:val="24"/>
        </w:rPr>
        <w:t>, a draft Natural Persons and Support Measures Act envisages the abolition of full and partial deprivation of legal capacity and their replacement by supported decision-making</w:t>
      </w:r>
      <w:r>
        <w:rPr>
          <w:sz w:val="24"/>
          <w:szCs w:val="24"/>
        </w:rPr>
        <w:t>.”</w:t>
      </w:r>
      <w:r w:rsidR="00280DA0" w:rsidRPr="00280DA0">
        <w:rPr>
          <w:sz w:val="24"/>
          <w:szCs w:val="24"/>
        </w:rPr>
        <w:t xml:space="preserve"> (p.11)</w:t>
      </w:r>
    </w:p>
    <w:p w14:paraId="202C8B93" w14:textId="7649EC11" w:rsidR="00280DA0" w:rsidRPr="00280DA0" w:rsidRDefault="00561A3B" w:rsidP="00B37D35">
      <w:pPr>
        <w:spacing w:after="0"/>
        <w:rPr>
          <w:sz w:val="24"/>
          <w:szCs w:val="24"/>
        </w:rPr>
      </w:pPr>
      <w:r>
        <w:rPr>
          <w:sz w:val="24"/>
          <w:szCs w:val="24"/>
        </w:rPr>
        <w:t>“</w:t>
      </w:r>
      <w:r w:rsidR="00280DA0" w:rsidRPr="00280DA0">
        <w:rPr>
          <w:sz w:val="24"/>
          <w:szCs w:val="24"/>
        </w:rPr>
        <w:t xml:space="preserve">The Regulations for the Implementation of the Social Assistance Act in </w:t>
      </w:r>
      <w:r w:rsidR="00280DA0" w:rsidRPr="00280DA0">
        <w:rPr>
          <w:b/>
          <w:bCs/>
          <w:sz w:val="24"/>
          <w:szCs w:val="24"/>
        </w:rPr>
        <w:t>Bulgaria</w:t>
      </w:r>
      <w:r w:rsidR="00280DA0" w:rsidRPr="00280DA0">
        <w:rPr>
          <w:sz w:val="24"/>
          <w:szCs w:val="24"/>
        </w:rPr>
        <w:t>, adopted in 2010, entitle some people with psychosocial or intellectual disabilities to an assistant, but this is limited to 10 hours per year.</w:t>
      </w:r>
      <w:r>
        <w:rPr>
          <w:sz w:val="24"/>
          <w:szCs w:val="24"/>
        </w:rPr>
        <w:t>”</w:t>
      </w:r>
      <w:r w:rsidR="00280DA0" w:rsidRPr="00280DA0">
        <w:rPr>
          <w:sz w:val="24"/>
          <w:szCs w:val="24"/>
        </w:rPr>
        <w:t xml:space="preserve"> (p.11)</w:t>
      </w:r>
    </w:p>
    <w:p w14:paraId="1CEDF51B" w14:textId="13CA2DBF" w:rsidR="00280DA0" w:rsidRPr="00280DA0" w:rsidRDefault="00561A3B" w:rsidP="00B37D35">
      <w:pPr>
        <w:spacing w:after="0"/>
        <w:rPr>
          <w:sz w:val="24"/>
          <w:szCs w:val="24"/>
        </w:rPr>
      </w:pPr>
      <w:r>
        <w:rPr>
          <w:sz w:val="24"/>
          <w:szCs w:val="24"/>
        </w:rPr>
        <w:t>“</w:t>
      </w:r>
      <w:r w:rsidR="00280DA0" w:rsidRPr="00280DA0">
        <w:rPr>
          <w:sz w:val="24"/>
          <w:szCs w:val="24"/>
        </w:rPr>
        <w:t xml:space="preserve">Many Member States, including </w:t>
      </w:r>
      <w:r w:rsidR="00280DA0" w:rsidRPr="00280DA0">
        <w:rPr>
          <w:bCs/>
          <w:sz w:val="24"/>
          <w:szCs w:val="24"/>
        </w:rPr>
        <w:t>Austria</w:t>
      </w:r>
      <w:r w:rsidR="00280DA0" w:rsidRPr="00280DA0">
        <w:rPr>
          <w:sz w:val="24"/>
          <w:szCs w:val="24"/>
        </w:rPr>
        <w:t xml:space="preserve">, </w:t>
      </w:r>
      <w:r w:rsidR="00280DA0" w:rsidRPr="00AF5A6F">
        <w:rPr>
          <w:bCs/>
          <w:sz w:val="24"/>
          <w:szCs w:val="24"/>
        </w:rPr>
        <w:t>Belgium</w:t>
      </w:r>
      <w:r w:rsidR="00280DA0" w:rsidRPr="00AF5A6F">
        <w:rPr>
          <w:sz w:val="24"/>
          <w:szCs w:val="24"/>
        </w:rPr>
        <w:t>,</w:t>
      </w:r>
      <w:r w:rsidR="00280DA0" w:rsidRPr="00280DA0">
        <w:rPr>
          <w:sz w:val="24"/>
          <w:szCs w:val="24"/>
        </w:rPr>
        <w:t xml:space="preserve"> </w:t>
      </w:r>
      <w:r w:rsidR="00280DA0" w:rsidRPr="00AF5A6F">
        <w:rPr>
          <w:b/>
          <w:bCs/>
          <w:sz w:val="24"/>
          <w:szCs w:val="24"/>
        </w:rPr>
        <w:t>Bulgaria</w:t>
      </w:r>
      <w:r w:rsidR="00280DA0" w:rsidRPr="00280DA0">
        <w:rPr>
          <w:sz w:val="24"/>
          <w:szCs w:val="24"/>
        </w:rPr>
        <w:t xml:space="preserve">, </w:t>
      </w:r>
      <w:r w:rsidR="00280DA0" w:rsidRPr="00280DA0">
        <w:rPr>
          <w:bCs/>
          <w:sz w:val="24"/>
          <w:szCs w:val="24"/>
        </w:rPr>
        <w:t>Germany</w:t>
      </w:r>
      <w:r w:rsidR="00280DA0" w:rsidRPr="00280DA0">
        <w:rPr>
          <w:sz w:val="24"/>
          <w:szCs w:val="24"/>
        </w:rPr>
        <w:t xml:space="preserve">, </w:t>
      </w:r>
      <w:r w:rsidR="00280DA0" w:rsidRPr="00280DA0">
        <w:rPr>
          <w:bCs/>
          <w:sz w:val="24"/>
          <w:szCs w:val="24"/>
        </w:rPr>
        <w:t>France</w:t>
      </w:r>
      <w:r w:rsidR="00280DA0" w:rsidRPr="00280DA0">
        <w:rPr>
          <w:sz w:val="24"/>
          <w:szCs w:val="24"/>
        </w:rPr>
        <w:t xml:space="preserve">, </w:t>
      </w:r>
      <w:r w:rsidR="00280DA0" w:rsidRPr="00280DA0">
        <w:rPr>
          <w:bCs/>
          <w:sz w:val="24"/>
          <w:szCs w:val="24"/>
        </w:rPr>
        <w:t>Latvia</w:t>
      </w:r>
      <w:r w:rsidR="00280DA0" w:rsidRPr="00280DA0">
        <w:rPr>
          <w:sz w:val="24"/>
          <w:szCs w:val="24"/>
        </w:rPr>
        <w:t xml:space="preserve">, </w:t>
      </w:r>
      <w:r w:rsidR="00280DA0" w:rsidRPr="00280DA0">
        <w:rPr>
          <w:bCs/>
          <w:sz w:val="24"/>
          <w:szCs w:val="24"/>
        </w:rPr>
        <w:t>Luxemburg</w:t>
      </w:r>
      <w:r w:rsidR="00280DA0" w:rsidRPr="00280DA0">
        <w:rPr>
          <w:sz w:val="24"/>
          <w:szCs w:val="24"/>
        </w:rPr>
        <w:t xml:space="preserve"> and the </w:t>
      </w:r>
      <w:r w:rsidR="00280DA0" w:rsidRPr="00280DA0">
        <w:rPr>
          <w:bCs/>
          <w:sz w:val="24"/>
          <w:szCs w:val="24"/>
        </w:rPr>
        <w:t>United Kingdom</w:t>
      </w:r>
      <w:r w:rsidR="00280DA0" w:rsidRPr="00280DA0">
        <w:rPr>
          <w:sz w:val="24"/>
          <w:szCs w:val="24"/>
        </w:rPr>
        <w:t xml:space="preserve"> are taking steps towards an inclusive education system, reflecting the requirements of Article 24 of the CRPD.</w:t>
      </w:r>
      <w:r>
        <w:rPr>
          <w:sz w:val="24"/>
          <w:szCs w:val="24"/>
        </w:rPr>
        <w:t>”</w:t>
      </w:r>
      <w:r w:rsidR="00280DA0" w:rsidRPr="00280DA0">
        <w:rPr>
          <w:sz w:val="24"/>
          <w:szCs w:val="24"/>
        </w:rPr>
        <w:t xml:space="preserve"> (p.12)</w:t>
      </w:r>
    </w:p>
    <w:p w14:paraId="171EFD2A" w14:textId="1EDDD401" w:rsidR="00280DA0" w:rsidRPr="00280DA0" w:rsidRDefault="00561A3B" w:rsidP="00B37D35">
      <w:pPr>
        <w:spacing w:after="0"/>
        <w:rPr>
          <w:sz w:val="24"/>
          <w:szCs w:val="24"/>
        </w:rPr>
      </w:pPr>
      <w:r>
        <w:rPr>
          <w:sz w:val="24"/>
          <w:szCs w:val="24"/>
        </w:rPr>
        <w:t>“</w:t>
      </w:r>
      <w:r w:rsidR="00280DA0" w:rsidRPr="00280DA0">
        <w:rPr>
          <w:sz w:val="24"/>
          <w:szCs w:val="24"/>
        </w:rPr>
        <w:t xml:space="preserve">Other measures focus on the accessibility of the educational system. In </w:t>
      </w:r>
      <w:r w:rsidR="00280DA0" w:rsidRPr="00280DA0">
        <w:rPr>
          <w:b/>
          <w:bCs/>
          <w:sz w:val="24"/>
          <w:szCs w:val="24"/>
        </w:rPr>
        <w:t>Bulgaria</w:t>
      </w:r>
      <w:r w:rsidR="00280DA0" w:rsidRPr="00280DA0">
        <w:rPr>
          <w:sz w:val="24"/>
          <w:szCs w:val="24"/>
        </w:rPr>
        <w:t>, for instance, a national programme for accessible schooling aims to create a supportive environment for 400 children with intellectual disabilities who have been living in institutions now scheduled for closure. A complementary inclusive education programme has seen 1,331 pupils with special educational needs receive support to study in 84 pilot secondary schools.</w:t>
      </w:r>
      <w:r>
        <w:rPr>
          <w:sz w:val="24"/>
          <w:szCs w:val="24"/>
        </w:rPr>
        <w:t>”</w:t>
      </w:r>
      <w:r w:rsidR="00280DA0" w:rsidRPr="00280DA0">
        <w:rPr>
          <w:sz w:val="24"/>
          <w:szCs w:val="24"/>
        </w:rPr>
        <w:t xml:space="preserve"> (p.12)</w:t>
      </w:r>
    </w:p>
    <w:p w14:paraId="0423558C" w14:textId="02CC3B85" w:rsidR="00280DA0" w:rsidRPr="00280DA0" w:rsidRDefault="00561A3B" w:rsidP="00B37D35">
      <w:pPr>
        <w:spacing w:after="0"/>
        <w:rPr>
          <w:sz w:val="24"/>
          <w:szCs w:val="24"/>
        </w:rPr>
      </w:pPr>
      <w:r>
        <w:rPr>
          <w:bCs/>
          <w:sz w:val="24"/>
          <w:szCs w:val="24"/>
        </w:rPr>
        <w:t>“</w:t>
      </w:r>
      <w:r w:rsidR="007210B1" w:rsidRPr="007210B1">
        <w:rPr>
          <w:bCs/>
          <w:sz w:val="24"/>
          <w:szCs w:val="24"/>
        </w:rPr>
        <w:t>Other Member States have introduced mandatory quotas for employees with disabilities. […]</w:t>
      </w:r>
      <w:r w:rsidR="007210B1">
        <w:rPr>
          <w:b/>
          <w:bCs/>
          <w:sz w:val="24"/>
          <w:szCs w:val="24"/>
        </w:rPr>
        <w:t xml:space="preserve"> </w:t>
      </w:r>
      <w:r w:rsidR="00280DA0" w:rsidRPr="00280DA0">
        <w:rPr>
          <w:b/>
          <w:bCs/>
          <w:sz w:val="24"/>
          <w:szCs w:val="24"/>
        </w:rPr>
        <w:t>Bulgaria</w:t>
      </w:r>
      <w:r w:rsidR="00280DA0" w:rsidRPr="00280DA0">
        <w:rPr>
          <w:sz w:val="24"/>
          <w:szCs w:val="24"/>
        </w:rPr>
        <w:t xml:space="preserve">, </w:t>
      </w:r>
      <w:r w:rsidR="00280DA0" w:rsidRPr="007210B1">
        <w:rPr>
          <w:bCs/>
          <w:sz w:val="24"/>
          <w:szCs w:val="24"/>
        </w:rPr>
        <w:t xml:space="preserve">Hungary </w:t>
      </w:r>
      <w:r w:rsidR="00280DA0" w:rsidRPr="007210B1">
        <w:rPr>
          <w:sz w:val="24"/>
          <w:szCs w:val="24"/>
        </w:rPr>
        <w:t xml:space="preserve">and </w:t>
      </w:r>
      <w:r w:rsidR="00280DA0" w:rsidRPr="007210B1">
        <w:rPr>
          <w:bCs/>
          <w:sz w:val="24"/>
          <w:szCs w:val="24"/>
        </w:rPr>
        <w:t>Slovenia</w:t>
      </w:r>
      <w:r w:rsidR="00280DA0" w:rsidRPr="00280DA0">
        <w:rPr>
          <w:sz w:val="24"/>
          <w:szCs w:val="24"/>
        </w:rPr>
        <w:t xml:space="preserve"> introduced similar quota systems which apply to all companies which have at least 50, 25 and 20 employees respectively.</w:t>
      </w:r>
      <w:r>
        <w:rPr>
          <w:sz w:val="24"/>
          <w:szCs w:val="24"/>
        </w:rPr>
        <w:t>”</w:t>
      </w:r>
      <w:r w:rsidR="00280DA0" w:rsidRPr="00280DA0">
        <w:rPr>
          <w:sz w:val="24"/>
          <w:szCs w:val="24"/>
        </w:rPr>
        <w:t xml:space="preserve"> (p.</w:t>
      </w:r>
      <w:r w:rsidR="007210B1">
        <w:rPr>
          <w:sz w:val="24"/>
          <w:szCs w:val="24"/>
        </w:rPr>
        <w:t>12-</w:t>
      </w:r>
      <w:r w:rsidR="00280DA0" w:rsidRPr="00280DA0">
        <w:rPr>
          <w:sz w:val="24"/>
          <w:szCs w:val="24"/>
        </w:rPr>
        <w:t>13)</w:t>
      </w:r>
    </w:p>
    <w:p w14:paraId="7014107D" w14:textId="09AC10E6" w:rsidR="00561A3B" w:rsidRDefault="004F7947" w:rsidP="00B37D35">
      <w:pPr>
        <w:spacing w:after="0"/>
        <w:rPr>
          <w:sz w:val="24"/>
          <w:szCs w:val="24"/>
        </w:rPr>
      </w:pPr>
      <w:r>
        <w:rPr>
          <w:sz w:val="24"/>
          <w:szCs w:val="24"/>
        </w:rPr>
        <w:t>“</w:t>
      </w:r>
      <w:r w:rsidR="007210B1" w:rsidRPr="00280DA0">
        <w:rPr>
          <w:sz w:val="24"/>
          <w:szCs w:val="24"/>
        </w:rPr>
        <w:t>Furthermore</w:t>
      </w:r>
      <w:r w:rsidR="00280DA0" w:rsidRPr="00280DA0">
        <w:rPr>
          <w:sz w:val="24"/>
          <w:szCs w:val="24"/>
        </w:rPr>
        <w:t xml:space="preserve">, the judgment of the European Court of Human Rights in the case of </w:t>
      </w:r>
      <w:r w:rsidR="00280DA0" w:rsidRPr="00280DA0">
        <w:rPr>
          <w:i/>
          <w:iCs/>
          <w:sz w:val="24"/>
          <w:szCs w:val="24"/>
        </w:rPr>
        <w:t xml:space="preserve">Stanev v. </w:t>
      </w:r>
      <w:r w:rsidR="00280DA0" w:rsidRPr="00280DA0">
        <w:rPr>
          <w:b/>
          <w:i/>
          <w:iCs/>
          <w:sz w:val="24"/>
          <w:szCs w:val="24"/>
        </w:rPr>
        <w:t>Bulgaria</w:t>
      </w:r>
      <w:r w:rsidR="00280DA0" w:rsidRPr="00280DA0">
        <w:rPr>
          <w:sz w:val="24"/>
          <w:szCs w:val="24"/>
        </w:rPr>
        <w:t xml:space="preserve"> directly referred to the CRPD and prompted the setting up in </w:t>
      </w:r>
      <w:r w:rsidR="00280DA0" w:rsidRPr="00280DA0">
        <w:rPr>
          <w:b/>
          <w:sz w:val="24"/>
          <w:szCs w:val="24"/>
        </w:rPr>
        <w:t>Bulgaria</w:t>
      </w:r>
      <w:r w:rsidR="00280DA0" w:rsidRPr="00280DA0">
        <w:rPr>
          <w:sz w:val="24"/>
          <w:szCs w:val="24"/>
        </w:rPr>
        <w:t xml:space="preserve"> of a working group on the implementation of Article 12 of the convention.</w:t>
      </w:r>
      <w:r>
        <w:rPr>
          <w:sz w:val="24"/>
          <w:szCs w:val="24"/>
        </w:rPr>
        <w:t>”</w:t>
      </w:r>
      <w:r w:rsidR="00280DA0" w:rsidRPr="00280DA0">
        <w:rPr>
          <w:sz w:val="24"/>
          <w:szCs w:val="24"/>
        </w:rPr>
        <w:t xml:space="preserve"> (p.14)</w:t>
      </w:r>
    </w:p>
    <w:p w14:paraId="02840777" w14:textId="77777777" w:rsidR="00B37D35" w:rsidRPr="00280DA0" w:rsidRDefault="00B37D35" w:rsidP="00B37D35">
      <w:pPr>
        <w:spacing w:after="0"/>
        <w:rPr>
          <w:rStyle w:val="A9"/>
          <w:rFonts w:cstheme="minorBidi"/>
          <w:color w:val="auto"/>
          <w:sz w:val="24"/>
          <w:szCs w:val="24"/>
        </w:rPr>
      </w:pPr>
    </w:p>
    <w:p w14:paraId="423BDD22" w14:textId="77777777" w:rsidR="00281962" w:rsidRPr="001B79F3" w:rsidRDefault="00281962" w:rsidP="00B37D35">
      <w:pPr>
        <w:pStyle w:val="Heading2"/>
        <w:ind w:left="939"/>
      </w:pPr>
      <w:bookmarkStart w:id="18" w:name="_Toc518293492"/>
      <w:r w:rsidRPr="001B79F3">
        <w:lastRenderedPageBreak/>
        <w:t>The right to political participation for persons with disabilities: human rights indicators (2014)</w:t>
      </w:r>
      <w:bookmarkEnd w:id="18"/>
    </w:p>
    <w:p w14:paraId="2B1D4A9A" w14:textId="2DFC59FB" w:rsidR="00281962" w:rsidRDefault="00281962" w:rsidP="00B37D35">
      <w:pPr>
        <w:spacing w:after="0"/>
        <w:rPr>
          <w:sz w:val="24"/>
          <w:szCs w:val="24"/>
        </w:rPr>
      </w:pPr>
      <w:r w:rsidRPr="001B79F3">
        <w:rPr>
          <w:color w:val="000000" w:themeColor="text1"/>
          <w:sz w:val="24"/>
          <w:szCs w:val="24"/>
        </w:rPr>
        <w:t xml:space="preserve">The report includes extensive information </w:t>
      </w:r>
      <w:r w:rsidR="00AC75BF">
        <w:rPr>
          <w:color w:val="000000" w:themeColor="text1"/>
          <w:sz w:val="24"/>
          <w:szCs w:val="24"/>
        </w:rPr>
        <w:t>regarding Bulgaria</w:t>
      </w:r>
      <w:r w:rsidRPr="001B79F3">
        <w:rPr>
          <w:color w:val="000000" w:themeColor="text1"/>
          <w:sz w:val="24"/>
          <w:szCs w:val="24"/>
        </w:rPr>
        <w:t xml:space="preserve">, these excerpts are just a selection. For more detailed information: </w:t>
      </w:r>
      <w:hyperlink r:id="rId30" w:history="1">
        <w:r w:rsidRPr="001B79F3">
          <w:rPr>
            <w:rStyle w:val="Hyperlink"/>
            <w:sz w:val="24"/>
            <w:szCs w:val="24"/>
          </w:rPr>
          <w:t>http://fra.europa.eu/en/publication/2014/right-political-participation-persons-disabilities-human-rights-indicators</w:t>
        </w:r>
      </w:hyperlink>
      <w:r w:rsidR="006F4931" w:rsidRPr="001B79F3">
        <w:rPr>
          <w:rStyle w:val="Hyperlink"/>
          <w:color w:val="auto"/>
          <w:sz w:val="24"/>
          <w:szCs w:val="24"/>
          <w:u w:val="none"/>
        </w:rPr>
        <w:t>.</w:t>
      </w:r>
      <w:r w:rsidR="004F7947">
        <w:rPr>
          <w:sz w:val="24"/>
          <w:szCs w:val="24"/>
        </w:rPr>
        <w:t xml:space="preserve"> </w:t>
      </w:r>
    </w:p>
    <w:p w14:paraId="496AEB69" w14:textId="21688015" w:rsidR="00C77109" w:rsidRDefault="00C77109" w:rsidP="00B37D35">
      <w:pPr>
        <w:spacing w:after="0"/>
        <w:rPr>
          <w:sz w:val="24"/>
          <w:szCs w:val="24"/>
        </w:rPr>
      </w:pPr>
      <w:r>
        <w:rPr>
          <w:sz w:val="24"/>
          <w:szCs w:val="24"/>
        </w:rPr>
        <w:t>“</w:t>
      </w:r>
      <w:r w:rsidRPr="00C77109">
        <w:rPr>
          <w:sz w:val="24"/>
          <w:szCs w:val="24"/>
        </w:rPr>
        <w:t xml:space="preserve">In five Member States, </w:t>
      </w:r>
      <w:r w:rsidRPr="00AF5A6F">
        <w:rPr>
          <w:b/>
          <w:sz w:val="24"/>
          <w:szCs w:val="24"/>
        </w:rPr>
        <w:t>Bulgaria</w:t>
      </w:r>
      <w:r w:rsidRPr="00C77109">
        <w:rPr>
          <w:sz w:val="24"/>
          <w:szCs w:val="24"/>
        </w:rPr>
        <w:t>, the</w:t>
      </w:r>
      <w:r>
        <w:rPr>
          <w:sz w:val="24"/>
          <w:szCs w:val="24"/>
        </w:rPr>
        <w:t xml:space="preserve"> </w:t>
      </w:r>
      <w:r w:rsidRPr="00C77109">
        <w:rPr>
          <w:sz w:val="24"/>
          <w:szCs w:val="24"/>
        </w:rPr>
        <w:t>Czech Republic, Slovakia,</w:t>
      </w:r>
      <w:r>
        <w:rPr>
          <w:sz w:val="24"/>
          <w:szCs w:val="24"/>
        </w:rPr>
        <w:t xml:space="preserve"> Sweden and the United Kingdom, </w:t>
      </w:r>
      <w:r w:rsidRPr="00C77109">
        <w:rPr>
          <w:sz w:val="24"/>
          <w:szCs w:val="24"/>
        </w:rPr>
        <w:t xml:space="preserve">respondents with disabilities </w:t>
      </w:r>
      <w:r>
        <w:rPr>
          <w:sz w:val="24"/>
          <w:szCs w:val="24"/>
        </w:rPr>
        <w:t xml:space="preserve">report a noticeably lower level </w:t>
      </w:r>
      <w:r w:rsidRPr="00C77109">
        <w:rPr>
          <w:sz w:val="24"/>
          <w:szCs w:val="24"/>
        </w:rPr>
        <w:t>of trust in government than the general population</w:t>
      </w:r>
      <w:r>
        <w:rPr>
          <w:sz w:val="24"/>
          <w:szCs w:val="24"/>
        </w:rPr>
        <w:t>.” (p.28)</w:t>
      </w:r>
    </w:p>
    <w:p w14:paraId="60C43AAA" w14:textId="2E6471AB" w:rsidR="000206A4" w:rsidRDefault="00B75891" w:rsidP="00B37D35">
      <w:pPr>
        <w:spacing w:after="0"/>
        <w:rPr>
          <w:sz w:val="24"/>
          <w:szCs w:val="24"/>
        </w:rPr>
      </w:pPr>
      <w:r>
        <w:rPr>
          <w:sz w:val="24"/>
          <w:szCs w:val="24"/>
        </w:rPr>
        <w:t>“</w:t>
      </w:r>
      <w:r w:rsidR="000206A4" w:rsidRPr="000206A4">
        <w:rPr>
          <w:sz w:val="24"/>
          <w:szCs w:val="24"/>
        </w:rPr>
        <w:t>A further 15 EU Member States prohibit people with disab</w:t>
      </w:r>
      <w:r w:rsidR="000206A4">
        <w:rPr>
          <w:sz w:val="24"/>
          <w:szCs w:val="24"/>
        </w:rPr>
        <w:t xml:space="preserve">ilities </w:t>
      </w:r>
      <w:r w:rsidR="000206A4" w:rsidRPr="000206A4">
        <w:rPr>
          <w:sz w:val="24"/>
          <w:szCs w:val="24"/>
        </w:rPr>
        <w:t>who have been d</w:t>
      </w:r>
      <w:r w:rsidR="000206A4">
        <w:rPr>
          <w:sz w:val="24"/>
          <w:szCs w:val="24"/>
        </w:rPr>
        <w:t xml:space="preserve">eprived of their legal capacity </w:t>
      </w:r>
      <w:r w:rsidR="000206A4" w:rsidRPr="000206A4">
        <w:rPr>
          <w:sz w:val="24"/>
          <w:szCs w:val="24"/>
        </w:rPr>
        <w:t>from voting. The Membe</w:t>
      </w:r>
      <w:r w:rsidR="000206A4">
        <w:rPr>
          <w:sz w:val="24"/>
          <w:szCs w:val="24"/>
        </w:rPr>
        <w:t xml:space="preserve">r States are Belgium, </w:t>
      </w:r>
      <w:r w:rsidR="000206A4" w:rsidRPr="000206A4">
        <w:rPr>
          <w:b/>
          <w:sz w:val="24"/>
          <w:szCs w:val="24"/>
        </w:rPr>
        <w:t>Bulgaria</w:t>
      </w:r>
      <w:r w:rsidR="000206A4">
        <w:rPr>
          <w:sz w:val="24"/>
          <w:szCs w:val="24"/>
        </w:rPr>
        <w:t xml:space="preserve">, </w:t>
      </w:r>
      <w:r w:rsidR="000206A4" w:rsidRPr="000206A4">
        <w:rPr>
          <w:sz w:val="24"/>
          <w:szCs w:val="24"/>
        </w:rPr>
        <w:t>Cyprus, Denmark, Est</w:t>
      </w:r>
      <w:r w:rsidR="000206A4">
        <w:rPr>
          <w:sz w:val="24"/>
          <w:szCs w:val="24"/>
        </w:rPr>
        <w:t xml:space="preserve">onia, Germany, Greece, Ireland, </w:t>
      </w:r>
      <w:r w:rsidR="000206A4" w:rsidRPr="000206A4">
        <w:rPr>
          <w:sz w:val="24"/>
          <w:szCs w:val="24"/>
        </w:rPr>
        <w:t>Lithuania, Luxem</w:t>
      </w:r>
      <w:r w:rsidR="000206A4">
        <w:rPr>
          <w:sz w:val="24"/>
          <w:szCs w:val="24"/>
        </w:rPr>
        <w:t xml:space="preserve">bourg, Malta, Poland, Portugal, </w:t>
      </w:r>
      <w:r w:rsidR="000206A4" w:rsidRPr="000206A4">
        <w:rPr>
          <w:sz w:val="24"/>
          <w:szCs w:val="24"/>
        </w:rPr>
        <w:t>Romania and Slovakia</w:t>
      </w:r>
      <w:r w:rsidR="000206A4">
        <w:rPr>
          <w:sz w:val="24"/>
          <w:szCs w:val="24"/>
        </w:rPr>
        <w:t>.</w:t>
      </w:r>
      <w:r>
        <w:rPr>
          <w:sz w:val="24"/>
          <w:szCs w:val="24"/>
        </w:rPr>
        <w:t>”</w:t>
      </w:r>
      <w:r w:rsidR="000206A4">
        <w:rPr>
          <w:sz w:val="24"/>
          <w:szCs w:val="24"/>
        </w:rPr>
        <w:t xml:space="preserve"> (p.41)</w:t>
      </w:r>
    </w:p>
    <w:p w14:paraId="206CE9F7" w14:textId="7614B91A" w:rsidR="00B75891" w:rsidRDefault="00B75891" w:rsidP="002D605B">
      <w:pPr>
        <w:autoSpaceDE w:val="0"/>
        <w:autoSpaceDN w:val="0"/>
        <w:adjustRightInd w:val="0"/>
        <w:spacing w:after="0"/>
        <w:rPr>
          <w:rFonts w:eastAsia="DaxlinePro-Regular" w:cs="DaxlinePro-Regular"/>
          <w:sz w:val="24"/>
          <w:szCs w:val="24"/>
        </w:rPr>
      </w:pPr>
      <w:r>
        <w:rPr>
          <w:rFonts w:eastAsia="DaxlinePro-Regular" w:cs="DaxlinePro-Regular"/>
          <w:sz w:val="24"/>
          <w:szCs w:val="24"/>
        </w:rPr>
        <w:t>“</w:t>
      </w:r>
      <w:r w:rsidRPr="00B75891">
        <w:rPr>
          <w:rFonts w:eastAsia="DaxlinePro-Regular" w:cs="DaxlinePro-Regular"/>
          <w:sz w:val="24"/>
          <w:szCs w:val="24"/>
        </w:rPr>
        <w:t xml:space="preserve">In </w:t>
      </w:r>
      <w:r w:rsidRPr="00B75891">
        <w:rPr>
          <w:rFonts w:eastAsia="DaxlinePro-Regular" w:cs="DaxlinePro-Bold"/>
          <w:b/>
          <w:bCs/>
          <w:sz w:val="24"/>
          <w:szCs w:val="24"/>
        </w:rPr>
        <w:t>Bulgaria</w:t>
      </w:r>
      <w:r w:rsidRPr="00B75891">
        <w:rPr>
          <w:rFonts w:eastAsia="DaxlinePro-Regular" w:cs="DaxlinePro-Regular"/>
          <w:sz w:val="24"/>
          <w:szCs w:val="24"/>
        </w:rPr>
        <w:t xml:space="preserve">, for example, people who cannot vote at their assigned polling station for reasons associated with a disability have to request permission for mobile voting 30 days prior to election day while in </w:t>
      </w:r>
      <w:r w:rsidRPr="00AF5A6F">
        <w:rPr>
          <w:rFonts w:eastAsia="DaxlinePro-Regular" w:cs="DaxlinePro-Bold"/>
          <w:bCs/>
          <w:sz w:val="24"/>
          <w:szCs w:val="24"/>
        </w:rPr>
        <w:t>Poland</w:t>
      </w:r>
      <w:r w:rsidRPr="00AF5A6F">
        <w:rPr>
          <w:rFonts w:eastAsia="DaxlinePro-Regular" w:cs="DaxlinePro-Regular"/>
          <w:sz w:val="24"/>
          <w:szCs w:val="24"/>
        </w:rPr>
        <w:t>,</w:t>
      </w:r>
      <w:r w:rsidRPr="00B75891">
        <w:rPr>
          <w:rFonts w:eastAsia="DaxlinePro-Regular" w:cs="DaxlinePro-Regular"/>
          <w:sz w:val="24"/>
          <w:szCs w:val="24"/>
        </w:rPr>
        <w:t xml:space="preserve"> voters with disabilities can change their place of voting to a more accessible polling station if they notify the authorities at least 14 days before the vote.</w:t>
      </w:r>
      <w:r w:rsidR="00561A3B">
        <w:rPr>
          <w:rFonts w:eastAsia="DaxlinePro-Regular" w:cs="DaxlinePro-Regular"/>
          <w:sz w:val="24"/>
          <w:szCs w:val="24"/>
        </w:rPr>
        <w:t>” (p.41)</w:t>
      </w:r>
    </w:p>
    <w:p w14:paraId="484C86C1" w14:textId="4E5A1443" w:rsidR="00B75891" w:rsidRDefault="00B75891" w:rsidP="002D605B">
      <w:pPr>
        <w:autoSpaceDE w:val="0"/>
        <w:autoSpaceDN w:val="0"/>
        <w:adjustRightInd w:val="0"/>
        <w:spacing w:after="0"/>
        <w:rPr>
          <w:rFonts w:eastAsia="DaxlinePro-Regular" w:cs="DaxlinePro-Regular"/>
          <w:sz w:val="24"/>
          <w:szCs w:val="24"/>
        </w:rPr>
      </w:pPr>
      <w:r>
        <w:rPr>
          <w:rFonts w:eastAsia="DaxlinePro-Regular" w:cs="DaxlinePro-Regular"/>
          <w:sz w:val="24"/>
          <w:szCs w:val="24"/>
        </w:rPr>
        <w:t>“</w:t>
      </w:r>
      <w:r w:rsidRPr="00B75891">
        <w:rPr>
          <w:rFonts w:eastAsia="DaxlinePro-Regular" w:cs="DaxlinePro-Regular"/>
          <w:sz w:val="24"/>
          <w:szCs w:val="24"/>
        </w:rPr>
        <w:t xml:space="preserve">In Austria, </w:t>
      </w:r>
      <w:r w:rsidRPr="00B75891">
        <w:rPr>
          <w:rFonts w:eastAsia="DaxlinePro-Regular" w:cs="DaxlinePro-Regular"/>
          <w:b/>
          <w:sz w:val="24"/>
          <w:szCs w:val="24"/>
        </w:rPr>
        <w:t>Bulgaria</w:t>
      </w:r>
      <w:r>
        <w:rPr>
          <w:rFonts w:eastAsia="DaxlinePro-Regular" w:cs="DaxlinePro-Regular"/>
          <w:sz w:val="24"/>
          <w:szCs w:val="24"/>
        </w:rPr>
        <w:t xml:space="preserve">, Finland, France, Germany </w:t>
      </w:r>
      <w:r w:rsidRPr="00B75891">
        <w:rPr>
          <w:rFonts w:eastAsia="DaxlinePro-Regular" w:cs="DaxlinePro-Regular"/>
          <w:sz w:val="24"/>
          <w:szCs w:val="24"/>
        </w:rPr>
        <w:t>and Poland, fo</w:t>
      </w:r>
      <w:r>
        <w:rPr>
          <w:rFonts w:eastAsia="DaxlinePro-Regular" w:cs="DaxlinePro-Regular"/>
          <w:sz w:val="24"/>
          <w:szCs w:val="24"/>
        </w:rPr>
        <w:t xml:space="preserve">r example, the law provides for </w:t>
      </w:r>
      <w:r w:rsidRPr="00B75891">
        <w:rPr>
          <w:rFonts w:eastAsia="DaxlinePro-Regular" w:cs="DaxlinePro-Regular"/>
          <w:sz w:val="24"/>
          <w:szCs w:val="24"/>
        </w:rPr>
        <w:t>polling stations to be set up at long-term institution</w:t>
      </w:r>
      <w:r>
        <w:rPr>
          <w:rFonts w:eastAsia="DaxlinePro-Regular" w:cs="DaxlinePro-Regular"/>
          <w:sz w:val="24"/>
          <w:szCs w:val="24"/>
        </w:rPr>
        <w:t xml:space="preserve">s, </w:t>
      </w:r>
      <w:r w:rsidRPr="00B75891">
        <w:rPr>
          <w:rFonts w:eastAsia="DaxlinePro-Regular" w:cs="DaxlinePro-Regular"/>
          <w:sz w:val="24"/>
          <w:szCs w:val="24"/>
        </w:rPr>
        <w:t>although in Italy an ins</w:t>
      </w:r>
      <w:r>
        <w:rPr>
          <w:rFonts w:eastAsia="DaxlinePro-Regular" w:cs="DaxlinePro-Regular"/>
          <w:sz w:val="24"/>
          <w:szCs w:val="24"/>
        </w:rPr>
        <w:t xml:space="preserve">titution must have at least 200 </w:t>
      </w:r>
      <w:r w:rsidRPr="00B75891">
        <w:rPr>
          <w:rFonts w:eastAsia="DaxlinePro-Regular" w:cs="DaxlinePro-Regular"/>
          <w:sz w:val="24"/>
          <w:szCs w:val="24"/>
        </w:rPr>
        <w:t>beds before a polling station can be opened</w:t>
      </w:r>
      <w:r w:rsidR="00561A3B">
        <w:rPr>
          <w:rFonts w:eastAsia="DaxlinePro-Regular" w:cs="DaxlinePro-Regular"/>
          <w:sz w:val="24"/>
          <w:szCs w:val="24"/>
        </w:rPr>
        <w:t>.” (p.44)</w:t>
      </w:r>
    </w:p>
    <w:p w14:paraId="3ADA717B" w14:textId="343C6664" w:rsidR="00B75891" w:rsidRPr="00B75891" w:rsidRDefault="00B75891" w:rsidP="00B37D35">
      <w:pPr>
        <w:autoSpaceDE w:val="0"/>
        <w:autoSpaceDN w:val="0"/>
        <w:adjustRightInd w:val="0"/>
        <w:spacing w:after="0"/>
        <w:rPr>
          <w:rFonts w:eastAsia="DaxlinePro-Regular" w:cs="DaxlinePro-Regular"/>
          <w:sz w:val="24"/>
          <w:szCs w:val="24"/>
        </w:rPr>
      </w:pPr>
      <w:r>
        <w:rPr>
          <w:rFonts w:eastAsia="DaxlinePro-Regular" w:cs="DaxlinePro-Regular"/>
          <w:sz w:val="24"/>
          <w:szCs w:val="24"/>
        </w:rPr>
        <w:t>“</w:t>
      </w:r>
      <w:r w:rsidRPr="00B75891">
        <w:rPr>
          <w:rFonts w:eastAsia="DaxlinePro-Regular" w:cs="DaxlinePro-Regular"/>
          <w:sz w:val="24"/>
          <w:szCs w:val="24"/>
        </w:rPr>
        <w:t>In a further seven Mem</w:t>
      </w:r>
      <w:r>
        <w:rPr>
          <w:rFonts w:eastAsia="DaxlinePro-Regular" w:cs="DaxlinePro-Regular"/>
          <w:sz w:val="24"/>
          <w:szCs w:val="24"/>
        </w:rPr>
        <w:t xml:space="preserve">ber States – </w:t>
      </w:r>
      <w:r w:rsidRPr="00B75891">
        <w:rPr>
          <w:rFonts w:eastAsia="DaxlinePro-Regular" w:cs="DaxlinePro-Regular"/>
          <w:b/>
          <w:sz w:val="24"/>
          <w:szCs w:val="24"/>
        </w:rPr>
        <w:t>Bulgaria</w:t>
      </w:r>
      <w:r>
        <w:rPr>
          <w:rFonts w:eastAsia="DaxlinePro-Regular" w:cs="DaxlinePro-Regular"/>
          <w:sz w:val="24"/>
          <w:szCs w:val="24"/>
        </w:rPr>
        <w:t xml:space="preserve">, Croatia, </w:t>
      </w:r>
      <w:r w:rsidRPr="00B75891">
        <w:rPr>
          <w:rFonts w:eastAsia="DaxlinePro-Regular" w:cs="DaxlinePro-Regular"/>
          <w:sz w:val="24"/>
          <w:szCs w:val="24"/>
        </w:rPr>
        <w:t>the Czech Republi</w:t>
      </w:r>
      <w:r>
        <w:rPr>
          <w:rFonts w:eastAsia="DaxlinePro-Regular" w:cs="DaxlinePro-Regular"/>
          <w:sz w:val="24"/>
          <w:szCs w:val="24"/>
        </w:rPr>
        <w:t xml:space="preserve">c, Denmark, Italy, Slovenia and </w:t>
      </w:r>
      <w:r w:rsidRPr="00B75891">
        <w:rPr>
          <w:rFonts w:eastAsia="DaxlinePro-Regular" w:cs="DaxlinePro-Regular"/>
          <w:sz w:val="24"/>
          <w:szCs w:val="24"/>
        </w:rPr>
        <w:t xml:space="preserve">the United Kingdom – </w:t>
      </w:r>
      <w:r>
        <w:rPr>
          <w:rFonts w:eastAsia="DaxlinePro-Regular" w:cs="DaxlinePro-Regular"/>
          <w:sz w:val="24"/>
          <w:szCs w:val="24"/>
        </w:rPr>
        <w:t xml:space="preserve">only public media providers are </w:t>
      </w:r>
      <w:r w:rsidRPr="00B75891">
        <w:rPr>
          <w:rFonts w:eastAsia="DaxlinePro-Regular" w:cs="DaxlinePro-Regular"/>
          <w:sz w:val="24"/>
          <w:szCs w:val="24"/>
        </w:rPr>
        <w:t xml:space="preserve">obliged to ensure that </w:t>
      </w:r>
      <w:r>
        <w:rPr>
          <w:rFonts w:eastAsia="DaxlinePro-Regular" w:cs="DaxlinePro-Regular"/>
          <w:sz w:val="24"/>
          <w:szCs w:val="24"/>
        </w:rPr>
        <w:t xml:space="preserve">their broadcasts are accessible </w:t>
      </w:r>
      <w:r w:rsidRPr="00B75891">
        <w:rPr>
          <w:rFonts w:eastAsia="DaxlinePro-Regular" w:cs="DaxlinePro-Regular"/>
          <w:sz w:val="24"/>
          <w:szCs w:val="24"/>
        </w:rPr>
        <w:t>to persons with disabilities</w:t>
      </w:r>
      <w:r>
        <w:rPr>
          <w:rFonts w:eastAsia="DaxlinePro-Regular" w:cs="DaxlinePro-Regular"/>
          <w:sz w:val="24"/>
          <w:szCs w:val="24"/>
        </w:rPr>
        <w:t>.” (p.47)</w:t>
      </w:r>
    </w:p>
    <w:p w14:paraId="230C52EE" w14:textId="564D71EA" w:rsidR="00281962" w:rsidRPr="001B79F3" w:rsidRDefault="00B75891" w:rsidP="00B37D35">
      <w:pPr>
        <w:spacing w:after="0"/>
        <w:rPr>
          <w:sz w:val="24"/>
          <w:szCs w:val="24"/>
        </w:rPr>
      </w:pPr>
      <w:r>
        <w:rPr>
          <w:sz w:val="24"/>
          <w:szCs w:val="24"/>
        </w:rPr>
        <w:t xml:space="preserve">“No information was given in the </w:t>
      </w:r>
      <w:r w:rsidRPr="00B75891">
        <w:rPr>
          <w:sz w:val="24"/>
          <w:szCs w:val="24"/>
        </w:rPr>
        <w:t>report on accessibility</w:t>
      </w:r>
      <w:r>
        <w:rPr>
          <w:sz w:val="24"/>
          <w:szCs w:val="24"/>
        </w:rPr>
        <w:t xml:space="preserve"> standards in force for new and </w:t>
      </w:r>
      <w:r w:rsidRPr="00B75891">
        <w:rPr>
          <w:sz w:val="24"/>
          <w:szCs w:val="24"/>
        </w:rPr>
        <w:t>existing buildings</w:t>
      </w:r>
      <w:r>
        <w:rPr>
          <w:sz w:val="24"/>
          <w:szCs w:val="24"/>
        </w:rPr>
        <w:t xml:space="preserve"> in Slovenia, and there were no </w:t>
      </w:r>
      <w:r w:rsidRPr="00B75891">
        <w:rPr>
          <w:sz w:val="24"/>
          <w:szCs w:val="24"/>
        </w:rPr>
        <w:t>rapporteurs or nationa</w:t>
      </w:r>
      <w:r>
        <w:rPr>
          <w:sz w:val="24"/>
          <w:szCs w:val="24"/>
        </w:rPr>
        <w:t xml:space="preserve">l experts identified to provide </w:t>
      </w:r>
      <w:r w:rsidRPr="00B75891">
        <w:rPr>
          <w:sz w:val="24"/>
          <w:szCs w:val="24"/>
        </w:rPr>
        <w:t xml:space="preserve">information for </w:t>
      </w:r>
      <w:r w:rsidRPr="00B75891">
        <w:rPr>
          <w:b/>
          <w:sz w:val="24"/>
          <w:szCs w:val="24"/>
        </w:rPr>
        <w:t>Bulgaria</w:t>
      </w:r>
      <w:r w:rsidRPr="00B75891">
        <w:rPr>
          <w:sz w:val="24"/>
          <w:szCs w:val="24"/>
        </w:rPr>
        <w:t>, Croatia, Estonia and Latvia.</w:t>
      </w:r>
      <w:r w:rsidR="00561A3B">
        <w:rPr>
          <w:sz w:val="24"/>
          <w:szCs w:val="24"/>
        </w:rPr>
        <w:t>” (p.49)</w:t>
      </w:r>
    </w:p>
    <w:p w14:paraId="2AD63679" w14:textId="77777777" w:rsidR="00281962" w:rsidRPr="001B79F3" w:rsidRDefault="00281962" w:rsidP="00B37D35">
      <w:pPr>
        <w:spacing w:after="0"/>
        <w:contextualSpacing/>
        <w:rPr>
          <w:sz w:val="24"/>
          <w:szCs w:val="24"/>
        </w:rPr>
      </w:pPr>
      <w:r w:rsidRPr="001B79F3">
        <w:rPr>
          <w:sz w:val="24"/>
          <w:szCs w:val="24"/>
        </w:rPr>
        <w:t xml:space="preserve">“In all other Member States training for election authorities and officials on these issues is not required by law. However, in 15 EU Member States – Belgium, </w:t>
      </w:r>
      <w:r w:rsidRPr="002C5F83">
        <w:rPr>
          <w:b/>
          <w:sz w:val="24"/>
          <w:szCs w:val="24"/>
        </w:rPr>
        <w:t>Bulgaria</w:t>
      </w:r>
      <w:r w:rsidRPr="001B79F3">
        <w:rPr>
          <w:sz w:val="24"/>
          <w:szCs w:val="24"/>
        </w:rPr>
        <w:t>, Cyprus, the Czech Republic, Finland, France, Germany, Greece, Ireland, Italy, Lithuania, Poland, Slovenia,</w:t>
      </w:r>
    </w:p>
    <w:p w14:paraId="76F49AC4" w14:textId="5C0BA2C4" w:rsidR="00281962" w:rsidRPr="001B79F3" w:rsidRDefault="00281962" w:rsidP="00B37D35">
      <w:pPr>
        <w:spacing w:after="0"/>
        <w:contextualSpacing/>
        <w:rPr>
          <w:sz w:val="24"/>
          <w:szCs w:val="24"/>
        </w:rPr>
      </w:pPr>
      <w:r w:rsidRPr="001B79F3">
        <w:rPr>
          <w:sz w:val="24"/>
          <w:szCs w:val="24"/>
        </w:rPr>
        <w:lastRenderedPageBreak/>
        <w:t>Spain and the United Kingdom – the research indicates that training material or specific instructions on how to ensure non-discrimination on the ground of disability and accessibility in</w:t>
      </w:r>
      <w:r w:rsidR="002C5F83">
        <w:rPr>
          <w:sz w:val="24"/>
          <w:szCs w:val="24"/>
        </w:rPr>
        <w:t xml:space="preserve"> voting procedures is provided.”</w:t>
      </w:r>
      <w:r w:rsidRPr="001B79F3">
        <w:rPr>
          <w:sz w:val="24"/>
          <w:szCs w:val="24"/>
        </w:rPr>
        <w:t xml:space="preserve"> (p.52)</w:t>
      </w:r>
    </w:p>
    <w:p w14:paraId="41A8CA0C" w14:textId="77777777" w:rsidR="00281962" w:rsidRPr="001B79F3" w:rsidRDefault="00281962" w:rsidP="00B37D35">
      <w:pPr>
        <w:spacing w:after="0"/>
        <w:contextualSpacing/>
        <w:rPr>
          <w:sz w:val="24"/>
          <w:szCs w:val="24"/>
        </w:rPr>
      </w:pPr>
    </w:p>
    <w:p w14:paraId="799FAD4B" w14:textId="63E09AF9" w:rsidR="00376E84" w:rsidRPr="001B79F3" w:rsidRDefault="00281962" w:rsidP="00B37D35">
      <w:pPr>
        <w:spacing w:after="0"/>
        <w:contextualSpacing/>
        <w:rPr>
          <w:sz w:val="24"/>
          <w:szCs w:val="24"/>
        </w:rPr>
      </w:pPr>
      <w:r w:rsidRPr="001B79F3">
        <w:rPr>
          <w:sz w:val="24"/>
          <w:szCs w:val="24"/>
        </w:rPr>
        <w:t>“</w:t>
      </w:r>
      <w:r w:rsidR="002C5F83" w:rsidRPr="002C5F83">
        <w:rPr>
          <w:sz w:val="24"/>
          <w:szCs w:val="24"/>
        </w:rPr>
        <w:t>Legislation in the second gro</w:t>
      </w:r>
      <w:r w:rsidR="002C5F83">
        <w:rPr>
          <w:sz w:val="24"/>
          <w:szCs w:val="24"/>
        </w:rPr>
        <w:t xml:space="preserve">up of Member States – </w:t>
      </w:r>
      <w:r w:rsidR="002C5F83" w:rsidRPr="002C5F83">
        <w:rPr>
          <w:b/>
          <w:sz w:val="24"/>
          <w:szCs w:val="24"/>
        </w:rPr>
        <w:t>Bulgaria</w:t>
      </w:r>
      <w:r w:rsidR="002C5F83">
        <w:rPr>
          <w:sz w:val="24"/>
          <w:szCs w:val="24"/>
        </w:rPr>
        <w:t xml:space="preserve">, </w:t>
      </w:r>
      <w:r w:rsidR="002C5F83" w:rsidRPr="002C5F83">
        <w:rPr>
          <w:sz w:val="24"/>
          <w:szCs w:val="24"/>
        </w:rPr>
        <w:t>France, Hunga</w:t>
      </w:r>
      <w:r w:rsidR="002C5F83">
        <w:rPr>
          <w:sz w:val="24"/>
          <w:szCs w:val="24"/>
        </w:rPr>
        <w:t xml:space="preserve">ry, Luxembourg, the Netherlands </w:t>
      </w:r>
      <w:r w:rsidR="002C5F83" w:rsidRPr="002C5F83">
        <w:rPr>
          <w:sz w:val="24"/>
          <w:szCs w:val="24"/>
        </w:rPr>
        <w:t>and Sweden – requires th</w:t>
      </w:r>
      <w:r w:rsidR="002C5F83">
        <w:rPr>
          <w:sz w:val="24"/>
          <w:szCs w:val="24"/>
        </w:rPr>
        <w:t xml:space="preserve">at a guardian makes a complaint </w:t>
      </w:r>
      <w:r w:rsidR="002C5F83" w:rsidRPr="002C5F83">
        <w:rPr>
          <w:sz w:val="24"/>
          <w:szCs w:val="24"/>
        </w:rPr>
        <w:t>on behalf of a pe</w:t>
      </w:r>
      <w:r w:rsidR="002C5F83">
        <w:rPr>
          <w:sz w:val="24"/>
          <w:szCs w:val="24"/>
        </w:rPr>
        <w:t xml:space="preserve">rson deprived of legal capacity </w:t>
      </w:r>
      <w:r w:rsidR="002C5F83" w:rsidRPr="002C5F83">
        <w:rPr>
          <w:sz w:val="24"/>
          <w:szCs w:val="24"/>
        </w:rPr>
        <w:t>who is seeking redress.</w:t>
      </w:r>
      <w:r w:rsidR="00D73436" w:rsidRPr="001B79F3">
        <w:rPr>
          <w:sz w:val="24"/>
          <w:szCs w:val="24"/>
        </w:rPr>
        <w:t>” (p.53)</w:t>
      </w:r>
    </w:p>
    <w:p w14:paraId="2A722C5F" w14:textId="0DD90410" w:rsidR="00281962" w:rsidRPr="001B79F3" w:rsidRDefault="00281962" w:rsidP="00B37D35">
      <w:pPr>
        <w:autoSpaceDE w:val="0"/>
        <w:autoSpaceDN w:val="0"/>
        <w:adjustRightInd w:val="0"/>
        <w:spacing w:after="0"/>
        <w:rPr>
          <w:rFonts w:eastAsia="DaxlinePro-Regular" w:cs="DaxlinePro-Regular"/>
          <w:sz w:val="24"/>
          <w:szCs w:val="24"/>
        </w:rPr>
      </w:pPr>
      <w:r w:rsidRPr="001B79F3">
        <w:rPr>
          <w:rFonts w:eastAsia="DaxlinePro-Regular" w:cs="DaxlinePro-Regular"/>
          <w:sz w:val="24"/>
          <w:szCs w:val="24"/>
        </w:rPr>
        <w:t xml:space="preserve">“In the remaining 15 EU Member States, the analysis indicates that consultation and involvement of DPOs in the development of laws and policies is not required by law. In 11 of these Member States, Belgium, </w:t>
      </w:r>
      <w:r w:rsidRPr="002C5F83">
        <w:rPr>
          <w:rFonts w:eastAsia="DaxlinePro-Regular" w:cs="DaxlinePro-Regular"/>
          <w:b/>
          <w:sz w:val="24"/>
          <w:szCs w:val="24"/>
        </w:rPr>
        <w:t>Bulgaria</w:t>
      </w:r>
      <w:r w:rsidRPr="001B79F3">
        <w:rPr>
          <w:rFonts w:eastAsia="DaxlinePro-Regular" w:cs="DaxlinePro-Regular"/>
          <w:sz w:val="24"/>
          <w:szCs w:val="24"/>
        </w:rPr>
        <w:t xml:space="preserve">, Croatia, the Czech Republic, Denmark, Estonia, Finland, Ireland, Latvia, Luxembourg and the </w:t>
      </w:r>
      <w:r w:rsidRPr="002C5F83">
        <w:rPr>
          <w:rFonts w:eastAsia="DaxlinePro-Regular" w:cs="DaxlinePro-Regular"/>
          <w:sz w:val="24"/>
          <w:szCs w:val="24"/>
        </w:rPr>
        <w:t>United Kingdom,</w:t>
      </w:r>
      <w:r w:rsidRPr="001B79F3">
        <w:rPr>
          <w:rFonts w:eastAsia="DaxlinePro-Regular" w:cs="DaxlinePro-Regular"/>
          <w:sz w:val="24"/>
          <w:szCs w:val="24"/>
        </w:rPr>
        <w:t xml:space="preserve"> however, established mechanisms to ensure systematic consultation </w:t>
      </w:r>
      <w:r w:rsidR="00782C1C" w:rsidRPr="001B79F3">
        <w:rPr>
          <w:rFonts w:eastAsia="DaxlinePro-Regular" w:cs="DaxlinePro-Regular"/>
          <w:sz w:val="24"/>
          <w:szCs w:val="24"/>
        </w:rPr>
        <w:t>with DPOs are in place.</w:t>
      </w:r>
      <w:r w:rsidR="002C5F83" w:rsidRPr="002C5F83">
        <w:t xml:space="preserve"> </w:t>
      </w:r>
      <w:r w:rsidR="002C5F83">
        <w:rPr>
          <w:rFonts w:eastAsia="DaxlinePro-Regular" w:cs="DaxlinePro-Regular"/>
          <w:sz w:val="24"/>
          <w:szCs w:val="24"/>
        </w:rPr>
        <w:t xml:space="preserve">The governments </w:t>
      </w:r>
      <w:r w:rsidR="002C5F83" w:rsidRPr="002C5F83">
        <w:rPr>
          <w:rFonts w:eastAsia="DaxlinePro-Regular" w:cs="DaxlinePro-Regular"/>
          <w:sz w:val="24"/>
          <w:szCs w:val="24"/>
        </w:rPr>
        <w:t xml:space="preserve">of Belgium, </w:t>
      </w:r>
      <w:r w:rsidR="002C5F83" w:rsidRPr="002C5F83">
        <w:rPr>
          <w:rFonts w:eastAsia="DaxlinePro-Regular" w:cs="DaxlinePro-Regular"/>
          <w:b/>
          <w:sz w:val="24"/>
          <w:szCs w:val="24"/>
        </w:rPr>
        <w:t>Bulgaria</w:t>
      </w:r>
      <w:r w:rsidR="002C5F83">
        <w:rPr>
          <w:rFonts w:eastAsia="DaxlinePro-Regular" w:cs="DaxlinePro-Regular"/>
          <w:sz w:val="24"/>
          <w:szCs w:val="24"/>
        </w:rPr>
        <w:t xml:space="preserve">, Czech Republic, Luxembourg </w:t>
      </w:r>
      <w:r w:rsidR="002C5F83" w:rsidRPr="002C5F83">
        <w:rPr>
          <w:rFonts w:eastAsia="DaxlinePro-Regular" w:cs="DaxlinePro-Regular"/>
          <w:sz w:val="24"/>
          <w:szCs w:val="24"/>
        </w:rPr>
        <w:t>and Latvia have est</w:t>
      </w:r>
      <w:r w:rsidR="002C5F83">
        <w:rPr>
          <w:rFonts w:eastAsia="DaxlinePro-Regular" w:cs="DaxlinePro-Regular"/>
          <w:sz w:val="24"/>
          <w:szCs w:val="24"/>
        </w:rPr>
        <w:t xml:space="preserve">ablished consultative bodies of </w:t>
      </w:r>
      <w:r w:rsidR="002C5F83" w:rsidRPr="002C5F83">
        <w:rPr>
          <w:rFonts w:eastAsia="DaxlinePro-Regular" w:cs="DaxlinePro-Regular"/>
          <w:sz w:val="24"/>
          <w:szCs w:val="24"/>
        </w:rPr>
        <w:t>people with disabilitie</w:t>
      </w:r>
      <w:r w:rsidR="002C5F83">
        <w:rPr>
          <w:rFonts w:eastAsia="DaxlinePro-Regular" w:cs="DaxlinePro-Regular"/>
          <w:sz w:val="24"/>
          <w:szCs w:val="24"/>
        </w:rPr>
        <w:t xml:space="preserve">s which include representatives </w:t>
      </w:r>
      <w:r w:rsidR="002C5F83" w:rsidRPr="002C5F83">
        <w:rPr>
          <w:rFonts w:eastAsia="DaxlinePro-Regular" w:cs="DaxlinePro-Regular"/>
          <w:sz w:val="24"/>
          <w:szCs w:val="24"/>
        </w:rPr>
        <w:t>from DPOs.</w:t>
      </w:r>
      <w:r w:rsidR="00782C1C" w:rsidRPr="001B79F3">
        <w:rPr>
          <w:rFonts w:eastAsia="DaxlinePro-Regular" w:cs="DaxlinePro-Regular"/>
          <w:sz w:val="24"/>
          <w:szCs w:val="24"/>
        </w:rPr>
        <w:t>” (p.57)</w:t>
      </w:r>
    </w:p>
    <w:p w14:paraId="6B671797" w14:textId="1F12D7F5" w:rsidR="00281962" w:rsidRDefault="00281962" w:rsidP="00B37D35">
      <w:pPr>
        <w:autoSpaceDE w:val="0"/>
        <w:autoSpaceDN w:val="0"/>
        <w:adjustRightInd w:val="0"/>
        <w:spacing w:after="0"/>
        <w:rPr>
          <w:rFonts w:eastAsia="DaxlinePro-Regular" w:cs="DaxlinePro-Regular"/>
          <w:sz w:val="24"/>
          <w:szCs w:val="24"/>
        </w:rPr>
      </w:pPr>
      <w:r w:rsidRPr="001B79F3">
        <w:rPr>
          <w:rFonts w:eastAsia="DaxlinePro-Regular" w:cs="DaxlinePro-Regular"/>
          <w:sz w:val="24"/>
          <w:szCs w:val="24"/>
        </w:rPr>
        <w:t xml:space="preserve">“A second group of EU Member States, Austria, Belgium, </w:t>
      </w:r>
      <w:r w:rsidRPr="002C5F83">
        <w:rPr>
          <w:rFonts w:eastAsia="DaxlinePro-Regular" w:cs="DaxlinePro-Regular"/>
          <w:b/>
          <w:sz w:val="24"/>
          <w:szCs w:val="24"/>
        </w:rPr>
        <w:t>Bulgaria</w:t>
      </w:r>
      <w:r w:rsidRPr="001B79F3">
        <w:rPr>
          <w:rFonts w:eastAsia="DaxlinePro-Regular" w:cs="DaxlinePro-Regular"/>
          <w:sz w:val="24"/>
          <w:szCs w:val="24"/>
        </w:rPr>
        <w:t xml:space="preserve">, Finland, Hungary, Latvia, the Netherlands, Portugal, Slovenia and </w:t>
      </w:r>
      <w:r w:rsidRPr="002C5F83">
        <w:rPr>
          <w:rFonts w:eastAsia="DaxlinePro-Regular" w:cs="DaxlinePro-Regular"/>
          <w:sz w:val="24"/>
          <w:szCs w:val="24"/>
        </w:rPr>
        <w:t>the United Kingdom,</w:t>
      </w:r>
      <w:r w:rsidRPr="001B79F3">
        <w:rPr>
          <w:rFonts w:eastAsia="DaxlinePro-Regular" w:cs="DaxlinePro-Regular"/>
          <w:sz w:val="24"/>
          <w:szCs w:val="24"/>
        </w:rPr>
        <w:t xml:space="preserve"> provide information on complaint procedures regarding political participation in a format that i</w:t>
      </w:r>
      <w:r w:rsidR="00782C1C" w:rsidRPr="001B79F3">
        <w:rPr>
          <w:rFonts w:eastAsia="DaxlinePro-Regular" w:cs="DaxlinePro-Regular"/>
          <w:sz w:val="24"/>
          <w:szCs w:val="24"/>
        </w:rPr>
        <w:t>s partially accessible.” (p.60)</w:t>
      </w:r>
    </w:p>
    <w:p w14:paraId="597D98E7" w14:textId="6A73301E" w:rsidR="002C5F83" w:rsidRPr="007B3C18" w:rsidRDefault="002C5F83" w:rsidP="00B37D35">
      <w:pPr>
        <w:autoSpaceDE w:val="0"/>
        <w:autoSpaceDN w:val="0"/>
        <w:adjustRightInd w:val="0"/>
        <w:spacing w:after="0"/>
        <w:rPr>
          <w:rFonts w:eastAsia="DaxlinePro-Regular" w:cs="DaxlinePro-Regular"/>
          <w:sz w:val="24"/>
          <w:szCs w:val="24"/>
        </w:rPr>
      </w:pPr>
      <w:r>
        <w:rPr>
          <w:rFonts w:eastAsia="DaxlinePro-Regular" w:cs="DaxlinePro-Regular"/>
          <w:sz w:val="24"/>
          <w:szCs w:val="24"/>
        </w:rPr>
        <w:t>“</w:t>
      </w:r>
      <w:r w:rsidRPr="002C5F83">
        <w:rPr>
          <w:rFonts w:eastAsia="DaxlinePro-Regular" w:cs="DaxlinePro-Regular"/>
          <w:sz w:val="24"/>
          <w:szCs w:val="24"/>
        </w:rPr>
        <w:t>Cases related to accessi</w:t>
      </w:r>
      <w:r>
        <w:rPr>
          <w:rFonts w:eastAsia="DaxlinePro-Regular" w:cs="DaxlinePro-Regular"/>
          <w:sz w:val="24"/>
          <w:szCs w:val="24"/>
        </w:rPr>
        <w:t xml:space="preserve">bility of polling stations were </w:t>
      </w:r>
      <w:r w:rsidRPr="002C5F83">
        <w:rPr>
          <w:rFonts w:eastAsia="DaxlinePro-Regular" w:cs="DaxlinePro-Regular"/>
          <w:sz w:val="24"/>
          <w:szCs w:val="24"/>
        </w:rPr>
        <w:t xml:space="preserve">identified in Austria, </w:t>
      </w:r>
      <w:r w:rsidRPr="002C5F83">
        <w:rPr>
          <w:rFonts w:eastAsia="DaxlinePro-Regular" w:cs="DaxlinePro-Regular"/>
          <w:b/>
          <w:sz w:val="24"/>
          <w:szCs w:val="24"/>
        </w:rPr>
        <w:t>Bulgaria</w:t>
      </w:r>
      <w:r w:rsidRPr="002C5F83">
        <w:rPr>
          <w:rFonts w:eastAsia="DaxlinePro-Regular" w:cs="DaxlinePro-Regular"/>
          <w:sz w:val="24"/>
          <w:szCs w:val="24"/>
        </w:rPr>
        <w:t xml:space="preserve">, Hungary, </w:t>
      </w:r>
      <w:r w:rsidRPr="007B3C18">
        <w:rPr>
          <w:rFonts w:eastAsia="DaxlinePro-Regular" w:cs="DaxlinePro-Regular"/>
          <w:sz w:val="24"/>
          <w:szCs w:val="24"/>
        </w:rPr>
        <w:t>Slovenia and Sweden.” (p.62)</w:t>
      </w:r>
    </w:p>
    <w:p w14:paraId="32CE9EA3" w14:textId="6594CA5D" w:rsidR="007B3C18" w:rsidRPr="007637C6" w:rsidRDefault="002C5F83" w:rsidP="00B37D35">
      <w:pPr>
        <w:autoSpaceDE w:val="0"/>
        <w:autoSpaceDN w:val="0"/>
        <w:adjustRightInd w:val="0"/>
        <w:spacing w:after="0"/>
        <w:rPr>
          <w:rFonts w:eastAsia="DaxlinePro-Regular" w:cs="DaxlinePro-Regular"/>
          <w:sz w:val="24"/>
          <w:szCs w:val="24"/>
        </w:rPr>
      </w:pPr>
      <w:r w:rsidRPr="007637C6">
        <w:rPr>
          <w:rFonts w:eastAsia="DaxlinePro-Regular" w:cs="DaxlinePro-Regular"/>
          <w:sz w:val="24"/>
          <w:szCs w:val="24"/>
        </w:rPr>
        <w:t xml:space="preserve">“To give a broader picture of the provision of accessible television programming, statistical data from the EUfunded project Measuring Progress of eAccessibility in Europe (MeAC) are also presented. This project collected data from all EU Member States except </w:t>
      </w:r>
      <w:r w:rsidRPr="007637C6">
        <w:rPr>
          <w:rFonts w:eastAsia="DaxlinePro-Regular" w:cs="DaxlinePro-Regular"/>
          <w:b/>
          <w:sz w:val="24"/>
          <w:szCs w:val="24"/>
        </w:rPr>
        <w:t>Bulgaria</w:t>
      </w:r>
      <w:r w:rsidRPr="007637C6">
        <w:rPr>
          <w:rFonts w:eastAsia="DaxlinePro-Regular" w:cs="DaxlinePro-Regular"/>
          <w:sz w:val="24"/>
          <w:szCs w:val="24"/>
        </w:rPr>
        <w:t>, Croatia and Romani</w:t>
      </w:r>
      <w:r w:rsidR="00561A3B" w:rsidRPr="007637C6">
        <w:rPr>
          <w:rFonts w:eastAsia="DaxlinePro-Regular" w:cs="DaxlinePro-Regular"/>
          <w:sz w:val="24"/>
          <w:szCs w:val="24"/>
        </w:rPr>
        <w:t>a during 2007 and 2008.” (p.79)</w:t>
      </w:r>
    </w:p>
    <w:p w14:paraId="61B4101F" w14:textId="7F5F732C" w:rsidR="00281962" w:rsidRDefault="007B3C18" w:rsidP="00B37D35">
      <w:pPr>
        <w:autoSpaceDE w:val="0"/>
        <w:autoSpaceDN w:val="0"/>
        <w:adjustRightInd w:val="0"/>
        <w:spacing w:after="0"/>
        <w:rPr>
          <w:rFonts w:eastAsia="DaxlinePro-Regular" w:cs="DaxlinePro-Regular"/>
          <w:sz w:val="24"/>
          <w:szCs w:val="24"/>
        </w:rPr>
      </w:pPr>
      <w:r w:rsidRPr="007B3C18">
        <w:rPr>
          <w:rFonts w:eastAsia="DaxlinePro-Regular" w:cs="DaxlinePro-Regular"/>
          <w:sz w:val="24"/>
          <w:szCs w:val="24"/>
        </w:rPr>
        <w:t xml:space="preserve">“Data from </w:t>
      </w:r>
      <w:r w:rsidRPr="007B3C18">
        <w:rPr>
          <w:rFonts w:eastAsia="DaxlinePro-Regular" w:cs="DaxlinePro-Bold"/>
          <w:b/>
          <w:bCs/>
          <w:sz w:val="24"/>
          <w:szCs w:val="24"/>
        </w:rPr>
        <w:t>Bulgaria</w:t>
      </w:r>
      <w:r w:rsidRPr="007B3C18">
        <w:rPr>
          <w:rFonts w:eastAsia="DaxlinePro-Regular" w:cs="DaxlinePro-Regular"/>
          <w:sz w:val="24"/>
          <w:szCs w:val="24"/>
        </w:rPr>
        <w:t xml:space="preserve">, </w:t>
      </w:r>
      <w:r w:rsidRPr="007242D0">
        <w:rPr>
          <w:rFonts w:eastAsia="DaxlinePro-Regular" w:cs="DaxlinePro-Bold"/>
          <w:bCs/>
          <w:sz w:val="24"/>
          <w:szCs w:val="24"/>
        </w:rPr>
        <w:t>Croatia</w:t>
      </w:r>
      <w:r w:rsidRPr="007242D0">
        <w:rPr>
          <w:rFonts w:eastAsia="DaxlinePro-Regular" w:cs="DaxlinePro-Regular"/>
          <w:sz w:val="24"/>
          <w:szCs w:val="24"/>
        </w:rPr>
        <w:t xml:space="preserve">, </w:t>
      </w:r>
      <w:r w:rsidRPr="007242D0">
        <w:rPr>
          <w:rFonts w:eastAsia="DaxlinePro-Regular" w:cs="DaxlinePro-Bold"/>
          <w:bCs/>
          <w:sz w:val="24"/>
          <w:szCs w:val="24"/>
        </w:rPr>
        <w:t>Cyprus</w:t>
      </w:r>
      <w:r w:rsidRPr="007242D0">
        <w:rPr>
          <w:rFonts w:eastAsia="DaxlinePro-Regular" w:cs="DaxlinePro-Regular"/>
          <w:sz w:val="24"/>
          <w:szCs w:val="24"/>
        </w:rPr>
        <w:t xml:space="preserve">, </w:t>
      </w:r>
      <w:r w:rsidRPr="007242D0">
        <w:rPr>
          <w:rFonts w:eastAsia="DaxlinePro-Regular" w:cs="DaxlinePro-Bold"/>
          <w:bCs/>
          <w:sz w:val="24"/>
          <w:szCs w:val="24"/>
        </w:rPr>
        <w:t>Greece</w:t>
      </w:r>
      <w:r w:rsidRPr="007242D0">
        <w:rPr>
          <w:rFonts w:eastAsia="DaxlinePro-Regular" w:cs="DaxlinePro-Regular"/>
          <w:sz w:val="24"/>
          <w:szCs w:val="24"/>
        </w:rPr>
        <w:t xml:space="preserve">, </w:t>
      </w:r>
      <w:r w:rsidRPr="007242D0">
        <w:rPr>
          <w:rFonts w:eastAsia="DaxlinePro-Regular" w:cs="DaxlinePro-Bold"/>
          <w:bCs/>
          <w:sz w:val="24"/>
          <w:szCs w:val="24"/>
        </w:rPr>
        <w:t>Italy</w:t>
      </w:r>
      <w:r w:rsidRPr="007242D0">
        <w:rPr>
          <w:rFonts w:eastAsia="DaxlinePro-Regular" w:cs="DaxlinePro-Regular"/>
          <w:sz w:val="24"/>
          <w:szCs w:val="24"/>
        </w:rPr>
        <w:t xml:space="preserve">, </w:t>
      </w:r>
      <w:r w:rsidRPr="007242D0">
        <w:rPr>
          <w:rFonts w:eastAsia="DaxlinePro-Regular" w:cs="DaxlinePro-Bold"/>
          <w:bCs/>
          <w:sz w:val="24"/>
          <w:szCs w:val="24"/>
        </w:rPr>
        <w:t>Lithuania</w:t>
      </w:r>
      <w:r w:rsidRPr="007242D0">
        <w:rPr>
          <w:rFonts w:eastAsia="DaxlinePro-Regular" w:cs="DaxlinePro-Regular"/>
          <w:sz w:val="24"/>
          <w:szCs w:val="24"/>
        </w:rPr>
        <w:t xml:space="preserve">, </w:t>
      </w:r>
      <w:r w:rsidRPr="007242D0">
        <w:rPr>
          <w:rFonts w:eastAsia="DaxlinePro-Regular" w:cs="DaxlinePro-Bold"/>
          <w:bCs/>
          <w:sz w:val="24"/>
          <w:szCs w:val="24"/>
        </w:rPr>
        <w:t>Luxembourg</w:t>
      </w:r>
      <w:r w:rsidRPr="007242D0">
        <w:rPr>
          <w:rFonts w:eastAsia="DaxlinePro-Regular" w:cs="DaxlinePro-Regular"/>
          <w:sz w:val="24"/>
          <w:szCs w:val="24"/>
        </w:rPr>
        <w:t xml:space="preserve">, </w:t>
      </w:r>
      <w:r w:rsidRPr="007242D0">
        <w:rPr>
          <w:rFonts w:eastAsia="DaxlinePro-Regular" w:cs="DaxlinePro-Bold"/>
          <w:bCs/>
          <w:sz w:val="24"/>
          <w:szCs w:val="24"/>
        </w:rPr>
        <w:t xml:space="preserve">Poland </w:t>
      </w:r>
      <w:r w:rsidRPr="007242D0">
        <w:rPr>
          <w:rFonts w:eastAsia="DaxlinePro-Regular" w:cs="DaxlinePro-Regular"/>
          <w:sz w:val="24"/>
          <w:szCs w:val="24"/>
        </w:rPr>
        <w:t xml:space="preserve">and </w:t>
      </w:r>
      <w:r w:rsidRPr="007242D0">
        <w:rPr>
          <w:rFonts w:eastAsia="DaxlinePro-Regular" w:cs="DaxlinePro-Bold"/>
          <w:bCs/>
          <w:sz w:val="24"/>
          <w:szCs w:val="24"/>
        </w:rPr>
        <w:t xml:space="preserve">Slovenia </w:t>
      </w:r>
      <w:r w:rsidRPr="007242D0">
        <w:rPr>
          <w:rFonts w:eastAsia="DaxlinePro-Regular" w:cs="DaxlinePro-Regular"/>
          <w:sz w:val="24"/>
          <w:szCs w:val="24"/>
        </w:rPr>
        <w:t>indicate that no political parties produced their manifestos in accessible formats for the last elections.” (</w:t>
      </w:r>
      <w:r w:rsidRPr="007B3C18">
        <w:rPr>
          <w:rFonts w:eastAsia="DaxlinePro-Regular" w:cs="DaxlinePro-Regular"/>
          <w:sz w:val="24"/>
          <w:szCs w:val="24"/>
        </w:rPr>
        <w:t>p.80)</w:t>
      </w:r>
    </w:p>
    <w:p w14:paraId="43AA9E6E" w14:textId="7780AA64" w:rsidR="00EE03DC" w:rsidRPr="007B3C18" w:rsidRDefault="00EE03DC" w:rsidP="002D605B">
      <w:pPr>
        <w:autoSpaceDE w:val="0"/>
        <w:autoSpaceDN w:val="0"/>
        <w:adjustRightInd w:val="0"/>
        <w:spacing w:after="0"/>
        <w:rPr>
          <w:rFonts w:eastAsia="DaxlinePro-Regular" w:cs="DaxlinePro-Regular"/>
          <w:sz w:val="24"/>
          <w:szCs w:val="24"/>
        </w:rPr>
      </w:pPr>
    </w:p>
    <w:p w14:paraId="1F87A38A" w14:textId="77777777" w:rsidR="00281962" w:rsidRDefault="00281962" w:rsidP="00B37D35">
      <w:pPr>
        <w:pStyle w:val="Heading2"/>
        <w:ind w:left="939"/>
      </w:pPr>
      <w:bookmarkStart w:id="19" w:name="_Toc518293493"/>
      <w:r w:rsidRPr="004C24D1">
        <w:lastRenderedPageBreak/>
        <w:t>Legal capacity of persons with intellectual disabilities and persons with mental health problems (2013)</w:t>
      </w:r>
      <w:bookmarkEnd w:id="19"/>
    </w:p>
    <w:p w14:paraId="75B80A28" w14:textId="36EAD86D" w:rsidR="00281962" w:rsidRPr="00E673AD" w:rsidRDefault="00281962" w:rsidP="00B37D35">
      <w:pPr>
        <w:spacing w:after="0"/>
        <w:rPr>
          <w:sz w:val="24"/>
          <w:szCs w:val="24"/>
          <w:lang w:val="en"/>
        </w:rPr>
      </w:pPr>
      <w:r w:rsidRPr="00E673AD">
        <w:rPr>
          <w:color w:val="000000" w:themeColor="text1"/>
          <w:sz w:val="24"/>
          <w:szCs w:val="24"/>
        </w:rPr>
        <w:t xml:space="preserve">The report includes extensive information </w:t>
      </w:r>
      <w:r w:rsidR="00AC75BF">
        <w:rPr>
          <w:color w:val="000000" w:themeColor="text1"/>
          <w:sz w:val="24"/>
          <w:szCs w:val="24"/>
        </w:rPr>
        <w:t>regarding Bulgaria</w:t>
      </w:r>
      <w:r w:rsidRPr="00E673AD">
        <w:rPr>
          <w:color w:val="000000" w:themeColor="text1"/>
          <w:sz w:val="24"/>
          <w:szCs w:val="24"/>
        </w:rPr>
        <w:t>, these excerpts are just a selection.</w:t>
      </w:r>
      <w:r w:rsidR="00FE5A96">
        <w:rPr>
          <w:color w:val="000000" w:themeColor="text1"/>
          <w:sz w:val="24"/>
          <w:szCs w:val="24"/>
        </w:rPr>
        <w:t xml:space="preserve"> </w:t>
      </w:r>
      <w:r w:rsidRPr="00E673AD">
        <w:rPr>
          <w:sz w:val="24"/>
          <w:szCs w:val="24"/>
          <w:lang w:val="en"/>
        </w:rPr>
        <w:t>For more information:</w:t>
      </w:r>
      <w:r w:rsidRPr="00E673AD">
        <w:rPr>
          <w:sz w:val="24"/>
          <w:szCs w:val="24"/>
        </w:rPr>
        <w:t xml:space="preserve"> </w:t>
      </w:r>
      <w:hyperlink r:id="rId31" w:history="1">
        <w:r w:rsidRPr="00E673AD">
          <w:rPr>
            <w:rStyle w:val="Hyperlink"/>
            <w:sz w:val="24"/>
            <w:szCs w:val="24"/>
            <w:lang w:val="en"/>
          </w:rPr>
          <w:t>http://fra.europa.eu/en/publication/2013/legal-capacity-persons-intellectual-disabilities-and-persons-mental-health-problems</w:t>
        </w:r>
      </w:hyperlink>
      <w:r w:rsidR="006F4931" w:rsidRPr="006F4931">
        <w:rPr>
          <w:rStyle w:val="Hyperlink"/>
          <w:color w:val="auto"/>
          <w:sz w:val="24"/>
          <w:szCs w:val="24"/>
          <w:u w:val="none"/>
          <w:lang w:val="en"/>
        </w:rPr>
        <w:t>.</w:t>
      </w:r>
      <w:r w:rsidR="00FE5A96">
        <w:rPr>
          <w:rStyle w:val="Hyperlink"/>
          <w:sz w:val="24"/>
          <w:szCs w:val="24"/>
          <w:u w:val="none"/>
          <w:lang w:val="en"/>
        </w:rPr>
        <w:t xml:space="preserve"> </w:t>
      </w:r>
      <w:r w:rsidR="006F4931">
        <w:rPr>
          <w:sz w:val="24"/>
          <w:szCs w:val="24"/>
          <w:lang w:val="en"/>
        </w:rPr>
        <w:t xml:space="preserve">Also available in easy-to-read: </w:t>
      </w:r>
      <w:hyperlink r:id="rId32" w:history="1">
        <w:r w:rsidR="006F4931" w:rsidRPr="00B82C70">
          <w:rPr>
            <w:rStyle w:val="Hyperlink"/>
            <w:sz w:val="24"/>
            <w:szCs w:val="24"/>
            <w:lang w:val="en"/>
          </w:rPr>
          <w:t>http://fra.europa.eu/en/publication/2013/laws-about-being-able-make-important-decisions-yourself</w:t>
        </w:r>
      </w:hyperlink>
      <w:r w:rsidR="006F4931">
        <w:rPr>
          <w:sz w:val="24"/>
          <w:szCs w:val="24"/>
          <w:lang w:val="en"/>
        </w:rPr>
        <w:t xml:space="preserve">. </w:t>
      </w:r>
    </w:p>
    <w:p w14:paraId="1ACB2BD4" w14:textId="08CBF8FA" w:rsidR="00BC4D01" w:rsidRPr="00EE03DC" w:rsidRDefault="007242D0" w:rsidP="00B37D35">
      <w:pPr>
        <w:spacing w:after="0"/>
        <w:rPr>
          <w:rFonts w:cs="DaxlinePro-Regular"/>
          <w:sz w:val="24"/>
          <w:szCs w:val="24"/>
        </w:rPr>
      </w:pPr>
      <w:r w:rsidRPr="00EE03DC">
        <w:rPr>
          <w:rFonts w:cs="DaxlinePro-Regular"/>
          <w:sz w:val="24"/>
          <w:szCs w:val="24"/>
        </w:rPr>
        <w:t xml:space="preserve">“In a key case, </w:t>
      </w:r>
      <w:r w:rsidRPr="00EE03DC">
        <w:rPr>
          <w:rFonts w:cs="DaxlinePro-Regular"/>
          <w:i/>
          <w:sz w:val="24"/>
          <w:szCs w:val="24"/>
        </w:rPr>
        <w:t xml:space="preserve">Stanev v. </w:t>
      </w:r>
      <w:r w:rsidRPr="00EE03DC">
        <w:rPr>
          <w:rFonts w:cs="DaxlinePro-Regular"/>
          <w:b/>
          <w:i/>
          <w:sz w:val="24"/>
          <w:szCs w:val="24"/>
        </w:rPr>
        <w:t>Bulgaria</w:t>
      </w:r>
      <w:r w:rsidRPr="00EE03DC">
        <w:rPr>
          <w:rFonts w:cs="DaxlinePro-Regular"/>
          <w:sz w:val="24"/>
          <w:szCs w:val="24"/>
        </w:rPr>
        <w:t>, the ECtHR’s ruling clarified its approach to the restoration of legal capacity. The applicant, who was partially deprived of legal capacity, complained that domestic law did not afford him direct access to a court to apply to regain his capacity</w:t>
      </w:r>
      <w:r w:rsidR="00281962" w:rsidRPr="00EE03DC">
        <w:rPr>
          <w:rFonts w:cs="DaxlinePro-Regular"/>
          <w:sz w:val="24"/>
          <w:szCs w:val="24"/>
        </w:rPr>
        <w:t>.</w:t>
      </w:r>
      <w:r w:rsidR="00A7194D" w:rsidRPr="00EE03DC">
        <w:rPr>
          <w:rFonts w:cs="DaxlinePro-Regular"/>
          <w:sz w:val="24"/>
          <w:szCs w:val="24"/>
        </w:rPr>
        <w:t>” (p.28</w:t>
      </w:r>
      <w:r w:rsidRPr="00EE03DC">
        <w:rPr>
          <w:rFonts w:cs="DaxlinePro-Regular"/>
          <w:sz w:val="24"/>
          <w:szCs w:val="24"/>
        </w:rPr>
        <w:t>)</w:t>
      </w:r>
    </w:p>
    <w:p w14:paraId="74B43050" w14:textId="03AC81D1" w:rsidR="00A7194D" w:rsidRPr="00E673AD" w:rsidRDefault="00281962" w:rsidP="00B37D35">
      <w:pPr>
        <w:spacing w:after="0"/>
        <w:rPr>
          <w:rFonts w:cs="DaxlinePro-Regular"/>
          <w:color w:val="000000"/>
          <w:sz w:val="24"/>
          <w:szCs w:val="24"/>
        </w:rPr>
      </w:pPr>
      <w:r>
        <w:rPr>
          <w:rFonts w:cs="DaxlinePro-Regular"/>
          <w:color w:val="000000"/>
          <w:sz w:val="24"/>
          <w:szCs w:val="24"/>
        </w:rPr>
        <w:t>“</w:t>
      </w:r>
      <w:r w:rsidR="007242D0" w:rsidRPr="007242D0">
        <w:rPr>
          <w:rFonts w:cs="DaxlinePro-Regular"/>
          <w:b/>
          <w:color w:val="000000"/>
          <w:sz w:val="24"/>
          <w:szCs w:val="24"/>
        </w:rPr>
        <w:t>Bulgaria</w:t>
      </w:r>
      <w:r w:rsidR="007242D0" w:rsidRPr="007242D0">
        <w:rPr>
          <w:rFonts w:cs="DaxlinePro-Regular"/>
          <w:color w:val="000000"/>
          <w:sz w:val="24"/>
          <w:szCs w:val="24"/>
        </w:rPr>
        <w:t xml:space="preserve"> ratified the CRPD</w:t>
      </w:r>
      <w:r w:rsidR="007242D0">
        <w:rPr>
          <w:rFonts w:cs="DaxlinePro-Regular"/>
          <w:color w:val="000000"/>
          <w:sz w:val="24"/>
          <w:szCs w:val="24"/>
        </w:rPr>
        <w:t xml:space="preserve"> on 26 January 2012, just a few </w:t>
      </w:r>
      <w:r w:rsidR="007242D0" w:rsidRPr="007242D0">
        <w:rPr>
          <w:rFonts w:cs="DaxlinePro-Regular"/>
          <w:color w:val="000000"/>
          <w:sz w:val="24"/>
          <w:szCs w:val="24"/>
        </w:rPr>
        <w:t xml:space="preserve">days after the Grand </w:t>
      </w:r>
      <w:r w:rsidR="007242D0">
        <w:rPr>
          <w:rFonts w:cs="DaxlinePro-Regular"/>
          <w:color w:val="000000"/>
          <w:sz w:val="24"/>
          <w:szCs w:val="24"/>
        </w:rPr>
        <w:t xml:space="preserve">Chamber of the ECtHR issued its </w:t>
      </w:r>
      <w:r w:rsidR="007242D0" w:rsidRPr="007242D0">
        <w:rPr>
          <w:rFonts w:cs="DaxlinePro-Regular"/>
          <w:color w:val="000000"/>
          <w:sz w:val="24"/>
          <w:szCs w:val="24"/>
        </w:rPr>
        <w:t xml:space="preserve">judgment in the </w:t>
      </w:r>
      <w:r w:rsidR="007242D0" w:rsidRPr="007242D0">
        <w:rPr>
          <w:rFonts w:cs="DaxlinePro-Regular"/>
          <w:i/>
          <w:color w:val="000000"/>
          <w:sz w:val="24"/>
          <w:szCs w:val="24"/>
        </w:rPr>
        <w:t xml:space="preserve">Stanev v. </w:t>
      </w:r>
      <w:r w:rsidR="007242D0" w:rsidRPr="007242D0">
        <w:rPr>
          <w:rFonts w:cs="DaxlinePro-Regular"/>
          <w:b/>
          <w:i/>
          <w:color w:val="000000"/>
          <w:sz w:val="24"/>
          <w:szCs w:val="24"/>
        </w:rPr>
        <w:t>Bulgaria</w:t>
      </w:r>
      <w:r w:rsidR="007242D0">
        <w:rPr>
          <w:rFonts w:cs="DaxlinePro-Regular"/>
          <w:color w:val="000000"/>
          <w:sz w:val="24"/>
          <w:szCs w:val="24"/>
        </w:rPr>
        <w:t xml:space="preserve"> case. The two </w:t>
      </w:r>
      <w:r w:rsidR="007242D0" w:rsidRPr="007242D0">
        <w:rPr>
          <w:rFonts w:cs="DaxlinePro-Regular"/>
          <w:color w:val="000000"/>
          <w:sz w:val="24"/>
          <w:szCs w:val="24"/>
        </w:rPr>
        <w:t>events prompted the Ministry of Just</w:t>
      </w:r>
      <w:r w:rsidR="007242D0">
        <w:rPr>
          <w:rFonts w:cs="DaxlinePro-Regular"/>
          <w:color w:val="000000"/>
          <w:sz w:val="24"/>
          <w:szCs w:val="24"/>
        </w:rPr>
        <w:t xml:space="preserve">ice to form a working </w:t>
      </w:r>
      <w:r w:rsidR="007242D0" w:rsidRPr="007242D0">
        <w:rPr>
          <w:rFonts w:cs="DaxlinePro-Regular"/>
          <w:color w:val="000000"/>
          <w:sz w:val="24"/>
          <w:szCs w:val="24"/>
        </w:rPr>
        <w:t>group composed of</w:t>
      </w:r>
      <w:r w:rsidR="007242D0">
        <w:rPr>
          <w:rFonts w:cs="DaxlinePro-Regular"/>
          <w:color w:val="000000"/>
          <w:sz w:val="24"/>
          <w:szCs w:val="24"/>
        </w:rPr>
        <w:t xml:space="preserve"> experts from the Ministries of </w:t>
      </w:r>
      <w:r w:rsidR="007242D0" w:rsidRPr="007242D0">
        <w:rPr>
          <w:rFonts w:cs="DaxlinePro-Regular"/>
          <w:color w:val="000000"/>
          <w:sz w:val="24"/>
          <w:szCs w:val="24"/>
        </w:rPr>
        <w:t>Justice and Labour and Social Pol</w:t>
      </w:r>
      <w:r w:rsidR="007242D0">
        <w:rPr>
          <w:rFonts w:cs="DaxlinePro-Regular"/>
          <w:color w:val="000000"/>
          <w:sz w:val="24"/>
          <w:szCs w:val="24"/>
        </w:rPr>
        <w:t xml:space="preserve">icy, as well as representatives </w:t>
      </w:r>
      <w:r w:rsidR="007242D0" w:rsidRPr="007242D0">
        <w:rPr>
          <w:rFonts w:cs="DaxlinePro-Regular"/>
          <w:color w:val="000000"/>
          <w:sz w:val="24"/>
          <w:szCs w:val="24"/>
        </w:rPr>
        <w:t>of NGOs and</w:t>
      </w:r>
      <w:r w:rsidR="007242D0">
        <w:rPr>
          <w:rFonts w:cs="DaxlinePro-Regular"/>
          <w:color w:val="000000"/>
          <w:sz w:val="24"/>
          <w:szCs w:val="24"/>
        </w:rPr>
        <w:t xml:space="preserve"> academia. The working group is </w:t>
      </w:r>
      <w:r w:rsidR="007242D0" w:rsidRPr="007242D0">
        <w:rPr>
          <w:rFonts w:cs="DaxlinePro-Regular"/>
          <w:color w:val="000000"/>
          <w:sz w:val="24"/>
          <w:szCs w:val="24"/>
        </w:rPr>
        <w:t>to reform legal capacity pro</w:t>
      </w:r>
      <w:r w:rsidR="007242D0">
        <w:rPr>
          <w:rFonts w:cs="DaxlinePro-Regular"/>
          <w:color w:val="000000"/>
          <w:sz w:val="24"/>
          <w:szCs w:val="24"/>
        </w:rPr>
        <w:t xml:space="preserve">visions in line with Article 12 </w:t>
      </w:r>
      <w:r w:rsidR="007242D0" w:rsidRPr="007242D0">
        <w:rPr>
          <w:rFonts w:cs="DaxlinePro-Regular"/>
          <w:color w:val="000000"/>
          <w:sz w:val="24"/>
          <w:szCs w:val="24"/>
        </w:rPr>
        <w:t>of the CPRD. It published</w:t>
      </w:r>
      <w:r w:rsidR="007242D0">
        <w:rPr>
          <w:rFonts w:cs="DaxlinePro-Regular"/>
          <w:color w:val="000000"/>
          <w:sz w:val="24"/>
          <w:szCs w:val="24"/>
        </w:rPr>
        <w:t xml:space="preserve"> a concept paper that envisages </w:t>
      </w:r>
      <w:r w:rsidR="007242D0" w:rsidRPr="007242D0">
        <w:rPr>
          <w:rFonts w:cs="DaxlinePro-Regular"/>
          <w:color w:val="000000"/>
          <w:sz w:val="24"/>
          <w:szCs w:val="24"/>
        </w:rPr>
        <w:t>the abolition of plenar</w:t>
      </w:r>
      <w:r w:rsidR="007242D0">
        <w:rPr>
          <w:rFonts w:cs="DaxlinePro-Regular"/>
          <w:color w:val="000000"/>
          <w:sz w:val="24"/>
          <w:szCs w:val="24"/>
        </w:rPr>
        <w:t xml:space="preserve">y guardianship and the adoption </w:t>
      </w:r>
      <w:r w:rsidR="007242D0" w:rsidRPr="007242D0">
        <w:rPr>
          <w:rFonts w:cs="DaxlinePro-Regular"/>
          <w:color w:val="000000"/>
          <w:sz w:val="24"/>
          <w:szCs w:val="24"/>
        </w:rPr>
        <w:t>of alternative measu</w:t>
      </w:r>
      <w:r w:rsidR="007242D0">
        <w:rPr>
          <w:rFonts w:cs="DaxlinePro-Regular"/>
          <w:color w:val="000000"/>
          <w:sz w:val="24"/>
          <w:szCs w:val="24"/>
        </w:rPr>
        <w:t xml:space="preserve">res such as advanced directives </w:t>
      </w:r>
      <w:r w:rsidR="007242D0" w:rsidRPr="007242D0">
        <w:rPr>
          <w:rFonts w:cs="DaxlinePro-Regular"/>
          <w:color w:val="000000"/>
          <w:sz w:val="24"/>
          <w:szCs w:val="24"/>
        </w:rPr>
        <w:t>and supported decision</w:t>
      </w:r>
      <w:r w:rsidR="007242D0">
        <w:rPr>
          <w:rFonts w:cs="DaxlinePro-Regular"/>
          <w:color w:val="000000"/>
          <w:sz w:val="24"/>
          <w:szCs w:val="24"/>
        </w:rPr>
        <w:t xml:space="preserve">-making. The concept paper also </w:t>
      </w:r>
      <w:r w:rsidR="007242D0" w:rsidRPr="007242D0">
        <w:rPr>
          <w:rFonts w:cs="DaxlinePro-Regular"/>
          <w:color w:val="000000"/>
          <w:sz w:val="24"/>
          <w:szCs w:val="24"/>
        </w:rPr>
        <w:t>stipulates that protect</w:t>
      </w:r>
      <w:r w:rsidR="007242D0">
        <w:rPr>
          <w:rFonts w:cs="DaxlinePro-Regular"/>
          <w:color w:val="000000"/>
          <w:sz w:val="24"/>
          <w:szCs w:val="24"/>
        </w:rPr>
        <w:t xml:space="preserve">ion measures should be based on </w:t>
      </w:r>
      <w:r w:rsidR="007242D0" w:rsidRPr="007242D0">
        <w:rPr>
          <w:rFonts w:cs="DaxlinePro-Regular"/>
          <w:color w:val="000000"/>
          <w:sz w:val="24"/>
          <w:szCs w:val="24"/>
        </w:rPr>
        <w:t>the principles of necessity</w:t>
      </w:r>
      <w:r w:rsidR="007242D0">
        <w:rPr>
          <w:rFonts w:cs="DaxlinePro-Regular"/>
          <w:color w:val="000000"/>
          <w:sz w:val="24"/>
          <w:szCs w:val="24"/>
        </w:rPr>
        <w:t xml:space="preserve">, proportionality, flexibility, </w:t>
      </w:r>
      <w:r w:rsidR="007242D0" w:rsidRPr="007242D0">
        <w:rPr>
          <w:rFonts w:cs="DaxlinePro-Regular"/>
          <w:color w:val="000000"/>
          <w:sz w:val="24"/>
          <w:szCs w:val="24"/>
        </w:rPr>
        <w:t>respect for the will of the person and periodic review</w:t>
      </w:r>
      <w:r w:rsidR="007242D0">
        <w:rPr>
          <w:rFonts w:cs="DaxlinePro-Regular"/>
          <w:color w:val="000000"/>
          <w:sz w:val="24"/>
          <w:szCs w:val="24"/>
        </w:rPr>
        <w:t xml:space="preserve"> </w:t>
      </w:r>
      <w:r w:rsidR="007242D0" w:rsidRPr="007242D0">
        <w:rPr>
          <w:rFonts w:cs="DaxlinePro-Regular"/>
          <w:color w:val="000000"/>
          <w:sz w:val="24"/>
          <w:szCs w:val="24"/>
        </w:rPr>
        <w:t>and should aim at avoiding conflicts of interests</w:t>
      </w:r>
      <w:r w:rsidRPr="00E673AD">
        <w:rPr>
          <w:rFonts w:cs="DaxlinePro-Regular"/>
          <w:color w:val="000000"/>
          <w:sz w:val="24"/>
          <w:szCs w:val="24"/>
        </w:rPr>
        <w:t>.</w:t>
      </w:r>
      <w:r>
        <w:rPr>
          <w:rFonts w:cs="DaxlinePro-Regular"/>
          <w:color w:val="000000"/>
          <w:sz w:val="24"/>
          <w:szCs w:val="24"/>
        </w:rPr>
        <w:t>”</w:t>
      </w:r>
      <w:r w:rsidR="007242D0">
        <w:rPr>
          <w:rFonts w:cs="DaxlinePro-Regular"/>
          <w:color w:val="000000"/>
          <w:sz w:val="24"/>
          <w:szCs w:val="24"/>
        </w:rPr>
        <w:t xml:space="preserve"> (p.2</w:t>
      </w:r>
      <w:r w:rsidR="00A7194D">
        <w:rPr>
          <w:rFonts w:cs="DaxlinePro-Regular"/>
          <w:color w:val="000000"/>
          <w:sz w:val="24"/>
          <w:szCs w:val="24"/>
        </w:rPr>
        <w:t>8-2</w:t>
      </w:r>
      <w:r w:rsidR="007242D0">
        <w:rPr>
          <w:rFonts w:cs="DaxlinePro-Regular"/>
          <w:color w:val="000000"/>
          <w:sz w:val="24"/>
          <w:szCs w:val="24"/>
        </w:rPr>
        <w:t>9</w:t>
      </w:r>
      <w:r w:rsidRPr="00E673AD">
        <w:rPr>
          <w:rFonts w:cs="DaxlinePro-Regular"/>
          <w:color w:val="000000"/>
          <w:sz w:val="24"/>
          <w:szCs w:val="24"/>
        </w:rPr>
        <w:t>)</w:t>
      </w:r>
    </w:p>
    <w:p w14:paraId="3A32014B" w14:textId="2497C9C1" w:rsidR="00281962" w:rsidRPr="00A7194D" w:rsidRDefault="00281962" w:rsidP="00B37D35">
      <w:pPr>
        <w:spacing w:after="0"/>
        <w:rPr>
          <w:rFonts w:cs="DaxlinePro-Regular"/>
          <w:color w:val="000000"/>
          <w:sz w:val="24"/>
          <w:szCs w:val="24"/>
        </w:rPr>
      </w:pPr>
      <w:r w:rsidRPr="00E673AD">
        <w:rPr>
          <w:rFonts w:cs="DaxlinePro-Regular"/>
          <w:color w:val="000000"/>
          <w:sz w:val="24"/>
          <w:szCs w:val="24"/>
        </w:rPr>
        <w:t>“</w:t>
      </w:r>
      <w:r w:rsidR="00A7194D" w:rsidRPr="00A7194D">
        <w:rPr>
          <w:rFonts w:cs="DaxlinePro-Regular"/>
          <w:color w:val="000000"/>
          <w:sz w:val="24"/>
          <w:szCs w:val="24"/>
        </w:rPr>
        <w:t>In other EU Member States, courts issue two s</w:t>
      </w:r>
      <w:r w:rsidR="00A7194D">
        <w:rPr>
          <w:rFonts w:cs="DaxlinePro-Regular"/>
          <w:color w:val="000000"/>
          <w:sz w:val="24"/>
          <w:szCs w:val="24"/>
        </w:rPr>
        <w:t xml:space="preserve">eparate </w:t>
      </w:r>
      <w:r w:rsidR="00A7194D" w:rsidRPr="00A7194D">
        <w:rPr>
          <w:rFonts w:cs="DaxlinePro-Regular"/>
          <w:color w:val="000000"/>
          <w:sz w:val="24"/>
          <w:szCs w:val="24"/>
        </w:rPr>
        <w:t xml:space="preserve">judgments. The </w:t>
      </w:r>
      <w:r w:rsidR="00A7194D" w:rsidRPr="00A7194D">
        <w:rPr>
          <w:rFonts w:cs="DaxlinePro-Regular"/>
          <w:b/>
          <w:color w:val="000000"/>
          <w:sz w:val="24"/>
          <w:szCs w:val="24"/>
        </w:rPr>
        <w:t>Bulgarian</w:t>
      </w:r>
      <w:r w:rsidR="00A7194D">
        <w:rPr>
          <w:rFonts w:cs="DaxlinePro-Regular"/>
          <w:color w:val="000000"/>
          <w:sz w:val="24"/>
          <w:szCs w:val="24"/>
        </w:rPr>
        <w:t xml:space="preserve"> Civil Procedure Code, for </w:t>
      </w:r>
      <w:r w:rsidR="00A7194D" w:rsidRPr="00A7194D">
        <w:rPr>
          <w:rFonts w:cs="DaxlinePro-Regular"/>
          <w:color w:val="000000"/>
          <w:sz w:val="24"/>
          <w:szCs w:val="24"/>
        </w:rPr>
        <w:t>example, provides fo</w:t>
      </w:r>
      <w:r w:rsidR="00A7194D">
        <w:rPr>
          <w:rFonts w:cs="DaxlinePro-Regular"/>
          <w:color w:val="000000"/>
          <w:sz w:val="24"/>
          <w:szCs w:val="24"/>
        </w:rPr>
        <w:t xml:space="preserve">r such a two-stage process. The </w:t>
      </w:r>
      <w:r w:rsidR="00A7194D" w:rsidRPr="00A7194D">
        <w:rPr>
          <w:rFonts w:cs="DaxlinePro-Regular"/>
          <w:color w:val="000000"/>
          <w:sz w:val="24"/>
          <w:szCs w:val="24"/>
        </w:rPr>
        <w:t>first stage is a court pr</w:t>
      </w:r>
      <w:r w:rsidR="00A7194D">
        <w:rPr>
          <w:rFonts w:cs="DaxlinePro-Regular"/>
          <w:color w:val="000000"/>
          <w:sz w:val="24"/>
          <w:szCs w:val="24"/>
        </w:rPr>
        <w:t xml:space="preserve">ocedure which limits or removes </w:t>
      </w:r>
      <w:r w:rsidR="00A7194D" w:rsidRPr="00A7194D">
        <w:rPr>
          <w:rFonts w:cs="DaxlinePro-Regular"/>
          <w:color w:val="000000"/>
          <w:sz w:val="24"/>
          <w:szCs w:val="24"/>
        </w:rPr>
        <w:t>a person’s legal capacit</w:t>
      </w:r>
      <w:r w:rsidR="00A7194D">
        <w:rPr>
          <w:rFonts w:cs="DaxlinePro-Regular"/>
          <w:color w:val="000000"/>
          <w:sz w:val="24"/>
          <w:szCs w:val="24"/>
        </w:rPr>
        <w:t xml:space="preserve">y to exercise rights and accept </w:t>
      </w:r>
      <w:r w:rsidR="00A7194D" w:rsidRPr="00A7194D">
        <w:rPr>
          <w:rFonts w:cs="DaxlinePro-Regular"/>
          <w:color w:val="000000"/>
          <w:sz w:val="24"/>
          <w:szCs w:val="24"/>
        </w:rPr>
        <w:t>legal responsibilities. The seco</w:t>
      </w:r>
      <w:r w:rsidR="00A7194D">
        <w:rPr>
          <w:rFonts w:cs="DaxlinePro-Regular"/>
          <w:color w:val="000000"/>
          <w:sz w:val="24"/>
          <w:szCs w:val="24"/>
        </w:rPr>
        <w:t xml:space="preserve">nd is an administrative </w:t>
      </w:r>
      <w:r w:rsidR="00A7194D" w:rsidRPr="00A7194D">
        <w:rPr>
          <w:rFonts w:cs="DaxlinePro-Regular"/>
          <w:color w:val="000000"/>
          <w:sz w:val="24"/>
          <w:szCs w:val="24"/>
        </w:rPr>
        <w:t>procedure during which a</w:t>
      </w:r>
      <w:r w:rsidR="00A7194D">
        <w:rPr>
          <w:rFonts w:cs="DaxlinePro-Regular"/>
          <w:color w:val="000000"/>
          <w:sz w:val="24"/>
          <w:szCs w:val="24"/>
        </w:rPr>
        <w:t xml:space="preserve"> guardian is appointed for this person. </w:t>
      </w:r>
      <w:r w:rsidR="00A7194D" w:rsidRPr="00A7194D">
        <w:rPr>
          <w:rFonts w:cs="DaxlinePro-Regular"/>
          <w:color w:val="000000"/>
          <w:sz w:val="24"/>
          <w:szCs w:val="24"/>
        </w:rPr>
        <w:t xml:space="preserve">The </w:t>
      </w:r>
      <w:r w:rsidR="00A7194D" w:rsidRPr="00A7194D">
        <w:rPr>
          <w:rFonts w:cs="DaxlinePro-Regular"/>
          <w:b/>
          <w:color w:val="000000"/>
          <w:sz w:val="24"/>
          <w:szCs w:val="24"/>
        </w:rPr>
        <w:t>Bulgarian</w:t>
      </w:r>
      <w:r w:rsidR="00A7194D" w:rsidRPr="00A7194D">
        <w:rPr>
          <w:rFonts w:cs="DaxlinePro-Regular"/>
          <w:color w:val="000000"/>
          <w:sz w:val="24"/>
          <w:szCs w:val="24"/>
        </w:rPr>
        <w:t xml:space="preserve"> </w:t>
      </w:r>
      <w:r w:rsidR="00A7194D">
        <w:rPr>
          <w:rFonts w:cs="DaxlinePro-Regular"/>
          <w:color w:val="000000"/>
          <w:sz w:val="24"/>
          <w:szCs w:val="24"/>
        </w:rPr>
        <w:t xml:space="preserve">Family Code stipulates that the </w:t>
      </w:r>
      <w:r w:rsidR="00A7194D" w:rsidRPr="00A7194D">
        <w:rPr>
          <w:rFonts w:cs="DaxlinePro-Regular"/>
          <w:color w:val="000000"/>
          <w:sz w:val="24"/>
          <w:szCs w:val="24"/>
        </w:rPr>
        <w:t>mayor in each municipali</w:t>
      </w:r>
      <w:r w:rsidR="00A7194D">
        <w:rPr>
          <w:rFonts w:cs="DaxlinePro-Regular"/>
          <w:color w:val="000000"/>
          <w:sz w:val="24"/>
          <w:szCs w:val="24"/>
        </w:rPr>
        <w:t xml:space="preserve">ty is the authority responsible </w:t>
      </w:r>
      <w:r w:rsidR="00A7194D" w:rsidRPr="00A7194D">
        <w:rPr>
          <w:rFonts w:cs="DaxlinePro-Regular"/>
          <w:color w:val="000000"/>
          <w:sz w:val="24"/>
          <w:szCs w:val="24"/>
        </w:rPr>
        <w:t>for appointing gu</w:t>
      </w:r>
      <w:r w:rsidR="00A7194D">
        <w:rPr>
          <w:rFonts w:cs="DaxlinePro-Regular"/>
          <w:color w:val="000000"/>
          <w:sz w:val="24"/>
          <w:szCs w:val="24"/>
        </w:rPr>
        <w:t xml:space="preserve">ardians and trustees and for </w:t>
      </w:r>
      <w:r w:rsidR="00A7194D" w:rsidRPr="00A7194D">
        <w:rPr>
          <w:rFonts w:cs="DaxlinePro-Regular"/>
          <w:color w:val="000000"/>
          <w:sz w:val="24"/>
          <w:szCs w:val="24"/>
        </w:rPr>
        <w:t>monitoring the guardia</w:t>
      </w:r>
      <w:r w:rsidR="00A7194D">
        <w:rPr>
          <w:rFonts w:cs="DaxlinePro-Regular"/>
          <w:color w:val="000000"/>
          <w:sz w:val="24"/>
          <w:szCs w:val="24"/>
        </w:rPr>
        <w:t xml:space="preserve">n’s activities and recommending </w:t>
      </w:r>
      <w:r w:rsidR="00A7194D" w:rsidRPr="00A7194D">
        <w:rPr>
          <w:rFonts w:cs="DaxlinePro-Regular"/>
          <w:color w:val="000000"/>
          <w:sz w:val="24"/>
          <w:szCs w:val="24"/>
        </w:rPr>
        <w:t>termination</w:t>
      </w:r>
      <w:r w:rsidR="00EE03DC">
        <w:rPr>
          <w:rFonts w:cs="DaxlinePro-Regular"/>
          <w:color w:val="000000"/>
          <w:sz w:val="24"/>
          <w:szCs w:val="24"/>
        </w:rPr>
        <w:t>.</w:t>
      </w:r>
      <w:r w:rsidR="00A7194D">
        <w:rPr>
          <w:rFonts w:cs="DaxlinePro-Regular"/>
          <w:color w:val="000000"/>
          <w:sz w:val="24"/>
          <w:szCs w:val="24"/>
        </w:rPr>
        <w:t>” (p.33</w:t>
      </w:r>
      <w:r w:rsidRPr="00E673AD">
        <w:rPr>
          <w:rFonts w:cs="DaxlinePro-Regular"/>
          <w:color w:val="000000"/>
          <w:sz w:val="24"/>
          <w:szCs w:val="24"/>
        </w:rPr>
        <w:t>)</w:t>
      </w:r>
    </w:p>
    <w:p w14:paraId="0FA0B34A" w14:textId="1B9C7436" w:rsidR="006F4931" w:rsidRDefault="00281962" w:rsidP="00B37D35">
      <w:pPr>
        <w:spacing w:after="0"/>
        <w:rPr>
          <w:rFonts w:cs="DaxlinePro-Regular"/>
          <w:color w:val="000000"/>
          <w:sz w:val="24"/>
          <w:szCs w:val="24"/>
        </w:rPr>
      </w:pPr>
      <w:r w:rsidRPr="00E673AD">
        <w:rPr>
          <w:rFonts w:cs="DaxlinePro-Regular"/>
          <w:color w:val="000000"/>
          <w:sz w:val="24"/>
          <w:szCs w:val="24"/>
        </w:rPr>
        <w:lastRenderedPageBreak/>
        <w:t>“</w:t>
      </w:r>
      <w:r w:rsidR="00A7194D">
        <w:rPr>
          <w:rFonts w:cs="DaxlinePro-Regular"/>
          <w:color w:val="000000"/>
          <w:sz w:val="24"/>
          <w:szCs w:val="24"/>
        </w:rPr>
        <w:t xml:space="preserve">In two </w:t>
      </w:r>
      <w:r w:rsidR="00A7194D" w:rsidRPr="00A7194D">
        <w:rPr>
          <w:rFonts w:cs="DaxlinePro-Regular"/>
          <w:color w:val="000000"/>
          <w:sz w:val="24"/>
          <w:szCs w:val="24"/>
        </w:rPr>
        <w:t xml:space="preserve">Member States, </w:t>
      </w:r>
      <w:r w:rsidR="00A7194D" w:rsidRPr="00A7194D">
        <w:rPr>
          <w:rFonts w:cs="DaxlinePro-Regular"/>
          <w:b/>
          <w:color w:val="000000"/>
          <w:sz w:val="24"/>
          <w:szCs w:val="24"/>
        </w:rPr>
        <w:t>Bulgaria</w:t>
      </w:r>
      <w:r w:rsidR="00A7194D">
        <w:rPr>
          <w:rFonts w:cs="DaxlinePro-Regular"/>
          <w:color w:val="000000"/>
          <w:sz w:val="24"/>
          <w:szCs w:val="24"/>
        </w:rPr>
        <w:t xml:space="preserve"> and Hungary, only a court </w:t>
      </w:r>
      <w:r w:rsidR="00A7194D" w:rsidRPr="00A7194D">
        <w:rPr>
          <w:rFonts w:cs="DaxlinePro-Regular"/>
          <w:color w:val="000000"/>
          <w:sz w:val="24"/>
          <w:szCs w:val="24"/>
        </w:rPr>
        <w:t>is entitled to limit or res</w:t>
      </w:r>
      <w:r w:rsidR="00A7194D">
        <w:rPr>
          <w:rFonts w:cs="DaxlinePro-Regular"/>
          <w:color w:val="000000"/>
          <w:sz w:val="24"/>
          <w:szCs w:val="24"/>
        </w:rPr>
        <w:t xml:space="preserve">tore an adult’s legal capacity, </w:t>
      </w:r>
      <w:r w:rsidR="00A7194D" w:rsidRPr="00A7194D">
        <w:rPr>
          <w:rFonts w:cs="DaxlinePro-Regular"/>
          <w:color w:val="000000"/>
          <w:sz w:val="24"/>
          <w:szCs w:val="24"/>
        </w:rPr>
        <w:t>while most other respons</w:t>
      </w:r>
      <w:r w:rsidR="00A7194D">
        <w:rPr>
          <w:rFonts w:cs="DaxlinePro-Regular"/>
          <w:color w:val="000000"/>
          <w:sz w:val="24"/>
          <w:szCs w:val="24"/>
        </w:rPr>
        <w:t xml:space="preserve">ibilities, including appointing </w:t>
      </w:r>
      <w:r w:rsidR="00A7194D" w:rsidRPr="00A7194D">
        <w:rPr>
          <w:rFonts w:cs="DaxlinePro-Regular"/>
          <w:color w:val="000000"/>
          <w:sz w:val="24"/>
          <w:szCs w:val="24"/>
        </w:rPr>
        <w:t>a guardian, res</w:t>
      </w:r>
      <w:r w:rsidR="00A7194D">
        <w:rPr>
          <w:rFonts w:cs="DaxlinePro-Regular"/>
          <w:color w:val="000000"/>
          <w:sz w:val="24"/>
          <w:szCs w:val="24"/>
        </w:rPr>
        <w:t>t with a guardianship authority.</w:t>
      </w:r>
      <w:r w:rsidR="00AF5A6F">
        <w:rPr>
          <w:rFonts w:cs="DaxlinePro-Regular"/>
          <w:color w:val="000000"/>
          <w:sz w:val="24"/>
          <w:szCs w:val="24"/>
        </w:rPr>
        <w:t>” (</w:t>
      </w:r>
      <w:r w:rsidR="00A7194D">
        <w:rPr>
          <w:rFonts w:cs="DaxlinePro-Regular"/>
          <w:color w:val="000000"/>
          <w:sz w:val="24"/>
          <w:szCs w:val="24"/>
        </w:rPr>
        <w:t>p.33</w:t>
      </w:r>
      <w:r w:rsidRPr="00E673AD">
        <w:rPr>
          <w:rFonts w:cs="DaxlinePro-Regular"/>
          <w:color w:val="000000"/>
          <w:sz w:val="24"/>
          <w:szCs w:val="24"/>
        </w:rPr>
        <w:t>)</w:t>
      </w:r>
    </w:p>
    <w:p w14:paraId="63D57C18" w14:textId="1CBACA10" w:rsidR="00B76CA3" w:rsidRDefault="00B76CA3" w:rsidP="00B37D35">
      <w:pPr>
        <w:spacing w:after="0"/>
        <w:rPr>
          <w:rFonts w:cs="DaxlinePro-Regular"/>
          <w:color w:val="000000"/>
          <w:sz w:val="24"/>
          <w:szCs w:val="24"/>
        </w:rPr>
      </w:pPr>
      <w:r>
        <w:rPr>
          <w:rFonts w:cs="DaxlinePro-Regular"/>
          <w:color w:val="000000"/>
          <w:sz w:val="24"/>
          <w:szCs w:val="24"/>
        </w:rPr>
        <w:t>“</w:t>
      </w:r>
      <w:r w:rsidRPr="00B76CA3">
        <w:rPr>
          <w:rFonts w:cs="DaxlinePro-Regular"/>
          <w:color w:val="000000"/>
          <w:sz w:val="24"/>
          <w:szCs w:val="24"/>
        </w:rPr>
        <w:t>Another group of EU Me</w:t>
      </w:r>
      <w:r>
        <w:rPr>
          <w:rFonts w:cs="DaxlinePro-Regular"/>
          <w:color w:val="000000"/>
          <w:sz w:val="24"/>
          <w:szCs w:val="24"/>
        </w:rPr>
        <w:t xml:space="preserve">mber States instead use an </w:t>
      </w:r>
      <w:r w:rsidRPr="00B76CA3">
        <w:rPr>
          <w:rFonts w:cs="DaxlinePro-Regular"/>
          <w:color w:val="000000"/>
          <w:sz w:val="24"/>
          <w:szCs w:val="24"/>
        </w:rPr>
        <w:t>all-encompassing rathe</w:t>
      </w:r>
      <w:r>
        <w:rPr>
          <w:rFonts w:cs="DaxlinePro-Regular"/>
          <w:color w:val="000000"/>
          <w:sz w:val="24"/>
          <w:szCs w:val="24"/>
        </w:rPr>
        <w:t xml:space="preserve">r than a ‘tailor-made’ approach </w:t>
      </w:r>
      <w:r w:rsidRPr="00B76CA3">
        <w:rPr>
          <w:rFonts w:cs="DaxlinePro-Regular"/>
          <w:color w:val="000000"/>
          <w:sz w:val="24"/>
          <w:szCs w:val="24"/>
        </w:rPr>
        <w:t>to the guardianship. These countr</w:t>
      </w:r>
      <w:r>
        <w:rPr>
          <w:rFonts w:cs="DaxlinePro-Regular"/>
          <w:color w:val="000000"/>
          <w:sz w:val="24"/>
          <w:szCs w:val="24"/>
        </w:rPr>
        <w:t xml:space="preserve">ies do not limit representation </w:t>
      </w:r>
      <w:r w:rsidRPr="00B76CA3">
        <w:rPr>
          <w:rFonts w:cs="DaxlinePro-Regular"/>
          <w:color w:val="000000"/>
          <w:sz w:val="24"/>
          <w:szCs w:val="24"/>
        </w:rPr>
        <w:t>to areas w</w:t>
      </w:r>
      <w:r>
        <w:rPr>
          <w:rFonts w:cs="DaxlinePro-Regular"/>
          <w:color w:val="000000"/>
          <w:sz w:val="24"/>
          <w:szCs w:val="24"/>
        </w:rPr>
        <w:t xml:space="preserve">here the person concerned needs </w:t>
      </w:r>
      <w:r w:rsidRPr="00B76CA3">
        <w:rPr>
          <w:rFonts w:cs="DaxlinePro-Regular"/>
          <w:color w:val="000000"/>
          <w:sz w:val="24"/>
          <w:szCs w:val="24"/>
        </w:rPr>
        <w:t>assistance. In these co</w:t>
      </w:r>
      <w:r>
        <w:rPr>
          <w:rFonts w:cs="DaxlinePro-Regular"/>
          <w:color w:val="000000"/>
          <w:sz w:val="24"/>
          <w:szCs w:val="24"/>
        </w:rPr>
        <w:t xml:space="preserve">untries the guardian must ‘take </w:t>
      </w:r>
      <w:r w:rsidRPr="00B76CA3">
        <w:rPr>
          <w:rFonts w:cs="DaxlinePro-Regular"/>
          <w:color w:val="000000"/>
          <w:sz w:val="24"/>
          <w:szCs w:val="24"/>
        </w:rPr>
        <w:t>care’ of the person,</w:t>
      </w:r>
      <w:r>
        <w:rPr>
          <w:rFonts w:cs="DaxlinePro-Regular"/>
          <w:color w:val="000000"/>
          <w:sz w:val="24"/>
          <w:szCs w:val="24"/>
        </w:rPr>
        <w:t xml:space="preserve"> manage his or her property and </w:t>
      </w:r>
      <w:r w:rsidRPr="00B76CA3">
        <w:rPr>
          <w:rFonts w:cs="DaxlinePro-Regular"/>
          <w:color w:val="000000"/>
          <w:sz w:val="24"/>
          <w:szCs w:val="24"/>
        </w:rPr>
        <w:t>represent him or her in all matters. This is the case, for</w:t>
      </w:r>
      <w:r>
        <w:rPr>
          <w:rFonts w:cs="DaxlinePro-Regular"/>
          <w:color w:val="000000"/>
          <w:sz w:val="24"/>
          <w:szCs w:val="24"/>
        </w:rPr>
        <w:t xml:space="preserve"> </w:t>
      </w:r>
      <w:r w:rsidRPr="00B76CA3">
        <w:rPr>
          <w:rFonts w:cs="DaxlinePro-Regular"/>
          <w:color w:val="000000"/>
          <w:sz w:val="24"/>
          <w:szCs w:val="24"/>
        </w:rPr>
        <w:t xml:space="preserve">example, in </w:t>
      </w:r>
      <w:r w:rsidRPr="00B76CA3">
        <w:rPr>
          <w:rFonts w:cs="DaxlinePro-Regular"/>
          <w:b/>
          <w:color w:val="000000"/>
          <w:sz w:val="24"/>
          <w:szCs w:val="24"/>
        </w:rPr>
        <w:t>Bulgaria</w:t>
      </w:r>
      <w:r w:rsidRPr="00B76CA3">
        <w:rPr>
          <w:rFonts w:cs="DaxlinePro-Regular"/>
          <w:color w:val="000000"/>
          <w:sz w:val="24"/>
          <w:szCs w:val="24"/>
        </w:rPr>
        <w:t>, where the guardian is authorised</w:t>
      </w:r>
      <w:r>
        <w:rPr>
          <w:rFonts w:cs="DaxlinePro-Regular"/>
          <w:color w:val="000000"/>
          <w:sz w:val="24"/>
          <w:szCs w:val="24"/>
        </w:rPr>
        <w:t xml:space="preserve"> </w:t>
      </w:r>
      <w:r w:rsidRPr="00B76CA3">
        <w:rPr>
          <w:rFonts w:cs="DaxlinePro-Regular"/>
          <w:color w:val="000000"/>
          <w:sz w:val="24"/>
          <w:szCs w:val="24"/>
        </w:rPr>
        <w:t>to make all personal decisions</w:t>
      </w:r>
      <w:r>
        <w:rPr>
          <w:rFonts w:cs="DaxlinePro-Regular"/>
          <w:color w:val="000000"/>
          <w:sz w:val="24"/>
          <w:szCs w:val="24"/>
        </w:rPr>
        <w:t>.” (p.36)</w:t>
      </w:r>
    </w:p>
    <w:p w14:paraId="0577065D" w14:textId="194E1703" w:rsidR="00B76CA3" w:rsidRDefault="00B76CA3" w:rsidP="00B37D35">
      <w:pPr>
        <w:spacing w:after="0"/>
        <w:rPr>
          <w:rFonts w:cs="DaxlinePro-Regular"/>
          <w:color w:val="000000"/>
          <w:sz w:val="24"/>
          <w:szCs w:val="24"/>
        </w:rPr>
      </w:pPr>
      <w:r>
        <w:rPr>
          <w:rFonts w:cs="DaxlinePro-Regular"/>
          <w:color w:val="000000"/>
          <w:sz w:val="24"/>
          <w:szCs w:val="24"/>
        </w:rPr>
        <w:t>“</w:t>
      </w:r>
      <w:r w:rsidRPr="00AF5A6F">
        <w:rPr>
          <w:rFonts w:cs="DaxlinePro-Regular"/>
          <w:b/>
          <w:color w:val="000000"/>
          <w:sz w:val="24"/>
          <w:szCs w:val="24"/>
        </w:rPr>
        <w:t>Bulgaria</w:t>
      </w:r>
      <w:r>
        <w:rPr>
          <w:rFonts w:cs="DaxlinePro-Regular"/>
          <w:color w:val="000000"/>
          <w:sz w:val="24"/>
          <w:szCs w:val="24"/>
        </w:rPr>
        <w:t xml:space="preserve"> is another such example, </w:t>
      </w:r>
      <w:r w:rsidRPr="00B76CA3">
        <w:rPr>
          <w:rFonts w:cs="DaxlinePro-Regular"/>
          <w:color w:val="000000"/>
          <w:sz w:val="24"/>
          <w:szCs w:val="24"/>
        </w:rPr>
        <w:t>since the law does not lim</w:t>
      </w:r>
      <w:r>
        <w:rPr>
          <w:rFonts w:cs="DaxlinePro-Regular"/>
          <w:color w:val="000000"/>
          <w:sz w:val="24"/>
          <w:szCs w:val="24"/>
        </w:rPr>
        <w:t xml:space="preserve">it the duration of guardianship </w:t>
      </w:r>
      <w:r w:rsidRPr="00B76CA3">
        <w:rPr>
          <w:rFonts w:cs="DaxlinePro-Regular"/>
          <w:color w:val="000000"/>
          <w:sz w:val="24"/>
          <w:szCs w:val="24"/>
        </w:rPr>
        <w:t>once it has been established.</w:t>
      </w:r>
      <w:r>
        <w:rPr>
          <w:rFonts w:cs="DaxlinePro-Regular"/>
          <w:color w:val="000000"/>
          <w:sz w:val="24"/>
          <w:szCs w:val="24"/>
        </w:rPr>
        <w:t>” (p.38)</w:t>
      </w:r>
    </w:p>
    <w:p w14:paraId="29C0FC50" w14:textId="52A2DA79" w:rsidR="00B76CA3" w:rsidRDefault="00B76CA3" w:rsidP="00B37D35">
      <w:pPr>
        <w:spacing w:after="0"/>
        <w:rPr>
          <w:rFonts w:cs="DaxlinePro-Regular"/>
          <w:color w:val="000000"/>
          <w:sz w:val="24"/>
          <w:szCs w:val="24"/>
        </w:rPr>
      </w:pPr>
      <w:r>
        <w:rPr>
          <w:rFonts w:cs="DaxlinePro-Regular"/>
          <w:color w:val="000000"/>
          <w:sz w:val="24"/>
          <w:szCs w:val="24"/>
        </w:rPr>
        <w:t xml:space="preserve">“In </w:t>
      </w:r>
      <w:r w:rsidRPr="00B76CA3">
        <w:rPr>
          <w:rFonts w:cs="DaxlinePro-Regular"/>
          <w:b/>
          <w:color w:val="000000"/>
          <w:sz w:val="24"/>
          <w:szCs w:val="24"/>
        </w:rPr>
        <w:t>Bulgaria</w:t>
      </w:r>
      <w:r>
        <w:rPr>
          <w:rFonts w:cs="DaxlinePro-Regular"/>
          <w:color w:val="000000"/>
          <w:sz w:val="24"/>
          <w:szCs w:val="24"/>
        </w:rPr>
        <w:t xml:space="preserve">, neither </w:t>
      </w:r>
      <w:r w:rsidRPr="00B76CA3">
        <w:rPr>
          <w:rFonts w:cs="DaxlinePro-Regular"/>
          <w:color w:val="000000"/>
          <w:sz w:val="24"/>
          <w:szCs w:val="24"/>
        </w:rPr>
        <w:t>adults under partial no</w:t>
      </w:r>
      <w:r>
        <w:rPr>
          <w:rFonts w:cs="DaxlinePro-Regular"/>
          <w:color w:val="000000"/>
          <w:sz w:val="24"/>
          <w:szCs w:val="24"/>
        </w:rPr>
        <w:t xml:space="preserve">r those under full guardianship </w:t>
      </w:r>
      <w:r w:rsidRPr="00B76CA3">
        <w:rPr>
          <w:rFonts w:cs="DaxlinePro-Regular"/>
          <w:color w:val="000000"/>
          <w:sz w:val="24"/>
          <w:szCs w:val="24"/>
        </w:rPr>
        <w:t>may apply to ha</w:t>
      </w:r>
      <w:r>
        <w:rPr>
          <w:rFonts w:cs="DaxlinePro-Regular"/>
          <w:color w:val="000000"/>
          <w:sz w:val="24"/>
          <w:szCs w:val="24"/>
        </w:rPr>
        <w:t xml:space="preserve">ve their guardianship lifted as </w:t>
      </w:r>
      <w:r w:rsidRPr="00B76CA3">
        <w:rPr>
          <w:rFonts w:cs="DaxlinePro-Regular"/>
          <w:color w:val="000000"/>
          <w:sz w:val="24"/>
          <w:szCs w:val="24"/>
        </w:rPr>
        <w:t>they are deprived of l</w:t>
      </w:r>
      <w:r>
        <w:rPr>
          <w:rFonts w:cs="DaxlinePro-Regular"/>
          <w:color w:val="000000"/>
          <w:sz w:val="24"/>
          <w:szCs w:val="24"/>
        </w:rPr>
        <w:t xml:space="preserve">egal capacity. The guardianship </w:t>
      </w:r>
      <w:r w:rsidRPr="00B76CA3">
        <w:rPr>
          <w:rFonts w:cs="DaxlinePro-Regular"/>
          <w:color w:val="000000"/>
          <w:sz w:val="24"/>
          <w:szCs w:val="24"/>
        </w:rPr>
        <w:t>authority, or the ‘mayo</w:t>
      </w:r>
      <w:r>
        <w:rPr>
          <w:rFonts w:cs="DaxlinePro-Regular"/>
          <w:color w:val="000000"/>
          <w:sz w:val="24"/>
          <w:szCs w:val="24"/>
        </w:rPr>
        <w:t xml:space="preserve">r’ in the case of Bulgaria, and </w:t>
      </w:r>
      <w:r w:rsidRPr="00B76CA3">
        <w:rPr>
          <w:rFonts w:cs="DaxlinePro-Regular"/>
          <w:color w:val="000000"/>
          <w:sz w:val="24"/>
          <w:szCs w:val="24"/>
        </w:rPr>
        <w:t>the gua</w:t>
      </w:r>
      <w:r w:rsidR="00C73C4D">
        <w:rPr>
          <w:rFonts w:cs="DaxlinePro-Regular"/>
          <w:color w:val="000000"/>
          <w:sz w:val="24"/>
          <w:szCs w:val="24"/>
        </w:rPr>
        <w:t>rdians alone have this right.</w:t>
      </w:r>
      <w:r w:rsidRPr="00B76CA3">
        <w:rPr>
          <w:rFonts w:cs="DaxlinePro-Regular"/>
          <w:color w:val="000000"/>
          <w:sz w:val="24"/>
          <w:szCs w:val="24"/>
        </w:rPr>
        <w:t xml:space="preserve"> In th</w:t>
      </w:r>
      <w:r>
        <w:rPr>
          <w:rFonts w:cs="DaxlinePro-Regular"/>
          <w:color w:val="000000"/>
          <w:sz w:val="24"/>
          <w:szCs w:val="24"/>
        </w:rPr>
        <w:t xml:space="preserve">e Stanev </w:t>
      </w:r>
      <w:r w:rsidRPr="00B76CA3">
        <w:rPr>
          <w:rFonts w:cs="DaxlinePro-Regular"/>
          <w:color w:val="000000"/>
          <w:sz w:val="24"/>
          <w:szCs w:val="24"/>
        </w:rPr>
        <w:t>v. Bulgaria case, the ECtHR</w:t>
      </w:r>
      <w:r>
        <w:rPr>
          <w:rFonts w:cs="DaxlinePro-Regular"/>
          <w:color w:val="000000"/>
          <w:sz w:val="24"/>
          <w:szCs w:val="24"/>
        </w:rPr>
        <w:t xml:space="preserve"> concluded that this incapacity </w:t>
      </w:r>
      <w:r w:rsidRPr="00B76CA3">
        <w:rPr>
          <w:rFonts w:cs="DaxlinePro-Regular"/>
          <w:color w:val="000000"/>
          <w:sz w:val="24"/>
          <w:szCs w:val="24"/>
        </w:rPr>
        <w:t>violates Article 6 (1) of the ECHR on the right</w:t>
      </w:r>
      <w:r>
        <w:rPr>
          <w:rFonts w:cs="DaxlinePro-Regular"/>
          <w:color w:val="000000"/>
          <w:sz w:val="24"/>
          <w:szCs w:val="24"/>
        </w:rPr>
        <w:t xml:space="preserve"> </w:t>
      </w:r>
      <w:r w:rsidRPr="00B76CA3">
        <w:rPr>
          <w:rFonts w:cs="DaxlinePro-Regular"/>
          <w:color w:val="000000"/>
          <w:sz w:val="24"/>
          <w:szCs w:val="24"/>
        </w:rPr>
        <w:t>to a fair hearing, since the complainant was denied</w:t>
      </w:r>
      <w:r>
        <w:rPr>
          <w:rFonts w:cs="DaxlinePro-Regular"/>
          <w:color w:val="000000"/>
          <w:sz w:val="24"/>
          <w:szCs w:val="24"/>
        </w:rPr>
        <w:t xml:space="preserve"> </w:t>
      </w:r>
      <w:r w:rsidRPr="00B76CA3">
        <w:rPr>
          <w:rFonts w:cs="DaxlinePro-Regular"/>
          <w:color w:val="000000"/>
          <w:sz w:val="24"/>
          <w:szCs w:val="24"/>
        </w:rPr>
        <w:t>access to a court to seek restoration of his legal capacity</w:t>
      </w:r>
      <w:r>
        <w:rPr>
          <w:rFonts w:cs="DaxlinePro-Regular"/>
          <w:color w:val="000000"/>
          <w:sz w:val="24"/>
          <w:szCs w:val="24"/>
        </w:rPr>
        <w:t xml:space="preserve"> </w:t>
      </w:r>
      <w:r w:rsidRPr="00B76CA3">
        <w:rPr>
          <w:rFonts w:cs="DaxlinePro-Regular"/>
          <w:color w:val="000000"/>
          <w:sz w:val="24"/>
          <w:szCs w:val="24"/>
        </w:rPr>
        <w:t>(see Section 1.2.2).</w:t>
      </w:r>
      <w:r>
        <w:rPr>
          <w:rFonts w:cs="DaxlinePro-Regular"/>
          <w:color w:val="000000"/>
          <w:sz w:val="24"/>
          <w:szCs w:val="24"/>
        </w:rPr>
        <w:t>” (p.39)</w:t>
      </w:r>
    </w:p>
    <w:p w14:paraId="7CA0295E" w14:textId="0687FB51" w:rsidR="00CE61C6" w:rsidRPr="00EE03DC" w:rsidRDefault="00CE61C6" w:rsidP="00B37D35">
      <w:pPr>
        <w:spacing w:after="0"/>
        <w:rPr>
          <w:rFonts w:cs="DaxlinePro-Regular"/>
          <w:sz w:val="24"/>
          <w:szCs w:val="24"/>
        </w:rPr>
      </w:pPr>
      <w:r w:rsidRPr="00EE03DC">
        <w:rPr>
          <w:rFonts w:cs="DaxlinePro-Regular"/>
          <w:sz w:val="24"/>
          <w:szCs w:val="24"/>
        </w:rPr>
        <w:t xml:space="preserve">“We had quarrels with my mother before the hospital. She made my Roma girlfriend have an abortion in the village where we lived with her. […] I wanted the child but she told me I am not ready to have a child. […] I was angry because I did not know. […]My mother brought my girlfriend to the place and paid for the abortion. […]So they punished me with compulsory treatment […] while I was in the hospital she became my guardian.” (Man with mental health problems, 41, </w:t>
      </w:r>
      <w:r w:rsidRPr="00EE03DC">
        <w:rPr>
          <w:rFonts w:cs="DaxlinePro-Regular"/>
          <w:b/>
          <w:sz w:val="24"/>
          <w:szCs w:val="24"/>
        </w:rPr>
        <w:t>Bulgaria</w:t>
      </w:r>
      <w:r w:rsidRPr="00EE03DC">
        <w:rPr>
          <w:rFonts w:cs="DaxlinePro-Regular"/>
          <w:sz w:val="24"/>
          <w:szCs w:val="24"/>
        </w:rPr>
        <w:t>) (p</w:t>
      </w:r>
      <w:r w:rsidR="00B76CA3" w:rsidRPr="00EE03DC">
        <w:rPr>
          <w:rFonts w:cs="DaxlinePro-Regular"/>
          <w:sz w:val="24"/>
          <w:szCs w:val="24"/>
        </w:rPr>
        <w:t>.42</w:t>
      </w:r>
      <w:r w:rsidRPr="00EE03DC">
        <w:rPr>
          <w:rFonts w:cs="DaxlinePro-Regular"/>
          <w:sz w:val="24"/>
          <w:szCs w:val="24"/>
        </w:rPr>
        <w:t>)</w:t>
      </w:r>
    </w:p>
    <w:p w14:paraId="4C90C079" w14:textId="7046E181" w:rsidR="00CE61C6" w:rsidRPr="00EE03DC" w:rsidRDefault="00375FB8" w:rsidP="00B37D35">
      <w:pPr>
        <w:spacing w:after="0"/>
        <w:rPr>
          <w:rFonts w:cs="DaxlinePro-Regular"/>
          <w:color w:val="000000"/>
          <w:sz w:val="24"/>
          <w:szCs w:val="24"/>
        </w:rPr>
      </w:pPr>
      <w:r>
        <w:rPr>
          <w:rFonts w:cs="DaxlinePro-Regular"/>
          <w:color w:val="000000"/>
          <w:sz w:val="24"/>
          <w:szCs w:val="24"/>
        </w:rPr>
        <w:t>“</w:t>
      </w:r>
      <w:r w:rsidR="00CE61C6" w:rsidRPr="00EE03DC">
        <w:rPr>
          <w:rFonts w:cs="DaxlinePro-Regular"/>
          <w:color w:val="000000"/>
          <w:sz w:val="24"/>
          <w:szCs w:val="24"/>
        </w:rPr>
        <w:t>Respondents in</w:t>
      </w:r>
      <w:r w:rsidR="00CE61C6" w:rsidRPr="00EE03DC">
        <w:rPr>
          <w:rFonts w:cs="DaxlinePro-Regular"/>
          <w:b/>
          <w:color w:val="000000"/>
          <w:sz w:val="24"/>
          <w:szCs w:val="24"/>
        </w:rPr>
        <w:t xml:space="preserve"> Bulgaria</w:t>
      </w:r>
      <w:r w:rsidR="00CE61C6" w:rsidRPr="00EE03DC">
        <w:rPr>
          <w:rFonts w:cs="DaxlinePro-Regular"/>
          <w:color w:val="000000"/>
          <w:sz w:val="24"/>
          <w:szCs w:val="24"/>
        </w:rPr>
        <w:t>, Hungary and Latvia reported being unaware of what was happening at the time the restriction of their legal capacity was being considered.</w:t>
      </w:r>
      <w:r>
        <w:rPr>
          <w:rFonts w:cs="DaxlinePro-Regular"/>
          <w:color w:val="000000"/>
          <w:sz w:val="24"/>
          <w:szCs w:val="24"/>
        </w:rPr>
        <w:t>”</w:t>
      </w:r>
      <w:r w:rsidR="00CE61C6" w:rsidRPr="00EE03DC">
        <w:rPr>
          <w:rFonts w:cs="DaxlinePro-Regular"/>
          <w:color w:val="000000"/>
          <w:sz w:val="24"/>
          <w:szCs w:val="24"/>
        </w:rPr>
        <w:t xml:space="preserve"> (p.43)</w:t>
      </w:r>
    </w:p>
    <w:p w14:paraId="2E0EC373" w14:textId="36EB7B40" w:rsidR="00CE61C6" w:rsidRPr="00EE03DC" w:rsidRDefault="00CE61C6" w:rsidP="00B37D35">
      <w:pPr>
        <w:spacing w:after="0"/>
        <w:rPr>
          <w:rFonts w:cs="DaxlinePro-Regular"/>
          <w:color w:val="000000"/>
          <w:sz w:val="24"/>
          <w:szCs w:val="24"/>
        </w:rPr>
      </w:pPr>
      <w:r w:rsidRPr="00EE03DC">
        <w:rPr>
          <w:rFonts w:cs="DaxlinePro-Regular"/>
          <w:color w:val="000000"/>
          <w:sz w:val="24"/>
          <w:szCs w:val="24"/>
        </w:rPr>
        <w:t>“Among partici</w:t>
      </w:r>
      <w:r w:rsidRPr="00EE03DC">
        <w:rPr>
          <w:rFonts w:cs="DaxlinePro-Regular"/>
          <w:color w:val="000000"/>
          <w:sz w:val="24"/>
          <w:szCs w:val="24"/>
        </w:rPr>
        <w:softHyphen/>
        <w:t xml:space="preserve">pants with mental health problems, respondents in </w:t>
      </w:r>
      <w:r w:rsidRPr="00EE03DC">
        <w:rPr>
          <w:rFonts w:cs="DaxlinePro-Regular"/>
          <w:b/>
          <w:color w:val="000000"/>
          <w:sz w:val="24"/>
          <w:szCs w:val="24"/>
        </w:rPr>
        <w:t>Bul</w:t>
      </w:r>
      <w:r w:rsidRPr="00EE03DC">
        <w:rPr>
          <w:rFonts w:cs="DaxlinePro-Regular"/>
          <w:b/>
          <w:color w:val="000000"/>
          <w:sz w:val="24"/>
          <w:szCs w:val="24"/>
        </w:rPr>
        <w:softHyphen/>
        <w:t>garia</w:t>
      </w:r>
      <w:r w:rsidRPr="00EE03DC">
        <w:rPr>
          <w:rFonts w:cs="DaxlinePro-Regular"/>
          <w:color w:val="000000"/>
          <w:sz w:val="24"/>
          <w:szCs w:val="24"/>
        </w:rPr>
        <w:t>, Hungary, Latvia and Romania were sometimes unaware of the implications of being placed under guardianship and even about whether or not this had happened to them” (p.45)</w:t>
      </w:r>
    </w:p>
    <w:p w14:paraId="01BA37AD" w14:textId="027DC582" w:rsidR="00CE61C6" w:rsidRPr="00EE03DC" w:rsidRDefault="00CE61C6" w:rsidP="00B37D35">
      <w:pPr>
        <w:spacing w:after="0"/>
        <w:rPr>
          <w:rFonts w:cs="DaxlinePro-Regular"/>
          <w:color w:val="000000"/>
          <w:sz w:val="24"/>
          <w:szCs w:val="24"/>
        </w:rPr>
      </w:pPr>
      <w:r w:rsidRPr="00EE03DC">
        <w:rPr>
          <w:rFonts w:cs="DaxlinePro-Regular"/>
          <w:color w:val="000000"/>
          <w:sz w:val="24"/>
          <w:szCs w:val="24"/>
        </w:rPr>
        <w:lastRenderedPageBreak/>
        <w:t xml:space="preserve">“For a number of participants in </w:t>
      </w:r>
      <w:r w:rsidRPr="00EE03DC">
        <w:rPr>
          <w:rFonts w:cs="DaxlinePro-Regular"/>
          <w:b/>
          <w:color w:val="000000"/>
          <w:sz w:val="24"/>
          <w:szCs w:val="24"/>
        </w:rPr>
        <w:t>Bulgaria</w:t>
      </w:r>
      <w:r w:rsidRPr="00EE03DC">
        <w:rPr>
          <w:rFonts w:cs="DaxlinePro-Regular"/>
          <w:color w:val="000000"/>
          <w:sz w:val="24"/>
          <w:szCs w:val="24"/>
        </w:rPr>
        <w:t xml:space="preserve"> and Latvia, the imposition of guardianship took away their choice about placement in a psychiatric hospital and receiving treat</w:t>
      </w:r>
      <w:r w:rsidRPr="00EE03DC">
        <w:rPr>
          <w:rFonts w:cs="DaxlinePro-Regular"/>
          <w:color w:val="000000"/>
          <w:sz w:val="24"/>
          <w:szCs w:val="24"/>
        </w:rPr>
        <w:softHyphen/>
        <w:t>ment” (p.45)</w:t>
      </w:r>
    </w:p>
    <w:p w14:paraId="015B8D8B" w14:textId="4476ACB9" w:rsidR="00CE61C6" w:rsidRPr="007637C6" w:rsidRDefault="00CE61C6" w:rsidP="00B37D35">
      <w:pPr>
        <w:spacing w:after="0"/>
        <w:rPr>
          <w:rFonts w:cs="DaxlinePro-Regular"/>
          <w:sz w:val="24"/>
          <w:szCs w:val="24"/>
        </w:rPr>
      </w:pPr>
      <w:r w:rsidRPr="007637C6">
        <w:rPr>
          <w:rFonts w:cs="DaxlinePro-Regular"/>
          <w:sz w:val="24"/>
          <w:szCs w:val="24"/>
        </w:rPr>
        <w:t xml:space="preserve">“One woman living in a protected home in </w:t>
      </w:r>
      <w:r w:rsidRPr="007637C6">
        <w:rPr>
          <w:rFonts w:cs="DaxlinePro-Regular"/>
          <w:b/>
          <w:sz w:val="24"/>
          <w:szCs w:val="24"/>
        </w:rPr>
        <w:t>Bulgaria</w:t>
      </w:r>
      <w:r w:rsidRPr="007637C6">
        <w:rPr>
          <w:rFonts w:cs="DaxlinePro-Regular"/>
          <w:sz w:val="24"/>
          <w:szCs w:val="24"/>
        </w:rPr>
        <w:t xml:space="preserve"> wanted to live in her grandmother’s house, but her uncle, who is on her guardianship council, disagreed.” (p.47)</w:t>
      </w:r>
    </w:p>
    <w:p w14:paraId="7A42D85E" w14:textId="6C10F5C6" w:rsidR="00CE61C6" w:rsidRPr="007637C6" w:rsidRDefault="00CE61C6" w:rsidP="00B37D35">
      <w:pPr>
        <w:spacing w:after="0"/>
        <w:rPr>
          <w:rFonts w:cs="DaxlinePro-Regular"/>
          <w:sz w:val="24"/>
          <w:szCs w:val="24"/>
        </w:rPr>
      </w:pPr>
      <w:r w:rsidRPr="007637C6">
        <w:rPr>
          <w:rFonts w:cs="DaxlinePro-Regular"/>
          <w:sz w:val="24"/>
          <w:szCs w:val="24"/>
        </w:rPr>
        <w:t xml:space="preserve">“Others identified practical obstacles to challenging guardianship. In one case, a woman with mental health problems in </w:t>
      </w:r>
      <w:r w:rsidRPr="007637C6">
        <w:rPr>
          <w:rFonts w:cs="DaxlinePro-Regular"/>
          <w:b/>
          <w:sz w:val="24"/>
          <w:szCs w:val="24"/>
        </w:rPr>
        <w:t>Bulgaria</w:t>
      </w:r>
      <w:r w:rsidRPr="007637C6">
        <w:rPr>
          <w:rFonts w:cs="DaxlinePro-Regular"/>
          <w:sz w:val="24"/>
          <w:szCs w:val="24"/>
        </w:rPr>
        <w:t xml:space="preserve"> explained that, after her mother developed Alzheimer’s disease, her uncle and aunt began taking decisions about the family property. The respondent was unable to challenge these decisions as her mother had placed her under guardianship. When she later tried to lift her guardianship, the lawyers she consulted told her that she did not have the right to initi</w:t>
      </w:r>
      <w:r w:rsidRPr="007637C6">
        <w:rPr>
          <w:rFonts w:cs="DaxlinePro-Regular"/>
          <w:sz w:val="24"/>
          <w:szCs w:val="24"/>
        </w:rPr>
        <w:softHyphen/>
        <w:t>ate such proceedings because of her legal incapacity.” (p.48)</w:t>
      </w:r>
    </w:p>
    <w:p w14:paraId="4545FC63" w14:textId="2D1ACD98" w:rsidR="00A7194D" w:rsidRPr="00EE03DC" w:rsidRDefault="00EE03DC" w:rsidP="00B37D35">
      <w:pPr>
        <w:autoSpaceDE w:val="0"/>
        <w:autoSpaceDN w:val="0"/>
        <w:adjustRightInd w:val="0"/>
        <w:spacing w:after="0" w:line="185" w:lineRule="atLeast"/>
        <w:rPr>
          <w:rFonts w:eastAsia="DaxlinePro-Regular" w:cs="DaxlinePro-Regular"/>
          <w:sz w:val="24"/>
          <w:szCs w:val="24"/>
        </w:rPr>
      </w:pPr>
      <w:r>
        <w:rPr>
          <w:rFonts w:eastAsia="DaxlinePro-Regular" w:cs="DaxlinePro-Regular"/>
          <w:sz w:val="24"/>
          <w:szCs w:val="24"/>
        </w:rPr>
        <w:t>“</w:t>
      </w:r>
      <w:r w:rsidR="00CE61C6" w:rsidRPr="00EE03DC">
        <w:rPr>
          <w:rFonts w:eastAsia="DaxlinePro-Regular" w:cs="DaxlinePro-Regular"/>
          <w:sz w:val="24"/>
          <w:szCs w:val="24"/>
        </w:rPr>
        <w:t xml:space="preserve">Participants with intellectual disabilities in </w:t>
      </w:r>
      <w:r w:rsidR="00CE61C6" w:rsidRPr="00EE03DC">
        <w:rPr>
          <w:rFonts w:eastAsia="DaxlinePro-Regular" w:cs="DaxlinePro-Regular"/>
          <w:b/>
          <w:sz w:val="24"/>
          <w:szCs w:val="24"/>
        </w:rPr>
        <w:t>Bulgaria</w:t>
      </w:r>
      <w:r w:rsidR="00CE61C6" w:rsidRPr="00EE03DC">
        <w:rPr>
          <w:rFonts w:eastAsia="DaxlinePro-Regular" w:cs="DaxlinePro-Regular"/>
          <w:sz w:val="24"/>
          <w:szCs w:val="24"/>
        </w:rPr>
        <w:t xml:space="preserve"> who had previously lived in large institutions spoke very positively about their move to protected group homes where they had more opportunities to take decisions. They explained how in these protected group homes they were able to decide what clothes to wear and what to watch on television, although they were limited in their ability to choose when to leave the home or invite friends to visit, whom to meet and how to e</w:t>
      </w:r>
      <w:r w:rsidRPr="00EE03DC">
        <w:rPr>
          <w:rFonts w:eastAsia="DaxlinePro-Regular" w:cs="DaxlinePro-Regular"/>
          <w:sz w:val="24"/>
          <w:szCs w:val="24"/>
        </w:rPr>
        <w:t xml:space="preserve">xpress their views and wishes: </w:t>
      </w:r>
      <w:r w:rsidR="00CE61C6" w:rsidRPr="00EE03DC">
        <w:rPr>
          <w:rFonts w:cs="DaxlinePro-Regular"/>
          <w:sz w:val="24"/>
          <w:szCs w:val="24"/>
        </w:rPr>
        <w:t>“</w:t>
      </w:r>
      <w:r w:rsidR="00CE61C6" w:rsidRPr="00EE03DC">
        <w:rPr>
          <w:rFonts w:eastAsia="DaxlinePro-RegularItalic" w:cs="DaxlinePro-RegularItalic"/>
          <w:i/>
          <w:iCs/>
          <w:sz w:val="24"/>
          <w:szCs w:val="24"/>
        </w:rPr>
        <w:t xml:space="preserve">We choose what programme to watch, we like several movies and programmes. We all have our own clothes and the social workers come with us when we need to buy clothes and other things […]. They do not allow us to go alone in the city as they are responsible for us and they are afraid something bad might happen to us.” </w:t>
      </w:r>
      <w:r w:rsidR="00CE61C6" w:rsidRPr="00EE03DC">
        <w:rPr>
          <w:rFonts w:eastAsia="DaxlinePro-RegularItalic" w:cs="DaxlinePro-RegularItalic"/>
          <w:iCs/>
          <w:sz w:val="24"/>
          <w:szCs w:val="24"/>
        </w:rPr>
        <w:t xml:space="preserve">(Woman with intellectual disabilities, 44, </w:t>
      </w:r>
      <w:r w:rsidR="00CE61C6" w:rsidRPr="00EE03DC">
        <w:rPr>
          <w:rFonts w:eastAsia="DaxlinePro-RegularItalic" w:cs="DaxlinePro-RegularItalic"/>
          <w:b/>
          <w:iCs/>
          <w:sz w:val="24"/>
          <w:szCs w:val="24"/>
        </w:rPr>
        <w:t>Bulgaria</w:t>
      </w:r>
      <w:r w:rsidR="00CE61C6" w:rsidRPr="00EE03DC">
        <w:rPr>
          <w:rFonts w:eastAsia="DaxlinePro-RegularItalic" w:cs="DaxlinePro-RegularItalic"/>
          <w:iCs/>
          <w:sz w:val="24"/>
          <w:szCs w:val="24"/>
        </w:rPr>
        <w:t>)</w:t>
      </w:r>
      <w:r w:rsidR="00CE61C6" w:rsidRPr="00EE03DC">
        <w:rPr>
          <w:rFonts w:cs="DaxlinePro-Regular"/>
          <w:sz w:val="24"/>
          <w:szCs w:val="24"/>
        </w:rPr>
        <w:t xml:space="preserve"> (p.50)</w:t>
      </w:r>
    </w:p>
    <w:p w14:paraId="60710AB7" w14:textId="2221D60E" w:rsidR="00281962" w:rsidRPr="00EE03DC" w:rsidRDefault="00281962" w:rsidP="00B37D35">
      <w:pPr>
        <w:spacing w:after="0"/>
        <w:rPr>
          <w:sz w:val="24"/>
          <w:szCs w:val="24"/>
          <w:lang w:val="en"/>
        </w:rPr>
      </w:pPr>
      <w:r w:rsidRPr="00EE03DC">
        <w:rPr>
          <w:rFonts w:cs="DaxlinePro-Regular"/>
          <w:color w:val="000000"/>
          <w:sz w:val="24"/>
          <w:szCs w:val="24"/>
        </w:rPr>
        <w:t>“</w:t>
      </w:r>
      <w:r w:rsidR="00CE61C6" w:rsidRPr="00EE03DC">
        <w:rPr>
          <w:rFonts w:cs="DaxlinePro-Regular"/>
          <w:color w:val="000000"/>
          <w:sz w:val="24"/>
          <w:szCs w:val="24"/>
        </w:rPr>
        <w:t xml:space="preserve">The lack of formal support options left many participants dependent on their families and friends. Stakeholders participating in the mental health focus group in </w:t>
      </w:r>
      <w:r w:rsidR="00CE61C6" w:rsidRPr="00EE03DC">
        <w:rPr>
          <w:rFonts w:cs="DaxlinePro-Regular"/>
          <w:b/>
          <w:color w:val="000000"/>
          <w:sz w:val="24"/>
          <w:szCs w:val="24"/>
        </w:rPr>
        <w:t>Bul</w:t>
      </w:r>
      <w:r w:rsidR="00CE61C6" w:rsidRPr="00EE03DC">
        <w:rPr>
          <w:rFonts w:cs="DaxlinePro-Regular"/>
          <w:b/>
          <w:color w:val="000000"/>
          <w:sz w:val="24"/>
          <w:szCs w:val="24"/>
        </w:rPr>
        <w:softHyphen/>
        <w:t>garia</w:t>
      </w:r>
      <w:r w:rsidR="00CE61C6" w:rsidRPr="00EE03DC">
        <w:rPr>
          <w:rFonts w:cs="DaxlinePro-Regular"/>
          <w:color w:val="000000"/>
          <w:sz w:val="24"/>
          <w:szCs w:val="24"/>
        </w:rPr>
        <w:t>, for example, reported that parents and other rela</w:t>
      </w:r>
      <w:r w:rsidR="00CE61C6" w:rsidRPr="00EE03DC">
        <w:rPr>
          <w:rFonts w:cs="DaxlinePro-Regular"/>
          <w:color w:val="000000"/>
          <w:sz w:val="24"/>
          <w:szCs w:val="24"/>
        </w:rPr>
        <w:softHyphen/>
        <w:t>tives are the only source of support for persons with disabilities when taking decisions. Some social service representatives said that they support their clients in taking certain decisions but acknowledge that they do not do so consistently</w:t>
      </w:r>
      <w:r w:rsidR="00CE61C6" w:rsidRPr="00EE03DC">
        <w:rPr>
          <w:rStyle w:val="A5"/>
          <w:sz w:val="24"/>
          <w:szCs w:val="24"/>
        </w:rPr>
        <w:t>.” (p.53</w:t>
      </w:r>
      <w:r w:rsidRPr="00EE03DC">
        <w:rPr>
          <w:rStyle w:val="A5"/>
          <w:sz w:val="24"/>
          <w:szCs w:val="24"/>
        </w:rPr>
        <w:t>)</w:t>
      </w:r>
    </w:p>
    <w:p w14:paraId="29241099" w14:textId="5A34ABF8" w:rsidR="00F00E55" w:rsidRPr="00F00E55" w:rsidRDefault="00281962" w:rsidP="00B37D35">
      <w:pPr>
        <w:pStyle w:val="Heading2"/>
        <w:spacing w:before="240"/>
        <w:ind w:left="939"/>
      </w:pPr>
      <w:bookmarkStart w:id="20" w:name="_Toc518293494"/>
      <w:r w:rsidRPr="004C24D1">
        <w:lastRenderedPageBreak/>
        <w:t>Involuntary placement and involuntary treatment of persons with mental health problems (2012)</w:t>
      </w:r>
      <w:bookmarkEnd w:id="20"/>
    </w:p>
    <w:p w14:paraId="31B628A1" w14:textId="1D4A1AD9" w:rsidR="00F00E55" w:rsidRPr="00920299" w:rsidRDefault="00281962" w:rsidP="00B37D35">
      <w:pPr>
        <w:spacing w:after="0"/>
        <w:rPr>
          <w:sz w:val="24"/>
          <w:szCs w:val="24"/>
        </w:rPr>
      </w:pPr>
      <w:r w:rsidRPr="00E673AD">
        <w:rPr>
          <w:color w:val="000000" w:themeColor="text1"/>
          <w:sz w:val="24"/>
          <w:szCs w:val="24"/>
        </w:rPr>
        <w:t xml:space="preserve">The report includes extensive information </w:t>
      </w:r>
      <w:r w:rsidR="00AC75BF">
        <w:rPr>
          <w:color w:val="000000" w:themeColor="text1"/>
          <w:sz w:val="24"/>
          <w:szCs w:val="24"/>
        </w:rPr>
        <w:t>regarding Bulgaria</w:t>
      </w:r>
      <w:r w:rsidRPr="00E673AD">
        <w:rPr>
          <w:color w:val="000000" w:themeColor="text1"/>
          <w:sz w:val="24"/>
          <w:szCs w:val="24"/>
        </w:rPr>
        <w:t xml:space="preserve">, these excerpts are just a selection. </w:t>
      </w:r>
      <w:r w:rsidRPr="00E673AD">
        <w:rPr>
          <w:sz w:val="24"/>
          <w:szCs w:val="24"/>
          <w:lang w:val="en"/>
        </w:rPr>
        <w:t xml:space="preserve">For more information: </w:t>
      </w:r>
      <w:hyperlink r:id="rId33" w:history="1">
        <w:r w:rsidRPr="00E673AD">
          <w:rPr>
            <w:rStyle w:val="Hyperlink"/>
            <w:sz w:val="24"/>
            <w:szCs w:val="24"/>
          </w:rPr>
          <w:t>http://fra.europa.eu/en/publication/2012/involuntary-placement-and-involuntary-treatment-persons-mental-health-problems</w:t>
        </w:r>
      </w:hyperlink>
      <w:r w:rsidR="00920299" w:rsidRPr="00920299">
        <w:rPr>
          <w:rStyle w:val="Hyperlink"/>
          <w:color w:val="auto"/>
          <w:sz w:val="24"/>
          <w:szCs w:val="24"/>
          <w:u w:val="none"/>
        </w:rPr>
        <w:t xml:space="preserve">. </w:t>
      </w:r>
    </w:p>
    <w:p w14:paraId="2D42A1E6" w14:textId="30FC2C6C" w:rsidR="00281962" w:rsidRPr="003F69A1" w:rsidRDefault="00281962" w:rsidP="00B37D35">
      <w:pPr>
        <w:spacing w:after="0"/>
        <w:rPr>
          <w:rFonts w:eastAsia="Calibri" w:cs="Times New Roman"/>
          <w:sz w:val="24"/>
          <w:szCs w:val="24"/>
          <w:lang w:bidi="en-US"/>
        </w:rPr>
      </w:pPr>
      <w:r w:rsidRPr="003F69A1">
        <w:rPr>
          <w:rFonts w:eastAsia="Calibri" w:cs="Times New Roman"/>
          <w:sz w:val="24"/>
          <w:szCs w:val="24"/>
          <w:lang w:bidi="en-US"/>
        </w:rPr>
        <w:t>“</w:t>
      </w:r>
      <w:r w:rsidR="00F00E55" w:rsidRPr="003F69A1">
        <w:rPr>
          <w:rFonts w:eastAsia="Calibri" w:cs="Times New Roman"/>
          <w:sz w:val="24"/>
          <w:szCs w:val="24"/>
          <w:lang w:bidi="en-US"/>
        </w:rPr>
        <w:t xml:space="preserve">Similarly, in the case of </w:t>
      </w:r>
      <w:r w:rsidR="00F00E55" w:rsidRPr="00EE03DC">
        <w:rPr>
          <w:rFonts w:eastAsia="Calibri" w:cs="Times New Roman"/>
          <w:i/>
          <w:sz w:val="24"/>
          <w:szCs w:val="24"/>
          <w:lang w:bidi="en-US"/>
        </w:rPr>
        <w:t xml:space="preserve">Shopov v. </w:t>
      </w:r>
      <w:r w:rsidR="00F00E55" w:rsidRPr="00EE03DC">
        <w:rPr>
          <w:rFonts w:eastAsia="Calibri" w:cs="Times New Roman"/>
          <w:b/>
          <w:i/>
          <w:sz w:val="24"/>
          <w:szCs w:val="24"/>
          <w:lang w:bidi="en-US"/>
        </w:rPr>
        <w:t>Bulgaria</w:t>
      </w:r>
      <w:r w:rsidR="00F00E55" w:rsidRPr="003F69A1">
        <w:rPr>
          <w:rFonts w:eastAsia="Calibri" w:cs="Times New Roman"/>
          <w:sz w:val="24"/>
          <w:szCs w:val="24"/>
          <w:lang w:bidi="en-US"/>
        </w:rPr>
        <w:t>, the ECtHR found a violation of Article 8 since the compulsory treatment imposed on Mr Shopov had not been regularly reviewed by a court, contrary to national law.” (p.24</w:t>
      </w:r>
      <w:r w:rsidRPr="003F69A1">
        <w:rPr>
          <w:rFonts w:eastAsia="Calibri" w:cs="Times New Roman"/>
          <w:sz w:val="24"/>
          <w:szCs w:val="24"/>
          <w:lang w:bidi="en-US"/>
        </w:rPr>
        <w:t>)</w:t>
      </w:r>
    </w:p>
    <w:p w14:paraId="7049D091" w14:textId="20673CBE" w:rsidR="00281962" w:rsidRPr="003F69A1" w:rsidRDefault="00281962" w:rsidP="00B37D35">
      <w:pPr>
        <w:spacing w:after="0"/>
        <w:rPr>
          <w:rFonts w:cs="DaxlinePro-Regular"/>
          <w:color w:val="000000"/>
          <w:sz w:val="24"/>
          <w:szCs w:val="24"/>
        </w:rPr>
      </w:pPr>
      <w:r w:rsidRPr="003F69A1">
        <w:rPr>
          <w:rFonts w:cs="DaxlinePro-Regular"/>
          <w:color w:val="000000"/>
          <w:sz w:val="24"/>
          <w:szCs w:val="24"/>
        </w:rPr>
        <w:t>“</w:t>
      </w:r>
      <w:r w:rsidR="00F00E55" w:rsidRPr="003F69A1">
        <w:rPr>
          <w:rFonts w:cs="DaxlinePro-Regular"/>
          <w:color w:val="000000"/>
          <w:sz w:val="24"/>
          <w:szCs w:val="24"/>
        </w:rPr>
        <w:t xml:space="preserve">The </w:t>
      </w:r>
      <w:r w:rsidR="00F00E55" w:rsidRPr="00AF5A6F">
        <w:rPr>
          <w:rFonts w:cs="DaxlinePro-Regular"/>
          <w:b/>
          <w:color w:val="000000"/>
          <w:sz w:val="24"/>
          <w:szCs w:val="24"/>
        </w:rPr>
        <w:t>Bulgarian</w:t>
      </w:r>
      <w:r w:rsidR="00F00E55" w:rsidRPr="003F69A1">
        <w:rPr>
          <w:rFonts w:cs="DaxlinePro-Regular"/>
          <w:color w:val="000000"/>
          <w:sz w:val="24"/>
          <w:szCs w:val="24"/>
        </w:rPr>
        <w:t xml:space="preserve"> Health Act covers both placement and treatment, while in the Czech Republic, the Healthcare Act regulates involuntary treatment and the Code of Civil Procedure regulates involuntary placement.” (p.30</w:t>
      </w:r>
      <w:r w:rsidRPr="003F69A1">
        <w:rPr>
          <w:rFonts w:cs="DaxlinePro-Regular"/>
          <w:color w:val="000000"/>
          <w:sz w:val="24"/>
          <w:szCs w:val="24"/>
        </w:rPr>
        <w:t>)</w:t>
      </w:r>
    </w:p>
    <w:p w14:paraId="5AD33D9D" w14:textId="6F3C3D2B" w:rsidR="00281962" w:rsidRPr="003F69A1" w:rsidRDefault="00281962" w:rsidP="00B37D35">
      <w:pPr>
        <w:spacing w:after="0"/>
        <w:rPr>
          <w:rFonts w:cs="DaxlinePro-Regular"/>
          <w:color w:val="000000"/>
          <w:sz w:val="24"/>
          <w:szCs w:val="24"/>
        </w:rPr>
      </w:pPr>
      <w:r w:rsidRPr="003F69A1">
        <w:rPr>
          <w:rFonts w:cs="DaxlinePro-Regular"/>
          <w:color w:val="000000"/>
          <w:sz w:val="24"/>
          <w:szCs w:val="24"/>
        </w:rPr>
        <w:t>“</w:t>
      </w:r>
      <w:r w:rsidR="00F00E55" w:rsidRPr="003F69A1">
        <w:rPr>
          <w:rFonts w:cs="DaxlinePro-Regular"/>
          <w:color w:val="000000"/>
          <w:sz w:val="24"/>
          <w:szCs w:val="24"/>
        </w:rPr>
        <w:t xml:space="preserve">The FRA findings show that EU Member States’ legal frameworks generally define the overall aim of subjecting a person with mental health problems to involuntary placement or to involuntary treatment. The specificity of the aim varies from Member State to Member State. […]Similar wording is found in other countries, such as </w:t>
      </w:r>
      <w:r w:rsidR="00F00E55" w:rsidRPr="003F69A1">
        <w:rPr>
          <w:rFonts w:cs="DaxlinePro-Bold"/>
          <w:b/>
          <w:bCs/>
          <w:color w:val="000000"/>
          <w:sz w:val="24"/>
          <w:szCs w:val="24"/>
        </w:rPr>
        <w:t>Bulgaria</w:t>
      </w:r>
      <w:r w:rsidR="00F00E55" w:rsidRPr="003F69A1">
        <w:rPr>
          <w:rFonts w:cs="DaxlinePro-Regular"/>
          <w:color w:val="000000"/>
          <w:sz w:val="24"/>
          <w:szCs w:val="24"/>
        </w:rPr>
        <w:t>: “to treat</w:t>
      </w:r>
      <w:r w:rsidR="00F00E55" w:rsidRPr="003F69A1">
        <w:rPr>
          <w:rStyle w:val="A2"/>
          <w:sz w:val="24"/>
          <w:szCs w:val="24"/>
        </w:rPr>
        <w:t xml:space="preserve"> the mental disorder and protect the disabled person and other people who might suffer the consequences of his/her psychotic behaviour.</w:t>
      </w:r>
      <w:r w:rsidR="00AF5A6F">
        <w:rPr>
          <w:rFonts w:cs="DaxlinePro-Regular"/>
          <w:color w:val="000000"/>
          <w:sz w:val="24"/>
          <w:szCs w:val="24"/>
        </w:rPr>
        <w:t>” (</w:t>
      </w:r>
      <w:r w:rsidRPr="003F69A1">
        <w:rPr>
          <w:rFonts w:cs="DaxlinePro-Regular"/>
          <w:color w:val="000000"/>
          <w:sz w:val="24"/>
          <w:szCs w:val="24"/>
        </w:rPr>
        <w:t>p.</w:t>
      </w:r>
      <w:r w:rsidR="006A2841">
        <w:rPr>
          <w:rFonts w:cs="DaxlinePro-Regular"/>
          <w:color w:val="000000"/>
          <w:sz w:val="24"/>
          <w:szCs w:val="24"/>
        </w:rPr>
        <w:t xml:space="preserve"> </w:t>
      </w:r>
      <w:r w:rsidR="00F00E55" w:rsidRPr="003F69A1">
        <w:rPr>
          <w:rFonts w:cs="DaxlinePro-Regular"/>
          <w:color w:val="000000"/>
          <w:sz w:val="24"/>
          <w:szCs w:val="24"/>
        </w:rPr>
        <w:t>30-</w:t>
      </w:r>
      <w:r w:rsidRPr="003F69A1">
        <w:rPr>
          <w:rFonts w:cs="DaxlinePro-Regular"/>
          <w:color w:val="000000"/>
          <w:sz w:val="24"/>
          <w:szCs w:val="24"/>
        </w:rPr>
        <w:t xml:space="preserve">31) </w:t>
      </w:r>
    </w:p>
    <w:p w14:paraId="74EFA273" w14:textId="53D3E238" w:rsidR="00281962" w:rsidRPr="003F69A1" w:rsidRDefault="00281962" w:rsidP="00B37D35">
      <w:pPr>
        <w:spacing w:after="0"/>
        <w:rPr>
          <w:rFonts w:cs="DaxlinePro-Regular"/>
          <w:color w:val="000000"/>
          <w:sz w:val="24"/>
          <w:szCs w:val="24"/>
        </w:rPr>
      </w:pPr>
      <w:r w:rsidRPr="003F69A1">
        <w:rPr>
          <w:rFonts w:cs="DaxlinePro-Regular"/>
          <w:color w:val="000000"/>
          <w:sz w:val="24"/>
          <w:szCs w:val="24"/>
        </w:rPr>
        <w:t>“</w:t>
      </w:r>
      <w:r w:rsidR="00F00E55" w:rsidRPr="003F69A1">
        <w:rPr>
          <w:rFonts w:cs="DaxlinePro-Regular"/>
          <w:color w:val="000000"/>
          <w:sz w:val="24"/>
          <w:szCs w:val="24"/>
        </w:rPr>
        <w:t xml:space="preserve">In 12 Member States, the existence of a significant risk of serious harm to oneself or others and a confirmed mental health problem are the two main conditions justifying involuntary placement. The need for a therapeutic purpose is not explicitly stipulated. This is the case, in </w:t>
      </w:r>
      <w:r w:rsidR="00F00E55" w:rsidRPr="003F69A1">
        <w:rPr>
          <w:rFonts w:cs="DaxlinePro-Bold"/>
          <w:bCs/>
          <w:color w:val="000000"/>
          <w:sz w:val="24"/>
          <w:szCs w:val="24"/>
        </w:rPr>
        <w:t>Austria, Belgium</w:t>
      </w:r>
      <w:r w:rsidR="00F00E55" w:rsidRPr="003F69A1">
        <w:rPr>
          <w:rFonts w:cs="DaxlinePro-Bold"/>
          <w:b/>
          <w:bCs/>
          <w:color w:val="000000"/>
          <w:sz w:val="24"/>
          <w:szCs w:val="24"/>
        </w:rPr>
        <w:t xml:space="preserve">, Bulgaria, </w:t>
      </w:r>
      <w:r w:rsidR="00F00E55" w:rsidRPr="003F69A1">
        <w:rPr>
          <w:rFonts w:cs="DaxlinePro-Bold"/>
          <w:bCs/>
          <w:color w:val="000000"/>
          <w:sz w:val="24"/>
          <w:szCs w:val="24"/>
        </w:rPr>
        <w:t xml:space="preserve">Cyprus, </w:t>
      </w:r>
      <w:r w:rsidR="00F00E55" w:rsidRPr="003F69A1">
        <w:rPr>
          <w:rFonts w:cs="DaxlinePro-Regular"/>
          <w:color w:val="000000"/>
          <w:sz w:val="24"/>
          <w:szCs w:val="24"/>
        </w:rPr>
        <w:t xml:space="preserve">the </w:t>
      </w:r>
      <w:r w:rsidR="00F00E55" w:rsidRPr="003F69A1">
        <w:rPr>
          <w:rFonts w:cs="DaxlinePro-Bold"/>
          <w:bCs/>
          <w:color w:val="000000"/>
          <w:sz w:val="24"/>
          <w:szCs w:val="24"/>
        </w:rPr>
        <w:t xml:space="preserve">Czech Republic, Germany, Estonia, Hungary, Lithuania, Luxembourg, Malta </w:t>
      </w:r>
      <w:r w:rsidR="00F00E55" w:rsidRPr="003F69A1">
        <w:rPr>
          <w:rFonts w:cs="DaxlinePro-Regular"/>
          <w:color w:val="000000"/>
          <w:sz w:val="24"/>
          <w:szCs w:val="24"/>
        </w:rPr>
        <w:t xml:space="preserve">and the </w:t>
      </w:r>
      <w:r w:rsidR="00F00E55" w:rsidRPr="003F69A1">
        <w:rPr>
          <w:rFonts w:cs="DaxlinePro-Bold"/>
          <w:bCs/>
          <w:color w:val="000000"/>
          <w:sz w:val="24"/>
          <w:szCs w:val="24"/>
        </w:rPr>
        <w:t>Netherlands</w:t>
      </w:r>
      <w:r w:rsidR="00F00E55" w:rsidRPr="003F69A1">
        <w:rPr>
          <w:rFonts w:cs="DaxlinePro-Regular"/>
          <w:color w:val="000000"/>
          <w:sz w:val="24"/>
          <w:szCs w:val="24"/>
        </w:rPr>
        <w:t>.</w:t>
      </w:r>
      <w:r w:rsidR="00AF5A6F">
        <w:rPr>
          <w:rFonts w:cs="DaxlinePro-Regular"/>
          <w:color w:val="000000"/>
          <w:sz w:val="24"/>
          <w:szCs w:val="24"/>
        </w:rPr>
        <w:t>” (</w:t>
      </w:r>
      <w:r w:rsidR="00F00E55" w:rsidRPr="003F69A1">
        <w:rPr>
          <w:rFonts w:cs="DaxlinePro-Regular"/>
          <w:color w:val="000000"/>
          <w:sz w:val="24"/>
          <w:szCs w:val="24"/>
        </w:rPr>
        <w:t>p.31</w:t>
      </w:r>
      <w:r w:rsidRPr="003F69A1">
        <w:rPr>
          <w:rFonts w:cs="DaxlinePro-Regular"/>
          <w:color w:val="000000"/>
          <w:sz w:val="24"/>
          <w:szCs w:val="24"/>
        </w:rPr>
        <w:t>)</w:t>
      </w:r>
    </w:p>
    <w:p w14:paraId="50C436F1" w14:textId="79914E13" w:rsidR="00F00E55" w:rsidRPr="003F69A1" w:rsidRDefault="00281962" w:rsidP="00B37D35">
      <w:pPr>
        <w:spacing w:after="0"/>
        <w:rPr>
          <w:rFonts w:cs="DaxlinePro-Regular"/>
          <w:color w:val="000000"/>
          <w:sz w:val="24"/>
          <w:szCs w:val="24"/>
        </w:rPr>
      </w:pPr>
      <w:r w:rsidRPr="003F69A1">
        <w:rPr>
          <w:rFonts w:cs="DaxlinePro-Regular"/>
          <w:color w:val="000000"/>
          <w:sz w:val="24"/>
          <w:szCs w:val="24"/>
        </w:rPr>
        <w:t>“</w:t>
      </w:r>
      <w:r w:rsidR="00F00E55" w:rsidRPr="003F69A1">
        <w:rPr>
          <w:rFonts w:cs="DaxlinePro-Regular"/>
          <w:color w:val="000000"/>
          <w:sz w:val="24"/>
          <w:szCs w:val="24"/>
        </w:rPr>
        <w:t xml:space="preserve">In </w:t>
      </w:r>
      <w:r w:rsidR="00F00E55" w:rsidRPr="003F69A1">
        <w:rPr>
          <w:rFonts w:cs="DaxlinePro-Bold"/>
          <w:b/>
          <w:bCs/>
          <w:color w:val="000000"/>
          <w:sz w:val="24"/>
          <w:szCs w:val="24"/>
        </w:rPr>
        <w:t>Bulgaria</w:t>
      </w:r>
      <w:r w:rsidR="00F00E55" w:rsidRPr="003F69A1">
        <w:rPr>
          <w:rFonts w:cs="DaxlinePro-Regular"/>
          <w:color w:val="000000"/>
          <w:sz w:val="24"/>
          <w:szCs w:val="24"/>
        </w:rPr>
        <w:t xml:space="preserve">, </w:t>
      </w:r>
      <w:r w:rsidR="00F00E55" w:rsidRPr="003F69A1">
        <w:rPr>
          <w:rFonts w:cs="DaxlinePro-Bold"/>
          <w:bCs/>
          <w:color w:val="000000"/>
          <w:sz w:val="24"/>
          <w:szCs w:val="24"/>
        </w:rPr>
        <w:t>Cyprus</w:t>
      </w:r>
      <w:r w:rsidR="00F00E55" w:rsidRPr="003F69A1">
        <w:rPr>
          <w:rFonts w:cs="DaxlinePro-Regular"/>
          <w:color w:val="000000"/>
          <w:sz w:val="24"/>
          <w:szCs w:val="24"/>
        </w:rPr>
        <w:t xml:space="preserve">, the </w:t>
      </w:r>
      <w:r w:rsidR="00F00E55" w:rsidRPr="003F69A1">
        <w:rPr>
          <w:rFonts w:cs="DaxlinePro-Bold"/>
          <w:bCs/>
          <w:color w:val="000000"/>
          <w:sz w:val="24"/>
          <w:szCs w:val="24"/>
        </w:rPr>
        <w:t>Czech Republic</w:t>
      </w:r>
      <w:r w:rsidR="00F00E55" w:rsidRPr="003F69A1">
        <w:rPr>
          <w:rFonts w:cs="DaxlinePro-Regular"/>
          <w:color w:val="000000"/>
          <w:sz w:val="24"/>
          <w:szCs w:val="24"/>
        </w:rPr>
        <w:t xml:space="preserve">, </w:t>
      </w:r>
      <w:r w:rsidR="00F00E55" w:rsidRPr="003F69A1">
        <w:rPr>
          <w:rFonts w:cs="DaxlinePro-Bold"/>
          <w:bCs/>
          <w:color w:val="000000"/>
          <w:sz w:val="24"/>
          <w:szCs w:val="24"/>
        </w:rPr>
        <w:t>Greece</w:t>
      </w:r>
      <w:r w:rsidR="00F00E55" w:rsidRPr="003F69A1">
        <w:rPr>
          <w:rFonts w:cs="DaxlinePro-Regular"/>
          <w:color w:val="000000"/>
          <w:sz w:val="24"/>
          <w:szCs w:val="24"/>
        </w:rPr>
        <w:t xml:space="preserve">, </w:t>
      </w:r>
      <w:r w:rsidR="00F00E55" w:rsidRPr="003F69A1">
        <w:rPr>
          <w:rFonts w:cs="DaxlinePro-Bold"/>
          <w:bCs/>
          <w:color w:val="000000"/>
          <w:sz w:val="24"/>
          <w:szCs w:val="24"/>
        </w:rPr>
        <w:t>Ireland</w:t>
      </w:r>
      <w:r w:rsidR="00F00E55" w:rsidRPr="003F69A1">
        <w:rPr>
          <w:rFonts w:cs="DaxlinePro-Regular"/>
          <w:color w:val="000000"/>
          <w:sz w:val="24"/>
          <w:szCs w:val="24"/>
        </w:rPr>
        <w:t xml:space="preserve">, </w:t>
      </w:r>
      <w:r w:rsidR="00F00E55" w:rsidRPr="003F69A1">
        <w:rPr>
          <w:rFonts w:cs="DaxlinePro-Bold"/>
          <w:bCs/>
          <w:color w:val="000000"/>
          <w:sz w:val="24"/>
          <w:szCs w:val="24"/>
        </w:rPr>
        <w:t>Latvia</w:t>
      </w:r>
      <w:r w:rsidR="00F00E55" w:rsidRPr="003F69A1">
        <w:rPr>
          <w:rFonts w:cs="DaxlinePro-Regular"/>
          <w:color w:val="000000"/>
          <w:sz w:val="24"/>
          <w:szCs w:val="24"/>
        </w:rPr>
        <w:t xml:space="preserve">, </w:t>
      </w:r>
      <w:r w:rsidR="00F00E55" w:rsidRPr="003F69A1">
        <w:rPr>
          <w:rFonts w:cs="DaxlinePro-Bold"/>
          <w:bCs/>
          <w:color w:val="000000"/>
          <w:sz w:val="24"/>
          <w:szCs w:val="24"/>
        </w:rPr>
        <w:t xml:space="preserve">Slovakia </w:t>
      </w:r>
      <w:r w:rsidR="00F00E55" w:rsidRPr="003F69A1">
        <w:rPr>
          <w:rFonts w:cs="DaxlinePro-Regular"/>
          <w:color w:val="000000"/>
          <w:sz w:val="24"/>
          <w:szCs w:val="24"/>
        </w:rPr>
        <w:t xml:space="preserve">and </w:t>
      </w:r>
      <w:r w:rsidR="00F00E55" w:rsidRPr="003F69A1">
        <w:rPr>
          <w:rFonts w:cs="DaxlinePro-Bold"/>
          <w:bCs/>
          <w:color w:val="000000"/>
          <w:sz w:val="24"/>
          <w:szCs w:val="24"/>
        </w:rPr>
        <w:t xml:space="preserve">Spain </w:t>
      </w:r>
      <w:r w:rsidR="00F00E55" w:rsidRPr="003F69A1">
        <w:rPr>
          <w:rFonts w:cs="DaxlinePro-Regular"/>
          <w:color w:val="000000"/>
          <w:sz w:val="24"/>
          <w:szCs w:val="24"/>
        </w:rPr>
        <w:t>national legislation does not explicitly include a prerequisite of exhausting all less restrictive facilities. The law leaves the decision about whether to place someone involuntarily to the persons involved in the assessment of a person’s condition.</w:t>
      </w:r>
      <w:r w:rsidR="00AF5A6F">
        <w:rPr>
          <w:rFonts w:cs="DaxlinePro-Regular"/>
          <w:color w:val="000000"/>
          <w:sz w:val="24"/>
          <w:szCs w:val="24"/>
        </w:rPr>
        <w:t>” (</w:t>
      </w:r>
      <w:r w:rsidR="00F00E55" w:rsidRPr="003F69A1">
        <w:rPr>
          <w:rFonts w:cs="DaxlinePro-Regular"/>
          <w:color w:val="000000"/>
          <w:sz w:val="24"/>
          <w:szCs w:val="24"/>
        </w:rPr>
        <w:t>p.33</w:t>
      </w:r>
      <w:r w:rsidRPr="003F69A1">
        <w:rPr>
          <w:rFonts w:cs="DaxlinePro-Regular"/>
          <w:color w:val="000000"/>
          <w:sz w:val="24"/>
          <w:szCs w:val="24"/>
        </w:rPr>
        <w:t>)</w:t>
      </w:r>
    </w:p>
    <w:p w14:paraId="0709DA0A" w14:textId="58FA6C7D" w:rsidR="00281962" w:rsidRPr="003F69A1" w:rsidRDefault="00281962" w:rsidP="00B37D35">
      <w:pPr>
        <w:spacing w:after="0"/>
        <w:rPr>
          <w:rStyle w:val="A2"/>
          <w:color w:val="auto"/>
          <w:sz w:val="24"/>
          <w:szCs w:val="24"/>
        </w:rPr>
      </w:pPr>
      <w:r w:rsidRPr="003F69A1">
        <w:rPr>
          <w:rFonts w:cs="DaxlinePro-Regular"/>
          <w:color w:val="000000"/>
          <w:sz w:val="24"/>
          <w:szCs w:val="24"/>
        </w:rPr>
        <w:t>“</w:t>
      </w:r>
      <w:r w:rsidR="00F00E55" w:rsidRPr="003F69A1">
        <w:rPr>
          <w:rFonts w:cs="DaxlinePro-Regular"/>
          <w:color w:val="000000"/>
          <w:sz w:val="24"/>
          <w:szCs w:val="24"/>
        </w:rPr>
        <w:t xml:space="preserve">In nine EU Member States one expert opinion issued by a medical professional fulfils the legal requirement concerning the assessment of an individual’s psychiatric condition. This is </w:t>
      </w:r>
      <w:r w:rsidR="00F00E55" w:rsidRPr="003F69A1">
        <w:rPr>
          <w:rFonts w:cs="DaxlinePro-Regular"/>
          <w:color w:val="000000"/>
          <w:sz w:val="24"/>
          <w:szCs w:val="24"/>
        </w:rPr>
        <w:lastRenderedPageBreak/>
        <w:t xml:space="preserve">the case in </w:t>
      </w:r>
      <w:r w:rsidR="00F00E55" w:rsidRPr="003F69A1">
        <w:rPr>
          <w:rFonts w:cs="DaxlinePro-Bold"/>
          <w:bCs/>
          <w:color w:val="000000"/>
          <w:sz w:val="24"/>
          <w:szCs w:val="24"/>
        </w:rPr>
        <w:t>Belgium</w:t>
      </w:r>
      <w:r w:rsidR="00F00E55" w:rsidRPr="003F69A1">
        <w:rPr>
          <w:rFonts w:cs="DaxlinePro-Regular"/>
          <w:color w:val="000000"/>
          <w:sz w:val="24"/>
          <w:szCs w:val="24"/>
        </w:rPr>
        <w:t xml:space="preserve">, </w:t>
      </w:r>
      <w:r w:rsidR="00F00E55" w:rsidRPr="003F69A1">
        <w:rPr>
          <w:rFonts w:cs="DaxlinePro-Bold"/>
          <w:b/>
          <w:bCs/>
          <w:color w:val="000000"/>
          <w:sz w:val="24"/>
          <w:szCs w:val="24"/>
        </w:rPr>
        <w:t>Bulgaria</w:t>
      </w:r>
      <w:r w:rsidR="00F00E55" w:rsidRPr="003F69A1">
        <w:rPr>
          <w:rFonts w:cs="DaxlinePro-Regular"/>
          <w:color w:val="000000"/>
          <w:sz w:val="24"/>
          <w:szCs w:val="24"/>
        </w:rPr>
        <w:t xml:space="preserve">, the </w:t>
      </w:r>
      <w:r w:rsidR="00F00E55" w:rsidRPr="003F69A1">
        <w:rPr>
          <w:rFonts w:cs="DaxlinePro-Bold"/>
          <w:bCs/>
          <w:color w:val="000000"/>
          <w:sz w:val="24"/>
          <w:szCs w:val="24"/>
        </w:rPr>
        <w:t>Czech Republic</w:t>
      </w:r>
      <w:r w:rsidR="00F00E55" w:rsidRPr="003F69A1">
        <w:rPr>
          <w:rFonts w:cs="DaxlinePro-Regular"/>
          <w:color w:val="000000"/>
          <w:sz w:val="24"/>
          <w:szCs w:val="24"/>
        </w:rPr>
        <w:t xml:space="preserve">, </w:t>
      </w:r>
      <w:r w:rsidR="00F00E55" w:rsidRPr="003F69A1">
        <w:rPr>
          <w:rFonts w:cs="DaxlinePro-Bold"/>
          <w:bCs/>
          <w:color w:val="000000"/>
          <w:sz w:val="24"/>
          <w:szCs w:val="24"/>
        </w:rPr>
        <w:t>Germany</w:t>
      </w:r>
      <w:r w:rsidR="00F00E55" w:rsidRPr="003F69A1">
        <w:rPr>
          <w:rFonts w:cs="DaxlinePro-Regular"/>
          <w:color w:val="000000"/>
          <w:sz w:val="24"/>
          <w:szCs w:val="24"/>
        </w:rPr>
        <w:t xml:space="preserve">, </w:t>
      </w:r>
      <w:r w:rsidR="00F00E55" w:rsidRPr="003F69A1">
        <w:rPr>
          <w:rFonts w:cs="DaxlinePro-Bold"/>
          <w:bCs/>
          <w:color w:val="000000"/>
          <w:sz w:val="24"/>
          <w:szCs w:val="24"/>
        </w:rPr>
        <w:t>Denmark</w:t>
      </w:r>
      <w:r w:rsidR="00F00E55" w:rsidRPr="003F69A1">
        <w:rPr>
          <w:rFonts w:cs="DaxlinePro-Regular"/>
          <w:color w:val="000000"/>
          <w:sz w:val="24"/>
          <w:szCs w:val="24"/>
        </w:rPr>
        <w:t xml:space="preserve">, </w:t>
      </w:r>
      <w:r w:rsidR="00F00E55" w:rsidRPr="003F69A1">
        <w:rPr>
          <w:rFonts w:cs="DaxlinePro-Bold"/>
          <w:bCs/>
          <w:color w:val="000000"/>
          <w:sz w:val="24"/>
          <w:szCs w:val="24"/>
        </w:rPr>
        <w:t>Estonia</w:t>
      </w:r>
      <w:r w:rsidR="00F00E55" w:rsidRPr="003F69A1">
        <w:rPr>
          <w:rFonts w:cs="DaxlinePro-Regular"/>
          <w:color w:val="000000"/>
          <w:sz w:val="24"/>
          <w:szCs w:val="24"/>
        </w:rPr>
        <w:t xml:space="preserve">, </w:t>
      </w:r>
      <w:r w:rsidR="00F00E55" w:rsidRPr="003F69A1">
        <w:rPr>
          <w:rFonts w:cs="DaxlinePro-Bold"/>
          <w:bCs/>
          <w:color w:val="000000"/>
          <w:sz w:val="24"/>
          <w:szCs w:val="24"/>
        </w:rPr>
        <w:t>Luxembourg</w:t>
      </w:r>
      <w:r w:rsidR="00F00E55" w:rsidRPr="003F69A1">
        <w:rPr>
          <w:rFonts w:cs="DaxlinePro-Regular"/>
          <w:color w:val="000000"/>
          <w:sz w:val="24"/>
          <w:szCs w:val="24"/>
        </w:rPr>
        <w:t xml:space="preserve">, </w:t>
      </w:r>
      <w:r w:rsidR="00F00E55" w:rsidRPr="003F69A1">
        <w:rPr>
          <w:rFonts w:cs="DaxlinePro-Bold"/>
          <w:bCs/>
          <w:color w:val="000000"/>
          <w:sz w:val="24"/>
          <w:szCs w:val="24"/>
        </w:rPr>
        <w:t xml:space="preserve">Netherlands </w:t>
      </w:r>
      <w:r w:rsidR="00F00E55" w:rsidRPr="003F69A1">
        <w:rPr>
          <w:rFonts w:cs="DaxlinePro-Regular"/>
          <w:color w:val="000000"/>
          <w:sz w:val="24"/>
          <w:szCs w:val="24"/>
        </w:rPr>
        <w:t xml:space="preserve">and </w:t>
      </w:r>
      <w:r w:rsidR="00F00E55" w:rsidRPr="003F69A1">
        <w:rPr>
          <w:rFonts w:cs="DaxlinePro-Bold"/>
          <w:bCs/>
          <w:color w:val="000000"/>
          <w:sz w:val="24"/>
          <w:szCs w:val="24"/>
        </w:rPr>
        <w:t>Poland</w:t>
      </w:r>
      <w:r w:rsidRPr="003F69A1">
        <w:rPr>
          <w:rStyle w:val="A2"/>
          <w:color w:val="auto"/>
          <w:sz w:val="24"/>
          <w:szCs w:val="24"/>
        </w:rPr>
        <w:t>”</w:t>
      </w:r>
      <w:r w:rsidR="00F00E55" w:rsidRPr="003F69A1">
        <w:rPr>
          <w:rStyle w:val="A2"/>
          <w:color w:val="auto"/>
          <w:sz w:val="24"/>
          <w:szCs w:val="24"/>
        </w:rPr>
        <w:t xml:space="preserve"> (p.35</w:t>
      </w:r>
      <w:r w:rsidRPr="003F69A1">
        <w:rPr>
          <w:rStyle w:val="A2"/>
          <w:color w:val="auto"/>
          <w:sz w:val="24"/>
          <w:szCs w:val="24"/>
        </w:rPr>
        <w:t>)</w:t>
      </w:r>
    </w:p>
    <w:p w14:paraId="56C32F9E" w14:textId="59CBE0EA" w:rsidR="00F00E55" w:rsidRPr="003F69A1" w:rsidRDefault="008A1005" w:rsidP="00B37D35">
      <w:pPr>
        <w:spacing w:after="0"/>
        <w:rPr>
          <w:rFonts w:cs="DaxlinePro-Regular"/>
          <w:color w:val="000000"/>
          <w:sz w:val="24"/>
          <w:szCs w:val="24"/>
        </w:rPr>
      </w:pPr>
      <w:r w:rsidRPr="003F69A1">
        <w:rPr>
          <w:rFonts w:cs="DaxlinePro-Regular"/>
          <w:color w:val="000000"/>
          <w:sz w:val="24"/>
          <w:szCs w:val="24"/>
        </w:rPr>
        <w:t>“</w:t>
      </w:r>
      <w:r w:rsidR="00F00E55" w:rsidRPr="003F69A1">
        <w:rPr>
          <w:rFonts w:cs="DaxlinePro-Regular"/>
          <w:color w:val="000000"/>
          <w:sz w:val="24"/>
          <w:szCs w:val="24"/>
        </w:rPr>
        <w:t xml:space="preserve">In another group of EU Member States, only non-medical authorities can decide on the termination of involuntary placement. In the case of </w:t>
      </w:r>
      <w:r w:rsidR="00F00E55" w:rsidRPr="003F69A1">
        <w:rPr>
          <w:rFonts w:cs="DaxlinePro-Bold"/>
          <w:b/>
          <w:bCs/>
          <w:color w:val="000000"/>
          <w:sz w:val="24"/>
          <w:szCs w:val="24"/>
        </w:rPr>
        <w:t xml:space="preserve">Bulgaria </w:t>
      </w:r>
      <w:r w:rsidR="00F00E55" w:rsidRPr="003F69A1">
        <w:rPr>
          <w:rFonts w:cs="DaxlinePro-Regular"/>
          <w:color w:val="000000"/>
          <w:sz w:val="24"/>
          <w:szCs w:val="24"/>
        </w:rPr>
        <w:t xml:space="preserve">and </w:t>
      </w:r>
      <w:r w:rsidR="00F00E55" w:rsidRPr="003F69A1">
        <w:rPr>
          <w:rFonts w:cs="DaxlinePro-Bold"/>
          <w:bCs/>
          <w:color w:val="000000"/>
          <w:sz w:val="24"/>
          <w:szCs w:val="24"/>
        </w:rPr>
        <w:t>Estonia</w:t>
      </w:r>
      <w:r w:rsidR="00F00E55" w:rsidRPr="003F69A1">
        <w:rPr>
          <w:rFonts w:cs="DaxlinePro-Regular"/>
          <w:color w:val="000000"/>
          <w:sz w:val="24"/>
          <w:szCs w:val="24"/>
        </w:rPr>
        <w:t>, for example, this is the court. (p.38)</w:t>
      </w:r>
    </w:p>
    <w:p w14:paraId="1E9FD75C" w14:textId="34F47039" w:rsidR="008B2A5F" w:rsidRPr="003F69A1" w:rsidRDefault="008A1005" w:rsidP="00B37D35">
      <w:pPr>
        <w:spacing w:after="0"/>
        <w:rPr>
          <w:rFonts w:cs="DaxlinePro-Regular"/>
          <w:color w:val="000000"/>
          <w:sz w:val="24"/>
          <w:szCs w:val="24"/>
        </w:rPr>
      </w:pPr>
      <w:r w:rsidRPr="003F69A1">
        <w:rPr>
          <w:rFonts w:cs="DaxlinePro-Regular"/>
          <w:color w:val="000000"/>
          <w:sz w:val="24"/>
          <w:szCs w:val="24"/>
        </w:rPr>
        <w:t xml:space="preserve">“The FRA findings show that this requirement is reflected in the vast majority of EU Member States’ laws, which provide for free legal support either in certain circumstances or automatically. In addition, in several Member States, comprehensive legal aid provisions require that a lawyer be automatically appointed (see for example </w:t>
      </w:r>
      <w:r w:rsidRPr="003F69A1">
        <w:rPr>
          <w:rFonts w:cs="DaxlinePro-Bold"/>
          <w:bCs/>
          <w:color w:val="000000"/>
          <w:sz w:val="24"/>
          <w:szCs w:val="24"/>
        </w:rPr>
        <w:t>Belgium</w:t>
      </w:r>
      <w:r w:rsidRPr="003F69A1">
        <w:rPr>
          <w:rFonts w:cs="DaxlinePro-Regular"/>
          <w:color w:val="000000"/>
          <w:sz w:val="24"/>
          <w:szCs w:val="24"/>
        </w:rPr>
        <w:t xml:space="preserve">, </w:t>
      </w:r>
      <w:r w:rsidRPr="003F69A1">
        <w:rPr>
          <w:rFonts w:cs="DaxlinePro-Bold"/>
          <w:b/>
          <w:bCs/>
          <w:color w:val="000000"/>
          <w:sz w:val="24"/>
          <w:szCs w:val="24"/>
        </w:rPr>
        <w:t>Bulgaria</w:t>
      </w:r>
      <w:r w:rsidRPr="003F69A1">
        <w:rPr>
          <w:rFonts w:cs="DaxlinePro-Regular"/>
          <w:color w:val="000000"/>
          <w:sz w:val="24"/>
          <w:szCs w:val="24"/>
        </w:rPr>
        <w:t xml:space="preserve">, </w:t>
      </w:r>
      <w:r w:rsidRPr="003F69A1">
        <w:rPr>
          <w:rFonts w:cs="DaxlinePro-Bold"/>
          <w:bCs/>
          <w:color w:val="000000"/>
          <w:sz w:val="24"/>
          <w:szCs w:val="24"/>
        </w:rPr>
        <w:t>Hungary</w:t>
      </w:r>
      <w:r w:rsidRPr="003F69A1">
        <w:rPr>
          <w:rFonts w:cs="DaxlinePro-Regular"/>
          <w:color w:val="000000"/>
          <w:sz w:val="24"/>
          <w:szCs w:val="24"/>
        </w:rPr>
        <w:t xml:space="preserve">, the </w:t>
      </w:r>
      <w:r w:rsidRPr="003F69A1">
        <w:rPr>
          <w:rFonts w:cs="DaxlinePro-Bold"/>
          <w:bCs/>
          <w:color w:val="000000"/>
          <w:sz w:val="24"/>
          <w:szCs w:val="24"/>
        </w:rPr>
        <w:t xml:space="preserve">Netherlands </w:t>
      </w:r>
      <w:r w:rsidRPr="003F69A1">
        <w:rPr>
          <w:rFonts w:cs="DaxlinePro-Regular"/>
          <w:color w:val="000000"/>
          <w:sz w:val="24"/>
          <w:szCs w:val="24"/>
        </w:rPr>
        <w:t xml:space="preserve">or </w:t>
      </w:r>
      <w:r w:rsidRPr="003F69A1">
        <w:rPr>
          <w:rFonts w:cs="DaxlinePro-Bold"/>
          <w:bCs/>
          <w:color w:val="000000"/>
          <w:sz w:val="24"/>
          <w:szCs w:val="24"/>
        </w:rPr>
        <w:t>Slovenia</w:t>
      </w:r>
      <w:r w:rsidRPr="003F69A1">
        <w:rPr>
          <w:rFonts w:cs="DaxlinePro-Regular"/>
          <w:color w:val="000000"/>
          <w:sz w:val="24"/>
          <w:szCs w:val="24"/>
        </w:rPr>
        <w:t>).</w:t>
      </w:r>
      <w:r w:rsidR="00AF5A6F">
        <w:rPr>
          <w:rFonts w:cs="DaxlinePro-Regular"/>
          <w:color w:val="000000"/>
          <w:sz w:val="24"/>
          <w:szCs w:val="24"/>
        </w:rPr>
        <w:t>” (</w:t>
      </w:r>
      <w:r w:rsidRPr="003F69A1">
        <w:rPr>
          <w:rFonts w:cs="DaxlinePro-Regular"/>
          <w:color w:val="000000"/>
          <w:sz w:val="24"/>
          <w:szCs w:val="24"/>
        </w:rPr>
        <w:t>p.39)</w:t>
      </w:r>
      <w:r w:rsidR="008B2A5F" w:rsidRPr="003F69A1">
        <w:rPr>
          <w:rFonts w:cs="DaxlinePro-Regular"/>
          <w:color w:val="000000"/>
          <w:sz w:val="24"/>
          <w:szCs w:val="24"/>
        </w:rPr>
        <w:t xml:space="preserve"> </w:t>
      </w:r>
    </w:p>
    <w:p w14:paraId="059FFE86" w14:textId="4609E036" w:rsidR="008A1005" w:rsidRPr="003F69A1" w:rsidRDefault="008B2A5F" w:rsidP="00B37D35">
      <w:pPr>
        <w:spacing w:after="0"/>
        <w:rPr>
          <w:rFonts w:cs="DaxlinePro-Regular"/>
          <w:sz w:val="24"/>
          <w:szCs w:val="24"/>
        </w:rPr>
      </w:pPr>
      <w:r w:rsidRPr="003F69A1">
        <w:rPr>
          <w:rFonts w:cs="DaxlinePro-Regular"/>
          <w:color w:val="000000"/>
          <w:sz w:val="24"/>
          <w:szCs w:val="24"/>
        </w:rPr>
        <w:t>In some Member States regular reviews of placement measures take place every three months (</w:t>
      </w:r>
      <w:r w:rsidRPr="003F69A1">
        <w:rPr>
          <w:rFonts w:cs="DaxlinePro-Bold"/>
          <w:b/>
          <w:bCs/>
          <w:color w:val="000000"/>
          <w:sz w:val="24"/>
          <w:szCs w:val="24"/>
        </w:rPr>
        <w:t>Bulgaria</w:t>
      </w:r>
      <w:r w:rsidRPr="003F69A1">
        <w:rPr>
          <w:rFonts w:cs="DaxlinePro-Regular"/>
          <w:color w:val="000000"/>
          <w:sz w:val="24"/>
          <w:szCs w:val="24"/>
        </w:rPr>
        <w:t>,</w:t>
      </w:r>
      <w:r w:rsidR="004F7947">
        <w:rPr>
          <w:rStyle w:val="A8"/>
          <w:sz w:val="24"/>
          <w:szCs w:val="24"/>
        </w:rPr>
        <w:t xml:space="preserve"> </w:t>
      </w:r>
      <w:r w:rsidRPr="003F69A1">
        <w:rPr>
          <w:rFonts w:cs="DaxlinePro-Bold"/>
          <w:bCs/>
          <w:color w:val="000000"/>
          <w:sz w:val="24"/>
          <w:szCs w:val="24"/>
        </w:rPr>
        <w:t>Portugal</w:t>
      </w:r>
      <w:r w:rsidRPr="003F69A1">
        <w:rPr>
          <w:rFonts w:cs="DaxlinePro-Regular"/>
          <w:color w:val="000000"/>
          <w:sz w:val="24"/>
          <w:szCs w:val="24"/>
        </w:rPr>
        <w:t>), every six months (</w:t>
      </w:r>
      <w:r w:rsidRPr="003F69A1">
        <w:rPr>
          <w:rFonts w:cs="DaxlinePro-Bold"/>
          <w:bCs/>
          <w:color w:val="000000"/>
          <w:sz w:val="24"/>
          <w:szCs w:val="24"/>
        </w:rPr>
        <w:t>Finland</w:t>
      </w:r>
      <w:r w:rsidRPr="003F69A1">
        <w:rPr>
          <w:rFonts w:cs="DaxlinePro-Regular"/>
          <w:color w:val="000000"/>
          <w:sz w:val="24"/>
          <w:szCs w:val="24"/>
        </w:rPr>
        <w:t>,</w:t>
      </w:r>
      <w:r w:rsidRPr="003F69A1">
        <w:rPr>
          <w:rStyle w:val="A8"/>
          <w:sz w:val="24"/>
          <w:szCs w:val="24"/>
        </w:rPr>
        <w:t xml:space="preserve"> </w:t>
      </w:r>
      <w:r w:rsidRPr="003F69A1">
        <w:rPr>
          <w:rFonts w:cs="DaxlinePro-Bold"/>
          <w:bCs/>
          <w:color w:val="000000"/>
          <w:sz w:val="24"/>
          <w:szCs w:val="24"/>
        </w:rPr>
        <w:t>France</w:t>
      </w:r>
      <w:r w:rsidRPr="003F69A1">
        <w:rPr>
          <w:rFonts w:cs="DaxlinePro-Regular"/>
          <w:color w:val="000000"/>
          <w:sz w:val="24"/>
          <w:szCs w:val="24"/>
        </w:rPr>
        <w:t>,</w:t>
      </w:r>
      <w:r w:rsidR="004F7947">
        <w:rPr>
          <w:rStyle w:val="A8"/>
          <w:sz w:val="24"/>
          <w:szCs w:val="24"/>
        </w:rPr>
        <w:t xml:space="preserve"> </w:t>
      </w:r>
      <w:r w:rsidRPr="003F69A1">
        <w:rPr>
          <w:rFonts w:cs="DaxlinePro-Bold"/>
          <w:bCs/>
          <w:color w:val="000000"/>
          <w:sz w:val="24"/>
          <w:szCs w:val="24"/>
        </w:rPr>
        <w:t>Latvia</w:t>
      </w:r>
      <w:r w:rsidRPr="003F69A1">
        <w:rPr>
          <w:rFonts w:cs="DaxlinePro-Regular"/>
          <w:color w:val="000000"/>
          <w:sz w:val="24"/>
          <w:szCs w:val="24"/>
        </w:rPr>
        <w:t>,</w:t>
      </w:r>
      <w:r w:rsidRPr="003F69A1">
        <w:rPr>
          <w:rStyle w:val="A8"/>
          <w:sz w:val="24"/>
          <w:szCs w:val="24"/>
        </w:rPr>
        <w:t xml:space="preserve"> </w:t>
      </w:r>
      <w:r w:rsidRPr="003F69A1">
        <w:rPr>
          <w:rFonts w:cs="DaxlinePro-Bold"/>
          <w:bCs/>
          <w:color w:val="000000"/>
          <w:sz w:val="24"/>
          <w:szCs w:val="24"/>
        </w:rPr>
        <w:t>Lithuania</w:t>
      </w:r>
      <w:r w:rsidRPr="003F69A1">
        <w:rPr>
          <w:rFonts w:cs="DaxlinePro-Regular"/>
          <w:color w:val="000000"/>
          <w:sz w:val="24"/>
          <w:szCs w:val="24"/>
        </w:rPr>
        <w:t>), after one year (</w:t>
      </w:r>
      <w:r w:rsidRPr="003F69A1">
        <w:rPr>
          <w:rFonts w:cs="DaxlinePro-Bold"/>
          <w:bCs/>
          <w:color w:val="000000"/>
          <w:sz w:val="24"/>
          <w:szCs w:val="24"/>
        </w:rPr>
        <w:t>Estonia</w:t>
      </w:r>
      <w:r w:rsidRPr="003F69A1">
        <w:rPr>
          <w:rFonts w:cs="DaxlinePro-Regular"/>
          <w:color w:val="000000"/>
          <w:sz w:val="24"/>
          <w:szCs w:val="24"/>
        </w:rPr>
        <w:t>,</w:t>
      </w:r>
      <w:r w:rsidRPr="003F69A1">
        <w:rPr>
          <w:rStyle w:val="A8"/>
          <w:sz w:val="24"/>
          <w:szCs w:val="24"/>
        </w:rPr>
        <w:t xml:space="preserve"> </w:t>
      </w:r>
      <w:r w:rsidRPr="003F69A1">
        <w:rPr>
          <w:rFonts w:cs="DaxlinePro-Bold"/>
          <w:bCs/>
          <w:color w:val="000000"/>
          <w:sz w:val="24"/>
          <w:szCs w:val="24"/>
        </w:rPr>
        <w:t>Slovenia</w:t>
      </w:r>
      <w:r w:rsidRPr="003F69A1">
        <w:rPr>
          <w:rFonts w:cs="DaxlinePro-Regular"/>
          <w:color w:val="000000"/>
          <w:sz w:val="24"/>
          <w:szCs w:val="24"/>
        </w:rPr>
        <w:t>), or after two years (</w:t>
      </w:r>
      <w:r w:rsidRPr="003F69A1">
        <w:rPr>
          <w:rFonts w:cs="DaxlinePro-Bold"/>
          <w:bCs/>
          <w:color w:val="000000"/>
          <w:sz w:val="24"/>
          <w:szCs w:val="24"/>
        </w:rPr>
        <w:t>Belgium</w:t>
      </w:r>
      <w:r w:rsidRPr="003F69A1">
        <w:rPr>
          <w:rFonts w:cs="DaxlinePro-Regular"/>
          <w:color w:val="000000"/>
          <w:sz w:val="24"/>
          <w:szCs w:val="24"/>
        </w:rPr>
        <w:t>,</w:t>
      </w:r>
      <w:r w:rsidRPr="003F69A1">
        <w:rPr>
          <w:rStyle w:val="A8"/>
          <w:sz w:val="24"/>
          <w:szCs w:val="24"/>
        </w:rPr>
        <w:t xml:space="preserve"> </w:t>
      </w:r>
      <w:r w:rsidRPr="003F69A1">
        <w:rPr>
          <w:rFonts w:cs="DaxlinePro-Bold"/>
          <w:bCs/>
          <w:color w:val="000000"/>
          <w:sz w:val="24"/>
          <w:szCs w:val="24"/>
        </w:rPr>
        <w:t>Luxembourg</w:t>
      </w:r>
      <w:r w:rsidRPr="003F69A1">
        <w:rPr>
          <w:rFonts w:cs="DaxlinePro-Regular"/>
          <w:color w:val="000000"/>
          <w:sz w:val="24"/>
          <w:szCs w:val="24"/>
        </w:rPr>
        <w:t>)</w:t>
      </w:r>
      <w:r w:rsidR="002E1549" w:rsidRPr="003F69A1">
        <w:rPr>
          <w:rFonts w:cs="DaxlinePro-Regular"/>
          <w:color w:val="000000"/>
          <w:sz w:val="24"/>
          <w:szCs w:val="24"/>
        </w:rPr>
        <w:t xml:space="preserve"> (p.40)</w:t>
      </w:r>
    </w:p>
    <w:p w14:paraId="1FFE6F3A" w14:textId="77777777" w:rsidR="00281962" w:rsidRPr="003F69A1" w:rsidRDefault="00281962" w:rsidP="00B37D35">
      <w:pPr>
        <w:spacing w:after="0"/>
        <w:rPr>
          <w:rFonts w:cs="DaxlinePro-Regular"/>
          <w:sz w:val="24"/>
          <w:szCs w:val="24"/>
        </w:rPr>
      </w:pPr>
      <w:r w:rsidRPr="003F69A1">
        <w:rPr>
          <w:rFonts w:cs="DaxlinePro-Regular"/>
          <w:sz w:val="24"/>
          <w:szCs w:val="24"/>
        </w:rPr>
        <w:t xml:space="preserve">“In </w:t>
      </w:r>
      <w:r w:rsidRPr="003F69A1">
        <w:rPr>
          <w:rFonts w:cs="DaxlinePro-Regular"/>
          <w:b/>
          <w:sz w:val="24"/>
          <w:szCs w:val="24"/>
        </w:rPr>
        <w:t>Bulgaria</w:t>
      </w:r>
      <w:r w:rsidRPr="003F69A1">
        <w:rPr>
          <w:rFonts w:cs="DaxlinePro-Regular"/>
          <w:sz w:val="24"/>
          <w:szCs w:val="24"/>
        </w:rPr>
        <w:t>, Greece, France, Latvia, Romania and the United Kingdom, more than half of the interviewees had experienced institutional living in one form or another. Some of their experiences were recent, but others referred to events that took place in previous decades, which did not necessarily reflect the current situation.” (p.42)</w:t>
      </w:r>
    </w:p>
    <w:p w14:paraId="1272ADE6" w14:textId="77619C37" w:rsidR="001114EE" w:rsidRDefault="008B2A5F" w:rsidP="00B37D35">
      <w:pPr>
        <w:pStyle w:val="Pa3"/>
        <w:rPr>
          <w:rFonts w:asciiTheme="minorHAnsi" w:cs="DaxlinePro-Regular"/>
        </w:rPr>
      </w:pPr>
      <w:r w:rsidRPr="003F69A1">
        <w:rPr>
          <w:rFonts w:asciiTheme="minorHAnsi" w:cs="DaxlinePro-Regular"/>
        </w:rPr>
        <w:t xml:space="preserve"> </w:t>
      </w:r>
      <w:r w:rsidR="00281962" w:rsidRPr="003F69A1">
        <w:rPr>
          <w:rFonts w:asciiTheme="minorHAnsi" w:cs="DaxlinePro-Regular"/>
        </w:rPr>
        <w:t>“</w:t>
      </w:r>
      <w:r w:rsidR="002E1549" w:rsidRPr="003F69A1">
        <w:rPr>
          <w:rFonts w:asciiTheme="minorHAnsi" w:cs="DaxlinePro-Regular"/>
          <w:color w:val="000000"/>
        </w:rPr>
        <w:t xml:space="preserve">In </w:t>
      </w:r>
      <w:r w:rsidR="002E1549" w:rsidRPr="003F69A1">
        <w:rPr>
          <w:rFonts w:asciiTheme="minorHAnsi" w:cs="DaxlinePro-Regular"/>
          <w:b/>
          <w:color w:val="000000"/>
        </w:rPr>
        <w:t>Bulgaria</w:t>
      </w:r>
      <w:r w:rsidR="002E1549" w:rsidRPr="003F69A1">
        <w:rPr>
          <w:rFonts w:asciiTheme="minorHAnsi" w:cs="DaxlinePro-Regular"/>
          <w:color w:val="000000"/>
        </w:rPr>
        <w:t xml:space="preserve"> some respondents claimed that they were not asked to sign informed consent forms for treatment, although sometimes their relatives were asked. On occasion they were admitted involuntarily into hospital and were later asked to sign a consent form to avoid subsequent legal proceedings: </w:t>
      </w:r>
      <w:r w:rsidR="007A6402" w:rsidRPr="007637C6">
        <w:rPr>
          <w:rFonts w:asciiTheme="minorHAnsi" w:eastAsia="DaxlinePro-RegularItalic" w:cs="DaxlinePro-RegularItalic"/>
          <w:i/>
          <w:iCs/>
        </w:rPr>
        <w:t xml:space="preserve">“It happened to me several times – when I am in crisis, my relatives bring me to the doctor, the general practitioner decides that I need to be placed in a hospital and I am placed in a hospital. For example, I have mania or depression and do not agree to the placement. While I am in the hospital – injections, then when I am a bit calmer, I have enlightenment, then they made me sign a document to confirm that I am placed in the hospital voluntarily in order to avoid the clumsy court and prosecution proceedings […]. The doctors themselves told me: ‘You have been placed in the hospital anyway and instead of going to the court, just sign’.” (Woman, 51, </w:t>
      </w:r>
      <w:r w:rsidR="007A6402" w:rsidRPr="007637C6">
        <w:rPr>
          <w:rFonts w:asciiTheme="minorHAnsi" w:eastAsia="DaxlinePro-RegularItalic" w:cs="DaxlinePro-RegularItalic"/>
          <w:b/>
          <w:i/>
          <w:iCs/>
        </w:rPr>
        <w:t>Bulgaria</w:t>
      </w:r>
      <w:r w:rsidR="007A6402" w:rsidRPr="007637C6">
        <w:rPr>
          <w:rFonts w:asciiTheme="minorHAnsi" w:eastAsia="DaxlinePro-RegularItalic" w:cs="DaxlinePro-RegularItalic"/>
          <w:i/>
          <w:iCs/>
        </w:rPr>
        <w:t>)</w:t>
      </w:r>
      <w:r w:rsidR="007A6402" w:rsidRPr="007637C6">
        <w:rPr>
          <w:rFonts w:asciiTheme="minorHAnsi" w:cs="DaxlinePro-Regular"/>
        </w:rPr>
        <w:t xml:space="preserve"> (p.45</w:t>
      </w:r>
      <w:r w:rsidR="00281962" w:rsidRPr="007637C6">
        <w:rPr>
          <w:rFonts w:asciiTheme="minorHAnsi" w:cs="DaxlinePro-Regular"/>
        </w:rPr>
        <w:t>)</w:t>
      </w:r>
    </w:p>
    <w:p w14:paraId="3FF3E21E" w14:textId="77777777" w:rsidR="00B37D35" w:rsidRPr="00B37D35" w:rsidRDefault="00B37D35" w:rsidP="00B37D35">
      <w:pPr>
        <w:pStyle w:val="Default"/>
      </w:pPr>
    </w:p>
    <w:p w14:paraId="35CB58D1" w14:textId="79A81095" w:rsidR="00281962" w:rsidRPr="008358FD" w:rsidRDefault="00281962" w:rsidP="00B37D35">
      <w:pPr>
        <w:pStyle w:val="Heading2"/>
        <w:ind w:left="939"/>
      </w:pPr>
      <w:bookmarkStart w:id="21" w:name="_Toc518293495"/>
      <w:r w:rsidRPr="004C24D1">
        <w:lastRenderedPageBreak/>
        <w:t>The legal protection of persons with mental health problems under non-discrimination law (2011)</w:t>
      </w:r>
      <w:bookmarkEnd w:id="21"/>
    </w:p>
    <w:p w14:paraId="551B0E2F" w14:textId="55C72BBC" w:rsidR="00281962" w:rsidRPr="00E673AD" w:rsidRDefault="00281962" w:rsidP="00B37D35">
      <w:pPr>
        <w:spacing w:after="0"/>
        <w:rPr>
          <w:sz w:val="24"/>
          <w:szCs w:val="24"/>
        </w:rPr>
      </w:pPr>
      <w:r w:rsidRPr="00E673AD">
        <w:rPr>
          <w:color w:val="000000" w:themeColor="text1"/>
          <w:sz w:val="24"/>
          <w:szCs w:val="24"/>
        </w:rPr>
        <w:t xml:space="preserve">The report includes extensive information </w:t>
      </w:r>
      <w:r w:rsidR="00AC75BF">
        <w:rPr>
          <w:color w:val="000000" w:themeColor="text1"/>
          <w:sz w:val="24"/>
          <w:szCs w:val="24"/>
        </w:rPr>
        <w:t>regarding Bulgaria</w:t>
      </w:r>
      <w:r w:rsidRPr="00E673AD">
        <w:rPr>
          <w:color w:val="000000" w:themeColor="text1"/>
          <w:sz w:val="24"/>
          <w:szCs w:val="24"/>
        </w:rPr>
        <w:t>, these excerpts are just a selection. For more detailed information:</w:t>
      </w:r>
      <w:r w:rsidRPr="00E673AD">
        <w:rPr>
          <w:sz w:val="24"/>
          <w:szCs w:val="24"/>
        </w:rPr>
        <w:t xml:space="preserve"> </w:t>
      </w:r>
      <w:hyperlink r:id="rId34" w:history="1">
        <w:r w:rsidRPr="00E673AD">
          <w:rPr>
            <w:rStyle w:val="Hyperlink"/>
            <w:sz w:val="24"/>
            <w:szCs w:val="24"/>
          </w:rPr>
          <w:t>http://fra.europa.eu/en/publication/2011/legal-protection-persons-mental-health-problems-under-non-discrimination-law</w:t>
        </w:r>
      </w:hyperlink>
      <w:r w:rsidR="00FA36D5" w:rsidRPr="00FA36D5">
        <w:rPr>
          <w:rStyle w:val="Hyperlink"/>
          <w:sz w:val="24"/>
          <w:szCs w:val="24"/>
          <w:u w:val="none"/>
        </w:rPr>
        <w:t>.</w:t>
      </w:r>
      <w:r w:rsidRPr="00FA36D5">
        <w:rPr>
          <w:sz w:val="24"/>
          <w:szCs w:val="24"/>
        </w:rPr>
        <w:t xml:space="preserve"> </w:t>
      </w:r>
    </w:p>
    <w:p w14:paraId="25903541" w14:textId="0F2A132B" w:rsidR="00281962" w:rsidRPr="00E673AD" w:rsidRDefault="00304462" w:rsidP="00B37D35">
      <w:pPr>
        <w:autoSpaceDE w:val="0"/>
        <w:autoSpaceDN w:val="0"/>
        <w:adjustRightInd w:val="0"/>
        <w:spacing w:after="0"/>
        <w:rPr>
          <w:color w:val="000000"/>
          <w:sz w:val="24"/>
          <w:szCs w:val="24"/>
        </w:rPr>
      </w:pPr>
      <w:r>
        <w:rPr>
          <w:color w:val="000000"/>
          <w:sz w:val="24"/>
          <w:szCs w:val="24"/>
        </w:rPr>
        <w:t>“</w:t>
      </w:r>
      <w:r w:rsidRPr="00304462">
        <w:rPr>
          <w:color w:val="000000"/>
          <w:sz w:val="24"/>
          <w:szCs w:val="24"/>
        </w:rPr>
        <w:t>In another g</w:t>
      </w:r>
      <w:r>
        <w:rPr>
          <w:color w:val="000000"/>
          <w:sz w:val="24"/>
          <w:szCs w:val="24"/>
        </w:rPr>
        <w:t xml:space="preserve">roup of Member States where the </w:t>
      </w:r>
      <w:r w:rsidRPr="00304462">
        <w:rPr>
          <w:color w:val="000000"/>
          <w:sz w:val="24"/>
          <w:szCs w:val="24"/>
        </w:rPr>
        <w:t>transposing</w:t>
      </w:r>
      <w:r>
        <w:rPr>
          <w:color w:val="000000"/>
          <w:sz w:val="24"/>
          <w:szCs w:val="24"/>
        </w:rPr>
        <w:t xml:space="preserve"> legislation provides no common </w:t>
      </w:r>
      <w:r w:rsidRPr="00304462">
        <w:rPr>
          <w:color w:val="000000"/>
          <w:sz w:val="24"/>
          <w:szCs w:val="24"/>
        </w:rPr>
        <w:t>understanding of the t</w:t>
      </w:r>
      <w:r>
        <w:rPr>
          <w:color w:val="000000"/>
          <w:sz w:val="24"/>
          <w:szCs w:val="24"/>
        </w:rPr>
        <w:t xml:space="preserve">erm disability, definitions can </w:t>
      </w:r>
      <w:r w:rsidRPr="00304462">
        <w:rPr>
          <w:color w:val="000000"/>
          <w:sz w:val="24"/>
          <w:szCs w:val="24"/>
        </w:rPr>
        <w:t>be found in other non-d</w:t>
      </w:r>
      <w:r>
        <w:rPr>
          <w:color w:val="000000"/>
          <w:sz w:val="24"/>
          <w:szCs w:val="24"/>
        </w:rPr>
        <w:t xml:space="preserve">iscrimination laws. In general, </w:t>
      </w:r>
      <w:r w:rsidRPr="00304462">
        <w:rPr>
          <w:color w:val="000000"/>
          <w:sz w:val="24"/>
          <w:szCs w:val="24"/>
        </w:rPr>
        <w:t xml:space="preserve">these definitions can </w:t>
      </w:r>
      <w:r>
        <w:rPr>
          <w:color w:val="000000"/>
          <w:sz w:val="24"/>
          <w:szCs w:val="24"/>
        </w:rPr>
        <w:t xml:space="preserve">be interpreted so as to include </w:t>
      </w:r>
      <w:r w:rsidRPr="00304462">
        <w:rPr>
          <w:color w:val="000000"/>
          <w:sz w:val="24"/>
          <w:szCs w:val="24"/>
        </w:rPr>
        <w:t>persons with ment</w:t>
      </w:r>
      <w:r>
        <w:rPr>
          <w:color w:val="000000"/>
          <w:sz w:val="24"/>
          <w:szCs w:val="24"/>
        </w:rPr>
        <w:t xml:space="preserve">al health problems. This is the </w:t>
      </w:r>
      <w:r w:rsidRPr="00304462">
        <w:rPr>
          <w:color w:val="000000"/>
          <w:sz w:val="24"/>
          <w:szCs w:val="24"/>
        </w:rPr>
        <w:t xml:space="preserve">case for </w:t>
      </w:r>
      <w:r w:rsidRPr="00304462">
        <w:rPr>
          <w:b/>
          <w:color w:val="000000"/>
          <w:sz w:val="24"/>
          <w:szCs w:val="24"/>
        </w:rPr>
        <w:t>Bulgaria</w:t>
      </w:r>
      <w:r w:rsidRPr="00304462">
        <w:rPr>
          <w:color w:val="000000"/>
          <w:sz w:val="24"/>
          <w:szCs w:val="24"/>
        </w:rPr>
        <w:t>, Italy, Latvia, Luxembourg</w:t>
      </w:r>
      <w:r>
        <w:rPr>
          <w:color w:val="000000"/>
          <w:sz w:val="24"/>
          <w:szCs w:val="24"/>
        </w:rPr>
        <w:t xml:space="preserve">, Poland, </w:t>
      </w:r>
      <w:r w:rsidRPr="00304462">
        <w:rPr>
          <w:color w:val="000000"/>
          <w:sz w:val="24"/>
          <w:szCs w:val="24"/>
        </w:rPr>
        <w:t>Romania and Slovenia.</w:t>
      </w:r>
      <w:r w:rsidRPr="00304462">
        <w:t xml:space="preserve"> </w:t>
      </w:r>
      <w:r w:rsidRPr="00304462">
        <w:rPr>
          <w:color w:val="000000"/>
          <w:sz w:val="24"/>
          <w:szCs w:val="24"/>
        </w:rPr>
        <w:t xml:space="preserve">For example in </w:t>
      </w:r>
      <w:r w:rsidRPr="00304462">
        <w:rPr>
          <w:b/>
          <w:color w:val="000000"/>
          <w:sz w:val="24"/>
          <w:szCs w:val="24"/>
        </w:rPr>
        <w:t>Bulgaria</w:t>
      </w:r>
      <w:r>
        <w:rPr>
          <w:color w:val="000000"/>
          <w:sz w:val="24"/>
          <w:szCs w:val="24"/>
        </w:rPr>
        <w:t xml:space="preserve">, the Integration of Persons </w:t>
      </w:r>
      <w:r w:rsidRPr="00304462">
        <w:rPr>
          <w:color w:val="000000"/>
          <w:sz w:val="24"/>
          <w:szCs w:val="24"/>
        </w:rPr>
        <w:t>with Disabilities Act def</w:t>
      </w:r>
      <w:r>
        <w:rPr>
          <w:color w:val="000000"/>
          <w:sz w:val="24"/>
          <w:szCs w:val="24"/>
        </w:rPr>
        <w:t xml:space="preserve">ines disability as “any loss or </w:t>
      </w:r>
      <w:r w:rsidRPr="00304462">
        <w:rPr>
          <w:color w:val="000000"/>
          <w:sz w:val="24"/>
          <w:szCs w:val="24"/>
        </w:rPr>
        <w:t>impairment of the an</w:t>
      </w:r>
      <w:r>
        <w:rPr>
          <w:color w:val="000000"/>
          <w:sz w:val="24"/>
          <w:szCs w:val="24"/>
        </w:rPr>
        <w:t>atomical structure, physiology, or psychology of an individual.” (p.24</w:t>
      </w:r>
      <w:r w:rsidR="001B79F3">
        <w:rPr>
          <w:color w:val="000000"/>
          <w:sz w:val="24"/>
          <w:szCs w:val="24"/>
        </w:rPr>
        <w:t>)</w:t>
      </w:r>
    </w:p>
    <w:p w14:paraId="4C6E1371" w14:textId="0C494C83" w:rsidR="00281962" w:rsidRPr="00E673AD" w:rsidRDefault="00281962" w:rsidP="00B37D35">
      <w:pPr>
        <w:autoSpaceDE w:val="0"/>
        <w:autoSpaceDN w:val="0"/>
        <w:adjustRightInd w:val="0"/>
        <w:spacing w:after="0"/>
        <w:rPr>
          <w:color w:val="000000"/>
          <w:sz w:val="24"/>
          <w:szCs w:val="24"/>
        </w:rPr>
      </w:pPr>
      <w:r w:rsidRPr="00E673AD">
        <w:rPr>
          <w:color w:val="000000"/>
          <w:sz w:val="24"/>
          <w:szCs w:val="24"/>
        </w:rPr>
        <w:t>“</w:t>
      </w:r>
      <w:r w:rsidR="00304462" w:rsidRPr="00304462">
        <w:rPr>
          <w:color w:val="000000"/>
          <w:sz w:val="24"/>
          <w:szCs w:val="24"/>
        </w:rPr>
        <w:t>Beyond the field of employment, t</w:t>
      </w:r>
      <w:r w:rsidR="00304462">
        <w:rPr>
          <w:color w:val="000000"/>
          <w:sz w:val="24"/>
          <w:szCs w:val="24"/>
        </w:rPr>
        <w:t xml:space="preserve">he legal situation </w:t>
      </w:r>
      <w:r w:rsidR="00304462" w:rsidRPr="00304462">
        <w:rPr>
          <w:color w:val="000000"/>
          <w:sz w:val="24"/>
          <w:szCs w:val="24"/>
        </w:rPr>
        <w:t>in Member State</w:t>
      </w:r>
      <w:r w:rsidR="00304462">
        <w:rPr>
          <w:color w:val="000000"/>
          <w:sz w:val="24"/>
          <w:szCs w:val="24"/>
        </w:rPr>
        <w:t xml:space="preserve">s varies considerably regarding </w:t>
      </w:r>
      <w:r w:rsidR="00304462" w:rsidRPr="00304462">
        <w:rPr>
          <w:color w:val="000000"/>
          <w:sz w:val="24"/>
          <w:szCs w:val="24"/>
        </w:rPr>
        <w:t>the duty to provi</w:t>
      </w:r>
      <w:r w:rsidR="00304462">
        <w:rPr>
          <w:color w:val="000000"/>
          <w:sz w:val="24"/>
          <w:szCs w:val="24"/>
        </w:rPr>
        <w:t xml:space="preserve">de reasonable accommodation. </w:t>
      </w:r>
      <w:r w:rsidR="00304462" w:rsidRPr="00304462">
        <w:rPr>
          <w:color w:val="000000"/>
          <w:sz w:val="24"/>
          <w:szCs w:val="24"/>
        </w:rPr>
        <w:t>Generally, when s</w:t>
      </w:r>
      <w:r w:rsidR="00304462">
        <w:rPr>
          <w:color w:val="000000"/>
          <w:sz w:val="24"/>
          <w:szCs w:val="24"/>
        </w:rPr>
        <w:t xml:space="preserve">uch a guarantee is provided, it </w:t>
      </w:r>
      <w:r w:rsidR="00304462" w:rsidRPr="00304462">
        <w:rPr>
          <w:color w:val="000000"/>
          <w:sz w:val="24"/>
          <w:szCs w:val="24"/>
        </w:rPr>
        <w:t xml:space="preserve">is to be found in </w:t>
      </w:r>
      <w:r w:rsidR="00304462">
        <w:rPr>
          <w:color w:val="000000"/>
          <w:sz w:val="24"/>
          <w:szCs w:val="24"/>
        </w:rPr>
        <w:t xml:space="preserve">non-discrimination legislation. </w:t>
      </w:r>
      <w:r w:rsidR="00304462" w:rsidRPr="00304462">
        <w:rPr>
          <w:color w:val="000000"/>
          <w:sz w:val="24"/>
          <w:szCs w:val="24"/>
        </w:rPr>
        <w:t xml:space="preserve">This is the case in Belgium, </w:t>
      </w:r>
      <w:r w:rsidR="00304462" w:rsidRPr="00304462">
        <w:rPr>
          <w:b/>
          <w:color w:val="000000"/>
          <w:sz w:val="24"/>
          <w:szCs w:val="24"/>
        </w:rPr>
        <w:t>Bulgaria</w:t>
      </w:r>
      <w:r w:rsidR="00304462" w:rsidRPr="00304462">
        <w:rPr>
          <w:color w:val="000000"/>
          <w:sz w:val="24"/>
          <w:szCs w:val="24"/>
        </w:rPr>
        <w:t>, the</w:t>
      </w:r>
      <w:r w:rsidR="00304462">
        <w:rPr>
          <w:color w:val="000000"/>
          <w:sz w:val="24"/>
          <w:szCs w:val="24"/>
        </w:rPr>
        <w:t xml:space="preserve"> Czech </w:t>
      </w:r>
      <w:r w:rsidR="00304462" w:rsidRPr="00304462">
        <w:rPr>
          <w:color w:val="000000"/>
          <w:sz w:val="24"/>
          <w:szCs w:val="24"/>
        </w:rPr>
        <w:t>Republic, Ireland,</w:t>
      </w:r>
      <w:r w:rsidR="00304462">
        <w:rPr>
          <w:color w:val="000000"/>
          <w:sz w:val="24"/>
          <w:szCs w:val="24"/>
        </w:rPr>
        <w:t xml:space="preserve"> the Netherlands, Spain and the </w:t>
      </w:r>
      <w:r w:rsidR="00304462" w:rsidRPr="00304462">
        <w:rPr>
          <w:color w:val="000000"/>
          <w:sz w:val="24"/>
          <w:szCs w:val="24"/>
        </w:rPr>
        <w:t xml:space="preserve">United Kingdom. In </w:t>
      </w:r>
      <w:r w:rsidR="00304462" w:rsidRPr="00304462">
        <w:rPr>
          <w:b/>
          <w:color w:val="000000"/>
          <w:sz w:val="24"/>
          <w:szCs w:val="24"/>
        </w:rPr>
        <w:t>Bulgaria</w:t>
      </w:r>
      <w:r w:rsidR="00304462">
        <w:rPr>
          <w:color w:val="000000"/>
          <w:sz w:val="24"/>
          <w:szCs w:val="24"/>
        </w:rPr>
        <w:t xml:space="preserve">, for instance, Article 32 </w:t>
      </w:r>
      <w:r w:rsidR="00304462" w:rsidRPr="00304462">
        <w:rPr>
          <w:color w:val="000000"/>
          <w:sz w:val="24"/>
          <w:szCs w:val="24"/>
        </w:rPr>
        <w:t>of the Protection against Discrimination Act provides</w:t>
      </w:r>
      <w:r w:rsidR="00304462">
        <w:rPr>
          <w:color w:val="000000"/>
          <w:sz w:val="24"/>
          <w:szCs w:val="24"/>
        </w:rPr>
        <w:t xml:space="preserve"> </w:t>
      </w:r>
      <w:r w:rsidR="00304462" w:rsidRPr="00304462">
        <w:rPr>
          <w:color w:val="000000"/>
          <w:sz w:val="24"/>
          <w:szCs w:val="24"/>
        </w:rPr>
        <w:t>for reasonable</w:t>
      </w:r>
      <w:r w:rsidR="00304462">
        <w:rPr>
          <w:color w:val="000000"/>
          <w:sz w:val="24"/>
          <w:szCs w:val="24"/>
        </w:rPr>
        <w:t xml:space="preserve"> accommodation for persons with </w:t>
      </w:r>
      <w:r w:rsidR="00304462" w:rsidRPr="00304462">
        <w:rPr>
          <w:color w:val="000000"/>
          <w:sz w:val="24"/>
          <w:szCs w:val="24"/>
        </w:rPr>
        <w:t>disabilities in education.</w:t>
      </w:r>
      <w:r w:rsidR="00304462">
        <w:rPr>
          <w:color w:val="000000"/>
          <w:sz w:val="24"/>
          <w:szCs w:val="24"/>
        </w:rPr>
        <w:t>” (p.29</w:t>
      </w:r>
      <w:r w:rsidR="001B79F3">
        <w:rPr>
          <w:color w:val="000000"/>
          <w:sz w:val="24"/>
          <w:szCs w:val="24"/>
        </w:rPr>
        <w:t>)</w:t>
      </w:r>
    </w:p>
    <w:p w14:paraId="4653E075" w14:textId="44CF26DC" w:rsidR="00281962" w:rsidRDefault="00304462" w:rsidP="00B37D35">
      <w:pPr>
        <w:autoSpaceDE w:val="0"/>
        <w:autoSpaceDN w:val="0"/>
        <w:adjustRightInd w:val="0"/>
        <w:spacing w:after="0"/>
        <w:rPr>
          <w:color w:val="000000"/>
          <w:sz w:val="24"/>
          <w:szCs w:val="24"/>
        </w:rPr>
      </w:pPr>
      <w:r w:rsidRPr="00E673AD">
        <w:rPr>
          <w:color w:val="000000"/>
          <w:sz w:val="24"/>
          <w:szCs w:val="24"/>
        </w:rPr>
        <w:t xml:space="preserve"> </w:t>
      </w:r>
      <w:r w:rsidR="00281962" w:rsidRPr="00E673AD">
        <w:rPr>
          <w:color w:val="000000"/>
          <w:sz w:val="24"/>
          <w:szCs w:val="24"/>
        </w:rPr>
        <w:t>“</w:t>
      </w:r>
      <w:r w:rsidRPr="00304462">
        <w:rPr>
          <w:color w:val="000000"/>
          <w:sz w:val="24"/>
          <w:szCs w:val="24"/>
        </w:rPr>
        <w:t>Furthermore, some Member States have gone further</w:t>
      </w:r>
      <w:r>
        <w:rPr>
          <w:color w:val="000000"/>
          <w:sz w:val="24"/>
          <w:szCs w:val="24"/>
        </w:rPr>
        <w:t xml:space="preserve"> </w:t>
      </w:r>
      <w:r w:rsidRPr="00304462">
        <w:rPr>
          <w:color w:val="000000"/>
          <w:sz w:val="24"/>
          <w:szCs w:val="24"/>
        </w:rPr>
        <w:t>than the Employment Equality Directive by extending</w:t>
      </w:r>
      <w:r>
        <w:rPr>
          <w:color w:val="000000"/>
          <w:sz w:val="24"/>
          <w:szCs w:val="24"/>
        </w:rPr>
        <w:t xml:space="preserve"> </w:t>
      </w:r>
      <w:r w:rsidRPr="00304462">
        <w:rPr>
          <w:color w:val="000000"/>
          <w:sz w:val="24"/>
          <w:szCs w:val="24"/>
        </w:rPr>
        <w:t>their concept of discrimination. In some cases this</w:t>
      </w:r>
      <w:r>
        <w:rPr>
          <w:color w:val="000000"/>
          <w:sz w:val="24"/>
          <w:szCs w:val="24"/>
        </w:rPr>
        <w:t xml:space="preserve"> </w:t>
      </w:r>
      <w:r w:rsidRPr="00304462">
        <w:rPr>
          <w:color w:val="000000"/>
          <w:sz w:val="24"/>
          <w:szCs w:val="24"/>
        </w:rPr>
        <w:t>takes the form of mirror</w:t>
      </w:r>
      <w:r>
        <w:rPr>
          <w:color w:val="000000"/>
          <w:sz w:val="24"/>
          <w:szCs w:val="24"/>
        </w:rPr>
        <w:t xml:space="preserve">ing the CRPD’s stipulation that </w:t>
      </w:r>
      <w:r w:rsidRPr="00304462">
        <w:rPr>
          <w:color w:val="000000"/>
          <w:sz w:val="24"/>
          <w:szCs w:val="24"/>
        </w:rPr>
        <w:t>denial of reasonable ac</w:t>
      </w:r>
      <w:r>
        <w:rPr>
          <w:color w:val="000000"/>
          <w:sz w:val="24"/>
          <w:szCs w:val="24"/>
        </w:rPr>
        <w:t xml:space="preserve">commodation is itself a form of </w:t>
      </w:r>
      <w:r w:rsidRPr="00304462">
        <w:rPr>
          <w:color w:val="000000"/>
          <w:sz w:val="24"/>
          <w:szCs w:val="24"/>
        </w:rPr>
        <w:t>discrimination. For exa</w:t>
      </w:r>
      <w:r>
        <w:rPr>
          <w:color w:val="000000"/>
          <w:sz w:val="24"/>
          <w:szCs w:val="24"/>
        </w:rPr>
        <w:t xml:space="preserve">mple, the Austrian Persons with </w:t>
      </w:r>
      <w:r w:rsidRPr="00304462">
        <w:rPr>
          <w:color w:val="000000"/>
          <w:sz w:val="24"/>
          <w:szCs w:val="24"/>
        </w:rPr>
        <w:t>a Disability Employme</w:t>
      </w:r>
      <w:r>
        <w:rPr>
          <w:color w:val="000000"/>
          <w:sz w:val="24"/>
          <w:szCs w:val="24"/>
        </w:rPr>
        <w:t xml:space="preserve">nt Act provides in Article 7(c) </w:t>
      </w:r>
      <w:r w:rsidRPr="00304462">
        <w:rPr>
          <w:color w:val="000000"/>
          <w:sz w:val="24"/>
          <w:szCs w:val="24"/>
        </w:rPr>
        <w:t>that denial of r</w:t>
      </w:r>
      <w:r>
        <w:rPr>
          <w:color w:val="000000"/>
          <w:sz w:val="24"/>
          <w:szCs w:val="24"/>
        </w:rPr>
        <w:t xml:space="preserve">easonable accommodation amounts </w:t>
      </w:r>
      <w:r w:rsidRPr="00304462">
        <w:rPr>
          <w:color w:val="000000"/>
          <w:sz w:val="24"/>
          <w:szCs w:val="24"/>
        </w:rPr>
        <w:t>to direct discrimination</w:t>
      </w:r>
      <w:r>
        <w:rPr>
          <w:color w:val="000000"/>
          <w:sz w:val="24"/>
          <w:szCs w:val="24"/>
        </w:rPr>
        <w:t xml:space="preserve">. Similar conclusions can be </w:t>
      </w:r>
      <w:r w:rsidRPr="00304462">
        <w:rPr>
          <w:color w:val="000000"/>
          <w:sz w:val="24"/>
          <w:szCs w:val="24"/>
        </w:rPr>
        <w:t xml:space="preserve">found in </w:t>
      </w:r>
      <w:r w:rsidRPr="00304462">
        <w:rPr>
          <w:b/>
          <w:color w:val="000000"/>
          <w:sz w:val="24"/>
          <w:szCs w:val="24"/>
        </w:rPr>
        <w:t>Bulgarian</w:t>
      </w:r>
      <w:r w:rsidRPr="00304462">
        <w:rPr>
          <w:color w:val="000000"/>
          <w:sz w:val="24"/>
          <w:szCs w:val="24"/>
        </w:rPr>
        <w:t xml:space="preserve"> case law.</w:t>
      </w:r>
      <w:r>
        <w:rPr>
          <w:color w:val="000000"/>
          <w:sz w:val="24"/>
          <w:szCs w:val="24"/>
        </w:rPr>
        <w:t>” (p.30</w:t>
      </w:r>
      <w:r w:rsidR="00281962" w:rsidRPr="00E673AD">
        <w:rPr>
          <w:color w:val="000000"/>
          <w:sz w:val="24"/>
          <w:szCs w:val="24"/>
        </w:rPr>
        <w:t>)</w:t>
      </w:r>
    </w:p>
    <w:p w14:paraId="5F20F591" w14:textId="77777777" w:rsidR="00B37D35" w:rsidRDefault="00B37D35" w:rsidP="00B37D35">
      <w:pPr>
        <w:autoSpaceDE w:val="0"/>
        <w:autoSpaceDN w:val="0"/>
        <w:adjustRightInd w:val="0"/>
        <w:spacing w:after="0"/>
        <w:rPr>
          <w:color w:val="000000"/>
          <w:sz w:val="24"/>
          <w:szCs w:val="24"/>
        </w:rPr>
      </w:pPr>
    </w:p>
    <w:p w14:paraId="248AB149" w14:textId="1C33E105" w:rsidR="00281962" w:rsidRPr="001B79F3" w:rsidRDefault="00281962" w:rsidP="00B37D35">
      <w:pPr>
        <w:pStyle w:val="Heading2"/>
        <w:ind w:left="939"/>
      </w:pPr>
      <w:bookmarkStart w:id="22" w:name="_Toc518293496"/>
      <w:r w:rsidRPr="004C24D1">
        <w:lastRenderedPageBreak/>
        <w:t>The right to political participation of persons with mental health problems and persons with intellectual disabilities (2010)</w:t>
      </w:r>
      <w:bookmarkEnd w:id="22"/>
    </w:p>
    <w:p w14:paraId="5AB7B151" w14:textId="301E5CED" w:rsidR="00281962" w:rsidRPr="00E673AD" w:rsidRDefault="00281962" w:rsidP="00B37D35">
      <w:pPr>
        <w:spacing w:after="0"/>
        <w:rPr>
          <w:sz w:val="24"/>
          <w:szCs w:val="24"/>
        </w:rPr>
      </w:pPr>
      <w:r w:rsidRPr="00E673AD">
        <w:rPr>
          <w:color w:val="000000" w:themeColor="text1"/>
          <w:sz w:val="24"/>
          <w:szCs w:val="24"/>
        </w:rPr>
        <w:t>The report includes extensive information regarding France, these excerpts are just a selection. For more detailed information:</w:t>
      </w:r>
      <w:r w:rsidR="00FE5A96">
        <w:rPr>
          <w:sz w:val="24"/>
          <w:szCs w:val="24"/>
        </w:rPr>
        <w:t xml:space="preserve"> </w:t>
      </w:r>
      <w:hyperlink r:id="rId35" w:history="1">
        <w:r w:rsidRPr="00E673AD">
          <w:rPr>
            <w:rStyle w:val="Hyperlink"/>
            <w:sz w:val="24"/>
            <w:szCs w:val="24"/>
          </w:rPr>
          <w:t>http://fra.europa.eu/en/publication/2010/right-political-participation-persons-mental-health-problems-and-persons</w:t>
        </w:r>
      </w:hyperlink>
      <w:r w:rsidR="001B79F3">
        <w:rPr>
          <w:sz w:val="24"/>
          <w:szCs w:val="24"/>
        </w:rPr>
        <w:t xml:space="preserve"> </w:t>
      </w:r>
    </w:p>
    <w:p w14:paraId="11C7CB8C" w14:textId="7BB0A75F" w:rsidR="00281962" w:rsidRPr="00AF5A6F" w:rsidRDefault="00281962" w:rsidP="00B37D35">
      <w:pPr>
        <w:pStyle w:val="Pa4"/>
        <w:rPr>
          <w:rFonts w:asciiTheme="minorHAnsi" w:cs="DaxlinePro-RegularItalic"/>
          <w:i/>
          <w:iCs/>
          <w:color w:val="000000"/>
        </w:rPr>
      </w:pPr>
      <w:r w:rsidRPr="00AF5A6F">
        <w:rPr>
          <w:rFonts w:asciiTheme="minorHAnsi" w:cs="DaxlinePro-Regular"/>
          <w:color w:val="000000"/>
        </w:rPr>
        <w:t>“</w:t>
      </w:r>
      <w:r w:rsidR="006C66FE" w:rsidRPr="00AF5A6F">
        <w:rPr>
          <w:rFonts w:asciiTheme="minorHAnsi" w:cs="DaxlinePro-Regular"/>
          <w:color w:val="000000"/>
        </w:rPr>
        <w:t xml:space="preserve">In countries where there is an automatic exclusion it is either entrenched in the Constitution or prescribed in electoral legislation. One example is </w:t>
      </w:r>
      <w:r w:rsidR="006C66FE" w:rsidRPr="00AF5A6F">
        <w:rPr>
          <w:rFonts w:asciiTheme="minorHAnsi" w:cs="DaxlinePro-Bold"/>
          <w:b/>
          <w:bCs/>
          <w:color w:val="000000"/>
        </w:rPr>
        <w:t xml:space="preserve">Bulgaria </w:t>
      </w:r>
      <w:r w:rsidR="006C66FE" w:rsidRPr="00AF5A6F">
        <w:rPr>
          <w:rFonts w:asciiTheme="minorHAnsi" w:cs="DaxlinePro-Regular"/>
          <w:color w:val="000000"/>
        </w:rPr>
        <w:t xml:space="preserve">where exclusion from political participation is triggered by deprivation of legal capacity. Article 42 (1) of the </w:t>
      </w:r>
      <w:r w:rsidR="006C66FE" w:rsidRPr="00AF5A6F">
        <w:rPr>
          <w:rFonts w:asciiTheme="minorHAnsi" w:cs="DaxlinePro-Regular"/>
          <w:b/>
          <w:color w:val="000000"/>
        </w:rPr>
        <w:t>Bulgarian</w:t>
      </w:r>
      <w:r w:rsidR="006C66FE" w:rsidRPr="00AF5A6F">
        <w:rPr>
          <w:rFonts w:asciiTheme="minorHAnsi" w:cs="DaxlinePro-Regular"/>
          <w:color w:val="000000"/>
        </w:rPr>
        <w:t xml:space="preserve"> Constitution states: ‘Every citizen above the age of 18, with the exception of those placed under judicial interdiction (…), shall be free to elect state and local authorities and vote in referen</w:t>
      </w:r>
      <w:r w:rsidR="006C66FE" w:rsidRPr="00AF5A6F">
        <w:rPr>
          <w:rFonts w:asciiTheme="minorHAnsi" w:cs="DaxlinePro-Regular"/>
          <w:color w:val="000000"/>
        </w:rPr>
        <w:softHyphen/>
        <w:t>dums’.</w:t>
      </w:r>
      <w:r w:rsidR="006C66FE" w:rsidRPr="00AF5A6F">
        <w:rPr>
          <w:rStyle w:val="A8"/>
          <w:rFonts w:asciiTheme="minorHAnsi"/>
          <w:sz w:val="24"/>
          <w:szCs w:val="24"/>
        </w:rPr>
        <w:t xml:space="preserve">32 </w:t>
      </w:r>
      <w:r w:rsidR="006C66FE" w:rsidRPr="00AF5A6F">
        <w:rPr>
          <w:rFonts w:asciiTheme="minorHAnsi" w:cs="DaxlinePro-Regular"/>
          <w:color w:val="000000"/>
        </w:rPr>
        <w:t>Persons with mental health problems and per</w:t>
      </w:r>
      <w:r w:rsidR="006C66FE" w:rsidRPr="00AF5A6F">
        <w:rPr>
          <w:rFonts w:asciiTheme="minorHAnsi" w:cs="DaxlinePro-Regular"/>
          <w:color w:val="000000"/>
        </w:rPr>
        <w:softHyphen/>
        <w:t>sons with intellectual disabilities who are considered not to be able to take care of their affairs and for that reason are placed under guardianship (‘through judicial interdiction’) are thus deprived of their legal capacity. In other words, political rights are denied to all people under partial and plenary guardianship, regardless of their actual individual level of functional ability.</w:t>
      </w:r>
      <w:r w:rsidR="006C66FE" w:rsidRPr="00AF5A6F">
        <w:rPr>
          <w:rStyle w:val="A8"/>
          <w:rFonts w:asciiTheme="minorHAnsi"/>
          <w:sz w:val="24"/>
          <w:szCs w:val="24"/>
        </w:rPr>
        <w:t xml:space="preserve">33 </w:t>
      </w:r>
      <w:r w:rsidR="006C66FE" w:rsidRPr="00AF5A6F">
        <w:rPr>
          <w:rFonts w:asciiTheme="minorHAnsi" w:cs="DaxlinePro-Regular"/>
          <w:color w:val="000000"/>
        </w:rPr>
        <w:t xml:space="preserve">In addition, the Political Parties Act provides that political parties can only be established by </w:t>
      </w:r>
      <w:r w:rsidR="006C66FE" w:rsidRPr="00AF5A6F">
        <w:rPr>
          <w:rFonts w:asciiTheme="minorHAnsi" w:cs="DaxlinePro-Regular"/>
          <w:b/>
          <w:color w:val="000000"/>
        </w:rPr>
        <w:t>Bulgarian</w:t>
      </w:r>
      <w:r w:rsidR="006C66FE" w:rsidRPr="00AF5A6F">
        <w:rPr>
          <w:rFonts w:asciiTheme="minorHAnsi" w:cs="DaxlinePro-Regular"/>
          <w:color w:val="000000"/>
        </w:rPr>
        <w:t xml:space="preserve"> citizens who have the right to vote.</w:t>
      </w:r>
      <w:r w:rsidR="006C66FE" w:rsidRPr="00AF5A6F">
        <w:rPr>
          <w:rStyle w:val="A8"/>
          <w:rFonts w:asciiTheme="minorHAnsi"/>
          <w:sz w:val="24"/>
          <w:szCs w:val="24"/>
        </w:rPr>
        <w:t xml:space="preserve">34 </w:t>
      </w:r>
      <w:r w:rsidR="006C66FE" w:rsidRPr="00AF5A6F">
        <w:rPr>
          <w:rFonts w:asciiTheme="minorHAnsi" w:cs="DaxlinePro-Regular"/>
          <w:color w:val="000000"/>
        </w:rPr>
        <w:t>Consequently, the exclu</w:t>
      </w:r>
      <w:r w:rsidR="006C66FE" w:rsidRPr="00AF5A6F">
        <w:rPr>
          <w:rFonts w:asciiTheme="minorHAnsi" w:cs="DaxlinePro-Regular"/>
          <w:color w:val="000000"/>
        </w:rPr>
        <w:softHyphen/>
        <w:t>sion of the right to vote for people under guardianship also leads to a ban on any other political activities.</w:t>
      </w:r>
      <w:r w:rsidR="006C66FE" w:rsidRPr="00AF5A6F">
        <w:rPr>
          <w:rFonts w:asciiTheme="minorHAnsi" w:cs="DaxlinePro-RegularItalic"/>
          <w:i/>
          <w:iCs/>
          <w:color w:val="000000"/>
        </w:rPr>
        <w:t xml:space="preserve">.’” </w:t>
      </w:r>
      <w:r w:rsidR="006C66FE" w:rsidRPr="00CA32AA">
        <w:rPr>
          <w:rFonts w:asciiTheme="minorHAnsi" w:cs="DaxlinePro-RegularItalic"/>
          <w:iCs/>
          <w:color w:val="000000"/>
        </w:rPr>
        <w:t>(p.15</w:t>
      </w:r>
      <w:r w:rsidRPr="00CA32AA">
        <w:rPr>
          <w:rFonts w:asciiTheme="minorHAnsi" w:cs="DaxlinePro-RegularItalic"/>
          <w:iCs/>
          <w:color w:val="000000"/>
        </w:rPr>
        <w:t>)</w:t>
      </w:r>
    </w:p>
    <w:p w14:paraId="6EC8C617" w14:textId="4DCE22AB" w:rsidR="006C66FE" w:rsidRPr="006C66FE" w:rsidRDefault="006C66FE" w:rsidP="002D605B">
      <w:pPr>
        <w:rPr>
          <w:i/>
          <w:iCs/>
          <w:color w:val="404040" w:themeColor="text1" w:themeTint="BF"/>
          <w:sz w:val="24"/>
          <w:szCs w:val="24"/>
        </w:rPr>
      </w:pPr>
      <w:r w:rsidRPr="006C66FE">
        <w:rPr>
          <w:i/>
          <w:iCs/>
          <w:color w:val="404040" w:themeColor="text1" w:themeTint="BF"/>
          <w:sz w:val="24"/>
          <w:szCs w:val="24"/>
        </w:rPr>
        <w:t>Annex</w:t>
      </w:r>
    </w:p>
    <w:p w14:paraId="4311F0A1" w14:textId="30DA3C1C" w:rsidR="006C66FE" w:rsidRDefault="006C66FE" w:rsidP="002D605B">
      <w:pPr>
        <w:pStyle w:val="Default"/>
      </w:pPr>
      <w:r>
        <w:rPr>
          <w:noProof/>
          <w:lang w:eastAsia="en-IE"/>
        </w:rPr>
        <w:drawing>
          <wp:inline distT="0" distB="0" distL="0" distR="0" wp14:anchorId="3F40C2BB" wp14:editId="4CB4E1B1">
            <wp:extent cx="4867275" cy="3333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9053" t="22698" r="23580" b="73973"/>
                    <a:stretch/>
                  </pic:blipFill>
                  <pic:spPr bwMode="auto">
                    <a:xfrm>
                      <a:off x="0" y="0"/>
                      <a:ext cx="4875274" cy="333923"/>
                    </a:xfrm>
                    <a:prstGeom prst="rect">
                      <a:avLst/>
                    </a:prstGeom>
                    <a:ln>
                      <a:noFill/>
                    </a:ln>
                    <a:extLst>
                      <a:ext uri="{53640926-AAD7-44D8-BBD7-CCE9431645EC}">
                        <a14:shadowObscured xmlns:a14="http://schemas.microsoft.com/office/drawing/2010/main"/>
                      </a:ext>
                    </a:extLst>
                  </pic:spPr>
                </pic:pic>
              </a:graphicData>
            </a:graphic>
          </wp:inline>
        </w:drawing>
      </w:r>
    </w:p>
    <w:p w14:paraId="2EC4F239" w14:textId="62652C8F" w:rsidR="00281962" w:rsidRDefault="006C66FE" w:rsidP="002D605B">
      <w:pPr>
        <w:pStyle w:val="Default"/>
      </w:pPr>
      <w:r>
        <w:rPr>
          <w:noProof/>
          <w:lang w:eastAsia="en-IE"/>
        </w:rPr>
        <w:drawing>
          <wp:inline distT="0" distB="0" distL="0" distR="0" wp14:anchorId="3491D83E" wp14:editId="2E17E656">
            <wp:extent cx="4838700" cy="2476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38888" t="31331" r="23705" b="65950"/>
                    <a:stretch/>
                  </pic:blipFill>
                  <pic:spPr bwMode="auto">
                    <a:xfrm>
                      <a:off x="0" y="0"/>
                      <a:ext cx="4838700" cy="247650"/>
                    </a:xfrm>
                    <a:prstGeom prst="rect">
                      <a:avLst/>
                    </a:prstGeom>
                    <a:ln>
                      <a:noFill/>
                    </a:ln>
                    <a:extLst>
                      <a:ext uri="{53640926-AAD7-44D8-BBD7-CCE9431645EC}">
                        <a14:shadowObscured xmlns:a14="http://schemas.microsoft.com/office/drawing/2010/main"/>
                      </a:ext>
                    </a:extLst>
                  </pic:spPr>
                </pic:pic>
              </a:graphicData>
            </a:graphic>
          </wp:inline>
        </w:drawing>
      </w:r>
      <w:r>
        <w:t xml:space="preserve"> (p.23)</w:t>
      </w:r>
      <w:bookmarkStart w:id="23" w:name="_Toc437340052"/>
      <w:bookmarkEnd w:id="23"/>
    </w:p>
    <w:p w14:paraId="5CD62C6F" w14:textId="77777777" w:rsidR="00C73C4D" w:rsidRPr="00667B22" w:rsidRDefault="00C73C4D" w:rsidP="002D605B">
      <w:pPr>
        <w:pStyle w:val="Default"/>
      </w:pPr>
    </w:p>
    <w:p w14:paraId="07D6C659" w14:textId="27644FDE" w:rsidR="00B37D35" w:rsidRDefault="007637C6" w:rsidP="00FF03F8">
      <w:pPr>
        <w:pStyle w:val="Heading1"/>
        <w:rPr>
          <w:rFonts w:asciiTheme="minorHAnsi" w:hAnsiTheme="minorHAnsi"/>
        </w:rPr>
      </w:pPr>
      <w:bookmarkStart w:id="24" w:name="_Toc518293497"/>
      <w:r>
        <w:rPr>
          <w:rFonts w:asciiTheme="minorHAnsi" w:hAnsiTheme="minorHAnsi"/>
        </w:rPr>
        <w:t>Other</w:t>
      </w:r>
      <w:r w:rsidR="00281962" w:rsidRPr="007637C6">
        <w:rPr>
          <w:rFonts w:asciiTheme="minorHAnsi" w:hAnsiTheme="minorHAnsi"/>
        </w:rPr>
        <w:t xml:space="preserve"> report</w:t>
      </w:r>
      <w:r>
        <w:rPr>
          <w:rFonts w:asciiTheme="minorHAnsi" w:hAnsiTheme="minorHAnsi"/>
        </w:rPr>
        <w:t>s</w:t>
      </w:r>
      <w:r w:rsidR="00281962" w:rsidRPr="007637C6">
        <w:rPr>
          <w:rFonts w:asciiTheme="minorHAnsi" w:hAnsiTheme="minorHAnsi"/>
        </w:rPr>
        <w:t xml:space="preserve"> related to disability</w:t>
      </w:r>
      <w:bookmarkStart w:id="25" w:name="_Toc437340036"/>
      <w:bookmarkStart w:id="26" w:name="_Toc437340037"/>
      <w:bookmarkEnd w:id="25"/>
      <w:bookmarkEnd w:id="26"/>
      <w:bookmarkEnd w:id="24"/>
    </w:p>
    <w:p w14:paraId="2AB2C60B" w14:textId="77777777" w:rsidR="00FF03F8" w:rsidRPr="00FF03F8" w:rsidRDefault="00FF03F8" w:rsidP="00FF03F8"/>
    <w:p w14:paraId="640BCEDA" w14:textId="00296A57" w:rsidR="00CA32AA" w:rsidRDefault="00CA32AA" w:rsidP="00B37D35">
      <w:pPr>
        <w:pStyle w:val="Heading2"/>
        <w:ind w:left="939"/>
      </w:pPr>
      <w:bookmarkStart w:id="27" w:name="_Toc518293498"/>
      <w:r>
        <w:t>Thematic focus: migrants with disabilities (2016)</w:t>
      </w:r>
      <w:bookmarkEnd w:id="27"/>
    </w:p>
    <w:p w14:paraId="061574AB" w14:textId="49820DA0" w:rsidR="00CA32AA" w:rsidRDefault="00CA32AA" w:rsidP="00B37D35">
      <w:pPr>
        <w:spacing w:after="0"/>
        <w:rPr>
          <w:sz w:val="24"/>
        </w:rPr>
      </w:pPr>
      <w:r w:rsidRPr="00CA32AA">
        <w:rPr>
          <w:sz w:val="24"/>
        </w:rPr>
        <w:t xml:space="preserve">The monthly reporting includes further information regarding Bulgaria. For more information: </w:t>
      </w:r>
      <w:hyperlink r:id="rId38" w:history="1">
        <w:r w:rsidRPr="00CA32AA">
          <w:rPr>
            <w:rStyle w:val="Hyperlink"/>
            <w:sz w:val="24"/>
          </w:rPr>
          <w:t>http://fra.europa.eu/en/theme/asylum-migration-borders/overviews/focus-disability</w:t>
        </w:r>
      </w:hyperlink>
      <w:r w:rsidRPr="00CA32AA">
        <w:rPr>
          <w:sz w:val="24"/>
        </w:rPr>
        <w:t xml:space="preserve">. </w:t>
      </w:r>
    </w:p>
    <w:p w14:paraId="0259C909" w14:textId="162D187E" w:rsidR="00CA32AA" w:rsidRDefault="00CA32AA" w:rsidP="00B37D35">
      <w:pPr>
        <w:spacing w:after="0"/>
        <w:rPr>
          <w:sz w:val="24"/>
          <w:lang w:val="en"/>
        </w:rPr>
      </w:pPr>
      <w:r>
        <w:rPr>
          <w:sz w:val="24"/>
        </w:rPr>
        <w:t>“</w:t>
      </w:r>
      <w:r w:rsidRPr="00CA32AA">
        <w:rPr>
          <w:sz w:val="24"/>
          <w:lang w:val="en"/>
        </w:rPr>
        <w:t xml:space="preserve">In </w:t>
      </w:r>
      <w:r w:rsidRPr="00CA32AA">
        <w:rPr>
          <w:b/>
          <w:sz w:val="24"/>
          <w:lang w:val="en"/>
        </w:rPr>
        <w:t>Bulgaria</w:t>
      </w:r>
      <w:r w:rsidRPr="00CA32AA">
        <w:rPr>
          <w:sz w:val="24"/>
          <w:lang w:val="en"/>
        </w:rPr>
        <w:t>, initial identification of persons with clearly visible disabilities can take place during the registration procedure and first interviews with asylum authorities. Similarly, in Greece, identification takes place after the registration procedure upon arrival at a Reception and Identification Centre. This initial identification may, however, be linked to an obvious need for medical treatment, rather than on the identification of an impairment.</w:t>
      </w:r>
      <w:r>
        <w:rPr>
          <w:sz w:val="24"/>
          <w:lang w:val="en"/>
        </w:rPr>
        <w:t>”</w:t>
      </w:r>
    </w:p>
    <w:p w14:paraId="5FE3B573" w14:textId="77777777" w:rsidR="006A2841" w:rsidRDefault="006A2841" w:rsidP="00B37D35">
      <w:pPr>
        <w:spacing w:after="0"/>
        <w:rPr>
          <w:sz w:val="24"/>
          <w:lang w:val="en"/>
        </w:rPr>
      </w:pPr>
    </w:p>
    <w:tbl>
      <w:tblPr>
        <w:tblStyle w:val="TableGrid"/>
        <w:tblW w:w="0" w:type="auto"/>
        <w:tblLook w:val="04A0" w:firstRow="1" w:lastRow="0" w:firstColumn="1" w:lastColumn="0" w:noHBand="0" w:noVBand="1"/>
      </w:tblPr>
      <w:tblGrid>
        <w:gridCol w:w="9016"/>
      </w:tblGrid>
      <w:tr w:rsidR="00CA32AA" w14:paraId="4B308596" w14:textId="77777777" w:rsidTr="00CA32AA">
        <w:tc>
          <w:tcPr>
            <w:tcW w:w="9016" w:type="dxa"/>
          </w:tcPr>
          <w:p w14:paraId="4DFC70F0" w14:textId="77777777" w:rsidR="00CA32AA" w:rsidRPr="00CA32AA" w:rsidRDefault="00CA32AA" w:rsidP="00B37D35">
            <w:pPr>
              <w:rPr>
                <w:sz w:val="24"/>
                <w:lang w:val="en"/>
              </w:rPr>
            </w:pPr>
            <w:r w:rsidRPr="00CA32AA">
              <w:rPr>
                <w:b/>
                <w:bCs/>
                <w:sz w:val="24"/>
                <w:lang w:val="en"/>
              </w:rPr>
              <w:t>Identifying persons with disabilities</w:t>
            </w:r>
          </w:p>
          <w:p w14:paraId="523EB848" w14:textId="661D402D" w:rsidR="00CA32AA" w:rsidRPr="00CA32AA" w:rsidRDefault="00CA32AA" w:rsidP="00B37D35">
            <w:pPr>
              <w:rPr>
                <w:sz w:val="24"/>
                <w:lang w:val="en"/>
              </w:rPr>
            </w:pPr>
            <w:r w:rsidRPr="00CA32AA">
              <w:rPr>
                <w:b/>
                <w:bCs/>
                <w:sz w:val="24"/>
                <w:lang w:val="en"/>
              </w:rPr>
              <w:t>The European Asylum Support Office (EASO) developed a tool for the identification of persons with special needs (</w:t>
            </w:r>
            <w:hyperlink r:id="rId39" w:history="1">
              <w:r w:rsidRPr="00CA32AA">
                <w:rPr>
                  <w:rStyle w:val="Hyperlink"/>
                  <w:b/>
                  <w:bCs/>
                  <w:sz w:val="24"/>
                  <w:lang w:val="en"/>
                </w:rPr>
                <w:t>IPSN tool</w:t>
              </w:r>
            </w:hyperlink>
            <w:r w:rsidRPr="00CA32AA">
              <w:rPr>
                <w:b/>
                <w:bCs/>
                <w:sz w:val="24"/>
                <w:lang w:val="en"/>
              </w:rPr>
              <w:t>)</w:t>
            </w:r>
            <w:r w:rsidRPr="00CA32AA">
              <w:rPr>
                <w:sz w:val="24"/>
                <w:lang w:val="en"/>
              </w:rPr>
              <w:t xml:space="preserve"> to support Member States. The tool lists indicators which officials involved in the asylum procedure and reception can use to spot possible vulnerabilities, even if they do not have expert knowledge in medicine, psychology or related fields. Based on the EASO tool, the </w:t>
            </w:r>
            <w:r w:rsidRPr="00CA32AA">
              <w:rPr>
                <w:b/>
                <w:sz w:val="24"/>
                <w:lang w:val="en"/>
              </w:rPr>
              <w:t>Bulgarian</w:t>
            </w:r>
            <w:r w:rsidRPr="00CA32AA">
              <w:rPr>
                <w:sz w:val="24"/>
                <w:lang w:val="en"/>
              </w:rPr>
              <w:t xml:space="preserve"> State Agency for Refugees (SAR) will introduce a specific instrument to identify vulnerable asylum seekers, including asylum seekers with disabilities, later in 2016.</w:t>
            </w:r>
          </w:p>
        </w:tc>
      </w:tr>
    </w:tbl>
    <w:p w14:paraId="0F038C61" w14:textId="765962DC" w:rsidR="00CA32AA" w:rsidRDefault="00CA32AA" w:rsidP="00B37D35">
      <w:pPr>
        <w:spacing w:after="0"/>
        <w:rPr>
          <w:sz w:val="24"/>
          <w:lang w:val="en"/>
        </w:rPr>
      </w:pPr>
      <w:r>
        <w:rPr>
          <w:sz w:val="24"/>
          <w:lang w:val="en"/>
        </w:rPr>
        <w:lastRenderedPageBreak/>
        <w:t>“</w:t>
      </w:r>
      <w:r w:rsidRPr="00CA32AA">
        <w:rPr>
          <w:sz w:val="24"/>
          <w:lang w:val="en"/>
        </w:rPr>
        <w:t xml:space="preserve">The variety of identification practices means that in practice different actors are involved in identifying persons with disabilities. In </w:t>
      </w:r>
      <w:r w:rsidRPr="00CA32AA">
        <w:rPr>
          <w:b/>
          <w:sz w:val="24"/>
          <w:lang w:val="en"/>
        </w:rPr>
        <w:t>Bulgaria</w:t>
      </w:r>
      <w:r w:rsidRPr="00CA32AA">
        <w:rPr>
          <w:sz w:val="24"/>
          <w:lang w:val="en"/>
        </w:rPr>
        <w:t xml:space="preserve">, identification of people with disabilities is shared among local NGOs, UNHCR and social workers from the </w:t>
      </w:r>
      <w:r w:rsidRPr="00CA32AA">
        <w:rPr>
          <w:b/>
          <w:sz w:val="24"/>
          <w:lang w:val="en"/>
        </w:rPr>
        <w:t>Bulgarian</w:t>
      </w:r>
      <w:r w:rsidRPr="00CA32AA">
        <w:rPr>
          <w:sz w:val="24"/>
          <w:lang w:val="en"/>
        </w:rPr>
        <w:t xml:space="preserve"> State Agency for Refugees. However, border and migration police authorities can perform initial identification, while the interviewer and doctors can do the initial identification for those who arrive directly at the reception and registration centres.</w:t>
      </w:r>
      <w:r>
        <w:rPr>
          <w:sz w:val="24"/>
          <w:lang w:val="en"/>
        </w:rPr>
        <w:t>”</w:t>
      </w:r>
    </w:p>
    <w:p w14:paraId="3528B94C" w14:textId="4FF0934D" w:rsidR="00CA32AA" w:rsidRDefault="00CA32AA" w:rsidP="00B37D35">
      <w:pPr>
        <w:spacing w:after="0"/>
        <w:rPr>
          <w:sz w:val="24"/>
          <w:lang w:val="en"/>
        </w:rPr>
      </w:pPr>
      <w:r>
        <w:rPr>
          <w:sz w:val="24"/>
          <w:lang w:val="en"/>
        </w:rPr>
        <w:t>“</w:t>
      </w:r>
      <w:r w:rsidRPr="00CA32AA">
        <w:rPr>
          <w:sz w:val="24"/>
          <w:lang w:val="en"/>
        </w:rPr>
        <w:t xml:space="preserve">The gender, age and nationality of individuals identified as having a disability varies considerably. In Greece, mental health issues are most prevalent among women and children, most of whom come from Afghanistan and Syria. In Austria, staff working in federal basic care facilities report that psychosocial disabilities occur most often among young males and unaccompanied children. In contrast, </w:t>
      </w:r>
      <w:r w:rsidRPr="00CA32AA">
        <w:rPr>
          <w:b/>
          <w:sz w:val="24"/>
          <w:lang w:val="en"/>
        </w:rPr>
        <w:t>Bulgarian</w:t>
      </w:r>
      <w:r w:rsidRPr="00CA32AA">
        <w:rPr>
          <w:sz w:val="24"/>
          <w:lang w:val="en"/>
        </w:rPr>
        <w:t xml:space="preserve"> Red Cross activists have not identified any mental health issues among children.</w:t>
      </w:r>
      <w:r>
        <w:rPr>
          <w:sz w:val="24"/>
          <w:lang w:val="en"/>
        </w:rPr>
        <w:t>”</w:t>
      </w:r>
    </w:p>
    <w:p w14:paraId="6978876F" w14:textId="328FE85B" w:rsidR="00CA32AA" w:rsidRPr="00CA32AA" w:rsidRDefault="00CA32AA" w:rsidP="00B37D35">
      <w:pPr>
        <w:spacing w:after="0"/>
        <w:rPr>
          <w:sz w:val="24"/>
        </w:rPr>
      </w:pPr>
      <w:r>
        <w:rPr>
          <w:sz w:val="24"/>
          <w:lang w:val="en"/>
        </w:rPr>
        <w:t>“</w:t>
      </w:r>
      <w:r w:rsidRPr="00CA32AA">
        <w:rPr>
          <w:bCs/>
          <w:sz w:val="24"/>
          <w:lang w:val="en"/>
        </w:rPr>
        <w:t>Some basic assistive devices such as wheelchairs, canes, ramps and crutches are available in reception centres and detention centres in all of the seven Member States.</w:t>
      </w:r>
      <w:r w:rsidRPr="00CA32AA">
        <w:rPr>
          <w:sz w:val="24"/>
          <w:lang w:val="en"/>
        </w:rPr>
        <w:t xml:space="preserve"> In </w:t>
      </w:r>
      <w:r w:rsidRPr="00CA32AA">
        <w:rPr>
          <w:b/>
          <w:sz w:val="24"/>
          <w:lang w:val="en"/>
        </w:rPr>
        <w:t>Bulgaria</w:t>
      </w:r>
      <w:r w:rsidRPr="00CA32AA">
        <w:rPr>
          <w:sz w:val="24"/>
          <w:lang w:val="en"/>
        </w:rPr>
        <w:t>, the Bulgarian State Agency for Refugees sometimes provides them directly, while in Austria asylum seekers’ health insurance covers basic technical assistive devices.</w:t>
      </w:r>
      <w:r>
        <w:rPr>
          <w:sz w:val="24"/>
          <w:lang w:val="en"/>
        </w:rPr>
        <w:t>”</w:t>
      </w:r>
    </w:p>
    <w:p w14:paraId="1B115C3F" w14:textId="3992B4B3" w:rsidR="00CA32AA" w:rsidRDefault="00CA32AA" w:rsidP="00B37D35">
      <w:pPr>
        <w:pStyle w:val="Default"/>
        <w:rPr>
          <w:rFonts w:asciiTheme="minorHAnsi" w:hAnsiTheme="minorHAnsi"/>
          <w:lang w:val="en"/>
        </w:rPr>
      </w:pPr>
      <w:r w:rsidRPr="00CA32AA">
        <w:rPr>
          <w:rFonts w:asciiTheme="minorHAnsi" w:hAnsiTheme="minorHAnsi"/>
        </w:rPr>
        <w:t>“</w:t>
      </w:r>
      <w:r w:rsidRPr="00CA32AA">
        <w:rPr>
          <w:rFonts w:asciiTheme="minorHAnsi" w:hAnsiTheme="minorHAnsi"/>
          <w:lang w:val="en"/>
        </w:rPr>
        <w:t xml:space="preserve">Overall, </w:t>
      </w:r>
      <w:r w:rsidRPr="00CA32AA">
        <w:rPr>
          <w:rFonts w:asciiTheme="minorHAnsi" w:hAnsiTheme="minorHAnsi"/>
          <w:bCs/>
          <w:lang w:val="en"/>
        </w:rPr>
        <w:t>evidence suggests there is limited access to healthcare services beyond emergency.</w:t>
      </w:r>
      <w:r w:rsidRPr="00CA32AA">
        <w:rPr>
          <w:rFonts w:asciiTheme="minorHAnsi" w:hAnsiTheme="minorHAnsi"/>
          <w:lang w:val="en"/>
        </w:rPr>
        <w:t xml:space="preserve"> In the longer term, the </w:t>
      </w:r>
      <w:r w:rsidRPr="00CA32AA">
        <w:rPr>
          <w:rFonts w:asciiTheme="minorHAnsi" w:hAnsiTheme="minorHAnsi"/>
          <w:b/>
          <w:lang w:val="en"/>
        </w:rPr>
        <w:t>Bulgarian</w:t>
      </w:r>
      <w:r w:rsidRPr="00CA32AA">
        <w:rPr>
          <w:rFonts w:asciiTheme="minorHAnsi" w:hAnsiTheme="minorHAnsi"/>
          <w:lang w:val="en"/>
        </w:rPr>
        <w:t xml:space="preserve"> State Agency for Refugees indicates that people with long-term disabilities can access benefits under legislation on integrating people with disabilities. The agency and the Bulgarian Red Cross have referred persons with disabilities to disability certification authorities, supplying them with accompanying persons, interpreters and transport.”</w:t>
      </w:r>
    </w:p>
    <w:p w14:paraId="6123E846" w14:textId="50661C29" w:rsidR="00CA32AA" w:rsidRDefault="00CA32AA" w:rsidP="00B37D35">
      <w:pPr>
        <w:pStyle w:val="Default"/>
        <w:rPr>
          <w:rFonts w:asciiTheme="minorHAnsi" w:hAnsiTheme="minorHAnsi"/>
          <w:lang w:val="en"/>
        </w:rPr>
      </w:pPr>
      <w:r>
        <w:rPr>
          <w:rFonts w:asciiTheme="minorHAnsi" w:hAnsiTheme="minorHAnsi"/>
          <w:lang w:val="en"/>
        </w:rPr>
        <w:t>“</w:t>
      </w:r>
      <w:r w:rsidRPr="00CA32AA">
        <w:rPr>
          <w:rFonts w:asciiTheme="minorHAnsi" w:hAnsiTheme="minorHAnsi"/>
          <w:lang w:val="en"/>
        </w:rPr>
        <w:t xml:space="preserve">Aside from general professional training for health practitioners, social workers and others, </w:t>
      </w:r>
      <w:r w:rsidRPr="00CA32AA">
        <w:rPr>
          <w:rFonts w:asciiTheme="minorHAnsi" w:hAnsiTheme="minorHAnsi"/>
          <w:bCs/>
          <w:lang w:val="en"/>
        </w:rPr>
        <w:t>there is little in the way of targeted training on the needs of people with disabilities for staff of reception and detention facilities</w:t>
      </w:r>
      <w:r w:rsidRPr="00CA32AA">
        <w:rPr>
          <w:rFonts w:asciiTheme="minorHAnsi" w:hAnsiTheme="minorHAnsi"/>
          <w:lang w:val="en"/>
        </w:rPr>
        <w:t xml:space="preserve">. Training on the needs of people with disabilities often falls under the wider umbrella of training on ‘vulnerable’ groups. NGOs in </w:t>
      </w:r>
      <w:r w:rsidRPr="00CA32AA">
        <w:rPr>
          <w:rFonts w:asciiTheme="minorHAnsi" w:hAnsiTheme="minorHAnsi"/>
          <w:b/>
          <w:lang w:val="en"/>
        </w:rPr>
        <w:t>Bulgaria</w:t>
      </w:r>
      <w:r w:rsidRPr="00CA32AA">
        <w:rPr>
          <w:rFonts w:asciiTheme="minorHAnsi" w:hAnsiTheme="minorHAnsi"/>
          <w:lang w:val="en"/>
        </w:rPr>
        <w:t xml:space="preserve"> and Hungary have also developed trainings for staff of reception and detention facilities.</w:t>
      </w:r>
      <w:r>
        <w:rPr>
          <w:rFonts w:asciiTheme="minorHAnsi" w:hAnsiTheme="minorHAnsi"/>
          <w:lang w:val="en"/>
        </w:rPr>
        <w:t>”</w:t>
      </w:r>
    </w:p>
    <w:p w14:paraId="0BB16AA6" w14:textId="77777777" w:rsidR="00FF03F8" w:rsidRDefault="00FF03F8" w:rsidP="00B37D35">
      <w:pPr>
        <w:pStyle w:val="Default"/>
        <w:rPr>
          <w:rFonts w:asciiTheme="minorHAnsi" w:hAnsiTheme="minorHAnsi"/>
          <w:lang w:val="en"/>
        </w:rPr>
      </w:pPr>
    </w:p>
    <w:p w14:paraId="30E6A88C" w14:textId="77777777" w:rsidR="00FF03F8" w:rsidRDefault="00FF03F8" w:rsidP="00FF03F8">
      <w:pPr>
        <w:pStyle w:val="Heading2"/>
        <w:ind w:left="939"/>
      </w:pPr>
      <w:bookmarkStart w:id="28" w:name="_Toc518293499"/>
      <w:r w:rsidRPr="00FF03F8">
        <w:t>Rights of suspected and accused persons across the EU: translation, interpretation and information</w:t>
      </w:r>
      <w:r>
        <w:t xml:space="preserve"> (2016)</w:t>
      </w:r>
      <w:bookmarkEnd w:id="28"/>
    </w:p>
    <w:p w14:paraId="1BDCD954" w14:textId="77777777" w:rsidR="00FF03F8" w:rsidRDefault="00FF03F8" w:rsidP="00FF03F8">
      <w:pPr>
        <w:spacing w:after="0"/>
        <w:rPr>
          <w:sz w:val="24"/>
          <w:lang w:val="en"/>
        </w:rPr>
      </w:pPr>
      <w:r w:rsidRPr="007637C6">
        <w:rPr>
          <w:sz w:val="24"/>
          <w:lang w:val="en"/>
        </w:rPr>
        <w:t>For more information:</w:t>
      </w:r>
      <w:r>
        <w:rPr>
          <w:sz w:val="24"/>
          <w:lang w:val="en"/>
        </w:rPr>
        <w:t xml:space="preserve"> </w:t>
      </w:r>
      <w:hyperlink r:id="rId40" w:history="1">
        <w:r w:rsidRPr="006B145E">
          <w:rPr>
            <w:rStyle w:val="Hyperlink"/>
            <w:sz w:val="24"/>
            <w:lang w:val="en"/>
          </w:rPr>
          <w:t>http://fra.europa.eu/en/publication/2016/rights-suspected-and-accused-persons-across-eu-translation-interpretation-and</w:t>
        </w:r>
      </w:hyperlink>
      <w:r>
        <w:rPr>
          <w:sz w:val="24"/>
          <w:lang w:val="en"/>
        </w:rPr>
        <w:t xml:space="preserve"> .</w:t>
      </w:r>
    </w:p>
    <w:p w14:paraId="117100EB" w14:textId="18EA4A8B" w:rsidR="00FF03F8" w:rsidRDefault="00FF03F8" w:rsidP="00B37D35">
      <w:pPr>
        <w:pStyle w:val="Default"/>
        <w:rPr>
          <w:rFonts w:asciiTheme="minorHAnsi" w:hAnsiTheme="minorHAnsi"/>
          <w:lang w:val="en"/>
        </w:rPr>
      </w:pPr>
      <w:r>
        <w:rPr>
          <w:noProof/>
          <w:lang w:eastAsia="en-IE"/>
        </w:rPr>
        <w:drawing>
          <wp:inline distT="0" distB="0" distL="0" distR="0" wp14:anchorId="0B5A5F57" wp14:editId="250849FA">
            <wp:extent cx="2722219" cy="31527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PD10.PNG"/>
                    <pic:cNvPicPr/>
                  </pic:nvPicPr>
                  <pic:blipFill>
                    <a:blip r:embed="rId41">
                      <a:extLst>
                        <a:ext uri="{28A0092B-C50C-407E-A947-70E740481C1C}">
                          <a14:useLocalDpi xmlns:a14="http://schemas.microsoft.com/office/drawing/2010/main" val="0"/>
                        </a:ext>
                      </a:extLst>
                    </a:blip>
                    <a:stretch>
                      <a:fillRect/>
                    </a:stretch>
                  </pic:blipFill>
                  <pic:spPr>
                    <a:xfrm>
                      <a:off x="0" y="0"/>
                      <a:ext cx="2727777" cy="3159212"/>
                    </a:xfrm>
                    <a:prstGeom prst="rect">
                      <a:avLst/>
                    </a:prstGeom>
                  </pic:spPr>
                </pic:pic>
              </a:graphicData>
            </a:graphic>
          </wp:inline>
        </w:drawing>
      </w:r>
      <w:r>
        <w:t xml:space="preserve">   (p. 72)</w:t>
      </w:r>
    </w:p>
    <w:p w14:paraId="25CF3328" w14:textId="77777777" w:rsidR="00FF03F8" w:rsidRDefault="00FF03F8" w:rsidP="00B37D35">
      <w:pPr>
        <w:pStyle w:val="Default"/>
        <w:rPr>
          <w:rFonts w:asciiTheme="minorHAnsi" w:hAnsiTheme="minorHAnsi"/>
          <w:lang w:val="en"/>
        </w:rPr>
      </w:pPr>
    </w:p>
    <w:p w14:paraId="645B8D76" w14:textId="77777777" w:rsidR="00FF03F8" w:rsidRPr="007637C6" w:rsidRDefault="00FF03F8" w:rsidP="00FF03F8">
      <w:pPr>
        <w:pStyle w:val="Heading2"/>
        <w:ind w:left="939"/>
      </w:pPr>
      <w:bookmarkStart w:id="29" w:name="_Toc518293500"/>
      <w:r w:rsidRPr="007637C6">
        <w:t>Inequalities and multiple discrimination in access to and quality of healthcare (2013)</w:t>
      </w:r>
      <w:bookmarkEnd w:id="29"/>
    </w:p>
    <w:p w14:paraId="274ED497" w14:textId="77777777" w:rsidR="00FF03F8" w:rsidRPr="007637C6" w:rsidRDefault="00FF03F8" w:rsidP="00FF03F8">
      <w:pPr>
        <w:spacing w:after="0"/>
        <w:rPr>
          <w:sz w:val="24"/>
          <w:lang w:val="en"/>
        </w:rPr>
      </w:pPr>
      <w:r w:rsidRPr="007637C6">
        <w:rPr>
          <w:sz w:val="24"/>
          <w:lang w:val="en"/>
        </w:rPr>
        <w:t xml:space="preserve">The report includes information regarding Bulgaria, these excerpts are just a selection. For more information: </w:t>
      </w:r>
      <w:hyperlink r:id="rId42" w:history="1">
        <w:r w:rsidRPr="007637C6">
          <w:rPr>
            <w:rStyle w:val="Hyperlink"/>
            <w:color w:val="auto"/>
            <w:sz w:val="24"/>
            <w:lang w:val="en"/>
          </w:rPr>
          <w:t>http://fra.europa.eu/en/publication/2013/inequalities-discrimination-healthcare</w:t>
        </w:r>
      </w:hyperlink>
      <w:r w:rsidRPr="007637C6">
        <w:rPr>
          <w:rStyle w:val="Hyperlink"/>
          <w:color w:val="auto"/>
          <w:sz w:val="24"/>
          <w:u w:val="none"/>
          <w:lang w:val="en"/>
        </w:rPr>
        <w:t>. Also available in easy-to-read:</w:t>
      </w:r>
      <w:r w:rsidRPr="007637C6">
        <w:t xml:space="preserve"> </w:t>
      </w:r>
      <w:hyperlink r:id="rId43" w:history="1">
        <w:r w:rsidRPr="0059497C">
          <w:rPr>
            <w:rStyle w:val="Hyperlink"/>
            <w:sz w:val="24"/>
            <w:lang w:val="en"/>
          </w:rPr>
          <w:t>http://fra.europa.eu/en/publication/2013/how-people-are-treated-differently-healthcare</w:t>
        </w:r>
      </w:hyperlink>
      <w:r w:rsidRPr="007637C6">
        <w:rPr>
          <w:rStyle w:val="Hyperlink"/>
          <w:color w:val="auto"/>
          <w:sz w:val="24"/>
          <w:u w:val="none"/>
          <w:lang w:val="en"/>
        </w:rPr>
        <w:t>.</w:t>
      </w:r>
      <w:r w:rsidRPr="007637C6">
        <w:rPr>
          <w:sz w:val="24"/>
          <w:lang w:val="en"/>
        </w:rPr>
        <w:t xml:space="preserve"> </w:t>
      </w:r>
    </w:p>
    <w:p w14:paraId="163E6DD7" w14:textId="77777777" w:rsidR="00FF03F8" w:rsidRDefault="00FF03F8" w:rsidP="00FF03F8">
      <w:pPr>
        <w:pStyle w:val="Pa4"/>
        <w:rPr>
          <w:rFonts w:asciiTheme="minorHAnsi" w:cs="DaxlinePro-Regular"/>
          <w:color w:val="000000"/>
        </w:rPr>
      </w:pPr>
      <w:r w:rsidRPr="007637C6">
        <w:rPr>
          <w:rFonts w:asciiTheme="minorHAnsi" w:cs="DaxlinePro-Regular"/>
          <w:color w:val="000000"/>
        </w:rPr>
        <w:t xml:space="preserve">“According to the FRA Annual Report, in 2011 only six (Austria, </w:t>
      </w:r>
      <w:r w:rsidRPr="007637C6">
        <w:rPr>
          <w:rFonts w:asciiTheme="minorHAnsi" w:cs="DaxlinePro-Regular"/>
          <w:b/>
          <w:color w:val="000000"/>
        </w:rPr>
        <w:t>Bulgaria</w:t>
      </w:r>
      <w:r w:rsidRPr="007637C6">
        <w:rPr>
          <w:rFonts w:asciiTheme="minorHAnsi" w:cs="DaxlinePro-Regular"/>
          <w:color w:val="000000"/>
        </w:rPr>
        <w:t>, Germany, Greece, Italy and Romania) out of 27 EU Member States covered ‘multiple discrimi</w:t>
      </w:r>
      <w:r w:rsidRPr="007637C6">
        <w:rPr>
          <w:rFonts w:asciiTheme="minorHAnsi" w:cs="DaxlinePro-Regular"/>
          <w:color w:val="000000"/>
        </w:rPr>
        <w:softHyphen/>
        <w:t>nation’ or ‘discrimination on more than one ground’ in their legislation.” (p</w:t>
      </w:r>
      <w:r>
        <w:rPr>
          <w:rFonts w:asciiTheme="minorHAnsi" w:cs="DaxlinePro-Regular"/>
          <w:color w:val="000000"/>
        </w:rPr>
        <w:t xml:space="preserve">. </w:t>
      </w:r>
      <w:r w:rsidRPr="007637C6">
        <w:rPr>
          <w:rFonts w:asciiTheme="minorHAnsi" w:cs="DaxlinePro-Regular"/>
          <w:color w:val="000000"/>
        </w:rPr>
        <w:t>25)</w:t>
      </w:r>
    </w:p>
    <w:p w14:paraId="51EB6EAA" w14:textId="77777777" w:rsidR="00FF03F8" w:rsidRPr="00CA32AA" w:rsidRDefault="00FF03F8" w:rsidP="00B37D35">
      <w:pPr>
        <w:pStyle w:val="Default"/>
        <w:rPr>
          <w:rFonts w:asciiTheme="minorHAnsi" w:hAnsiTheme="minorHAnsi"/>
        </w:rPr>
      </w:pPr>
    </w:p>
    <w:sectPr w:rsidR="00FF03F8" w:rsidRPr="00CA32AA" w:rsidSect="00600164">
      <w:footerReference w:type="default" r:id="rId4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5B5E8A" w14:textId="77777777" w:rsidR="00B37D35" w:rsidRDefault="00B37D35" w:rsidP="00965BA3">
      <w:pPr>
        <w:spacing w:after="0"/>
      </w:pPr>
      <w:r>
        <w:separator/>
      </w:r>
    </w:p>
  </w:endnote>
  <w:endnote w:type="continuationSeparator" w:id="0">
    <w:p w14:paraId="1E4B8C25" w14:textId="77777777" w:rsidR="00B37D35" w:rsidRDefault="00B37D35" w:rsidP="00965BA3">
      <w:pPr>
        <w:spacing w:after="0"/>
      </w:pPr>
      <w:r>
        <w:continuationSeparator/>
      </w:r>
    </w:p>
  </w:endnote>
  <w:endnote w:type="continuationNotice" w:id="1">
    <w:p w14:paraId="2DB96C9E" w14:textId="77777777" w:rsidR="00B37D35" w:rsidRDefault="00B37D3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axlinePro-Regular">
    <w:altName w:val="DaxlinePro-Regular"/>
    <w:panose1 w:val="00000000000000000000"/>
    <w:charset w:val="00"/>
    <w:family w:val="moder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DaxlinePro-RegularItalic">
    <w:altName w:val="DaxlinePro-RegularItalic"/>
    <w:panose1 w:val="00000000000000000000"/>
    <w:charset w:val="00"/>
    <w:family w:val="swiss"/>
    <w:notTrueType/>
    <w:pitch w:val="default"/>
    <w:sig w:usb0="00000007" w:usb1="00000000" w:usb2="00000000" w:usb3="00000000" w:csb0="00000003" w:csb1="00000000"/>
  </w:font>
  <w:font w:name="Daxline Offc Pro">
    <w:panose1 w:val="020B0504020101020102"/>
    <w:charset w:val="00"/>
    <w:family w:val="swiss"/>
    <w:pitch w:val="variable"/>
    <w:sig w:usb0="A00002FF" w:usb1="4000A4FB" w:usb2="00000000" w:usb3="00000000" w:csb0="0000009F" w:csb1="00000000"/>
  </w:font>
  <w:font w:name="DaxlinePro-Bold">
    <w:altName w:val="DaxlinePro-Bold"/>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3068318"/>
      <w:docPartObj>
        <w:docPartGallery w:val="Page Numbers (Bottom of Page)"/>
        <w:docPartUnique/>
      </w:docPartObj>
    </w:sdtPr>
    <w:sdtEndPr>
      <w:rPr>
        <w:noProof/>
      </w:rPr>
    </w:sdtEndPr>
    <w:sdtContent>
      <w:p w14:paraId="004920C8" w14:textId="62A662BC" w:rsidR="00B37D35" w:rsidRDefault="00B37D35">
        <w:pPr>
          <w:pStyle w:val="Footer"/>
          <w:jc w:val="right"/>
        </w:pPr>
        <w:r>
          <w:fldChar w:fldCharType="begin"/>
        </w:r>
        <w:r>
          <w:instrText xml:space="preserve"> PAGE   \* MERGEFORMAT </w:instrText>
        </w:r>
        <w:r>
          <w:fldChar w:fldCharType="separate"/>
        </w:r>
        <w:r w:rsidR="00FF03F8">
          <w:rPr>
            <w:noProof/>
          </w:rPr>
          <w:t>2</w:t>
        </w:r>
        <w:r>
          <w:rPr>
            <w:noProof/>
          </w:rPr>
          <w:fldChar w:fldCharType="end"/>
        </w:r>
      </w:p>
    </w:sdtContent>
  </w:sdt>
  <w:p w14:paraId="611E7F29" w14:textId="77777777" w:rsidR="00B37D35" w:rsidRDefault="00B37D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22206E" w14:textId="77777777" w:rsidR="00B37D35" w:rsidRDefault="00B37D35" w:rsidP="00965BA3">
      <w:pPr>
        <w:spacing w:after="0"/>
      </w:pPr>
      <w:r>
        <w:separator/>
      </w:r>
    </w:p>
  </w:footnote>
  <w:footnote w:type="continuationSeparator" w:id="0">
    <w:p w14:paraId="5E7FCD63" w14:textId="77777777" w:rsidR="00B37D35" w:rsidRDefault="00B37D35" w:rsidP="00965BA3">
      <w:pPr>
        <w:spacing w:after="0"/>
      </w:pPr>
      <w:r>
        <w:continuationSeparator/>
      </w:r>
    </w:p>
  </w:footnote>
  <w:footnote w:type="continuationNotice" w:id="1">
    <w:p w14:paraId="112A09E6" w14:textId="77777777" w:rsidR="00B37D35" w:rsidRDefault="00B37D35">
      <w:pPr>
        <w:spacing w:after="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87614"/>
    <w:multiLevelType w:val="hybridMultilevel"/>
    <w:tmpl w:val="A4E213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846A7"/>
    <w:multiLevelType w:val="hybridMultilevel"/>
    <w:tmpl w:val="8C3C40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E20E4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A867F2"/>
    <w:multiLevelType w:val="hybridMultilevel"/>
    <w:tmpl w:val="D92C1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325CF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1427"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EFD4BA6"/>
    <w:multiLevelType w:val="hybridMultilevel"/>
    <w:tmpl w:val="BAFE1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2A4F8B"/>
    <w:multiLevelType w:val="hybridMultilevel"/>
    <w:tmpl w:val="8C3C40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843F30"/>
    <w:multiLevelType w:val="hybridMultilevel"/>
    <w:tmpl w:val="9E746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832CE7"/>
    <w:multiLevelType w:val="hybridMultilevel"/>
    <w:tmpl w:val="ADBC73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3B3FCB"/>
    <w:multiLevelType w:val="multilevel"/>
    <w:tmpl w:val="5F98A73E"/>
    <w:lvl w:ilvl="0">
      <w:start w:val="1"/>
      <w:numFmt w:val="decimal"/>
      <w:lvlText w:val="%1"/>
      <w:lvlJc w:val="left"/>
      <w:pPr>
        <w:ind w:left="432" w:hanging="432"/>
      </w:pPr>
    </w:lvl>
    <w:lvl w:ilvl="1">
      <w:start w:val="1"/>
      <w:numFmt w:val="decimal"/>
      <w:lvlText w:val="%1.%2"/>
      <w:lvlJc w:val="left"/>
      <w:pPr>
        <w:ind w:left="860" w:hanging="576"/>
      </w:pPr>
      <w:rPr>
        <w:rFonts w:asciiTheme="minorHAnsi" w:hAnsiTheme="minorHAnsi"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4D6841DE"/>
    <w:multiLevelType w:val="hybridMultilevel"/>
    <w:tmpl w:val="9E746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5590B0C"/>
    <w:multiLevelType w:val="hybridMultilevel"/>
    <w:tmpl w:val="2EA027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3A044A"/>
    <w:multiLevelType w:val="hybridMultilevel"/>
    <w:tmpl w:val="E8882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E925C7"/>
    <w:multiLevelType w:val="hybridMultilevel"/>
    <w:tmpl w:val="01EE7C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291F70"/>
    <w:multiLevelType w:val="multilevel"/>
    <w:tmpl w:val="8C8432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2"/>
  </w:num>
  <w:num w:numId="2">
    <w:abstractNumId w:val="6"/>
  </w:num>
  <w:num w:numId="3">
    <w:abstractNumId w:val="1"/>
  </w:num>
  <w:num w:numId="4">
    <w:abstractNumId w:val="3"/>
  </w:num>
  <w:num w:numId="5">
    <w:abstractNumId w:val="14"/>
  </w:num>
  <w:num w:numId="6">
    <w:abstractNumId w:val="2"/>
  </w:num>
  <w:num w:numId="7">
    <w:abstractNumId w:val="5"/>
  </w:num>
  <w:num w:numId="8">
    <w:abstractNumId w:val="8"/>
  </w:num>
  <w:num w:numId="9">
    <w:abstractNumId w:val="13"/>
  </w:num>
  <w:num w:numId="10">
    <w:abstractNumId w:val="9"/>
  </w:num>
  <w:num w:numId="11">
    <w:abstractNumId w:val="0"/>
  </w:num>
  <w:num w:numId="12">
    <w:abstractNumId w:val="11"/>
  </w:num>
  <w:num w:numId="13">
    <w:abstractNumId w:val="10"/>
  </w:num>
  <w:num w:numId="14">
    <w:abstractNumId w:val="4"/>
  </w:num>
  <w:num w:numId="15">
    <w:abstractNumId w:val="7"/>
  </w:num>
  <w:num w:numId="16">
    <w:abstractNumId w:val="4"/>
  </w:num>
  <w:num w:numId="17">
    <w:abstractNumId w:val="4"/>
  </w:num>
  <w:num w:numId="18">
    <w:abstractNumId w:val="4"/>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FAA"/>
    <w:rsid w:val="00016A70"/>
    <w:rsid w:val="000206A4"/>
    <w:rsid w:val="00036F2B"/>
    <w:rsid w:val="00042065"/>
    <w:rsid w:val="00054F8C"/>
    <w:rsid w:val="00057A2A"/>
    <w:rsid w:val="00077123"/>
    <w:rsid w:val="00080A14"/>
    <w:rsid w:val="00084AD9"/>
    <w:rsid w:val="00085181"/>
    <w:rsid w:val="00097ADB"/>
    <w:rsid w:val="000A6661"/>
    <w:rsid w:val="000B2AF6"/>
    <w:rsid w:val="000B7126"/>
    <w:rsid w:val="000C05D5"/>
    <w:rsid w:val="000D23FE"/>
    <w:rsid w:val="000D7027"/>
    <w:rsid w:val="000F4194"/>
    <w:rsid w:val="000F7C63"/>
    <w:rsid w:val="00103312"/>
    <w:rsid w:val="001114EE"/>
    <w:rsid w:val="00116E00"/>
    <w:rsid w:val="00116EA9"/>
    <w:rsid w:val="0012027F"/>
    <w:rsid w:val="00120DCE"/>
    <w:rsid w:val="00127721"/>
    <w:rsid w:val="001308E6"/>
    <w:rsid w:val="001603EA"/>
    <w:rsid w:val="00161C83"/>
    <w:rsid w:val="00172A85"/>
    <w:rsid w:val="001A1196"/>
    <w:rsid w:val="001A2786"/>
    <w:rsid w:val="001B79F3"/>
    <w:rsid w:val="001B7A00"/>
    <w:rsid w:val="001C03A7"/>
    <w:rsid w:val="001C34B1"/>
    <w:rsid w:val="001D6F6A"/>
    <w:rsid w:val="001E2A54"/>
    <w:rsid w:val="001F003F"/>
    <w:rsid w:val="001F18DB"/>
    <w:rsid w:val="001F2AC3"/>
    <w:rsid w:val="001F48E9"/>
    <w:rsid w:val="0020630F"/>
    <w:rsid w:val="0022202D"/>
    <w:rsid w:val="002431F6"/>
    <w:rsid w:val="0024644A"/>
    <w:rsid w:val="00280DA0"/>
    <w:rsid w:val="00281962"/>
    <w:rsid w:val="00290D06"/>
    <w:rsid w:val="002A1817"/>
    <w:rsid w:val="002A31CD"/>
    <w:rsid w:val="002A3F72"/>
    <w:rsid w:val="002A4F35"/>
    <w:rsid w:val="002A6648"/>
    <w:rsid w:val="002B0997"/>
    <w:rsid w:val="002B32EB"/>
    <w:rsid w:val="002B63DB"/>
    <w:rsid w:val="002C5F83"/>
    <w:rsid w:val="002D208F"/>
    <w:rsid w:val="002D2434"/>
    <w:rsid w:val="002D2A11"/>
    <w:rsid w:val="002D605B"/>
    <w:rsid w:val="002D6C99"/>
    <w:rsid w:val="002E1549"/>
    <w:rsid w:val="002E2E4A"/>
    <w:rsid w:val="002F654F"/>
    <w:rsid w:val="00304462"/>
    <w:rsid w:val="003100A5"/>
    <w:rsid w:val="00312560"/>
    <w:rsid w:val="00324FD0"/>
    <w:rsid w:val="003331A0"/>
    <w:rsid w:val="0033559A"/>
    <w:rsid w:val="00336068"/>
    <w:rsid w:val="0033695C"/>
    <w:rsid w:val="0036562B"/>
    <w:rsid w:val="003736F1"/>
    <w:rsid w:val="00374510"/>
    <w:rsid w:val="00375561"/>
    <w:rsid w:val="00375FB8"/>
    <w:rsid w:val="00376E84"/>
    <w:rsid w:val="00380471"/>
    <w:rsid w:val="00380FE9"/>
    <w:rsid w:val="003815E1"/>
    <w:rsid w:val="003878DD"/>
    <w:rsid w:val="00392DA1"/>
    <w:rsid w:val="003A1126"/>
    <w:rsid w:val="003C03EB"/>
    <w:rsid w:val="003E161E"/>
    <w:rsid w:val="003E2F60"/>
    <w:rsid w:val="003F69A1"/>
    <w:rsid w:val="003F6DD5"/>
    <w:rsid w:val="00401692"/>
    <w:rsid w:val="004111B9"/>
    <w:rsid w:val="00413D35"/>
    <w:rsid w:val="00435FEA"/>
    <w:rsid w:val="00437E3E"/>
    <w:rsid w:val="0045101D"/>
    <w:rsid w:val="00454CBC"/>
    <w:rsid w:val="00464CC5"/>
    <w:rsid w:val="00467184"/>
    <w:rsid w:val="00473A78"/>
    <w:rsid w:val="00473CF9"/>
    <w:rsid w:val="00482353"/>
    <w:rsid w:val="00490274"/>
    <w:rsid w:val="004C24D1"/>
    <w:rsid w:val="004C2E1C"/>
    <w:rsid w:val="004C5ED3"/>
    <w:rsid w:val="004C76B3"/>
    <w:rsid w:val="004E2F2D"/>
    <w:rsid w:val="004F31B8"/>
    <w:rsid w:val="004F65D2"/>
    <w:rsid w:val="004F7947"/>
    <w:rsid w:val="00502B7D"/>
    <w:rsid w:val="0050303F"/>
    <w:rsid w:val="00505457"/>
    <w:rsid w:val="00506713"/>
    <w:rsid w:val="005166B9"/>
    <w:rsid w:val="00523654"/>
    <w:rsid w:val="0052734D"/>
    <w:rsid w:val="0053494C"/>
    <w:rsid w:val="00536146"/>
    <w:rsid w:val="00551C6F"/>
    <w:rsid w:val="00561A3B"/>
    <w:rsid w:val="00565D51"/>
    <w:rsid w:val="00572E10"/>
    <w:rsid w:val="0058187B"/>
    <w:rsid w:val="00587004"/>
    <w:rsid w:val="005914D0"/>
    <w:rsid w:val="005B2460"/>
    <w:rsid w:val="005B48DD"/>
    <w:rsid w:val="005C624E"/>
    <w:rsid w:val="005D7B7A"/>
    <w:rsid w:val="005E073F"/>
    <w:rsid w:val="005F7ACC"/>
    <w:rsid w:val="00600164"/>
    <w:rsid w:val="0060021F"/>
    <w:rsid w:val="00604345"/>
    <w:rsid w:val="00610FE3"/>
    <w:rsid w:val="00615700"/>
    <w:rsid w:val="00625CD3"/>
    <w:rsid w:val="00632135"/>
    <w:rsid w:val="00653906"/>
    <w:rsid w:val="00663115"/>
    <w:rsid w:val="00667B22"/>
    <w:rsid w:val="006A2841"/>
    <w:rsid w:val="006A2B54"/>
    <w:rsid w:val="006A56DA"/>
    <w:rsid w:val="006B7ED6"/>
    <w:rsid w:val="006C1A56"/>
    <w:rsid w:val="006C66FE"/>
    <w:rsid w:val="006E0C35"/>
    <w:rsid w:val="006E0FBB"/>
    <w:rsid w:val="006F4931"/>
    <w:rsid w:val="006F6129"/>
    <w:rsid w:val="00720251"/>
    <w:rsid w:val="007210B1"/>
    <w:rsid w:val="007242D0"/>
    <w:rsid w:val="00732093"/>
    <w:rsid w:val="00733189"/>
    <w:rsid w:val="00737E81"/>
    <w:rsid w:val="007430E6"/>
    <w:rsid w:val="00753796"/>
    <w:rsid w:val="00753828"/>
    <w:rsid w:val="007619A1"/>
    <w:rsid w:val="007637C6"/>
    <w:rsid w:val="007679D6"/>
    <w:rsid w:val="00773E39"/>
    <w:rsid w:val="00773F56"/>
    <w:rsid w:val="00782C1C"/>
    <w:rsid w:val="00785E7B"/>
    <w:rsid w:val="00787290"/>
    <w:rsid w:val="007A6402"/>
    <w:rsid w:val="007A7767"/>
    <w:rsid w:val="007B3C18"/>
    <w:rsid w:val="007C6423"/>
    <w:rsid w:val="007E19AF"/>
    <w:rsid w:val="007F5D0C"/>
    <w:rsid w:val="008152A5"/>
    <w:rsid w:val="008358FD"/>
    <w:rsid w:val="008467E0"/>
    <w:rsid w:val="00871DEB"/>
    <w:rsid w:val="00881E3E"/>
    <w:rsid w:val="008909CB"/>
    <w:rsid w:val="008977B8"/>
    <w:rsid w:val="008A1005"/>
    <w:rsid w:val="008A7B3E"/>
    <w:rsid w:val="008B25C1"/>
    <w:rsid w:val="008B2A5F"/>
    <w:rsid w:val="008C515E"/>
    <w:rsid w:val="008D0CA8"/>
    <w:rsid w:val="008F75AA"/>
    <w:rsid w:val="0090029C"/>
    <w:rsid w:val="00920299"/>
    <w:rsid w:val="009347EA"/>
    <w:rsid w:val="00942DD1"/>
    <w:rsid w:val="0095635D"/>
    <w:rsid w:val="00965BA3"/>
    <w:rsid w:val="00970E41"/>
    <w:rsid w:val="009809C7"/>
    <w:rsid w:val="00982892"/>
    <w:rsid w:val="0098494E"/>
    <w:rsid w:val="00997506"/>
    <w:rsid w:val="009A0C73"/>
    <w:rsid w:val="009A6731"/>
    <w:rsid w:val="009B0584"/>
    <w:rsid w:val="009E7666"/>
    <w:rsid w:val="009F32DE"/>
    <w:rsid w:val="009F7D5A"/>
    <w:rsid w:val="00A034D5"/>
    <w:rsid w:val="00A0373F"/>
    <w:rsid w:val="00A07592"/>
    <w:rsid w:val="00A13095"/>
    <w:rsid w:val="00A13172"/>
    <w:rsid w:val="00A36815"/>
    <w:rsid w:val="00A609A1"/>
    <w:rsid w:val="00A65A89"/>
    <w:rsid w:val="00A7194D"/>
    <w:rsid w:val="00A82561"/>
    <w:rsid w:val="00A833A2"/>
    <w:rsid w:val="00A8362E"/>
    <w:rsid w:val="00AA6458"/>
    <w:rsid w:val="00AA7190"/>
    <w:rsid w:val="00AB3B41"/>
    <w:rsid w:val="00AC0F19"/>
    <w:rsid w:val="00AC75BF"/>
    <w:rsid w:val="00AD1326"/>
    <w:rsid w:val="00AE3ADA"/>
    <w:rsid w:val="00AF5A6F"/>
    <w:rsid w:val="00B044C8"/>
    <w:rsid w:val="00B076C9"/>
    <w:rsid w:val="00B0789D"/>
    <w:rsid w:val="00B11D11"/>
    <w:rsid w:val="00B12F47"/>
    <w:rsid w:val="00B220B7"/>
    <w:rsid w:val="00B2224B"/>
    <w:rsid w:val="00B33FCD"/>
    <w:rsid w:val="00B37BB4"/>
    <w:rsid w:val="00B37D35"/>
    <w:rsid w:val="00B416FD"/>
    <w:rsid w:val="00B41ADB"/>
    <w:rsid w:val="00B43912"/>
    <w:rsid w:val="00B562E3"/>
    <w:rsid w:val="00B609E2"/>
    <w:rsid w:val="00B623DF"/>
    <w:rsid w:val="00B62EB6"/>
    <w:rsid w:val="00B75891"/>
    <w:rsid w:val="00B758EA"/>
    <w:rsid w:val="00B76CA3"/>
    <w:rsid w:val="00B8485D"/>
    <w:rsid w:val="00B85EBC"/>
    <w:rsid w:val="00B95627"/>
    <w:rsid w:val="00BA4824"/>
    <w:rsid w:val="00BA5441"/>
    <w:rsid w:val="00BA726C"/>
    <w:rsid w:val="00BA7ACB"/>
    <w:rsid w:val="00BC019E"/>
    <w:rsid w:val="00BC4D01"/>
    <w:rsid w:val="00BE2BD6"/>
    <w:rsid w:val="00BF550F"/>
    <w:rsid w:val="00C0037B"/>
    <w:rsid w:val="00C1271F"/>
    <w:rsid w:val="00C2590F"/>
    <w:rsid w:val="00C4175B"/>
    <w:rsid w:val="00C4271C"/>
    <w:rsid w:val="00C450F6"/>
    <w:rsid w:val="00C46005"/>
    <w:rsid w:val="00C551EB"/>
    <w:rsid w:val="00C73C4D"/>
    <w:rsid w:val="00C77109"/>
    <w:rsid w:val="00C87080"/>
    <w:rsid w:val="00C95747"/>
    <w:rsid w:val="00CA2D10"/>
    <w:rsid w:val="00CA32AA"/>
    <w:rsid w:val="00CC4EBB"/>
    <w:rsid w:val="00CD4639"/>
    <w:rsid w:val="00CD4C71"/>
    <w:rsid w:val="00CD6B96"/>
    <w:rsid w:val="00CE18CF"/>
    <w:rsid w:val="00CE61C6"/>
    <w:rsid w:val="00CF0940"/>
    <w:rsid w:val="00CF1986"/>
    <w:rsid w:val="00CF419E"/>
    <w:rsid w:val="00D0097F"/>
    <w:rsid w:val="00D12E08"/>
    <w:rsid w:val="00D35A08"/>
    <w:rsid w:val="00D3636D"/>
    <w:rsid w:val="00D4104D"/>
    <w:rsid w:val="00D42671"/>
    <w:rsid w:val="00D655B9"/>
    <w:rsid w:val="00D71E3D"/>
    <w:rsid w:val="00D73436"/>
    <w:rsid w:val="00D752B9"/>
    <w:rsid w:val="00D80518"/>
    <w:rsid w:val="00D83FAA"/>
    <w:rsid w:val="00D92AF2"/>
    <w:rsid w:val="00D97FF1"/>
    <w:rsid w:val="00DC0BF8"/>
    <w:rsid w:val="00DC0C16"/>
    <w:rsid w:val="00DC1EAB"/>
    <w:rsid w:val="00DC58E1"/>
    <w:rsid w:val="00DE0651"/>
    <w:rsid w:val="00DE5F8A"/>
    <w:rsid w:val="00E0137B"/>
    <w:rsid w:val="00E028AD"/>
    <w:rsid w:val="00E049D6"/>
    <w:rsid w:val="00E16CC2"/>
    <w:rsid w:val="00E42EE7"/>
    <w:rsid w:val="00E44D9B"/>
    <w:rsid w:val="00E45C7B"/>
    <w:rsid w:val="00E673AD"/>
    <w:rsid w:val="00E80FAD"/>
    <w:rsid w:val="00E81DE0"/>
    <w:rsid w:val="00E87163"/>
    <w:rsid w:val="00E87794"/>
    <w:rsid w:val="00E904D7"/>
    <w:rsid w:val="00E95489"/>
    <w:rsid w:val="00EA2F7A"/>
    <w:rsid w:val="00EA5BD7"/>
    <w:rsid w:val="00EE03DC"/>
    <w:rsid w:val="00EF0CB7"/>
    <w:rsid w:val="00EF2E96"/>
    <w:rsid w:val="00EF36C3"/>
    <w:rsid w:val="00F00E55"/>
    <w:rsid w:val="00F0351D"/>
    <w:rsid w:val="00F21735"/>
    <w:rsid w:val="00F24742"/>
    <w:rsid w:val="00F32237"/>
    <w:rsid w:val="00F3320B"/>
    <w:rsid w:val="00F36838"/>
    <w:rsid w:val="00F733E3"/>
    <w:rsid w:val="00F83F6A"/>
    <w:rsid w:val="00F956F0"/>
    <w:rsid w:val="00FA04C6"/>
    <w:rsid w:val="00FA36D5"/>
    <w:rsid w:val="00FA63E2"/>
    <w:rsid w:val="00FB2053"/>
    <w:rsid w:val="00FB602B"/>
    <w:rsid w:val="00FE2128"/>
    <w:rsid w:val="00FE2420"/>
    <w:rsid w:val="00FE5A96"/>
    <w:rsid w:val="00FF03F8"/>
    <w:rsid w:val="00FF2B27"/>
    <w:rsid w:val="00FF3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CC33F"/>
  <w15:chartTrackingRefBased/>
  <w15:docId w15:val="{538E2BAB-BCD7-467F-9926-793FD0755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before="240"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FAA"/>
    <w:rPr>
      <w:lang w:val="en-IE"/>
    </w:rPr>
  </w:style>
  <w:style w:type="paragraph" w:styleId="Heading1">
    <w:name w:val="heading 1"/>
    <w:basedOn w:val="Normal"/>
    <w:next w:val="Normal"/>
    <w:link w:val="Heading1Char"/>
    <w:uiPriority w:val="9"/>
    <w:qFormat/>
    <w:rsid w:val="00EA5BD7"/>
    <w:pPr>
      <w:keepNext/>
      <w:keepLines/>
      <w:numPr>
        <w:numId w:val="14"/>
      </w:numPr>
      <w:spacing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D605B"/>
    <w:pPr>
      <w:keepNext/>
      <w:keepLines/>
      <w:numPr>
        <w:ilvl w:val="1"/>
        <w:numId w:val="14"/>
      </w:numPr>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2A3F72"/>
    <w:pPr>
      <w:keepNext/>
      <w:keepLines/>
      <w:numPr>
        <w:ilvl w:val="2"/>
        <w:numId w:val="14"/>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A3F72"/>
    <w:pPr>
      <w:keepNext/>
      <w:keepLines/>
      <w:numPr>
        <w:ilvl w:val="3"/>
        <w:numId w:val="1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A3F72"/>
    <w:pPr>
      <w:keepNext/>
      <w:keepLines/>
      <w:numPr>
        <w:ilvl w:val="4"/>
        <w:numId w:val="1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A3F72"/>
    <w:pPr>
      <w:keepNext/>
      <w:keepLines/>
      <w:numPr>
        <w:ilvl w:val="5"/>
        <w:numId w:val="1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A3F72"/>
    <w:pPr>
      <w:keepNext/>
      <w:keepLines/>
      <w:numPr>
        <w:ilvl w:val="6"/>
        <w:numId w:val="1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A3F72"/>
    <w:pPr>
      <w:keepNext/>
      <w:keepLines/>
      <w:numPr>
        <w:ilvl w:val="7"/>
        <w:numId w:val="1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A3F72"/>
    <w:pPr>
      <w:keepNext/>
      <w:keepLines/>
      <w:numPr>
        <w:ilvl w:val="8"/>
        <w:numId w:val="1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2A11"/>
    <w:rPr>
      <w:color w:val="0563C1" w:themeColor="hyperlink"/>
      <w:u w:val="single"/>
    </w:rPr>
  </w:style>
  <w:style w:type="paragraph" w:styleId="ListParagraph">
    <w:name w:val="List Paragraph"/>
    <w:basedOn w:val="Normal"/>
    <w:uiPriority w:val="34"/>
    <w:qFormat/>
    <w:rsid w:val="002D2A11"/>
    <w:pPr>
      <w:ind w:left="720"/>
      <w:contextualSpacing/>
    </w:pPr>
  </w:style>
  <w:style w:type="character" w:customStyle="1" w:styleId="A9">
    <w:name w:val="A9"/>
    <w:uiPriority w:val="99"/>
    <w:rsid w:val="002D2A11"/>
    <w:rPr>
      <w:rFonts w:cs="DaxlinePro-Regular"/>
      <w:color w:val="000000"/>
      <w:sz w:val="10"/>
      <w:szCs w:val="10"/>
    </w:rPr>
  </w:style>
  <w:style w:type="paragraph" w:styleId="Header">
    <w:name w:val="header"/>
    <w:basedOn w:val="Normal"/>
    <w:link w:val="HeaderChar"/>
    <w:uiPriority w:val="99"/>
    <w:unhideWhenUsed/>
    <w:rsid w:val="00965BA3"/>
    <w:pPr>
      <w:tabs>
        <w:tab w:val="center" w:pos="4513"/>
        <w:tab w:val="right" w:pos="9026"/>
      </w:tabs>
      <w:spacing w:after="0"/>
    </w:pPr>
  </w:style>
  <w:style w:type="character" w:customStyle="1" w:styleId="HeaderChar">
    <w:name w:val="Header Char"/>
    <w:basedOn w:val="DefaultParagraphFont"/>
    <w:link w:val="Header"/>
    <w:uiPriority w:val="99"/>
    <w:rsid w:val="00965BA3"/>
    <w:rPr>
      <w:lang w:val="en-IE"/>
    </w:rPr>
  </w:style>
  <w:style w:type="paragraph" w:styleId="Footer">
    <w:name w:val="footer"/>
    <w:basedOn w:val="Normal"/>
    <w:link w:val="FooterChar"/>
    <w:uiPriority w:val="99"/>
    <w:unhideWhenUsed/>
    <w:rsid w:val="00965BA3"/>
    <w:pPr>
      <w:tabs>
        <w:tab w:val="center" w:pos="4513"/>
        <w:tab w:val="right" w:pos="9026"/>
      </w:tabs>
      <w:spacing w:after="0"/>
    </w:pPr>
  </w:style>
  <w:style w:type="character" w:customStyle="1" w:styleId="FooterChar">
    <w:name w:val="Footer Char"/>
    <w:basedOn w:val="DefaultParagraphFont"/>
    <w:link w:val="Footer"/>
    <w:uiPriority w:val="99"/>
    <w:rsid w:val="00965BA3"/>
    <w:rPr>
      <w:lang w:val="en-IE"/>
    </w:rPr>
  </w:style>
  <w:style w:type="paragraph" w:customStyle="1" w:styleId="Pa47">
    <w:name w:val="Pa47"/>
    <w:basedOn w:val="Normal"/>
    <w:next w:val="Normal"/>
    <w:uiPriority w:val="99"/>
    <w:rsid w:val="00A13095"/>
    <w:pPr>
      <w:autoSpaceDE w:val="0"/>
      <w:autoSpaceDN w:val="0"/>
      <w:adjustRightInd w:val="0"/>
      <w:spacing w:after="0" w:line="185" w:lineRule="atLeast"/>
    </w:pPr>
    <w:rPr>
      <w:rFonts w:ascii="DaxlinePro-Regular" w:eastAsia="DaxlinePro-Regular"/>
      <w:sz w:val="24"/>
      <w:szCs w:val="24"/>
      <w:lang w:val="en-GB"/>
    </w:rPr>
  </w:style>
  <w:style w:type="character" w:customStyle="1" w:styleId="A4">
    <w:name w:val="A4"/>
    <w:uiPriority w:val="99"/>
    <w:rsid w:val="00D42671"/>
    <w:rPr>
      <w:rFonts w:cs="DaxlinePro-Regular"/>
      <w:color w:val="000000"/>
      <w:sz w:val="18"/>
      <w:szCs w:val="18"/>
    </w:rPr>
  </w:style>
  <w:style w:type="paragraph" w:customStyle="1" w:styleId="Pa31">
    <w:name w:val="Pa31"/>
    <w:basedOn w:val="Normal"/>
    <w:next w:val="Normal"/>
    <w:uiPriority w:val="99"/>
    <w:rsid w:val="00D42671"/>
    <w:pPr>
      <w:autoSpaceDE w:val="0"/>
      <w:autoSpaceDN w:val="0"/>
      <w:adjustRightInd w:val="0"/>
      <w:spacing w:after="0" w:line="185" w:lineRule="atLeast"/>
    </w:pPr>
    <w:rPr>
      <w:rFonts w:ascii="DaxlinePro-Regular" w:eastAsia="DaxlinePro-Regular"/>
      <w:sz w:val="24"/>
      <w:szCs w:val="24"/>
      <w:lang w:val="en-GB"/>
    </w:rPr>
  </w:style>
  <w:style w:type="character" w:customStyle="1" w:styleId="A7">
    <w:name w:val="A7"/>
    <w:uiPriority w:val="99"/>
    <w:rsid w:val="000B2AF6"/>
    <w:rPr>
      <w:rFonts w:cs="DaxlinePro-Regular"/>
      <w:color w:val="000000"/>
      <w:sz w:val="18"/>
      <w:szCs w:val="18"/>
    </w:rPr>
  </w:style>
  <w:style w:type="character" w:styleId="FollowedHyperlink">
    <w:name w:val="FollowedHyperlink"/>
    <w:basedOn w:val="DefaultParagraphFont"/>
    <w:uiPriority w:val="99"/>
    <w:semiHidden/>
    <w:unhideWhenUsed/>
    <w:rsid w:val="001308E6"/>
    <w:rPr>
      <w:color w:val="954F72" w:themeColor="followedHyperlink"/>
      <w:u w:val="single"/>
    </w:rPr>
  </w:style>
  <w:style w:type="character" w:customStyle="1" w:styleId="Heading1Char">
    <w:name w:val="Heading 1 Char"/>
    <w:basedOn w:val="DefaultParagraphFont"/>
    <w:link w:val="Heading1"/>
    <w:uiPriority w:val="9"/>
    <w:rsid w:val="00EA5BD7"/>
    <w:rPr>
      <w:rFonts w:asciiTheme="majorHAnsi" w:eastAsiaTheme="majorEastAsia" w:hAnsiTheme="majorHAnsi" w:cstheme="majorBidi"/>
      <w:color w:val="2E74B5" w:themeColor="accent1" w:themeShade="BF"/>
      <w:sz w:val="32"/>
      <w:szCs w:val="32"/>
      <w:lang w:val="en-IE"/>
    </w:rPr>
  </w:style>
  <w:style w:type="paragraph" w:styleId="TOCHeading">
    <w:name w:val="TOC Heading"/>
    <w:basedOn w:val="Heading1"/>
    <w:next w:val="Normal"/>
    <w:uiPriority w:val="39"/>
    <w:unhideWhenUsed/>
    <w:qFormat/>
    <w:rsid w:val="00EA5BD7"/>
    <w:pPr>
      <w:numPr>
        <w:numId w:val="0"/>
      </w:numPr>
      <w:outlineLvl w:val="9"/>
    </w:pPr>
    <w:rPr>
      <w:lang w:val="en-US"/>
    </w:rPr>
  </w:style>
  <w:style w:type="character" w:customStyle="1" w:styleId="Heading2Char">
    <w:name w:val="Heading 2 Char"/>
    <w:basedOn w:val="DefaultParagraphFont"/>
    <w:link w:val="Heading2"/>
    <w:uiPriority w:val="9"/>
    <w:rsid w:val="002D605B"/>
    <w:rPr>
      <w:rFonts w:eastAsiaTheme="majorEastAsia" w:cstheme="majorBidi"/>
      <w:color w:val="2E74B5" w:themeColor="accent1" w:themeShade="BF"/>
      <w:sz w:val="28"/>
      <w:szCs w:val="26"/>
      <w:lang w:val="en-IE"/>
    </w:rPr>
  </w:style>
  <w:style w:type="paragraph" w:styleId="TOC1">
    <w:name w:val="toc 1"/>
    <w:basedOn w:val="Normal"/>
    <w:next w:val="Normal"/>
    <w:autoRedefine/>
    <w:uiPriority w:val="39"/>
    <w:unhideWhenUsed/>
    <w:rsid w:val="000D23FE"/>
    <w:pPr>
      <w:tabs>
        <w:tab w:val="left" w:pos="440"/>
        <w:tab w:val="right" w:leader="dot" w:pos="9016"/>
      </w:tabs>
      <w:spacing w:after="100"/>
    </w:pPr>
  </w:style>
  <w:style w:type="paragraph" w:styleId="TOC2">
    <w:name w:val="toc 2"/>
    <w:basedOn w:val="Normal"/>
    <w:next w:val="Normal"/>
    <w:autoRedefine/>
    <w:uiPriority w:val="39"/>
    <w:unhideWhenUsed/>
    <w:rsid w:val="00EA5BD7"/>
    <w:pPr>
      <w:spacing w:after="100"/>
      <w:ind w:left="220"/>
    </w:pPr>
  </w:style>
  <w:style w:type="character" w:styleId="CommentReference">
    <w:name w:val="annotation reference"/>
    <w:basedOn w:val="DefaultParagraphFont"/>
    <w:uiPriority w:val="99"/>
    <w:semiHidden/>
    <w:unhideWhenUsed/>
    <w:rsid w:val="000C05D5"/>
    <w:rPr>
      <w:sz w:val="16"/>
      <w:szCs w:val="16"/>
    </w:rPr>
  </w:style>
  <w:style w:type="paragraph" w:styleId="CommentText">
    <w:name w:val="annotation text"/>
    <w:basedOn w:val="Normal"/>
    <w:link w:val="CommentTextChar"/>
    <w:uiPriority w:val="99"/>
    <w:semiHidden/>
    <w:unhideWhenUsed/>
    <w:rsid w:val="000C05D5"/>
    <w:rPr>
      <w:sz w:val="20"/>
      <w:szCs w:val="20"/>
    </w:rPr>
  </w:style>
  <w:style w:type="character" w:customStyle="1" w:styleId="CommentTextChar">
    <w:name w:val="Comment Text Char"/>
    <w:basedOn w:val="DefaultParagraphFont"/>
    <w:link w:val="CommentText"/>
    <w:uiPriority w:val="99"/>
    <w:semiHidden/>
    <w:rsid w:val="000C05D5"/>
    <w:rPr>
      <w:sz w:val="20"/>
      <w:szCs w:val="20"/>
      <w:lang w:val="en-IE"/>
    </w:rPr>
  </w:style>
  <w:style w:type="paragraph" w:styleId="CommentSubject">
    <w:name w:val="annotation subject"/>
    <w:basedOn w:val="CommentText"/>
    <w:next w:val="CommentText"/>
    <w:link w:val="CommentSubjectChar"/>
    <w:uiPriority w:val="99"/>
    <w:semiHidden/>
    <w:unhideWhenUsed/>
    <w:rsid w:val="000C05D5"/>
    <w:rPr>
      <w:b/>
      <w:bCs/>
    </w:rPr>
  </w:style>
  <w:style w:type="character" w:customStyle="1" w:styleId="CommentSubjectChar">
    <w:name w:val="Comment Subject Char"/>
    <w:basedOn w:val="CommentTextChar"/>
    <w:link w:val="CommentSubject"/>
    <w:uiPriority w:val="99"/>
    <w:semiHidden/>
    <w:rsid w:val="000C05D5"/>
    <w:rPr>
      <w:b/>
      <w:bCs/>
      <w:sz w:val="20"/>
      <w:szCs w:val="20"/>
      <w:lang w:val="en-IE"/>
    </w:rPr>
  </w:style>
  <w:style w:type="paragraph" w:styleId="BalloonText">
    <w:name w:val="Balloon Text"/>
    <w:basedOn w:val="Normal"/>
    <w:link w:val="BalloonTextChar"/>
    <w:uiPriority w:val="99"/>
    <w:semiHidden/>
    <w:unhideWhenUsed/>
    <w:rsid w:val="000C05D5"/>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05D5"/>
    <w:rPr>
      <w:rFonts w:ascii="Segoe UI" w:hAnsi="Segoe UI" w:cs="Segoe UI"/>
      <w:sz w:val="18"/>
      <w:szCs w:val="18"/>
      <w:lang w:val="en-IE"/>
    </w:rPr>
  </w:style>
  <w:style w:type="character" w:styleId="Strong">
    <w:name w:val="Strong"/>
    <w:basedOn w:val="DefaultParagraphFont"/>
    <w:uiPriority w:val="22"/>
    <w:qFormat/>
    <w:rsid w:val="00E42EE7"/>
    <w:rPr>
      <w:b/>
      <w:bCs/>
    </w:rPr>
  </w:style>
  <w:style w:type="paragraph" w:styleId="NormalWeb">
    <w:name w:val="Normal (Web)"/>
    <w:basedOn w:val="Normal"/>
    <w:uiPriority w:val="99"/>
    <w:semiHidden/>
    <w:unhideWhenUsed/>
    <w:rsid w:val="00E42EE7"/>
    <w:pPr>
      <w:spacing w:before="100" w:beforeAutospacing="1" w:after="100" w:afterAutospacing="1"/>
    </w:pPr>
    <w:rPr>
      <w:rFonts w:ascii="Times New Roman" w:eastAsia="Times New Roman" w:hAnsi="Times New Roman" w:cs="Times New Roman"/>
      <w:sz w:val="24"/>
      <w:szCs w:val="24"/>
      <w:lang w:val="en-GB" w:eastAsia="en-GB"/>
    </w:rPr>
  </w:style>
  <w:style w:type="paragraph" w:styleId="FootnoteText">
    <w:name w:val="footnote text"/>
    <w:basedOn w:val="Normal"/>
    <w:link w:val="FootnoteTextChar"/>
    <w:uiPriority w:val="99"/>
    <w:semiHidden/>
    <w:unhideWhenUsed/>
    <w:rsid w:val="002D6C99"/>
    <w:pPr>
      <w:spacing w:after="0"/>
    </w:pPr>
    <w:rPr>
      <w:sz w:val="20"/>
      <w:szCs w:val="20"/>
    </w:rPr>
  </w:style>
  <w:style w:type="character" w:customStyle="1" w:styleId="FootnoteTextChar">
    <w:name w:val="Footnote Text Char"/>
    <w:basedOn w:val="DefaultParagraphFont"/>
    <w:link w:val="FootnoteText"/>
    <w:uiPriority w:val="99"/>
    <w:semiHidden/>
    <w:rsid w:val="002D6C99"/>
    <w:rPr>
      <w:sz w:val="20"/>
      <w:szCs w:val="20"/>
      <w:lang w:val="en-IE"/>
    </w:rPr>
  </w:style>
  <w:style w:type="character" w:styleId="FootnoteReference">
    <w:name w:val="footnote reference"/>
    <w:aliases w:val="Footnote Refernece,callout,Footnotes refss,Appel note de bas de p.,Fn Ref,Footnote Reference Superscript,BVI fnr,Footnote Reference Number,Footnote Refernece + (Latein) Arial,10 pt,Blau,Fußnotenzeichen_Raxen,Footnote Refe,FR,..."/>
    <w:basedOn w:val="DefaultParagraphFont"/>
    <w:uiPriority w:val="99"/>
    <w:unhideWhenUsed/>
    <w:rsid w:val="002D6C99"/>
    <w:rPr>
      <w:vertAlign w:val="superscript"/>
    </w:rPr>
  </w:style>
  <w:style w:type="character" w:customStyle="1" w:styleId="Heading3Char">
    <w:name w:val="Heading 3 Char"/>
    <w:basedOn w:val="DefaultParagraphFont"/>
    <w:link w:val="Heading3"/>
    <w:uiPriority w:val="9"/>
    <w:rsid w:val="002A3F72"/>
    <w:rPr>
      <w:rFonts w:asciiTheme="majorHAnsi" w:eastAsiaTheme="majorEastAsia" w:hAnsiTheme="majorHAnsi" w:cstheme="majorBidi"/>
      <w:color w:val="1F4D78" w:themeColor="accent1" w:themeShade="7F"/>
      <w:sz w:val="24"/>
      <w:szCs w:val="24"/>
      <w:lang w:val="en-IE"/>
    </w:rPr>
  </w:style>
  <w:style w:type="character" w:customStyle="1" w:styleId="Heading4Char">
    <w:name w:val="Heading 4 Char"/>
    <w:basedOn w:val="DefaultParagraphFont"/>
    <w:link w:val="Heading4"/>
    <w:uiPriority w:val="9"/>
    <w:rsid w:val="002A3F72"/>
    <w:rPr>
      <w:rFonts w:asciiTheme="majorHAnsi" w:eastAsiaTheme="majorEastAsia" w:hAnsiTheme="majorHAnsi" w:cstheme="majorBidi"/>
      <w:i/>
      <w:iCs/>
      <w:color w:val="2E74B5" w:themeColor="accent1" w:themeShade="BF"/>
      <w:lang w:val="en-IE"/>
    </w:rPr>
  </w:style>
  <w:style w:type="character" w:customStyle="1" w:styleId="Heading5Char">
    <w:name w:val="Heading 5 Char"/>
    <w:basedOn w:val="DefaultParagraphFont"/>
    <w:link w:val="Heading5"/>
    <w:uiPriority w:val="9"/>
    <w:semiHidden/>
    <w:rsid w:val="002A3F72"/>
    <w:rPr>
      <w:rFonts w:asciiTheme="majorHAnsi" w:eastAsiaTheme="majorEastAsia" w:hAnsiTheme="majorHAnsi" w:cstheme="majorBidi"/>
      <w:color w:val="2E74B5" w:themeColor="accent1" w:themeShade="BF"/>
      <w:lang w:val="en-IE"/>
    </w:rPr>
  </w:style>
  <w:style w:type="character" w:customStyle="1" w:styleId="Heading6Char">
    <w:name w:val="Heading 6 Char"/>
    <w:basedOn w:val="DefaultParagraphFont"/>
    <w:link w:val="Heading6"/>
    <w:uiPriority w:val="9"/>
    <w:semiHidden/>
    <w:rsid w:val="002A3F72"/>
    <w:rPr>
      <w:rFonts w:asciiTheme="majorHAnsi" w:eastAsiaTheme="majorEastAsia" w:hAnsiTheme="majorHAnsi" w:cstheme="majorBidi"/>
      <w:color w:val="1F4D78" w:themeColor="accent1" w:themeShade="7F"/>
      <w:lang w:val="en-IE"/>
    </w:rPr>
  </w:style>
  <w:style w:type="character" w:customStyle="1" w:styleId="Heading7Char">
    <w:name w:val="Heading 7 Char"/>
    <w:basedOn w:val="DefaultParagraphFont"/>
    <w:link w:val="Heading7"/>
    <w:uiPriority w:val="9"/>
    <w:semiHidden/>
    <w:rsid w:val="002A3F72"/>
    <w:rPr>
      <w:rFonts w:asciiTheme="majorHAnsi" w:eastAsiaTheme="majorEastAsia" w:hAnsiTheme="majorHAnsi" w:cstheme="majorBidi"/>
      <w:i/>
      <w:iCs/>
      <w:color w:val="1F4D78" w:themeColor="accent1" w:themeShade="7F"/>
      <w:lang w:val="en-IE"/>
    </w:rPr>
  </w:style>
  <w:style w:type="character" w:customStyle="1" w:styleId="Heading8Char">
    <w:name w:val="Heading 8 Char"/>
    <w:basedOn w:val="DefaultParagraphFont"/>
    <w:link w:val="Heading8"/>
    <w:uiPriority w:val="9"/>
    <w:semiHidden/>
    <w:rsid w:val="002A3F72"/>
    <w:rPr>
      <w:rFonts w:asciiTheme="majorHAnsi" w:eastAsiaTheme="majorEastAsia" w:hAnsiTheme="majorHAnsi" w:cstheme="majorBidi"/>
      <w:color w:val="272727" w:themeColor="text1" w:themeTint="D8"/>
      <w:sz w:val="21"/>
      <w:szCs w:val="21"/>
      <w:lang w:val="en-IE"/>
    </w:rPr>
  </w:style>
  <w:style w:type="character" w:customStyle="1" w:styleId="Heading9Char">
    <w:name w:val="Heading 9 Char"/>
    <w:basedOn w:val="DefaultParagraphFont"/>
    <w:link w:val="Heading9"/>
    <w:uiPriority w:val="9"/>
    <w:semiHidden/>
    <w:rsid w:val="002A3F72"/>
    <w:rPr>
      <w:rFonts w:asciiTheme="majorHAnsi" w:eastAsiaTheme="majorEastAsia" w:hAnsiTheme="majorHAnsi" w:cstheme="majorBidi"/>
      <w:i/>
      <w:iCs/>
      <w:color w:val="272727" w:themeColor="text1" w:themeTint="D8"/>
      <w:sz w:val="21"/>
      <w:szCs w:val="21"/>
      <w:lang w:val="en-IE"/>
    </w:rPr>
  </w:style>
  <w:style w:type="character" w:customStyle="1" w:styleId="A13">
    <w:name w:val="A13"/>
    <w:uiPriority w:val="99"/>
    <w:rsid w:val="00502B7D"/>
    <w:rPr>
      <w:rFonts w:cs="DaxlinePro-Regular"/>
      <w:color w:val="000000"/>
      <w:sz w:val="10"/>
      <w:szCs w:val="10"/>
    </w:rPr>
  </w:style>
  <w:style w:type="paragraph" w:customStyle="1" w:styleId="Pa13">
    <w:name w:val="Pa13"/>
    <w:basedOn w:val="Normal"/>
    <w:next w:val="Normal"/>
    <w:uiPriority w:val="99"/>
    <w:rsid w:val="004E2F2D"/>
    <w:pPr>
      <w:autoSpaceDE w:val="0"/>
      <w:autoSpaceDN w:val="0"/>
      <w:adjustRightInd w:val="0"/>
      <w:spacing w:after="0" w:line="185" w:lineRule="atLeast"/>
    </w:pPr>
    <w:rPr>
      <w:rFonts w:ascii="DaxlinePro-RegularItalic" w:hAnsi="DaxlinePro-RegularItalic"/>
      <w:sz w:val="24"/>
      <w:szCs w:val="24"/>
    </w:rPr>
  </w:style>
  <w:style w:type="paragraph" w:customStyle="1" w:styleId="Pa17">
    <w:name w:val="Pa17"/>
    <w:basedOn w:val="Normal"/>
    <w:next w:val="Normal"/>
    <w:uiPriority w:val="99"/>
    <w:rsid w:val="004E2F2D"/>
    <w:pPr>
      <w:autoSpaceDE w:val="0"/>
      <w:autoSpaceDN w:val="0"/>
      <w:adjustRightInd w:val="0"/>
      <w:spacing w:after="0" w:line="161" w:lineRule="atLeast"/>
    </w:pPr>
    <w:rPr>
      <w:rFonts w:ascii="DaxlinePro-RegularItalic" w:hAnsi="DaxlinePro-RegularItalic"/>
      <w:sz w:val="24"/>
      <w:szCs w:val="24"/>
    </w:rPr>
  </w:style>
  <w:style w:type="paragraph" w:customStyle="1" w:styleId="Pa46">
    <w:name w:val="Pa46"/>
    <w:basedOn w:val="Normal"/>
    <w:next w:val="Normal"/>
    <w:uiPriority w:val="99"/>
    <w:rsid w:val="0012027F"/>
    <w:pPr>
      <w:autoSpaceDE w:val="0"/>
      <w:autoSpaceDN w:val="0"/>
      <w:adjustRightInd w:val="0"/>
      <w:spacing w:after="0" w:line="221" w:lineRule="atLeast"/>
    </w:pPr>
    <w:rPr>
      <w:rFonts w:ascii="DaxlinePro-Regular" w:eastAsia="DaxlinePro-Regular"/>
      <w:sz w:val="24"/>
      <w:szCs w:val="24"/>
    </w:rPr>
  </w:style>
  <w:style w:type="paragraph" w:customStyle="1" w:styleId="Pa44">
    <w:name w:val="Pa44"/>
    <w:basedOn w:val="Normal"/>
    <w:next w:val="Normal"/>
    <w:uiPriority w:val="99"/>
    <w:rsid w:val="0012027F"/>
    <w:pPr>
      <w:autoSpaceDE w:val="0"/>
      <w:autoSpaceDN w:val="0"/>
      <w:adjustRightInd w:val="0"/>
      <w:spacing w:after="0" w:line="241" w:lineRule="atLeast"/>
    </w:pPr>
    <w:rPr>
      <w:rFonts w:ascii="DaxlinePro-Regular" w:eastAsia="DaxlinePro-Regular"/>
      <w:sz w:val="24"/>
      <w:szCs w:val="24"/>
    </w:rPr>
  </w:style>
  <w:style w:type="paragraph" w:customStyle="1" w:styleId="Pa45">
    <w:name w:val="Pa45"/>
    <w:basedOn w:val="Normal"/>
    <w:next w:val="Normal"/>
    <w:uiPriority w:val="99"/>
    <w:rsid w:val="0012027F"/>
    <w:pPr>
      <w:autoSpaceDE w:val="0"/>
      <w:autoSpaceDN w:val="0"/>
      <w:adjustRightInd w:val="0"/>
      <w:spacing w:after="0" w:line="185" w:lineRule="atLeast"/>
    </w:pPr>
    <w:rPr>
      <w:rFonts w:ascii="DaxlinePro-Regular" w:eastAsia="DaxlinePro-Regular"/>
      <w:sz w:val="24"/>
      <w:szCs w:val="24"/>
    </w:rPr>
  </w:style>
  <w:style w:type="paragraph" w:customStyle="1" w:styleId="Pa9">
    <w:name w:val="Pa9"/>
    <w:basedOn w:val="Normal"/>
    <w:next w:val="Normal"/>
    <w:uiPriority w:val="99"/>
    <w:rsid w:val="0020630F"/>
    <w:pPr>
      <w:autoSpaceDE w:val="0"/>
      <w:autoSpaceDN w:val="0"/>
      <w:adjustRightInd w:val="0"/>
      <w:spacing w:after="0" w:line="185" w:lineRule="atLeast"/>
    </w:pPr>
    <w:rPr>
      <w:rFonts w:ascii="DaxlinePro-Regular" w:eastAsia="DaxlinePro-Regular"/>
      <w:sz w:val="24"/>
      <w:szCs w:val="24"/>
    </w:rPr>
  </w:style>
  <w:style w:type="paragraph" w:customStyle="1" w:styleId="Default">
    <w:name w:val="Default"/>
    <w:rsid w:val="00BC019E"/>
    <w:pPr>
      <w:autoSpaceDE w:val="0"/>
      <w:autoSpaceDN w:val="0"/>
      <w:adjustRightInd w:val="0"/>
      <w:spacing w:after="0"/>
    </w:pPr>
    <w:rPr>
      <w:rFonts w:ascii="Daxline Offc Pro" w:hAnsi="Daxline Offc Pro" w:cs="Daxline Offc Pro"/>
      <w:color w:val="000000"/>
      <w:sz w:val="24"/>
      <w:szCs w:val="24"/>
      <w:lang w:val="en-IE"/>
    </w:rPr>
  </w:style>
  <w:style w:type="character" w:customStyle="1" w:styleId="A5">
    <w:name w:val="A5"/>
    <w:uiPriority w:val="99"/>
    <w:rsid w:val="00604345"/>
    <w:rPr>
      <w:rFonts w:cs="DaxlinePro-Regular"/>
      <w:color w:val="000000"/>
      <w:sz w:val="18"/>
      <w:szCs w:val="18"/>
    </w:rPr>
  </w:style>
  <w:style w:type="character" w:customStyle="1" w:styleId="A6">
    <w:name w:val="A6"/>
    <w:uiPriority w:val="99"/>
    <w:rsid w:val="00604345"/>
    <w:rPr>
      <w:rFonts w:cs="DaxlinePro-Regular"/>
      <w:color w:val="000000"/>
      <w:sz w:val="10"/>
      <w:szCs w:val="10"/>
    </w:rPr>
  </w:style>
  <w:style w:type="paragraph" w:customStyle="1" w:styleId="Pa21">
    <w:name w:val="Pa21"/>
    <w:basedOn w:val="Default"/>
    <w:next w:val="Default"/>
    <w:uiPriority w:val="99"/>
    <w:rsid w:val="00653906"/>
    <w:pPr>
      <w:spacing w:line="185" w:lineRule="atLeast"/>
    </w:pPr>
    <w:rPr>
      <w:rFonts w:ascii="DaxlinePro-Bold" w:hAnsi="DaxlinePro-Bold" w:cstheme="minorBidi"/>
      <w:color w:val="auto"/>
    </w:rPr>
  </w:style>
  <w:style w:type="character" w:customStyle="1" w:styleId="A8">
    <w:name w:val="A8"/>
    <w:uiPriority w:val="99"/>
    <w:rsid w:val="003736F1"/>
    <w:rPr>
      <w:rFonts w:cs="DaxlinePro-Regular"/>
      <w:color w:val="000000"/>
      <w:sz w:val="10"/>
      <w:szCs w:val="10"/>
    </w:rPr>
  </w:style>
  <w:style w:type="character" w:customStyle="1" w:styleId="A2">
    <w:name w:val="A2"/>
    <w:uiPriority w:val="99"/>
    <w:rsid w:val="003736F1"/>
    <w:rPr>
      <w:rFonts w:cs="DaxlinePro-Regular"/>
      <w:color w:val="000000"/>
      <w:sz w:val="18"/>
      <w:szCs w:val="18"/>
    </w:rPr>
  </w:style>
  <w:style w:type="paragraph" w:customStyle="1" w:styleId="Pa4">
    <w:name w:val="Pa4"/>
    <w:basedOn w:val="Default"/>
    <w:next w:val="Default"/>
    <w:uiPriority w:val="99"/>
    <w:rsid w:val="00753796"/>
    <w:pPr>
      <w:spacing w:line="185" w:lineRule="atLeast"/>
    </w:pPr>
    <w:rPr>
      <w:rFonts w:ascii="DaxlinePro-Regular" w:eastAsia="DaxlinePro-Regular" w:hAnsiTheme="minorHAnsi" w:cstheme="minorBidi"/>
      <w:color w:val="auto"/>
    </w:rPr>
  </w:style>
  <w:style w:type="paragraph" w:customStyle="1" w:styleId="Pa23">
    <w:name w:val="Pa23"/>
    <w:basedOn w:val="Default"/>
    <w:next w:val="Default"/>
    <w:uiPriority w:val="99"/>
    <w:rsid w:val="00CD4639"/>
    <w:pPr>
      <w:spacing w:line="221" w:lineRule="atLeast"/>
    </w:pPr>
    <w:rPr>
      <w:rFonts w:ascii="DaxlinePro-Regular" w:eastAsia="DaxlinePro-Regular" w:hAnsiTheme="minorHAnsi" w:cstheme="minorBidi"/>
      <w:color w:val="auto"/>
    </w:rPr>
  </w:style>
  <w:style w:type="paragraph" w:customStyle="1" w:styleId="Pa24">
    <w:name w:val="Pa24"/>
    <w:basedOn w:val="Default"/>
    <w:next w:val="Default"/>
    <w:uiPriority w:val="99"/>
    <w:rsid w:val="00CD4639"/>
    <w:pPr>
      <w:spacing w:line="241" w:lineRule="atLeast"/>
    </w:pPr>
    <w:rPr>
      <w:rFonts w:ascii="DaxlinePro-Regular" w:eastAsia="DaxlinePro-Regular" w:hAnsiTheme="minorHAnsi" w:cstheme="minorBidi"/>
      <w:color w:val="auto"/>
    </w:rPr>
  </w:style>
  <w:style w:type="paragraph" w:customStyle="1" w:styleId="Pa25">
    <w:name w:val="Pa25"/>
    <w:basedOn w:val="Default"/>
    <w:next w:val="Default"/>
    <w:uiPriority w:val="99"/>
    <w:rsid w:val="00CD4639"/>
    <w:pPr>
      <w:spacing w:line="185" w:lineRule="atLeast"/>
    </w:pPr>
    <w:rPr>
      <w:rFonts w:ascii="DaxlinePro-Regular" w:eastAsia="DaxlinePro-Regular" w:hAnsiTheme="minorHAnsi" w:cstheme="minorBidi"/>
      <w:color w:val="auto"/>
    </w:rPr>
  </w:style>
  <w:style w:type="paragraph" w:customStyle="1" w:styleId="Pa26">
    <w:name w:val="Pa26"/>
    <w:basedOn w:val="Default"/>
    <w:next w:val="Default"/>
    <w:uiPriority w:val="99"/>
    <w:rsid w:val="00CD4639"/>
    <w:pPr>
      <w:spacing w:line="145" w:lineRule="atLeast"/>
    </w:pPr>
    <w:rPr>
      <w:rFonts w:ascii="DaxlinePro-Regular" w:eastAsia="DaxlinePro-Regular" w:hAnsiTheme="minorHAnsi" w:cstheme="minorBidi"/>
      <w:color w:val="auto"/>
    </w:rPr>
  </w:style>
  <w:style w:type="paragraph" w:styleId="TOC3">
    <w:name w:val="toc 3"/>
    <w:basedOn w:val="Normal"/>
    <w:next w:val="Normal"/>
    <w:autoRedefine/>
    <w:uiPriority w:val="39"/>
    <w:unhideWhenUsed/>
    <w:rsid w:val="009F7D5A"/>
    <w:pPr>
      <w:spacing w:after="100"/>
      <w:ind w:left="440"/>
    </w:pPr>
  </w:style>
  <w:style w:type="character" w:styleId="SubtleEmphasis">
    <w:name w:val="Subtle Emphasis"/>
    <w:basedOn w:val="DefaultParagraphFont"/>
    <w:uiPriority w:val="19"/>
    <w:qFormat/>
    <w:rsid w:val="00F956F0"/>
    <w:rPr>
      <w:i/>
      <w:iCs/>
      <w:color w:val="404040" w:themeColor="text1" w:themeTint="BF"/>
    </w:rPr>
  </w:style>
  <w:style w:type="paragraph" w:styleId="Subtitle">
    <w:name w:val="Subtitle"/>
    <w:basedOn w:val="Normal"/>
    <w:next w:val="Normal"/>
    <w:link w:val="SubtitleChar"/>
    <w:uiPriority w:val="11"/>
    <w:qFormat/>
    <w:rsid w:val="00EF36C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F36C3"/>
    <w:rPr>
      <w:rFonts w:eastAsiaTheme="minorEastAsia"/>
      <w:color w:val="5A5A5A" w:themeColor="text1" w:themeTint="A5"/>
      <w:spacing w:val="15"/>
      <w:lang w:val="en-IE"/>
    </w:rPr>
  </w:style>
  <w:style w:type="table" w:styleId="TableGrid">
    <w:name w:val="Table Grid"/>
    <w:basedOn w:val="TableNormal"/>
    <w:uiPriority w:val="39"/>
    <w:rsid w:val="00EF36C3"/>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20">
    <w:name w:val="A20"/>
    <w:uiPriority w:val="99"/>
    <w:rsid w:val="000F7C63"/>
    <w:rPr>
      <w:rFonts w:cs="DaxlinePro-Bold"/>
      <w:b/>
      <w:bCs/>
      <w:color w:val="000000"/>
      <w:sz w:val="17"/>
      <w:szCs w:val="17"/>
    </w:rPr>
  </w:style>
  <w:style w:type="paragraph" w:customStyle="1" w:styleId="Pa10">
    <w:name w:val="Pa10"/>
    <w:basedOn w:val="Default"/>
    <w:next w:val="Default"/>
    <w:uiPriority w:val="99"/>
    <w:rsid w:val="000F7C63"/>
    <w:pPr>
      <w:spacing w:line="185" w:lineRule="atLeast"/>
    </w:pPr>
    <w:rPr>
      <w:rFonts w:ascii="DaxlinePro-Bold" w:hAnsi="DaxlinePro-Bold" w:cstheme="minorBidi"/>
      <w:color w:val="auto"/>
    </w:rPr>
  </w:style>
  <w:style w:type="paragraph" w:styleId="NoSpacing">
    <w:name w:val="No Spacing"/>
    <w:uiPriority w:val="1"/>
    <w:qFormat/>
    <w:rsid w:val="00782C1C"/>
    <w:pPr>
      <w:spacing w:after="0"/>
    </w:pPr>
    <w:rPr>
      <w:lang w:val="en-IE"/>
    </w:rPr>
  </w:style>
  <w:style w:type="paragraph" w:customStyle="1" w:styleId="Pa3">
    <w:name w:val="Pa3"/>
    <w:basedOn w:val="Default"/>
    <w:next w:val="Default"/>
    <w:uiPriority w:val="99"/>
    <w:rsid w:val="002E1549"/>
    <w:pPr>
      <w:spacing w:line="181" w:lineRule="atLeast"/>
    </w:pPr>
    <w:rPr>
      <w:rFonts w:ascii="DaxlinePro-Regular" w:eastAsia="DaxlinePro-Regular" w:hAnsiTheme="minorHAnsi"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68335">
      <w:bodyDiv w:val="1"/>
      <w:marLeft w:val="0"/>
      <w:marRight w:val="0"/>
      <w:marTop w:val="0"/>
      <w:marBottom w:val="0"/>
      <w:divBdr>
        <w:top w:val="none" w:sz="0" w:space="0" w:color="auto"/>
        <w:left w:val="none" w:sz="0" w:space="0" w:color="auto"/>
        <w:bottom w:val="none" w:sz="0" w:space="0" w:color="auto"/>
        <w:right w:val="none" w:sz="0" w:space="0" w:color="auto"/>
      </w:divBdr>
    </w:div>
    <w:div w:id="461656416">
      <w:bodyDiv w:val="1"/>
      <w:marLeft w:val="0"/>
      <w:marRight w:val="0"/>
      <w:marTop w:val="0"/>
      <w:marBottom w:val="0"/>
      <w:divBdr>
        <w:top w:val="none" w:sz="0" w:space="0" w:color="auto"/>
        <w:left w:val="none" w:sz="0" w:space="0" w:color="auto"/>
        <w:bottom w:val="none" w:sz="0" w:space="0" w:color="auto"/>
        <w:right w:val="none" w:sz="0" w:space="0" w:color="auto"/>
      </w:divBdr>
      <w:divsChild>
        <w:div w:id="75371659">
          <w:marLeft w:val="0"/>
          <w:marRight w:val="0"/>
          <w:marTop w:val="345"/>
          <w:marBottom w:val="0"/>
          <w:divBdr>
            <w:top w:val="none" w:sz="0" w:space="0" w:color="auto"/>
            <w:left w:val="none" w:sz="0" w:space="0" w:color="auto"/>
            <w:bottom w:val="none" w:sz="0" w:space="0" w:color="auto"/>
            <w:right w:val="none" w:sz="0" w:space="0" w:color="auto"/>
          </w:divBdr>
          <w:divsChild>
            <w:div w:id="1840269781">
              <w:marLeft w:val="0"/>
              <w:marRight w:val="0"/>
              <w:marTop w:val="0"/>
              <w:marBottom w:val="0"/>
              <w:divBdr>
                <w:top w:val="none" w:sz="0" w:space="0" w:color="auto"/>
                <w:left w:val="none" w:sz="0" w:space="0" w:color="auto"/>
                <w:bottom w:val="none" w:sz="0" w:space="0" w:color="auto"/>
                <w:right w:val="none" w:sz="0" w:space="0" w:color="auto"/>
              </w:divBdr>
              <w:divsChild>
                <w:div w:id="1178734736">
                  <w:marLeft w:val="0"/>
                  <w:marRight w:val="-14400"/>
                  <w:marTop w:val="0"/>
                  <w:marBottom w:val="0"/>
                  <w:divBdr>
                    <w:top w:val="none" w:sz="0" w:space="0" w:color="auto"/>
                    <w:left w:val="none" w:sz="0" w:space="0" w:color="auto"/>
                    <w:bottom w:val="none" w:sz="0" w:space="0" w:color="auto"/>
                    <w:right w:val="none" w:sz="0" w:space="0" w:color="auto"/>
                  </w:divBdr>
                  <w:divsChild>
                    <w:div w:id="1957633254">
                      <w:marLeft w:val="0"/>
                      <w:marRight w:val="0"/>
                      <w:marTop w:val="0"/>
                      <w:marBottom w:val="0"/>
                      <w:divBdr>
                        <w:top w:val="none" w:sz="0" w:space="0" w:color="auto"/>
                        <w:left w:val="none" w:sz="0" w:space="0" w:color="auto"/>
                        <w:bottom w:val="none" w:sz="0" w:space="0" w:color="auto"/>
                        <w:right w:val="none" w:sz="0" w:space="0" w:color="auto"/>
                      </w:divBdr>
                      <w:divsChild>
                        <w:div w:id="857743769">
                          <w:marLeft w:val="0"/>
                          <w:marRight w:val="0"/>
                          <w:marTop w:val="0"/>
                          <w:marBottom w:val="0"/>
                          <w:divBdr>
                            <w:top w:val="none" w:sz="0" w:space="0" w:color="auto"/>
                            <w:left w:val="none" w:sz="0" w:space="0" w:color="auto"/>
                            <w:bottom w:val="none" w:sz="0" w:space="0" w:color="auto"/>
                            <w:right w:val="none" w:sz="0" w:space="0" w:color="auto"/>
                          </w:divBdr>
                          <w:divsChild>
                            <w:div w:id="997078121">
                              <w:marLeft w:val="0"/>
                              <w:marRight w:val="0"/>
                              <w:marTop w:val="0"/>
                              <w:marBottom w:val="0"/>
                              <w:divBdr>
                                <w:top w:val="none" w:sz="0" w:space="0" w:color="auto"/>
                                <w:left w:val="none" w:sz="0" w:space="0" w:color="auto"/>
                                <w:bottom w:val="none" w:sz="0" w:space="0" w:color="auto"/>
                                <w:right w:val="none" w:sz="0" w:space="0" w:color="auto"/>
                              </w:divBdr>
                              <w:divsChild>
                                <w:div w:id="351567415">
                                  <w:marLeft w:val="0"/>
                                  <w:marRight w:val="0"/>
                                  <w:marTop w:val="0"/>
                                  <w:marBottom w:val="0"/>
                                  <w:divBdr>
                                    <w:top w:val="none" w:sz="0" w:space="0" w:color="auto"/>
                                    <w:left w:val="none" w:sz="0" w:space="0" w:color="auto"/>
                                    <w:bottom w:val="none" w:sz="0" w:space="0" w:color="auto"/>
                                    <w:right w:val="none" w:sz="0" w:space="0" w:color="auto"/>
                                  </w:divBdr>
                                  <w:divsChild>
                                    <w:div w:id="689261414">
                                      <w:blockQuote w:val="1"/>
                                      <w:marLeft w:val="300"/>
                                      <w:marRight w:val="300"/>
                                      <w:marTop w:val="0"/>
                                      <w:marBottom w:val="0"/>
                                      <w:divBdr>
                                        <w:top w:val="dashed" w:sz="12" w:space="8" w:color="FFFFFF"/>
                                        <w:left w:val="dashed" w:sz="12" w:space="15" w:color="FFFFFF"/>
                                        <w:bottom w:val="dashed" w:sz="12" w:space="19" w:color="FFFFFF"/>
                                        <w:right w:val="dashed" w:sz="12" w:space="15" w:color="FFFFFF"/>
                                      </w:divBdr>
                                    </w:div>
                                  </w:divsChild>
                                </w:div>
                              </w:divsChild>
                            </w:div>
                          </w:divsChild>
                        </w:div>
                      </w:divsChild>
                    </w:div>
                  </w:divsChild>
                </w:div>
              </w:divsChild>
            </w:div>
          </w:divsChild>
        </w:div>
      </w:divsChild>
    </w:div>
    <w:div w:id="937175881">
      <w:bodyDiv w:val="1"/>
      <w:marLeft w:val="0"/>
      <w:marRight w:val="0"/>
      <w:marTop w:val="0"/>
      <w:marBottom w:val="0"/>
      <w:divBdr>
        <w:top w:val="none" w:sz="0" w:space="0" w:color="auto"/>
        <w:left w:val="none" w:sz="0" w:space="0" w:color="auto"/>
        <w:bottom w:val="none" w:sz="0" w:space="0" w:color="auto"/>
        <w:right w:val="none" w:sz="0" w:space="0" w:color="auto"/>
      </w:divBdr>
      <w:divsChild>
        <w:div w:id="1689478913">
          <w:marLeft w:val="0"/>
          <w:marRight w:val="0"/>
          <w:marTop w:val="345"/>
          <w:marBottom w:val="0"/>
          <w:divBdr>
            <w:top w:val="none" w:sz="0" w:space="0" w:color="auto"/>
            <w:left w:val="none" w:sz="0" w:space="0" w:color="auto"/>
            <w:bottom w:val="none" w:sz="0" w:space="0" w:color="auto"/>
            <w:right w:val="none" w:sz="0" w:space="0" w:color="auto"/>
          </w:divBdr>
          <w:divsChild>
            <w:div w:id="1660109081">
              <w:marLeft w:val="0"/>
              <w:marRight w:val="0"/>
              <w:marTop w:val="0"/>
              <w:marBottom w:val="0"/>
              <w:divBdr>
                <w:top w:val="none" w:sz="0" w:space="0" w:color="auto"/>
                <w:left w:val="none" w:sz="0" w:space="0" w:color="auto"/>
                <w:bottom w:val="none" w:sz="0" w:space="0" w:color="auto"/>
                <w:right w:val="none" w:sz="0" w:space="0" w:color="auto"/>
              </w:divBdr>
              <w:divsChild>
                <w:div w:id="280235001">
                  <w:marLeft w:val="0"/>
                  <w:marRight w:val="-14400"/>
                  <w:marTop w:val="0"/>
                  <w:marBottom w:val="0"/>
                  <w:divBdr>
                    <w:top w:val="none" w:sz="0" w:space="0" w:color="auto"/>
                    <w:left w:val="none" w:sz="0" w:space="0" w:color="auto"/>
                    <w:bottom w:val="none" w:sz="0" w:space="0" w:color="auto"/>
                    <w:right w:val="none" w:sz="0" w:space="0" w:color="auto"/>
                  </w:divBdr>
                  <w:divsChild>
                    <w:div w:id="1660961634">
                      <w:marLeft w:val="0"/>
                      <w:marRight w:val="0"/>
                      <w:marTop w:val="0"/>
                      <w:marBottom w:val="0"/>
                      <w:divBdr>
                        <w:top w:val="none" w:sz="0" w:space="0" w:color="auto"/>
                        <w:left w:val="none" w:sz="0" w:space="0" w:color="auto"/>
                        <w:bottom w:val="none" w:sz="0" w:space="0" w:color="auto"/>
                        <w:right w:val="none" w:sz="0" w:space="0" w:color="auto"/>
                      </w:divBdr>
                      <w:divsChild>
                        <w:div w:id="1019311622">
                          <w:marLeft w:val="0"/>
                          <w:marRight w:val="0"/>
                          <w:marTop w:val="0"/>
                          <w:marBottom w:val="0"/>
                          <w:divBdr>
                            <w:top w:val="none" w:sz="0" w:space="0" w:color="auto"/>
                            <w:left w:val="none" w:sz="0" w:space="0" w:color="auto"/>
                            <w:bottom w:val="none" w:sz="0" w:space="0" w:color="auto"/>
                            <w:right w:val="none" w:sz="0" w:space="0" w:color="auto"/>
                          </w:divBdr>
                          <w:divsChild>
                            <w:div w:id="2144542080">
                              <w:marLeft w:val="0"/>
                              <w:marRight w:val="0"/>
                              <w:marTop w:val="0"/>
                              <w:marBottom w:val="0"/>
                              <w:divBdr>
                                <w:top w:val="none" w:sz="0" w:space="0" w:color="auto"/>
                                <w:left w:val="none" w:sz="0" w:space="0" w:color="auto"/>
                                <w:bottom w:val="none" w:sz="0" w:space="0" w:color="auto"/>
                                <w:right w:val="none" w:sz="0" w:space="0" w:color="auto"/>
                              </w:divBdr>
                              <w:divsChild>
                                <w:div w:id="40076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2342315">
      <w:bodyDiv w:val="1"/>
      <w:marLeft w:val="0"/>
      <w:marRight w:val="0"/>
      <w:marTop w:val="0"/>
      <w:marBottom w:val="0"/>
      <w:divBdr>
        <w:top w:val="none" w:sz="0" w:space="0" w:color="auto"/>
        <w:left w:val="none" w:sz="0" w:space="0" w:color="auto"/>
        <w:bottom w:val="none" w:sz="0" w:space="0" w:color="auto"/>
        <w:right w:val="none" w:sz="0" w:space="0" w:color="auto"/>
      </w:divBdr>
      <w:divsChild>
        <w:div w:id="175115243">
          <w:marLeft w:val="0"/>
          <w:marRight w:val="0"/>
          <w:marTop w:val="345"/>
          <w:marBottom w:val="0"/>
          <w:divBdr>
            <w:top w:val="none" w:sz="0" w:space="0" w:color="auto"/>
            <w:left w:val="none" w:sz="0" w:space="0" w:color="auto"/>
            <w:bottom w:val="none" w:sz="0" w:space="0" w:color="auto"/>
            <w:right w:val="none" w:sz="0" w:space="0" w:color="auto"/>
          </w:divBdr>
          <w:divsChild>
            <w:div w:id="1339190063">
              <w:marLeft w:val="0"/>
              <w:marRight w:val="0"/>
              <w:marTop w:val="0"/>
              <w:marBottom w:val="0"/>
              <w:divBdr>
                <w:top w:val="none" w:sz="0" w:space="0" w:color="auto"/>
                <w:left w:val="none" w:sz="0" w:space="0" w:color="auto"/>
                <w:bottom w:val="none" w:sz="0" w:space="0" w:color="auto"/>
                <w:right w:val="none" w:sz="0" w:space="0" w:color="auto"/>
              </w:divBdr>
              <w:divsChild>
                <w:div w:id="515387260">
                  <w:marLeft w:val="0"/>
                  <w:marRight w:val="-14400"/>
                  <w:marTop w:val="0"/>
                  <w:marBottom w:val="0"/>
                  <w:divBdr>
                    <w:top w:val="none" w:sz="0" w:space="0" w:color="auto"/>
                    <w:left w:val="none" w:sz="0" w:space="0" w:color="auto"/>
                    <w:bottom w:val="none" w:sz="0" w:space="0" w:color="auto"/>
                    <w:right w:val="none" w:sz="0" w:space="0" w:color="auto"/>
                  </w:divBdr>
                  <w:divsChild>
                    <w:div w:id="706417860">
                      <w:marLeft w:val="0"/>
                      <w:marRight w:val="0"/>
                      <w:marTop w:val="0"/>
                      <w:marBottom w:val="0"/>
                      <w:divBdr>
                        <w:top w:val="none" w:sz="0" w:space="0" w:color="auto"/>
                        <w:left w:val="none" w:sz="0" w:space="0" w:color="auto"/>
                        <w:bottom w:val="none" w:sz="0" w:space="0" w:color="auto"/>
                        <w:right w:val="none" w:sz="0" w:space="0" w:color="auto"/>
                      </w:divBdr>
                      <w:divsChild>
                        <w:div w:id="1025835956">
                          <w:marLeft w:val="0"/>
                          <w:marRight w:val="0"/>
                          <w:marTop w:val="0"/>
                          <w:marBottom w:val="0"/>
                          <w:divBdr>
                            <w:top w:val="none" w:sz="0" w:space="0" w:color="auto"/>
                            <w:left w:val="none" w:sz="0" w:space="0" w:color="auto"/>
                            <w:bottom w:val="none" w:sz="0" w:space="0" w:color="auto"/>
                            <w:right w:val="none" w:sz="0" w:space="0" w:color="auto"/>
                          </w:divBdr>
                          <w:divsChild>
                            <w:div w:id="1204440718">
                              <w:marLeft w:val="0"/>
                              <w:marRight w:val="0"/>
                              <w:marTop w:val="0"/>
                              <w:marBottom w:val="0"/>
                              <w:divBdr>
                                <w:top w:val="none" w:sz="0" w:space="0" w:color="auto"/>
                                <w:left w:val="none" w:sz="0" w:space="0" w:color="auto"/>
                                <w:bottom w:val="none" w:sz="0" w:space="0" w:color="auto"/>
                                <w:right w:val="none" w:sz="0" w:space="0" w:color="auto"/>
                              </w:divBdr>
                              <w:divsChild>
                                <w:div w:id="1304433197">
                                  <w:marLeft w:val="0"/>
                                  <w:marRight w:val="0"/>
                                  <w:marTop w:val="0"/>
                                  <w:marBottom w:val="0"/>
                                  <w:divBdr>
                                    <w:top w:val="none" w:sz="0" w:space="0" w:color="auto"/>
                                    <w:left w:val="none" w:sz="0" w:space="0" w:color="auto"/>
                                    <w:bottom w:val="none" w:sz="0" w:space="0" w:color="auto"/>
                                    <w:right w:val="none" w:sz="0" w:space="0" w:color="auto"/>
                                  </w:divBdr>
                                  <w:divsChild>
                                    <w:div w:id="2085829785">
                                      <w:blockQuote w:val="1"/>
                                      <w:marLeft w:val="300"/>
                                      <w:marRight w:val="300"/>
                                      <w:marTop w:val="0"/>
                                      <w:marBottom w:val="0"/>
                                      <w:divBdr>
                                        <w:top w:val="dashed" w:sz="12" w:space="8" w:color="FFFFFF"/>
                                        <w:left w:val="dashed" w:sz="12" w:space="15" w:color="FFFFFF"/>
                                        <w:bottom w:val="dashed" w:sz="12" w:space="19" w:color="FFFFFF"/>
                                        <w:right w:val="dashed" w:sz="12" w:space="15" w:color="FFFFFF"/>
                                      </w:divBdr>
                                    </w:div>
                                  </w:divsChild>
                                </w:div>
                              </w:divsChild>
                            </w:div>
                          </w:divsChild>
                        </w:div>
                      </w:divsChild>
                    </w:div>
                  </w:divsChild>
                </w:div>
              </w:divsChild>
            </w:div>
          </w:divsChild>
        </w:div>
      </w:divsChild>
    </w:div>
    <w:div w:id="1829588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fra.europa.eu/en/publication/2017/independent-living-funding" TargetMode="External"/><Relationship Id="rId26" Type="http://schemas.openxmlformats.org/officeDocument/2006/relationships/hyperlink" Target="http://www.cedarfoundation.org/en/" TargetMode="External"/><Relationship Id="rId39" Type="http://schemas.openxmlformats.org/officeDocument/2006/relationships/hyperlink" Target="https://ipsn.easo.europa.eu/" TargetMode="External"/><Relationship Id="rId21" Type="http://schemas.openxmlformats.org/officeDocument/2006/relationships/hyperlink" Target="http://fra.europa.eu/en/publication/2018/institutions-community-living-part-iii-outcomes-persons-disabilities-easy-read" TargetMode="External"/><Relationship Id="rId34" Type="http://schemas.openxmlformats.org/officeDocument/2006/relationships/hyperlink" Target="http://fra.europa.eu/en/publication/2011/legal-protection-persons-mental-health-problems-under-non-discrimination-law" TargetMode="External"/><Relationship Id="rId42" Type="http://schemas.openxmlformats.org/officeDocument/2006/relationships/hyperlink" Target="http://fra.europa.eu/en/publication/2013/inequalities-discrimination-healthcare" TargetMode="External"/><Relationship Id="rId47" Type="http://schemas.openxmlformats.org/officeDocument/2006/relationships/customXml" Target="../customXml/item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fra.europa.eu/en/publication/2017/independent-living-structures" TargetMode="External"/><Relationship Id="rId29" Type="http://schemas.openxmlformats.org/officeDocument/2006/relationships/hyperlink" Target="http://fra.europa.eu/sites/default/files/fra-2015-focus-05-2015-crpd_en.pdf" TargetMode="External"/><Relationship Id="rId11" Type="http://schemas.openxmlformats.org/officeDocument/2006/relationships/image" Target="media/image2.PNG"/><Relationship Id="rId24" Type="http://schemas.openxmlformats.org/officeDocument/2006/relationships/image" Target="media/image5.png"/><Relationship Id="rId32" Type="http://schemas.openxmlformats.org/officeDocument/2006/relationships/hyperlink" Target="http://fra.europa.eu/en/publication/2013/laws-about-being-able-make-important-decisions-yourself" TargetMode="External"/><Relationship Id="rId37" Type="http://schemas.openxmlformats.org/officeDocument/2006/relationships/image" Target="media/image7.png"/><Relationship Id="rId40" Type="http://schemas.openxmlformats.org/officeDocument/2006/relationships/hyperlink" Target="http://fra.europa.eu/en/publication/2016/rights-suspected-and-accused-persons-across-eu-translation-interpretation-and"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fra.europa.eu/en/publications-and-resources/publications/annual-reports/fundamental-rights-2014" TargetMode="External"/><Relationship Id="rId23" Type="http://schemas.openxmlformats.org/officeDocument/2006/relationships/hyperlink" Target="http://fra.europa.eu/en/publication/2015/violence-against-children-disabilities" TargetMode="External"/><Relationship Id="rId28" Type="http://schemas.openxmlformats.org/officeDocument/2006/relationships/hyperlink" Target="http://sacp.government.bg/media/filer_public/2015/12/17/koordinatsionen-mehanizam-zadalzhenia-na-organite.pdf" TargetMode="External"/><Relationship Id="rId36" Type="http://schemas.openxmlformats.org/officeDocument/2006/relationships/image" Target="media/image6.png"/><Relationship Id="rId49" Type="http://schemas.openxmlformats.org/officeDocument/2006/relationships/customXml" Target="../customXml/item4.xml"/><Relationship Id="rId10" Type="http://schemas.openxmlformats.org/officeDocument/2006/relationships/image" Target="media/image1.PNG"/><Relationship Id="rId19" Type="http://schemas.openxmlformats.org/officeDocument/2006/relationships/hyperlink" Target="http://fra.europa.eu/en/publication/2018/institutions-community-living-part-ii-funding-and-budgeting-easy-read" TargetMode="External"/><Relationship Id="rId31" Type="http://schemas.openxmlformats.org/officeDocument/2006/relationships/hyperlink" Target="http://fra.europa.eu/en/publication/2013/legal-capacity-persons-intellectual-disabilities-and-persons-mental-health-problems"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fra.europa.eu/en/publication/2017/fundamental-rights-report-2017" TargetMode="External"/><Relationship Id="rId14" Type="http://schemas.openxmlformats.org/officeDocument/2006/relationships/image" Target="media/image4.png"/><Relationship Id="rId22" Type="http://schemas.openxmlformats.org/officeDocument/2006/relationships/hyperlink" Target="http://fra.europa.eu/en/publication/2015/children-disabilities-violence" TargetMode="External"/><Relationship Id="rId27" Type="http://schemas.openxmlformats.org/officeDocument/2006/relationships/hyperlink" Target="http://sacp.government.bg/bg/za-agenciyata/politiki/sporazumeniya/" TargetMode="External"/><Relationship Id="rId30" Type="http://schemas.openxmlformats.org/officeDocument/2006/relationships/hyperlink" Target="http://fra.europa.eu/en/publication/2014/right-political-participation-persons-disabilities-human-rights-indicators" TargetMode="External"/><Relationship Id="rId35" Type="http://schemas.openxmlformats.org/officeDocument/2006/relationships/hyperlink" Target="http://fra.europa.eu/en/publication/2010/right-political-participation-persons-mental-health-problems-and-persons" TargetMode="External"/><Relationship Id="rId43" Type="http://schemas.openxmlformats.org/officeDocument/2006/relationships/hyperlink" Target="http://fra.europa.eu/en/publication/2013/how-people-are-treated-differently-healthcare" TargetMode="External"/><Relationship Id="rId48" Type="http://schemas.openxmlformats.org/officeDocument/2006/relationships/customXml" Target="../customXml/item3.xml"/><Relationship Id="rId8" Type="http://schemas.openxmlformats.org/officeDocument/2006/relationships/hyperlink" Target="http://fra.europa.eu/en/publication/2018/fundamental-rights-report-2018" TargetMode="External"/><Relationship Id="rId3" Type="http://schemas.openxmlformats.org/officeDocument/2006/relationships/styles" Target="styles.xml"/><Relationship Id="rId12" Type="http://schemas.openxmlformats.org/officeDocument/2006/relationships/hyperlink" Target="http://fra.europa.eu/en/publications-and-resources/publications/annual-reports/fundamental-rights-2016" TargetMode="External"/><Relationship Id="rId17" Type="http://schemas.openxmlformats.org/officeDocument/2006/relationships/hyperlink" Target="http://fra.europa.eu/en/publication/2018/institutions-community-living-part-i-commitments-and-structures-easy-read" TargetMode="External"/><Relationship Id="rId25" Type="http://schemas.openxmlformats.org/officeDocument/2006/relationships/hyperlink" Target="http://sacp.government.bg/bg/evropejski-programi-i-proekti/proekt-detstvo-za-vsichki/" TargetMode="External"/><Relationship Id="rId33" Type="http://schemas.openxmlformats.org/officeDocument/2006/relationships/hyperlink" Target="http://fra.europa.eu/en/publication/2012/involuntary-placement-and-involuntary-treatment-persons-mental-health-problems" TargetMode="External"/><Relationship Id="rId38" Type="http://schemas.openxmlformats.org/officeDocument/2006/relationships/hyperlink" Target="http://fra.europa.eu/en/theme/asylum-migration-borders/overviews/focus-disability" TargetMode="External"/><Relationship Id="rId46" Type="http://schemas.openxmlformats.org/officeDocument/2006/relationships/theme" Target="theme/theme1.xml"/><Relationship Id="rId20" Type="http://schemas.openxmlformats.org/officeDocument/2006/relationships/hyperlink" Target="http://fra.europa.eu/en/publication/2017/independent-living-outcomes" TargetMode="External"/><Relationship Id="rId41"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F759EF-93DF-4480-87CC-44EDCD7D4D61}"/>
</file>

<file path=customXml/itemProps2.xml><?xml version="1.0" encoding="utf-8"?>
<ds:datastoreItem xmlns:ds="http://schemas.openxmlformats.org/officeDocument/2006/customXml" ds:itemID="{28007DC2-C617-4B4F-8F1C-0CE1EEC5DE2B}"/>
</file>

<file path=customXml/itemProps3.xml><?xml version="1.0" encoding="utf-8"?>
<ds:datastoreItem xmlns:ds="http://schemas.openxmlformats.org/officeDocument/2006/customXml" ds:itemID="{5F79CBFB-E930-4F94-85F4-661889D328BC}"/>
</file>

<file path=customXml/itemProps4.xml><?xml version="1.0" encoding="utf-8"?>
<ds:datastoreItem xmlns:ds="http://schemas.openxmlformats.org/officeDocument/2006/customXml" ds:itemID="{206BA3CB-5FD0-42F5-9A49-920EB959A4E4}"/>
</file>

<file path=docProps/app.xml><?xml version="1.0" encoding="utf-8"?>
<Properties xmlns="http://schemas.openxmlformats.org/officeDocument/2006/extended-properties" xmlns:vt="http://schemas.openxmlformats.org/officeDocument/2006/docPropsVTypes">
  <Template>Normal</Template>
  <TotalTime>1301</TotalTime>
  <Pages>24</Pages>
  <Words>9887</Words>
  <Characters>56358</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EU Fundamental Rights Agency</Company>
  <LinksUpToDate>false</LinksUpToDate>
  <CharactersWithSpaces>66113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MIKALAUSKAITE Jadvyga (FRA)</dc:creator>
  <cp:keywords/>
  <dc:description/>
  <cp:lastModifiedBy>IGNJATOVIC Srna (FRA)</cp:lastModifiedBy>
  <cp:revision>25</cp:revision>
  <cp:lastPrinted>2015-12-11T14:11:00Z</cp:lastPrinted>
  <dcterms:created xsi:type="dcterms:W3CDTF">2017-02-03T14:57:00Z</dcterms:created>
  <dcterms:modified xsi:type="dcterms:W3CDTF">2018-07-02T09:16:00Z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